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14D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textAlignment w:val="auto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证券交易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收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  <w:t>费标准</w:t>
      </w:r>
    </w:p>
    <w:p w14:paraId="048E69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更新时间：202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年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4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日</w:t>
      </w:r>
    </w:p>
    <w:tbl>
      <w:tblPr>
        <w:tblStyle w:val="3"/>
        <w:tblW w:w="0" w:type="auto"/>
        <w:tblInd w:w="0" w:type="dxa"/>
        <w:tblBorders>
          <w:top w:val="single" w:color="D4D4D4" w:sz="6" w:space="0"/>
          <w:left w:val="single" w:color="D4D4D4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6"/>
        <w:gridCol w:w="1583"/>
        <w:gridCol w:w="2665"/>
        <w:gridCol w:w="2682"/>
      </w:tblGrid>
      <w:tr w14:paraId="7063B7EB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E2D70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业务类别</w:t>
            </w:r>
          </w:p>
        </w:tc>
        <w:tc>
          <w:tcPr>
            <w:tcW w:w="15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5353A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费用</w:t>
            </w:r>
          </w:p>
          <w:p w14:paraId="07633CE5"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项目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EF70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交易类费用标准</w:t>
            </w:r>
          </w:p>
        </w:tc>
      </w:tr>
      <w:tr w14:paraId="2B0F8C07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62244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2F7D9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58B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上海市场</w:t>
            </w:r>
          </w:p>
        </w:tc>
        <w:tc>
          <w:tcPr>
            <w:tcW w:w="2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FA1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深圳市场</w:t>
            </w:r>
          </w:p>
        </w:tc>
      </w:tr>
      <w:tr w14:paraId="299BC486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00D8C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A 股</w:t>
            </w: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0861C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佣金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341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不高于交易金额的3‰</w:t>
            </w:r>
          </w:p>
        </w:tc>
      </w:tr>
      <w:tr w14:paraId="7E5D70C8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64666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8806B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经手费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B21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按成交额0.0341‰双向收取</w:t>
            </w:r>
          </w:p>
          <w:p w14:paraId="1EDD51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注：A股大宗交易按标准费率下浮30%收取</w:t>
            </w:r>
          </w:p>
        </w:tc>
      </w:tr>
      <w:tr w14:paraId="4641DDF9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DEAAA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FD028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证管费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792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按成交金额的0.02‰双向收取</w:t>
            </w:r>
          </w:p>
        </w:tc>
      </w:tr>
      <w:tr w14:paraId="5B653D4C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8228B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62A0A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过户费</w:t>
            </w:r>
          </w:p>
        </w:tc>
        <w:tc>
          <w:tcPr>
            <w:tcW w:w="2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AAF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按成交金额的0.01‰向买卖双方收取</w:t>
            </w:r>
          </w:p>
        </w:tc>
        <w:tc>
          <w:tcPr>
            <w:tcW w:w="2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2D6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1.按照成交金额的 0.01‰向买卖双方收取;</w:t>
            </w:r>
          </w:p>
          <w:p w14:paraId="6197C2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2.综合协议交易平台的A股交易过户费按照A股交易过户费收费标准下浮30%收取,即按0.007‰向买卖双方收取</w:t>
            </w:r>
          </w:p>
        </w:tc>
      </w:tr>
      <w:tr w14:paraId="6E4CF55D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EF390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0BDF6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印花税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F7B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按照成交金额的 0.5‰向出让方收取</w:t>
            </w:r>
          </w:p>
        </w:tc>
      </w:tr>
      <w:tr w14:paraId="1E6B6B34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509DC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ind w:left="0" w:firstLine="18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优先股</w:t>
            </w: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C4A2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佣金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F9F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不高于交易金额的3‰</w:t>
            </w:r>
          </w:p>
        </w:tc>
      </w:tr>
      <w:tr w14:paraId="31CD6EB3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99845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2C50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经手费</w:t>
            </w:r>
          </w:p>
        </w:tc>
        <w:tc>
          <w:tcPr>
            <w:tcW w:w="2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8AC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按成交额0.001‰双向收取</w:t>
            </w:r>
          </w:p>
          <w:p w14:paraId="5FE4E2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注：优先股大宗交易按成交额0.001‰的90%双向收取，最高不超过100元/笔</w:t>
            </w:r>
          </w:p>
        </w:tc>
        <w:tc>
          <w:tcPr>
            <w:tcW w:w="2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D66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试点期间按普通股票标准的80%收取</w:t>
            </w:r>
          </w:p>
        </w:tc>
      </w:tr>
      <w:tr w14:paraId="04BCC7EB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CAC95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68148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证管费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8AD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按成交金额的0.02‰双向收取</w:t>
            </w:r>
          </w:p>
        </w:tc>
      </w:tr>
      <w:tr w14:paraId="4AD7BDE4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ACE5A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95110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印花税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89F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按照成交金额的0.5‰向出让方收取</w:t>
            </w:r>
          </w:p>
        </w:tc>
      </w:tr>
      <w:tr w14:paraId="629FA0B5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16F2D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存托凭证</w:t>
            </w:r>
          </w:p>
          <w:p w14:paraId="6A382DC1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 </w:t>
            </w: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D19E9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佣金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B97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不高于交易金额的3‰</w:t>
            </w:r>
          </w:p>
        </w:tc>
      </w:tr>
      <w:tr w14:paraId="2B5B030E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2BD13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C42CE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经手费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12E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按成交额0.0341‰双向收取（含科创板存托凭证盘后固定价格交易）</w:t>
            </w:r>
          </w:p>
          <w:p w14:paraId="69B579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注：科创板存托凭证大宗交易按标准费率下浮30%收取</w:t>
            </w:r>
          </w:p>
        </w:tc>
      </w:tr>
      <w:tr w14:paraId="75E436FB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1F349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0CA4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过户费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0AF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按照成交金额的0.02‰向买卖双方收取</w:t>
            </w:r>
          </w:p>
        </w:tc>
      </w:tr>
      <w:tr w14:paraId="1D1B8F43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1B21E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BC0AC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印花税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D37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按照成交金额的0.5‰向出让方收取</w:t>
            </w:r>
          </w:p>
        </w:tc>
      </w:tr>
      <w:tr w14:paraId="15D5C668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094B6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北交所、挂牌公司股份等</w:t>
            </w: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4FEE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佣金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45B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不高于交易金额的3‰</w:t>
            </w:r>
          </w:p>
        </w:tc>
      </w:tr>
      <w:tr w14:paraId="3C8AB3EA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1CFC0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9F041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经手费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BF5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A股：按成交金额0.125‰双边收取</w:t>
            </w:r>
          </w:p>
          <w:p w14:paraId="2B1FDC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公司债/企业债现券：按成交金额的0.001‰双边收取，单笔最高不超过100元</w:t>
            </w:r>
          </w:p>
          <w:p w14:paraId="0813C0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挂牌公司股份：按成交金额0.5‰双边收取转让经手费</w:t>
            </w:r>
          </w:p>
          <w:p w14:paraId="3B2912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北交所可转换公司债券：按A股经手费标准减半收取</w:t>
            </w:r>
          </w:p>
          <w:p w14:paraId="6B297B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挂牌公司可转换公司债券：按挂牌公司股份经手费标准减半收取</w:t>
            </w:r>
          </w:p>
        </w:tc>
      </w:tr>
      <w:tr w14:paraId="4762EBFD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EE737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33E0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过户费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499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北交所A股、挂牌公司股份：按照成交金额的 0.01‰双边收取交易过户费</w:t>
            </w:r>
          </w:p>
        </w:tc>
      </w:tr>
      <w:tr w14:paraId="13E8D2F1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E3F25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6C10A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印花税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82B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按照成交金额的0.5‰向出让方收取</w:t>
            </w:r>
          </w:p>
        </w:tc>
      </w:tr>
      <w:tr w14:paraId="6982A535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DA36E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港股通</w:t>
            </w: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5121C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佣金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A7B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不高于交易金额的3‰</w:t>
            </w:r>
          </w:p>
        </w:tc>
      </w:tr>
      <w:tr w14:paraId="15BF09A0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DF3DF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FFE1E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股份交收费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3AE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按成交金额（港币）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</w:rPr>
              <w:t>的0.00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</w:rPr>
              <w:t>2%双边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收取（四舍五入至小数点后两位）</w:t>
            </w:r>
          </w:p>
        </w:tc>
      </w:tr>
      <w:tr w14:paraId="56A89CEB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7B4F2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32F68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印花税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4F0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按成交金额（港币）的0.1%双边收取（取整到元，不足一元港币按一元计）</w:t>
            </w:r>
          </w:p>
          <w:p w14:paraId="47F90B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对于港股通ETF和港股通股本认股权证交易，暂免征收印花税</w:t>
            </w:r>
          </w:p>
        </w:tc>
      </w:tr>
      <w:tr w14:paraId="03629F71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C2F21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49A9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交易费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ED2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按成交金额（港币）的0.0565‰双边收取（四舍五入至小数点后两位）</w:t>
            </w:r>
          </w:p>
        </w:tc>
      </w:tr>
      <w:tr w14:paraId="2B809486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F4DF8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372AD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交易征费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B5A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按成交金额（港币）的0.027‰双边收取（四舍五入至小数点后两位）</w:t>
            </w:r>
          </w:p>
        </w:tc>
      </w:tr>
      <w:tr w14:paraId="5631D90E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7D322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7B662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财汇局交易征费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BDB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按成交金额（港币）的0.0015‰双边收取（四舍五入至小数点后两位）</w:t>
            </w:r>
          </w:p>
        </w:tc>
      </w:tr>
      <w:tr w14:paraId="6ACEBF71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48492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4AD1A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证券组合费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3DD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按每个自然日日终证券持有市值（港币）分段收取，费率如下：</w:t>
            </w:r>
          </w:p>
          <w:p w14:paraId="2796D0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低于 500（含）亿元，年费率 0.08‰；</w:t>
            </w:r>
          </w:p>
          <w:p w14:paraId="006D6C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500 至 2500（含）亿元，年费率 0.07‰；</w:t>
            </w:r>
          </w:p>
          <w:p w14:paraId="105835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2500 至 5000（含）亿元，年费率 0.06‰；</w:t>
            </w:r>
          </w:p>
          <w:p w14:paraId="6F60A5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5000 至 7500（含）亿元，年费率 0.05‰；</w:t>
            </w:r>
          </w:p>
          <w:p w14:paraId="12ED6C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7500 至 10000（含）亿元，年费率 0.04‰；</w:t>
            </w:r>
          </w:p>
          <w:p w14:paraId="516395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10000 亿元以上，年费率 0.03‰</w:t>
            </w:r>
          </w:p>
        </w:tc>
      </w:tr>
      <w:tr w14:paraId="2014313F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A71A4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基金（封闭式基金、ETF、LOF基金）</w:t>
            </w: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E3129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佣金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E61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不高于交易金额的3‰</w:t>
            </w:r>
          </w:p>
        </w:tc>
      </w:tr>
      <w:tr w14:paraId="39E76B89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5D843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97534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经手费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BB5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按成交额0.04‰双向收取,货币ETF、债券ETF暂免收取</w:t>
            </w:r>
          </w:p>
          <w:p w14:paraId="30A4BB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注：大宗交易按标准费率下浮50%收取</w:t>
            </w:r>
          </w:p>
        </w:tc>
      </w:tr>
      <w:tr w14:paraId="40766BD4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643E5"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基金（公募REITs）</w:t>
            </w: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353BC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佣金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7DD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不高于交易金额的3‰</w:t>
            </w:r>
          </w:p>
        </w:tc>
      </w:tr>
      <w:tr w14:paraId="36158CEF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FF71B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64773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经手费</w:t>
            </w:r>
          </w:p>
        </w:tc>
        <w:tc>
          <w:tcPr>
            <w:tcW w:w="2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FC0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按成交额0.045‰双向收取,暂免收取</w:t>
            </w:r>
          </w:p>
          <w:p w14:paraId="47ED8D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注：大宗交易、报价交易、询价交易、指定对手方交易和协议交易按标准费率下浮50%收取</w:t>
            </w:r>
          </w:p>
        </w:tc>
        <w:tc>
          <w:tcPr>
            <w:tcW w:w="2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F0A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按成交额0.04‰双向收取,暂免收取</w:t>
            </w:r>
          </w:p>
          <w:p w14:paraId="46A19F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注：大宗交易按标准费率下浮50%收取</w:t>
            </w:r>
          </w:p>
        </w:tc>
      </w:tr>
      <w:tr w14:paraId="43CD0BF4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2892B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权证</w:t>
            </w: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7FE3F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佣金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358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不高于交易金额的3‰</w:t>
            </w:r>
          </w:p>
        </w:tc>
      </w:tr>
      <w:tr w14:paraId="2FC63525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F36FC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D28A9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经手费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4F3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按成交额0.045‰双向收取</w:t>
            </w:r>
          </w:p>
        </w:tc>
      </w:tr>
      <w:tr w14:paraId="74F44800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08EA6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559EA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行权过户费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A80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按行权股票过户面值的0.5‰向投资者单向收取</w:t>
            </w:r>
          </w:p>
        </w:tc>
      </w:tr>
      <w:tr w14:paraId="6706F234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9A937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EFB90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行权结算费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5C3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按清算金额的0.015‰单向收取。</w:t>
            </w:r>
          </w:p>
        </w:tc>
      </w:tr>
      <w:tr w14:paraId="112AE48D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7BE20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债券</w:t>
            </w: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D6345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佣金</w:t>
            </w:r>
          </w:p>
        </w:tc>
        <w:tc>
          <w:tcPr>
            <w:tcW w:w="2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84E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除企业转债外，不高于交易金额的0.2‰</w:t>
            </w:r>
          </w:p>
          <w:p w14:paraId="55E088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企业转债，不高于交易金额的2.39‰ </w:t>
            </w:r>
          </w:p>
        </w:tc>
        <w:tc>
          <w:tcPr>
            <w:tcW w:w="2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7C0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不高于交易金额的0.2‰</w:t>
            </w:r>
          </w:p>
        </w:tc>
      </w:tr>
      <w:tr w14:paraId="597E31F4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964DA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C6C46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经手费</w:t>
            </w:r>
          </w:p>
        </w:tc>
        <w:tc>
          <w:tcPr>
            <w:tcW w:w="2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3E2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  <w:p w14:paraId="593FA0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除上市公司可转换公司债券以外的各类债券现券、资产支持债券：按成交额0.001‰双向收取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  <w:lang w:val="en-US" w:eastAsia="zh-CN"/>
              </w:rPr>
              <w:t>2026年12月31日前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  <w:lang w:val="en-US" w:eastAsia="zh-CN"/>
              </w:rPr>
              <w:t>暂免收取）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，最高不超过100元/笔；</w:t>
            </w:r>
          </w:p>
          <w:p w14:paraId="149F7A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  <w:p w14:paraId="6AB703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可转换公司债：按成交金额的0.04‰双向收取</w:t>
            </w:r>
          </w:p>
          <w:p w14:paraId="42CE55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F13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国债现货、地方债/企业债/公司债现货、资产支持证券、政策性金融债/铁道债：成交金额在100万元以下（含）每笔收0.1元；成交金额在100万元以上每笔收10元；</w:t>
            </w:r>
          </w:p>
          <w:p w14:paraId="1E88BD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可转换公司债、可交换公司债：按成交金额的0.04‰双向收取</w:t>
            </w:r>
          </w:p>
        </w:tc>
      </w:tr>
      <w:tr w14:paraId="46A88A4E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7310F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股票期权</w:t>
            </w: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A0AFE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佣金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E9B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每张合约不超过10元</w:t>
            </w:r>
          </w:p>
        </w:tc>
      </w:tr>
      <w:tr w14:paraId="54C5B908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DAE25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F8066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经手费</w:t>
            </w:r>
          </w:p>
        </w:tc>
        <w:tc>
          <w:tcPr>
            <w:tcW w:w="2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E60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ETF期权交易：每张合约1.3元</w:t>
            </w:r>
          </w:p>
          <w:p w14:paraId="0A13A5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股票期权交易：每张合约3元</w:t>
            </w:r>
          </w:p>
          <w:p w14:paraId="680FE9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注：暂免收取期权合约卖出开仓（含备兑开仓）交易经手费</w:t>
            </w:r>
          </w:p>
        </w:tc>
        <w:tc>
          <w:tcPr>
            <w:tcW w:w="2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6E2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每张合约1.30元</w:t>
            </w:r>
          </w:p>
          <w:p w14:paraId="672DBF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注：暂免收取期权合约卖出开仓（含备兑开仓）的交易经手费</w:t>
            </w:r>
          </w:p>
        </w:tc>
      </w:tr>
      <w:tr w14:paraId="361E92BA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5447C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04987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交易结算费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F62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ETF期权交易：每张合约0.3元向交易双方收取</w:t>
            </w:r>
          </w:p>
          <w:p w14:paraId="68583A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股票期权交易：每张合约0.45元向交易双方收取</w:t>
            </w:r>
          </w:p>
          <w:p w14:paraId="2BDAD0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注：卖出开仓（含备兑开仓）交易结算费暂免</w:t>
            </w:r>
          </w:p>
        </w:tc>
      </w:tr>
      <w:tr w14:paraId="010045B4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B121C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F9BB7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行权结算费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3D7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ETF期权行权：每张合约0.6元向行权方收取</w:t>
            </w:r>
          </w:p>
          <w:p w14:paraId="25BB9D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股票期权行权：每张合约0.9元向行权方收取</w:t>
            </w:r>
          </w:p>
        </w:tc>
      </w:tr>
      <w:tr w14:paraId="49995152">
        <w:tblPrEx>
          <w:tblBorders>
            <w:top w:val="single" w:color="D4D4D4" w:sz="6" w:space="0"/>
            <w:left w:val="single" w:color="D4D4D4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8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8D81B">
            <w:pPr>
              <w:jc w:val="center"/>
              <w:rPr>
                <w:rFonts w:hint="eastAsia" w:ascii="Noto Sans SC" w:hAnsi="Noto Sans SC" w:eastAsia="Noto Sans SC" w:cs="Noto Sans SC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E14ED"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行权过户费</w:t>
            </w:r>
          </w:p>
        </w:tc>
        <w:tc>
          <w:tcPr>
            <w:tcW w:w="53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90A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05050"/>
                <w:spacing w:val="0"/>
                <w:sz w:val="18"/>
                <w:szCs w:val="18"/>
              </w:rPr>
              <w:t>按行权股票过户面值的0.5‰向过入方投资者收取</w:t>
            </w:r>
          </w:p>
        </w:tc>
      </w:tr>
    </w:tbl>
    <w:p w14:paraId="01CCF397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注：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1.未尽事宜遵从交易所、中国登记结算公司及我公司相关收费标准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，若交易所、中国结算以及相关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机关的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收费标准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发生变更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，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公司亦同时变更代收标准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30D10FA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收费标准参见：</w:t>
      </w:r>
    </w:p>
    <w:p w14:paraId="264694C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上海证券交易所：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fldChar w:fldCharType="begin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instrText xml:space="preserve"> HYPERLINK "https://www.sse.com.cn/services/tradingservice/charge/ssecharge" </w:instrTex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spacing w:val="0"/>
          <w:sz w:val="21"/>
          <w:szCs w:val="21"/>
          <w:lang w:val="en-US" w:eastAsia="zh-CN"/>
        </w:rPr>
        <w:t>https://www.sse.com.cn/services/tradingservice/charge/ssecharge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fldChar w:fldCharType="end"/>
      </w:r>
    </w:p>
    <w:p w14:paraId="7FCD695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Style w:val="7"/>
          <w:rFonts w:hint="eastAsia" w:ascii="宋体" w:hAnsi="宋体" w:eastAsia="宋体" w:cs="宋体"/>
          <w:b/>
          <w:i w:val="0"/>
          <w:iCs w:val="0"/>
          <w:caps w:val="0"/>
          <w:spacing w:val="0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深圳证券交易所：</w:t>
      </w: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spacing w:val="0"/>
          <w:sz w:val="21"/>
          <w:szCs w:val="21"/>
          <w:lang w:val="en-US" w:eastAsia="zh-CN"/>
        </w:rPr>
        <w:fldChar w:fldCharType="begin"/>
      </w: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spacing w:val="0"/>
          <w:sz w:val="21"/>
          <w:szCs w:val="21"/>
          <w:lang w:val="en-US" w:eastAsia="zh-CN"/>
        </w:rPr>
        <w:instrText xml:space="preserve"> HYPERLINK "https://www.szse.cn/marketServices/deal/payFees/index.html" </w:instrText>
      </w: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spacing w:val="0"/>
          <w:sz w:val="21"/>
          <w:szCs w:val="21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spacing w:val="0"/>
          <w:sz w:val="21"/>
          <w:szCs w:val="21"/>
          <w:lang w:val="en-US" w:eastAsia="zh-CN"/>
        </w:rPr>
        <w:t>https://www.szse.cn/marketServices/deal/payFees/index.html</w:t>
      </w: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spacing w:val="0"/>
          <w:sz w:val="21"/>
          <w:szCs w:val="21"/>
          <w:lang w:val="en-US" w:eastAsia="zh-CN"/>
        </w:rPr>
        <w:fldChar w:fldCharType="end"/>
      </w:r>
    </w:p>
    <w:p w14:paraId="2AB18D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0000FF"/>
          <w:spacing w:val="0"/>
          <w:sz w:val="21"/>
          <w:szCs w:val="21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中国结算：</w:t>
      </w: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0000FF"/>
          <w:spacing w:val="0"/>
          <w:sz w:val="21"/>
          <w:szCs w:val="21"/>
          <w:lang w:val="en-US" w:eastAsia="zh-CN"/>
        </w:rPr>
        <w:fldChar w:fldCharType="begin"/>
      </w: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0000FF"/>
          <w:spacing w:val="0"/>
          <w:sz w:val="21"/>
          <w:szCs w:val="21"/>
          <w:lang w:val="en-US" w:eastAsia="zh-CN"/>
        </w:rPr>
        <w:instrText xml:space="preserve"> HYPERLINK "http://www.chinaclear.cn/zdjs/fbzyls/service_tlist.shtml" \t "https://stock.hnchasing.com//main/khfw/jyyjzs/_blank" </w:instrText>
      </w: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0000FF"/>
          <w:spacing w:val="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0000FF"/>
          <w:spacing w:val="0"/>
          <w:sz w:val="21"/>
          <w:szCs w:val="21"/>
          <w:lang w:val="en-US" w:eastAsia="zh-CN"/>
        </w:rPr>
        <w:t>http://www.chinaclear.cn/zdjs/fbzyls/service_tlist.shtml</w:t>
      </w: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0000FF"/>
          <w:spacing w:val="0"/>
          <w:sz w:val="21"/>
          <w:szCs w:val="21"/>
          <w:lang w:val="en-US" w:eastAsia="zh-CN"/>
        </w:rPr>
        <w:fldChar w:fldCharType="end"/>
      </w:r>
    </w:p>
    <w:p w14:paraId="5E31DCD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jc w:val="left"/>
        <w:rPr>
          <w:rStyle w:val="5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58085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48F35"/>
    <w:multiLevelType w:val="singleLevel"/>
    <w:tmpl w:val="6D948F3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80E28"/>
    <w:rsid w:val="0D601AB1"/>
    <w:rsid w:val="0E8A0CB9"/>
    <w:rsid w:val="198F1879"/>
    <w:rsid w:val="19A4548A"/>
    <w:rsid w:val="1C214EBA"/>
    <w:rsid w:val="4A981BD2"/>
    <w:rsid w:val="4CD15729"/>
    <w:rsid w:val="4EF61477"/>
    <w:rsid w:val="51181524"/>
    <w:rsid w:val="5B136F0D"/>
    <w:rsid w:val="5F9D61ED"/>
    <w:rsid w:val="65080BFC"/>
    <w:rsid w:val="76695611"/>
    <w:rsid w:val="78DE5B90"/>
    <w:rsid w:val="7D1172F8"/>
    <w:rsid w:val="7E37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1753</Words>
  <Characters>2171</Characters>
  <Lines>0</Lines>
  <Paragraphs>0</Paragraphs>
  <TotalTime>12</TotalTime>
  <ScaleCrop>false</ScaleCrop>
  <LinksUpToDate>false</LinksUpToDate>
  <CharactersWithSpaces>2193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2026-04-22T07:47:00Z</dcterms:created>
  <dc:creator>Administrator</dc:creator>
  <cp:lastModifiedBy>黄圈圈</cp:lastModifiedBy>
  <dcterms:modified xsi:type="dcterms:W3CDTF">2026-04-22T08:31:04Z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eyJoZGlkIjoiNWZjMzhjZWEwZjhkN2M1ZWVlMzZmZmE1OTZiZjk3ZDkiLCJ1c2VySWQiOiIzMTg5Mjg0ODcifQ==</vt:lpwstr>
  </property>
  <property fmtid="{D5CDD505-2E9C-101B-9397-08002B2CF9AE}" pid="4" name="ICV">
    <vt:lpwstr>D2208936D80D476FAD40522622C300D7_12</vt:lpwstr>
  </property>
</Properties>
</file>