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sz w:val="36"/>
        </w:rPr>
      </w:pPr>
      <w:r>
        <w:rPr>
          <w:rFonts w:ascii="仿宋" w:hAnsi="仿宋" w:eastAsia="仿宋" w:cs="仿宋"/>
          <w:b/>
          <w:sz w:val="36"/>
        </w:rPr>
        <w:t>关于收到上交所交易监管提示函的相关通知</w:t>
      </w:r>
    </w:p>
    <w:p>
      <w:pPr>
        <w:spacing w:line="360" w:lineRule="auto"/>
        <w:jc w:val="left"/>
        <w:rPr>
          <w:rFonts w:ascii="仿宋" w:hAnsi="仿宋" w:eastAsia="仿宋" w:cs="仿宋"/>
          <w:color w:val="000000"/>
          <w:sz w:val="32"/>
        </w:rPr>
      </w:pPr>
    </w:p>
    <w:p>
      <w:pPr>
        <w:spacing w:line="360" w:lineRule="auto"/>
        <w:rPr>
          <w:rFonts w:ascii="仿宋" w:hAnsi="仿宋" w:eastAsia="仿宋" w:cs="仿宋"/>
          <w:sz w:val="32"/>
        </w:rPr>
      </w:pPr>
      <w:r>
        <w:rPr>
          <w:rFonts w:ascii="仿宋" w:hAnsi="仿宋" w:eastAsia="仿宋" w:cs="仿宋"/>
          <w:sz w:val="32"/>
        </w:rPr>
        <w:t>各分支机构：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" w:hAnsi="仿宋" w:eastAsia="仿宋" w:cs="仿宋"/>
          <w:sz w:val="32"/>
        </w:rPr>
      </w:pPr>
      <w:r>
        <w:rPr>
          <w:rFonts w:ascii="仿宋" w:hAnsi="仿宋" w:eastAsia="仿宋" w:cs="仿宋"/>
          <w:sz w:val="32"/>
        </w:rPr>
        <w:t>我司收到上海证券交易所的《交易监管提示函》，根据要求，需向客户提示交易证券</w:t>
      </w:r>
      <w:r>
        <w:rPr>
          <w:rFonts w:ascii="仿宋" w:hAnsi="仿宋" w:eastAsia="仿宋" w:cs="仿宋"/>
          <w:sz w:val="32"/>
          <w:lang w:val="en-US" w:eastAsia="zh-CN"/>
        </w:rPr>
        <w:t>“</w:t>
      </w:r>
      <w:r>
        <w:rPr>
          <w:rFonts w:hint="eastAsia" w:ascii="仿宋" w:hAnsi="仿宋" w:eastAsia="仿宋" w:cs="仿宋"/>
          <w:sz w:val="32"/>
          <w:lang w:val="en-US" w:eastAsia="zh-CN"/>
        </w:rPr>
        <w:t>退市卓朗（600225）</w:t>
      </w:r>
      <w:r>
        <w:rPr>
          <w:rFonts w:hint="eastAsia" w:ascii="仿宋" w:hAnsi="仿宋" w:eastAsia="仿宋" w:cs="仿宋"/>
          <w:sz w:val="32"/>
          <w:lang w:eastAsia="zh-CN"/>
        </w:rPr>
        <w:t>”</w:t>
      </w:r>
      <w:r>
        <w:rPr>
          <w:rFonts w:ascii="仿宋" w:hAnsi="仿宋" w:eastAsia="仿宋" w:cs="仿宋"/>
          <w:sz w:val="32"/>
        </w:rPr>
        <w:t>相关风险，督促客户理性投资，审慎交易。现对具体工作要求如下：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" w:hAnsi="仿宋" w:eastAsia="仿宋" w:cs="仿宋"/>
          <w:sz w:val="32"/>
        </w:rPr>
      </w:pPr>
      <w:r>
        <w:rPr>
          <w:rFonts w:ascii="仿宋" w:hAnsi="仿宋" w:eastAsia="仿宋" w:cs="仿宋"/>
          <w:sz w:val="32"/>
        </w:rPr>
        <w:t>一、通过集中交易柜台系统查询分支机构近期（202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20</w:t>
      </w:r>
      <w:r>
        <w:rPr>
          <w:rFonts w:ascii="仿宋" w:hAnsi="仿宋" w:eastAsia="仿宋" w:cs="仿宋"/>
          <w:sz w:val="32"/>
        </w:rPr>
        <w:t>日至202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20</w:t>
      </w:r>
      <w:r>
        <w:rPr>
          <w:rFonts w:ascii="仿宋" w:hAnsi="仿宋" w:eastAsia="仿宋" w:cs="仿宋"/>
          <w:sz w:val="32"/>
        </w:rPr>
        <w:t>日）交易以及持有证券</w:t>
      </w:r>
      <w:r>
        <w:rPr>
          <w:rFonts w:ascii="仿宋" w:hAnsi="仿宋" w:eastAsia="仿宋" w:cs="仿宋"/>
          <w:sz w:val="32"/>
          <w:lang w:val="en-US" w:eastAsia="zh-CN"/>
        </w:rPr>
        <w:t>“</w:t>
      </w:r>
      <w:r>
        <w:rPr>
          <w:rFonts w:hint="eastAsia" w:ascii="仿宋" w:hAnsi="仿宋" w:eastAsia="仿宋" w:cs="仿宋"/>
          <w:sz w:val="32"/>
          <w:lang w:val="en-US" w:eastAsia="zh-CN"/>
        </w:rPr>
        <w:t>退市卓朗（600225）</w:t>
      </w:r>
      <w:r>
        <w:rPr>
          <w:rFonts w:hint="eastAsia" w:ascii="仿宋" w:hAnsi="仿宋" w:eastAsia="仿宋" w:cs="仿宋"/>
          <w:sz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lang w:val="en-US" w:eastAsia="zh-CN"/>
        </w:rPr>
        <w:t>的</w:t>
      </w:r>
      <w:r>
        <w:rPr>
          <w:rFonts w:ascii="仿宋" w:hAnsi="仿宋" w:eastAsia="仿宋" w:cs="仿宋"/>
          <w:sz w:val="32"/>
        </w:rPr>
        <w:t>投资者，</w:t>
      </w:r>
      <w:r>
        <w:rPr>
          <w:rFonts w:hint="eastAsia" w:ascii="仿宋" w:hAnsi="仿宋" w:eastAsia="仿宋" w:cs="仿宋"/>
          <w:sz w:val="32"/>
          <w:lang w:val="en-US" w:eastAsia="zh-CN"/>
        </w:rPr>
        <w:t>并于2025年2月21日早上9点15分前</w:t>
      </w:r>
      <w:r>
        <w:rPr>
          <w:rFonts w:ascii="仿宋" w:hAnsi="仿宋" w:eastAsia="仿宋" w:cs="仿宋"/>
          <w:sz w:val="32"/>
        </w:rPr>
        <w:t>通过现场、发送短信、微信等方式及时做好客户交易风险提示工作（具体内容请见附件1）；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仿宋" w:hAnsi="仿宋" w:eastAsia="仿宋" w:cs="仿宋"/>
          <w:sz w:val="32"/>
        </w:rPr>
      </w:pPr>
      <w:r>
        <w:rPr>
          <w:rFonts w:ascii="仿宋" w:hAnsi="仿宋" w:eastAsia="仿宋" w:cs="仿宋"/>
          <w:sz w:val="32"/>
        </w:rPr>
        <w:t>二、密切关注客户交易证券</w:t>
      </w:r>
      <w:r>
        <w:rPr>
          <w:rFonts w:ascii="仿宋" w:hAnsi="仿宋" w:eastAsia="仿宋" w:cs="仿宋"/>
          <w:sz w:val="32"/>
          <w:lang w:val="en-US" w:eastAsia="zh-CN"/>
        </w:rPr>
        <w:t>“</w:t>
      </w:r>
      <w:r>
        <w:rPr>
          <w:rFonts w:hint="eastAsia" w:ascii="仿宋" w:hAnsi="仿宋" w:eastAsia="仿宋" w:cs="仿宋"/>
          <w:sz w:val="32"/>
          <w:lang w:val="en-US" w:eastAsia="zh-CN"/>
        </w:rPr>
        <w:t>退市卓朗（600225）</w:t>
      </w:r>
      <w:r>
        <w:rPr>
          <w:rFonts w:hint="eastAsia" w:ascii="仿宋" w:hAnsi="仿宋" w:eastAsia="仿宋" w:cs="仿宋"/>
          <w:sz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lang w:val="en-US" w:eastAsia="zh-CN"/>
        </w:rPr>
        <w:t>的</w:t>
      </w:r>
      <w:r>
        <w:rPr>
          <w:rFonts w:ascii="仿宋" w:hAnsi="仿宋" w:eastAsia="仿宋" w:cs="仿宋"/>
          <w:sz w:val="32"/>
        </w:rPr>
        <w:t>情况，加强以上证券的交易监控，及时发现、制止可能存在的异常交易行为。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5"/>
        <w:jc w:val="both"/>
        <w:textAlignment w:val="auto"/>
        <w:rPr>
          <w:rFonts w:ascii="仿宋" w:hAnsi="仿宋" w:eastAsia="仿宋" w:cs="仿宋"/>
          <w:sz w:val="32"/>
        </w:rPr>
      </w:pPr>
      <w:r>
        <w:rPr>
          <w:rFonts w:ascii="仿宋" w:hAnsi="仿宋" w:eastAsia="仿宋" w:cs="仿宋"/>
          <w:sz w:val="32"/>
        </w:rPr>
        <w:t>请分支机构务必做好客户解释和沟通工作，做好以上工作的相关留痕。</w:t>
      </w:r>
    </w:p>
    <w:p>
      <w:pPr>
        <w:ind w:firstLine="6080"/>
        <w:rPr>
          <w:rFonts w:ascii="仿宋" w:hAnsi="仿宋" w:eastAsia="仿宋" w:cs="仿宋"/>
          <w:sz w:val="32"/>
        </w:rPr>
      </w:pPr>
      <w:r>
        <w:rPr>
          <w:rFonts w:ascii="仿宋" w:hAnsi="仿宋" w:eastAsia="仿宋" w:cs="仿宋"/>
          <w:sz w:val="32"/>
        </w:rPr>
        <w:t>经纪业务部</w:t>
      </w:r>
    </w:p>
    <w:p>
      <w:pPr>
        <w:ind w:firstLine="5440" w:firstLineChars="1700"/>
        <w:rPr>
          <w:rFonts w:ascii="仿宋" w:hAnsi="仿宋" w:eastAsia="仿宋" w:cs="仿宋"/>
          <w:sz w:val="32"/>
        </w:rPr>
      </w:pPr>
      <w:r>
        <w:rPr>
          <w:rFonts w:ascii="仿宋" w:hAnsi="仿宋" w:eastAsia="仿宋" w:cs="仿宋"/>
          <w:sz w:val="32"/>
        </w:rPr>
        <w:t>202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20</w:t>
      </w:r>
      <w:r>
        <w:rPr>
          <w:rFonts w:ascii="仿宋" w:hAnsi="仿宋" w:eastAsia="仿宋" w:cs="仿宋"/>
          <w:sz w:val="32"/>
        </w:rPr>
        <w:t>日</w:t>
      </w:r>
    </w:p>
    <w:p>
      <w:pPr>
        <w:spacing w:before="100" w:after="100"/>
        <w:jc w:val="left"/>
        <w:rPr>
          <w:rFonts w:ascii="仿宋" w:hAnsi="仿宋" w:eastAsia="仿宋" w:cs="仿宋"/>
          <w:b/>
          <w:sz w:val="32"/>
        </w:rPr>
      </w:pPr>
    </w:p>
    <w:p>
      <w:pPr>
        <w:spacing w:before="100" w:after="100"/>
        <w:jc w:val="left"/>
        <w:rPr>
          <w:rFonts w:ascii="仿宋" w:hAnsi="仿宋" w:eastAsia="仿宋" w:cs="仿宋"/>
          <w:b/>
          <w:sz w:val="32"/>
        </w:rPr>
      </w:pPr>
    </w:p>
    <w:p>
      <w:pPr>
        <w:spacing w:before="100" w:after="100"/>
        <w:jc w:val="left"/>
        <w:rPr>
          <w:rFonts w:ascii="仿宋" w:hAnsi="仿宋" w:eastAsia="仿宋" w:cs="仿宋"/>
          <w:b/>
          <w:sz w:val="32"/>
        </w:rPr>
      </w:pPr>
    </w:p>
    <w:p>
      <w:pPr>
        <w:spacing w:before="100" w:after="100"/>
        <w:jc w:val="left"/>
        <w:rPr>
          <w:rFonts w:ascii="仿宋" w:hAnsi="仿宋" w:eastAsia="仿宋" w:cs="仿宋"/>
          <w:b/>
          <w:sz w:val="32"/>
        </w:rPr>
      </w:pPr>
      <w:r>
        <w:rPr>
          <w:rFonts w:ascii="仿宋" w:hAnsi="仿宋" w:eastAsia="仿宋" w:cs="仿宋"/>
          <w:b/>
          <w:sz w:val="32"/>
        </w:rPr>
        <w:t>附件1：</w:t>
      </w:r>
    </w:p>
    <w:p>
      <w:pPr>
        <w:keepNext w:val="0"/>
        <w:keepLines w:val="0"/>
        <w:widowControl/>
        <w:suppressLineNumbers w:val="0"/>
        <w:ind w:firstLine="643" w:firstLineChars="200"/>
        <w:jc w:val="center"/>
        <w:rPr>
          <w:rFonts w:ascii="仿宋_GB2312" w:hAnsi="仿宋_GB2312" w:eastAsia="仿宋_GB2312" w:cs="仿宋_GB2312"/>
          <w:color w:val="000000"/>
          <w:sz w:val="32"/>
        </w:rPr>
      </w:pPr>
      <w:r>
        <w:rPr>
          <w:rFonts w:ascii="仿宋" w:hAnsi="仿宋" w:eastAsia="仿宋" w:cs="仿宋"/>
          <w:b/>
          <w:sz w:val="32"/>
        </w:rPr>
        <w:t>关于</w:t>
      </w:r>
      <w:r>
        <w:rPr>
          <w:rFonts w:ascii="仿宋" w:hAnsi="仿宋" w:eastAsia="仿宋" w:cs="仿宋"/>
          <w:b/>
          <w:bCs/>
          <w:sz w:val="32"/>
          <w:lang w:val="en-US" w:eastAsia="zh-CN"/>
        </w:rPr>
        <w:t>“</w:t>
      </w: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>退市卓朗（600225）</w:t>
      </w:r>
      <w:r>
        <w:rPr>
          <w:rFonts w:hint="eastAsia" w:ascii="仿宋" w:hAnsi="仿宋" w:eastAsia="仿宋" w:cs="仿宋"/>
          <w:b/>
          <w:bCs/>
          <w:sz w:val="32"/>
          <w:lang w:eastAsia="zh-CN"/>
        </w:rPr>
        <w:t>”</w:t>
      </w:r>
      <w:r>
        <w:rPr>
          <w:rFonts w:ascii="仿宋" w:hAnsi="仿宋" w:eastAsia="仿宋" w:cs="仿宋"/>
          <w:b/>
          <w:bCs/>
          <w:sz w:val="32"/>
        </w:rPr>
        <w:t>证券交易</w:t>
      </w:r>
      <w:r>
        <w:rPr>
          <w:rFonts w:ascii="仿宋" w:hAnsi="仿宋" w:eastAsia="仿宋" w:cs="仿宋"/>
          <w:b/>
          <w:sz w:val="32"/>
        </w:rPr>
        <w:t>的风险提示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sz w:val="32"/>
          <w:lang w:val="en-US" w:eastAsia="zh-CN"/>
        </w:rPr>
      </w:pPr>
      <w:r>
        <w:rPr>
          <w:rFonts w:hint="default" w:ascii="仿宋" w:hAnsi="仿宋" w:eastAsia="仿宋" w:cs="仿宋"/>
          <w:sz w:val="32"/>
          <w:lang w:val="en-US" w:eastAsia="zh-CN"/>
        </w:rPr>
        <w:t>尊敬的投资者：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lang w:val="en-US" w:eastAsia="zh-CN"/>
        </w:rPr>
      </w:pPr>
      <w:r>
        <w:rPr>
          <w:rFonts w:ascii="仿宋" w:hAnsi="仿宋" w:eastAsia="仿宋" w:cs="仿宋"/>
          <w:sz w:val="32"/>
          <w:lang w:val="en-US" w:eastAsia="zh-CN"/>
        </w:rPr>
        <w:t>“</w:t>
      </w:r>
      <w:r>
        <w:rPr>
          <w:rFonts w:hint="eastAsia" w:ascii="仿宋" w:hAnsi="仿宋" w:eastAsia="仿宋" w:cs="仿宋"/>
          <w:sz w:val="32"/>
          <w:lang w:val="en-US" w:eastAsia="zh-CN"/>
        </w:rPr>
        <w:t>退市卓朗（600225）</w:t>
      </w:r>
      <w:r>
        <w:rPr>
          <w:rFonts w:hint="eastAsia" w:ascii="仿宋" w:hAnsi="仿宋" w:eastAsia="仿宋" w:cs="仿宋"/>
          <w:sz w:val="32"/>
          <w:lang w:eastAsia="zh-CN"/>
        </w:rPr>
        <w:t>”多次发布公司股票进入退市整理期交易的风险提示公告。上述公告明确称，公司股票进入退市整理期的起始日为2025年2月7日，退市整理期为15个交易日。公司股票在退市整理期届满后5个交易日内，上海证券交易所将对公司股票予以摘牌，公司股票终止上市。敬请广大投资者理性投资，注意投资风险。</w:t>
      </w:r>
      <w:r>
        <w:rPr>
          <w:rFonts w:hint="eastAsia" w:ascii="仿宋" w:hAnsi="仿宋" w:eastAsia="仿宋" w:cs="仿宋"/>
          <w:sz w:val="32"/>
          <w:lang w:val="en-US" w:eastAsia="zh-CN"/>
        </w:rPr>
        <w:t>2025年2月20日</w:t>
      </w:r>
      <w:r>
        <w:rPr>
          <w:rFonts w:hint="eastAsia" w:ascii="仿宋" w:hAnsi="仿宋" w:eastAsia="仿宋" w:cs="仿宋"/>
          <w:sz w:val="32"/>
          <w:lang w:eastAsia="zh-CN"/>
        </w:rPr>
        <w:t>，公司股价涨幅较大，触及特别严重情形。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我司再次提醒</w:t>
      </w:r>
      <w:r>
        <w:rPr>
          <w:rFonts w:ascii="仿宋_GB2312" w:hAnsi="仿宋_GB2312" w:eastAsia="仿宋_GB2312" w:cs="仿宋_GB2312"/>
          <w:color w:val="000000"/>
          <w:sz w:val="32"/>
        </w:rPr>
        <w:t>投资者持续关注以上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证券</w:t>
      </w:r>
      <w:r>
        <w:rPr>
          <w:rFonts w:ascii="仿宋_GB2312" w:hAnsi="仿宋_GB2312" w:eastAsia="仿宋_GB2312" w:cs="仿宋_GB2312"/>
          <w:color w:val="000000"/>
          <w:sz w:val="32"/>
        </w:rPr>
        <w:t>交易风险，审慎做出投资决策，谨慎、合规参与交易</w:t>
      </w:r>
      <w:r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  <w:t>。</w:t>
      </w:r>
      <w:r>
        <w:rPr>
          <w:rFonts w:ascii="仿宋_GB2312" w:hAnsi="仿宋_GB2312" w:eastAsia="仿宋_GB2312" w:cs="仿宋_GB2312"/>
          <w:color w:val="000000"/>
          <w:sz w:val="32"/>
        </w:rPr>
        <w:t>上海证券交易所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将对上述证券上的异常交易行为进行从严认定，</w:t>
      </w:r>
      <w:r>
        <w:rPr>
          <w:rFonts w:ascii="仿宋_GB2312" w:hAnsi="仿宋_GB2312" w:eastAsia="仿宋_GB2312" w:cs="仿宋_GB2312"/>
          <w:color w:val="000000"/>
          <w:sz w:val="32"/>
        </w:rPr>
        <w:t>如投资者因参与以上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证券</w:t>
      </w:r>
      <w:r>
        <w:rPr>
          <w:rFonts w:ascii="仿宋_GB2312" w:hAnsi="仿宋_GB2312" w:eastAsia="仿宋_GB2312" w:cs="仿宋_GB2312"/>
          <w:color w:val="000000"/>
          <w:sz w:val="32"/>
        </w:rPr>
        <w:t>交易发生异常交易行为，上海证券交易所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将视情况从重采取列为重点监控账户、暂停投资者账户交易、限制投资者账户交易等自律管理措施。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</w:rPr>
      </w:pPr>
      <w:r>
        <w:rPr>
          <w:rFonts w:ascii="仿宋_GB2312" w:hAnsi="仿宋_GB2312" w:eastAsia="仿宋_GB2312" w:cs="仿宋_GB2312"/>
          <w:color w:val="000000"/>
          <w:sz w:val="32"/>
        </w:rPr>
        <w:t>川财证券有限责任公司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</w:rPr>
      </w:pPr>
      <w:r>
        <w:rPr>
          <w:rFonts w:ascii="仿宋_GB2312" w:hAnsi="仿宋_GB2312" w:eastAsia="仿宋_GB2312" w:cs="仿宋_GB2312"/>
          <w:color w:val="000000"/>
          <w:sz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5</w:t>
      </w:r>
      <w:r>
        <w:rPr>
          <w:rFonts w:ascii="仿宋_GB2312" w:hAnsi="仿宋_GB2312" w:eastAsia="仿宋_GB2312" w:cs="仿宋_GB2312"/>
          <w:color w:val="000000"/>
          <w:sz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2</w:t>
      </w:r>
      <w:r>
        <w:rPr>
          <w:rFonts w:ascii="仿宋_GB2312" w:hAnsi="仿宋_GB2312" w:eastAsia="仿宋_GB2312" w:cs="仿宋_GB2312"/>
          <w:color w:val="000000"/>
          <w:sz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12</w:t>
      </w:r>
      <w:r>
        <w:rPr>
          <w:rFonts w:ascii="仿宋_GB2312" w:hAnsi="仿宋_GB2312" w:eastAsia="仿宋_GB2312" w:cs="仿宋_GB2312"/>
          <w:color w:val="000000"/>
          <w:sz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_GB2312" w:hAnsi="仿宋_GB2312" w:eastAsia="仿宋_GB2312" w:cs="仿宋_GB2312"/>
          <w:b/>
          <w:color w:val="000000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_GB2312" w:hAnsi="仿宋_GB2312" w:eastAsia="仿宋_GB2312" w:cs="仿宋_GB2312"/>
          <w:b/>
          <w:color w:val="000000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_GB2312" w:hAnsi="仿宋_GB2312" w:eastAsia="仿宋_GB2312" w:cs="仿宋_GB2312"/>
          <w:b/>
          <w:color w:val="000000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_GB2312" w:hAnsi="仿宋_GB2312" w:eastAsia="仿宋_GB2312" w:cs="仿宋_GB2312"/>
          <w:b/>
          <w:color w:val="000000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_GB2312" w:hAnsi="仿宋_GB2312" w:eastAsia="仿宋_GB2312" w:cs="仿宋_GB2312"/>
          <w:b/>
          <w:color w:val="000000"/>
          <w:sz w:val="32"/>
        </w:rPr>
      </w:pPr>
      <w:r>
        <w:rPr>
          <w:rFonts w:ascii="仿宋_GB2312" w:hAnsi="仿宋_GB2312" w:eastAsia="仿宋_GB2312" w:cs="仿宋_GB2312"/>
          <w:b/>
          <w:color w:val="000000"/>
          <w:sz w:val="32"/>
        </w:rPr>
        <w:t>短信：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_GB2312" w:hAnsi="仿宋_GB2312" w:eastAsia="仿宋_GB2312" w:cs="仿宋_GB2312"/>
          <w:color w:val="000000"/>
          <w:sz w:val="32"/>
        </w:rPr>
      </w:pPr>
      <w:r>
        <w:rPr>
          <w:rFonts w:ascii="仿宋_GB2312" w:hAnsi="仿宋_GB2312" w:eastAsia="仿宋_GB2312" w:cs="仿宋_GB2312"/>
          <w:color w:val="000000"/>
          <w:sz w:val="32"/>
        </w:rPr>
        <w:t>尊敬的投资者：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lang w:val="en-US" w:eastAsia="zh-CN"/>
        </w:rPr>
      </w:pPr>
      <w:r>
        <w:rPr>
          <w:rFonts w:ascii="仿宋" w:hAnsi="仿宋" w:eastAsia="仿宋" w:cs="仿宋"/>
          <w:sz w:val="32"/>
          <w:lang w:val="en-US" w:eastAsia="zh-CN"/>
        </w:rPr>
        <w:t>“</w:t>
      </w:r>
      <w:r>
        <w:rPr>
          <w:rFonts w:hint="eastAsia" w:ascii="仿宋" w:hAnsi="仿宋" w:eastAsia="仿宋" w:cs="仿宋"/>
          <w:sz w:val="32"/>
          <w:lang w:val="en-US" w:eastAsia="zh-CN"/>
        </w:rPr>
        <w:t>退市卓朗（600225）</w:t>
      </w:r>
      <w:r>
        <w:rPr>
          <w:rFonts w:hint="eastAsia" w:ascii="仿宋" w:hAnsi="仿宋" w:eastAsia="仿宋" w:cs="仿宋"/>
          <w:sz w:val="32"/>
          <w:lang w:eastAsia="zh-CN"/>
        </w:rPr>
        <w:t>”多次发布公司股票进入退市整理期交易的风险提示公告。上述公告明确称，公司股票进入退市整理期的起始日为2025年2月7日，退市整理期为15个交易日。公司股票在退市整理期届满后5个交易日内，上海证券交易所将对公司股票予以摘牌，公司股票终止上市。敬请广大投资者理性投资，注意投资风险。</w:t>
      </w:r>
      <w:r>
        <w:rPr>
          <w:rFonts w:hint="eastAsia" w:ascii="仿宋" w:hAnsi="仿宋" w:eastAsia="仿宋" w:cs="仿宋"/>
          <w:sz w:val="32"/>
          <w:lang w:val="en-US" w:eastAsia="zh-CN"/>
        </w:rPr>
        <w:t>2025年2月20日</w:t>
      </w:r>
      <w:r>
        <w:rPr>
          <w:rFonts w:hint="eastAsia" w:ascii="仿宋" w:hAnsi="仿宋" w:eastAsia="仿宋" w:cs="仿宋"/>
          <w:sz w:val="32"/>
          <w:lang w:eastAsia="zh-CN"/>
        </w:rPr>
        <w:t>，公司股价涨幅较大，触及特别严重情形。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我司再次提醒</w:t>
      </w:r>
      <w:r>
        <w:rPr>
          <w:rFonts w:hint="default" w:ascii="仿宋" w:hAnsi="仿宋" w:eastAsia="仿宋" w:cs="仿宋"/>
          <w:b w:val="0"/>
          <w:bCs w:val="0"/>
          <w:sz w:val="32"/>
          <w:lang w:val="en-US" w:eastAsia="zh-CN"/>
        </w:rPr>
        <w:t>投资者上海证券交易所</w:t>
      </w: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将对以上证券上的异常交易行为进行从严认定，</w:t>
      </w:r>
      <w:r>
        <w:rPr>
          <w:rFonts w:hint="default" w:ascii="仿宋" w:hAnsi="仿宋" w:eastAsia="仿宋" w:cs="仿宋"/>
          <w:b w:val="0"/>
          <w:bCs w:val="0"/>
          <w:sz w:val="32"/>
          <w:lang w:val="en-US" w:eastAsia="zh-CN"/>
        </w:rPr>
        <w:t>如投资者因参与以上</w:t>
      </w: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证券</w:t>
      </w:r>
      <w:r>
        <w:rPr>
          <w:rFonts w:hint="default" w:ascii="仿宋" w:hAnsi="仿宋" w:eastAsia="仿宋" w:cs="仿宋"/>
          <w:b w:val="0"/>
          <w:bCs w:val="0"/>
          <w:sz w:val="32"/>
          <w:lang w:val="en-US" w:eastAsia="zh-CN"/>
        </w:rPr>
        <w:t>交易发生异常交易行为，上海证券交易所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将视情况从重采取列为重点监控账户、暂停投资者账户交易、限制投资者账出好户交易等自律管理措施。</w:t>
      </w:r>
      <w:r>
        <w:rPr>
          <w:rFonts w:hint="default" w:ascii="仿宋" w:hAnsi="仿宋" w:eastAsia="仿宋" w:cs="仿宋"/>
          <w:b w:val="0"/>
          <w:bCs w:val="0"/>
          <w:sz w:val="32"/>
          <w:highlight w:val="yellow"/>
          <w:lang w:val="en-US" w:eastAsia="zh-CN"/>
        </w:rPr>
        <w:t>拒收请回复R </w:t>
      </w:r>
      <w:r>
        <w:rPr>
          <w:rFonts w:hint="eastAsia" w:ascii="仿宋" w:hAnsi="仿宋" w:eastAsia="仿宋" w:cs="仿宋"/>
          <w:b w:val="0"/>
          <w:bCs w:val="0"/>
          <w:sz w:val="32"/>
          <w:highlight w:val="yellow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_GB2312" w:hAnsi="仿宋_GB2312" w:eastAsia="仿宋_GB2312" w:cs="仿宋_GB2312"/>
          <w:color w:val="000000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_GB2312" w:hAnsi="仿宋_GB2312" w:eastAsia="仿宋_GB2312" w:cs="仿宋_GB2312"/>
          <w:color w:val="000000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lang w:val="en-US" w:eastAsia="zh-CN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hd w:val="clear" w:color="auto" w:fill="FFFF00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hd w:val="clear" w:color="auto" w:fill="FFFF00"/>
        </w:rPr>
      </w:pPr>
      <w:r>
        <w:rPr>
          <w:rFonts w:ascii="仿宋_GB2312" w:hAnsi="仿宋_GB2312" w:eastAsia="仿宋_GB2312" w:cs="仿宋_GB2312"/>
          <w:color w:val="000000"/>
          <w:sz w:val="32"/>
          <w:shd w:val="clear" w:color="auto" w:fill="FFFF00"/>
        </w:rPr>
        <w:t>注：分支机构发送短信，最后一段请务必一起发送，不能省略。</w:t>
      </w:r>
    </w:p>
    <w:sectPr>
      <w:pgSz w:w="11906" w:h="16838"/>
      <w:pgMar w:top="1327" w:right="1746" w:bottom="1213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Q1ODI1MTM1ZmNjN2VmNDljODMxMjMxNjNkMTZkYzUifQ=="/>
  </w:docVars>
  <w:rsids>
    <w:rsidRoot w:val="0066687D"/>
    <w:rsid w:val="001A64C4"/>
    <w:rsid w:val="0044605A"/>
    <w:rsid w:val="0066687D"/>
    <w:rsid w:val="00DF3269"/>
    <w:rsid w:val="00E13486"/>
    <w:rsid w:val="00E32D5A"/>
    <w:rsid w:val="01390BCC"/>
    <w:rsid w:val="02AE55E9"/>
    <w:rsid w:val="02C40969"/>
    <w:rsid w:val="04D330E5"/>
    <w:rsid w:val="04DB1000"/>
    <w:rsid w:val="06093854"/>
    <w:rsid w:val="07D36D41"/>
    <w:rsid w:val="09CF031F"/>
    <w:rsid w:val="0A053D41"/>
    <w:rsid w:val="0B1D5FAC"/>
    <w:rsid w:val="0BCA3EB8"/>
    <w:rsid w:val="0BD24794"/>
    <w:rsid w:val="0C2F1549"/>
    <w:rsid w:val="0C312D65"/>
    <w:rsid w:val="0C7B653C"/>
    <w:rsid w:val="0D4252AC"/>
    <w:rsid w:val="0E19425F"/>
    <w:rsid w:val="0E9D7992"/>
    <w:rsid w:val="0F930041"/>
    <w:rsid w:val="102E02B3"/>
    <w:rsid w:val="10552596"/>
    <w:rsid w:val="1065378B"/>
    <w:rsid w:val="10BB33AB"/>
    <w:rsid w:val="123634FC"/>
    <w:rsid w:val="1341659F"/>
    <w:rsid w:val="135E2714"/>
    <w:rsid w:val="140B289C"/>
    <w:rsid w:val="143C4803"/>
    <w:rsid w:val="14497745"/>
    <w:rsid w:val="14B90104"/>
    <w:rsid w:val="15AE7982"/>
    <w:rsid w:val="16CF0AE4"/>
    <w:rsid w:val="1759391E"/>
    <w:rsid w:val="19926BDB"/>
    <w:rsid w:val="1A137AB0"/>
    <w:rsid w:val="1C332060"/>
    <w:rsid w:val="1C517431"/>
    <w:rsid w:val="1C7E2D44"/>
    <w:rsid w:val="1D232A04"/>
    <w:rsid w:val="1F52137F"/>
    <w:rsid w:val="20F326ED"/>
    <w:rsid w:val="20FF5536"/>
    <w:rsid w:val="2309269C"/>
    <w:rsid w:val="238D507B"/>
    <w:rsid w:val="23D36806"/>
    <w:rsid w:val="23E25CC3"/>
    <w:rsid w:val="24BE3012"/>
    <w:rsid w:val="24D57FE7"/>
    <w:rsid w:val="24EA02AB"/>
    <w:rsid w:val="26401C1A"/>
    <w:rsid w:val="26487037"/>
    <w:rsid w:val="283A22AC"/>
    <w:rsid w:val="2A677CA8"/>
    <w:rsid w:val="2A7228D5"/>
    <w:rsid w:val="2BEA0B91"/>
    <w:rsid w:val="2C6941AB"/>
    <w:rsid w:val="2CAF6062"/>
    <w:rsid w:val="2DC378EB"/>
    <w:rsid w:val="2E36630F"/>
    <w:rsid w:val="2EFE507F"/>
    <w:rsid w:val="30226B4B"/>
    <w:rsid w:val="305B3E0B"/>
    <w:rsid w:val="30F718C6"/>
    <w:rsid w:val="32541E1F"/>
    <w:rsid w:val="34111EB0"/>
    <w:rsid w:val="36206DA2"/>
    <w:rsid w:val="36A672B4"/>
    <w:rsid w:val="38D46E50"/>
    <w:rsid w:val="38F96569"/>
    <w:rsid w:val="390908A8"/>
    <w:rsid w:val="394730FD"/>
    <w:rsid w:val="3A6A6917"/>
    <w:rsid w:val="3AD44EE6"/>
    <w:rsid w:val="3AE739C0"/>
    <w:rsid w:val="3BFD1909"/>
    <w:rsid w:val="3C4B567C"/>
    <w:rsid w:val="3E502AD5"/>
    <w:rsid w:val="3E5B006E"/>
    <w:rsid w:val="3F051B12"/>
    <w:rsid w:val="403601B0"/>
    <w:rsid w:val="404E1296"/>
    <w:rsid w:val="415D5C35"/>
    <w:rsid w:val="42771B26"/>
    <w:rsid w:val="43374264"/>
    <w:rsid w:val="433A59D3"/>
    <w:rsid w:val="438C0A54"/>
    <w:rsid w:val="43A810A5"/>
    <w:rsid w:val="43D85C58"/>
    <w:rsid w:val="447A4D50"/>
    <w:rsid w:val="453F3AD1"/>
    <w:rsid w:val="45AD4CB1"/>
    <w:rsid w:val="47321912"/>
    <w:rsid w:val="473F7B8B"/>
    <w:rsid w:val="47484C91"/>
    <w:rsid w:val="48084421"/>
    <w:rsid w:val="48E67326"/>
    <w:rsid w:val="49920446"/>
    <w:rsid w:val="4C63256E"/>
    <w:rsid w:val="4CAC181F"/>
    <w:rsid w:val="4D171BCA"/>
    <w:rsid w:val="4E1F4272"/>
    <w:rsid w:val="4EFD45B3"/>
    <w:rsid w:val="4FB629B4"/>
    <w:rsid w:val="502A7680"/>
    <w:rsid w:val="51484BEC"/>
    <w:rsid w:val="52391824"/>
    <w:rsid w:val="52754180"/>
    <w:rsid w:val="52FA000B"/>
    <w:rsid w:val="54224ABC"/>
    <w:rsid w:val="54BA6AA3"/>
    <w:rsid w:val="556F050A"/>
    <w:rsid w:val="571D1C3F"/>
    <w:rsid w:val="573E06A1"/>
    <w:rsid w:val="578E7A46"/>
    <w:rsid w:val="5A6333E5"/>
    <w:rsid w:val="5AFF7905"/>
    <w:rsid w:val="5BA275B2"/>
    <w:rsid w:val="5C1657E6"/>
    <w:rsid w:val="5C645C72"/>
    <w:rsid w:val="5D6972B8"/>
    <w:rsid w:val="5D743381"/>
    <w:rsid w:val="5E252522"/>
    <w:rsid w:val="612260FC"/>
    <w:rsid w:val="61BC71F9"/>
    <w:rsid w:val="6243768F"/>
    <w:rsid w:val="630261E5"/>
    <w:rsid w:val="69280027"/>
    <w:rsid w:val="6985618D"/>
    <w:rsid w:val="69C53AC8"/>
    <w:rsid w:val="6B656BBD"/>
    <w:rsid w:val="6CB30550"/>
    <w:rsid w:val="6CB95B66"/>
    <w:rsid w:val="6CF11E4B"/>
    <w:rsid w:val="6DD2526B"/>
    <w:rsid w:val="6EB15E5A"/>
    <w:rsid w:val="6F8D32DA"/>
    <w:rsid w:val="6FA0300D"/>
    <w:rsid w:val="705F0A8C"/>
    <w:rsid w:val="71883D59"/>
    <w:rsid w:val="71E132EF"/>
    <w:rsid w:val="74AE7C26"/>
    <w:rsid w:val="756C1BDF"/>
    <w:rsid w:val="75912BA9"/>
    <w:rsid w:val="75ED062E"/>
    <w:rsid w:val="75F714AD"/>
    <w:rsid w:val="760140DA"/>
    <w:rsid w:val="770F3D07"/>
    <w:rsid w:val="77AD276B"/>
    <w:rsid w:val="781036CE"/>
    <w:rsid w:val="784422DC"/>
    <w:rsid w:val="78514B85"/>
    <w:rsid w:val="79CE69C9"/>
    <w:rsid w:val="7A146AD1"/>
    <w:rsid w:val="7A5F6A2F"/>
    <w:rsid w:val="7B6B0973"/>
    <w:rsid w:val="7C136E36"/>
    <w:rsid w:val="7D364FB1"/>
    <w:rsid w:val="7ECD54A1"/>
    <w:rsid w:val="7F4E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848</Words>
  <Characters>910</Characters>
  <Lines>8</Lines>
  <Paragraphs>2</Paragraphs>
  <TotalTime>0</TotalTime>
  <ScaleCrop>false</ScaleCrop>
  <LinksUpToDate>false</LinksUpToDate>
  <CharactersWithSpaces>911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2023-12-02T10:22:00Z</dcterms:created>
  <dc:creator>86139</dc:creator>
  <cp:lastModifiedBy>admin</cp:lastModifiedBy>
  <dcterms:modified xsi:type="dcterms:W3CDTF">2025-02-20T10:37:36Z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90E9CC94324C44B4B0618FE1E09EED74_12</vt:lpwstr>
  </property>
  <property fmtid="{D5CDD505-2E9C-101B-9397-08002B2CF9AE}" pid="4" name="KSOTemplateDocerSaveRecord">
    <vt:lpwstr>eyJoZGlkIjoiOGQ1ODI1MTM1ZmNjN2VmNDljODMxMjMxNjNkMTZkYzUiLCJ1c2VySWQiOiI5MzgxNjA0MDMifQ==</vt:lpwstr>
  </property>
</Properties>
</file>