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15FC8" w14:textId="77777777" w:rsidR="0056774E" w:rsidRPr="00F2036B" w:rsidRDefault="00000000">
      <w:pPr>
        <w:spacing w:line="560" w:lineRule="exact"/>
        <w:jc w:val="center"/>
        <w:rPr>
          <w:rFonts w:ascii="宋体" w:eastAsia="宋体" w:hAnsi="宋体" w:cs="Times New Roman"/>
          <w:b/>
          <w:bCs/>
          <w:sz w:val="44"/>
          <w:szCs w:val="44"/>
        </w:rPr>
      </w:pPr>
      <w:r w:rsidRPr="00F2036B">
        <w:rPr>
          <w:rFonts w:ascii="宋体" w:eastAsia="宋体" w:hAnsi="宋体" w:cs="Times New Roman" w:hint="eastAsia"/>
          <w:b/>
          <w:bCs/>
          <w:sz w:val="44"/>
          <w:szCs w:val="44"/>
        </w:rPr>
        <w:t>北京证券交易所投资</w:t>
      </w:r>
      <w:r w:rsidRPr="00F2036B">
        <w:rPr>
          <w:rFonts w:ascii="宋体" w:eastAsia="宋体" w:hAnsi="宋体" w:cs="Times New Roman"/>
          <w:b/>
          <w:bCs/>
          <w:sz w:val="44"/>
          <w:szCs w:val="44"/>
        </w:rPr>
        <w:t>风险揭示书</w:t>
      </w:r>
    </w:p>
    <w:p w14:paraId="1D247125" w14:textId="77777777" w:rsidR="0056774E" w:rsidRDefault="0056774E">
      <w:pPr>
        <w:spacing w:line="560" w:lineRule="exact"/>
        <w:jc w:val="center"/>
        <w:rPr>
          <w:rFonts w:ascii="宋体" w:eastAsia="宋体" w:hAnsi="宋体"/>
          <w:sz w:val="44"/>
          <w:szCs w:val="44"/>
        </w:rPr>
      </w:pPr>
    </w:p>
    <w:p w14:paraId="1A156B17" w14:textId="77777777" w:rsidR="0056774E" w:rsidRPr="00F2036B" w:rsidRDefault="00000000" w:rsidP="00F2036B">
      <w:pPr>
        <w:spacing w:line="360" w:lineRule="auto"/>
        <w:rPr>
          <w:rFonts w:ascii="仿宋" w:eastAsia="仿宋" w:hAnsi="仿宋"/>
          <w:b/>
          <w:bCs/>
          <w:sz w:val="32"/>
          <w:szCs w:val="32"/>
        </w:rPr>
      </w:pPr>
      <w:r w:rsidRPr="00F2036B">
        <w:rPr>
          <w:rFonts w:ascii="仿宋" w:eastAsia="仿宋" w:hAnsi="仿宋"/>
          <w:b/>
          <w:bCs/>
          <w:sz w:val="32"/>
          <w:szCs w:val="32"/>
        </w:rPr>
        <w:t xml:space="preserve">尊敬的投资者： </w:t>
      </w:r>
    </w:p>
    <w:p w14:paraId="08B0CD0E" w14:textId="2F5620A1"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为了向您充分揭示北京证券交易所（以下简称</w:t>
      </w:r>
      <w:r>
        <w:rPr>
          <w:rFonts w:ascii="仿宋" w:eastAsia="仿宋" w:hAnsi="仿宋" w:hint="eastAsia"/>
          <w:sz w:val="32"/>
          <w:szCs w:val="32"/>
        </w:rPr>
        <w:t>“</w:t>
      </w:r>
      <w:r w:rsidRPr="00371DFC">
        <w:rPr>
          <w:rFonts w:ascii="仿宋" w:eastAsia="仿宋" w:hAnsi="仿宋" w:hint="eastAsia"/>
          <w:sz w:val="32"/>
          <w:szCs w:val="32"/>
        </w:rPr>
        <w:t>北交所</w:t>
      </w:r>
      <w:r>
        <w:rPr>
          <w:rFonts w:ascii="仿宋" w:eastAsia="仿宋" w:hAnsi="仿宋" w:hint="eastAsia"/>
          <w:sz w:val="32"/>
          <w:szCs w:val="32"/>
        </w:rPr>
        <w:t>”</w:t>
      </w:r>
      <w:r w:rsidRPr="00371DFC">
        <w:rPr>
          <w:rFonts w:ascii="仿宋" w:eastAsia="仿宋" w:hAnsi="仿宋" w:hint="eastAsia"/>
          <w:sz w:val="32"/>
          <w:szCs w:val="32"/>
        </w:rPr>
        <w:t>）股票交易相关风险，根据《北京证券交易所投资者适当性管理办法》的相关规定，本公司特向您提供《北京证券交易所投资风险揭示书》（以下简称《风险揭示书》），请您认真阅读全部内容后，再签署确认。</w:t>
      </w:r>
    </w:p>
    <w:p w14:paraId="4505C042" w14:textId="77B551DF"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一、北交所主要服务创新型中小企业，企业多处于成长期，规模可能偏小，往往具有依赖核心技术人员和供应商、客户集中度高、应对外部冲击能力较弱等特点，企业上市后的持续创新能力、收入及盈利水平等仍具有较大不确定性。</w:t>
      </w:r>
    </w:p>
    <w:p w14:paraId="24B609BC" w14:textId="545AD751"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二、北交所设置四套上市标准，其中允许未盈利企业上市。因此可能存在企业向不特定合格投资者公开发行股票并在北交所上市时尚未盈利、有累计未弥补亏损等情形，以及在上市后仍无法盈利、持续亏损、无法进行利润分配等情况。</w:t>
      </w:r>
    </w:p>
    <w:p w14:paraId="5291F3AB" w14:textId="49CFB28F"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三、北交所新股发行价格、发行时点、发行规模、发行节奏等坚持市场化导向。新股发行可以采用定价、询价、竞价三种方式，由发行人和主承销商协商确定。采用询价方式的，询价对象限定为在中国证券业协会注册、符合中国证券业协会规定条件并已开通北交所交易权限的网下投资者，不符合规定条件、未注册的个人投资者无法直接参与发行定价。</w:t>
      </w:r>
      <w:r w:rsidRPr="00371DFC">
        <w:rPr>
          <w:rFonts w:ascii="仿宋" w:eastAsia="仿宋" w:hAnsi="仿宋" w:hint="eastAsia"/>
          <w:sz w:val="32"/>
          <w:szCs w:val="32"/>
        </w:rPr>
        <w:lastRenderedPageBreak/>
        <w:t>同时，因北交所上市企业多聚焦行业细分领域，业绩受外部环境影响大，可比公司较少，传统估值方法可能不适用，上市后可能存在股价波动的风险。</w:t>
      </w:r>
    </w:p>
    <w:p w14:paraId="0E77022F" w14:textId="4001F60F"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四、发行人发行承销过程中，出现预计发行后总市值无法满足招股文件所</w:t>
      </w:r>
      <w:proofErr w:type="gramStart"/>
      <w:r w:rsidRPr="00371DFC">
        <w:rPr>
          <w:rFonts w:ascii="仿宋" w:eastAsia="仿宋" w:hAnsi="仿宋" w:hint="eastAsia"/>
          <w:sz w:val="32"/>
          <w:szCs w:val="32"/>
        </w:rPr>
        <w:t>选上市</w:t>
      </w:r>
      <w:proofErr w:type="gramEnd"/>
      <w:r w:rsidRPr="00371DFC">
        <w:rPr>
          <w:rFonts w:ascii="仿宋" w:eastAsia="仿宋" w:hAnsi="仿宋" w:hint="eastAsia"/>
          <w:sz w:val="32"/>
          <w:szCs w:val="32"/>
        </w:rPr>
        <w:t>标准的，将按规定中止发行。</w:t>
      </w:r>
    </w:p>
    <w:p w14:paraId="04254EED" w14:textId="6C411A3E"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五、投资者应关注北交所股票网上发行、回拨比例、申购单位、配售规则、投资风险特别公告发布等股票发行承销制度安排，在申购环节充分知悉相关风险。</w:t>
      </w:r>
    </w:p>
    <w:p w14:paraId="7D7CF2F6" w14:textId="3242EEB9"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六、公开发行股票并上市时，发行人和主承销商可以采用超额配售选择权，即存在超额配售选择权实施结束后，发行人增发股票的可能性。</w:t>
      </w:r>
    </w:p>
    <w:p w14:paraId="38D76682" w14:textId="4CCCEA8D"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七、投资者应关注北交所股票限售及减持的相关制度安排，充分知悉相关投资风险。</w:t>
      </w:r>
    </w:p>
    <w:p w14:paraId="62B868FE" w14:textId="43E1D822"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八、北交所股票可能因触及退市情形被终止上市。因触及交易类情形被终止上市的北交所股票，不进入退市整理期；因触及财务类、规范类及重大违法类情形被终止上市的，</w:t>
      </w:r>
      <w:r w:rsidRPr="00371DFC">
        <w:rPr>
          <w:rFonts w:ascii="仿宋" w:eastAsia="仿宋" w:hAnsi="仿宋"/>
          <w:sz w:val="32"/>
          <w:szCs w:val="32"/>
        </w:rPr>
        <w:t xml:space="preserve"> 进入退市整理期交易15个交</w:t>
      </w:r>
      <w:r w:rsidRPr="00371DFC">
        <w:rPr>
          <w:rFonts w:ascii="仿宋" w:eastAsia="仿宋" w:hAnsi="仿宋" w:hint="eastAsia"/>
          <w:sz w:val="32"/>
          <w:szCs w:val="32"/>
        </w:rPr>
        <w:t>易日，且首个交易日不设价格涨跌幅限制。投资者应当充分了解北交所退市制度及相关规定，密切关注北交所股票退市相关风险，及时从符合《证券法》规定的信息披露平台获取相关信息。</w:t>
      </w:r>
    </w:p>
    <w:p w14:paraId="39A16301" w14:textId="459BE413"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九、北交所允许上市公司存在表决权差异安排。根据此项安排，上市公司可能存在控制权相对集中，以及因每一特</w:t>
      </w:r>
      <w:r w:rsidRPr="00371DFC">
        <w:rPr>
          <w:rFonts w:ascii="仿宋" w:eastAsia="仿宋" w:hAnsi="仿宋" w:hint="eastAsia"/>
          <w:sz w:val="32"/>
          <w:szCs w:val="32"/>
        </w:rPr>
        <w:lastRenderedPageBreak/>
        <w:t>别表决权股份拥有的表决权数量大于每一普通股份拥有的表决权数量等情形，而使普通投资者的表决权利及对公司日常经营等事务的影响力受到限制。出现北交所上市规则及上市公司章程规定的情形时，特别表决权股份将按</w:t>
      </w:r>
      <w:r w:rsidRPr="00371DFC">
        <w:rPr>
          <w:rFonts w:ascii="仿宋" w:eastAsia="仿宋" w:hAnsi="仿宋"/>
          <w:sz w:val="32"/>
          <w:szCs w:val="32"/>
        </w:rPr>
        <w:t>1:1的比例转换为普通股份，股份</w:t>
      </w:r>
      <w:proofErr w:type="gramStart"/>
      <w:r w:rsidRPr="00371DFC">
        <w:rPr>
          <w:rFonts w:ascii="仿宋" w:eastAsia="仿宋" w:hAnsi="仿宋"/>
          <w:sz w:val="32"/>
          <w:szCs w:val="32"/>
        </w:rPr>
        <w:t>转换自</w:t>
      </w:r>
      <w:proofErr w:type="gramEnd"/>
      <w:r w:rsidRPr="00371DFC">
        <w:rPr>
          <w:rFonts w:ascii="仿宋" w:eastAsia="仿宋" w:hAnsi="仿宋"/>
          <w:sz w:val="32"/>
          <w:szCs w:val="32"/>
        </w:rPr>
        <w:t>相关情形发生时生效，并可</w:t>
      </w:r>
      <w:r w:rsidRPr="00371DFC">
        <w:rPr>
          <w:rFonts w:ascii="仿宋" w:eastAsia="仿宋" w:hAnsi="仿宋" w:hint="eastAsia"/>
          <w:sz w:val="32"/>
          <w:szCs w:val="32"/>
        </w:rPr>
        <w:t>能与相关股份转换登记时点存在差异。投资者需及时关注上市公司相关公告，以了解特别表决权股份变动事宜。</w:t>
      </w:r>
    </w:p>
    <w:p w14:paraId="1C739BE8" w14:textId="2EECB8B7"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十、</w:t>
      </w:r>
      <w:r w:rsidRPr="00371DFC">
        <w:rPr>
          <w:rFonts w:ascii="仿宋" w:eastAsia="仿宋" w:hAnsi="仿宋"/>
          <w:sz w:val="32"/>
          <w:szCs w:val="32"/>
        </w:rPr>
        <w:t>北交所股票上市首日不设涨跌幅限制，其后涨跌幅限制为30%，</w:t>
      </w:r>
      <w:r w:rsidRPr="00371DFC">
        <w:rPr>
          <w:rFonts w:ascii="仿宋" w:eastAsia="仿宋" w:hAnsi="仿宋" w:hint="eastAsia"/>
          <w:sz w:val="32"/>
          <w:szCs w:val="32"/>
        </w:rPr>
        <w:t>投资者应当关注可能产生的股价波动风险。</w:t>
      </w:r>
    </w:p>
    <w:p w14:paraId="5D488682" w14:textId="3753E70E"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十一、投资者应关注北交所股票交易的单笔申报数量、最小价格变动单位、有效申报价格范围等基本交易规则，避免产生无效申报。</w:t>
      </w:r>
    </w:p>
    <w:p w14:paraId="0722DFA4" w14:textId="28D3D922"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十二、北交所股票交易具有盘中临时停牌情形，设有异常波动股票核查制度，投资者应当关注与此相关的风险。</w:t>
      </w:r>
    </w:p>
    <w:p w14:paraId="7CB460A6" w14:textId="77777777" w:rsid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十三、北交所证券相关法律、行政法规、部门规章、规范性文件（以下简称法律法规）和交易所业务规则，可能根据公开征求意见结果和市场情况进行修改，或者由相关部门制定新的法律法规和业务规则，投资者应当及时予以关注和了解。</w:t>
      </w:r>
    </w:p>
    <w:p w14:paraId="529D605F" w14:textId="6B0367DC" w:rsid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十四、已</w:t>
      </w:r>
      <w:proofErr w:type="gramStart"/>
      <w:r w:rsidRPr="00371DFC">
        <w:rPr>
          <w:rFonts w:ascii="仿宋" w:eastAsia="仿宋" w:hAnsi="仿宋" w:hint="eastAsia"/>
          <w:sz w:val="32"/>
          <w:szCs w:val="32"/>
        </w:rPr>
        <w:t>开通科创板</w:t>
      </w:r>
      <w:proofErr w:type="gramEnd"/>
      <w:r w:rsidRPr="00371DFC">
        <w:rPr>
          <w:rFonts w:ascii="仿宋" w:eastAsia="仿宋" w:hAnsi="仿宋" w:hint="eastAsia"/>
          <w:sz w:val="32"/>
          <w:szCs w:val="32"/>
        </w:rPr>
        <w:t>权限现申请开通北交所权限的投资者还需知晓：</w:t>
      </w:r>
    </w:p>
    <w:p w14:paraId="2C9EB535" w14:textId="00DDA7CA" w:rsidR="00371DFC" w:rsidRPr="00371DFC"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根据《北京证券交易所投资者适当性管理办法》第五条</w:t>
      </w:r>
      <w:r w:rsidRPr="00371DFC">
        <w:rPr>
          <w:rFonts w:ascii="仿宋" w:eastAsia="仿宋" w:hAnsi="仿宋" w:hint="eastAsia"/>
          <w:sz w:val="32"/>
          <w:szCs w:val="32"/>
        </w:rPr>
        <w:lastRenderedPageBreak/>
        <w:t>的规定，个人投资者参与北交所市场股票交易的，应当符合下列条件：一是申请权限开通前</w:t>
      </w:r>
      <w:r w:rsidRPr="00371DFC">
        <w:rPr>
          <w:rFonts w:ascii="仿宋" w:eastAsia="仿宋" w:hAnsi="仿宋"/>
          <w:sz w:val="32"/>
          <w:szCs w:val="32"/>
        </w:rPr>
        <w:t>20个交易</w:t>
      </w:r>
      <w:proofErr w:type="gramStart"/>
      <w:r w:rsidRPr="00371DFC">
        <w:rPr>
          <w:rFonts w:ascii="仿宋" w:eastAsia="仿宋" w:hAnsi="仿宋"/>
          <w:sz w:val="32"/>
          <w:szCs w:val="32"/>
        </w:rPr>
        <w:t>日证券</w:t>
      </w:r>
      <w:proofErr w:type="gramEnd"/>
      <w:r w:rsidRPr="00371DFC">
        <w:rPr>
          <w:rFonts w:ascii="仿宋" w:eastAsia="仿宋" w:hAnsi="仿宋"/>
          <w:sz w:val="32"/>
          <w:szCs w:val="32"/>
        </w:rPr>
        <w:t>账户和资金账户内的资产日均不低于</w:t>
      </w:r>
      <w:r w:rsidRPr="00371DFC">
        <w:rPr>
          <w:rFonts w:ascii="仿宋" w:eastAsia="仿宋" w:hAnsi="仿宋" w:hint="eastAsia"/>
          <w:sz w:val="32"/>
          <w:szCs w:val="32"/>
        </w:rPr>
        <w:t>人民币</w:t>
      </w:r>
      <w:r w:rsidRPr="00371DFC">
        <w:rPr>
          <w:rFonts w:ascii="仿宋" w:eastAsia="仿宋" w:hAnsi="仿宋"/>
          <w:sz w:val="32"/>
          <w:szCs w:val="32"/>
        </w:rPr>
        <w:t>50万元（不包括该投资者通过融资融券融入的资金和证券）；</w:t>
      </w:r>
      <w:r w:rsidRPr="00371DFC">
        <w:rPr>
          <w:rFonts w:ascii="仿宋" w:eastAsia="仿宋" w:hAnsi="仿宋" w:hint="eastAsia"/>
          <w:sz w:val="32"/>
          <w:szCs w:val="32"/>
        </w:rPr>
        <w:t>二是参与证券交易</w:t>
      </w:r>
      <w:r w:rsidRPr="00371DFC">
        <w:rPr>
          <w:rFonts w:ascii="仿宋" w:eastAsia="仿宋" w:hAnsi="仿宋"/>
          <w:sz w:val="32"/>
          <w:szCs w:val="32"/>
        </w:rPr>
        <w:t>24个月以上。</w:t>
      </w:r>
    </w:p>
    <w:p w14:paraId="283EDC9E" w14:textId="1ACBE335" w:rsidR="00371DFC" w:rsidRPr="00F2036B" w:rsidRDefault="00371DFC" w:rsidP="00371DFC">
      <w:pPr>
        <w:spacing w:line="360" w:lineRule="auto"/>
        <w:ind w:firstLineChars="200" w:firstLine="640"/>
        <w:rPr>
          <w:rFonts w:ascii="仿宋" w:eastAsia="仿宋" w:hAnsi="仿宋"/>
          <w:sz w:val="32"/>
          <w:szCs w:val="32"/>
        </w:rPr>
      </w:pPr>
      <w:r w:rsidRPr="00371DFC">
        <w:rPr>
          <w:rFonts w:ascii="仿宋" w:eastAsia="仿宋" w:hAnsi="仿宋" w:hint="eastAsia"/>
          <w:sz w:val="32"/>
          <w:szCs w:val="32"/>
        </w:rPr>
        <w:t>已</w:t>
      </w:r>
      <w:proofErr w:type="gramStart"/>
      <w:r w:rsidRPr="00371DFC">
        <w:rPr>
          <w:rFonts w:ascii="仿宋" w:eastAsia="仿宋" w:hAnsi="仿宋" w:hint="eastAsia"/>
          <w:sz w:val="32"/>
          <w:szCs w:val="32"/>
        </w:rPr>
        <w:t>开通科创板</w:t>
      </w:r>
      <w:proofErr w:type="gramEnd"/>
      <w:r w:rsidRPr="00371DFC">
        <w:rPr>
          <w:rFonts w:ascii="仿宋" w:eastAsia="仿宋" w:hAnsi="仿宋" w:hint="eastAsia"/>
          <w:sz w:val="32"/>
          <w:szCs w:val="32"/>
        </w:rPr>
        <w:t>权限投资者申请开通北交所权限时，无需符合上述条件。此类投资者在申请开通北交所权限时还可能存在不满足“申请权限开通前</w:t>
      </w:r>
      <w:r w:rsidRPr="00371DFC">
        <w:rPr>
          <w:rFonts w:ascii="仿宋" w:eastAsia="仿宋" w:hAnsi="仿宋"/>
          <w:sz w:val="32"/>
          <w:szCs w:val="32"/>
        </w:rPr>
        <w:t xml:space="preserve"> 20 </w:t>
      </w:r>
      <w:proofErr w:type="gramStart"/>
      <w:r w:rsidRPr="00371DFC">
        <w:rPr>
          <w:rFonts w:ascii="仿宋" w:eastAsia="仿宋" w:hAnsi="仿宋"/>
          <w:sz w:val="32"/>
          <w:szCs w:val="32"/>
        </w:rPr>
        <w:t>个</w:t>
      </w:r>
      <w:proofErr w:type="gramEnd"/>
      <w:r w:rsidRPr="00371DFC">
        <w:rPr>
          <w:rFonts w:ascii="仿宋" w:eastAsia="仿宋" w:hAnsi="仿宋"/>
          <w:sz w:val="32"/>
          <w:szCs w:val="32"/>
        </w:rPr>
        <w:t>交易日证券账户和资金账户内的资产日均不低于人</w:t>
      </w:r>
      <w:r w:rsidRPr="00371DFC">
        <w:rPr>
          <w:rFonts w:ascii="仿宋" w:eastAsia="仿宋" w:hAnsi="仿宋" w:hint="eastAsia"/>
          <w:sz w:val="32"/>
          <w:szCs w:val="32"/>
        </w:rPr>
        <w:t>民币</w:t>
      </w:r>
      <w:r w:rsidRPr="00371DFC">
        <w:rPr>
          <w:rFonts w:ascii="仿宋" w:eastAsia="仿宋" w:hAnsi="仿宋"/>
          <w:sz w:val="32"/>
          <w:szCs w:val="32"/>
        </w:rPr>
        <w:t xml:space="preserve"> 50 万元”的情况，投资者还需确认已阅读并理解北交所市场相关</w:t>
      </w:r>
      <w:r w:rsidRPr="00371DFC">
        <w:rPr>
          <w:rFonts w:ascii="仿宋" w:eastAsia="仿宋" w:hAnsi="仿宋" w:hint="eastAsia"/>
          <w:sz w:val="32"/>
          <w:szCs w:val="32"/>
        </w:rPr>
        <w:t>规则及上述风险揭示书的内容，具有相应的风险承受能力，自愿参与北交所市场，并愿意承担相关的各种风险。</w:t>
      </w:r>
    </w:p>
    <w:p w14:paraId="40FE1DAF" w14:textId="4382806D" w:rsidR="00AE16C1" w:rsidRPr="00F2036B" w:rsidRDefault="00371DFC" w:rsidP="00F2036B">
      <w:pPr>
        <w:spacing w:line="360" w:lineRule="auto"/>
        <w:ind w:firstLineChars="200" w:firstLine="643"/>
        <w:rPr>
          <w:rFonts w:ascii="仿宋" w:eastAsia="仿宋" w:hAnsi="仿宋"/>
          <w:b/>
          <w:bCs/>
          <w:sz w:val="32"/>
          <w:szCs w:val="32"/>
        </w:rPr>
      </w:pPr>
      <w:r>
        <w:rPr>
          <w:rFonts w:ascii="仿宋" w:eastAsia="仿宋" w:hAnsi="仿宋" w:hint="eastAsia"/>
          <w:b/>
          <w:bCs/>
          <w:sz w:val="32"/>
          <w:szCs w:val="32"/>
        </w:rPr>
        <w:t>十五</w:t>
      </w:r>
      <w:r w:rsidR="00AE16C1" w:rsidRPr="00F2036B">
        <w:rPr>
          <w:rFonts w:ascii="仿宋" w:eastAsia="仿宋" w:hAnsi="仿宋" w:hint="eastAsia"/>
          <w:b/>
          <w:bCs/>
          <w:sz w:val="32"/>
          <w:szCs w:val="32"/>
        </w:rPr>
        <w:t>、与业务相关的重要信息</w:t>
      </w:r>
    </w:p>
    <w:p w14:paraId="6FC58F99" w14:textId="77777777" w:rsidR="00AE16C1" w:rsidRPr="00F2036B" w:rsidRDefault="00AE16C1" w:rsidP="00F2036B">
      <w:pPr>
        <w:spacing w:line="360" w:lineRule="auto"/>
        <w:ind w:firstLineChars="200" w:firstLine="643"/>
        <w:rPr>
          <w:rFonts w:ascii="仿宋" w:eastAsia="仿宋" w:hAnsi="仿宋"/>
          <w:b/>
          <w:bCs/>
          <w:sz w:val="32"/>
          <w:szCs w:val="32"/>
        </w:rPr>
      </w:pPr>
      <w:r w:rsidRPr="00F2036B">
        <w:rPr>
          <w:rFonts w:ascii="仿宋" w:eastAsia="仿宋" w:hAnsi="仿宋" w:hint="eastAsia"/>
          <w:b/>
          <w:bCs/>
          <w:sz w:val="32"/>
          <w:szCs w:val="32"/>
        </w:rPr>
        <w:t>（一）参与该业务可能直接导致本金亏损的事项，包括但不限于：股票价格出现大幅波动、盘中临时停牌、终止上市等情形；</w:t>
      </w:r>
    </w:p>
    <w:p w14:paraId="0922D64C" w14:textId="77777777" w:rsidR="00AE16C1" w:rsidRPr="00F2036B" w:rsidRDefault="00AE16C1" w:rsidP="00F2036B">
      <w:pPr>
        <w:spacing w:line="360" w:lineRule="auto"/>
        <w:ind w:firstLineChars="200" w:firstLine="643"/>
        <w:rPr>
          <w:rFonts w:ascii="仿宋" w:eastAsia="仿宋" w:hAnsi="仿宋"/>
          <w:b/>
          <w:bCs/>
          <w:sz w:val="32"/>
          <w:szCs w:val="32"/>
        </w:rPr>
      </w:pPr>
      <w:r w:rsidRPr="00F2036B">
        <w:rPr>
          <w:rFonts w:ascii="仿宋" w:eastAsia="仿宋" w:hAnsi="仿宋" w:hint="eastAsia"/>
          <w:b/>
          <w:bCs/>
          <w:sz w:val="32"/>
          <w:szCs w:val="32"/>
        </w:rPr>
        <w:t>（二）信用账户参与该业务可能直接导致超过原始本金损失的事项，包括但不限于：交易杠杆放大亏损、支付利息费用等情形；</w:t>
      </w:r>
    </w:p>
    <w:p w14:paraId="1883E2E0" w14:textId="6B46320E" w:rsidR="00AE16C1" w:rsidRPr="00F2036B" w:rsidRDefault="00AE16C1" w:rsidP="00F2036B">
      <w:pPr>
        <w:spacing w:line="360" w:lineRule="auto"/>
        <w:ind w:firstLineChars="200" w:firstLine="643"/>
        <w:rPr>
          <w:rFonts w:ascii="仿宋" w:eastAsia="仿宋" w:hAnsi="仿宋"/>
          <w:b/>
          <w:bCs/>
          <w:sz w:val="32"/>
          <w:szCs w:val="32"/>
        </w:rPr>
      </w:pPr>
      <w:r w:rsidRPr="00F2036B">
        <w:rPr>
          <w:rFonts w:ascii="仿宋" w:eastAsia="仿宋" w:hAnsi="仿宋" w:hint="eastAsia"/>
          <w:b/>
          <w:bCs/>
          <w:sz w:val="32"/>
          <w:szCs w:val="32"/>
        </w:rPr>
        <w:t>（三）可能存在我司业务或财产状况变化，导致投资者参与该业务的本金或原始本金亏损或者影响投资者判断的事项，</w:t>
      </w:r>
      <w:r w:rsidRPr="00F2036B">
        <w:rPr>
          <w:rFonts w:ascii="仿宋" w:eastAsia="仿宋" w:hAnsi="仿宋"/>
          <w:b/>
          <w:bCs/>
          <w:sz w:val="32"/>
          <w:szCs w:val="32"/>
        </w:rPr>
        <w:t>包括但不限于：</w:t>
      </w:r>
      <w:r w:rsidR="00DE4C6A">
        <w:rPr>
          <w:rFonts w:ascii="仿宋" w:eastAsia="仿宋" w:hAnsi="仿宋" w:cs="Times New Roman" w:hint="eastAsia"/>
          <w:b/>
          <w:sz w:val="32"/>
          <w:szCs w:val="32"/>
        </w:rPr>
        <w:t>因</w:t>
      </w:r>
      <w:r w:rsidR="00DE4C6A" w:rsidRPr="003505CF">
        <w:rPr>
          <w:rFonts w:ascii="仿宋" w:eastAsia="仿宋" w:hAnsi="仿宋" w:cs="Times New Roman"/>
          <w:b/>
          <w:sz w:val="32"/>
          <w:szCs w:val="32"/>
        </w:rPr>
        <w:t>业务经营、净资本、负债情况、股</w:t>
      </w:r>
      <w:r w:rsidR="00DE4C6A" w:rsidRPr="003505CF">
        <w:rPr>
          <w:rFonts w:ascii="仿宋" w:eastAsia="仿宋" w:hAnsi="仿宋" w:cs="Times New Roman"/>
          <w:b/>
          <w:sz w:val="32"/>
          <w:szCs w:val="32"/>
        </w:rPr>
        <w:lastRenderedPageBreak/>
        <w:t>权事项等财产状况或公司治理状况发生变化引发经营风险</w:t>
      </w:r>
      <w:r w:rsidR="00DE4C6A" w:rsidRPr="003505CF">
        <w:rPr>
          <w:rFonts w:ascii="仿宋" w:eastAsia="仿宋" w:hAnsi="仿宋" w:cs="Times New Roman" w:hint="eastAsia"/>
          <w:b/>
          <w:sz w:val="32"/>
          <w:szCs w:val="32"/>
        </w:rPr>
        <w:t>、</w:t>
      </w:r>
      <w:r w:rsidRPr="00F2036B">
        <w:rPr>
          <w:rFonts w:ascii="仿宋" w:eastAsia="仿宋" w:hAnsi="仿宋" w:hint="eastAsia"/>
          <w:b/>
          <w:bCs/>
          <w:sz w:val="32"/>
          <w:szCs w:val="32"/>
        </w:rPr>
        <w:t>被证券监管机构取消业务资格、停业整顿、责令关闭、撤销或被人民法院宣告进入破产程序或解散不能履行职责等情形；</w:t>
      </w:r>
    </w:p>
    <w:p w14:paraId="16A366DF" w14:textId="77777777" w:rsidR="00AE16C1" w:rsidRPr="00F2036B" w:rsidRDefault="00AE16C1" w:rsidP="00F2036B">
      <w:pPr>
        <w:spacing w:line="360" w:lineRule="auto"/>
        <w:ind w:firstLineChars="200" w:firstLine="643"/>
        <w:rPr>
          <w:rFonts w:ascii="仿宋" w:eastAsia="仿宋" w:hAnsi="仿宋"/>
          <w:b/>
          <w:bCs/>
          <w:sz w:val="32"/>
          <w:szCs w:val="32"/>
        </w:rPr>
      </w:pPr>
      <w:r w:rsidRPr="00F2036B">
        <w:rPr>
          <w:rFonts w:ascii="仿宋" w:eastAsia="仿宋" w:hAnsi="仿宋" w:hint="eastAsia"/>
          <w:b/>
          <w:bCs/>
          <w:sz w:val="32"/>
          <w:szCs w:val="32"/>
        </w:rPr>
        <w:t>（四）可能存在限制投资者权利行使期限或者可解除合同期限的事项，包括但不限于：投资者所提供的基本资料、财务状况、投资经验、交易需求、风险偏好、诚信记录等信息与实际情况不符；违反监管机构账户实名制、异常交易管理、适当性管理、反洗钱等管理要求；有违法违规证券交易等情形。</w:t>
      </w:r>
    </w:p>
    <w:p w14:paraId="15AE3508" w14:textId="77777777" w:rsidR="00AE16C1" w:rsidRPr="00AE16C1" w:rsidRDefault="00AE16C1" w:rsidP="00F2036B">
      <w:pPr>
        <w:spacing w:line="360" w:lineRule="auto"/>
        <w:ind w:firstLineChars="200" w:firstLine="560"/>
        <w:rPr>
          <w:rFonts w:ascii="宋体" w:eastAsia="宋体" w:hAnsi="宋体"/>
          <w:sz w:val="28"/>
          <w:szCs w:val="28"/>
        </w:rPr>
      </w:pPr>
    </w:p>
    <w:p w14:paraId="57353A56" w14:textId="77777777" w:rsidR="0056774E" w:rsidRPr="009D5ACA" w:rsidRDefault="0056774E" w:rsidP="00F2036B">
      <w:pPr>
        <w:spacing w:line="360" w:lineRule="auto"/>
        <w:rPr>
          <w:rFonts w:ascii="仿宋" w:eastAsia="仿宋" w:hAnsi="仿宋"/>
          <w:b/>
          <w:bCs/>
          <w:sz w:val="28"/>
          <w:szCs w:val="28"/>
          <w:u w:val="double"/>
        </w:rPr>
      </w:pPr>
    </w:p>
    <w:p w14:paraId="300BEB8E" w14:textId="77777777" w:rsidR="0056774E" w:rsidRDefault="0056774E" w:rsidP="00F2036B">
      <w:pPr>
        <w:spacing w:line="360" w:lineRule="auto"/>
        <w:ind w:firstLineChars="200" w:firstLine="562"/>
        <w:rPr>
          <w:rFonts w:ascii="仿宋" w:eastAsia="仿宋" w:hAnsi="仿宋"/>
          <w:b/>
          <w:bCs/>
          <w:sz w:val="28"/>
          <w:szCs w:val="28"/>
          <w:u w:val="double"/>
        </w:rPr>
      </w:pPr>
    </w:p>
    <w:p w14:paraId="1867C8E1" w14:textId="77777777" w:rsidR="00F2036B" w:rsidRDefault="00F2036B" w:rsidP="00F2036B">
      <w:pPr>
        <w:spacing w:line="360" w:lineRule="auto"/>
        <w:ind w:firstLineChars="200" w:firstLine="562"/>
        <w:rPr>
          <w:rFonts w:ascii="仿宋" w:eastAsia="仿宋" w:hAnsi="仿宋"/>
          <w:b/>
          <w:bCs/>
          <w:sz w:val="28"/>
          <w:szCs w:val="28"/>
          <w:u w:val="double"/>
        </w:rPr>
      </w:pPr>
    </w:p>
    <w:p w14:paraId="62E049A5" w14:textId="77777777" w:rsidR="00F2036B" w:rsidRDefault="00F2036B" w:rsidP="00F2036B">
      <w:pPr>
        <w:spacing w:line="360" w:lineRule="auto"/>
        <w:ind w:firstLineChars="200" w:firstLine="562"/>
        <w:rPr>
          <w:rFonts w:ascii="仿宋" w:eastAsia="仿宋" w:hAnsi="仿宋"/>
          <w:b/>
          <w:bCs/>
          <w:sz w:val="28"/>
          <w:szCs w:val="28"/>
          <w:u w:val="double"/>
        </w:rPr>
      </w:pPr>
    </w:p>
    <w:p w14:paraId="3E1C9A3D" w14:textId="77777777" w:rsidR="00F2036B" w:rsidRDefault="00F2036B" w:rsidP="00F2036B">
      <w:pPr>
        <w:spacing w:line="360" w:lineRule="auto"/>
        <w:ind w:firstLineChars="200" w:firstLine="562"/>
        <w:rPr>
          <w:rFonts w:ascii="仿宋" w:eastAsia="仿宋" w:hAnsi="仿宋"/>
          <w:b/>
          <w:bCs/>
          <w:sz w:val="28"/>
          <w:szCs w:val="28"/>
          <w:u w:val="double"/>
        </w:rPr>
      </w:pPr>
    </w:p>
    <w:p w14:paraId="49AC619F" w14:textId="77777777" w:rsidR="006B62CF" w:rsidRDefault="006B62CF" w:rsidP="00F2036B">
      <w:pPr>
        <w:spacing w:line="360" w:lineRule="auto"/>
        <w:ind w:firstLineChars="200" w:firstLine="562"/>
        <w:rPr>
          <w:rFonts w:ascii="仿宋" w:eastAsia="仿宋" w:hAnsi="仿宋"/>
          <w:b/>
          <w:bCs/>
          <w:sz w:val="28"/>
          <w:szCs w:val="28"/>
          <w:u w:val="double"/>
        </w:rPr>
      </w:pPr>
    </w:p>
    <w:p w14:paraId="660291A1" w14:textId="77777777" w:rsidR="006B62CF" w:rsidRDefault="006B62CF" w:rsidP="00F2036B">
      <w:pPr>
        <w:spacing w:line="360" w:lineRule="auto"/>
        <w:ind w:firstLineChars="200" w:firstLine="562"/>
        <w:rPr>
          <w:rFonts w:ascii="仿宋" w:eastAsia="仿宋" w:hAnsi="仿宋"/>
          <w:b/>
          <w:bCs/>
          <w:sz w:val="28"/>
          <w:szCs w:val="28"/>
          <w:u w:val="double"/>
        </w:rPr>
      </w:pPr>
    </w:p>
    <w:p w14:paraId="24E26315" w14:textId="77777777" w:rsidR="006B62CF" w:rsidRDefault="006B62CF" w:rsidP="00F2036B">
      <w:pPr>
        <w:spacing w:line="360" w:lineRule="auto"/>
        <w:ind w:firstLineChars="200" w:firstLine="562"/>
        <w:rPr>
          <w:rFonts w:ascii="仿宋" w:eastAsia="仿宋" w:hAnsi="仿宋"/>
          <w:b/>
          <w:bCs/>
          <w:sz w:val="28"/>
          <w:szCs w:val="28"/>
          <w:u w:val="double"/>
        </w:rPr>
      </w:pPr>
    </w:p>
    <w:p w14:paraId="4007ABAC" w14:textId="77777777" w:rsidR="006B62CF" w:rsidRDefault="006B62CF" w:rsidP="00F2036B">
      <w:pPr>
        <w:spacing w:line="360" w:lineRule="auto"/>
        <w:ind w:firstLineChars="200" w:firstLine="562"/>
        <w:rPr>
          <w:rFonts w:ascii="仿宋" w:eastAsia="仿宋" w:hAnsi="仿宋"/>
          <w:b/>
          <w:bCs/>
          <w:sz w:val="28"/>
          <w:szCs w:val="28"/>
          <w:u w:val="double"/>
        </w:rPr>
      </w:pPr>
    </w:p>
    <w:p w14:paraId="352EC6F8" w14:textId="77777777" w:rsidR="006B62CF" w:rsidRDefault="006B62CF" w:rsidP="00F2036B">
      <w:pPr>
        <w:spacing w:line="360" w:lineRule="auto"/>
        <w:ind w:firstLineChars="200" w:firstLine="562"/>
        <w:rPr>
          <w:rFonts w:ascii="仿宋" w:eastAsia="仿宋" w:hAnsi="仿宋"/>
          <w:b/>
          <w:bCs/>
          <w:sz w:val="28"/>
          <w:szCs w:val="28"/>
          <w:u w:val="double"/>
        </w:rPr>
      </w:pPr>
    </w:p>
    <w:p w14:paraId="68F52631" w14:textId="77777777" w:rsidR="006B62CF" w:rsidRDefault="006B62CF" w:rsidP="00F2036B">
      <w:pPr>
        <w:spacing w:line="360" w:lineRule="auto"/>
        <w:ind w:firstLineChars="200" w:firstLine="562"/>
        <w:rPr>
          <w:rFonts w:ascii="仿宋" w:eastAsia="仿宋" w:hAnsi="仿宋"/>
          <w:b/>
          <w:bCs/>
          <w:sz w:val="28"/>
          <w:szCs w:val="28"/>
          <w:u w:val="double"/>
        </w:rPr>
      </w:pPr>
    </w:p>
    <w:p w14:paraId="31B717D4" w14:textId="77777777" w:rsidR="006B62CF" w:rsidRDefault="006B62CF" w:rsidP="00F2036B">
      <w:pPr>
        <w:spacing w:line="360" w:lineRule="auto"/>
        <w:ind w:firstLineChars="200" w:firstLine="562"/>
        <w:rPr>
          <w:rFonts w:ascii="仿宋" w:eastAsia="仿宋" w:hAnsi="仿宋"/>
          <w:b/>
          <w:bCs/>
          <w:sz w:val="28"/>
          <w:szCs w:val="28"/>
          <w:u w:val="double"/>
        </w:rPr>
      </w:pPr>
    </w:p>
    <w:p w14:paraId="3C86411A" w14:textId="77777777" w:rsidR="006B62CF" w:rsidRDefault="006B62CF" w:rsidP="00F2036B">
      <w:pPr>
        <w:spacing w:line="360" w:lineRule="auto"/>
        <w:ind w:firstLineChars="200" w:firstLine="562"/>
        <w:rPr>
          <w:rFonts w:ascii="仿宋" w:eastAsia="仿宋" w:hAnsi="仿宋"/>
          <w:b/>
          <w:bCs/>
          <w:sz w:val="28"/>
          <w:szCs w:val="28"/>
          <w:u w:val="double"/>
        </w:rPr>
      </w:pPr>
    </w:p>
    <w:p w14:paraId="0D7A5EE1" w14:textId="77777777" w:rsidR="006B62CF" w:rsidRDefault="006B62CF" w:rsidP="00F2036B">
      <w:pPr>
        <w:widowControl/>
        <w:spacing w:line="360" w:lineRule="auto"/>
        <w:rPr>
          <w:rFonts w:ascii="仿宋" w:eastAsia="仿宋" w:hAnsi="仿宋"/>
          <w:b/>
          <w:bCs/>
          <w:sz w:val="28"/>
          <w:szCs w:val="28"/>
          <w:u w:val="double"/>
        </w:rPr>
      </w:pPr>
    </w:p>
    <w:p w14:paraId="4DA8CB3B" w14:textId="057C529F" w:rsidR="00F2036B" w:rsidRPr="00F2036B" w:rsidRDefault="00F2036B" w:rsidP="00F2036B">
      <w:pPr>
        <w:widowControl/>
        <w:spacing w:line="360" w:lineRule="auto"/>
        <w:rPr>
          <w:rFonts w:ascii="仿宋" w:eastAsia="仿宋" w:hAnsi="仿宋"/>
          <w:b/>
          <w:sz w:val="32"/>
          <w:szCs w:val="32"/>
          <w:u w:val="double"/>
        </w:rPr>
      </w:pPr>
      <w:r w:rsidRPr="004531D6">
        <w:rPr>
          <w:rFonts w:ascii="仿宋" w:eastAsia="仿宋" w:hAnsi="仿宋" w:hint="eastAsia"/>
          <w:b/>
          <w:sz w:val="32"/>
          <w:szCs w:val="32"/>
          <w:u w:val="double"/>
        </w:rPr>
        <w:t>特别提示：</w:t>
      </w:r>
    </w:p>
    <w:p w14:paraId="040B4A91" w14:textId="6C4B674A" w:rsidR="002E5926" w:rsidRDefault="002E5926" w:rsidP="002E5926">
      <w:pPr>
        <w:widowControl/>
        <w:ind w:firstLineChars="200" w:firstLine="643"/>
        <w:rPr>
          <w:rFonts w:ascii="仿宋" w:eastAsia="仿宋" w:hAnsi="仿宋" w:cs="宋体"/>
          <w:b/>
          <w:bCs/>
          <w:color w:val="000000"/>
          <w:kern w:val="0"/>
          <w:sz w:val="32"/>
          <w:szCs w:val="32"/>
          <w:u w:val="double"/>
        </w:rPr>
      </w:pPr>
      <w:r>
        <w:rPr>
          <w:rFonts w:ascii="仿宋" w:eastAsia="仿宋" w:hAnsi="仿宋" w:cs="宋体" w:hint="eastAsia"/>
          <w:b/>
          <w:bCs/>
          <w:color w:val="000000"/>
          <w:kern w:val="0"/>
          <w:sz w:val="32"/>
          <w:szCs w:val="32"/>
          <w:u w:val="double"/>
        </w:rPr>
        <w:t>本《风险揭示书》的揭示事项仅为列举性质，未能详尽列明北交所股票交易的所有风险，且未来有关法律法规和业务规则修订时可能不会要求投资者重新签署《风险揭示书》。投资者务必知晓本《风险揭示书》的揭示事项以及证券市场的固有风险可能直接导致您的本金亏损或超过原始本金损失，投资者在参与交易前，应当认真阅读有关法律法规、交易所和登记结算机构业务规则等相关规定和</w:t>
      </w:r>
      <w:proofErr w:type="gramStart"/>
      <w:r>
        <w:rPr>
          <w:rFonts w:ascii="仿宋" w:eastAsia="仿宋" w:hAnsi="仿宋" w:cs="宋体" w:hint="eastAsia"/>
          <w:b/>
          <w:bCs/>
          <w:color w:val="000000"/>
          <w:kern w:val="0"/>
          <w:sz w:val="32"/>
          <w:szCs w:val="32"/>
          <w:u w:val="double"/>
        </w:rPr>
        <w:t>本风险</w:t>
      </w:r>
      <w:proofErr w:type="gramEnd"/>
      <w:r>
        <w:rPr>
          <w:rFonts w:ascii="仿宋" w:eastAsia="仿宋" w:hAnsi="仿宋" w:cs="宋体" w:hint="eastAsia"/>
          <w:b/>
          <w:bCs/>
          <w:color w:val="000000"/>
          <w:kern w:val="0"/>
          <w:sz w:val="32"/>
          <w:szCs w:val="32"/>
          <w:u w:val="double"/>
        </w:rPr>
        <w:t>揭示书的全部内容，对其他可能存在的风险因素也应当有所了解和掌握，并确信自己已做好足够的风险评估与财务安排，避免因参与北交所股票交易遭受难以承受的损失。</w:t>
      </w:r>
    </w:p>
    <w:p w14:paraId="40384A15" w14:textId="2EF902EC" w:rsidR="002E5926" w:rsidRPr="009663EA" w:rsidRDefault="002E5926" w:rsidP="002E5926">
      <w:pPr>
        <w:widowControl/>
        <w:ind w:firstLineChars="200" w:firstLine="643"/>
        <w:rPr>
          <w:rFonts w:ascii="宋体" w:hAnsi="宋体" w:cs="宋体"/>
          <w:kern w:val="0"/>
          <w:sz w:val="24"/>
          <w:szCs w:val="24"/>
          <w:u w:val="double"/>
        </w:rPr>
      </w:pPr>
      <w:r w:rsidRPr="009663EA">
        <w:rPr>
          <w:rFonts w:ascii="仿宋" w:eastAsia="仿宋" w:hAnsi="仿宋" w:cs="宋体" w:hint="eastAsia"/>
          <w:b/>
          <w:bCs/>
          <w:color w:val="000000"/>
          <w:kern w:val="0"/>
          <w:sz w:val="32"/>
          <w:szCs w:val="32"/>
          <w:u w:val="double"/>
        </w:rPr>
        <w:t>投资者在本《风险揭示书》上签字，即表明投资者已经理解并愿意自行承担参与</w:t>
      </w:r>
      <w:r>
        <w:rPr>
          <w:rFonts w:ascii="仿宋" w:eastAsia="仿宋" w:hAnsi="仿宋" w:cs="宋体" w:hint="eastAsia"/>
          <w:b/>
          <w:bCs/>
          <w:color w:val="000000"/>
          <w:kern w:val="0"/>
          <w:sz w:val="32"/>
          <w:szCs w:val="32"/>
          <w:u w:val="double"/>
        </w:rPr>
        <w:t>北交所股票交易</w:t>
      </w:r>
      <w:r w:rsidRPr="009663EA">
        <w:rPr>
          <w:rFonts w:ascii="仿宋" w:eastAsia="仿宋" w:hAnsi="仿宋" w:cs="宋体" w:hint="eastAsia"/>
          <w:b/>
          <w:bCs/>
          <w:color w:val="000000"/>
          <w:kern w:val="0"/>
          <w:sz w:val="32"/>
          <w:szCs w:val="32"/>
          <w:u w:val="double"/>
        </w:rPr>
        <w:t>的风险和损失。</w:t>
      </w:r>
    </w:p>
    <w:p w14:paraId="77E1B408" w14:textId="77777777" w:rsidR="00873494" w:rsidRPr="002E5926" w:rsidRDefault="00873494" w:rsidP="00873494">
      <w:pPr>
        <w:widowControl/>
        <w:rPr>
          <w:rFonts w:ascii="仿宋" w:eastAsia="仿宋" w:hAnsi="仿宋" w:cs="宋体"/>
          <w:b/>
          <w:bCs/>
          <w:color w:val="000000"/>
          <w:kern w:val="0"/>
          <w:sz w:val="32"/>
          <w:szCs w:val="32"/>
        </w:rPr>
      </w:pPr>
    </w:p>
    <w:p w14:paraId="28C49264" w14:textId="77777777" w:rsidR="00873494" w:rsidRDefault="00873494" w:rsidP="00873494">
      <w:pPr>
        <w:pStyle w:val="ad"/>
      </w:pPr>
    </w:p>
    <w:p w14:paraId="1830C6FE" w14:textId="77777777" w:rsidR="00873494" w:rsidRDefault="00873494" w:rsidP="00873494">
      <w:pPr>
        <w:widowControl/>
        <w:ind w:firstLineChars="200" w:firstLine="600"/>
        <w:rPr>
          <w:rFonts w:ascii="宋体" w:hAnsi="宋体" w:cs="宋体"/>
          <w:kern w:val="0"/>
          <w:sz w:val="24"/>
          <w:szCs w:val="24"/>
        </w:rPr>
      </w:pPr>
      <w:r>
        <w:rPr>
          <w:rFonts w:ascii="宋体" w:hAnsi="宋体" w:cs="宋体" w:hint="eastAsia"/>
          <w:b/>
          <w:bCs/>
          <w:color w:val="000000"/>
          <w:kern w:val="0"/>
          <w:sz w:val="30"/>
          <w:szCs w:val="30"/>
        </w:rPr>
        <w:t xml:space="preserve"> </w:t>
      </w:r>
    </w:p>
    <w:p w14:paraId="224ECEC0" w14:textId="77777777" w:rsidR="00873494" w:rsidRPr="009F2044" w:rsidRDefault="00873494" w:rsidP="00873494">
      <w:pPr>
        <w:widowControl/>
        <w:ind w:firstLineChars="100" w:firstLine="280"/>
        <w:rPr>
          <w:rFonts w:ascii="宋体" w:eastAsia="宋体" w:hAnsi="宋体" w:cs="宋体"/>
          <w:kern w:val="0"/>
          <w:sz w:val="24"/>
          <w:szCs w:val="24"/>
        </w:rPr>
      </w:pPr>
      <w:r w:rsidRPr="009F2044">
        <w:rPr>
          <w:rFonts w:ascii="宋体" w:eastAsia="宋体" w:hAnsi="宋体" w:cs="宋体" w:hint="eastAsia"/>
          <w:color w:val="000000"/>
          <w:kern w:val="0"/>
          <w:sz w:val="28"/>
          <w:szCs w:val="28"/>
        </w:rPr>
        <w:t xml:space="preserve">资产账号： </w:t>
      </w:r>
      <w:r w:rsidRPr="009F2044">
        <w:rPr>
          <w:rFonts w:ascii="宋体" w:eastAsia="宋体" w:hAnsi="宋体" w:cs="宋体"/>
          <w:color w:val="000000"/>
          <w:kern w:val="0"/>
          <w:sz w:val="28"/>
          <w:szCs w:val="28"/>
        </w:rPr>
        <w:t xml:space="preserve">                        </w:t>
      </w:r>
      <w:proofErr w:type="gramStart"/>
      <w:r w:rsidRPr="009F2044">
        <w:rPr>
          <w:rFonts w:ascii="宋体" w:eastAsia="宋体" w:hAnsi="宋体" w:cs="宋体" w:hint="eastAsia"/>
          <w:color w:val="000000"/>
          <w:kern w:val="0"/>
          <w:sz w:val="28"/>
          <w:szCs w:val="28"/>
        </w:rPr>
        <w:t>川财证券</w:t>
      </w:r>
      <w:proofErr w:type="gramEnd"/>
      <w:r w:rsidRPr="009F2044">
        <w:rPr>
          <w:rFonts w:ascii="宋体" w:eastAsia="宋体" w:hAnsi="宋体" w:cs="宋体" w:hint="eastAsia"/>
          <w:color w:val="000000"/>
          <w:kern w:val="0"/>
          <w:sz w:val="28"/>
          <w:szCs w:val="28"/>
        </w:rPr>
        <w:t xml:space="preserve">有限责任公司 </w:t>
      </w:r>
    </w:p>
    <w:p w14:paraId="445E525F" w14:textId="77777777" w:rsidR="00873494" w:rsidRPr="009F2044" w:rsidRDefault="00873494" w:rsidP="00873494">
      <w:pPr>
        <w:widowControl/>
        <w:ind w:firstLineChars="2600" w:firstLine="7280"/>
        <w:rPr>
          <w:rFonts w:ascii="宋体" w:eastAsia="宋体" w:hAnsi="宋体" w:cs="宋体"/>
          <w:kern w:val="0"/>
          <w:sz w:val="24"/>
          <w:szCs w:val="24"/>
        </w:rPr>
      </w:pPr>
      <w:r w:rsidRPr="009F2044">
        <w:rPr>
          <w:rFonts w:ascii="宋体" w:eastAsia="宋体" w:hAnsi="宋体" w:cs="宋体" w:hint="eastAsia"/>
          <w:color w:val="000000"/>
          <w:kern w:val="0"/>
          <w:sz w:val="28"/>
          <w:szCs w:val="28"/>
        </w:rPr>
        <w:t xml:space="preserve">（盖章） </w:t>
      </w:r>
    </w:p>
    <w:p w14:paraId="718AF04F" w14:textId="77777777" w:rsidR="00873494" w:rsidRPr="009F2044" w:rsidRDefault="00873494" w:rsidP="00873494">
      <w:pPr>
        <w:widowControl/>
        <w:spacing w:beforeLines="50" w:before="156" w:afterLines="50" w:after="156"/>
        <w:ind w:firstLineChars="100" w:firstLine="280"/>
        <w:rPr>
          <w:rFonts w:ascii="宋体" w:eastAsia="宋体" w:hAnsi="宋体" w:cs="宋体"/>
          <w:kern w:val="0"/>
          <w:sz w:val="24"/>
          <w:szCs w:val="24"/>
        </w:rPr>
      </w:pPr>
      <w:r w:rsidRPr="009F2044">
        <w:rPr>
          <w:rFonts w:ascii="宋体" w:eastAsia="宋体" w:hAnsi="宋体" w:cs="宋体" w:hint="eastAsia"/>
          <w:color w:val="000000"/>
          <w:kern w:val="0"/>
          <w:sz w:val="28"/>
          <w:szCs w:val="28"/>
        </w:rPr>
        <w:t xml:space="preserve">投资者签章：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 xml:space="preserve">经办人： </w:t>
      </w:r>
    </w:p>
    <w:p w14:paraId="4F63D3CE" w14:textId="35572F1A" w:rsidR="0056774E" w:rsidRPr="008016DA" w:rsidRDefault="00873494" w:rsidP="008016DA">
      <w:pPr>
        <w:ind w:firstLineChars="100" w:firstLine="280"/>
        <w:rPr>
          <w:rFonts w:ascii="宋体" w:eastAsia="宋体" w:hAnsi="宋体"/>
        </w:rPr>
      </w:pPr>
      <w:r w:rsidRPr="009F2044">
        <w:rPr>
          <w:rFonts w:ascii="宋体" w:eastAsia="宋体" w:hAnsi="宋体" w:cs="宋体" w:hint="eastAsia"/>
          <w:color w:val="000000"/>
          <w:kern w:val="0"/>
          <w:sz w:val="28"/>
          <w:szCs w:val="28"/>
        </w:rPr>
        <w:t xml:space="preserve">日期：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 xml:space="preserve">年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 xml:space="preserve"> 月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 xml:space="preserve">日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 xml:space="preserve">日期：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 xml:space="preserve">年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 xml:space="preserve"> 月 </w:t>
      </w:r>
      <w:r w:rsidRPr="009F2044">
        <w:rPr>
          <w:rFonts w:ascii="宋体" w:eastAsia="宋体" w:hAnsi="宋体" w:cs="宋体"/>
          <w:color w:val="000000"/>
          <w:kern w:val="0"/>
          <w:sz w:val="28"/>
          <w:szCs w:val="28"/>
        </w:rPr>
        <w:t xml:space="preserve"> </w:t>
      </w:r>
      <w:r w:rsidRPr="009F2044">
        <w:rPr>
          <w:rFonts w:ascii="宋体" w:eastAsia="宋体" w:hAnsi="宋体" w:cs="宋体" w:hint="eastAsia"/>
          <w:color w:val="000000"/>
          <w:kern w:val="0"/>
          <w:sz w:val="28"/>
          <w:szCs w:val="28"/>
        </w:rPr>
        <w:t>日</w:t>
      </w:r>
    </w:p>
    <w:sectPr w:rsidR="0056774E" w:rsidRPr="008016D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C6694" w14:textId="77777777" w:rsidR="00F24142" w:rsidRDefault="00F24142">
      <w:r>
        <w:separator/>
      </w:r>
    </w:p>
  </w:endnote>
  <w:endnote w:type="continuationSeparator" w:id="0">
    <w:p w14:paraId="335DC80D" w14:textId="77777777" w:rsidR="00F24142" w:rsidRDefault="00F2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349895"/>
    </w:sdtPr>
    <w:sdtContent>
      <w:p w14:paraId="59BD89FE" w14:textId="77777777" w:rsidR="0056774E" w:rsidRDefault="00000000">
        <w:pPr>
          <w:pStyle w:val="a7"/>
          <w:jc w:val="center"/>
        </w:pPr>
        <w:r>
          <w:fldChar w:fldCharType="begin"/>
        </w:r>
        <w:r>
          <w:instrText>PAGE   \* MERGEFORMAT</w:instrText>
        </w:r>
        <w:r>
          <w:fldChar w:fldCharType="separate"/>
        </w:r>
        <w:r>
          <w:rPr>
            <w:lang w:val="zh-CN"/>
          </w:rPr>
          <w:t>2</w:t>
        </w:r>
        <w:r>
          <w:fldChar w:fldCharType="end"/>
        </w:r>
      </w:p>
    </w:sdtContent>
  </w:sdt>
  <w:p w14:paraId="5763B6E7" w14:textId="77777777" w:rsidR="0056774E" w:rsidRDefault="005677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969EC" w14:textId="77777777" w:rsidR="00F24142" w:rsidRDefault="00F24142">
      <w:r>
        <w:separator/>
      </w:r>
    </w:p>
  </w:footnote>
  <w:footnote w:type="continuationSeparator" w:id="0">
    <w:p w14:paraId="425C03D6" w14:textId="77777777" w:rsidR="00F24142" w:rsidRDefault="00F2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07AA"/>
    <w:rsid w:val="000611A3"/>
    <w:rsid w:val="000B2ABD"/>
    <w:rsid w:val="000B6B21"/>
    <w:rsid w:val="00104487"/>
    <w:rsid w:val="00114A5A"/>
    <w:rsid w:val="001646D9"/>
    <w:rsid w:val="00292F52"/>
    <w:rsid w:val="002E412D"/>
    <w:rsid w:val="002E5926"/>
    <w:rsid w:val="00311FAF"/>
    <w:rsid w:val="00360754"/>
    <w:rsid w:val="00371DFC"/>
    <w:rsid w:val="003966F2"/>
    <w:rsid w:val="004262FD"/>
    <w:rsid w:val="004411E0"/>
    <w:rsid w:val="004D4B9C"/>
    <w:rsid w:val="004F6317"/>
    <w:rsid w:val="0056774E"/>
    <w:rsid w:val="00580A3A"/>
    <w:rsid w:val="005A12B1"/>
    <w:rsid w:val="005A6509"/>
    <w:rsid w:val="00630DD8"/>
    <w:rsid w:val="00646E5D"/>
    <w:rsid w:val="006607AA"/>
    <w:rsid w:val="006664AC"/>
    <w:rsid w:val="006B62CF"/>
    <w:rsid w:val="007077FB"/>
    <w:rsid w:val="00733A3C"/>
    <w:rsid w:val="007B5614"/>
    <w:rsid w:val="00800BE6"/>
    <w:rsid w:val="008016DA"/>
    <w:rsid w:val="00805404"/>
    <w:rsid w:val="00873494"/>
    <w:rsid w:val="008F3171"/>
    <w:rsid w:val="008F4CD5"/>
    <w:rsid w:val="009128E5"/>
    <w:rsid w:val="00922489"/>
    <w:rsid w:val="00957F16"/>
    <w:rsid w:val="009D5ACA"/>
    <w:rsid w:val="00A526E7"/>
    <w:rsid w:val="00A542C1"/>
    <w:rsid w:val="00A745EE"/>
    <w:rsid w:val="00AA5185"/>
    <w:rsid w:val="00AA6BDD"/>
    <w:rsid w:val="00AE16C1"/>
    <w:rsid w:val="00B35916"/>
    <w:rsid w:val="00B61485"/>
    <w:rsid w:val="00B712B1"/>
    <w:rsid w:val="00B83DE8"/>
    <w:rsid w:val="00BE14C1"/>
    <w:rsid w:val="00BE47E6"/>
    <w:rsid w:val="00C51366"/>
    <w:rsid w:val="00C920DA"/>
    <w:rsid w:val="00D24C25"/>
    <w:rsid w:val="00D5364D"/>
    <w:rsid w:val="00D61A73"/>
    <w:rsid w:val="00DE4C6A"/>
    <w:rsid w:val="00E03F21"/>
    <w:rsid w:val="00F2036B"/>
    <w:rsid w:val="00F24142"/>
    <w:rsid w:val="00F81F62"/>
    <w:rsid w:val="07AE10B1"/>
    <w:rsid w:val="1C9F54C0"/>
    <w:rsid w:val="2A5D3512"/>
    <w:rsid w:val="2AAF09E3"/>
    <w:rsid w:val="34FB196F"/>
    <w:rsid w:val="38567566"/>
    <w:rsid w:val="50EF5DE8"/>
    <w:rsid w:val="5FA25767"/>
    <w:rsid w:val="72140A72"/>
    <w:rsid w:val="725A1B79"/>
    <w:rsid w:val="7EE31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26EBF"/>
  <w15:docId w15:val="{F176991F-DFC7-49A1-9E61-FA78B934E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qFormat/>
    <w:rPr>
      <w:rFonts w:ascii="宋体" w:eastAsia="宋体" w:hAnsi="Courier New" w:cs="Times New Roman"/>
      <w:szCs w:val="21"/>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正文1"/>
    <w:qFormat/>
    <w:pPr>
      <w:jc w:val="both"/>
    </w:pPr>
    <w:rPr>
      <w:rFonts w:ascii="Calibri" w:hAnsi="Calibri" w:cs="Calibri"/>
      <w:kern w:val="2"/>
      <w:sz w:val="21"/>
      <w:szCs w:val="21"/>
    </w:rPr>
  </w:style>
  <w:style w:type="paragraph" w:styleId="ab">
    <w:name w:val="List Paragraph"/>
    <w:basedOn w:val="a"/>
    <w:uiPriority w:val="34"/>
    <w:qFormat/>
    <w:pPr>
      <w:ind w:firstLineChars="200" w:firstLine="420"/>
    </w:pPr>
  </w:style>
  <w:style w:type="character" w:customStyle="1" w:styleId="a4">
    <w:name w:val="纯文本 字符"/>
    <w:basedOn w:val="a0"/>
    <w:link w:val="a3"/>
    <w:uiPriority w:val="99"/>
    <w:qFormat/>
    <w:rPr>
      <w:rFonts w:ascii="宋体" w:eastAsia="宋体" w:hAnsi="Courier New" w:cs="Times New Roman"/>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rPr>
      <w:rFonts w:asciiTheme="minorHAnsi" w:eastAsiaTheme="minorEastAsia" w:hAnsiTheme="minorHAnsi" w:cstheme="minorBidi"/>
      <w:kern w:val="2"/>
      <w:sz w:val="18"/>
      <w:szCs w:val="18"/>
    </w:rPr>
  </w:style>
  <w:style w:type="paragraph" w:styleId="ac">
    <w:name w:val="Revision"/>
    <w:hidden/>
    <w:uiPriority w:val="99"/>
    <w:unhideWhenUsed/>
    <w:rsid w:val="00AE16C1"/>
    <w:rPr>
      <w:rFonts w:asciiTheme="minorHAnsi" w:eastAsiaTheme="minorEastAsia" w:hAnsiTheme="minorHAnsi" w:cstheme="minorBidi"/>
      <w:kern w:val="2"/>
      <w:sz w:val="21"/>
      <w:szCs w:val="22"/>
    </w:rPr>
  </w:style>
  <w:style w:type="paragraph" w:styleId="ad">
    <w:name w:val="Normal Indent"/>
    <w:basedOn w:val="a"/>
    <w:uiPriority w:val="99"/>
    <w:semiHidden/>
    <w:unhideWhenUsed/>
    <w:qFormat/>
    <w:rsid w:val="006B62CF"/>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07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 波</dc:creator>
  <cp:lastModifiedBy>黄娟</cp:lastModifiedBy>
  <cp:revision>32</cp:revision>
  <dcterms:created xsi:type="dcterms:W3CDTF">2021-01-23T02:10:00Z</dcterms:created>
  <dcterms:modified xsi:type="dcterms:W3CDTF">2024-05-24T01:05:00Z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