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92C6A" w14:textId="77777777" w:rsidR="00927DFF" w:rsidRDefault="00451095" w:rsidP="00B601F2">
      <w:pPr>
        <w:jc w:val="center"/>
        <w:rPr>
          <w:rFonts w:ascii="宋体" w:hAnsi="宋体" w:cs="Times New Roman"/>
          <w:b/>
          <w:bCs/>
          <w:sz w:val="44"/>
          <w:szCs w:val="44"/>
        </w:rPr>
      </w:pPr>
      <w:r w:rsidRPr="00B601F2">
        <w:rPr>
          <w:rFonts w:ascii="宋体" w:hAnsi="宋体" w:cs="Times New Roman"/>
          <w:b/>
          <w:bCs/>
          <w:sz w:val="44"/>
          <w:szCs w:val="44"/>
        </w:rPr>
        <w:t>全国中小企业股份转让系统挂牌公司</w:t>
      </w:r>
    </w:p>
    <w:p w14:paraId="2634B8B1" w14:textId="77777777" w:rsidR="00927DFF" w:rsidRDefault="00451095" w:rsidP="00B601F2">
      <w:pPr>
        <w:jc w:val="center"/>
        <w:rPr>
          <w:rFonts w:ascii="宋体" w:hAnsi="宋体" w:cs="Times New Roman"/>
          <w:b/>
          <w:bCs/>
          <w:sz w:val="44"/>
          <w:szCs w:val="44"/>
        </w:rPr>
      </w:pPr>
      <w:r w:rsidRPr="00B601F2">
        <w:rPr>
          <w:rFonts w:ascii="宋体" w:hAnsi="宋体" w:cs="Times New Roman"/>
          <w:b/>
          <w:bCs/>
          <w:sz w:val="44"/>
          <w:szCs w:val="44"/>
        </w:rPr>
        <w:t>股票交易风险揭示书与北京证券交易所</w:t>
      </w:r>
    </w:p>
    <w:p w14:paraId="42E15EAB" w14:textId="2F59E1B5" w:rsidR="00451095" w:rsidRPr="00B601F2" w:rsidRDefault="004030B7" w:rsidP="00B601F2">
      <w:pPr>
        <w:jc w:val="center"/>
        <w:rPr>
          <w:rFonts w:ascii="宋体" w:hAnsi="宋体" w:cs="Times New Roman"/>
          <w:b/>
          <w:bCs/>
          <w:sz w:val="44"/>
          <w:szCs w:val="44"/>
        </w:rPr>
      </w:pPr>
      <w:r w:rsidRPr="00B601F2">
        <w:rPr>
          <w:rFonts w:ascii="宋体" w:hAnsi="宋体" w:cs="Times New Roman" w:hint="eastAsia"/>
          <w:b/>
          <w:bCs/>
          <w:sz w:val="44"/>
          <w:szCs w:val="44"/>
        </w:rPr>
        <w:t>投资</w:t>
      </w:r>
      <w:r w:rsidR="00451095" w:rsidRPr="00B601F2">
        <w:rPr>
          <w:rFonts w:ascii="宋体" w:hAnsi="宋体" w:cs="Times New Roman"/>
          <w:b/>
          <w:bCs/>
          <w:sz w:val="44"/>
          <w:szCs w:val="44"/>
        </w:rPr>
        <w:t>风险揭示书</w:t>
      </w:r>
    </w:p>
    <w:p w14:paraId="6B97EFB2" w14:textId="77777777" w:rsidR="00B601F2" w:rsidRDefault="00B601F2" w:rsidP="00B601F2">
      <w:pPr>
        <w:spacing w:line="560" w:lineRule="exact"/>
        <w:jc w:val="center"/>
        <w:rPr>
          <w:rFonts w:ascii="宋体" w:hAnsi="宋体"/>
          <w:color w:val="000000" w:themeColor="text1"/>
          <w:sz w:val="44"/>
          <w:szCs w:val="44"/>
        </w:rPr>
      </w:pPr>
    </w:p>
    <w:p w14:paraId="3ED37B26" w14:textId="77777777" w:rsidR="00B601F2" w:rsidRPr="00F0195E" w:rsidRDefault="00B601F2" w:rsidP="00B601F2">
      <w:pPr>
        <w:spacing w:line="360" w:lineRule="auto"/>
        <w:rPr>
          <w:rFonts w:ascii="仿宋" w:eastAsia="仿宋" w:hAnsi="仿宋"/>
          <w:b/>
          <w:bCs/>
          <w:color w:val="000000" w:themeColor="text1"/>
          <w:sz w:val="32"/>
          <w:szCs w:val="32"/>
        </w:rPr>
      </w:pPr>
      <w:r w:rsidRPr="00F0195E">
        <w:rPr>
          <w:rFonts w:ascii="仿宋" w:eastAsia="仿宋" w:hAnsi="仿宋" w:hint="eastAsia"/>
          <w:b/>
          <w:bCs/>
          <w:color w:val="000000" w:themeColor="text1"/>
          <w:sz w:val="32"/>
          <w:szCs w:val="32"/>
        </w:rPr>
        <w:t xml:space="preserve">尊敬的投资者： </w:t>
      </w:r>
    </w:p>
    <w:p w14:paraId="37B99102" w14:textId="43C64813" w:rsidR="00941074" w:rsidRPr="00B601F2" w:rsidRDefault="00620E3F" w:rsidP="00961023">
      <w:pPr>
        <w:widowControl/>
        <w:spacing w:line="360" w:lineRule="auto"/>
        <w:ind w:firstLineChars="200" w:firstLine="640"/>
        <w:rPr>
          <w:rFonts w:ascii="仿宋" w:eastAsia="仿宋" w:hAnsi="仿宋"/>
          <w:sz w:val="32"/>
          <w:szCs w:val="32"/>
          <w:highlight w:val="yellow"/>
        </w:rPr>
      </w:pPr>
      <w:r w:rsidRPr="00B601F2">
        <w:rPr>
          <w:rFonts w:ascii="仿宋" w:eastAsia="仿宋" w:hAnsi="仿宋" w:hint="eastAsia"/>
          <w:sz w:val="32"/>
          <w:szCs w:val="32"/>
        </w:rPr>
        <w:t>为了使您更好地了解全国中小企业股份转让系统（以下简称“全国股转系统”）挂牌公司股票交易的投资风险，根据《全国中小企业股份转让系统投资者适当性管理办法》的规定，本公司特向您提供《</w:t>
      </w:r>
      <w:r w:rsidR="002970E0" w:rsidRPr="00B601F2">
        <w:rPr>
          <w:rFonts w:ascii="仿宋" w:eastAsia="仿宋" w:hAnsi="仿宋"/>
          <w:sz w:val="32"/>
          <w:szCs w:val="32"/>
        </w:rPr>
        <w:t>全国中小企业股份转让系统挂牌公司股票交易风险揭示书与北京证券交易所投资风险揭示书</w:t>
      </w:r>
      <w:r w:rsidR="002970E0" w:rsidRPr="00B601F2">
        <w:rPr>
          <w:rFonts w:ascii="仿宋" w:eastAsia="仿宋" w:hAnsi="仿宋" w:hint="eastAsia"/>
          <w:sz w:val="32"/>
          <w:szCs w:val="32"/>
        </w:rPr>
        <w:t>》</w:t>
      </w:r>
      <w:r w:rsidRPr="00B601F2">
        <w:rPr>
          <w:rFonts w:ascii="仿宋" w:eastAsia="仿宋" w:hAnsi="仿宋" w:hint="eastAsia"/>
          <w:sz w:val="32"/>
          <w:szCs w:val="32"/>
        </w:rPr>
        <w:t>，揭示参与挂牌公司股票交易存在的风险，请您认真阅读并签署。</w:t>
      </w:r>
    </w:p>
    <w:p w14:paraId="64FCC028" w14:textId="77777777" w:rsidR="00941074" w:rsidRPr="00927DFF" w:rsidRDefault="00620E3F" w:rsidP="00961023">
      <w:pPr>
        <w:widowControl/>
        <w:spacing w:line="360" w:lineRule="auto"/>
        <w:ind w:firstLine="556"/>
        <w:rPr>
          <w:rFonts w:ascii="仿宋" w:eastAsia="仿宋" w:hAnsi="仿宋"/>
          <w:b/>
          <w:sz w:val="32"/>
          <w:szCs w:val="32"/>
        </w:rPr>
      </w:pPr>
      <w:r w:rsidRPr="00927DFF">
        <w:rPr>
          <w:rFonts w:ascii="仿宋" w:eastAsia="仿宋" w:hAnsi="仿宋" w:hint="eastAsia"/>
          <w:b/>
          <w:sz w:val="32"/>
          <w:szCs w:val="32"/>
        </w:rPr>
        <w:t>一、重要提示</w:t>
      </w:r>
    </w:p>
    <w:p w14:paraId="4F64B4D8" w14:textId="77777777" w:rsidR="00941074" w:rsidRPr="00B601F2" w:rsidRDefault="00620E3F" w:rsidP="00961023">
      <w:pPr>
        <w:widowControl/>
        <w:spacing w:line="360" w:lineRule="auto"/>
        <w:ind w:firstLine="556"/>
        <w:rPr>
          <w:rFonts w:ascii="仿宋" w:eastAsia="仿宋" w:hAnsi="仿宋"/>
          <w:sz w:val="32"/>
          <w:szCs w:val="32"/>
        </w:rPr>
      </w:pPr>
      <w:r w:rsidRPr="00B601F2">
        <w:rPr>
          <w:rFonts w:ascii="仿宋" w:eastAsia="仿宋" w:hAnsi="仿宋"/>
          <w:sz w:val="32"/>
          <w:szCs w:val="32"/>
        </w:rPr>
        <w:t>1</w:t>
      </w:r>
      <w:r w:rsidRPr="00B601F2">
        <w:rPr>
          <w:rFonts w:ascii="仿宋" w:eastAsia="仿宋" w:hAnsi="仿宋" w:hint="eastAsia"/>
          <w:sz w:val="32"/>
          <w:szCs w:val="32"/>
        </w:rPr>
        <w:t>.全国股</w:t>
      </w:r>
      <w:proofErr w:type="gramStart"/>
      <w:r w:rsidRPr="00B601F2">
        <w:rPr>
          <w:rFonts w:ascii="仿宋" w:eastAsia="仿宋" w:hAnsi="仿宋" w:hint="eastAsia"/>
          <w:sz w:val="32"/>
          <w:szCs w:val="32"/>
        </w:rPr>
        <w:t>转系统</w:t>
      </w:r>
      <w:proofErr w:type="gramEnd"/>
      <w:r w:rsidRPr="00B601F2">
        <w:rPr>
          <w:rFonts w:ascii="仿宋" w:eastAsia="仿宋" w:hAnsi="仿宋" w:hint="eastAsia"/>
          <w:sz w:val="32"/>
          <w:szCs w:val="32"/>
        </w:rPr>
        <w:t>的制度规则与上海、深圳证券交易所的制度规则存在较大差别。在参与挂牌公司股票交易之前，请您务必认真阅读《全国中小企业股份转让系统业务规则（试行）》等有关业务规则、细则、指引和通知。</w:t>
      </w:r>
    </w:p>
    <w:p w14:paraId="657A950A" w14:textId="77777777" w:rsidR="00941074" w:rsidRPr="00B601F2" w:rsidRDefault="00620E3F" w:rsidP="00961023">
      <w:pPr>
        <w:widowControl/>
        <w:spacing w:line="360" w:lineRule="auto"/>
        <w:ind w:firstLine="556"/>
        <w:rPr>
          <w:rFonts w:ascii="仿宋" w:eastAsia="仿宋" w:hAnsi="仿宋"/>
          <w:sz w:val="32"/>
          <w:szCs w:val="32"/>
        </w:rPr>
      </w:pPr>
      <w:r w:rsidRPr="00B601F2">
        <w:rPr>
          <w:rFonts w:ascii="仿宋" w:eastAsia="仿宋" w:hAnsi="仿宋"/>
          <w:sz w:val="32"/>
          <w:szCs w:val="32"/>
        </w:rPr>
        <w:t>2</w:t>
      </w:r>
      <w:r w:rsidRPr="00B601F2">
        <w:rPr>
          <w:rFonts w:ascii="仿宋" w:eastAsia="仿宋" w:hAnsi="仿宋" w:hint="eastAsia"/>
          <w:sz w:val="32"/>
          <w:szCs w:val="32"/>
        </w:rPr>
        <w:t>.全国股</w:t>
      </w:r>
      <w:proofErr w:type="gramStart"/>
      <w:r w:rsidRPr="00B601F2">
        <w:rPr>
          <w:rFonts w:ascii="仿宋" w:eastAsia="仿宋" w:hAnsi="仿宋" w:hint="eastAsia"/>
          <w:sz w:val="32"/>
          <w:szCs w:val="32"/>
        </w:rPr>
        <w:t>转系统</w:t>
      </w:r>
      <w:proofErr w:type="gramEnd"/>
      <w:r w:rsidRPr="00B601F2">
        <w:rPr>
          <w:rFonts w:ascii="仿宋" w:eastAsia="仿宋" w:hAnsi="仿宋" w:hint="eastAsia"/>
          <w:sz w:val="32"/>
          <w:szCs w:val="32"/>
        </w:rPr>
        <w:t>是经国务院批准设立的全国性证券交易场所，为挂牌公司提供股票交易服务，作为全新的市场，相关制度规则还需要不断修订和完善，请您务必密切关注相关制度调整。</w:t>
      </w:r>
    </w:p>
    <w:p w14:paraId="2AB480EB" w14:textId="77777777" w:rsidR="00941074" w:rsidRPr="00B601F2" w:rsidRDefault="00620E3F" w:rsidP="00961023">
      <w:pPr>
        <w:widowControl/>
        <w:spacing w:line="360" w:lineRule="auto"/>
        <w:ind w:firstLine="556"/>
        <w:rPr>
          <w:rFonts w:ascii="仿宋" w:eastAsia="仿宋" w:hAnsi="仿宋"/>
          <w:sz w:val="32"/>
          <w:szCs w:val="32"/>
        </w:rPr>
      </w:pPr>
      <w:r w:rsidRPr="00B601F2">
        <w:rPr>
          <w:rFonts w:ascii="仿宋" w:eastAsia="仿宋" w:hAnsi="仿宋"/>
          <w:sz w:val="32"/>
          <w:szCs w:val="32"/>
        </w:rPr>
        <w:lastRenderedPageBreak/>
        <w:t>3</w:t>
      </w:r>
      <w:r w:rsidRPr="00B601F2">
        <w:rPr>
          <w:rFonts w:ascii="仿宋" w:eastAsia="仿宋" w:hAnsi="仿宋" w:hint="eastAsia"/>
          <w:sz w:val="32"/>
          <w:szCs w:val="32"/>
        </w:rPr>
        <w:t>.全国股</w:t>
      </w:r>
      <w:proofErr w:type="gramStart"/>
      <w:r w:rsidRPr="00B601F2">
        <w:rPr>
          <w:rFonts w:ascii="仿宋" w:eastAsia="仿宋" w:hAnsi="仿宋" w:hint="eastAsia"/>
          <w:sz w:val="32"/>
          <w:szCs w:val="32"/>
        </w:rPr>
        <w:t>转系统</w:t>
      </w:r>
      <w:proofErr w:type="gramEnd"/>
      <w:r w:rsidRPr="00B601F2">
        <w:rPr>
          <w:rFonts w:ascii="仿宋" w:eastAsia="仿宋" w:hAnsi="仿宋" w:hint="eastAsia"/>
          <w:sz w:val="32"/>
          <w:szCs w:val="32"/>
        </w:rPr>
        <w:t>的挂牌公司是根据《非上市公众公司监督管理办法》《全国中小企业股份转让系统业务规则（试行）》的规定，经全国中小企业股份转让系统有限责任公司（以下简称“全国股转公司”）审查同意，中国证券监督管理委员会（以下简称“中国证监会”）核准后，股票在全国股</w:t>
      </w:r>
      <w:proofErr w:type="gramStart"/>
      <w:r w:rsidRPr="00B601F2">
        <w:rPr>
          <w:rFonts w:ascii="仿宋" w:eastAsia="仿宋" w:hAnsi="仿宋" w:hint="eastAsia"/>
          <w:sz w:val="32"/>
          <w:szCs w:val="32"/>
        </w:rPr>
        <w:t>转系统</w:t>
      </w:r>
      <w:proofErr w:type="gramEnd"/>
      <w:r w:rsidRPr="00B601F2">
        <w:rPr>
          <w:rFonts w:ascii="仿宋" w:eastAsia="仿宋" w:hAnsi="仿宋" w:hint="eastAsia"/>
          <w:sz w:val="32"/>
          <w:szCs w:val="32"/>
        </w:rPr>
        <w:t>挂牌交易的非上市公众公司，公司股东人数可以超过</w:t>
      </w:r>
      <w:r w:rsidRPr="00B601F2">
        <w:rPr>
          <w:rFonts w:ascii="仿宋" w:eastAsia="仿宋" w:hAnsi="仿宋"/>
          <w:sz w:val="32"/>
          <w:szCs w:val="32"/>
        </w:rPr>
        <w:t>200</w:t>
      </w:r>
      <w:r w:rsidRPr="00B601F2">
        <w:rPr>
          <w:rFonts w:ascii="仿宋" w:eastAsia="仿宋" w:hAnsi="仿宋" w:hint="eastAsia"/>
          <w:sz w:val="32"/>
          <w:szCs w:val="32"/>
        </w:rPr>
        <w:t>人。</w:t>
      </w:r>
    </w:p>
    <w:p w14:paraId="69C27A81" w14:textId="77777777" w:rsidR="00941074" w:rsidRPr="00B601F2" w:rsidRDefault="00620E3F" w:rsidP="00961023">
      <w:pPr>
        <w:widowControl/>
        <w:spacing w:line="360" w:lineRule="auto"/>
        <w:ind w:firstLine="556"/>
        <w:rPr>
          <w:rFonts w:ascii="仿宋" w:eastAsia="仿宋" w:hAnsi="仿宋"/>
          <w:sz w:val="32"/>
          <w:szCs w:val="32"/>
        </w:rPr>
      </w:pPr>
      <w:r w:rsidRPr="00B601F2">
        <w:rPr>
          <w:rFonts w:ascii="仿宋" w:eastAsia="仿宋" w:hAnsi="仿宋" w:hint="eastAsia"/>
          <w:sz w:val="32"/>
          <w:szCs w:val="32"/>
        </w:rPr>
        <w:t>中国证监会和全国股转公司不对挂牌公司的投资价值及投资者的收益</w:t>
      </w:r>
      <w:proofErr w:type="gramStart"/>
      <w:r w:rsidRPr="00B601F2">
        <w:rPr>
          <w:rFonts w:ascii="仿宋" w:eastAsia="仿宋" w:hAnsi="仿宋" w:hint="eastAsia"/>
          <w:sz w:val="32"/>
          <w:szCs w:val="32"/>
        </w:rPr>
        <w:t>作出</w:t>
      </w:r>
      <w:proofErr w:type="gramEnd"/>
      <w:r w:rsidRPr="00B601F2">
        <w:rPr>
          <w:rFonts w:ascii="仿宋" w:eastAsia="仿宋" w:hAnsi="仿宋" w:hint="eastAsia"/>
          <w:sz w:val="32"/>
          <w:szCs w:val="32"/>
        </w:rPr>
        <w:t>实质性判断或者保证。</w:t>
      </w:r>
    </w:p>
    <w:p w14:paraId="64E29D79" w14:textId="77777777" w:rsidR="00941074" w:rsidRPr="00B601F2" w:rsidRDefault="00620E3F" w:rsidP="00961023">
      <w:pPr>
        <w:widowControl/>
        <w:spacing w:line="360" w:lineRule="auto"/>
        <w:ind w:firstLine="556"/>
        <w:rPr>
          <w:rFonts w:ascii="仿宋" w:eastAsia="仿宋" w:hAnsi="仿宋"/>
          <w:sz w:val="32"/>
          <w:szCs w:val="32"/>
        </w:rPr>
      </w:pPr>
      <w:r w:rsidRPr="00B601F2">
        <w:rPr>
          <w:rFonts w:ascii="仿宋" w:eastAsia="仿宋" w:hAnsi="仿宋" w:hint="eastAsia"/>
          <w:sz w:val="32"/>
          <w:szCs w:val="32"/>
        </w:rPr>
        <w:t>4.全国股</w:t>
      </w:r>
      <w:proofErr w:type="gramStart"/>
      <w:r w:rsidRPr="00B601F2">
        <w:rPr>
          <w:rFonts w:ascii="仿宋" w:eastAsia="仿宋" w:hAnsi="仿宋" w:hint="eastAsia"/>
          <w:sz w:val="32"/>
          <w:szCs w:val="32"/>
        </w:rPr>
        <w:t>转系统</w:t>
      </w:r>
      <w:proofErr w:type="gramEnd"/>
      <w:r w:rsidRPr="00B601F2">
        <w:rPr>
          <w:rFonts w:ascii="仿宋" w:eastAsia="仿宋" w:hAnsi="仿宋" w:hint="eastAsia"/>
          <w:sz w:val="32"/>
          <w:szCs w:val="32"/>
        </w:rPr>
        <w:t>挂牌公司的信息披露要求与上市公司存在差异。主办券商负责指导和督促挂牌公司规范履行信息披露义务，挂牌公司及</w:t>
      </w:r>
      <w:r w:rsidRPr="00B601F2">
        <w:rPr>
          <w:rFonts w:ascii="仿宋" w:eastAsia="仿宋" w:hAnsi="仿宋"/>
          <w:sz w:val="32"/>
          <w:szCs w:val="32"/>
        </w:rPr>
        <w:t>其他信息披露义务人</w:t>
      </w:r>
      <w:r w:rsidRPr="00B601F2">
        <w:rPr>
          <w:rFonts w:ascii="仿宋" w:eastAsia="仿宋" w:hAnsi="仿宋" w:hint="eastAsia"/>
          <w:sz w:val="32"/>
          <w:szCs w:val="32"/>
        </w:rPr>
        <w:t>对其信息披露内容的真实、准确、完整负责。</w:t>
      </w:r>
    </w:p>
    <w:p w14:paraId="64C01966" w14:textId="77777777" w:rsidR="00941074" w:rsidRPr="00B601F2" w:rsidRDefault="00620E3F" w:rsidP="00961023">
      <w:pPr>
        <w:widowControl/>
        <w:spacing w:line="360" w:lineRule="auto"/>
        <w:ind w:firstLine="556"/>
        <w:rPr>
          <w:rFonts w:ascii="仿宋" w:eastAsia="仿宋" w:hAnsi="仿宋"/>
          <w:sz w:val="32"/>
          <w:szCs w:val="32"/>
        </w:rPr>
      </w:pPr>
      <w:r w:rsidRPr="00B601F2">
        <w:rPr>
          <w:rFonts w:ascii="仿宋" w:eastAsia="仿宋" w:hAnsi="仿宋" w:hint="eastAsia"/>
          <w:sz w:val="32"/>
          <w:szCs w:val="32"/>
        </w:rPr>
        <w:t>5.挂牌公司股票价格可能因多种原因发生波动，投资者应充分关注投资风险。本公司仅为投资者提供代理股票交易服务，对投资损失不承担任何责任。</w:t>
      </w:r>
    </w:p>
    <w:p w14:paraId="389B5438" w14:textId="77777777" w:rsidR="00941074" w:rsidRPr="00B601F2" w:rsidRDefault="00620E3F" w:rsidP="00961023">
      <w:pPr>
        <w:widowControl/>
        <w:spacing w:line="360" w:lineRule="auto"/>
        <w:ind w:firstLine="556"/>
        <w:rPr>
          <w:rFonts w:ascii="仿宋" w:eastAsia="仿宋" w:hAnsi="仿宋"/>
          <w:sz w:val="32"/>
          <w:szCs w:val="32"/>
        </w:rPr>
      </w:pPr>
      <w:r w:rsidRPr="00B601F2">
        <w:rPr>
          <w:rFonts w:ascii="仿宋" w:eastAsia="仿宋" w:hAnsi="仿宋" w:hint="eastAsia"/>
          <w:sz w:val="32"/>
          <w:szCs w:val="32"/>
        </w:rPr>
        <w:t>6.除全国股转公司规定的情形外，不符合参与新三板股票交易准入标准的投资者只能买卖其持有或曾持有的挂牌公司股票，不得委托买卖其他挂牌公司的股票。</w:t>
      </w:r>
    </w:p>
    <w:p w14:paraId="39FAACFB" w14:textId="77777777" w:rsidR="00941074" w:rsidRPr="00B601F2" w:rsidRDefault="00620E3F" w:rsidP="00961023">
      <w:pPr>
        <w:widowControl/>
        <w:spacing w:line="360" w:lineRule="auto"/>
        <w:ind w:firstLine="556"/>
        <w:rPr>
          <w:rFonts w:ascii="仿宋" w:eastAsia="仿宋" w:hAnsi="仿宋"/>
          <w:sz w:val="32"/>
          <w:szCs w:val="32"/>
        </w:rPr>
      </w:pPr>
      <w:r w:rsidRPr="00B601F2">
        <w:rPr>
          <w:rFonts w:ascii="仿宋" w:eastAsia="仿宋" w:hAnsi="仿宋" w:hint="eastAsia"/>
          <w:sz w:val="32"/>
          <w:szCs w:val="32"/>
        </w:rPr>
        <w:t>7.北京证券交易所</w:t>
      </w:r>
      <w:r w:rsidRPr="00B601F2">
        <w:rPr>
          <w:rFonts w:ascii="仿宋" w:eastAsia="仿宋" w:hAnsi="仿宋"/>
          <w:sz w:val="32"/>
          <w:szCs w:val="32"/>
        </w:rPr>
        <w:t>（以下简称“</w:t>
      </w:r>
      <w:r w:rsidRPr="00B601F2">
        <w:rPr>
          <w:rFonts w:ascii="仿宋" w:eastAsia="仿宋" w:hAnsi="仿宋" w:hint="eastAsia"/>
          <w:sz w:val="32"/>
          <w:szCs w:val="32"/>
        </w:rPr>
        <w:t>北交所</w:t>
      </w:r>
      <w:r w:rsidRPr="00B601F2">
        <w:rPr>
          <w:rFonts w:ascii="仿宋" w:eastAsia="仿宋" w:hAnsi="仿宋"/>
          <w:sz w:val="32"/>
          <w:szCs w:val="32"/>
        </w:rPr>
        <w:t>”）</w:t>
      </w:r>
      <w:r w:rsidRPr="00B601F2">
        <w:rPr>
          <w:rFonts w:ascii="仿宋" w:eastAsia="仿宋" w:hAnsi="仿宋" w:hint="eastAsia"/>
          <w:sz w:val="32"/>
          <w:szCs w:val="32"/>
        </w:rPr>
        <w:t>主要服务创新型中小企业，企业多处于成长期，规模可能偏小，往往具有依赖核心技术人员和供应商、客户集中度高、应对外部冲</w:t>
      </w:r>
      <w:r w:rsidRPr="00B601F2">
        <w:rPr>
          <w:rFonts w:ascii="仿宋" w:eastAsia="仿宋" w:hAnsi="仿宋" w:hint="eastAsia"/>
          <w:sz w:val="32"/>
          <w:szCs w:val="32"/>
        </w:rPr>
        <w:lastRenderedPageBreak/>
        <w:t>击能力较弱等特点，企业上市后的持续创新能力、收入及盈利水平等仍具有较大不确定性。</w:t>
      </w:r>
    </w:p>
    <w:p w14:paraId="60CADB58" w14:textId="77777777" w:rsidR="00941074" w:rsidRPr="00B601F2" w:rsidRDefault="00620E3F" w:rsidP="00961023">
      <w:pPr>
        <w:widowControl/>
        <w:spacing w:line="360" w:lineRule="auto"/>
        <w:ind w:firstLine="556"/>
        <w:rPr>
          <w:rFonts w:ascii="仿宋" w:eastAsia="仿宋" w:hAnsi="仿宋"/>
          <w:sz w:val="32"/>
          <w:szCs w:val="32"/>
        </w:rPr>
      </w:pPr>
      <w:r w:rsidRPr="00B601F2">
        <w:rPr>
          <w:rFonts w:ascii="仿宋" w:eastAsia="仿宋" w:hAnsi="仿宋" w:hint="eastAsia"/>
          <w:sz w:val="32"/>
          <w:szCs w:val="32"/>
        </w:rPr>
        <w:t>8.北交所设置四套上市标准，其中允许未盈利企业上市。因此可能存在企业向不特定合格投资者公开发行股票并在北交所上市时尚未盈利、有累计未弥补亏损等情形，以及在上市后仍无法盈利、持续亏损、无法进行利润分配等情况。</w:t>
      </w:r>
    </w:p>
    <w:p w14:paraId="614DA7B7" w14:textId="77777777" w:rsidR="00941074" w:rsidRPr="00B601F2" w:rsidRDefault="00620E3F" w:rsidP="00961023">
      <w:pPr>
        <w:widowControl/>
        <w:spacing w:line="360" w:lineRule="auto"/>
        <w:ind w:firstLine="556"/>
        <w:rPr>
          <w:rFonts w:ascii="仿宋" w:eastAsia="仿宋" w:hAnsi="仿宋"/>
          <w:sz w:val="32"/>
          <w:szCs w:val="32"/>
        </w:rPr>
      </w:pPr>
      <w:r w:rsidRPr="00B601F2">
        <w:rPr>
          <w:rFonts w:ascii="仿宋" w:eastAsia="仿宋" w:hAnsi="仿宋" w:hint="eastAsia"/>
          <w:sz w:val="32"/>
          <w:szCs w:val="32"/>
        </w:rPr>
        <w:t>9.北交所股票发行人发行承销过程中，出现预计发行后总市值无法满足招股文件所</w:t>
      </w:r>
      <w:proofErr w:type="gramStart"/>
      <w:r w:rsidRPr="00B601F2">
        <w:rPr>
          <w:rFonts w:ascii="仿宋" w:eastAsia="仿宋" w:hAnsi="仿宋" w:hint="eastAsia"/>
          <w:sz w:val="32"/>
          <w:szCs w:val="32"/>
        </w:rPr>
        <w:t>选上市</w:t>
      </w:r>
      <w:proofErr w:type="gramEnd"/>
      <w:r w:rsidRPr="00B601F2">
        <w:rPr>
          <w:rFonts w:ascii="仿宋" w:eastAsia="仿宋" w:hAnsi="仿宋" w:hint="eastAsia"/>
          <w:sz w:val="32"/>
          <w:szCs w:val="32"/>
        </w:rPr>
        <w:t>标准的，将按规定中止发行。</w:t>
      </w:r>
    </w:p>
    <w:p w14:paraId="7B281522" w14:textId="77777777" w:rsidR="00941074" w:rsidRPr="00B601F2" w:rsidRDefault="00620E3F" w:rsidP="00961023">
      <w:pPr>
        <w:widowControl/>
        <w:spacing w:line="360" w:lineRule="auto"/>
        <w:ind w:firstLine="556"/>
        <w:rPr>
          <w:rFonts w:ascii="仿宋" w:eastAsia="仿宋" w:hAnsi="仿宋"/>
          <w:sz w:val="32"/>
          <w:szCs w:val="32"/>
        </w:rPr>
      </w:pPr>
      <w:r w:rsidRPr="00B601F2">
        <w:rPr>
          <w:rFonts w:ascii="仿宋" w:eastAsia="仿宋" w:hAnsi="仿宋" w:hint="eastAsia"/>
          <w:sz w:val="32"/>
          <w:szCs w:val="32"/>
        </w:rPr>
        <w:t>10.投资者应关注北交所股票网上发行、回拨比例、申购单位、配售规则、投资风险特别公告发布等股票发行承销制度安排，在申购环节充分知悉相关风险。</w:t>
      </w:r>
    </w:p>
    <w:p w14:paraId="4BBFAAA5" w14:textId="77777777" w:rsidR="00941074" w:rsidRPr="00B601F2" w:rsidRDefault="00620E3F" w:rsidP="00961023">
      <w:pPr>
        <w:widowControl/>
        <w:spacing w:line="360" w:lineRule="auto"/>
        <w:ind w:firstLine="556"/>
        <w:rPr>
          <w:rFonts w:ascii="仿宋" w:eastAsia="仿宋" w:hAnsi="仿宋"/>
          <w:sz w:val="32"/>
          <w:szCs w:val="32"/>
        </w:rPr>
      </w:pPr>
      <w:r w:rsidRPr="00B601F2">
        <w:rPr>
          <w:rFonts w:ascii="仿宋" w:eastAsia="仿宋" w:hAnsi="仿宋" w:hint="eastAsia"/>
          <w:sz w:val="32"/>
          <w:szCs w:val="32"/>
        </w:rPr>
        <w:t>11.在北交所公开发行股票并上市时，发行人和主承销商可以采用超额配售选择权，即存在超额配售选择权实施结束后，发行人增发股票的可能性。</w:t>
      </w:r>
    </w:p>
    <w:p w14:paraId="130247FF" w14:textId="77777777" w:rsidR="00941074" w:rsidRPr="00B601F2" w:rsidRDefault="00620E3F" w:rsidP="00961023">
      <w:pPr>
        <w:widowControl/>
        <w:spacing w:line="360" w:lineRule="auto"/>
        <w:ind w:firstLine="556"/>
        <w:rPr>
          <w:rFonts w:ascii="仿宋" w:eastAsia="仿宋" w:hAnsi="仿宋"/>
          <w:sz w:val="32"/>
          <w:szCs w:val="32"/>
        </w:rPr>
      </w:pPr>
      <w:r w:rsidRPr="00B601F2">
        <w:rPr>
          <w:rFonts w:ascii="仿宋" w:eastAsia="仿宋" w:hAnsi="仿宋" w:hint="eastAsia"/>
          <w:sz w:val="32"/>
          <w:szCs w:val="32"/>
        </w:rPr>
        <w:t>12.投资者应关注北交所股票限售及减持的相关制度安排，充分知悉相关投资风险。</w:t>
      </w:r>
    </w:p>
    <w:p w14:paraId="5990C31F" w14:textId="77777777" w:rsidR="00941074" w:rsidRPr="00B601F2" w:rsidRDefault="00620E3F" w:rsidP="00961023">
      <w:pPr>
        <w:widowControl/>
        <w:spacing w:line="360" w:lineRule="auto"/>
        <w:ind w:firstLine="556"/>
        <w:rPr>
          <w:rFonts w:ascii="仿宋" w:eastAsia="仿宋" w:hAnsi="仿宋"/>
          <w:sz w:val="32"/>
          <w:szCs w:val="32"/>
        </w:rPr>
      </w:pPr>
      <w:r w:rsidRPr="00B601F2">
        <w:rPr>
          <w:rFonts w:ascii="仿宋" w:eastAsia="仿宋" w:hAnsi="仿宋" w:hint="eastAsia"/>
          <w:sz w:val="32"/>
          <w:szCs w:val="32"/>
        </w:rPr>
        <w:t>13.北交所允许上市公司存在表决权差异安排。根据此项安排，上市公司可能存在控制权相对集中，以及因每一特别表决权股份拥有的表决权数量大于每一普通股份拥有的表决权数量等情形，而使普通投资者的表决权利及对公司日常经营等事务的影响力受到限制。出现北交所上市规则及上市</w:t>
      </w:r>
      <w:r w:rsidRPr="00B601F2">
        <w:rPr>
          <w:rFonts w:ascii="仿宋" w:eastAsia="仿宋" w:hAnsi="仿宋" w:hint="eastAsia"/>
          <w:sz w:val="32"/>
          <w:szCs w:val="32"/>
        </w:rPr>
        <w:lastRenderedPageBreak/>
        <w:t>公司章程规定的情形时，特别表决权股份将按1:1的比例转换为普通股份，股份</w:t>
      </w:r>
      <w:proofErr w:type="gramStart"/>
      <w:r w:rsidRPr="00B601F2">
        <w:rPr>
          <w:rFonts w:ascii="仿宋" w:eastAsia="仿宋" w:hAnsi="仿宋" w:hint="eastAsia"/>
          <w:sz w:val="32"/>
          <w:szCs w:val="32"/>
        </w:rPr>
        <w:t>转换自</w:t>
      </w:r>
      <w:proofErr w:type="gramEnd"/>
      <w:r w:rsidRPr="00B601F2">
        <w:rPr>
          <w:rFonts w:ascii="仿宋" w:eastAsia="仿宋" w:hAnsi="仿宋" w:hint="eastAsia"/>
          <w:sz w:val="32"/>
          <w:szCs w:val="32"/>
        </w:rPr>
        <w:t>相关情形发生时生效，并可能与相关股份转换登记时点存在差异。投资者需及时关注上市公司相关公告，以了解特别表决权股份变动事宜。</w:t>
      </w:r>
    </w:p>
    <w:p w14:paraId="219A7306" w14:textId="77777777" w:rsidR="00941074" w:rsidRPr="00B601F2" w:rsidRDefault="00620E3F" w:rsidP="00961023">
      <w:pPr>
        <w:widowControl/>
        <w:spacing w:line="360" w:lineRule="auto"/>
        <w:ind w:firstLine="556"/>
        <w:rPr>
          <w:rFonts w:ascii="仿宋" w:eastAsia="仿宋" w:hAnsi="仿宋"/>
          <w:sz w:val="32"/>
          <w:szCs w:val="32"/>
        </w:rPr>
      </w:pPr>
      <w:r w:rsidRPr="00B601F2">
        <w:rPr>
          <w:rFonts w:ascii="仿宋" w:eastAsia="仿宋" w:hAnsi="仿宋" w:hint="eastAsia"/>
          <w:sz w:val="32"/>
          <w:szCs w:val="32"/>
        </w:rPr>
        <w:t>14.北交所股票交易具有盘中临时停牌情形，设有异常波动股票核查制度，投资者应当关注与此相关的风险。</w:t>
      </w:r>
    </w:p>
    <w:p w14:paraId="3D3B8333" w14:textId="77777777" w:rsidR="00941074" w:rsidRPr="00B601F2" w:rsidRDefault="00620E3F" w:rsidP="00961023">
      <w:pPr>
        <w:widowControl/>
        <w:spacing w:line="360" w:lineRule="auto"/>
        <w:ind w:firstLine="556"/>
        <w:rPr>
          <w:rFonts w:ascii="仿宋" w:eastAsia="仿宋" w:hAnsi="仿宋"/>
          <w:sz w:val="32"/>
          <w:szCs w:val="32"/>
        </w:rPr>
      </w:pPr>
      <w:r w:rsidRPr="00B601F2">
        <w:rPr>
          <w:rFonts w:ascii="仿宋" w:eastAsia="仿宋" w:hAnsi="仿宋" w:hint="eastAsia"/>
          <w:sz w:val="32"/>
          <w:szCs w:val="32"/>
        </w:rPr>
        <w:t>15.投资者应关注北交所股票交易的单笔申报数量、最小价格变动单位、有效申报价格范围等基本交易规则，避免产生无效申报。</w:t>
      </w:r>
    </w:p>
    <w:p w14:paraId="2F250316" w14:textId="77777777" w:rsidR="00941074" w:rsidRPr="00B601F2" w:rsidRDefault="00620E3F" w:rsidP="00961023">
      <w:pPr>
        <w:widowControl/>
        <w:spacing w:line="360" w:lineRule="auto"/>
        <w:ind w:firstLine="556"/>
        <w:rPr>
          <w:rFonts w:ascii="仿宋" w:eastAsia="仿宋" w:hAnsi="仿宋"/>
          <w:sz w:val="32"/>
          <w:szCs w:val="32"/>
        </w:rPr>
      </w:pPr>
      <w:r w:rsidRPr="00B601F2">
        <w:rPr>
          <w:rFonts w:ascii="仿宋" w:eastAsia="仿宋" w:hAnsi="仿宋" w:hint="eastAsia"/>
          <w:sz w:val="32"/>
          <w:szCs w:val="32"/>
        </w:rPr>
        <w:t>16.北交所证券相关法律、行政法规、部门规章、规范性文件（以下简称法律法规）和交易所业务规则，可能根据公开征求意见结果和市场情况进行修改，或者由相关部门制定新的法律法规和业务规则，投资者应当及时予以关注和了解。</w:t>
      </w:r>
    </w:p>
    <w:p w14:paraId="39F42860" w14:textId="77777777" w:rsidR="00941074" w:rsidRPr="00927DFF" w:rsidRDefault="00620E3F" w:rsidP="00961023">
      <w:pPr>
        <w:widowControl/>
        <w:spacing w:line="360" w:lineRule="auto"/>
        <w:ind w:firstLine="556"/>
        <w:rPr>
          <w:rFonts w:ascii="仿宋" w:eastAsia="仿宋" w:hAnsi="仿宋"/>
          <w:b/>
          <w:sz w:val="32"/>
          <w:szCs w:val="32"/>
        </w:rPr>
      </w:pPr>
      <w:r w:rsidRPr="00927DFF">
        <w:rPr>
          <w:rFonts w:ascii="仿宋" w:eastAsia="仿宋" w:hAnsi="仿宋" w:hint="eastAsia"/>
          <w:b/>
          <w:sz w:val="32"/>
          <w:szCs w:val="32"/>
        </w:rPr>
        <w:t>二、风险揭示</w:t>
      </w:r>
    </w:p>
    <w:p w14:paraId="66BDCC5B" w14:textId="77777777" w:rsidR="00941074" w:rsidRPr="00B601F2" w:rsidRDefault="00620E3F" w:rsidP="00961023">
      <w:pPr>
        <w:widowControl/>
        <w:spacing w:line="360" w:lineRule="auto"/>
        <w:ind w:firstLine="556"/>
        <w:rPr>
          <w:rFonts w:ascii="仿宋" w:eastAsia="仿宋" w:hAnsi="仿宋"/>
          <w:sz w:val="32"/>
          <w:szCs w:val="32"/>
        </w:rPr>
      </w:pPr>
      <w:r w:rsidRPr="00B601F2">
        <w:rPr>
          <w:rFonts w:ascii="仿宋" w:eastAsia="仿宋" w:hAnsi="仿宋" w:hint="eastAsia"/>
          <w:sz w:val="32"/>
          <w:szCs w:val="32"/>
        </w:rPr>
        <w:t>参与挂牌公司股票交易，除股票投资的共有风险外，还应特别关注以下风险：</w:t>
      </w:r>
    </w:p>
    <w:p w14:paraId="1A55A4F7" w14:textId="77777777" w:rsidR="00941074" w:rsidRPr="00B601F2" w:rsidRDefault="00620E3F" w:rsidP="00961023">
      <w:pPr>
        <w:widowControl/>
        <w:spacing w:line="360" w:lineRule="auto"/>
        <w:ind w:firstLine="556"/>
        <w:rPr>
          <w:rFonts w:ascii="仿宋" w:eastAsia="仿宋" w:hAnsi="仿宋"/>
          <w:sz w:val="32"/>
          <w:szCs w:val="32"/>
        </w:rPr>
      </w:pPr>
      <w:r w:rsidRPr="00B601F2">
        <w:rPr>
          <w:rFonts w:ascii="仿宋" w:eastAsia="仿宋" w:hAnsi="仿宋"/>
          <w:sz w:val="32"/>
          <w:szCs w:val="32"/>
        </w:rPr>
        <w:t>1</w:t>
      </w:r>
      <w:r w:rsidRPr="00B601F2">
        <w:rPr>
          <w:rFonts w:ascii="仿宋" w:eastAsia="仿宋" w:hAnsi="仿宋" w:hint="eastAsia"/>
          <w:sz w:val="32"/>
          <w:szCs w:val="32"/>
        </w:rPr>
        <w:t>.公司风险：部分挂牌公司具有规模较小，对单一技术依赖度较高，受技术更新换代影响较大；对核心技术人员依赖度较高；客户集中度高，议价能力不强等特点。部分公司抗市场风险和行业风险的能力较弱，业务收入可能波动较大。</w:t>
      </w:r>
    </w:p>
    <w:p w14:paraId="62A64C67" w14:textId="77777777" w:rsidR="00941074" w:rsidRPr="00B601F2" w:rsidRDefault="00620E3F" w:rsidP="00961023">
      <w:pPr>
        <w:widowControl/>
        <w:spacing w:line="360" w:lineRule="auto"/>
        <w:ind w:firstLine="556"/>
        <w:rPr>
          <w:rFonts w:ascii="仿宋" w:eastAsia="仿宋" w:hAnsi="仿宋"/>
          <w:sz w:val="32"/>
          <w:szCs w:val="32"/>
        </w:rPr>
      </w:pPr>
      <w:r w:rsidRPr="00B601F2">
        <w:rPr>
          <w:rFonts w:ascii="仿宋" w:eastAsia="仿宋" w:hAnsi="仿宋"/>
          <w:sz w:val="32"/>
          <w:szCs w:val="32"/>
        </w:rPr>
        <w:t>2</w:t>
      </w:r>
      <w:r w:rsidRPr="00B601F2">
        <w:rPr>
          <w:rFonts w:ascii="仿宋" w:eastAsia="仿宋" w:hAnsi="仿宋" w:hint="eastAsia"/>
          <w:sz w:val="32"/>
          <w:szCs w:val="32"/>
        </w:rPr>
        <w:t>.流动性风险：与上市公司相比，挂牌公司股权相对集中，市场整体流动性低于沪深证券交易所。</w:t>
      </w:r>
    </w:p>
    <w:p w14:paraId="20CDFFDC" w14:textId="77777777" w:rsidR="00941074" w:rsidRPr="00B601F2" w:rsidRDefault="00620E3F" w:rsidP="00961023">
      <w:pPr>
        <w:widowControl/>
        <w:spacing w:line="360" w:lineRule="auto"/>
        <w:ind w:firstLine="556"/>
        <w:rPr>
          <w:rFonts w:ascii="仿宋" w:eastAsia="仿宋" w:hAnsi="仿宋"/>
          <w:sz w:val="32"/>
          <w:szCs w:val="32"/>
        </w:rPr>
      </w:pPr>
      <w:r w:rsidRPr="00B601F2">
        <w:rPr>
          <w:rFonts w:ascii="仿宋" w:eastAsia="仿宋" w:hAnsi="仿宋"/>
          <w:sz w:val="32"/>
          <w:szCs w:val="32"/>
        </w:rPr>
        <w:lastRenderedPageBreak/>
        <w:t>3</w:t>
      </w:r>
      <w:r w:rsidRPr="00B601F2">
        <w:rPr>
          <w:rFonts w:ascii="仿宋" w:eastAsia="仿宋" w:hAnsi="仿宋" w:hint="eastAsia"/>
          <w:sz w:val="32"/>
          <w:szCs w:val="32"/>
        </w:rPr>
        <w:t>.信息风险：挂牌公司信息披露要求和标准与</w:t>
      </w:r>
      <w:r w:rsidRPr="00B601F2">
        <w:rPr>
          <w:rFonts w:ascii="仿宋" w:eastAsia="仿宋" w:hAnsi="仿宋"/>
          <w:sz w:val="32"/>
          <w:szCs w:val="32"/>
        </w:rPr>
        <w:t>上市公司</w:t>
      </w:r>
      <w:r w:rsidRPr="00B601F2">
        <w:rPr>
          <w:rFonts w:ascii="仿宋" w:eastAsia="仿宋" w:hAnsi="仿宋" w:hint="eastAsia"/>
          <w:sz w:val="32"/>
          <w:szCs w:val="32"/>
        </w:rPr>
        <w:t>存在</w:t>
      </w:r>
      <w:r w:rsidRPr="00B601F2">
        <w:rPr>
          <w:rFonts w:ascii="仿宋" w:eastAsia="仿宋" w:hAnsi="仿宋"/>
          <w:sz w:val="32"/>
          <w:szCs w:val="32"/>
        </w:rPr>
        <w:t>差异</w:t>
      </w:r>
      <w:r w:rsidRPr="00B601F2">
        <w:rPr>
          <w:rFonts w:ascii="仿宋" w:eastAsia="仿宋" w:hAnsi="仿宋" w:hint="eastAsia"/>
          <w:sz w:val="32"/>
          <w:szCs w:val="32"/>
        </w:rPr>
        <w:t>，除挂牌公司所披露的信息外，投资者还需认真获取和</w:t>
      </w:r>
      <w:proofErr w:type="gramStart"/>
      <w:r w:rsidRPr="00B601F2">
        <w:rPr>
          <w:rFonts w:ascii="仿宋" w:eastAsia="仿宋" w:hAnsi="仿宋" w:hint="eastAsia"/>
          <w:sz w:val="32"/>
          <w:szCs w:val="32"/>
        </w:rPr>
        <w:t>研判</w:t>
      </w:r>
      <w:proofErr w:type="gramEnd"/>
      <w:r w:rsidRPr="00B601F2">
        <w:rPr>
          <w:rFonts w:ascii="仿宋" w:eastAsia="仿宋" w:hAnsi="仿宋" w:hint="eastAsia"/>
          <w:sz w:val="32"/>
          <w:szCs w:val="32"/>
        </w:rPr>
        <w:t>其他信息，审慎做出投资决策。</w:t>
      </w:r>
    </w:p>
    <w:p w14:paraId="19DD58BE" w14:textId="77777777" w:rsidR="00941074" w:rsidRPr="00B601F2" w:rsidRDefault="00620E3F" w:rsidP="00961023">
      <w:pPr>
        <w:widowControl/>
        <w:spacing w:line="360" w:lineRule="auto"/>
        <w:ind w:firstLine="556"/>
        <w:rPr>
          <w:rFonts w:ascii="仿宋" w:eastAsia="仿宋" w:hAnsi="仿宋"/>
          <w:sz w:val="32"/>
          <w:szCs w:val="32"/>
        </w:rPr>
      </w:pPr>
      <w:r w:rsidRPr="00B601F2">
        <w:rPr>
          <w:rFonts w:ascii="仿宋" w:eastAsia="仿宋" w:hAnsi="仿宋" w:hint="eastAsia"/>
          <w:sz w:val="32"/>
          <w:szCs w:val="32"/>
        </w:rPr>
        <w:t>4.股价波动风险：北交所新股发行价格、发行时点、发行规模、发行节奏等坚持市场化导向。新股发行可以采用定价、询价、竞价三种方式，由发行人和主承销商协商确定。采用询价方式的，询价对象限定为在中国证券业协会注册、符合中国证券业协会规定条件并已开通北交所交易权限的网下投资者，不符合规定条件、未注册的个人投资者无法直接参与发行定价。同时，因北交所上市企业多聚焦行业细分领域，业绩受外部环境影响大，可比公司较少，传统估值方法可能不适用，上市后可能存在股价波动的风险。</w:t>
      </w:r>
    </w:p>
    <w:p w14:paraId="5BA21EE1" w14:textId="77777777" w:rsidR="00941074" w:rsidRPr="00B601F2" w:rsidRDefault="00620E3F" w:rsidP="00961023">
      <w:pPr>
        <w:widowControl/>
        <w:spacing w:line="360" w:lineRule="auto"/>
        <w:ind w:firstLine="556"/>
        <w:rPr>
          <w:rFonts w:ascii="仿宋" w:eastAsia="仿宋" w:hAnsi="仿宋"/>
          <w:sz w:val="32"/>
          <w:szCs w:val="32"/>
        </w:rPr>
      </w:pPr>
      <w:r w:rsidRPr="00B601F2">
        <w:rPr>
          <w:rFonts w:ascii="仿宋" w:eastAsia="仿宋" w:hAnsi="仿宋" w:hint="eastAsia"/>
          <w:sz w:val="32"/>
          <w:szCs w:val="32"/>
        </w:rPr>
        <w:t>北交所股票上市首日不设涨跌幅限制，其后涨跌幅限制为30%，投资者应当关注可能产生的股价波动风险。</w:t>
      </w:r>
    </w:p>
    <w:p w14:paraId="75877DDE" w14:textId="77777777" w:rsidR="00941074" w:rsidRPr="00B601F2" w:rsidRDefault="00620E3F" w:rsidP="00961023">
      <w:pPr>
        <w:widowControl/>
        <w:spacing w:line="360" w:lineRule="auto"/>
        <w:ind w:firstLine="556"/>
        <w:rPr>
          <w:rFonts w:ascii="仿宋" w:eastAsia="仿宋" w:hAnsi="仿宋"/>
          <w:sz w:val="32"/>
          <w:szCs w:val="32"/>
        </w:rPr>
      </w:pPr>
      <w:r w:rsidRPr="00B601F2">
        <w:rPr>
          <w:rFonts w:ascii="仿宋" w:eastAsia="仿宋" w:hAnsi="仿宋" w:hint="eastAsia"/>
          <w:sz w:val="32"/>
          <w:szCs w:val="32"/>
        </w:rPr>
        <w:t>5.终止上市风险：北交所股票可能因触及退市情形被终止上市。因触及交易类情形被终止上市的北交所股票，不进入退市整理期；因触及财务类、规范类及重大违法类情形被终止上市的，进入退市整理期交易15个交易日，且首个交易日不设价格涨跌幅限制。投资者应当充分了解北交所退市制度及相关规定，密切关注北交所股票退市相关风险，及时从符合《证券法》规定的信息披露平台获取相关信息。</w:t>
      </w:r>
    </w:p>
    <w:p w14:paraId="1482B8F3" w14:textId="75754AA0" w:rsidR="00EB15D5" w:rsidRPr="00B601F2" w:rsidRDefault="00EB15D5" w:rsidP="00961023">
      <w:pPr>
        <w:widowControl/>
        <w:spacing w:line="360" w:lineRule="auto"/>
        <w:ind w:firstLine="556"/>
        <w:rPr>
          <w:rFonts w:ascii="仿宋" w:eastAsia="仿宋" w:hAnsi="仿宋"/>
          <w:b/>
          <w:bCs/>
          <w:sz w:val="32"/>
          <w:szCs w:val="32"/>
        </w:rPr>
      </w:pPr>
      <w:r w:rsidRPr="00B601F2">
        <w:rPr>
          <w:rFonts w:ascii="仿宋" w:eastAsia="仿宋" w:hAnsi="仿宋" w:hint="eastAsia"/>
          <w:b/>
          <w:bCs/>
          <w:sz w:val="32"/>
          <w:szCs w:val="32"/>
        </w:rPr>
        <w:t>三、与业务相关的重要信息</w:t>
      </w:r>
    </w:p>
    <w:p w14:paraId="3FE343B1" w14:textId="77777777" w:rsidR="00EB15D5" w:rsidRPr="00B601F2" w:rsidRDefault="00EB15D5" w:rsidP="00961023">
      <w:pPr>
        <w:widowControl/>
        <w:spacing w:line="360" w:lineRule="auto"/>
        <w:ind w:firstLine="556"/>
        <w:rPr>
          <w:rFonts w:ascii="仿宋" w:eastAsia="仿宋" w:hAnsi="仿宋"/>
          <w:b/>
          <w:bCs/>
          <w:sz w:val="32"/>
          <w:szCs w:val="32"/>
        </w:rPr>
      </w:pPr>
      <w:r w:rsidRPr="00B601F2">
        <w:rPr>
          <w:rFonts w:ascii="仿宋" w:eastAsia="仿宋" w:hAnsi="仿宋" w:hint="eastAsia"/>
          <w:b/>
          <w:bCs/>
          <w:sz w:val="32"/>
          <w:szCs w:val="32"/>
        </w:rPr>
        <w:lastRenderedPageBreak/>
        <w:t>（一）参与该业务可能直接导致本金亏损的事项，包括但不限于：股票价格出现大幅波动、盘中临时停牌、终止挂牌等情形；</w:t>
      </w:r>
    </w:p>
    <w:p w14:paraId="0CA8A982" w14:textId="77777777" w:rsidR="00EB15D5" w:rsidRPr="00B601F2" w:rsidRDefault="00EB15D5" w:rsidP="00961023">
      <w:pPr>
        <w:widowControl/>
        <w:spacing w:line="360" w:lineRule="auto"/>
        <w:ind w:firstLine="556"/>
        <w:rPr>
          <w:rFonts w:ascii="仿宋" w:eastAsia="仿宋" w:hAnsi="仿宋"/>
          <w:b/>
          <w:bCs/>
          <w:sz w:val="32"/>
          <w:szCs w:val="32"/>
        </w:rPr>
      </w:pPr>
      <w:r w:rsidRPr="00B601F2">
        <w:rPr>
          <w:rFonts w:ascii="仿宋" w:eastAsia="仿宋" w:hAnsi="仿宋" w:hint="eastAsia"/>
          <w:b/>
          <w:bCs/>
          <w:sz w:val="32"/>
          <w:szCs w:val="32"/>
        </w:rPr>
        <w:t>（二）暂不存在参与该业务可能直接导致超过原始本金损失的事项；</w:t>
      </w:r>
    </w:p>
    <w:p w14:paraId="3D7B894A" w14:textId="49E2FD65" w:rsidR="00EB15D5" w:rsidRPr="00B601F2" w:rsidRDefault="00EB15D5" w:rsidP="00961023">
      <w:pPr>
        <w:widowControl/>
        <w:spacing w:line="360" w:lineRule="auto"/>
        <w:ind w:firstLine="556"/>
        <w:rPr>
          <w:rFonts w:ascii="仿宋" w:eastAsia="仿宋" w:hAnsi="仿宋"/>
          <w:b/>
          <w:bCs/>
          <w:sz w:val="32"/>
          <w:szCs w:val="32"/>
        </w:rPr>
      </w:pPr>
      <w:r w:rsidRPr="00B601F2">
        <w:rPr>
          <w:rFonts w:ascii="仿宋" w:eastAsia="仿宋" w:hAnsi="仿宋" w:hint="eastAsia"/>
          <w:b/>
          <w:bCs/>
          <w:sz w:val="32"/>
          <w:szCs w:val="32"/>
        </w:rPr>
        <w:t>（三）可能存在因我司业务或财产状况变化，导致投资者参与该业务本金亏损或者影响投资者判断的事项，</w:t>
      </w:r>
      <w:r w:rsidRPr="00B601F2">
        <w:rPr>
          <w:rFonts w:ascii="仿宋" w:eastAsia="仿宋" w:hAnsi="仿宋"/>
          <w:b/>
          <w:bCs/>
          <w:sz w:val="32"/>
          <w:szCs w:val="32"/>
        </w:rPr>
        <w:t xml:space="preserve"> 包括但不限于：</w:t>
      </w:r>
      <w:r w:rsidR="00A92E28">
        <w:rPr>
          <w:rFonts w:ascii="仿宋" w:eastAsia="仿宋" w:hAnsi="仿宋" w:cs="Times New Roman" w:hint="eastAsia"/>
          <w:b/>
          <w:sz w:val="32"/>
          <w:szCs w:val="32"/>
        </w:rPr>
        <w:t>因</w:t>
      </w:r>
      <w:r w:rsidR="00A92E28" w:rsidRPr="003505CF">
        <w:rPr>
          <w:rFonts w:ascii="仿宋" w:eastAsia="仿宋" w:hAnsi="仿宋" w:cs="Times New Roman"/>
          <w:b/>
          <w:sz w:val="32"/>
          <w:szCs w:val="32"/>
        </w:rPr>
        <w:t>业务经营、净资本、负债情况、股权事项等财产状况或公司治理状况发生变化引发经营风险</w:t>
      </w:r>
      <w:r w:rsidR="00A92E28" w:rsidRPr="003505CF">
        <w:rPr>
          <w:rFonts w:ascii="仿宋" w:eastAsia="仿宋" w:hAnsi="仿宋" w:cs="Times New Roman" w:hint="eastAsia"/>
          <w:b/>
          <w:sz w:val="32"/>
          <w:szCs w:val="32"/>
        </w:rPr>
        <w:t>、</w:t>
      </w:r>
      <w:r w:rsidRPr="00B601F2">
        <w:rPr>
          <w:rFonts w:ascii="仿宋" w:eastAsia="仿宋" w:hAnsi="仿宋" w:hint="eastAsia"/>
          <w:b/>
          <w:bCs/>
          <w:sz w:val="32"/>
          <w:szCs w:val="32"/>
        </w:rPr>
        <w:t>被证券监管机构取消业务资格、停业整顿、责令关闭、撤销或被人民法院宣告进入破产程序或解散不能履行职责等情形；</w:t>
      </w:r>
    </w:p>
    <w:p w14:paraId="474EA40A" w14:textId="77777777" w:rsidR="00EB15D5" w:rsidRPr="00B601F2" w:rsidRDefault="00EB15D5" w:rsidP="00961023">
      <w:pPr>
        <w:widowControl/>
        <w:spacing w:line="360" w:lineRule="auto"/>
        <w:ind w:firstLine="556"/>
        <w:rPr>
          <w:rFonts w:ascii="仿宋" w:eastAsia="仿宋" w:hAnsi="仿宋"/>
          <w:b/>
          <w:bCs/>
          <w:sz w:val="32"/>
          <w:szCs w:val="32"/>
        </w:rPr>
      </w:pPr>
      <w:r w:rsidRPr="00B601F2">
        <w:rPr>
          <w:rFonts w:ascii="仿宋" w:eastAsia="仿宋" w:hAnsi="仿宋" w:hint="eastAsia"/>
          <w:b/>
          <w:bCs/>
          <w:sz w:val="32"/>
          <w:szCs w:val="32"/>
        </w:rPr>
        <w:t>（四）可能存在限制投资者权利行使期限或者可解除合同期限的事项，包括但不限于：投资者所提供的基本资料、财务状况、投资经验、交易需求、风险偏好、诚信记录等信息与实际情况不符；违反监管机构账户实名制、异常交易管理、适当性管理、反洗钱等管理要求；有违法违规证券交易等情形。</w:t>
      </w:r>
    </w:p>
    <w:p w14:paraId="791E6E20" w14:textId="77777777" w:rsidR="00EB15D5" w:rsidRPr="00B601F2" w:rsidRDefault="00EB15D5" w:rsidP="00B601F2">
      <w:pPr>
        <w:widowControl/>
        <w:spacing w:line="360" w:lineRule="auto"/>
        <w:ind w:firstLine="556"/>
        <w:jc w:val="left"/>
        <w:rPr>
          <w:rFonts w:ascii="仿宋" w:eastAsia="仿宋" w:hAnsi="仿宋"/>
          <w:b/>
          <w:bCs/>
          <w:sz w:val="32"/>
          <w:szCs w:val="32"/>
        </w:rPr>
      </w:pPr>
    </w:p>
    <w:p w14:paraId="0C26FFDE" w14:textId="77777777" w:rsidR="00EB15D5" w:rsidRPr="00B601F2" w:rsidRDefault="00EB15D5" w:rsidP="00B601F2">
      <w:pPr>
        <w:widowControl/>
        <w:spacing w:line="360" w:lineRule="auto"/>
        <w:ind w:firstLine="556"/>
        <w:jc w:val="left"/>
        <w:rPr>
          <w:rFonts w:ascii="仿宋" w:eastAsia="仿宋" w:hAnsi="仿宋"/>
          <w:b/>
          <w:bCs/>
          <w:sz w:val="32"/>
          <w:szCs w:val="32"/>
        </w:rPr>
      </w:pPr>
    </w:p>
    <w:p w14:paraId="66334CBD" w14:textId="77777777" w:rsidR="00EB15D5" w:rsidRPr="00B601F2" w:rsidRDefault="00EB15D5" w:rsidP="00B601F2">
      <w:pPr>
        <w:widowControl/>
        <w:spacing w:line="360" w:lineRule="auto"/>
        <w:ind w:firstLine="556"/>
        <w:jc w:val="left"/>
        <w:rPr>
          <w:rFonts w:ascii="仿宋" w:eastAsia="仿宋" w:hAnsi="仿宋"/>
          <w:b/>
          <w:bCs/>
          <w:sz w:val="32"/>
          <w:szCs w:val="32"/>
        </w:rPr>
      </w:pPr>
    </w:p>
    <w:p w14:paraId="6B77B4B3" w14:textId="77777777" w:rsidR="00EB15D5" w:rsidRPr="00B601F2" w:rsidRDefault="00EB15D5" w:rsidP="00B601F2">
      <w:pPr>
        <w:widowControl/>
        <w:spacing w:line="360" w:lineRule="auto"/>
        <w:ind w:firstLine="556"/>
        <w:jc w:val="left"/>
        <w:rPr>
          <w:rFonts w:ascii="仿宋" w:eastAsia="仿宋" w:hAnsi="仿宋"/>
          <w:b/>
          <w:bCs/>
          <w:sz w:val="32"/>
          <w:szCs w:val="32"/>
        </w:rPr>
      </w:pPr>
    </w:p>
    <w:p w14:paraId="6A58D6E0" w14:textId="77777777" w:rsidR="00EB15D5" w:rsidRPr="00B601F2" w:rsidRDefault="00EB15D5" w:rsidP="00B601F2">
      <w:pPr>
        <w:widowControl/>
        <w:spacing w:line="360" w:lineRule="auto"/>
        <w:ind w:firstLine="556"/>
        <w:jc w:val="left"/>
        <w:rPr>
          <w:rFonts w:ascii="仿宋" w:eastAsia="仿宋" w:hAnsi="仿宋"/>
          <w:b/>
          <w:bCs/>
          <w:sz w:val="32"/>
          <w:szCs w:val="32"/>
        </w:rPr>
      </w:pPr>
    </w:p>
    <w:p w14:paraId="22156196" w14:textId="77777777" w:rsidR="00EB15D5" w:rsidRPr="00B601F2" w:rsidRDefault="00EB15D5" w:rsidP="00015B56">
      <w:pPr>
        <w:widowControl/>
        <w:spacing w:line="360" w:lineRule="auto"/>
        <w:jc w:val="left"/>
        <w:rPr>
          <w:rFonts w:ascii="仿宋" w:eastAsia="仿宋" w:hAnsi="仿宋"/>
          <w:b/>
          <w:bCs/>
          <w:sz w:val="32"/>
          <w:szCs w:val="32"/>
        </w:rPr>
      </w:pPr>
    </w:p>
    <w:p w14:paraId="69F4AF92" w14:textId="4329C562" w:rsidR="00941074" w:rsidRPr="00B601F2" w:rsidRDefault="00B601F2" w:rsidP="00B601F2">
      <w:pPr>
        <w:widowControl/>
        <w:spacing w:line="360" w:lineRule="auto"/>
        <w:rPr>
          <w:rFonts w:ascii="仿宋" w:eastAsia="仿宋" w:hAnsi="仿宋"/>
          <w:b/>
          <w:sz w:val="32"/>
          <w:szCs w:val="32"/>
          <w:u w:val="double"/>
        </w:rPr>
      </w:pPr>
      <w:r w:rsidRPr="004531D6">
        <w:rPr>
          <w:rFonts w:ascii="仿宋" w:eastAsia="仿宋" w:hAnsi="仿宋" w:hint="eastAsia"/>
          <w:b/>
          <w:sz w:val="32"/>
          <w:szCs w:val="32"/>
          <w:u w:val="double"/>
        </w:rPr>
        <w:t>特别提示：</w:t>
      </w:r>
    </w:p>
    <w:p w14:paraId="753FC9ED" w14:textId="3589CF26" w:rsidR="00591A09" w:rsidRDefault="00591A09" w:rsidP="00591A09">
      <w:pPr>
        <w:widowControl/>
        <w:ind w:firstLineChars="200" w:firstLine="643"/>
        <w:jc w:val="left"/>
        <w:rPr>
          <w:rFonts w:ascii="仿宋" w:eastAsia="仿宋" w:hAnsi="仿宋" w:cs="宋体"/>
          <w:b/>
          <w:bCs/>
          <w:color w:val="000000"/>
          <w:kern w:val="0"/>
          <w:sz w:val="32"/>
          <w:szCs w:val="32"/>
          <w:u w:val="double"/>
        </w:rPr>
      </w:pPr>
      <w:r>
        <w:rPr>
          <w:rFonts w:ascii="仿宋" w:eastAsia="仿宋" w:hAnsi="仿宋" w:cs="宋体" w:hint="eastAsia"/>
          <w:b/>
          <w:bCs/>
          <w:color w:val="000000"/>
          <w:kern w:val="0"/>
          <w:sz w:val="32"/>
          <w:szCs w:val="32"/>
          <w:u w:val="double"/>
        </w:rPr>
        <w:t>本《风险揭示书》的揭示事项仅为列举性质，未能详尽列明挂牌公司及北交所股票交易的所有风险，且未来有关法律法规和业务规则修订时可能不会要求投资者重新签署《风险揭示书》。投资者务必知晓本《风险揭示书》的揭示事项以及证券市场的固有风险可能直接导致您的本金亏损或超过原始本金损失，投资者在参与交易前，应当认真阅读有关法律法规、交易所、股转公司和登记结算机构业务规则等相关规定和</w:t>
      </w:r>
      <w:proofErr w:type="gramStart"/>
      <w:r>
        <w:rPr>
          <w:rFonts w:ascii="仿宋" w:eastAsia="仿宋" w:hAnsi="仿宋" w:cs="宋体" w:hint="eastAsia"/>
          <w:b/>
          <w:bCs/>
          <w:color w:val="000000"/>
          <w:kern w:val="0"/>
          <w:sz w:val="32"/>
          <w:szCs w:val="32"/>
          <w:u w:val="double"/>
        </w:rPr>
        <w:t>本风险</w:t>
      </w:r>
      <w:proofErr w:type="gramEnd"/>
      <w:r>
        <w:rPr>
          <w:rFonts w:ascii="仿宋" w:eastAsia="仿宋" w:hAnsi="仿宋" w:cs="宋体" w:hint="eastAsia"/>
          <w:b/>
          <w:bCs/>
          <w:color w:val="000000"/>
          <w:kern w:val="0"/>
          <w:sz w:val="32"/>
          <w:szCs w:val="32"/>
          <w:u w:val="double"/>
        </w:rPr>
        <w:t>揭示书的全部内容，对其他可能存在的风险因素也应当有所了解和掌握，并确信自己已做好足够的风险评估与财务安排，避免因参与挂牌公司及北交所股票交易遭受难以承受的损失。</w:t>
      </w:r>
    </w:p>
    <w:p w14:paraId="5BFF3185" w14:textId="31923F80" w:rsidR="0065236F" w:rsidRPr="00591A09" w:rsidRDefault="00591A09" w:rsidP="00591A09">
      <w:pPr>
        <w:widowControl/>
        <w:ind w:firstLineChars="200" w:firstLine="643"/>
        <w:jc w:val="left"/>
        <w:rPr>
          <w:rFonts w:ascii="宋体" w:hAnsi="宋体" w:cs="宋体"/>
          <w:kern w:val="0"/>
          <w:sz w:val="24"/>
          <w:szCs w:val="24"/>
          <w:u w:val="double"/>
        </w:rPr>
      </w:pPr>
      <w:r w:rsidRPr="009663EA">
        <w:rPr>
          <w:rFonts w:ascii="仿宋" w:eastAsia="仿宋" w:hAnsi="仿宋" w:cs="宋体" w:hint="eastAsia"/>
          <w:b/>
          <w:bCs/>
          <w:color w:val="000000"/>
          <w:kern w:val="0"/>
          <w:sz w:val="32"/>
          <w:szCs w:val="32"/>
          <w:u w:val="double"/>
        </w:rPr>
        <w:t>投资者在本《风险揭示书》上签字，即表明投资者已经理解并愿意自行承担参与</w:t>
      </w:r>
      <w:r>
        <w:rPr>
          <w:rFonts w:ascii="仿宋" w:eastAsia="仿宋" w:hAnsi="仿宋" w:cs="宋体" w:hint="eastAsia"/>
          <w:b/>
          <w:bCs/>
          <w:color w:val="000000"/>
          <w:kern w:val="0"/>
          <w:sz w:val="32"/>
          <w:szCs w:val="32"/>
          <w:u w:val="double"/>
        </w:rPr>
        <w:t>挂牌公司及北交所股票交易</w:t>
      </w:r>
      <w:r w:rsidRPr="009663EA">
        <w:rPr>
          <w:rFonts w:ascii="仿宋" w:eastAsia="仿宋" w:hAnsi="仿宋" w:cs="宋体" w:hint="eastAsia"/>
          <w:b/>
          <w:bCs/>
          <w:color w:val="000000"/>
          <w:kern w:val="0"/>
          <w:sz w:val="32"/>
          <w:szCs w:val="32"/>
          <w:u w:val="double"/>
        </w:rPr>
        <w:t>的风险和损失。</w:t>
      </w:r>
    </w:p>
    <w:p w14:paraId="681B9441" w14:textId="77777777" w:rsidR="0065236F" w:rsidRDefault="0065236F" w:rsidP="0065236F">
      <w:pPr>
        <w:widowControl/>
        <w:rPr>
          <w:rFonts w:ascii="仿宋" w:eastAsia="仿宋" w:hAnsi="仿宋" w:cs="宋体"/>
          <w:b/>
          <w:bCs/>
          <w:color w:val="000000"/>
          <w:kern w:val="0"/>
          <w:sz w:val="32"/>
          <w:szCs w:val="32"/>
        </w:rPr>
      </w:pPr>
    </w:p>
    <w:p w14:paraId="051372C2" w14:textId="77777777" w:rsidR="0065236F" w:rsidRDefault="0065236F" w:rsidP="0065236F">
      <w:pPr>
        <w:pStyle w:val="ab"/>
      </w:pPr>
    </w:p>
    <w:p w14:paraId="56263A97" w14:textId="77777777" w:rsidR="0065236F" w:rsidRDefault="0065236F" w:rsidP="0065236F">
      <w:pPr>
        <w:widowControl/>
        <w:ind w:firstLineChars="200" w:firstLine="602"/>
        <w:rPr>
          <w:rFonts w:ascii="宋体" w:hAnsi="宋体" w:cs="宋体"/>
          <w:kern w:val="0"/>
          <w:sz w:val="24"/>
          <w:szCs w:val="24"/>
        </w:rPr>
      </w:pPr>
      <w:r>
        <w:rPr>
          <w:rFonts w:ascii="宋体" w:hAnsi="宋体" w:cs="宋体" w:hint="eastAsia"/>
          <w:b/>
          <w:bCs/>
          <w:color w:val="000000"/>
          <w:kern w:val="0"/>
          <w:sz w:val="30"/>
          <w:szCs w:val="30"/>
        </w:rPr>
        <w:t xml:space="preserve"> </w:t>
      </w:r>
    </w:p>
    <w:p w14:paraId="13A2A2F4" w14:textId="77777777" w:rsidR="0065236F" w:rsidRPr="009F2044" w:rsidRDefault="0065236F" w:rsidP="0065236F">
      <w:pPr>
        <w:widowControl/>
        <w:ind w:firstLineChars="100" w:firstLine="280"/>
        <w:rPr>
          <w:rFonts w:ascii="宋体" w:hAnsi="宋体" w:cs="宋体"/>
          <w:kern w:val="0"/>
          <w:sz w:val="24"/>
          <w:szCs w:val="24"/>
        </w:rPr>
      </w:pPr>
      <w:r w:rsidRPr="009F2044">
        <w:rPr>
          <w:rFonts w:ascii="宋体" w:hAnsi="宋体" w:cs="宋体" w:hint="eastAsia"/>
          <w:color w:val="000000"/>
          <w:kern w:val="0"/>
          <w:sz w:val="28"/>
          <w:szCs w:val="28"/>
        </w:rPr>
        <w:t xml:space="preserve">资产账号： </w:t>
      </w:r>
      <w:r w:rsidRPr="009F2044">
        <w:rPr>
          <w:rFonts w:ascii="宋体" w:hAnsi="宋体" w:cs="宋体"/>
          <w:color w:val="000000"/>
          <w:kern w:val="0"/>
          <w:sz w:val="28"/>
          <w:szCs w:val="28"/>
        </w:rPr>
        <w:t xml:space="preserve">                        </w:t>
      </w:r>
      <w:proofErr w:type="gramStart"/>
      <w:r w:rsidRPr="009F2044">
        <w:rPr>
          <w:rFonts w:ascii="宋体" w:hAnsi="宋体" w:cs="宋体" w:hint="eastAsia"/>
          <w:color w:val="000000"/>
          <w:kern w:val="0"/>
          <w:sz w:val="28"/>
          <w:szCs w:val="28"/>
        </w:rPr>
        <w:t>川财证券</w:t>
      </w:r>
      <w:proofErr w:type="gramEnd"/>
      <w:r w:rsidRPr="009F2044">
        <w:rPr>
          <w:rFonts w:ascii="宋体" w:hAnsi="宋体" w:cs="宋体" w:hint="eastAsia"/>
          <w:color w:val="000000"/>
          <w:kern w:val="0"/>
          <w:sz w:val="28"/>
          <w:szCs w:val="28"/>
        </w:rPr>
        <w:t xml:space="preserve">有限责任公司 </w:t>
      </w:r>
    </w:p>
    <w:p w14:paraId="615213ED" w14:textId="77777777" w:rsidR="0065236F" w:rsidRPr="009F2044" w:rsidRDefault="0065236F" w:rsidP="0065236F">
      <w:pPr>
        <w:widowControl/>
        <w:ind w:firstLineChars="2600" w:firstLine="7280"/>
        <w:rPr>
          <w:rFonts w:ascii="宋体" w:hAnsi="宋体" w:cs="宋体"/>
          <w:kern w:val="0"/>
          <w:sz w:val="24"/>
          <w:szCs w:val="24"/>
        </w:rPr>
      </w:pPr>
      <w:r w:rsidRPr="009F2044">
        <w:rPr>
          <w:rFonts w:ascii="宋体" w:hAnsi="宋体" w:cs="宋体" w:hint="eastAsia"/>
          <w:color w:val="000000"/>
          <w:kern w:val="0"/>
          <w:sz w:val="28"/>
          <w:szCs w:val="28"/>
        </w:rPr>
        <w:t xml:space="preserve">（盖章） </w:t>
      </w:r>
    </w:p>
    <w:p w14:paraId="24D34829" w14:textId="77777777" w:rsidR="0065236F" w:rsidRPr="009F2044" w:rsidRDefault="0065236F" w:rsidP="0065236F">
      <w:pPr>
        <w:widowControl/>
        <w:spacing w:beforeLines="50" w:before="156" w:afterLines="50" w:after="156"/>
        <w:ind w:firstLineChars="100" w:firstLine="280"/>
        <w:rPr>
          <w:rFonts w:ascii="宋体" w:hAnsi="宋体" w:cs="宋体"/>
          <w:kern w:val="0"/>
          <w:sz w:val="24"/>
          <w:szCs w:val="24"/>
        </w:rPr>
      </w:pPr>
      <w:r w:rsidRPr="009F2044">
        <w:rPr>
          <w:rFonts w:ascii="宋体" w:hAnsi="宋体" w:cs="宋体" w:hint="eastAsia"/>
          <w:color w:val="000000"/>
          <w:kern w:val="0"/>
          <w:sz w:val="28"/>
          <w:szCs w:val="28"/>
        </w:rPr>
        <w:t xml:space="preserve">投资者签章： </w:t>
      </w:r>
      <w:r w:rsidRPr="009F2044">
        <w:rPr>
          <w:rFonts w:ascii="宋体" w:hAnsi="宋体" w:cs="宋体"/>
          <w:color w:val="000000"/>
          <w:kern w:val="0"/>
          <w:sz w:val="28"/>
          <w:szCs w:val="28"/>
        </w:rPr>
        <w:t xml:space="preserve">                      </w:t>
      </w:r>
      <w:r w:rsidRPr="009F2044">
        <w:rPr>
          <w:rFonts w:ascii="宋体" w:hAnsi="宋体" w:cs="宋体" w:hint="eastAsia"/>
          <w:color w:val="000000"/>
          <w:kern w:val="0"/>
          <w:sz w:val="28"/>
          <w:szCs w:val="28"/>
        </w:rPr>
        <w:t xml:space="preserve">经办人： </w:t>
      </w:r>
    </w:p>
    <w:p w14:paraId="31AA8F8A" w14:textId="529AE605" w:rsidR="00941074" w:rsidRPr="00591A09" w:rsidRDefault="0065236F" w:rsidP="00591A09">
      <w:pPr>
        <w:ind w:firstLineChars="100" w:firstLine="280"/>
        <w:rPr>
          <w:rFonts w:ascii="宋体" w:hAnsi="宋体"/>
        </w:rPr>
      </w:pPr>
      <w:r w:rsidRPr="009F2044">
        <w:rPr>
          <w:rFonts w:ascii="宋体" w:hAnsi="宋体" w:cs="宋体" w:hint="eastAsia"/>
          <w:color w:val="000000"/>
          <w:kern w:val="0"/>
          <w:sz w:val="28"/>
          <w:szCs w:val="28"/>
        </w:rPr>
        <w:t xml:space="preserve">日期： </w:t>
      </w:r>
      <w:r w:rsidRPr="009F2044">
        <w:rPr>
          <w:rFonts w:ascii="宋体" w:hAnsi="宋体" w:cs="宋体"/>
          <w:color w:val="000000"/>
          <w:kern w:val="0"/>
          <w:sz w:val="28"/>
          <w:szCs w:val="28"/>
        </w:rPr>
        <w:t xml:space="preserve">   </w:t>
      </w:r>
      <w:r w:rsidRPr="009F2044">
        <w:rPr>
          <w:rFonts w:ascii="宋体" w:hAnsi="宋体" w:cs="宋体" w:hint="eastAsia"/>
          <w:color w:val="000000"/>
          <w:kern w:val="0"/>
          <w:sz w:val="28"/>
          <w:szCs w:val="28"/>
        </w:rPr>
        <w:t xml:space="preserve">年 </w:t>
      </w:r>
      <w:r w:rsidRPr="009F2044">
        <w:rPr>
          <w:rFonts w:ascii="宋体" w:hAnsi="宋体" w:cs="宋体"/>
          <w:color w:val="000000"/>
          <w:kern w:val="0"/>
          <w:sz w:val="28"/>
          <w:szCs w:val="28"/>
        </w:rPr>
        <w:t xml:space="preserve"> </w:t>
      </w:r>
      <w:r w:rsidRPr="009F2044">
        <w:rPr>
          <w:rFonts w:ascii="宋体" w:hAnsi="宋体" w:cs="宋体" w:hint="eastAsia"/>
          <w:color w:val="000000"/>
          <w:kern w:val="0"/>
          <w:sz w:val="28"/>
          <w:szCs w:val="28"/>
        </w:rPr>
        <w:t xml:space="preserve"> 月 </w:t>
      </w:r>
      <w:r w:rsidRPr="009F2044">
        <w:rPr>
          <w:rFonts w:ascii="宋体" w:hAnsi="宋体" w:cs="宋体"/>
          <w:color w:val="000000"/>
          <w:kern w:val="0"/>
          <w:sz w:val="28"/>
          <w:szCs w:val="28"/>
        </w:rPr>
        <w:t xml:space="preserve"> </w:t>
      </w:r>
      <w:r w:rsidRPr="009F2044">
        <w:rPr>
          <w:rFonts w:ascii="宋体" w:hAnsi="宋体" w:cs="宋体" w:hint="eastAsia"/>
          <w:color w:val="000000"/>
          <w:kern w:val="0"/>
          <w:sz w:val="28"/>
          <w:szCs w:val="28"/>
        </w:rPr>
        <w:t xml:space="preserve">日 </w:t>
      </w:r>
      <w:r w:rsidRPr="009F2044">
        <w:rPr>
          <w:rFonts w:ascii="宋体" w:hAnsi="宋体" w:cs="宋体"/>
          <w:color w:val="000000"/>
          <w:kern w:val="0"/>
          <w:sz w:val="28"/>
          <w:szCs w:val="28"/>
        </w:rPr>
        <w:t xml:space="preserve">             </w:t>
      </w:r>
      <w:r w:rsidRPr="009F2044">
        <w:rPr>
          <w:rFonts w:ascii="宋体" w:hAnsi="宋体" w:cs="宋体" w:hint="eastAsia"/>
          <w:color w:val="000000"/>
          <w:kern w:val="0"/>
          <w:sz w:val="28"/>
          <w:szCs w:val="28"/>
        </w:rPr>
        <w:t xml:space="preserve">日期： </w:t>
      </w:r>
      <w:r w:rsidRPr="009F2044">
        <w:rPr>
          <w:rFonts w:ascii="宋体" w:hAnsi="宋体" w:cs="宋体"/>
          <w:color w:val="000000"/>
          <w:kern w:val="0"/>
          <w:sz w:val="28"/>
          <w:szCs w:val="28"/>
        </w:rPr>
        <w:t xml:space="preserve">   </w:t>
      </w:r>
      <w:r w:rsidRPr="009F2044">
        <w:rPr>
          <w:rFonts w:ascii="宋体" w:hAnsi="宋体" w:cs="宋体" w:hint="eastAsia"/>
          <w:color w:val="000000"/>
          <w:kern w:val="0"/>
          <w:sz w:val="28"/>
          <w:szCs w:val="28"/>
        </w:rPr>
        <w:t xml:space="preserve">年 </w:t>
      </w:r>
      <w:r w:rsidRPr="009F2044">
        <w:rPr>
          <w:rFonts w:ascii="宋体" w:hAnsi="宋体" w:cs="宋体"/>
          <w:color w:val="000000"/>
          <w:kern w:val="0"/>
          <w:sz w:val="28"/>
          <w:szCs w:val="28"/>
        </w:rPr>
        <w:t xml:space="preserve"> </w:t>
      </w:r>
      <w:r w:rsidRPr="009F2044">
        <w:rPr>
          <w:rFonts w:ascii="宋体" w:hAnsi="宋体" w:cs="宋体" w:hint="eastAsia"/>
          <w:color w:val="000000"/>
          <w:kern w:val="0"/>
          <w:sz w:val="28"/>
          <w:szCs w:val="28"/>
        </w:rPr>
        <w:t xml:space="preserve"> 月 </w:t>
      </w:r>
      <w:r w:rsidRPr="009F2044">
        <w:rPr>
          <w:rFonts w:ascii="宋体" w:hAnsi="宋体" w:cs="宋体"/>
          <w:color w:val="000000"/>
          <w:kern w:val="0"/>
          <w:sz w:val="28"/>
          <w:szCs w:val="28"/>
        </w:rPr>
        <w:t xml:space="preserve"> </w:t>
      </w:r>
      <w:r w:rsidRPr="009F2044">
        <w:rPr>
          <w:rFonts w:ascii="宋体" w:hAnsi="宋体" w:cs="宋体" w:hint="eastAsia"/>
          <w:color w:val="000000"/>
          <w:kern w:val="0"/>
          <w:sz w:val="28"/>
          <w:szCs w:val="28"/>
        </w:rPr>
        <w:t>日</w:t>
      </w:r>
    </w:p>
    <w:sectPr w:rsidR="00941074" w:rsidRPr="00591A09" w:rsidSect="008A5B5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C9EE2" w14:textId="77777777" w:rsidR="00AF1908" w:rsidRDefault="00AF1908">
      <w:r>
        <w:separator/>
      </w:r>
    </w:p>
  </w:endnote>
  <w:endnote w:type="continuationSeparator" w:id="0">
    <w:p w14:paraId="0E85DDC9" w14:textId="77777777" w:rsidR="00AF1908" w:rsidRDefault="00AF1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7907975"/>
    </w:sdtPr>
    <w:sdtContent>
      <w:p w14:paraId="7F85BE7F" w14:textId="77777777" w:rsidR="00941074" w:rsidRDefault="00620E3F">
        <w:pPr>
          <w:pStyle w:val="a5"/>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13294" w14:textId="77777777" w:rsidR="00AF1908" w:rsidRDefault="00AF1908">
      <w:r>
        <w:separator/>
      </w:r>
    </w:p>
  </w:footnote>
  <w:footnote w:type="continuationSeparator" w:id="0">
    <w:p w14:paraId="40FC3EAC" w14:textId="77777777" w:rsidR="00AF1908" w:rsidRDefault="00AF19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7FE8"/>
    <w:rsid w:val="00000B0C"/>
    <w:rsid w:val="00002152"/>
    <w:rsid w:val="00015B56"/>
    <w:rsid w:val="0007699B"/>
    <w:rsid w:val="000856D2"/>
    <w:rsid w:val="000A1856"/>
    <w:rsid w:val="000A1C75"/>
    <w:rsid w:val="000C5A71"/>
    <w:rsid w:val="000D26EA"/>
    <w:rsid w:val="00130067"/>
    <w:rsid w:val="0015530A"/>
    <w:rsid w:val="00172579"/>
    <w:rsid w:val="001C7693"/>
    <w:rsid w:val="002072F4"/>
    <w:rsid w:val="00224B3B"/>
    <w:rsid w:val="002817BE"/>
    <w:rsid w:val="00287126"/>
    <w:rsid w:val="002970E0"/>
    <w:rsid w:val="002A4A9D"/>
    <w:rsid w:val="002F6441"/>
    <w:rsid w:val="003038B3"/>
    <w:rsid w:val="003435E3"/>
    <w:rsid w:val="0034651F"/>
    <w:rsid w:val="00363CDF"/>
    <w:rsid w:val="00367643"/>
    <w:rsid w:val="00391234"/>
    <w:rsid w:val="003955EF"/>
    <w:rsid w:val="0039671F"/>
    <w:rsid w:val="003D32F6"/>
    <w:rsid w:val="003D5C22"/>
    <w:rsid w:val="003D7691"/>
    <w:rsid w:val="004030B7"/>
    <w:rsid w:val="0041677E"/>
    <w:rsid w:val="00424B09"/>
    <w:rsid w:val="0043603D"/>
    <w:rsid w:val="00441888"/>
    <w:rsid w:val="00442DC7"/>
    <w:rsid w:val="00444C92"/>
    <w:rsid w:val="00451095"/>
    <w:rsid w:val="004610AC"/>
    <w:rsid w:val="004E1FED"/>
    <w:rsid w:val="004E26AD"/>
    <w:rsid w:val="00591A09"/>
    <w:rsid w:val="005F7733"/>
    <w:rsid w:val="0061119C"/>
    <w:rsid w:val="00620E3F"/>
    <w:rsid w:val="00640F7C"/>
    <w:rsid w:val="00642A02"/>
    <w:rsid w:val="0065236F"/>
    <w:rsid w:val="00666B01"/>
    <w:rsid w:val="00746D18"/>
    <w:rsid w:val="00775A72"/>
    <w:rsid w:val="00781CEF"/>
    <w:rsid w:val="007C7ED2"/>
    <w:rsid w:val="00826D20"/>
    <w:rsid w:val="008432FD"/>
    <w:rsid w:val="008A21EF"/>
    <w:rsid w:val="008A5B5E"/>
    <w:rsid w:val="008B2869"/>
    <w:rsid w:val="008B5040"/>
    <w:rsid w:val="008D745E"/>
    <w:rsid w:val="008F1EF1"/>
    <w:rsid w:val="00927DFF"/>
    <w:rsid w:val="00941074"/>
    <w:rsid w:val="00954847"/>
    <w:rsid w:val="00961023"/>
    <w:rsid w:val="009D6FD9"/>
    <w:rsid w:val="00A177C8"/>
    <w:rsid w:val="00A64DEE"/>
    <w:rsid w:val="00A87932"/>
    <w:rsid w:val="00A92E28"/>
    <w:rsid w:val="00AD37A1"/>
    <w:rsid w:val="00AF1908"/>
    <w:rsid w:val="00AF4626"/>
    <w:rsid w:val="00B54785"/>
    <w:rsid w:val="00B601F2"/>
    <w:rsid w:val="00B7237D"/>
    <w:rsid w:val="00B9289E"/>
    <w:rsid w:val="00BC6F64"/>
    <w:rsid w:val="00BF21EB"/>
    <w:rsid w:val="00C1621A"/>
    <w:rsid w:val="00C16E44"/>
    <w:rsid w:val="00C20945"/>
    <w:rsid w:val="00C520A5"/>
    <w:rsid w:val="00C57807"/>
    <w:rsid w:val="00C75C33"/>
    <w:rsid w:val="00C933C7"/>
    <w:rsid w:val="00C95504"/>
    <w:rsid w:val="00C96AD1"/>
    <w:rsid w:val="00CA7ED9"/>
    <w:rsid w:val="00CB79F8"/>
    <w:rsid w:val="00CC1570"/>
    <w:rsid w:val="00CD5144"/>
    <w:rsid w:val="00D55AA7"/>
    <w:rsid w:val="00D77FE8"/>
    <w:rsid w:val="00D85888"/>
    <w:rsid w:val="00E02EC9"/>
    <w:rsid w:val="00E3477F"/>
    <w:rsid w:val="00E950DF"/>
    <w:rsid w:val="00EB15D5"/>
    <w:rsid w:val="00ED0E9D"/>
    <w:rsid w:val="00F0686E"/>
    <w:rsid w:val="00F26A22"/>
    <w:rsid w:val="00F66C7C"/>
    <w:rsid w:val="00F855F3"/>
    <w:rsid w:val="00FF414F"/>
    <w:rsid w:val="2C4023DA"/>
    <w:rsid w:val="331A2DD1"/>
    <w:rsid w:val="3E6A4525"/>
    <w:rsid w:val="3FCD0210"/>
    <w:rsid w:val="3FF17DB4"/>
    <w:rsid w:val="467B71BB"/>
    <w:rsid w:val="545A0BA3"/>
    <w:rsid w:val="588C5DF5"/>
    <w:rsid w:val="5F536FCC"/>
    <w:rsid w:val="7C9C6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CFF218"/>
  <w15:docId w15:val="{F9025C79-9BED-475A-BD7F-22AF80DE9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autoSpaceDE w:val="0"/>
      <w:autoSpaceDN w:val="0"/>
      <w:adjustRightInd w:val="0"/>
      <w:spacing w:before="36"/>
      <w:ind w:left="118"/>
      <w:jc w:val="left"/>
    </w:pPr>
    <w:rPr>
      <w:rFonts w:ascii="宋体" w:hAnsi="Times New Roman" w:cs="宋体"/>
      <w:kern w:val="0"/>
      <w:sz w:val="24"/>
      <w:szCs w:val="24"/>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rFonts w:ascii="Calibri" w:eastAsia="宋体" w:hAnsi="Calibri" w:cs="Calibri"/>
      <w:sz w:val="18"/>
      <w:szCs w:val="18"/>
    </w:rPr>
  </w:style>
  <w:style w:type="character" w:customStyle="1" w:styleId="a6">
    <w:name w:val="页脚 字符"/>
    <w:basedOn w:val="a0"/>
    <w:link w:val="a5"/>
    <w:uiPriority w:val="99"/>
    <w:qFormat/>
    <w:rPr>
      <w:rFonts w:ascii="Calibri" w:eastAsia="宋体" w:hAnsi="Calibri" w:cs="Calibri"/>
      <w:sz w:val="18"/>
      <w:szCs w:val="18"/>
    </w:rPr>
  </w:style>
  <w:style w:type="character" w:customStyle="1" w:styleId="a4">
    <w:name w:val="正文文本 字符"/>
    <w:basedOn w:val="a0"/>
    <w:link w:val="a3"/>
    <w:uiPriority w:val="1"/>
    <w:qFormat/>
    <w:rPr>
      <w:rFonts w:ascii="宋体" w:eastAsia="宋体" w:hAnsi="Times New Roman" w:cs="宋体"/>
      <w:sz w:val="24"/>
      <w:szCs w:val="24"/>
    </w:rPr>
  </w:style>
  <w:style w:type="character" w:customStyle="1" w:styleId="awspan1">
    <w:name w:val="awspan1"/>
    <w:basedOn w:val="a0"/>
    <w:rsid w:val="00451095"/>
    <w:rPr>
      <w:color w:val="000000"/>
      <w:sz w:val="24"/>
      <w:szCs w:val="24"/>
    </w:rPr>
  </w:style>
  <w:style w:type="paragraph" w:styleId="a9">
    <w:name w:val="Plain Text"/>
    <w:basedOn w:val="a"/>
    <w:link w:val="aa"/>
    <w:uiPriority w:val="99"/>
    <w:unhideWhenUsed/>
    <w:qFormat/>
    <w:rsid w:val="00B601F2"/>
    <w:rPr>
      <w:rFonts w:ascii="宋体" w:hAnsi="Courier New" w:cs="Times New Roman"/>
    </w:rPr>
  </w:style>
  <w:style w:type="character" w:customStyle="1" w:styleId="aa">
    <w:name w:val="纯文本 字符"/>
    <w:basedOn w:val="a0"/>
    <w:link w:val="a9"/>
    <w:uiPriority w:val="99"/>
    <w:qFormat/>
    <w:rsid w:val="00B601F2"/>
    <w:rPr>
      <w:rFonts w:ascii="宋体" w:eastAsia="宋体" w:hAnsi="Courier New" w:cs="Times New Roman"/>
      <w:kern w:val="2"/>
      <w:sz w:val="21"/>
      <w:szCs w:val="21"/>
    </w:rPr>
  </w:style>
  <w:style w:type="paragraph" w:styleId="ab">
    <w:name w:val="Normal Indent"/>
    <w:basedOn w:val="a"/>
    <w:uiPriority w:val="99"/>
    <w:semiHidden/>
    <w:unhideWhenUsed/>
    <w:qFormat/>
    <w:rsid w:val="00B9289E"/>
    <w:pPr>
      <w:ind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6407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7</Pages>
  <Words>492</Words>
  <Characters>2810</Characters>
  <Application>Microsoft Office Word</Application>
  <DocSecurity>0</DocSecurity>
  <Lines>23</Lines>
  <Paragraphs>6</Paragraphs>
  <ScaleCrop>false</ScaleCrop>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黄娟</dc:creator>
  <cp:lastModifiedBy>黄娟</cp:lastModifiedBy>
  <cp:revision>71</cp:revision>
  <cp:lastPrinted>2018-05-03T05:04:00Z</cp:lastPrinted>
  <dcterms:created xsi:type="dcterms:W3CDTF">2018-02-05T04:59:00Z</dcterms:created>
  <dcterms:modified xsi:type="dcterms:W3CDTF">2024-05-24T01:07:00Z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