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关于收到上交所交易监管提示函的相关通知</w:t>
      </w:r>
    </w:p>
    <w:p>
      <w:pPr>
        <w:widowControl/>
        <w:spacing w:line="360" w:lineRule="auto"/>
        <w:jc w:val="left"/>
        <w:outlineLvl w:val="0"/>
        <w:rPr>
          <w:rFonts w:hint="eastAsia" w:ascii="仿宋" w:hAnsi="仿宋" w:eastAsia="仿宋"/>
          <w:sz w:val="32"/>
          <w:szCs w:val="32"/>
        </w:rPr>
      </w:pPr>
    </w:p>
    <w:p>
      <w:pPr>
        <w:widowControl/>
        <w:spacing w:line="360" w:lineRule="auto"/>
        <w:jc w:val="left"/>
        <w:outlineLvl w:val="0"/>
        <w:rPr>
          <w:rFonts w:ascii="仿宋" w:hAnsi="仿宋" w:eastAsia="仿宋"/>
          <w:sz w:val="32"/>
          <w:szCs w:val="32"/>
        </w:rPr>
      </w:pPr>
      <w:r>
        <w:rPr>
          <w:rFonts w:hint="eastAsia" w:ascii="仿宋" w:hAnsi="仿宋" w:eastAsia="仿宋"/>
          <w:sz w:val="32"/>
          <w:szCs w:val="32"/>
        </w:rPr>
        <w:t>各分支机构：</w:t>
      </w:r>
    </w:p>
    <w:p>
      <w:pPr>
        <w:keepNext w:val="0"/>
        <w:keepLines w:val="0"/>
        <w:widowControl/>
        <w:suppressLineNumbers w:val="0"/>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我司收到上海证券交易所的《交易监管提示函》，根据要求，需向客户提示交易证券</w:t>
      </w:r>
      <w:r>
        <w:rPr>
          <w:rFonts w:hint="default" w:ascii="仿宋" w:hAnsi="仿宋" w:eastAsia="仿宋"/>
          <w:sz w:val="32"/>
          <w:szCs w:val="32"/>
          <w:lang w:val="en-US" w:eastAsia="zh-CN"/>
        </w:rPr>
        <w:t>“</w:t>
      </w:r>
      <w:r>
        <w:rPr>
          <w:rFonts w:hint="eastAsia" w:ascii="仿宋" w:hAnsi="仿宋" w:eastAsia="仿宋"/>
          <w:sz w:val="32"/>
          <w:szCs w:val="32"/>
          <w:lang w:val="en-US" w:eastAsia="zh-CN"/>
        </w:rPr>
        <w:t>神奇制药（</w:t>
      </w:r>
      <w:r>
        <w:rPr>
          <w:rFonts w:hint="default" w:ascii="仿宋" w:hAnsi="仿宋" w:eastAsia="仿宋"/>
          <w:sz w:val="32"/>
          <w:szCs w:val="32"/>
          <w:lang w:val="en-US" w:eastAsia="zh-CN"/>
        </w:rPr>
        <w:t>600613）</w:t>
      </w:r>
      <w:r>
        <w:rPr>
          <w:rFonts w:hint="default" w:ascii="仿宋" w:hAnsi="仿宋" w:eastAsia="仿宋"/>
          <w:sz w:val="32"/>
          <w:szCs w:val="32"/>
          <w:lang w:val="en-US" w:eastAsia="zh-CN"/>
        </w:rPr>
        <w:t>”</w:t>
      </w:r>
      <w:r>
        <w:rPr>
          <w:rFonts w:hint="eastAsia" w:ascii="仿宋" w:hAnsi="仿宋" w:eastAsia="仿宋"/>
          <w:sz w:val="32"/>
          <w:szCs w:val="32"/>
          <w:lang w:val="en-US" w:eastAsia="zh-CN"/>
        </w:rPr>
        <w:t>、“泽达易盛（688555）”、“天鹅股份（</w:t>
      </w:r>
      <w:r>
        <w:rPr>
          <w:rFonts w:hint="default" w:ascii="仿宋" w:hAnsi="仿宋" w:eastAsia="仿宋"/>
          <w:sz w:val="32"/>
          <w:szCs w:val="32"/>
          <w:lang w:val="en-US" w:eastAsia="zh-CN"/>
        </w:rPr>
        <w:t>603029）</w:t>
      </w:r>
      <w:r>
        <w:rPr>
          <w:rFonts w:hint="eastAsia" w:ascii="仿宋" w:hAnsi="仿宋" w:eastAsia="仿宋"/>
          <w:sz w:val="32"/>
          <w:szCs w:val="32"/>
          <w:lang w:val="en-US" w:eastAsia="zh-CN"/>
        </w:rPr>
        <w:t>”相关风险，督促客户理性投资，审慎交易。现对具体工作要求如下：</w:t>
      </w:r>
    </w:p>
    <w:p>
      <w:pPr>
        <w:ind w:firstLine="640" w:firstLineChars="200"/>
        <w:rPr>
          <w:rFonts w:ascii="仿宋" w:hAnsi="仿宋" w:eastAsia="仿宋"/>
          <w:sz w:val="32"/>
          <w:szCs w:val="32"/>
        </w:rPr>
      </w:pPr>
      <w:r>
        <w:rPr>
          <w:rFonts w:hint="eastAsia" w:ascii="仿宋" w:hAnsi="仿宋" w:eastAsia="仿宋"/>
          <w:sz w:val="32"/>
          <w:szCs w:val="32"/>
        </w:rPr>
        <w:t>一、通过集中交易柜台系统查询分支机构近期（</w:t>
      </w:r>
      <w:r>
        <w:rPr>
          <w:rFonts w:hint="eastAsia" w:ascii="仿宋" w:hAnsi="仿宋" w:eastAsia="仿宋"/>
          <w:sz w:val="32"/>
          <w:szCs w:val="32"/>
          <w:lang w:val="en-US" w:eastAsia="zh-CN"/>
        </w:rPr>
        <w:t>2022年9</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日至</w:t>
      </w:r>
      <w:r>
        <w:rPr>
          <w:rFonts w:hint="eastAsia" w:ascii="仿宋" w:hAnsi="仿宋" w:eastAsia="仿宋"/>
          <w:sz w:val="32"/>
          <w:szCs w:val="32"/>
          <w:lang w:val="en-US" w:eastAsia="zh-CN"/>
        </w:rPr>
        <w:t>2022年11</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日）交易以及持有证券</w:t>
      </w:r>
      <w:r>
        <w:rPr>
          <w:rFonts w:hint="default" w:ascii="仿宋" w:hAnsi="仿宋" w:eastAsia="仿宋"/>
          <w:sz w:val="32"/>
          <w:szCs w:val="32"/>
          <w:lang w:val="en-US" w:eastAsia="zh-CN"/>
        </w:rPr>
        <w:t>“</w:t>
      </w:r>
      <w:r>
        <w:rPr>
          <w:rFonts w:hint="eastAsia" w:ascii="仿宋" w:hAnsi="仿宋" w:eastAsia="仿宋"/>
          <w:sz w:val="32"/>
          <w:szCs w:val="32"/>
          <w:lang w:val="en-US" w:eastAsia="zh-CN"/>
        </w:rPr>
        <w:t>神奇制药（</w:t>
      </w:r>
      <w:r>
        <w:rPr>
          <w:rFonts w:hint="default" w:ascii="仿宋" w:hAnsi="仿宋" w:eastAsia="仿宋"/>
          <w:sz w:val="32"/>
          <w:szCs w:val="32"/>
          <w:lang w:val="en-US" w:eastAsia="zh-CN"/>
        </w:rPr>
        <w:t>600613）”</w:t>
      </w:r>
      <w:r>
        <w:rPr>
          <w:rFonts w:hint="eastAsia" w:ascii="仿宋" w:hAnsi="仿宋" w:eastAsia="仿宋"/>
          <w:sz w:val="32"/>
          <w:szCs w:val="32"/>
          <w:lang w:val="en-US" w:eastAsia="zh-CN"/>
        </w:rPr>
        <w:t>、“泽达易盛（688555）”、“天鹅股份（</w:t>
      </w:r>
      <w:r>
        <w:rPr>
          <w:rFonts w:hint="default" w:ascii="仿宋" w:hAnsi="仿宋" w:eastAsia="仿宋"/>
          <w:sz w:val="32"/>
          <w:szCs w:val="32"/>
          <w:lang w:val="en-US" w:eastAsia="zh-CN"/>
        </w:rPr>
        <w:t>603029）</w:t>
      </w:r>
      <w:r>
        <w:rPr>
          <w:rFonts w:hint="eastAsia" w:ascii="仿宋" w:hAnsi="仿宋" w:eastAsia="仿宋"/>
          <w:sz w:val="32"/>
          <w:szCs w:val="32"/>
          <w:lang w:val="en-US" w:eastAsia="zh-CN"/>
        </w:rPr>
        <w:t>”</w:t>
      </w:r>
      <w:r>
        <w:rPr>
          <w:rFonts w:hint="eastAsia" w:ascii="仿宋" w:hAnsi="仿宋" w:eastAsia="仿宋"/>
          <w:sz w:val="32"/>
          <w:szCs w:val="32"/>
        </w:rPr>
        <w:t>的投资者，通过分支机构现场、发送短信、微信等方式</w:t>
      </w:r>
      <w:r>
        <w:rPr>
          <w:rFonts w:hint="eastAsia" w:ascii="仿宋" w:hAnsi="仿宋" w:eastAsia="仿宋"/>
          <w:bCs/>
          <w:sz w:val="32"/>
          <w:szCs w:val="32"/>
        </w:rPr>
        <w:t>及时</w:t>
      </w:r>
      <w:r>
        <w:rPr>
          <w:rFonts w:hint="eastAsia" w:ascii="仿宋" w:hAnsi="仿宋" w:eastAsia="仿宋"/>
          <w:sz w:val="32"/>
          <w:szCs w:val="32"/>
        </w:rPr>
        <w:t>做好客户交易风险提示工作（具体内容请见附件1）；</w:t>
      </w:r>
    </w:p>
    <w:p>
      <w:pPr>
        <w:ind w:firstLine="640" w:firstLineChars="200"/>
        <w:rPr>
          <w:rFonts w:ascii="仿宋" w:hAnsi="仿宋" w:eastAsia="仿宋"/>
          <w:sz w:val="32"/>
          <w:szCs w:val="32"/>
        </w:rPr>
      </w:pPr>
      <w:r>
        <w:rPr>
          <w:rFonts w:hint="eastAsia" w:ascii="仿宋" w:hAnsi="仿宋" w:eastAsia="仿宋"/>
          <w:sz w:val="32"/>
          <w:szCs w:val="32"/>
        </w:rPr>
        <w:t>二、密切关注客户交易</w:t>
      </w:r>
      <w:r>
        <w:rPr>
          <w:rFonts w:hint="default" w:ascii="仿宋" w:hAnsi="仿宋" w:eastAsia="仿宋"/>
          <w:sz w:val="32"/>
          <w:szCs w:val="32"/>
          <w:lang w:val="en-US" w:eastAsia="zh-CN"/>
        </w:rPr>
        <w:t>“</w:t>
      </w:r>
      <w:r>
        <w:rPr>
          <w:rFonts w:hint="eastAsia" w:ascii="仿宋" w:hAnsi="仿宋" w:eastAsia="仿宋"/>
          <w:sz w:val="32"/>
          <w:szCs w:val="32"/>
          <w:lang w:val="en-US" w:eastAsia="zh-CN"/>
        </w:rPr>
        <w:t>神奇制药（</w:t>
      </w:r>
      <w:r>
        <w:rPr>
          <w:rFonts w:hint="default" w:ascii="仿宋" w:hAnsi="仿宋" w:eastAsia="仿宋"/>
          <w:sz w:val="32"/>
          <w:szCs w:val="32"/>
          <w:lang w:val="en-US" w:eastAsia="zh-CN"/>
        </w:rPr>
        <w:t>600613）”</w:t>
      </w:r>
      <w:r>
        <w:rPr>
          <w:rFonts w:hint="eastAsia" w:ascii="仿宋" w:hAnsi="仿宋" w:eastAsia="仿宋"/>
          <w:sz w:val="32"/>
          <w:szCs w:val="32"/>
          <w:lang w:val="en-US" w:eastAsia="zh-CN"/>
        </w:rPr>
        <w:t>、“泽达易盛（688555）”、“天鹅股份（</w:t>
      </w:r>
      <w:r>
        <w:rPr>
          <w:rFonts w:hint="default" w:ascii="仿宋" w:hAnsi="仿宋" w:eastAsia="仿宋"/>
          <w:sz w:val="32"/>
          <w:szCs w:val="32"/>
          <w:lang w:val="en-US" w:eastAsia="zh-CN"/>
        </w:rPr>
        <w:t>603029）</w:t>
      </w:r>
      <w:r>
        <w:rPr>
          <w:rFonts w:hint="eastAsia" w:ascii="仿宋" w:hAnsi="仿宋" w:eastAsia="仿宋"/>
          <w:sz w:val="32"/>
          <w:szCs w:val="32"/>
          <w:lang w:val="en-US" w:eastAsia="zh-CN"/>
        </w:rPr>
        <w:t>”</w:t>
      </w:r>
      <w:r>
        <w:rPr>
          <w:rFonts w:hint="eastAsia" w:ascii="仿宋" w:hAnsi="仿宋" w:eastAsia="仿宋"/>
          <w:sz w:val="32"/>
          <w:szCs w:val="32"/>
        </w:rPr>
        <w:t>情况，加强以上证券的交易监控，及时发现、制止可能存在的异常交易行为。</w:t>
      </w:r>
    </w:p>
    <w:p>
      <w:pPr>
        <w:ind w:firstLine="645"/>
        <w:rPr>
          <w:rFonts w:ascii="仿宋" w:hAnsi="仿宋" w:eastAsia="仿宋"/>
          <w:sz w:val="32"/>
          <w:szCs w:val="32"/>
        </w:rPr>
      </w:pPr>
      <w:r>
        <w:rPr>
          <w:rFonts w:hint="eastAsia" w:ascii="仿宋" w:hAnsi="仿宋" w:eastAsia="仿宋"/>
          <w:sz w:val="32"/>
          <w:szCs w:val="32"/>
        </w:rPr>
        <w:t>请分支机构务必做好客户解释和沟通工作，做好以上工作的相关留痕。</w:t>
      </w:r>
    </w:p>
    <w:p>
      <w:pPr>
        <w:ind w:firstLine="6080" w:firstLineChars="1900"/>
        <w:rPr>
          <w:rFonts w:ascii="仿宋" w:hAnsi="仿宋" w:eastAsia="仿宋"/>
          <w:sz w:val="32"/>
          <w:szCs w:val="32"/>
        </w:rPr>
      </w:pPr>
      <w:r>
        <w:rPr>
          <w:rFonts w:hint="eastAsia" w:ascii="仿宋" w:hAnsi="仿宋" w:eastAsia="仿宋"/>
          <w:sz w:val="32"/>
          <w:szCs w:val="32"/>
        </w:rPr>
        <w:t>经纪业务部</w:t>
      </w:r>
    </w:p>
    <w:p>
      <w:pPr>
        <w:ind w:firstLine="5600" w:firstLineChars="175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p>
    <w:p>
      <w:pPr>
        <w:ind w:firstLine="645"/>
        <w:rPr>
          <w:rFonts w:ascii="仿宋" w:hAnsi="仿宋" w:eastAsia="仿宋"/>
          <w:sz w:val="32"/>
          <w:szCs w:val="32"/>
        </w:rPr>
      </w:pPr>
    </w:p>
    <w:p>
      <w:pPr>
        <w:widowControl/>
        <w:spacing w:before="100" w:beforeAutospacing="1" w:after="100" w:afterAutospacing="1"/>
        <w:jc w:val="left"/>
        <w:outlineLvl w:val="0"/>
        <w:rPr>
          <w:rFonts w:hint="eastAsia" w:ascii="仿宋" w:hAnsi="仿宋" w:eastAsia="仿宋"/>
          <w:b/>
          <w:sz w:val="32"/>
          <w:szCs w:val="3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outlineLvl w:val="0"/>
        <w:rPr>
          <w:rFonts w:ascii="仿宋" w:hAnsi="仿宋" w:eastAsia="仿宋"/>
          <w:b/>
          <w:sz w:val="32"/>
          <w:szCs w:val="32"/>
        </w:rPr>
      </w:pPr>
      <w:r>
        <w:rPr>
          <w:rFonts w:hint="eastAsia" w:ascii="仿宋" w:hAnsi="仿宋" w:eastAsia="仿宋"/>
          <w:b/>
          <w:sz w:val="32"/>
          <w:szCs w:val="32"/>
        </w:rPr>
        <w:t>附件1：</w:t>
      </w:r>
    </w:p>
    <w:p>
      <w:pPr>
        <w:keepNext w:val="0"/>
        <w:keepLines w:val="0"/>
        <w:pageBreakBefore w:val="0"/>
        <w:kinsoku/>
        <w:wordWrap/>
        <w:overflowPunct/>
        <w:topLinePunct w:val="0"/>
        <w:autoSpaceDE/>
        <w:autoSpaceDN/>
        <w:bidi w:val="0"/>
        <w:adjustRightInd/>
        <w:snapToGrid/>
        <w:ind w:firstLine="643" w:firstLineChars="200"/>
        <w:jc w:val="center"/>
        <w:textAlignment w:val="auto"/>
        <w:rPr>
          <w:rFonts w:ascii="仿宋" w:hAnsi="仿宋" w:eastAsia="仿宋"/>
          <w:b/>
          <w:bCs w:val="0"/>
          <w:sz w:val="32"/>
          <w:szCs w:val="32"/>
        </w:rPr>
      </w:pPr>
      <w:r>
        <w:rPr>
          <w:rFonts w:hint="eastAsia" w:ascii="仿宋" w:hAnsi="仿宋" w:eastAsia="仿宋"/>
          <w:b/>
          <w:bCs w:val="0"/>
          <w:sz w:val="32"/>
          <w:szCs w:val="32"/>
        </w:rPr>
        <w:t>关于</w:t>
      </w:r>
      <w:r>
        <w:rPr>
          <w:rFonts w:hint="default" w:ascii="仿宋" w:hAnsi="仿宋" w:eastAsia="仿宋"/>
          <w:b/>
          <w:bCs/>
          <w:sz w:val="32"/>
          <w:szCs w:val="32"/>
          <w:lang w:val="en-US" w:eastAsia="zh-CN"/>
        </w:rPr>
        <w:t>“</w:t>
      </w:r>
      <w:r>
        <w:rPr>
          <w:rFonts w:hint="eastAsia" w:ascii="仿宋" w:hAnsi="仿宋" w:eastAsia="仿宋"/>
          <w:b/>
          <w:bCs/>
          <w:sz w:val="32"/>
          <w:szCs w:val="32"/>
          <w:lang w:val="en-US" w:eastAsia="zh-CN"/>
        </w:rPr>
        <w:t>神奇制药（</w:t>
      </w:r>
      <w:r>
        <w:rPr>
          <w:rFonts w:hint="default" w:ascii="仿宋" w:hAnsi="仿宋" w:eastAsia="仿宋"/>
          <w:b/>
          <w:bCs/>
          <w:sz w:val="32"/>
          <w:szCs w:val="32"/>
          <w:lang w:val="en-US" w:eastAsia="zh-CN"/>
        </w:rPr>
        <w:t>600613）”</w:t>
      </w:r>
      <w:r>
        <w:rPr>
          <w:rFonts w:hint="eastAsia" w:ascii="仿宋" w:hAnsi="仿宋" w:eastAsia="仿宋"/>
          <w:b/>
          <w:bCs/>
          <w:sz w:val="32"/>
          <w:szCs w:val="32"/>
          <w:lang w:val="en-US" w:eastAsia="zh-CN"/>
        </w:rPr>
        <w:t>、“泽达易盛（688555）”、“天鹅股份（</w:t>
      </w:r>
      <w:r>
        <w:rPr>
          <w:rFonts w:hint="default" w:ascii="仿宋" w:hAnsi="仿宋" w:eastAsia="仿宋"/>
          <w:b/>
          <w:bCs/>
          <w:sz w:val="32"/>
          <w:szCs w:val="32"/>
          <w:lang w:val="en-US" w:eastAsia="zh-CN"/>
        </w:rPr>
        <w:t>603029）</w:t>
      </w:r>
      <w:r>
        <w:rPr>
          <w:rFonts w:hint="eastAsia" w:ascii="仿宋" w:hAnsi="仿宋" w:eastAsia="仿宋"/>
          <w:b/>
          <w:bCs/>
          <w:sz w:val="32"/>
          <w:szCs w:val="32"/>
          <w:lang w:val="en-US" w:eastAsia="zh-CN"/>
        </w:rPr>
        <w:t>”</w:t>
      </w:r>
      <w:r>
        <w:rPr>
          <w:rFonts w:hint="eastAsia" w:ascii="仿宋" w:hAnsi="仿宋" w:eastAsia="仿宋"/>
          <w:b/>
          <w:bCs/>
          <w:sz w:val="32"/>
          <w:szCs w:val="32"/>
          <w:lang w:val="en-US" w:eastAsia="zh-CN"/>
        </w:rPr>
        <w:t>证券</w:t>
      </w:r>
      <w:r>
        <w:rPr>
          <w:rFonts w:hint="eastAsia" w:ascii="仿宋" w:hAnsi="仿宋" w:eastAsia="仿宋"/>
          <w:b/>
          <w:bCs/>
          <w:sz w:val="32"/>
          <w:szCs w:val="32"/>
        </w:rPr>
        <w:t>交易</w:t>
      </w:r>
      <w:r>
        <w:rPr>
          <w:rFonts w:hint="eastAsia" w:ascii="仿宋" w:hAnsi="仿宋" w:eastAsia="仿宋"/>
          <w:b/>
          <w:bCs w:val="0"/>
          <w:sz w:val="32"/>
          <w:szCs w:val="32"/>
        </w:rPr>
        <w:t>的风险提示</w:t>
      </w: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color w:val="000000"/>
          <w:kern w:val="0"/>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尊敬的投资者：</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w:t>
      </w:r>
      <w:r>
        <w:rPr>
          <w:rFonts w:hint="eastAsia" w:ascii="仿宋" w:hAnsi="仿宋" w:eastAsia="仿宋"/>
          <w:sz w:val="32"/>
          <w:szCs w:val="32"/>
          <w:lang w:val="en-US" w:eastAsia="zh-CN"/>
        </w:rPr>
        <w:t>神奇制药（</w:t>
      </w:r>
      <w:r>
        <w:rPr>
          <w:rFonts w:hint="default" w:ascii="仿宋" w:hAnsi="仿宋" w:eastAsia="仿宋"/>
          <w:sz w:val="32"/>
          <w:szCs w:val="32"/>
          <w:lang w:val="en-US" w:eastAsia="zh-CN"/>
        </w:rPr>
        <w:t>600613）”</w:t>
      </w:r>
      <w:r>
        <w:rPr>
          <w:rFonts w:hint="eastAsia" w:ascii="仿宋" w:hAnsi="仿宋" w:eastAsia="仿宋"/>
          <w:sz w:val="32"/>
          <w:szCs w:val="32"/>
          <w:lang w:val="en-US" w:eastAsia="zh-CN"/>
        </w:rPr>
        <w:t>近期价格大幅波动，公司发布风险提示</w:t>
      </w:r>
      <w:r>
        <w:rPr>
          <w:rFonts w:hint="default" w:ascii="仿宋" w:hAnsi="仿宋" w:eastAsia="仿宋"/>
          <w:sz w:val="32"/>
          <w:szCs w:val="32"/>
          <w:lang w:val="en-US" w:eastAsia="zh-CN"/>
        </w:rPr>
        <w:t xml:space="preserve">公告及异常波动公告称，针对热炎宁合剂相关报道，公司及下属企业均未获得该药品生产批准文号，“神奇”牌热炎宁颗粒系公司下属孙公司生产销售的产品，截止目前，该产品的经营销售不会对公司业绩造成重大影响。公司存在控费降价政策、疫情不可抗力、原料成本上涨等风险，敬请投资者注意投资风险，理性决策。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“天鹅股份（</w:t>
      </w:r>
      <w:r>
        <w:rPr>
          <w:rFonts w:hint="default" w:ascii="仿宋" w:hAnsi="仿宋" w:eastAsia="仿宋"/>
          <w:sz w:val="32"/>
          <w:szCs w:val="32"/>
          <w:lang w:val="en-US" w:eastAsia="zh-CN"/>
        </w:rPr>
        <w:t>603029）</w:t>
      </w:r>
      <w:r>
        <w:rPr>
          <w:rFonts w:hint="eastAsia" w:ascii="仿宋" w:hAnsi="仿宋" w:eastAsia="仿宋"/>
          <w:sz w:val="32"/>
          <w:szCs w:val="32"/>
          <w:lang w:val="en-US" w:eastAsia="zh-CN"/>
        </w:rPr>
        <w:t>”近期股价涨幅较大，公司已多次发布股</w:t>
      </w:r>
      <w:r>
        <w:rPr>
          <w:rFonts w:hint="default" w:ascii="仿宋" w:hAnsi="仿宋" w:eastAsia="仿宋"/>
          <w:sz w:val="32"/>
          <w:szCs w:val="32"/>
          <w:lang w:val="en-US" w:eastAsia="zh-CN"/>
        </w:rPr>
        <w:t>票交易异常波动及风险提示公告。上述公告明确称，公司经营情况未发生重大变化，不存在应披露而未披露的重大信息，公司实际控制人、控股股东及上市公司未来十二个月内均没有改变主营业务或者对主营业务作出重大调整的计划，公司股价短期内波动幅度较大，提示投资者注意投资风险。</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2022年11月15日，</w:t>
      </w:r>
      <w:r>
        <w:rPr>
          <w:rFonts w:hint="eastAsia" w:ascii="仿宋" w:hAnsi="仿宋" w:eastAsia="仿宋"/>
          <w:sz w:val="32"/>
          <w:szCs w:val="32"/>
          <w:lang w:val="en-US" w:eastAsia="zh-CN"/>
        </w:rPr>
        <w:t>“泽达易盛（688555）”发布立案进展风</w:t>
      </w:r>
      <w:r>
        <w:rPr>
          <w:rFonts w:hint="default" w:ascii="仿宋" w:hAnsi="仿宋" w:eastAsia="仿宋"/>
          <w:sz w:val="32"/>
          <w:szCs w:val="32"/>
          <w:lang w:val="en-US" w:eastAsia="zh-CN"/>
        </w:rPr>
        <w:t xml:space="preserve">险提示公告，披露了立案相关风险、委托理财投资风险、募集资金无法按期归还风险、实控人股份被冻结风险、业绩下滑风险。此前，公司及其实际控制人分别于2022年5 月11日、7月12日收到中国证监会下发的《立案告知书》，均因涉嫌信息披露违法违规被立案。 </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请投资者及时通过上海证券交易所网站等指定信息披露媒体，查阅上市公司发布的公告信息，持续关注以上证券二级市场交易风险，审慎做出投资决策，谨慎、合规参与交易。</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如投资者因参与以上证券交易发生异常交易行为，上海证券交易所将视情况从重采取列为重点监控账户、暂停投资者账户交易、限制投资者账户交易、认定为不合格投资者等自律管理措施。</w:t>
      </w:r>
    </w:p>
    <w:p>
      <w:pPr>
        <w:keepNext w:val="0"/>
        <w:keepLines w:val="0"/>
        <w:pageBreakBefore w:val="0"/>
        <w:kinsoku/>
        <w:wordWrap/>
        <w:overflowPunct/>
        <w:topLinePunct w:val="0"/>
        <w:autoSpaceDE/>
        <w:autoSpaceDN/>
        <w:bidi w:val="0"/>
        <w:adjustRightInd/>
        <w:snapToGrid/>
        <w:ind w:firstLine="4800" w:firstLineChars="1500"/>
        <w:jc w:val="both"/>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川财证券有限责任公司</w:t>
      </w:r>
    </w:p>
    <w:p>
      <w:pPr>
        <w:keepNext w:val="0"/>
        <w:keepLines w:val="0"/>
        <w:pageBreakBefore w:val="0"/>
        <w:kinsoku/>
        <w:wordWrap/>
        <w:overflowPunct/>
        <w:topLinePunct w:val="0"/>
        <w:autoSpaceDE/>
        <w:autoSpaceDN/>
        <w:bidi w:val="0"/>
        <w:adjustRightInd/>
        <w:snapToGrid/>
        <w:ind w:firstLine="5440" w:firstLineChars="1700"/>
        <w:jc w:val="both"/>
        <w:textAlignment w:val="auto"/>
        <w:rPr>
          <w:rFonts w:hint="eastAsia" w:ascii="仿宋_GB2312" w:hAnsi="微软雅黑" w:eastAsia="仿宋_GB2312" w:cs="宋体"/>
          <w:b/>
          <w:color w:val="000000"/>
          <w:kern w:val="0"/>
          <w:sz w:val="32"/>
          <w:szCs w:val="32"/>
        </w:rPr>
      </w:pPr>
      <w:r>
        <w:rPr>
          <w:rFonts w:hint="eastAsia" w:ascii="仿宋_GB2312" w:hAnsi="微软雅黑" w:eastAsia="仿宋_GB2312" w:cs="宋体"/>
          <w:color w:val="000000"/>
          <w:kern w:val="0"/>
          <w:sz w:val="32"/>
          <w:szCs w:val="32"/>
        </w:rPr>
        <w:t>202</w:t>
      </w: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年</w:t>
      </w:r>
      <w:r>
        <w:rPr>
          <w:rFonts w:hint="eastAsia" w:ascii="仿宋_GB2312" w:hAnsi="微软雅黑" w:eastAsia="仿宋_GB2312" w:cs="宋体"/>
          <w:color w:val="000000"/>
          <w:kern w:val="0"/>
          <w:sz w:val="32"/>
          <w:szCs w:val="32"/>
          <w:lang w:val="en-US" w:eastAsia="zh-CN"/>
        </w:rPr>
        <w:t>11</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lang w:val="en-US" w:eastAsia="zh-CN"/>
        </w:rPr>
        <w:t>17</w:t>
      </w:r>
      <w:r>
        <w:rPr>
          <w:rFonts w:hint="eastAsia" w:ascii="仿宋_GB2312" w:hAnsi="微软雅黑" w:eastAsia="仿宋_GB2312" w:cs="宋体"/>
          <w:color w:val="000000"/>
          <w:kern w:val="0"/>
          <w:sz w:val="32"/>
          <w:szCs w:val="32"/>
        </w:rPr>
        <w:t>日</w:t>
      </w: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b/>
          <w:color w:val="000000"/>
          <w:kern w:val="0"/>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b/>
          <w:color w:val="000000"/>
          <w:kern w:val="0"/>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b/>
          <w:color w:val="000000"/>
          <w:kern w:val="0"/>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b/>
          <w:color w:val="000000"/>
          <w:kern w:val="0"/>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b/>
          <w:color w:val="000000"/>
          <w:kern w:val="0"/>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b/>
          <w:color w:val="000000"/>
          <w:kern w:val="0"/>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b/>
          <w:color w:val="000000"/>
          <w:kern w:val="0"/>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b/>
          <w:color w:val="000000"/>
          <w:kern w:val="0"/>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b/>
          <w:color w:val="000000"/>
          <w:kern w:val="0"/>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短信：</w:t>
      </w:r>
    </w:p>
    <w:p>
      <w:pPr>
        <w:keepNext w:val="0"/>
        <w:keepLines w:val="0"/>
        <w:pageBreakBefore w:val="0"/>
        <w:kinsoku/>
        <w:wordWrap/>
        <w:overflowPunct/>
        <w:topLinePunct w:val="0"/>
        <w:autoSpaceDE/>
        <w:autoSpaceDN/>
        <w:bidi w:val="0"/>
        <w:adjustRightInd/>
        <w:snapToGrid/>
        <w:jc w:val="both"/>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尊敬的投资者：</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w:t>
      </w:r>
      <w:r>
        <w:rPr>
          <w:rFonts w:hint="eastAsia" w:ascii="仿宋" w:hAnsi="仿宋" w:eastAsia="仿宋"/>
          <w:sz w:val="32"/>
          <w:szCs w:val="32"/>
          <w:lang w:val="en-US" w:eastAsia="zh-CN"/>
        </w:rPr>
        <w:t>神奇制药（</w:t>
      </w:r>
      <w:r>
        <w:rPr>
          <w:rFonts w:hint="default" w:ascii="仿宋" w:hAnsi="仿宋" w:eastAsia="仿宋"/>
          <w:sz w:val="32"/>
          <w:szCs w:val="32"/>
          <w:lang w:val="en-US" w:eastAsia="zh-CN"/>
        </w:rPr>
        <w:t>600613）”</w:t>
      </w:r>
      <w:r>
        <w:rPr>
          <w:rFonts w:hint="eastAsia" w:ascii="仿宋" w:hAnsi="仿宋" w:eastAsia="仿宋"/>
          <w:sz w:val="32"/>
          <w:szCs w:val="32"/>
          <w:lang w:val="en-US" w:eastAsia="zh-CN"/>
        </w:rPr>
        <w:t>近期价格大幅波动，公</w:t>
      </w:r>
      <w:bookmarkStart w:id="0" w:name="_GoBack"/>
      <w:bookmarkEnd w:id="0"/>
      <w:r>
        <w:rPr>
          <w:rFonts w:hint="eastAsia" w:ascii="仿宋" w:hAnsi="仿宋" w:eastAsia="仿宋"/>
          <w:sz w:val="32"/>
          <w:szCs w:val="32"/>
          <w:lang w:val="en-US" w:eastAsia="zh-CN"/>
        </w:rPr>
        <w:t>司发布风险提示</w:t>
      </w:r>
      <w:r>
        <w:rPr>
          <w:rFonts w:hint="default" w:ascii="仿宋" w:hAnsi="仿宋" w:eastAsia="仿宋"/>
          <w:sz w:val="32"/>
          <w:szCs w:val="32"/>
          <w:lang w:val="en-US" w:eastAsia="zh-CN"/>
        </w:rPr>
        <w:t xml:space="preserve">公告及异常波动公告称，针对热炎宁合剂相关报道，公司及下属企业均未获得该药品生产批准文号，“神奇”牌热炎宁颗粒系公司下属孙公司生产销售的产品，截止目前，该产品的经营销售不会对公司业绩造成重大影响。公司存在控费降价政策、疫情不可抗力、原料成本上涨等风险，敬请投资者注意投资风险，理性决策。 </w:t>
      </w:r>
    </w:p>
    <w:p>
      <w:pPr>
        <w:keepNext w:val="0"/>
        <w:keepLines w:val="0"/>
        <w:widowControl/>
        <w:suppressLineNumbers w:val="0"/>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如投资者因参与</w:t>
      </w:r>
      <w:r>
        <w:rPr>
          <w:rFonts w:hint="eastAsia" w:ascii="仿宋_GB2312" w:hAnsi="微软雅黑" w:eastAsia="仿宋_GB2312" w:cs="宋体"/>
          <w:color w:val="000000"/>
          <w:kern w:val="0"/>
          <w:sz w:val="32"/>
          <w:szCs w:val="32"/>
          <w:lang w:eastAsia="zh-CN"/>
        </w:rPr>
        <w:t>以上证券</w:t>
      </w:r>
      <w:r>
        <w:rPr>
          <w:rFonts w:hint="eastAsia" w:ascii="仿宋" w:hAnsi="仿宋" w:eastAsia="仿宋"/>
          <w:sz w:val="32"/>
          <w:szCs w:val="32"/>
          <w:lang w:val="en-US" w:eastAsia="zh-CN"/>
        </w:rPr>
        <w:t>交易发生异常交易行为，上海证券交易</w:t>
      </w:r>
      <w:r>
        <w:rPr>
          <w:rFonts w:hint="eastAsia" w:ascii="仿宋_GB2312" w:hAnsi="微软雅黑" w:eastAsia="仿宋_GB2312" w:cs="宋体"/>
          <w:color w:val="000000"/>
          <w:kern w:val="0"/>
          <w:sz w:val="32"/>
          <w:szCs w:val="32"/>
        </w:rPr>
        <w:t>将视情况从重采取列为重点监控账户、暂停投资者账户交易、限制投资者账户交易、认定为不合格投资者等自律管理措施。</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尊敬的投资者：</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2022年11月15日，“泽达易盛（688555）”发布立案进展风</w:t>
      </w:r>
      <w:r>
        <w:rPr>
          <w:rFonts w:hint="default" w:ascii="仿宋" w:hAnsi="仿宋" w:eastAsia="仿宋"/>
          <w:sz w:val="32"/>
          <w:szCs w:val="32"/>
          <w:lang w:val="en-US" w:eastAsia="zh-CN"/>
        </w:rPr>
        <w:t xml:space="preserve">险提示公告，披露了立案相关风险、委托理财投资风险、募集资金无法按期归还风险、实控人股份被冻结风险、业绩下滑风险。此前，公司及其实际控制人分别于2022年5 月11日、7月12日收到中国证监会下发的《立案告知书》，均因涉嫌信息披露违法违规被立案。 </w:t>
      </w:r>
    </w:p>
    <w:p>
      <w:pPr>
        <w:keepNext w:val="0"/>
        <w:keepLines w:val="0"/>
        <w:widowControl/>
        <w:suppressLineNumbers w:val="0"/>
        <w:ind w:firstLine="640" w:firstLineChars="200"/>
        <w:jc w:val="left"/>
        <w:rPr>
          <w:rFonts w:hint="eastAsia" w:ascii="仿宋_GB2312" w:hAnsi="微软雅黑" w:eastAsia="仿宋_GB2312" w:cs="宋体"/>
          <w:color w:val="000000"/>
          <w:kern w:val="0"/>
          <w:sz w:val="32"/>
          <w:szCs w:val="32"/>
        </w:rPr>
      </w:pPr>
      <w:r>
        <w:rPr>
          <w:rFonts w:hint="eastAsia" w:ascii="仿宋" w:hAnsi="仿宋" w:eastAsia="仿宋"/>
          <w:sz w:val="32"/>
          <w:szCs w:val="32"/>
          <w:lang w:val="en-US" w:eastAsia="zh-CN"/>
        </w:rPr>
        <w:t>如投资者因参与</w:t>
      </w:r>
      <w:r>
        <w:rPr>
          <w:rFonts w:hint="eastAsia" w:ascii="仿宋_GB2312" w:hAnsi="微软雅黑" w:eastAsia="仿宋_GB2312" w:cs="宋体"/>
          <w:color w:val="000000"/>
          <w:kern w:val="0"/>
          <w:sz w:val="32"/>
          <w:szCs w:val="32"/>
          <w:lang w:eastAsia="zh-CN"/>
        </w:rPr>
        <w:t>以上证券</w:t>
      </w:r>
      <w:r>
        <w:rPr>
          <w:rFonts w:hint="eastAsia" w:ascii="仿宋" w:hAnsi="仿宋" w:eastAsia="仿宋"/>
          <w:sz w:val="32"/>
          <w:szCs w:val="32"/>
          <w:lang w:val="en-US" w:eastAsia="zh-CN"/>
        </w:rPr>
        <w:t>交易发生异常交易行为，上海证券交易</w:t>
      </w:r>
      <w:r>
        <w:rPr>
          <w:rFonts w:hint="eastAsia" w:ascii="仿宋_GB2312" w:hAnsi="微软雅黑" w:eastAsia="仿宋_GB2312" w:cs="宋体"/>
          <w:color w:val="000000"/>
          <w:kern w:val="0"/>
          <w:sz w:val="32"/>
          <w:szCs w:val="32"/>
        </w:rPr>
        <w:t>将视情况从重采取列为重点监控账户、暂停投资者账户交易、限制投资者账户交易、认定为不合格投资者等自律管理措施。</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尊敬的投资者：</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微软雅黑" w:eastAsia="仿宋_GB2312" w:cs="宋体"/>
          <w:color w:val="000000"/>
          <w:kern w:val="0"/>
          <w:sz w:val="32"/>
          <w:szCs w:val="32"/>
          <w:lang w:val="en-US" w:eastAsia="zh-CN"/>
        </w:rPr>
      </w:pPr>
      <w:r>
        <w:rPr>
          <w:rFonts w:hint="eastAsia" w:ascii="仿宋" w:hAnsi="仿宋" w:eastAsia="仿宋"/>
          <w:sz w:val="32"/>
          <w:szCs w:val="32"/>
          <w:lang w:val="en-US" w:eastAsia="zh-CN"/>
        </w:rPr>
        <w:t>“天鹅股份（</w:t>
      </w:r>
      <w:r>
        <w:rPr>
          <w:rFonts w:hint="default" w:ascii="仿宋" w:hAnsi="仿宋" w:eastAsia="仿宋"/>
          <w:sz w:val="32"/>
          <w:szCs w:val="32"/>
          <w:lang w:val="en-US" w:eastAsia="zh-CN"/>
        </w:rPr>
        <w:t>603029）</w:t>
      </w:r>
      <w:r>
        <w:rPr>
          <w:rFonts w:hint="eastAsia" w:ascii="仿宋" w:hAnsi="仿宋" w:eastAsia="仿宋"/>
          <w:sz w:val="32"/>
          <w:szCs w:val="32"/>
          <w:lang w:val="en-US" w:eastAsia="zh-CN"/>
        </w:rPr>
        <w:t>”近期股价涨幅较大，公司已多次发布股</w:t>
      </w:r>
      <w:r>
        <w:rPr>
          <w:rFonts w:hint="default" w:ascii="仿宋" w:hAnsi="仿宋" w:eastAsia="仿宋"/>
          <w:sz w:val="32"/>
          <w:szCs w:val="32"/>
          <w:lang w:val="en-US" w:eastAsia="zh-CN"/>
        </w:rPr>
        <w:t>票交易异常波动及风险提示公告。上述公告明确称，公司经营情况未发生重大变化，不存在应披露而未披露的重大信息，公司实际控制人、控股股东及上市公司未来十二个月内均没有改变主营业务或者对主营业务作出重大调整的计划，公司股价短期内波动幅度较大，提示投资者注意投资风险。</w:t>
      </w:r>
    </w:p>
    <w:p>
      <w:pPr>
        <w:keepNext w:val="0"/>
        <w:keepLines w:val="0"/>
        <w:widowControl/>
        <w:suppressLineNumbers w:val="0"/>
        <w:ind w:firstLine="640" w:firstLineChars="200"/>
        <w:jc w:val="left"/>
        <w:rPr>
          <w:rFonts w:hint="eastAsia" w:ascii="仿宋_GB2312" w:hAnsi="微软雅黑" w:eastAsia="仿宋_GB2312" w:cs="宋体"/>
          <w:color w:val="000000"/>
          <w:kern w:val="0"/>
          <w:sz w:val="32"/>
          <w:szCs w:val="32"/>
        </w:rPr>
      </w:pPr>
      <w:r>
        <w:rPr>
          <w:rFonts w:hint="eastAsia" w:ascii="仿宋" w:hAnsi="仿宋" w:eastAsia="仿宋"/>
          <w:sz w:val="32"/>
          <w:szCs w:val="32"/>
          <w:lang w:val="en-US" w:eastAsia="zh-CN"/>
        </w:rPr>
        <w:t>如投资者因参与</w:t>
      </w:r>
      <w:r>
        <w:rPr>
          <w:rFonts w:hint="eastAsia" w:ascii="仿宋_GB2312" w:hAnsi="微软雅黑" w:eastAsia="仿宋_GB2312" w:cs="宋体"/>
          <w:color w:val="000000"/>
          <w:kern w:val="0"/>
          <w:sz w:val="32"/>
          <w:szCs w:val="32"/>
          <w:lang w:eastAsia="zh-CN"/>
        </w:rPr>
        <w:t>以上证券</w:t>
      </w:r>
      <w:r>
        <w:rPr>
          <w:rFonts w:hint="eastAsia" w:ascii="仿宋" w:hAnsi="仿宋" w:eastAsia="仿宋"/>
          <w:sz w:val="32"/>
          <w:szCs w:val="32"/>
          <w:lang w:val="en-US" w:eastAsia="zh-CN"/>
        </w:rPr>
        <w:t>交易发生异常交易行为，上海证券交易</w:t>
      </w:r>
      <w:r>
        <w:rPr>
          <w:rFonts w:hint="eastAsia" w:ascii="仿宋_GB2312" w:hAnsi="微软雅黑" w:eastAsia="仿宋_GB2312" w:cs="宋体"/>
          <w:color w:val="000000"/>
          <w:kern w:val="0"/>
          <w:sz w:val="32"/>
          <w:szCs w:val="32"/>
        </w:rPr>
        <w:t>将视情况从重采取列为重点监控账户、暂停投资者账户交易、限制投资者账户交易、认定为不合格投资者等自律管理措施。</w:t>
      </w: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color w:val="000000"/>
          <w:kern w:val="0"/>
          <w:sz w:val="32"/>
          <w:szCs w:val="32"/>
        </w:rPr>
      </w:pPr>
    </w:p>
    <w:p>
      <w:pPr>
        <w:keepNext w:val="0"/>
        <w:keepLines w:val="0"/>
        <w:widowControl/>
        <w:suppressLineNumbers w:val="0"/>
        <w:ind w:firstLine="640" w:firstLineChars="200"/>
        <w:jc w:val="left"/>
        <w:rPr>
          <w:rFonts w:hint="eastAsia" w:ascii="仿宋_GB2312" w:hAnsi="微软雅黑" w:eastAsia="仿宋_GB2312" w:cs="宋体"/>
          <w:color w:val="000000"/>
          <w:kern w:val="0"/>
          <w:sz w:val="32"/>
          <w:szCs w:val="32"/>
        </w:rPr>
      </w:pPr>
    </w:p>
    <w:p>
      <w:pPr>
        <w:rPr>
          <w:rFonts w:hint="eastAsia" w:ascii="仿宋_GB2312" w:hAnsi="微软雅黑" w:eastAsia="仿宋_GB2312" w:cs="宋体"/>
          <w:color w:val="000000"/>
          <w:kern w:val="0"/>
          <w:sz w:val="32"/>
          <w:szCs w:val="32"/>
          <w:highlight w:val="yellow"/>
          <w:lang w:val="en-US" w:eastAsia="zh-CN"/>
        </w:rPr>
      </w:pPr>
      <w:r>
        <w:rPr>
          <w:rFonts w:hint="eastAsia" w:ascii="仿宋_GB2312" w:hAnsi="微软雅黑" w:eastAsia="仿宋_GB2312" w:cs="宋体"/>
          <w:color w:val="000000"/>
          <w:kern w:val="0"/>
          <w:sz w:val="32"/>
          <w:szCs w:val="32"/>
          <w:highlight w:val="yellow"/>
          <w:lang w:val="en-US" w:eastAsia="zh-CN"/>
        </w:rPr>
        <w:t>注：分支机构发送短信，最后一段请务必一起发送，不能省略。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jg4ODY3ZTY0MjVjMzE2OTk0NDI2ZTUzMjVjNDMifQ=="/>
  </w:docVars>
  <w:rsids>
    <w:rsidRoot w:val="00172A27"/>
    <w:rsid w:val="000111EA"/>
    <w:rsid w:val="00020E8C"/>
    <w:rsid w:val="0002137F"/>
    <w:rsid w:val="00042B75"/>
    <w:rsid w:val="00052B39"/>
    <w:rsid w:val="00082EBA"/>
    <w:rsid w:val="00087A22"/>
    <w:rsid w:val="0009099E"/>
    <w:rsid w:val="00093062"/>
    <w:rsid w:val="000B1A2C"/>
    <w:rsid w:val="000C6CC3"/>
    <w:rsid w:val="000D1A72"/>
    <w:rsid w:val="0010757F"/>
    <w:rsid w:val="00132091"/>
    <w:rsid w:val="001379F2"/>
    <w:rsid w:val="00144A97"/>
    <w:rsid w:val="00147554"/>
    <w:rsid w:val="00157CFA"/>
    <w:rsid w:val="00161036"/>
    <w:rsid w:val="00162362"/>
    <w:rsid w:val="00180911"/>
    <w:rsid w:val="0018298A"/>
    <w:rsid w:val="00184240"/>
    <w:rsid w:val="00186D23"/>
    <w:rsid w:val="001D4A7C"/>
    <w:rsid w:val="001F40AA"/>
    <w:rsid w:val="002145CD"/>
    <w:rsid w:val="0022213E"/>
    <w:rsid w:val="00227617"/>
    <w:rsid w:val="00230D60"/>
    <w:rsid w:val="00245F0D"/>
    <w:rsid w:val="00283403"/>
    <w:rsid w:val="002905C7"/>
    <w:rsid w:val="00291F81"/>
    <w:rsid w:val="002A7244"/>
    <w:rsid w:val="002C149D"/>
    <w:rsid w:val="002E4AB3"/>
    <w:rsid w:val="002E6B88"/>
    <w:rsid w:val="002F278A"/>
    <w:rsid w:val="0032088B"/>
    <w:rsid w:val="003210F8"/>
    <w:rsid w:val="00321BDC"/>
    <w:rsid w:val="00381620"/>
    <w:rsid w:val="00387F79"/>
    <w:rsid w:val="003913CE"/>
    <w:rsid w:val="003D54D0"/>
    <w:rsid w:val="003E54D6"/>
    <w:rsid w:val="0040089F"/>
    <w:rsid w:val="004049ED"/>
    <w:rsid w:val="00407F0D"/>
    <w:rsid w:val="00421D53"/>
    <w:rsid w:val="00430C33"/>
    <w:rsid w:val="00445252"/>
    <w:rsid w:val="00466931"/>
    <w:rsid w:val="00475CC1"/>
    <w:rsid w:val="00475CCF"/>
    <w:rsid w:val="004A432A"/>
    <w:rsid w:val="004D4AD8"/>
    <w:rsid w:val="004E74EB"/>
    <w:rsid w:val="004F1B3F"/>
    <w:rsid w:val="004F68BD"/>
    <w:rsid w:val="00501A59"/>
    <w:rsid w:val="00533970"/>
    <w:rsid w:val="005571DF"/>
    <w:rsid w:val="00557C84"/>
    <w:rsid w:val="00560B1B"/>
    <w:rsid w:val="00574B02"/>
    <w:rsid w:val="00581346"/>
    <w:rsid w:val="00597C8F"/>
    <w:rsid w:val="005B4F68"/>
    <w:rsid w:val="005C0CE7"/>
    <w:rsid w:val="005C5667"/>
    <w:rsid w:val="005C5A57"/>
    <w:rsid w:val="005F0633"/>
    <w:rsid w:val="005F1D08"/>
    <w:rsid w:val="00610656"/>
    <w:rsid w:val="00611182"/>
    <w:rsid w:val="006367A3"/>
    <w:rsid w:val="0063757D"/>
    <w:rsid w:val="0068226C"/>
    <w:rsid w:val="00693D04"/>
    <w:rsid w:val="006C0B9C"/>
    <w:rsid w:val="006D1ABC"/>
    <w:rsid w:val="006E0DE8"/>
    <w:rsid w:val="006F7C37"/>
    <w:rsid w:val="007124A5"/>
    <w:rsid w:val="007215DE"/>
    <w:rsid w:val="007262AE"/>
    <w:rsid w:val="00727C15"/>
    <w:rsid w:val="00745291"/>
    <w:rsid w:val="00760116"/>
    <w:rsid w:val="00771909"/>
    <w:rsid w:val="007928D9"/>
    <w:rsid w:val="007947F3"/>
    <w:rsid w:val="007C2915"/>
    <w:rsid w:val="007E13B7"/>
    <w:rsid w:val="00824FDA"/>
    <w:rsid w:val="00827E3A"/>
    <w:rsid w:val="00854F27"/>
    <w:rsid w:val="00862B75"/>
    <w:rsid w:val="008A0BF2"/>
    <w:rsid w:val="008A0D4D"/>
    <w:rsid w:val="008B38F0"/>
    <w:rsid w:val="008D2DD6"/>
    <w:rsid w:val="00942F87"/>
    <w:rsid w:val="009506D8"/>
    <w:rsid w:val="00967E03"/>
    <w:rsid w:val="0099199F"/>
    <w:rsid w:val="009A0B6F"/>
    <w:rsid w:val="009D1DAC"/>
    <w:rsid w:val="009E3DF6"/>
    <w:rsid w:val="009E69D9"/>
    <w:rsid w:val="00A00E3F"/>
    <w:rsid w:val="00A17793"/>
    <w:rsid w:val="00A34095"/>
    <w:rsid w:val="00A45C1C"/>
    <w:rsid w:val="00A6235A"/>
    <w:rsid w:val="00A73E49"/>
    <w:rsid w:val="00A84053"/>
    <w:rsid w:val="00AA1035"/>
    <w:rsid w:val="00AB7E76"/>
    <w:rsid w:val="00AC1B41"/>
    <w:rsid w:val="00AD691B"/>
    <w:rsid w:val="00AF050A"/>
    <w:rsid w:val="00B3179D"/>
    <w:rsid w:val="00B342F7"/>
    <w:rsid w:val="00B375D8"/>
    <w:rsid w:val="00B477FF"/>
    <w:rsid w:val="00B47DA1"/>
    <w:rsid w:val="00B51E3A"/>
    <w:rsid w:val="00B60051"/>
    <w:rsid w:val="00B6769C"/>
    <w:rsid w:val="00B9363B"/>
    <w:rsid w:val="00B93C3D"/>
    <w:rsid w:val="00BB4BC1"/>
    <w:rsid w:val="00BF04EB"/>
    <w:rsid w:val="00C33FD1"/>
    <w:rsid w:val="00C42FF6"/>
    <w:rsid w:val="00C76B81"/>
    <w:rsid w:val="00C81E7C"/>
    <w:rsid w:val="00CA2DD2"/>
    <w:rsid w:val="00CB4E11"/>
    <w:rsid w:val="00CB68BB"/>
    <w:rsid w:val="00CC62C1"/>
    <w:rsid w:val="00CD336C"/>
    <w:rsid w:val="00CD3F53"/>
    <w:rsid w:val="00CF0B77"/>
    <w:rsid w:val="00CF641F"/>
    <w:rsid w:val="00D04028"/>
    <w:rsid w:val="00D16D31"/>
    <w:rsid w:val="00D176EA"/>
    <w:rsid w:val="00D4621A"/>
    <w:rsid w:val="00D535EE"/>
    <w:rsid w:val="00D60912"/>
    <w:rsid w:val="00D774D2"/>
    <w:rsid w:val="00DA092D"/>
    <w:rsid w:val="00DE0728"/>
    <w:rsid w:val="00DE0830"/>
    <w:rsid w:val="00DF22CC"/>
    <w:rsid w:val="00E0581F"/>
    <w:rsid w:val="00E068C1"/>
    <w:rsid w:val="00E11E73"/>
    <w:rsid w:val="00E47A23"/>
    <w:rsid w:val="00E503E1"/>
    <w:rsid w:val="00E50BBD"/>
    <w:rsid w:val="00E628F1"/>
    <w:rsid w:val="00E70265"/>
    <w:rsid w:val="00E84843"/>
    <w:rsid w:val="00E9495C"/>
    <w:rsid w:val="00EB45D1"/>
    <w:rsid w:val="00EC1C5C"/>
    <w:rsid w:val="00ED4038"/>
    <w:rsid w:val="00ED7363"/>
    <w:rsid w:val="00F05CCE"/>
    <w:rsid w:val="00F11069"/>
    <w:rsid w:val="00F2766D"/>
    <w:rsid w:val="00F64903"/>
    <w:rsid w:val="00F67EEE"/>
    <w:rsid w:val="00F72EE9"/>
    <w:rsid w:val="00F75C4A"/>
    <w:rsid w:val="00F75F3C"/>
    <w:rsid w:val="00F85549"/>
    <w:rsid w:val="00F9086C"/>
    <w:rsid w:val="00F93B52"/>
    <w:rsid w:val="00F94EB8"/>
    <w:rsid w:val="00F95EAC"/>
    <w:rsid w:val="00FB26B9"/>
    <w:rsid w:val="00FC3A8D"/>
    <w:rsid w:val="00FF146D"/>
    <w:rsid w:val="01925756"/>
    <w:rsid w:val="030929EC"/>
    <w:rsid w:val="033E4E5C"/>
    <w:rsid w:val="03DF1EFE"/>
    <w:rsid w:val="03E96E23"/>
    <w:rsid w:val="04545BA2"/>
    <w:rsid w:val="04AE00AE"/>
    <w:rsid w:val="06154C31"/>
    <w:rsid w:val="0689291F"/>
    <w:rsid w:val="0708351A"/>
    <w:rsid w:val="08395B4E"/>
    <w:rsid w:val="085E7EC2"/>
    <w:rsid w:val="0870581B"/>
    <w:rsid w:val="08A47331"/>
    <w:rsid w:val="099A7DD5"/>
    <w:rsid w:val="0A3A1396"/>
    <w:rsid w:val="0CFD1499"/>
    <w:rsid w:val="0E9B2C79"/>
    <w:rsid w:val="0EE8315E"/>
    <w:rsid w:val="0F635F9C"/>
    <w:rsid w:val="0FFF56D6"/>
    <w:rsid w:val="104430E9"/>
    <w:rsid w:val="105578A3"/>
    <w:rsid w:val="10A205F8"/>
    <w:rsid w:val="117020C6"/>
    <w:rsid w:val="11C33DEF"/>
    <w:rsid w:val="12DB4B67"/>
    <w:rsid w:val="134F0723"/>
    <w:rsid w:val="135E2714"/>
    <w:rsid w:val="13B24675"/>
    <w:rsid w:val="142B7110"/>
    <w:rsid w:val="14680377"/>
    <w:rsid w:val="169052DA"/>
    <w:rsid w:val="16B06763"/>
    <w:rsid w:val="1804388A"/>
    <w:rsid w:val="180513B0"/>
    <w:rsid w:val="194303E2"/>
    <w:rsid w:val="1A7171D0"/>
    <w:rsid w:val="1ABD46AD"/>
    <w:rsid w:val="1AE559D5"/>
    <w:rsid w:val="1AF851FC"/>
    <w:rsid w:val="1B2007FE"/>
    <w:rsid w:val="1C271C50"/>
    <w:rsid w:val="1C915908"/>
    <w:rsid w:val="1E095860"/>
    <w:rsid w:val="1E7D7EF2"/>
    <w:rsid w:val="1F8A4FBC"/>
    <w:rsid w:val="1FCD6C57"/>
    <w:rsid w:val="24550F98"/>
    <w:rsid w:val="24AF2DCF"/>
    <w:rsid w:val="25DA2E17"/>
    <w:rsid w:val="262B2929"/>
    <w:rsid w:val="26FA4876"/>
    <w:rsid w:val="27444822"/>
    <w:rsid w:val="27B5216A"/>
    <w:rsid w:val="27DC4123"/>
    <w:rsid w:val="2A2D5308"/>
    <w:rsid w:val="2B611BC6"/>
    <w:rsid w:val="2B6C3522"/>
    <w:rsid w:val="2BC52ED8"/>
    <w:rsid w:val="2BE60032"/>
    <w:rsid w:val="2C1E0863"/>
    <w:rsid w:val="2D542766"/>
    <w:rsid w:val="2D9A64B4"/>
    <w:rsid w:val="2E5D389C"/>
    <w:rsid w:val="2E8C37B6"/>
    <w:rsid w:val="2F610444"/>
    <w:rsid w:val="2F6A3DF4"/>
    <w:rsid w:val="2F6B1A53"/>
    <w:rsid w:val="2F950E14"/>
    <w:rsid w:val="30CC4D09"/>
    <w:rsid w:val="3156680F"/>
    <w:rsid w:val="35507CB7"/>
    <w:rsid w:val="35E873B4"/>
    <w:rsid w:val="371543E9"/>
    <w:rsid w:val="3744088C"/>
    <w:rsid w:val="37893954"/>
    <w:rsid w:val="382A26A5"/>
    <w:rsid w:val="38BE214E"/>
    <w:rsid w:val="38D26C34"/>
    <w:rsid w:val="39C3314D"/>
    <w:rsid w:val="3A146C85"/>
    <w:rsid w:val="3AA840F1"/>
    <w:rsid w:val="3B280848"/>
    <w:rsid w:val="3B6B49E5"/>
    <w:rsid w:val="3D605157"/>
    <w:rsid w:val="3EBA632C"/>
    <w:rsid w:val="3F5F14E1"/>
    <w:rsid w:val="3FA43AAD"/>
    <w:rsid w:val="3FDD483D"/>
    <w:rsid w:val="40400E6E"/>
    <w:rsid w:val="40854BA3"/>
    <w:rsid w:val="41D22B14"/>
    <w:rsid w:val="42151A87"/>
    <w:rsid w:val="42D46B19"/>
    <w:rsid w:val="42FC322C"/>
    <w:rsid w:val="43E35CA1"/>
    <w:rsid w:val="44044A8E"/>
    <w:rsid w:val="44094595"/>
    <w:rsid w:val="44206730"/>
    <w:rsid w:val="47AF3E4D"/>
    <w:rsid w:val="49A50903"/>
    <w:rsid w:val="49E87A9E"/>
    <w:rsid w:val="4A674B62"/>
    <w:rsid w:val="4AE253FD"/>
    <w:rsid w:val="4B2E69D3"/>
    <w:rsid w:val="4CC76658"/>
    <w:rsid w:val="4CE30FB8"/>
    <w:rsid w:val="4D303F39"/>
    <w:rsid w:val="4DCA2012"/>
    <w:rsid w:val="4EAF64EF"/>
    <w:rsid w:val="4FB41454"/>
    <w:rsid w:val="51170E05"/>
    <w:rsid w:val="53031E2E"/>
    <w:rsid w:val="53E45D42"/>
    <w:rsid w:val="5455279C"/>
    <w:rsid w:val="579E67E3"/>
    <w:rsid w:val="592E2E66"/>
    <w:rsid w:val="596448B1"/>
    <w:rsid w:val="5B04316E"/>
    <w:rsid w:val="5B0D3DD0"/>
    <w:rsid w:val="5C427AAA"/>
    <w:rsid w:val="5C7B501E"/>
    <w:rsid w:val="5C901D42"/>
    <w:rsid w:val="5CFC40FC"/>
    <w:rsid w:val="5D390471"/>
    <w:rsid w:val="5E916619"/>
    <w:rsid w:val="5F36423B"/>
    <w:rsid w:val="5F590100"/>
    <w:rsid w:val="5F930DB1"/>
    <w:rsid w:val="604D42C1"/>
    <w:rsid w:val="60770732"/>
    <w:rsid w:val="62BB05B6"/>
    <w:rsid w:val="62D017F4"/>
    <w:rsid w:val="65534AD5"/>
    <w:rsid w:val="65BF660F"/>
    <w:rsid w:val="65DD53DE"/>
    <w:rsid w:val="661077B8"/>
    <w:rsid w:val="67B6759E"/>
    <w:rsid w:val="680705C2"/>
    <w:rsid w:val="69810E24"/>
    <w:rsid w:val="6A8A2726"/>
    <w:rsid w:val="6BF3491C"/>
    <w:rsid w:val="6C4E7A26"/>
    <w:rsid w:val="6CF613C1"/>
    <w:rsid w:val="6DD86E3D"/>
    <w:rsid w:val="6E0F61BE"/>
    <w:rsid w:val="6EF546BB"/>
    <w:rsid w:val="6F8B0FD2"/>
    <w:rsid w:val="71445C1A"/>
    <w:rsid w:val="71514C5D"/>
    <w:rsid w:val="71581659"/>
    <w:rsid w:val="71B37E41"/>
    <w:rsid w:val="73565C94"/>
    <w:rsid w:val="736F095A"/>
    <w:rsid w:val="740A65BE"/>
    <w:rsid w:val="7493067F"/>
    <w:rsid w:val="76CF691F"/>
    <w:rsid w:val="76DA4D3E"/>
    <w:rsid w:val="776A0625"/>
    <w:rsid w:val="776C6112"/>
    <w:rsid w:val="79064601"/>
    <w:rsid w:val="7AF8083C"/>
    <w:rsid w:val="7B6C46EB"/>
    <w:rsid w:val="7C8102A7"/>
    <w:rsid w:val="7CA103C5"/>
    <w:rsid w:val="7D71224F"/>
    <w:rsid w:val="7D8243BD"/>
    <w:rsid w:val="7E334FFB"/>
    <w:rsid w:val="7E454607"/>
    <w:rsid w:val="7E9E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日期 Char"/>
    <w:basedOn w:val="7"/>
    <w:link w:val="3"/>
    <w:qFormat/>
    <w:uiPriority w:val="0"/>
    <w:rPr>
      <w:kern w:val="2"/>
      <w:sz w:val="21"/>
      <w:szCs w:val="24"/>
    </w:rPr>
  </w:style>
  <w:style w:type="character" w:customStyle="1" w:styleId="12">
    <w:name w:val="fontstyle01"/>
    <w:basedOn w:val="7"/>
    <w:qFormat/>
    <w:uiPriority w:val="0"/>
    <w:rPr>
      <w:rFonts w:hint="eastAsia" w:ascii="仿宋_GB2312" w:eastAsia="仿宋_GB2312"/>
      <w:color w:val="000000"/>
      <w:sz w:val="28"/>
      <w:szCs w:val="28"/>
    </w:rPr>
  </w:style>
  <w:style w:type="character" w:customStyle="1" w:styleId="13">
    <w:name w:val="fontstyle21"/>
    <w:basedOn w:val="7"/>
    <w:qFormat/>
    <w:uiPriority w:val="0"/>
    <w:rPr>
      <w:rFonts w:hint="eastAsia" w:ascii="仿宋_GB2312" w:eastAsia="仿宋_GB2312"/>
      <w:color w:val="000000"/>
      <w:sz w:val="28"/>
      <w:szCs w:val="28"/>
    </w:rPr>
  </w:style>
  <w:style w:type="character" w:customStyle="1" w:styleId="14">
    <w:name w:val="fontstyle11"/>
    <w:basedOn w:val="7"/>
    <w:qFormat/>
    <w:uiPriority w:val="0"/>
    <w:rPr>
      <w:rFonts w:hint="default" w:ascii="Times New Roman" w:hAnsi="Times New Roman" w:cs="Times New Roman"/>
      <w:color w:val="000000"/>
      <w:sz w:val="28"/>
      <w:szCs w:val="28"/>
    </w:rPr>
  </w:style>
  <w:style w:type="paragraph" w:customStyle="1" w:styleId="15">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imes New Roman"/>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1807</Words>
  <Characters>1935</Characters>
  <Lines>6</Lines>
  <Paragraphs>1</Paragraphs>
  <TotalTime>1</TotalTime>
  <ScaleCrop>false</ScaleCrop>
  <LinksUpToDate>false</LinksUpToDate>
  <CharactersWithSpaces>1941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2021-03-05T06:03:00Z</dcterms:created>
  <dc:creator>WPS_1527991767</dc:creator>
  <cp:lastModifiedBy>Lenovo</cp:lastModifiedBy>
  <dcterms:modified xsi:type="dcterms:W3CDTF">2022-11-17T08:47:26Z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793544E93A7B44DB9D7F39F2BDCE5483</vt:lpwstr>
  </property>
</Properties>
</file>