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B87" w:rsidRPr="00D6191E" w:rsidRDefault="00BA4B87" w:rsidP="000449FE">
      <w:pPr>
        <w:snapToGrid w:val="0"/>
        <w:spacing w:line="360" w:lineRule="auto"/>
        <w:ind w:firstLine="181"/>
        <w:jc w:val="center"/>
        <w:rPr>
          <w:rFonts w:asciiTheme="minorEastAsia" w:eastAsiaTheme="minorEastAsia" w:hAnsiTheme="minorEastAsia"/>
          <w:b/>
          <w:sz w:val="44"/>
        </w:rPr>
      </w:pPr>
    </w:p>
    <w:p w:rsidR="00BA4B87" w:rsidRPr="00D6191E" w:rsidRDefault="00BA4B87" w:rsidP="000449FE">
      <w:pPr>
        <w:snapToGrid w:val="0"/>
        <w:spacing w:line="360" w:lineRule="auto"/>
        <w:ind w:firstLine="881"/>
        <w:jc w:val="center"/>
        <w:rPr>
          <w:rFonts w:asciiTheme="minorEastAsia" w:eastAsiaTheme="minorEastAsia" w:hAnsiTheme="minorEastAsia"/>
          <w:b/>
          <w:sz w:val="44"/>
        </w:rPr>
      </w:pPr>
    </w:p>
    <w:p w:rsidR="00BA4B87" w:rsidRPr="00D6191E" w:rsidRDefault="00BA4B87" w:rsidP="000449FE">
      <w:pPr>
        <w:snapToGrid w:val="0"/>
        <w:spacing w:line="360" w:lineRule="auto"/>
        <w:ind w:firstLine="881"/>
        <w:jc w:val="center"/>
        <w:rPr>
          <w:rFonts w:asciiTheme="minorEastAsia" w:eastAsiaTheme="minorEastAsia" w:hAnsiTheme="minorEastAsia"/>
          <w:b/>
          <w:sz w:val="44"/>
        </w:rPr>
      </w:pPr>
    </w:p>
    <w:p w:rsidR="00BA4B87" w:rsidRPr="00D6191E" w:rsidRDefault="00BA4B87" w:rsidP="000449FE">
      <w:pPr>
        <w:snapToGrid w:val="0"/>
        <w:spacing w:line="360" w:lineRule="auto"/>
        <w:jc w:val="center"/>
        <w:rPr>
          <w:rFonts w:asciiTheme="minorEastAsia" w:eastAsiaTheme="minorEastAsia" w:hAnsiTheme="minorEastAsia"/>
          <w:b/>
          <w:sz w:val="44"/>
        </w:rPr>
      </w:pPr>
      <w:r w:rsidRPr="00D6191E">
        <w:rPr>
          <w:rFonts w:asciiTheme="minorEastAsia" w:eastAsiaTheme="minorEastAsia" w:hAnsiTheme="minorEastAsia" w:hint="eastAsia"/>
          <w:b/>
          <w:sz w:val="44"/>
        </w:rPr>
        <w:t>易方达</w:t>
      </w:r>
      <w:r w:rsidRPr="00D6191E">
        <w:rPr>
          <w:rFonts w:asciiTheme="minorEastAsia" w:eastAsiaTheme="minorEastAsia" w:hAnsiTheme="minorEastAsia" w:hint="eastAsia"/>
          <w:b/>
          <w:bCs/>
          <w:sz w:val="44"/>
        </w:rPr>
        <w:t>双债增强债券型证券投资基金</w:t>
      </w:r>
    </w:p>
    <w:p w:rsidR="00BA4B87" w:rsidRPr="00D6191E" w:rsidRDefault="00BB59D1" w:rsidP="000449FE">
      <w:pPr>
        <w:snapToGrid w:val="0"/>
        <w:spacing w:line="360" w:lineRule="auto"/>
        <w:jc w:val="center"/>
        <w:rPr>
          <w:rFonts w:asciiTheme="minorEastAsia" w:eastAsiaTheme="minorEastAsia" w:hAnsiTheme="minorEastAsia"/>
          <w:b/>
          <w:sz w:val="44"/>
        </w:rPr>
      </w:pPr>
      <w:r w:rsidRPr="00D6191E">
        <w:rPr>
          <w:rFonts w:asciiTheme="minorEastAsia" w:eastAsiaTheme="minorEastAsia" w:hAnsiTheme="minorEastAsia" w:hint="eastAsia"/>
          <w:b/>
          <w:sz w:val="44"/>
        </w:rPr>
        <w:t>更新的</w:t>
      </w:r>
      <w:r w:rsidR="00BA4B87" w:rsidRPr="00D6191E">
        <w:rPr>
          <w:rFonts w:asciiTheme="minorEastAsia" w:eastAsiaTheme="minorEastAsia" w:hAnsiTheme="minorEastAsia" w:hint="eastAsia"/>
          <w:b/>
          <w:sz w:val="44"/>
        </w:rPr>
        <w:t>招募说明书</w:t>
      </w:r>
    </w:p>
    <w:p w:rsidR="00BA4B87" w:rsidRPr="00D6191E" w:rsidRDefault="00BA4B87" w:rsidP="000449FE">
      <w:pPr>
        <w:snapToGrid w:val="0"/>
        <w:spacing w:line="360" w:lineRule="auto"/>
        <w:ind w:leftChars="800" w:left="1680" w:firstLine="181"/>
        <w:rPr>
          <w:rFonts w:asciiTheme="minorEastAsia" w:eastAsiaTheme="minorEastAsia" w:hAnsiTheme="minorEastAsia"/>
          <w:sz w:val="30"/>
          <w:szCs w:val="30"/>
        </w:rPr>
      </w:pPr>
    </w:p>
    <w:p w:rsidR="00BA4B87" w:rsidRPr="00D6191E" w:rsidRDefault="00BA4B87" w:rsidP="000449FE">
      <w:pPr>
        <w:snapToGrid w:val="0"/>
        <w:spacing w:line="360" w:lineRule="auto"/>
        <w:ind w:leftChars="800" w:left="1680"/>
        <w:rPr>
          <w:rFonts w:asciiTheme="minorEastAsia" w:eastAsiaTheme="minorEastAsia" w:hAnsiTheme="minorEastAsia"/>
          <w:sz w:val="30"/>
          <w:szCs w:val="30"/>
        </w:rPr>
      </w:pPr>
    </w:p>
    <w:p w:rsidR="00280636" w:rsidRPr="00D6191E" w:rsidRDefault="00280636" w:rsidP="000449FE">
      <w:pPr>
        <w:snapToGrid w:val="0"/>
        <w:spacing w:line="360" w:lineRule="auto"/>
        <w:ind w:leftChars="800" w:left="1680"/>
        <w:rPr>
          <w:rFonts w:asciiTheme="minorEastAsia" w:eastAsiaTheme="minorEastAsia" w:hAnsiTheme="minorEastAsia"/>
          <w:sz w:val="30"/>
          <w:szCs w:val="30"/>
        </w:rPr>
      </w:pPr>
    </w:p>
    <w:p w:rsidR="000449FE" w:rsidRPr="00D6191E" w:rsidRDefault="000449FE" w:rsidP="000449FE">
      <w:pPr>
        <w:snapToGrid w:val="0"/>
        <w:spacing w:line="360" w:lineRule="auto"/>
        <w:ind w:leftChars="800" w:left="1680"/>
        <w:rPr>
          <w:rFonts w:asciiTheme="minorEastAsia" w:eastAsiaTheme="minorEastAsia" w:hAnsiTheme="minorEastAsia"/>
          <w:sz w:val="30"/>
          <w:szCs w:val="30"/>
        </w:rPr>
      </w:pPr>
    </w:p>
    <w:p w:rsidR="000449FE" w:rsidRPr="00D6191E" w:rsidRDefault="000449FE" w:rsidP="000449FE">
      <w:pPr>
        <w:snapToGrid w:val="0"/>
        <w:spacing w:line="360" w:lineRule="auto"/>
        <w:ind w:leftChars="800" w:left="1680"/>
        <w:rPr>
          <w:rFonts w:asciiTheme="minorEastAsia" w:eastAsiaTheme="minorEastAsia" w:hAnsiTheme="minorEastAsia"/>
          <w:sz w:val="30"/>
          <w:szCs w:val="30"/>
        </w:rPr>
      </w:pPr>
    </w:p>
    <w:p w:rsidR="000449FE" w:rsidRPr="00D6191E" w:rsidRDefault="000449FE" w:rsidP="000449FE">
      <w:pPr>
        <w:snapToGrid w:val="0"/>
        <w:spacing w:line="360" w:lineRule="auto"/>
        <w:ind w:leftChars="800" w:left="1680"/>
        <w:rPr>
          <w:rFonts w:asciiTheme="minorEastAsia" w:eastAsiaTheme="minorEastAsia" w:hAnsiTheme="minorEastAsia"/>
          <w:sz w:val="30"/>
          <w:szCs w:val="30"/>
        </w:rPr>
      </w:pPr>
    </w:p>
    <w:p w:rsidR="00BB59D1" w:rsidRPr="00D6191E" w:rsidRDefault="00BB59D1" w:rsidP="000449FE">
      <w:pPr>
        <w:snapToGrid w:val="0"/>
        <w:spacing w:line="360" w:lineRule="auto"/>
        <w:ind w:leftChars="800" w:left="1680"/>
        <w:rPr>
          <w:rFonts w:asciiTheme="minorEastAsia" w:eastAsiaTheme="minorEastAsia" w:hAnsiTheme="minorEastAsia"/>
          <w:sz w:val="30"/>
          <w:szCs w:val="30"/>
        </w:rPr>
      </w:pPr>
    </w:p>
    <w:p w:rsidR="000449FE" w:rsidRPr="00D6191E" w:rsidRDefault="000449FE" w:rsidP="000449FE">
      <w:pPr>
        <w:snapToGrid w:val="0"/>
        <w:spacing w:line="360" w:lineRule="auto"/>
        <w:ind w:leftChars="800" w:left="1680"/>
        <w:rPr>
          <w:rFonts w:asciiTheme="minorEastAsia" w:eastAsiaTheme="minorEastAsia" w:hAnsiTheme="minorEastAsia"/>
          <w:sz w:val="30"/>
          <w:szCs w:val="30"/>
        </w:rPr>
      </w:pPr>
    </w:p>
    <w:p w:rsidR="00BB59D1" w:rsidRPr="00D6191E" w:rsidRDefault="00BB59D1" w:rsidP="000449FE">
      <w:pPr>
        <w:snapToGrid w:val="0"/>
        <w:spacing w:line="360" w:lineRule="auto"/>
        <w:ind w:leftChars="800" w:left="1680"/>
        <w:rPr>
          <w:rFonts w:asciiTheme="minorEastAsia" w:eastAsiaTheme="minorEastAsia" w:hAnsiTheme="minorEastAsia"/>
          <w:sz w:val="30"/>
          <w:szCs w:val="30"/>
        </w:rPr>
      </w:pPr>
    </w:p>
    <w:p w:rsidR="00BA4B87" w:rsidRPr="00D6191E" w:rsidRDefault="00BA4B87" w:rsidP="00E82623">
      <w:pPr>
        <w:snapToGrid w:val="0"/>
        <w:spacing w:line="360" w:lineRule="auto"/>
        <w:ind w:leftChars="686" w:left="1679" w:hangingChars="74" w:hanging="238"/>
        <w:rPr>
          <w:rFonts w:asciiTheme="minorEastAsia" w:eastAsiaTheme="minorEastAsia" w:hAnsiTheme="minorEastAsia"/>
          <w:b/>
          <w:sz w:val="32"/>
          <w:szCs w:val="32"/>
        </w:rPr>
      </w:pPr>
      <w:r w:rsidRPr="00D6191E">
        <w:rPr>
          <w:rFonts w:asciiTheme="minorEastAsia" w:eastAsiaTheme="minorEastAsia" w:hAnsiTheme="minorEastAsia" w:hint="eastAsia"/>
          <w:b/>
          <w:sz w:val="32"/>
          <w:szCs w:val="32"/>
        </w:rPr>
        <w:t>基金管理人：易方达基金管理有限公司</w:t>
      </w:r>
    </w:p>
    <w:p w:rsidR="00BA4B87" w:rsidRPr="00D6191E" w:rsidRDefault="00BA4B87" w:rsidP="000449FE">
      <w:pPr>
        <w:snapToGrid w:val="0"/>
        <w:spacing w:line="360" w:lineRule="auto"/>
        <w:ind w:leftChars="685" w:left="1438"/>
        <w:rPr>
          <w:rFonts w:asciiTheme="minorEastAsia" w:eastAsiaTheme="minorEastAsia" w:hAnsiTheme="minorEastAsia"/>
          <w:b/>
          <w:sz w:val="32"/>
          <w:szCs w:val="32"/>
        </w:rPr>
      </w:pPr>
      <w:r w:rsidRPr="00D6191E">
        <w:rPr>
          <w:rFonts w:asciiTheme="minorEastAsia" w:eastAsiaTheme="minorEastAsia" w:hAnsiTheme="minorEastAsia" w:hint="eastAsia"/>
          <w:b/>
          <w:sz w:val="32"/>
          <w:szCs w:val="32"/>
        </w:rPr>
        <w:t>基金托管人：中国建设银行股份有限公司</w:t>
      </w:r>
    </w:p>
    <w:p w:rsidR="00BA4B87" w:rsidRPr="00D6191E" w:rsidRDefault="00BA4B87" w:rsidP="000449FE">
      <w:pPr>
        <w:snapToGrid w:val="0"/>
        <w:spacing w:line="360" w:lineRule="auto"/>
        <w:ind w:firstLine="561"/>
        <w:rPr>
          <w:rFonts w:asciiTheme="minorEastAsia" w:eastAsiaTheme="minorEastAsia" w:hAnsiTheme="minorEastAsia"/>
          <w:b/>
          <w:sz w:val="32"/>
          <w:szCs w:val="32"/>
        </w:rPr>
      </w:pPr>
    </w:p>
    <w:p w:rsidR="00E22F92" w:rsidRDefault="00E22F92" w:rsidP="000449FE">
      <w:pPr>
        <w:snapToGrid w:val="0"/>
        <w:spacing w:line="360" w:lineRule="auto"/>
        <w:ind w:firstLine="561"/>
        <w:jc w:val="center"/>
        <w:rPr>
          <w:rFonts w:asciiTheme="minorEastAsia" w:eastAsiaTheme="minorEastAsia" w:hAnsiTheme="minorEastAsia"/>
          <w:b/>
          <w:sz w:val="32"/>
          <w:szCs w:val="32"/>
        </w:rPr>
      </w:pPr>
      <w:r>
        <w:rPr>
          <w:b/>
          <w:sz w:val="32"/>
        </w:rPr>
        <w:t>二〇二一年十月</w:t>
      </w:r>
    </w:p>
    <w:p w:rsidR="00A02835" w:rsidRPr="00D6191E" w:rsidRDefault="00A02835" w:rsidP="000449FE">
      <w:pPr>
        <w:snapToGrid w:val="0"/>
        <w:spacing w:line="360" w:lineRule="auto"/>
        <w:ind w:firstLine="561"/>
        <w:jc w:val="center"/>
        <w:rPr>
          <w:rFonts w:asciiTheme="minorEastAsia" w:eastAsiaTheme="minorEastAsia" w:hAnsiTheme="minorEastAsia"/>
          <w:b/>
          <w:sz w:val="32"/>
          <w:szCs w:val="32"/>
        </w:rPr>
      </w:pPr>
    </w:p>
    <w:p w:rsidR="00D6191E" w:rsidRDefault="00D6191E" w:rsidP="000449FE">
      <w:pPr>
        <w:snapToGrid w:val="0"/>
        <w:spacing w:line="360" w:lineRule="auto"/>
        <w:ind w:firstLine="561"/>
        <w:jc w:val="center"/>
        <w:rPr>
          <w:rFonts w:asciiTheme="minorEastAsia" w:eastAsiaTheme="minorEastAsia" w:hAnsiTheme="minorEastAsia"/>
          <w:b/>
          <w:sz w:val="32"/>
          <w:szCs w:val="32"/>
        </w:rPr>
        <w:sectPr w:rsidR="00D6191E" w:rsidSect="00D6191E">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1134" w:footer="1247" w:gutter="0"/>
          <w:pgNumType w:fmt="upperRoman" w:start="1"/>
          <w:cols w:space="720"/>
          <w:docGrid w:type="lines" w:linePitch="447"/>
        </w:sectPr>
      </w:pPr>
    </w:p>
    <w:p w:rsidR="00BA4B87" w:rsidRPr="00D6191E" w:rsidRDefault="00BA4B87" w:rsidP="000449FE">
      <w:pPr>
        <w:snapToGrid w:val="0"/>
        <w:spacing w:line="360" w:lineRule="auto"/>
        <w:ind w:firstLine="561"/>
        <w:jc w:val="center"/>
        <w:rPr>
          <w:rFonts w:asciiTheme="minorEastAsia" w:eastAsiaTheme="minorEastAsia" w:hAnsiTheme="minorEastAsia"/>
          <w:b/>
          <w:sz w:val="28"/>
          <w:szCs w:val="28"/>
        </w:rPr>
      </w:pPr>
      <w:r w:rsidRPr="00D6191E">
        <w:rPr>
          <w:rFonts w:asciiTheme="minorEastAsia" w:eastAsiaTheme="minorEastAsia" w:hAnsiTheme="minorEastAsia" w:hint="eastAsia"/>
          <w:b/>
          <w:sz w:val="28"/>
          <w:szCs w:val="28"/>
        </w:rPr>
        <w:lastRenderedPageBreak/>
        <w:t>重要提示</w:t>
      </w:r>
    </w:p>
    <w:p w:rsidR="00BA4B87" w:rsidRPr="00D6191E" w:rsidRDefault="00BA4B87" w:rsidP="000449FE">
      <w:pPr>
        <w:snapToGrid w:val="0"/>
        <w:spacing w:line="360" w:lineRule="auto"/>
        <w:ind w:firstLine="482"/>
        <w:rPr>
          <w:rFonts w:asciiTheme="minorEastAsia" w:eastAsiaTheme="minorEastAsia" w:hAnsiTheme="minorEastAsia"/>
          <w:b/>
          <w:szCs w:val="21"/>
        </w:rPr>
      </w:pPr>
      <w:r w:rsidRPr="00D6191E">
        <w:rPr>
          <w:rFonts w:asciiTheme="minorEastAsia" w:eastAsiaTheme="minorEastAsia" w:hAnsiTheme="minorEastAsia" w:hint="eastAsia"/>
          <w:b/>
          <w:szCs w:val="21"/>
        </w:rPr>
        <w:t>本基金根据2011年9月</w:t>
      </w:r>
      <w:r w:rsidR="00F42B7B" w:rsidRPr="00D6191E">
        <w:rPr>
          <w:rFonts w:asciiTheme="minorEastAsia" w:eastAsiaTheme="minorEastAsia" w:hAnsiTheme="minorEastAsia" w:hint="eastAsia"/>
          <w:b/>
          <w:szCs w:val="21"/>
        </w:rPr>
        <w:t>23</w:t>
      </w:r>
      <w:r w:rsidRPr="00D6191E">
        <w:rPr>
          <w:rFonts w:asciiTheme="minorEastAsia" w:eastAsiaTheme="minorEastAsia" w:hAnsiTheme="minorEastAsia" w:hint="eastAsia"/>
          <w:b/>
          <w:szCs w:val="21"/>
        </w:rPr>
        <w:t>日中国证券监督管理委员会《关于核准易方达双债增强债券型证券投资基金募集的批复》(证监许可[2011]1539号)和2011年</w:t>
      </w:r>
      <w:r w:rsidR="00CD6A7D" w:rsidRPr="00D6191E">
        <w:rPr>
          <w:rFonts w:asciiTheme="minorEastAsia" w:eastAsiaTheme="minorEastAsia" w:hAnsiTheme="minorEastAsia" w:hint="eastAsia"/>
          <w:b/>
          <w:szCs w:val="21"/>
        </w:rPr>
        <w:t>10</w:t>
      </w:r>
      <w:r w:rsidRPr="00D6191E">
        <w:rPr>
          <w:rFonts w:asciiTheme="minorEastAsia" w:eastAsiaTheme="minorEastAsia" w:hAnsiTheme="minorEastAsia" w:hint="eastAsia"/>
          <w:b/>
          <w:szCs w:val="21"/>
        </w:rPr>
        <w:t>月</w:t>
      </w:r>
      <w:r w:rsidR="00CD6A7D" w:rsidRPr="00D6191E">
        <w:rPr>
          <w:rFonts w:asciiTheme="minorEastAsia" w:eastAsiaTheme="minorEastAsia" w:hAnsiTheme="minorEastAsia" w:hint="eastAsia"/>
          <w:b/>
          <w:szCs w:val="21"/>
        </w:rPr>
        <w:t>20</w:t>
      </w:r>
      <w:r w:rsidRPr="00D6191E">
        <w:rPr>
          <w:rFonts w:asciiTheme="minorEastAsia" w:eastAsiaTheme="minorEastAsia" w:hAnsiTheme="minorEastAsia" w:hint="eastAsia"/>
          <w:b/>
          <w:szCs w:val="21"/>
        </w:rPr>
        <w:t>日《关于易方达双债增强债券型证券投资基金募集时间安排的确认函》(基金部函[</w:t>
      </w:r>
      <w:r w:rsidR="00CD6A7D" w:rsidRPr="00D6191E">
        <w:rPr>
          <w:rFonts w:asciiTheme="minorEastAsia" w:eastAsiaTheme="minorEastAsia" w:hAnsiTheme="minorEastAsia" w:hint="eastAsia"/>
          <w:b/>
          <w:szCs w:val="21"/>
        </w:rPr>
        <w:t>2011</w:t>
      </w:r>
      <w:r w:rsidRPr="00D6191E">
        <w:rPr>
          <w:rFonts w:asciiTheme="minorEastAsia" w:eastAsiaTheme="minorEastAsia" w:hAnsiTheme="minorEastAsia" w:hint="eastAsia"/>
          <w:b/>
          <w:szCs w:val="21"/>
        </w:rPr>
        <w:t>]</w:t>
      </w:r>
      <w:r w:rsidR="00CD6A7D" w:rsidRPr="00D6191E">
        <w:rPr>
          <w:rFonts w:asciiTheme="minorEastAsia" w:eastAsiaTheme="minorEastAsia" w:hAnsiTheme="minorEastAsia" w:hint="eastAsia"/>
          <w:b/>
          <w:szCs w:val="21"/>
        </w:rPr>
        <w:t>806</w:t>
      </w:r>
      <w:r w:rsidRPr="00D6191E">
        <w:rPr>
          <w:rFonts w:asciiTheme="minorEastAsia" w:eastAsiaTheme="minorEastAsia" w:hAnsiTheme="minorEastAsia" w:hint="eastAsia"/>
          <w:b/>
          <w:szCs w:val="21"/>
        </w:rPr>
        <w:t>号)的核准，进行募集。</w:t>
      </w:r>
      <w:r w:rsidR="00FC14AB" w:rsidRPr="00D6191E">
        <w:rPr>
          <w:rFonts w:asciiTheme="minorEastAsia" w:eastAsiaTheme="minorEastAsia" w:hAnsiTheme="minorEastAsia" w:hint="eastAsia"/>
          <w:b/>
          <w:szCs w:val="21"/>
        </w:rPr>
        <w:t>本基金的基金合同于2011年12月1日正式生效。</w:t>
      </w:r>
    </w:p>
    <w:p w:rsidR="00BA4B87" w:rsidRPr="00D6191E" w:rsidRDefault="00BA4B87" w:rsidP="000449FE">
      <w:pPr>
        <w:snapToGrid w:val="0"/>
        <w:spacing w:line="360" w:lineRule="auto"/>
        <w:ind w:firstLine="482"/>
        <w:rPr>
          <w:rFonts w:asciiTheme="minorEastAsia" w:eastAsiaTheme="minorEastAsia" w:hAnsiTheme="minorEastAsia"/>
          <w:b/>
          <w:szCs w:val="21"/>
        </w:rPr>
      </w:pPr>
      <w:r w:rsidRPr="00D6191E">
        <w:rPr>
          <w:rFonts w:asciiTheme="minorEastAsia" w:eastAsiaTheme="minorEastAsia" w:hAnsiTheme="minorEastAsia" w:hint="eastAsia"/>
          <w:b/>
          <w:szCs w:val="21"/>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BA4B87" w:rsidRPr="00D6191E" w:rsidRDefault="00BA4B87" w:rsidP="000449FE">
      <w:pPr>
        <w:snapToGrid w:val="0"/>
        <w:spacing w:line="360" w:lineRule="auto"/>
        <w:ind w:firstLine="482"/>
        <w:rPr>
          <w:rFonts w:asciiTheme="minorEastAsia" w:eastAsiaTheme="minorEastAsia" w:hAnsiTheme="minorEastAsia"/>
          <w:b/>
          <w:szCs w:val="21"/>
        </w:rPr>
      </w:pPr>
      <w:r w:rsidRPr="00D6191E">
        <w:rPr>
          <w:rFonts w:asciiTheme="minorEastAsia" w:eastAsiaTheme="minorEastAsia" w:hAnsiTheme="minorEastAsia" w:hint="eastAsia"/>
          <w:b/>
          <w:szCs w:val="21"/>
        </w:rPr>
        <w:t>基金管理人依照恪尽职守、诚实信用、谨慎勤勉的原则管理和运用基金财产，但不保证基金一定盈利，也不保证最低收益。</w:t>
      </w:r>
    </w:p>
    <w:p w:rsidR="00BA4B87" w:rsidRPr="00D6191E" w:rsidRDefault="00BA4B87" w:rsidP="000449FE">
      <w:pPr>
        <w:snapToGrid w:val="0"/>
        <w:spacing w:line="360" w:lineRule="auto"/>
        <w:ind w:firstLine="482"/>
        <w:rPr>
          <w:rFonts w:asciiTheme="minorEastAsia" w:eastAsiaTheme="minorEastAsia" w:hAnsiTheme="minorEastAsia"/>
          <w:b/>
          <w:szCs w:val="21"/>
        </w:rPr>
      </w:pPr>
      <w:r w:rsidRPr="00D6191E">
        <w:rPr>
          <w:rFonts w:asciiTheme="minorEastAsia" w:eastAsiaTheme="minorEastAsia" w:hAnsiTheme="minorEastAsia" w:hint="eastAsia"/>
          <w:b/>
          <w:szCs w:val="21"/>
        </w:rPr>
        <w:t>本基金主要投资于可转债、信用债等固定收益品种并可参与一级市场股票投资，投资者在投资本基金前，需充分了解本基金的产品特性，并承担基金投资中出现的各类风险。投资本基金可能遇到的风险包括：利率风险，本基金持有的信用品种违约带来的信用风险，新股发行数量减少及新股申购收益率降低带来的风险，股票市场的系统性风险及个别证券特有的非系统性风险，等等；基金运作风险，包括由于基金投资人连续大量赎回基金产生的流动性风险，</w:t>
      </w:r>
      <w:r w:rsidR="00F44B20" w:rsidRPr="00D6191E">
        <w:rPr>
          <w:rFonts w:asciiTheme="minorEastAsia" w:eastAsiaTheme="minorEastAsia" w:hAnsiTheme="minorEastAsia" w:hint="eastAsia"/>
          <w:b/>
          <w:szCs w:val="21"/>
        </w:rPr>
        <w:t>本基金法律文件中涉及基金风险特征的表述与销售机构对基金的风险评级可能不一致的风险，</w:t>
      </w:r>
      <w:r w:rsidRPr="00D6191E">
        <w:rPr>
          <w:rFonts w:asciiTheme="minorEastAsia" w:eastAsiaTheme="minorEastAsia" w:hAnsiTheme="minorEastAsia" w:hint="eastAsia"/>
          <w:b/>
          <w:szCs w:val="21"/>
        </w:rPr>
        <w:t>基金管理人在基金管理运作过程中产生的基金管理风险，等等。此外，本基金以1元初始面值进行募集，在市场波动等因素的影响下，存在单位份额净值跌破1元初始面值的风险。</w:t>
      </w:r>
    </w:p>
    <w:p w:rsidR="00BA4B87" w:rsidRPr="00D6191E" w:rsidRDefault="004B07D0" w:rsidP="000449FE">
      <w:pPr>
        <w:snapToGrid w:val="0"/>
        <w:spacing w:line="360" w:lineRule="auto"/>
        <w:ind w:firstLine="482"/>
        <w:rPr>
          <w:rFonts w:asciiTheme="minorEastAsia" w:eastAsiaTheme="minorEastAsia" w:hAnsiTheme="minorEastAsia"/>
          <w:b/>
          <w:szCs w:val="21"/>
        </w:rPr>
      </w:pPr>
      <w:r w:rsidRPr="00D6191E">
        <w:rPr>
          <w:rFonts w:asciiTheme="minorEastAsia" w:eastAsiaTheme="minorEastAsia" w:hAnsiTheme="minorEastAsia" w:hint="eastAsia"/>
          <w:b/>
          <w:szCs w:val="21"/>
        </w:rPr>
        <w:t>基金不同于银行储蓄</w:t>
      </w:r>
      <w:r w:rsidR="00BA4B87" w:rsidRPr="00D6191E">
        <w:rPr>
          <w:rFonts w:asciiTheme="minorEastAsia" w:eastAsiaTheme="minorEastAsia" w:hAnsiTheme="minorEastAsia" w:hint="eastAsia"/>
          <w:b/>
          <w:szCs w:val="21"/>
        </w:rPr>
        <w:t>，基金投资者有可能获得较高的收益，也有可能损失本金。投资有风险，投资者在进行投资决策前，请仔细阅读本基金的《招募说明书》及《基金合同》。</w:t>
      </w:r>
    </w:p>
    <w:p w:rsidR="006256BD" w:rsidRPr="00D6191E" w:rsidRDefault="00BA4B87" w:rsidP="000449FE">
      <w:pPr>
        <w:snapToGrid w:val="0"/>
        <w:spacing w:line="360" w:lineRule="auto"/>
        <w:ind w:firstLine="482"/>
        <w:rPr>
          <w:rFonts w:asciiTheme="minorEastAsia" w:eastAsiaTheme="minorEastAsia" w:hAnsiTheme="minorEastAsia"/>
          <w:b/>
          <w:szCs w:val="21"/>
        </w:rPr>
      </w:pPr>
      <w:r w:rsidRPr="00D6191E">
        <w:rPr>
          <w:rFonts w:asciiTheme="minorEastAsia" w:eastAsiaTheme="minorEastAsia" w:hAnsiTheme="minorEastAsia" w:hint="eastAsia"/>
          <w:b/>
          <w:szCs w:val="21"/>
        </w:rPr>
        <w:t>基金的过往业绩并不预示其未来表现。</w:t>
      </w:r>
    </w:p>
    <w:p w:rsidR="00A13E89" w:rsidRPr="00D6191E" w:rsidRDefault="00E22F92" w:rsidP="000449FE">
      <w:pPr>
        <w:snapToGrid w:val="0"/>
        <w:spacing w:line="360" w:lineRule="auto"/>
        <w:ind w:firstLine="482"/>
        <w:rPr>
          <w:rFonts w:asciiTheme="minorEastAsia" w:eastAsiaTheme="minorEastAsia" w:hAnsiTheme="minorEastAsia"/>
          <w:szCs w:val="21"/>
        </w:rPr>
        <w:sectPr w:rsidR="00A13E89" w:rsidRPr="00D6191E" w:rsidSect="00D6191E">
          <w:pgSz w:w="11906" w:h="16838" w:code="9"/>
          <w:pgMar w:top="1440" w:right="1800" w:bottom="1440" w:left="1800" w:header="1134" w:footer="1247" w:gutter="0"/>
          <w:pgNumType w:fmt="upperRoman" w:start="1"/>
          <w:cols w:space="720"/>
          <w:docGrid w:type="lines" w:linePitch="447"/>
        </w:sectPr>
      </w:pPr>
      <w:r>
        <w:rPr>
          <w:b/>
        </w:rPr>
        <w:t>本基金有关财务数据截止日为</w:t>
      </w:r>
      <w:r>
        <w:rPr>
          <w:b/>
        </w:rPr>
        <w:t>2021</w:t>
      </w:r>
      <w:r>
        <w:rPr>
          <w:b/>
        </w:rPr>
        <w:t>年</w:t>
      </w:r>
      <w:r>
        <w:rPr>
          <w:b/>
        </w:rPr>
        <w:t>9</w:t>
      </w:r>
      <w:r>
        <w:rPr>
          <w:b/>
        </w:rPr>
        <w:t>月</w:t>
      </w:r>
      <w:r>
        <w:rPr>
          <w:b/>
        </w:rPr>
        <w:t>30</w:t>
      </w:r>
      <w:r>
        <w:rPr>
          <w:b/>
        </w:rPr>
        <w:t>日，净值表现截止日为</w:t>
      </w:r>
      <w:r>
        <w:rPr>
          <w:b/>
        </w:rPr>
        <w:t>2020</w:t>
      </w:r>
      <w:r>
        <w:rPr>
          <w:b/>
        </w:rPr>
        <w:t>年</w:t>
      </w:r>
      <w:r>
        <w:rPr>
          <w:b/>
        </w:rPr>
        <w:t>12</w:t>
      </w:r>
      <w:r>
        <w:rPr>
          <w:b/>
        </w:rPr>
        <w:t>月</w:t>
      </w:r>
      <w:r>
        <w:rPr>
          <w:b/>
        </w:rPr>
        <w:t>31</w:t>
      </w:r>
      <w:r>
        <w:rPr>
          <w:b/>
        </w:rPr>
        <w:t>日，主要人员情况截止日为</w:t>
      </w:r>
      <w:r>
        <w:rPr>
          <w:b/>
        </w:rPr>
        <w:t>2021</w:t>
      </w:r>
      <w:r>
        <w:rPr>
          <w:b/>
        </w:rPr>
        <w:t>年</w:t>
      </w:r>
      <w:r>
        <w:rPr>
          <w:b/>
        </w:rPr>
        <w:t>10</w:t>
      </w:r>
      <w:r>
        <w:rPr>
          <w:b/>
        </w:rPr>
        <w:t>月</w:t>
      </w:r>
      <w:r w:rsidR="00FF626E">
        <w:rPr>
          <w:b/>
        </w:rPr>
        <w:t>28</w:t>
      </w:r>
      <w:r>
        <w:rPr>
          <w:b/>
        </w:rPr>
        <w:t>日，除非另有说明，本招募说明书其他所载内容截止日为</w:t>
      </w:r>
      <w:r>
        <w:rPr>
          <w:b/>
        </w:rPr>
        <w:t>2021</w:t>
      </w:r>
      <w:r>
        <w:rPr>
          <w:b/>
        </w:rPr>
        <w:t>年</w:t>
      </w:r>
      <w:r>
        <w:rPr>
          <w:b/>
        </w:rPr>
        <w:t>9</w:t>
      </w:r>
      <w:r>
        <w:rPr>
          <w:b/>
        </w:rPr>
        <w:t>月</w:t>
      </w:r>
      <w:r>
        <w:rPr>
          <w:b/>
        </w:rPr>
        <w:t>16</w:t>
      </w:r>
      <w:r>
        <w:rPr>
          <w:b/>
        </w:rPr>
        <w:t>日。（本报告中财务数据未经审计）</w:t>
      </w:r>
    </w:p>
    <w:p w:rsidR="00BA4B87" w:rsidRPr="00D6191E" w:rsidRDefault="00BA4B87" w:rsidP="000449FE">
      <w:pPr>
        <w:adjustRightInd w:val="0"/>
        <w:snapToGrid w:val="0"/>
        <w:spacing w:line="360" w:lineRule="auto"/>
        <w:jc w:val="center"/>
        <w:rPr>
          <w:rFonts w:asciiTheme="minorEastAsia" w:eastAsiaTheme="minorEastAsia" w:hAnsiTheme="minorEastAsia"/>
          <w:sz w:val="30"/>
        </w:rPr>
      </w:pPr>
      <w:r w:rsidRPr="00D6191E">
        <w:rPr>
          <w:rFonts w:asciiTheme="minorEastAsia" w:eastAsiaTheme="minorEastAsia" w:hAnsiTheme="minorEastAsia" w:hint="eastAsia"/>
          <w:sz w:val="30"/>
        </w:rPr>
        <w:lastRenderedPageBreak/>
        <w:t>目录</w:t>
      </w:r>
    </w:p>
    <w:p w:rsidR="007B3CFB" w:rsidRDefault="00E76546">
      <w:pPr>
        <w:pStyle w:val="10"/>
        <w:rPr>
          <w:rFonts w:asciiTheme="minorHAnsi" w:eastAsiaTheme="minorEastAsia" w:hAnsiTheme="minorHAnsi" w:cstheme="minorBidi"/>
          <w:caps w:val="0"/>
          <w:color w:val="auto"/>
          <w:sz w:val="21"/>
          <w:szCs w:val="22"/>
        </w:rPr>
      </w:pPr>
      <w:r w:rsidRPr="00D6191E">
        <w:rPr>
          <w:rFonts w:asciiTheme="minorEastAsia" w:eastAsiaTheme="minorEastAsia" w:hAnsiTheme="minorEastAsia" w:hint="eastAsia"/>
          <w:b/>
          <w:color w:val="auto"/>
        </w:rPr>
        <w:fldChar w:fldCharType="begin"/>
      </w:r>
      <w:r w:rsidR="00BA4B87" w:rsidRPr="00D6191E">
        <w:rPr>
          <w:rFonts w:asciiTheme="minorEastAsia" w:eastAsiaTheme="minorEastAsia" w:hAnsiTheme="minorEastAsia" w:hint="eastAsia"/>
          <w:b/>
          <w:color w:val="auto"/>
        </w:rPr>
        <w:instrText xml:space="preserve"> TOC \o "1-3" \h \z \u </w:instrText>
      </w:r>
      <w:r w:rsidRPr="00D6191E">
        <w:rPr>
          <w:rFonts w:asciiTheme="minorEastAsia" w:eastAsiaTheme="minorEastAsia" w:hAnsiTheme="minorEastAsia" w:hint="eastAsia"/>
          <w:b/>
          <w:color w:val="auto"/>
        </w:rPr>
        <w:fldChar w:fldCharType="separate"/>
      </w:r>
      <w:hyperlink w:anchor="_Toc86315827" w:history="1">
        <w:r w:rsidR="007B3CFB" w:rsidRPr="006D393E">
          <w:rPr>
            <w:rStyle w:val="a5"/>
            <w:rFonts w:asciiTheme="minorEastAsia" w:hAnsiTheme="minorEastAsia" w:hint="eastAsia"/>
          </w:rPr>
          <w:t>一、绪言</w:t>
        </w:r>
        <w:r w:rsidR="007B3CFB">
          <w:rPr>
            <w:webHidden/>
          </w:rPr>
          <w:tab/>
        </w:r>
        <w:r w:rsidR="007B3CFB">
          <w:rPr>
            <w:webHidden/>
          </w:rPr>
          <w:fldChar w:fldCharType="begin"/>
        </w:r>
        <w:r w:rsidR="007B3CFB">
          <w:rPr>
            <w:webHidden/>
          </w:rPr>
          <w:instrText xml:space="preserve"> PAGEREF _Toc86315827 \h </w:instrText>
        </w:r>
        <w:r w:rsidR="007B3CFB">
          <w:rPr>
            <w:webHidden/>
          </w:rPr>
        </w:r>
        <w:r w:rsidR="007B3CFB">
          <w:rPr>
            <w:webHidden/>
          </w:rPr>
          <w:fldChar w:fldCharType="separate"/>
        </w:r>
        <w:r w:rsidR="00173A44">
          <w:rPr>
            <w:webHidden/>
          </w:rPr>
          <w:t>1</w:t>
        </w:r>
        <w:r w:rsidR="007B3CFB">
          <w:rPr>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828" w:history="1">
        <w:r w:rsidR="007B3CFB" w:rsidRPr="006D393E">
          <w:rPr>
            <w:rStyle w:val="a5"/>
            <w:rFonts w:asciiTheme="minorEastAsia" w:hAnsiTheme="minorEastAsia" w:hint="eastAsia"/>
          </w:rPr>
          <w:t>二、释义</w:t>
        </w:r>
        <w:r w:rsidR="007B3CFB">
          <w:rPr>
            <w:webHidden/>
          </w:rPr>
          <w:tab/>
        </w:r>
        <w:r w:rsidR="007B3CFB">
          <w:rPr>
            <w:webHidden/>
          </w:rPr>
          <w:fldChar w:fldCharType="begin"/>
        </w:r>
        <w:r w:rsidR="007B3CFB">
          <w:rPr>
            <w:webHidden/>
          </w:rPr>
          <w:instrText xml:space="preserve"> PAGEREF _Toc86315828 \h </w:instrText>
        </w:r>
        <w:r w:rsidR="007B3CFB">
          <w:rPr>
            <w:webHidden/>
          </w:rPr>
        </w:r>
        <w:r w:rsidR="007B3CFB">
          <w:rPr>
            <w:webHidden/>
          </w:rPr>
          <w:fldChar w:fldCharType="separate"/>
        </w:r>
        <w:r w:rsidR="00173A44">
          <w:rPr>
            <w:webHidden/>
          </w:rPr>
          <w:t>2</w:t>
        </w:r>
        <w:r w:rsidR="007B3CFB">
          <w:rPr>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829" w:history="1">
        <w:r w:rsidR="007B3CFB" w:rsidRPr="006D393E">
          <w:rPr>
            <w:rStyle w:val="a5"/>
            <w:rFonts w:asciiTheme="minorEastAsia" w:hAnsiTheme="minorEastAsia" w:hint="eastAsia"/>
          </w:rPr>
          <w:t>三、基金管理人</w:t>
        </w:r>
        <w:r w:rsidR="007B3CFB">
          <w:rPr>
            <w:webHidden/>
          </w:rPr>
          <w:tab/>
        </w:r>
        <w:r w:rsidR="007B3CFB">
          <w:rPr>
            <w:webHidden/>
          </w:rPr>
          <w:fldChar w:fldCharType="begin"/>
        </w:r>
        <w:r w:rsidR="007B3CFB">
          <w:rPr>
            <w:webHidden/>
          </w:rPr>
          <w:instrText xml:space="preserve"> PAGEREF _Toc86315829 \h </w:instrText>
        </w:r>
        <w:r w:rsidR="007B3CFB">
          <w:rPr>
            <w:webHidden/>
          </w:rPr>
        </w:r>
        <w:r w:rsidR="007B3CFB">
          <w:rPr>
            <w:webHidden/>
          </w:rPr>
          <w:fldChar w:fldCharType="separate"/>
        </w:r>
        <w:r w:rsidR="00173A44">
          <w:rPr>
            <w:webHidden/>
          </w:rPr>
          <w:t>6</w:t>
        </w:r>
        <w:r w:rsidR="007B3CFB">
          <w:rPr>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30" w:history="1">
        <w:r w:rsidR="007B3CFB" w:rsidRPr="006D393E">
          <w:rPr>
            <w:rStyle w:val="a5"/>
            <w:rFonts w:asciiTheme="minorEastAsia" w:hAnsiTheme="minorEastAsia" w:cs="仿宋_GB2312"/>
            <w:bCs/>
            <w:noProof/>
            <w:kern w:val="0"/>
          </w:rPr>
          <w:t>(</w:t>
        </w:r>
        <w:r w:rsidR="007B3CFB" w:rsidRPr="006D393E">
          <w:rPr>
            <w:rStyle w:val="a5"/>
            <w:rFonts w:asciiTheme="minorEastAsia" w:hAnsiTheme="minorEastAsia" w:cs="仿宋_GB2312" w:hint="eastAsia"/>
            <w:bCs/>
            <w:noProof/>
            <w:kern w:val="0"/>
          </w:rPr>
          <w:t>一</w:t>
        </w:r>
        <w:r w:rsidR="007B3CFB" w:rsidRPr="006D393E">
          <w:rPr>
            <w:rStyle w:val="a5"/>
            <w:rFonts w:asciiTheme="minorEastAsia" w:hAnsiTheme="minorEastAsia" w:cs="仿宋_GB2312"/>
            <w:bCs/>
            <w:noProof/>
            <w:kern w:val="0"/>
          </w:rPr>
          <w:t>)</w:t>
        </w:r>
        <w:r w:rsidR="007B3CFB" w:rsidRPr="006D393E">
          <w:rPr>
            <w:rStyle w:val="a5"/>
            <w:rFonts w:asciiTheme="minorEastAsia" w:hAnsiTheme="minorEastAsia" w:cs="仿宋_GB2312" w:hint="eastAsia"/>
            <w:bCs/>
            <w:noProof/>
            <w:kern w:val="0"/>
          </w:rPr>
          <w:t>基金管理人基本情况</w:t>
        </w:r>
        <w:r w:rsidR="007B3CFB">
          <w:rPr>
            <w:noProof/>
            <w:webHidden/>
          </w:rPr>
          <w:tab/>
        </w:r>
        <w:r w:rsidR="007B3CFB">
          <w:rPr>
            <w:noProof/>
            <w:webHidden/>
          </w:rPr>
          <w:fldChar w:fldCharType="begin"/>
        </w:r>
        <w:r w:rsidR="007B3CFB">
          <w:rPr>
            <w:noProof/>
            <w:webHidden/>
          </w:rPr>
          <w:instrText xml:space="preserve"> PAGEREF _Toc86315830 \h </w:instrText>
        </w:r>
        <w:r w:rsidR="007B3CFB">
          <w:rPr>
            <w:noProof/>
            <w:webHidden/>
          </w:rPr>
        </w:r>
        <w:r w:rsidR="007B3CFB">
          <w:rPr>
            <w:noProof/>
            <w:webHidden/>
          </w:rPr>
          <w:fldChar w:fldCharType="separate"/>
        </w:r>
        <w:r w:rsidR="00173A44">
          <w:rPr>
            <w:noProof/>
            <w:webHidden/>
          </w:rPr>
          <w:t>6</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31"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二</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主要人员情况</w:t>
        </w:r>
        <w:r w:rsidR="007B3CFB">
          <w:rPr>
            <w:noProof/>
            <w:webHidden/>
          </w:rPr>
          <w:tab/>
        </w:r>
        <w:r w:rsidR="007B3CFB">
          <w:rPr>
            <w:noProof/>
            <w:webHidden/>
          </w:rPr>
          <w:fldChar w:fldCharType="begin"/>
        </w:r>
        <w:r w:rsidR="007B3CFB">
          <w:rPr>
            <w:noProof/>
            <w:webHidden/>
          </w:rPr>
          <w:instrText xml:space="preserve"> PAGEREF _Toc86315831 \h </w:instrText>
        </w:r>
        <w:r w:rsidR="007B3CFB">
          <w:rPr>
            <w:noProof/>
            <w:webHidden/>
          </w:rPr>
        </w:r>
        <w:r w:rsidR="007B3CFB">
          <w:rPr>
            <w:noProof/>
            <w:webHidden/>
          </w:rPr>
          <w:fldChar w:fldCharType="separate"/>
        </w:r>
        <w:r w:rsidR="00173A44">
          <w:rPr>
            <w:noProof/>
            <w:webHidden/>
          </w:rPr>
          <w:t>6</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32"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三</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基金管理人的职责</w:t>
        </w:r>
        <w:r w:rsidR="007B3CFB">
          <w:rPr>
            <w:noProof/>
            <w:webHidden/>
          </w:rPr>
          <w:tab/>
        </w:r>
        <w:r w:rsidR="007B3CFB">
          <w:rPr>
            <w:noProof/>
            <w:webHidden/>
          </w:rPr>
          <w:fldChar w:fldCharType="begin"/>
        </w:r>
        <w:r w:rsidR="007B3CFB">
          <w:rPr>
            <w:noProof/>
            <w:webHidden/>
          </w:rPr>
          <w:instrText xml:space="preserve"> PAGEREF _Toc86315832 \h </w:instrText>
        </w:r>
        <w:r w:rsidR="007B3CFB">
          <w:rPr>
            <w:noProof/>
            <w:webHidden/>
          </w:rPr>
        </w:r>
        <w:r w:rsidR="007B3CFB">
          <w:rPr>
            <w:noProof/>
            <w:webHidden/>
          </w:rPr>
          <w:fldChar w:fldCharType="separate"/>
        </w:r>
        <w:r w:rsidR="00173A44">
          <w:rPr>
            <w:noProof/>
            <w:webHidden/>
          </w:rPr>
          <w:t>14</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33"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四</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基金管理人的承诺</w:t>
        </w:r>
        <w:r w:rsidR="007B3CFB">
          <w:rPr>
            <w:noProof/>
            <w:webHidden/>
          </w:rPr>
          <w:tab/>
        </w:r>
        <w:r w:rsidR="007B3CFB">
          <w:rPr>
            <w:noProof/>
            <w:webHidden/>
          </w:rPr>
          <w:fldChar w:fldCharType="begin"/>
        </w:r>
        <w:r w:rsidR="007B3CFB">
          <w:rPr>
            <w:noProof/>
            <w:webHidden/>
          </w:rPr>
          <w:instrText xml:space="preserve"> PAGEREF _Toc86315833 \h </w:instrText>
        </w:r>
        <w:r w:rsidR="007B3CFB">
          <w:rPr>
            <w:noProof/>
            <w:webHidden/>
          </w:rPr>
        </w:r>
        <w:r w:rsidR="007B3CFB">
          <w:rPr>
            <w:noProof/>
            <w:webHidden/>
          </w:rPr>
          <w:fldChar w:fldCharType="separate"/>
        </w:r>
        <w:r w:rsidR="00173A44">
          <w:rPr>
            <w:noProof/>
            <w:webHidden/>
          </w:rPr>
          <w:t>15</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34"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五</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基金管理人的内部控制制度</w:t>
        </w:r>
        <w:r w:rsidR="007B3CFB">
          <w:rPr>
            <w:noProof/>
            <w:webHidden/>
          </w:rPr>
          <w:tab/>
        </w:r>
        <w:r w:rsidR="007B3CFB">
          <w:rPr>
            <w:noProof/>
            <w:webHidden/>
          </w:rPr>
          <w:fldChar w:fldCharType="begin"/>
        </w:r>
        <w:r w:rsidR="007B3CFB">
          <w:rPr>
            <w:noProof/>
            <w:webHidden/>
          </w:rPr>
          <w:instrText xml:space="preserve"> PAGEREF _Toc86315834 \h </w:instrText>
        </w:r>
        <w:r w:rsidR="007B3CFB">
          <w:rPr>
            <w:noProof/>
            <w:webHidden/>
          </w:rPr>
        </w:r>
        <w:r w:rsidR="007B3CFB">
          <w:rPr>
            <w:noProof/>
            <w:webHidden/>
          </w:rPr>
          <w:fldChar w:fldCharType="separate"/>
        </w:r>
        <w:r w:rsidR="00173A44">
          <w:rPr>
            <w:noProof/>
            <w:webHidden/>
          </w:rPr>
          <w:t>16</w:t>
        </w:r>
        <w:r w:rsidR="007B3CFB">
          <w:rPr>
            <w:noProof/>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835" w:history="1">
        <w:r w:rsidR="007B3CFB" w:rsidRPr="006D393E">
          <w:rPr>
            <w:rStyle w:val="a5"/>
            <w:rFonts w:asciiTheme="minorEastAsia" w:hAnsiTheme="minorEastAsia" w:hint="eastAsia"/>
          </w:rPr>
          <w:t>四、基金托管人</w:t>
        </w:r>
        <w:r w:rsidR="007B3CFB">
          <w:rPr>
            <w:webHidden/>
          </w:rPr>
          <w:tab/>
        </w:r>
        <w:r w:rsidR="007B3CFB">
          <w:rPr>
            <w:webHidden/>
          </w:rPr>
          <w:fldChar w:fldCharType="begin"/>
        </w:r>
        <w:r w:rsidR="007B3CFB">
          <w:rPr>
            <w:webHidden/>
          </w:rPr>
          <w:instrText xml:space="preserve"> PAGEREF _Toc86315835 \h </w:instrText>
        </w:r>
        <w:r w:rsidR="007B3CFB">
          <w:rPr>
            <w:webHidden/>
          </w:rPr>
        </w:r>
        <w:r w:rsidR="007B3CFB">
          <w:rPr>
            <w:webHidden/>
          </w:rPr>
          <w:fldChar w:fldCharType="separate"/>
        </w:r>
        <w:r w:rsidR="00173A44">
          <w:rPr>
            <w:webHidden/>
          </w:rPr>
          <w:t>19</w:t>
        </w:r>
        <w:r w:rsidR="007B3CFB">
          <w:rPr>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836" w:history="1">
        <w:r w:rsidR="007B3CFB" w:rsidRPr="006D393E">
          <w:rPr>
            <w:rStyle w:val="a5"/>
            <w:rFonts w:asciiTheme="minorEastAsia" w:hAnsiTheme="minorEastAsia" w:hint="eastAsia"/>
          </w:rPr>
          <w:t>五、相关服务机构</w:t>
        </w:r>
        <w:r w:rsidR="007B3CFB">
          <w:rPr>
            <w:webHidden/>
          </w:rPr>
          <w:tab/>
        </w:r>
        <w:r w:rsidR="007B3CFB">
          <w:rPr>
            <w:webHidden/>
          </w:rPr>
          <w:fldChar w:fldCharType="begin"/>
        </w:r>
        <w:r w:rsidR="007B3CFB">
          <w:rPr>
            <w:webHidden/>
          </w:rPr>
          <w:instrText xml:space="preserve"> PAGEREF _Toc86315836 \h </w:instrText>
        </w:r>
        <w:r w:rsidR="007B3CFB">
          <w:rPr>
            <w:webHidden/>
          </w:rPr>
        </w:r>
        <w:r w:rsidR="007B3CFB">
          <w:rPr>
            <w:webHidden/>
          </w:rPr>
          <w:fldChar w:fldCharType="separate"/>
        </w:r>
        <w:r w:rsidR="00173A44">
          <w:rPr>
            <w:webHidden/>
          </w:rPr>
          <w:t>22</w:t>
        </w:r>
        <w:r w:rsidR="007B3CFB">
          <w:rPr>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37"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一</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基金份额销售机构</w:t>
        </w:r>
        <w:r w:rsidR="007B3CFB">
          <w:rPr>
            <w:noProof/>
            <w:webHidden/>
          </w:rPr>
          <w:tab/>
        </w:r>
        <w:r w:rsidR="007B3CFB">
          <w:rPr>
            <w:noProof/>
            <w:webHidden/>
          </w:rPr>
          <w:fldChar w:fldCharType="begin"/>
        </w:r>
        <w:r w:rsidR="007B3CFB">
          <w:rPr>
            <w:noProof/>
            <w:webHidden/>
          </w:rPr>
          <w:instrText xml:space="preserve"> PAGEREF _Toc86315837 \h </w:instrText>
        </w:r>
        <w:r w:rsidR="007B3CFB">
          <w:rPr>
            <w:noProof/>
            <w:webHidden/>
          </w:rPr>
        </w:r>
        <w:r w:rsidR="007B3CFB">
          <w:rPr>
            <w:noProof/>
            <w:webHidden/>
          </w:rPr>
          <w:fldChar w:fldCharType="separate"/>
        </w:r>
        <w:r w:rsidR="00173A44">
          <w:rPr>
            <w:noProof/>
            <w:webHidden/>
          </w:rPr>
          <w:t>22</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38"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二</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基金注册登记机构</w:t>
        </w:r>
        <w:r w:rsidR="007B3CFB">
          <w:rPr>
            <w:noProof/>
            <w:webHidden/>
          </w:rPr>
          <w:tab/>
        </w:r>
        <w:r w:rsidR="007B3CFB">
          <w:rPr>
            <w:noProof/>
            <w:webHidden/>
          </w:rPr>
          <w:fldChar w:fldCharType="begin"/>
        </w:r>
        <w:r w:rsidR="007B3CFB">
          <w:rPr>
            <w:noProof/>
            <w:webHidden/>
          </w:rPr>
          <w:instrText xml:space="preserve"> PAGEREF _Toc86315838 \h </w:instrText>
        </w:r>
        <w:r w:rsidR="007B3CFB">
          <w:rPr>
            <w:noProof/>
            <w:webHidden/>
          </w:rPr>
        </w:r>
        <w:r w:rsidR="007B3CFB">
          <w:rPr>
            <w:noProof/>
            <w:webHidden/>
          </w:rPr>
          <w:fldChar w:fldCharType="separate"/>
        </w:r>
        <w:r w:rsidR="00173A44">
          <w:rPr>
            <w:noProof/>
            <w:webHidden/>
          </w:rPr>
          <w:t>82</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39"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三</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律师事务所和经办律师</w:t>
        </w:r>
        <w:r w:rsidR="007B3CFB">
          <w:rPr>
            <w:noProof/>
            <w:webHidden/>
          </w:rPr>
          <w:tab/>
        </w:r>
        <w:r w:rsidR="007B3CFB">
          <w:rPr>
            <w:noProof/>
            <w:webHidden/>
          </w:rPr>
          <w:fldChar w:fldCharType="begin"/>
        </w:r>
        <w:r w:rsidR="007B3CFB">
          <w:rPr>
            <w:noProof/>
            <w:webHidden/>
          </w:rPr>
          <w:instrText xml:space="preserve"> PAGEREF _Toc86315839 \h </w:instrText>
        </w:r>
        <w:r w:rsidR="007B3CFB">
          <w:rPr>
            <w:noProof/>
            <w:webHidden/>
          </w:rPr>
        </w:r>
        <w:r w:rsidR="007B3CFB">
          <w:rPr>
            <w:noProof/>
            <w:webHidden/>
          </w:rPr>
          <w:fldChar w:fldCharType="separate"/>
        </w:r>
        <w:r w:rsidR="00173A44">
          <w:rPr>
            <w:noProof/>
            <w:webHidden/>
          </w:rPr>
          <w:t>82</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40"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四</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会计师事务所和经办注册会计师</w:t>
        </w:r>
        <w:r w:rsidR="007B3CFB">
          <w:rPr>
            <w:noProof/>
            <w:webHidden/>
          </w:rPr>
          <w:tab/>
        </w:r>
        <w:r w:rsidR="007B3CFB">
          <w:rPr>
            <w:noProof/>
            <w:webHidden/>
          </w:rPr>
          <w:fldChar w:fldCharType="begin"/>
        </w:r>
        <w:r w:rsidR="007B3CFB">
          <w:rPr>
            <w:noProof/>
            <w:webHidden/>
          </w:rPr>
          <w:instrText xml:space="preserve"> PAGEREF _Toc86315840 \h </w:instrText>
        </w:r>
        <w:r w:rsidR="007B3CFB">
          <w:rPr>
            <w:noProof/>
            <w:webHidden/>
          </w:rPr>
        </w:r>
        <w:r w:rsidR="007B3CFB">
          <w:rPr>
            <w:noProof/>
            <w:webHidden/>
          </w:rPr>
          <w:fldChar w:fldCharType="separate"/>
        </w:r>
        <w:r w:rsidR="00173A44">
          <w:rPr>
            <w:noProof/>
            <w:webHidden/>
          </w:rPr>
          <w:t>83</w:t>
        </w:r>
        <w:r w:rsidR="007B3CFB">
          <w:rPr>
            <w:noProof/>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841" w:history="1">
        <w:r w:rsidR="007B3CFB" w:rsidRPr="006D393E">
          <w:rPr>
            <w:rStyle w:val="a5"/>
            <w:rFonts w:asciiTheme="minorEastAsia" w:hAnsiTheme="minorEastAsia" w:hint="eastAsia"/>
            <w:bCs/>
          </w:rPr>
          <w:t>六、基金的募集</w:t>
        </w:r>
        <w:r w:rsidR="007B3CFB">
          <w:rPr>
            <w:webHidden/>
          </w:rPr>
          <w:tab/>
        </w:r>
        <w:r w:rsidR="007B3CFB">
          <w:rPr>
            <w:webHidden/>
          </w:rPr>
          <w:fldChar w:fldCharType="begin"/>
        </w:r>
        <w:r w:rsidR="007B3CFB">
          <w:rPr>
            <w:webHidden/>
          </w:rPr>
          <w:instrText xml:space="preserve"> PAGEREF _Toc86315841 \h </w:instrText>
        </w:r>
        <w:r w:rsidR="007B3CFB">
          <w:rPr>
            <w:webHidden/>
          </w:rPr>
        </w:r>
        <w:r w:rsidR="007B3CFB">
          <w:rPr>
            <w:webHidden/>
          </w:rPr>
          <w:fldChar w:fldCharType="separate"/>
        </w:r>
        <w:r w:rsidR="00173A44">
          <w:rPr>
            <w:webHidden/>
          </w:rPr>
          <w:t>84</w:t>
        </w:r>
        <w:r w:rsidR="007B3CFB">
          <w:rPr>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842" w:history="1">
        <w:r w:rsidR="007B3CFB" w:rsidRPr="006D393E">
          <w:rPr>
            <w:rStyle w:val="a5"/>
            <w:rFonts w:asciiTheme="minorEastAsia" w:hAnsiTheme="minorEastAsia" w:hint="eastAsia"/>
            <w:bCs/>
          </w:rPr>
          <w:t>七、基金合同的生效</w:t>
        </w:r>
        <w:r w:rsidR="007B3CFB">
          <w:rPr>
            <w:webHidden/>
          </w:rPr>
          <w:tab/>
        </w:r>
        <w:r w:rsidR="007B3CFB">
          <w:rPr>
            <w:webHidden/>
          </w:rPr>
          <w:fldChar w:fldCharType="begin"/>
        </w:r>
        <w:r w:rsidR="007B3CFB">
          <w:rPr>
            <w:webHidden/>
          </w:rPr>
          <w:instrText xml:space="preserve"> PAGEREF _Toc86315842 \h </w:instrText>
        </w:r>
        <w:r w:rsidR="007B3CFB">
          <w:rPr>
            <w:webHidden/>
          </w:rPr>
        </w:r>
        <w:r w:rsidR="007B3CFB">
          <w:rPr>
            <w:webHidden/>
          </w:rPr>
          <w:fldChar w:fldCharType="separate"/>
        </w:r>
        <w:r w:rsidR="00173A44">
          <w:rPr>
            <w:webHidden/>
          </w:rPr>
          <w:t>85</w:t>
        </w:r>
        <w:r w:rsidR="007B3CFB">
          <w:rPr>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43" w:history="1">
        <w:r w:rsidR="007B3CFB" w:rsidRPr="006D393E">
          <w:rPr>
            <w:rStyle w:val="a5"/>
            <w:rFonts w:asciiTheme="minorEastAsia" w:hAnsiTheme="minorEastAsia" w:hint="eastAsia"/>
            <w:bCs/>
            <w:noProof/>
          </w:rPr>
          <w:t>（一）基金合同的生效</w:t>
        </w:r>
        <w:r w:rsidR="007B3CFB">
          <w:rPr>
            <w:noProof/>
            <w:webHidden/>
          </w:rPr>
          <w:tab/>
        </w:r>
        <w:r w:rsidR="007B3CFB">
          <w:rPr>
            <w:noProof/>
            <w:webHidden/>
          </w:rPr>
          <w:fldChar w:fldCharType="begin"/>
        </w:r>
        <w:r w:rsidR="007B3CFB">
          <w:rPr>
            <w:noProof/>
            <w:webHidden/>
          </w:rPr>
          <w:instrText xml:space="preserve"> PAGEREF _Toc86315843 \h </w:instrText>
        </w:r>
        <w:r w:rsidR="007B3CFB">
          <w:rPr>
            <w:noProof/>
            <w:webHidden/>
          </w:rPr>
        </w:r>
        <w:r w:rsidR="007B3CFB">
          <w:rPr>
            <w:noProof/>
            <w:webHidden/>
          </w:rPr>
          <w:fldChar w:fldCharType="separate"/>
        </w:r>
        <w:r w:rsidR="00173A44">
          <w:rPr>
            <w:noProof/>
            <w:webHidden/>
          </w:rPr>
          <w:t>85</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44" w:history="1">
        <w:r w:rsidR="007B3CFB" w:rsidRPr="006D393E">
          <w:rPr>
            <w:rStyle w:val="a5"/>
            <w:rFonts w:asciiTheme="minorEastAsia" w:hAnsiTheme="minorEastAsia" w:hint="eastAsia"/>
            <w:bCs/>
            <w:noProof/>
          </w:rPr>
          <w:t>（二）基金存续期内的基金份额持有人数量和资金额</w:t>
        </w:r>
        <w:r w:rsidR="007B3CFB">
          <w:rPr>
            <w:noProof/>
            <w:webHidden/>
          </w:rPr>
          <w:tab/>
        </w:r>
        <w:r w:rsidR="007B3CFB">
          <w:rPr>
            <w:noProof/>
            <w:webHidden/>
          </w:rPr>
          <w:fldChar w:fldCharType="begin"/>
        </w:r>
        <w:r w:rsidR="007B3CFB">
          <w:rPr>
            <w:noProof/>
            <w:webHidden/>
          </w:rPr>
          <w:instrText xml:space="preserve"> PAGEREF _Toc86315844 \h </w:instrText>
        </w:r>
        <w:r w:rsidR="007B3CFB">
          <w:rPr>
            <w:noProof/>
            <w:webHidden/>
          </w:rPr>
        </w:r>
        <w:r w:rsidR="007B3CFB">
          <w:rPr>
            <w:noProof/>
            <w:webHidden/>
          </w:rPr>
          <w:fldChar w:fldCharType="separate"/>
        </w:r>
        <w:r w:rsidR="00173A44">
          <w:rPr>
            <w:noProof/>
            <w:webHidden/>
          </w:rPr>
          <w:t>85</w:t>
        </w:r>
        <w:r w:rsidR="007B3CFB">
          <w:rPr>
            <w:noProof/>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845" w:history="1">
        <w:r w:rsidR="007B3CFB" w:rsidRPr="006D393E">
          <w:rPr>
            <w:rStyle w:val="a5"/>
            <w:rFonts w:asciiTheme="minorEastAsia" w:hAnsiTheme="minorEastAsia" w:hint="eastAsia"/>
          </w:rPr>
          <w:t>八、基金份额的申购、赎回</w:t>
        </w:r>
        <w:r w:rsidR="007B3CFB">
          <w:rPr>
            <w:webHidden/>
          </w:rPr>
          <w:tab/>
        </w:r>
        <w:r w:rsidR="007B3CFB">
          <w:rPr>
            <w:webHidden/>
          </w:rPr>
          <w:fldChar w:fldCharType="begin"/>
        </w:r>
        <w:r w:rsidR="007B3CFB">
          <w:rPr>
            <w:webHidden/>
          </w:rPr>
          <w:instrText xml:space="preserve"> PAGEREF _Toc86315845 \h </w:instrText>
        </w:r>
        <w:r w:rsidR="007B3CFB">
          <w:rPr>
            <w:webHidden/>
          </w:rPr>
        </w:r>
        <w:r w:rsidR="007B3CFB">
          <w:rPr>
            <w:webHidden/>
          </w:rPr>
          <w:fldChar w:fldCharType="separate"/>
        </w:r>
        <w:r w:rsidR="00173A44">
          <w:rPr>
            <w:webHidden/>
          </w:rPr>
          <w:t>86</w:t>
        </w:r>
        <w:r w:rsidR="007B3CFB">
          <w:rPr>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46"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一</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基金投资者范围</w:t>
        </w:r>
        <w:r w:rsidR="007B3CFB">
          <w:rPr>
            <w:noProof/>
            <w:webHidden/>
          </w:rPr>
          <w:tab/>
        </w:r>
        <w:r w:rsidR="007B3CFB">
          <w:rPr>
            <w:noProof/>
            <w:webHidden/>
          </w:rPr>
          <w:fldChar w:fldCharType="begin"/>
        </w:r>
        <w:r w:rsidR="007B3CFB">
          <w:rPr>
            <w:noProof/>
            <w:webHidden/>
          </w:rPr>
          <w:instrText xml:space="preserve"> PAGEREF _Toc86315846 \h </w:instrText>
        </w:r>
        <w:r w:rsidR="007B3CFB">
          <w:rPr>
            <w:noProof/>
            <w:webHidden/>
          </w:rPr>
        </w:r>
        <w:r w:rsidR="007B3CFB">
          <w:rPr>
            <w:noProof/>
            <w:webHidden/>
          </w:rPr>
          <w:fldChar w:fldCharType="separate"/>
        </w:r>
        <w:r w:rsidR="00173A44">
          <w:rPr>
            <w:noProof/>
            <w:webHidden/>
          </w:rPr>
          <w:t>86</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47"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二</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申购与赎回的场所</w:t>
        </w:r>
        <w:r w:rsidR="007B3CFB">
          <w:rPr>
            <w:noProof/>
            <w:webHidden/>
          </w:rPr>
          <w:tab/>
        </w:r>
        <w:r w:rsidR="007B3CFB">
          <w:rPr>
            <w:noProof/>
            <w:webHidden/>
          </w:rPr>
          <w:fldChar w:fldCharType="begin"/>
        </w:r>
        <w:r w:rsidR="007B3CFB">
          <w:rPr>
            <w:noProof/>
            <w:webHidden/>
          </w:rPr>
          <w:instrText xml:space="preserve"> PAGEREF _Toc86315847 \h </w:instrText>
        </w:r>
        <w:r w:rsidR="007B3CFB">
          <w:rPr>
            <w:noProof/>
            <w:webHidden/>
          </w:rPr>
        </w:r>
        <w:r w:rsidR="007B3CFB">
          <w:rPr>
            <w:noProof/>
            <w:webHidden/>
          </w:rPr>
          <w:fldChar w:fldCharType="separate"/>
        </w:r>
        <w:r w:rsidR="00173A44">
          <w:rPr>
            <w:noProof/>
            <w:webHidden/>
          </w:rPr>
          <w:t>86</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48"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三</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申购与赎回办理的开放日及时间</w:t>
        </w:r>
        <w:r w:rsidR="007B3CFB">
          <w:rPr>
            <w:noProof/>
            <w:webHidden/>
          </w:rPr>
          <w:tab/>
        </w:r>
        <w:r w:rsidR="007B3CFB">
          <w:rPr>
            <w:noProof/>
            <w:webHidden/>
          </w:rPr>
          <w:fldChar w:fldCharType="begin"/>
        </w:r>
        <w:r w:rsidR="007B3CFB">
          <w:rPr>
            <w:noProof/>
            <w:webHidden/>
          </w:rPr>
          <w:instrText xml:space="preserve"> PAGEREF _Toc86315848 \h </w:instrText>
        </w:r>
        <w:r w:rsidR="007B3CFB">
          <w:rPr>
            <w:noProof/>
            <w:webHidden/>
          </w:rPr>
        </w:r>
        <w:r w:rsidR="007B3CFB">
          <w:rPr>
            <w:noProof/>
            <w:webHidden/>
          </w:rPr>
          <w:fldChar w:fldCharType="separate"/>
        </w:r>
        <w:r w:rsidR="00173A44">
          <w:rPr>
            <w:noProof/>
            <w:webHidden/>
          </w:rPr>
          <w:t>86</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49"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四</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申购与赎回的原则</w:t>
        </w:r>
        <w:r w:rsidR="007B3CFB">
          <w:rPr>
            <w:noProof/>
            <w:webHidden/>
          </w:rPr>
          <w:tab/>
        </w:r>
        <w:r w:rsidR="007B3CFB">
          <w:rPr>
            <w:noProof/>
            <w:webHidden/>
          </w:rPr>
          <w:fldChar w:fldCharType="begin"/>
        </w:r>
        <w:r w:rsidR="007B3CFB">
          <w:rPr>
            <w:noProof/>
            <w:webHidden/>
          </w:rPr>
          <w:instrText xml:space="preserve"> PAGEREF _Toc86315849 \h </w:instrText>
        </w:r>
        <w:r w:rsidR="007B3CFB">
          <w:rPr>
            <w:noProof/>
            <w:webHidden/>
          </w:rPr>
        </w:r>
        <w:r w:rsidR="007B3CFB">
          <w:rPr>
            <w:noProof/>
            <w:webHidden/>
          </w:rPr>
          <w:fldChar w:fldCharType="separate"/>
        </w:r>
        <w:r w:rsidR="00173A44">
          <w:rPr>
            <w:noProof/>
            <w:webHidden/>
          </w:rPr>
          <w:t>86</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50"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五</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申购与赎回的程序</w:t>
        </w:r>
        <w:r w:rsidR="007B3CFB">
          <w:rPr>
            <w:noProof/>
            <w:webHidden/>
          </w:rPr>
          <w:tab/>
        </w:r>
        <w:r w:rsidR="007B3CFB">
          <w:rPr>
            <w:noProof/>
            <w:webHidden/>
          </w:rPr>
          <w:fldChar w:fldCharType="begin"/>
        </w:r>
        <w:r w:rsidR="007B3CFB">
          <w:rPr>
            <w:noProof/>
            <w:webHidden/>
          </w:rPr>
          <w:instrText xml:space="preserve"> PAGEREF _Toc86315850 \h </w:instrText>
        </w:r>
        <w:r w:rsidR="007B3CFB">
          <w:rPr>
            <w:noProof/>
            <w:webHidden/>
          </w:rPr>
        </w:r>
        <w:r w:rsidR="007B3CFB">
          <w:rPr>
            <w:noProof/>
            <w:webHidden/>
          </w:rPr>
          <w:fldChar w:fldCharType="separate"/>
        </w:r>
        <w:r w:rsidR="00173A44">
          <w:rPr>
            <w:noProof/>
            <w:webHidden/>
          </w:rPr>
          <w:t>87</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51"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六</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申购与赎回的数额限制</w:t>
        </w:r>
        <w:r w:rsidR="007B3CFB">
          <w:rPr>
            <w:noProof/>
            <w:webHidden/>
          </w:rPr>
          <w:tab/>
        </w:r>
        <w:r w:rsidR="007B3CFB">
          <w:rPr>
            <w:noProof/>
            <w:webHidden/>
          </w:rPr>
          <w:fldChar w:fldCharType="begin"/>
        </w:r>
        <w:r w:rsidR="007B3CFB">
          <w:rPr>
            <w:noProof/>
            <w:webHidden/>
          </w:rPr>
          <w:instrText xml:space="preserve"> PAGEREF _Toc86315851 \h </w:instrText>
        </w:r>
        <w:r w:rsidR="007B3CFB">
          <w:rPr>
            <w:noProof/>
            <w:webHidden/>
          </w:rPr>
        </w:r>
        <w:r w:rsidR="007B3CFB">
          <w:rPr>
            <w:noProof/>
            <w:webHidden/>
          </w:rPr>
          <w:fldChar w:fldCharType="separate"/>
        </w:r>
        <w:r w:rsidR="00173A44">
          <w:rPr>
            <w:noProof/>
            <w:webHidden/>
          </w:rPr>
          <w:t>87</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52"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七</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基金的申购费和赎回费</w:t>
        </w:r>
        <w:r w:rsidR="007B3CFB">
          <w:rPr>
            <w:noProof/>
            <w:webHidden/>
          </w:rPr>
          <w:tab/>
        </w:r>
        <w:r w:rsidR="007B3CFB">
          <w:rPr>
            <w:noProof/>
            <w:webHidden/>
          </w:rPr>
          <w:fldChar w:fldCharType="begin"/>
        </w:r>
        <w:r w:rsidR="007B3CFB">
          <w:rPr>
            <w:noProof/>
            <w:webHidden/>
          </w:rPr>
          <w:instrText xml:space="preserve"> PAGEREF _Toc86315852 \h </w:instrText>
        </w:r>
        <w:r w:rsidR="007B3CFB">
          <w:rPr>
            <w:noProof/>
            <w:webHidden/>
          </w:rPr>
        </w:r>
        <w:r w:rsidR="007B3CFB">
          <w:rPr>
            <w:noProof/>
            <w:webHidden/>
          </w:rPr>
          <w:fldChar w:fldCharType="separate"/>
        </w:r>
        <w:r w:rsidR="00173A44">
          <w:rPr>
            <w:noProof/>
            <w:webHidden/>
          </w:rPr>
          <w:t>88</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53"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八</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申购和赎回的数额和价格</w:t>
        </w:r>
        <w:r w:rsidR="007B3CFB">
          <w:rPr>
            <w:noProof/>
            <w:webHidden/>
          </w:rPr>
          <w:tab/>
        </w:r>
        <w:r w:rsidR="007B3CFB">
          <w:rPr>
            <w:noProof/>
            <w:webHidden/>
          </w:rPr>
          <w:fldChar w:fldCharType="begin"/>
        </w:r>
        <w:r w:rsidR="007B3CFB">
          <w:rPr>
            <w:noProof/>
            <w:webHidden/>
          </w:rPr>
          <w:instrText xml:space="preserve"> PAGEREF _Toc86315853 \h </w:instrText>
        </w:r>
        <w:r w:rsidR="007B3CFB">
          <w:rPr>
            <w:noProof/>
            <w:webHidden/>
          </w:rPr>
        </w:r>
        <w:r w:rsidR="007B3CFB">
          <w:rPr>
            <w:noProof/>
            <w:webHidden/>
          </w:rPr>
          <w:fldChar w:fldCharType="separate"/>
        </w:r>
        <w:r w:rsidR="00173A44">
          <w:rPr>
            <w:noProof/>
            <w:webHidden/>
          </w:rPr>
          <w:t>90</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54"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九</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申购与赎回的注册登记</w:t>
        </w:r>
        <w:r w:rsidR="007B3CFB">
          <w:rPr>
            <w:noProof/>
            <w:webHidden/>
          </w:rPr>
          <w:tab/>
        </w:r>
        <w:r w:rsidR="007B3CFB">
          <w:rPr>
            <w:noProof/>
            <w:webHidden/>
          </w:rPr>
          <w:fldChar w:fldCharType="begin"/>
        </w:r>
        <w:r w:rsidR="007B3CFB">
          <w:rPr>
            <w:noProof/>
            <w:webHidden/>
          </w:rPr>
          <w:instrText xml:space="preserve"> PAGEREF _Toc86315854 \h </w:instrText>
        </w:r>
        <w:r w:rsidR="007B3CFB">
          <w:rPr>
            <w:noProof/>
            <w:webHidden/>
          </w:rPr>
        </w:r>
        <w:r w:rsidR="007B3CFB">
          <w:rPr>
            <w:noProof/>
            <w:webHidden/>
          </w:rPr>
          <w:fldChar w:fldCharType="separate"/>
        </w:r>
        <w:r w:rsidR="00173A44">
          <w:rPr>
            <w:noProof/>
            <w:webHidden/>
          </w:rPr>
          <w:t>91</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55"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十</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巨额赎回的认定及处理方式</w:t>
        </w:r>
        <w:r w:rsidR="007B3CFB">
          <w:rPr>
            <w:noProof/>
            <w:webHidden/>
          </w:rPr>
          <w:tab/>
        </w:r>
        <w:r w:rsidR="007B3CFB">
          <w:rPr>
            <w:noProof/>
            <w:webHidden/>
          </w:rPr>
          <w:fldChar w:fldCharType="begin"/>
        </w:r>
        <w:r w:rsidR="007B3CFB">
          <w:rPr>
            <w:noProof/>
            <w:webHidden/>
          </w:rPr>
          <w:instrText xml:space="preserve"> PAGEREF _Toc86315855 \h </w:instrText>
        </w:r>
        <w:r w:rsidR="007B3CFB">
          <w:rPr>
            <w:noProof/>
            <w:webHidden/>
          </w:rPr>
        </w:r>
        <w:r w:rsidR="007B3CFB">
          <w:rPr>
            <w:noProof/>
            <w:webHidden/>
          </w:rPr>
          <w:fldChar w:fldCharType="separate"/>
        </w:r>
        <w:r w:rsidR="00173A44">
          <w:rPr>
            <w:noProof/>
            <w:webHidden/>
          </w:rPr>
          <w:t>92</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56"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十一</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拒绝或暂停申购、暂停赎回的情形及处理</w:t>
        </w:r>
        <w:r w:rsidR="007B3CFB">
          <w:rPr>
            <w:noProof/>
            <w:webHidden/>
          </w:rPr>
          <w:tab/>
        </w:r>
        <w:r w:rsidR="007B3CFB">
          <w:rPr>
            <w:noProof/>
            <w:webHidden/>
          </w:rPr>
          <w:fldChar w:fldCharType="begin"/>
        </w:r>
        <w:r w:rsidR="007B3CFB">
          <w:rPr>
            <w:noProof/>
            <w:webHidden/>
          </w:rPr>
          <w:instrText xml:space="preserve"> PAGEREF _Toc86315856 \h </w:instrText>
        </w:r>
        <w:r w:rsidR="007B3CFB">
          <w:rPr>
            <w:noProof/>
            <w:webHidden/>
          </w:rPr>
        </w:r>
        <w:r w:rsidR="007B3CFB">
          <w:rPr>
            <w:noProof/>
            <w:webHidden/>
          </w:rPr>
          <w:fldChar w:fldCharType="separate"/>
        </w:r>
        <w:r w:rsidR="00173A44">
          <w:rPr>
            <w:noProof/>
            <w:webHidden/>
          </w:rPr>
          <w:t>92</w:t>
        </w:r>
        <w:r w:rsidR="007B3CFB">
          <w:rPr>
            <w:noProof/>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857" w:history="1">
        <w:r w:rsidR="007B3CFB" w:rsidRPr="006D393E">
          <w:rPr>
            <w:rStyle w:val="a5"/>
            <w:rFonts w:asciiTheme="minorEastAsia" w:hAnsiTheme="minorEastAsia" w:hint="eastAsia"/>
          </w:rPr>
          <w:t>九、基金转换</w:t>
        </w:r>
        <w:r w:rsidR="007B3CFB">
          <w:rPr>
            <w:webHidden/>
          </w:rPr>
          <w:tab/>
        </w:r>
        <w:r w:rsidR="007B3CFB">
          <w:rPr>
            <w:webHidden/>
          </w:rPr>
          <w:fldChar w:fldCharType="begin"/>
        </w:r>
        <w:r w:rsidR="007B3CFB">
          <w:rPr>
            <w:webHidden/>
          </w:rPr>
          <w:instrText xml:space="preserve"> PAGEREF _Toc86315857 \h </w:instrText>
        </w:r>
        <w:r w:rsidR="007B3CFB">
          <w:rPr>
            <w:webHidden/>
          </w:rPr>
        </w:r>
        <w:r w:rsidR="007B3CFB">
          <w:rPr>
            <w:webHidden/>
          </w:rPr>
          <w:fldChar w:fldCharType="separate"/>
        </w:r>
        <w:r w:rsidR="00173A44">
          <w:rPr>
            <w:webHidden/>
          </w:rPr>
          <w:t>95</w:t>
        </w:r>
        <w:r w:rsidR="007B3CFB">
          <w:rPr>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58"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一</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基金转换开始日及时间</w:t>
        </w:r>
        <w:r w:rsidR="007B3CFB">
          <w:rPr>
            <w:noProof/>
            <w:webHidden/>
          </w:rPr>
          <w:tab/>
        </w:r>
        <w:r w:rsidR="007B3CFB">
          <w:rPr>
            <w:noProof/>
            <w:webHidden/>
          </w:rPr>
          <w:fldChar w:fldCharType="begin"/>
        </w:r>
        <w:r w:rsidR="007B3CFB">
          <w:rPr>
            <w:noProof/>
            <w:webHidden/>
          </w:rPr>
          <w:instrText xml:space="preserve"> PAGEREF _Toc86315858 \h </w:instrText>
        </w:r>
        <w:r w:rsidR="007B3CFB">
          <w:rPr>
            <w:noProof/>
            <w:webHidden/>
          </w:rPr>
        </w:r>
        <w:r w:rsidR="007B3CFB">
          <w:rPr>
            <w:noProof/>
            <w:webHidden/>
          </w:rPr>
          <w:fldChar w:fldCharType="separate"/>
        </w:r>
        <w:r w:rsidR="00173A44">
          <w:rPr>
            <w:noProof/>
            <w:webHidden/>
          </w:rPr>
          <w:t>95</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59"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二</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基金转换的原则</w:t>
        </w:r>
        <w:r w:rsidR="007B3CFB">
          <w:rPr>
            <w:noProof/>
            <w:webHidden/>
          </w:rPr>
          <w:tab/>
        </w:r>
        <w:r w:rsidR="007B3CFB">
          <w:rPr>
            <w:noProof/>
            <w:webHidden/>
          </w:rPr>
          <w:fldChar w:fldCharType="begin"/>
        </w:r>
        <w:r w:rsidR="007B3CFB">
          <w:rPr>
            <w:noProof/>
            <w:webHidden/>
          </w:rPr>
          <w:instrText xml:space="preserve"> PAGEREF _Toc86315859 \h </w:instrText>
        </w:r>
        <w:r w:rsidR="007B3CFB">
          <w:rPr>
            <w:noProof/>
            <w:webHidden/>
          </w:rPr>
        </w:r>
        <w:r w:rsidR="007B3CFB">
          <w:rPr>
            <w:noProof/>
            <w:webHidden/>
          </w:rPr>
          <w:fldChar w:fldCharType="separate"/>
        </w:r>
        <w:r w:rsidR="00173A44">
          <w:rPr>
            <w:noProof/>
            <w:webHidden/>
          </w:rPr>
          <w:t>95</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60"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三</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基金转换的程序</w:t>
        </w:r>
        <w:r w:rsidR="007B3CFB">
          <w:rPr>
            <w:noProof/>
            <w:webHidden/>
          </w:rPr>
          <w:tab/>
        </w:r>
        <w:r w:rsidR="007B3CFB">
          <w:rPr>
            <w:noProof/>
            <w:webHidden/>
          </w:rPr>
          <w:fldChar w:fldCharType="begin"/>
        </w:r>
        <w:r w:rsidR="007B3CFB">
          <w:rPr>
            <w:noProof/>
            <w:webHidden/>
          </w:rPr>
          <w:instrText xml:space="preserve"> PAGEREF _Toc86315860 \h </w:instrText>
        </w:r>
        <w:r w:rsidR="007B3CFB">
          <w:rPr>
            <w:noProof/>
            <w:webHidden/>
          </w:rPr>
        </w:r>
        <w:r w:rsidR="007B3CFB">
          <w:rPr>
            <w:noProof/>
            <w:webHidden/>
          </w:rPr>
          <w:fldChar w:fldCharType="separate"/>
        </w:r>
        <w:r w:rsidR="00173A44">
          <w:rPr>
            <w:noProof/>
            <w:webHidden/>
          </w:rPr>
          <w:t>95</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61"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四</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基金转换的份额限制</w:t>
        </w:r>
        <w:r w:rsidR="007B3CFB">
          <w:rPr>
            <w:noProof/>
            <w:webHidden/>
          </w:rPr>
          <w:tab/>
        </w:r>
        <w:r w:rsidR="007B3CFB">
          <w:rPr>
            <w:noProof/>
            <w:webHidden/>
          </w:rPr>
          <w:fldChar w:fldCharType="begin"/>
        </w:r>
        <w:r w:rsidR="007B3CFB">
          <w:rPr>
            <w:noProof/>
            <w:webHidden/>
          </w:rPr>
          <w:instrText xml:space="preserve"> PAGEREF _Toc86315861 \h </w:instrText>
        </w:r>
        <w:r w:rsidR="007B3CFB">
          <w:rPr>
            <w:noProof/>
            <w:webHidden/>
          </w:rPr>
        </w:r>
        <w:r w:rsidR="007B3CFB">
          <w:rPr>
            <w:noProof/>
            <w:webHidden/>
          </w:rPr>
          <w:fldChar w:fldCharType="separate"/>
        </w:r>
        <w:r w:rsidR="00173A44">
          <w:rPr>
            <w:noProof/>
            <w:webHidden/>
          </w:rPr>
          <w:t>96</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62"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五</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基金转换费率</w:t>
        </w:r>
        <w:r w:rsidR="007B3CFB">
          <w:rPr>
            <w:noProof/>
            <w:webHidden/>
          </w:rPr>
          <w:tab/>
        </w:r>
        <w:r w:rsidR="007B3CFB">
          <w:rPr>
            <w:noProof/>
            <w:webHidden/>
          </w:rPr>
          <w:fldChar w:fldCharType="begin"/>
        </w:r>
        <w:r w:rsidR="007B3CFB">
          <w:rPr>
            <w:noProof/>
            <w:webHidden/>
          </w:rPr>
          <w:instrText xml:space="preserve"> PAGEREF _Toc86315862 \h </w:instrText>
        </w:r>
        <w:r w:rsidR="007B3CFB">
          <w:rPr>
            <w:noProof/>
            <w:webHidden/>
          </w:rPr>
        </w:r>
        <w:r w:rsidR="007B3CFB">
          <w:rPr>
            <w:noProof/>
            <w:webHidden/>
          </w:rPr>
          <w:fldChar w:fldCharType="separate"/>
        </w:r>
        <w:r w:rsidR="00173A44">
          <w:rPr>
            <w:noProof/>
            <w:webHidden/>
          </w:rPr>
          <w:t>96</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63"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六</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基金转换份额的计算方式</w:t>
        </w:r>
        <w:r w:rsidR="007B3CFB">
          <w:rPr>
            <w:noProof/>
            <w:webHidden/>
          </w:rPr>
          <w:tab/>
        </w:r>
        <w:r w:rsidR="007B3CFB">
          <w:rPr>
            <w:noProof/>
            <w:webHidden/>
          </w:rPr>
          <w:fldChar w:fldCharType="begin"/>
        </w:r>
        <w:r w:rsidR="007B3CFB">
          <w:rPr>
            <w:noProof/>
            <w:webHidden/>
          </w:rPr>
          <w:instrText xml:space="preserve"> PAGEREF _Toc86315863 \h </w:instrText>
        </w:r>
        <w:r w:rsidR="007B3CFB">
          <w:rPr>
            <w:noProof/>
            <w:webHidden/>
          </w:rPr>
        </w:r>
        <w:r w:rsidR="007B3CFB">
          <w:rPr>
            <w:noProof/>
            <w:webHidden/>
          </w:rPr>
          <w:fldChar w:fldCharType="separate"/>
        </w:r>
        <w:r w:rsidR="00173A44">
          <w:rPr>
            <w:noProof/>
            <w:webHidden/>
          </w:rPr>
          <w:t>96</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64"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七</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基金转换的注册登记</w:t>
        </w:r>
        <w:r w:rsidR="007B3CFB">
          <w:rPr>
            <w:noProof/>
            <w:webHidden/>
          </w:rPr>
          <w:tab/>
        </w:r>
        <w:r w:rsidR="007B3CFB">
          <w:rPr>
            <w:noProof/>
            <w:webHidden/>
          </w:rPr>
          <w:fldChar w:fldCharType="begin"/>
        </w:r>
        <w:r w:rsidR="007B3CFB">
          <w:rPr>
            <w:noProof/>
            <w:webHidden/>
          </w:rPr>
          <w:instrText xml:space="preserve"> PAGEREF _Toc86315864 \h </w:instrText>
        </w:r>
        <w:r w:rsidR="007B3CFB">
          <w:rPr>
            <w:noProof/>
            <w:webHidden/>
          </w:rPr>
        </w:r>
        <w:r w:rsidR="007B3CFB">
          <w:rPr>
            <w:noProof/>
            <w:webHidden/>
          </w:rPr>
          <w:fldChar w:fldCharType="separate"/>
        </w:r>
        <w:r w:rsidR="00173A44">
          <w:rPr>
            <w:noProof/>
            <w:webHidden/>
          </w:rPr>
          <w:t>98</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65"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八</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基金转换与巨额赎回</w:t>
        </w:r>
        <w:r w:rsidR="007B3CFB">
          <w:rPr>
            <w:noProof/>
            <w:webHidden/>
          </w:rPr>
          <w:tab/>
        </w:r>
        <w:r w:rsidR="007B3CFB">
          <w:rPr>
            <w:noProof/>
            <w:webHidden/>
          </w:rPr>
          <w:fldChar w:fldCharType="begin"/>
        </w:r>
        <w:r w:rsidR="007B3CFB">
          <w:rPr>
            <w:noProof/>
            <w:webHidden/>
          </w:rPr>
          <w:instrText xml:space="preserve"> PAGEREF _Toc86315865 \h </w:instrText>
        </w:r>
        <w:r w:rsidR="007B3CFB">
          <w:rPr>
            <w:noProof/>
            <w:webHidden/>
          </w:rPr>
        </w:r>
        <w:r w:rsidR="007B3CFB">
          <w:rPr>
            <w:noProof/>
            <w:webHidden/>
          </w:rPr>
          <w:fldChar w:fldCharType="separate"/>
        </w:r>
        <w:r w:rsidR="00173A44">
          <w:rPr>
            <w:noProof/>
            <w:webHidden/>
          </w:rPr>
          <w:t>98</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66"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九</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暂停基金转换的情形</w:t>
        </w:r>
        <w:r w:rsidR="007B3CFB">
          <w:rPr>
            <w:noProof/>
            <w:webHidden/>
          </w:rPr>
          <w:tab/>
        </w:r>
        <w:r w:rsidR="007B3CFB">
          <w:rPr>
            <w:noProof/>
            <w:webHidden/>
          </w:rPr>
          <w:fldChar w:fldCharType="begin"/>
        </w:r>
        <w:r w:rsidR="007B3CFB">
          <w:rPr>
            <w:noProof/>
            <w:webHidden/>
          </w:rPr>
          <w:instrText xml:space="preserve"> PAGEREF _Toc86315866 \h </w:instrText>
        </w:r>
        <w:r w:rsidR="007B3CFB">
          <w:rPr>
            <w:noProof/>
            <w:webHidden/>
          </w:rPr>
        </w:r>
        <w:r w:rsidR="007B3CFB">
          <w:rPr>
            <w:noProof/>
            <w:webHidden/>
          </w:rPr>
          <w:fldChar w:fldCharType="separate"/>
        </w:r>
        <w:r w:rsidR="00173A44">
          <w:rPr>
            <w:noProof/>
            <w:webHidden/>
          </w:rPr>
          <w:t>98</w:t>
        </w:r>
        <w:r w:rsidR="007B3CFB">
          <w:rPr>
            <w:noProof/>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867" w:history="1">
        <w:r w:rsidR="007B3CFB" w:rsidRPr="006D393E">
          <w:rPr>
            <w:rStyle w:val="a5"/>
            <w:rFonts w:asciiTheme="minorEastAsia" w:hAnsiTheme="minorEastAsia" w:hint="eastAsia"/>
          </w:rPr>
          <w:t>十、基金的转托管、非交易过户、冻结与解冻</w:t>
        </w:r>
        <w:r w:rsidR="007B3CFB">
          <w:rPr>
            <w:webHidden/>
          </w:rPr>
          <w:tab/>
        </w:r>
        <w:r w:rsidR="007B3CFB">
          <w:rPr>
            <w:webHidden/>
          </w:rPr>
          <w:fldChar w:fldCharType="begin"/>
        </w:r>
        <w:r w:rsidR="007B3CFB">
          <w:rPr>
            <w:webHidden/>
          </w:rPr>
          <w:instrText xml:space="preserve"> PAGEREF _Toc86315867 \h </w:instrText>
        </w:r>
        <w:r w:rsidR="007B3CFB">
          <w:rPr>
            <w:webHidden/>
          </w:rPr>
        </w:r>
        <w:r w:rsidR="007B3CFB">
          <w:rPr>
            <w:webHidden/>
          </w:rPr>
          <w:fldChar w:fldCharType="separate"/>
        </w:r>
        <w:r w:rsidR="00173A44">
          <w:rPr>
            <w:webHidden/>
          </w:rPr>
          <w:t>100</w:t>
        </w:r>
        <w:r w:rsidR="007B3CFB">
          <w:rPr>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68"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一</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转托管</w:t>
        </w:r>
        <w:r w:rsidR="007B3CFB">
          <w:rPr>
            <w:noProof/>
            <w:webHidden/>
          </w:rPr>
          <w:tab/>
        </w:r>
        <w:r w:rsidR="007B3CFB">
          <w:rPr>
            <w:noProof/>
            <w:webHidden/>
          </w:rPr>
          <w:fldChar w:fldCharType="begin"/>
        </w:r>
        <w:r w:rsidR="007B3CFB">
          <w:rPr>
            <w:noProof/>
            <w:webHidden/>
          </w:rPr>
          <w:instrText xml:space="preserve"> PAGEREF _Toc86315868 \h </w:instrText>
        </w:r>
        <w:r w:rsidR="007B3CFB">
          <w:rPr>
            <w:noProof/>
            <w:webHidden/>
          </w:rPr>
        </w:r>
        <w:r w:rsidR="007B3CFB">
          <w:rPr>
            <w:noProof/>
            <w:webHidden/>
          </w:rPr>
          <w:fldChar w:fldCharType="separate"/>
        </w:r>
        <w:r w:rsidR="00173A44">
          <w:rPr>
            <w:noProof/>
            <w:webHidden/>
          </w:rPr>
          <w:t>100</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69"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二</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基金的非交易过户</w:t>
        </w:r>
        <w:r w:rsidR="007B3CFB">
          <w:rPr>
            <w:noProof/>
            <w:webHidden/>
          </w:rPr>
          <w:tab/>
        </w:r>
        <w:r w:rsidR="007B3CFB">
          <w:rPr>
            <w:noProof/>
            <w:webHidden/>
          </w:rPr>
          <w:fldChar w:fldCharType="begin"/>
        </w:r>
        <w:r w:rsidR="007B3CFB">
          <w:rPr>
            <w:noProof/>
            <w:webHidden/>
          </w:rPr>
          <w:instrText xml:space="preserve"> PAGEREF _Toc86315869 \h </w:instrText>
        </w:r>
        <w:r w:rsidR="007B3CFB">
          <w:rPr>
            <w:noProof/>
            <w:webHidden/>
          </w:rPr>
        </w:r>
        <w:r w:rsidR="007B3CFB">
          <w:rPr>
            <w:noProof/>
            <w:webHidden/>
          </w:rPr>
          <w:fldChar w:fldCharType="separate"/>
        </w:r>
        <w:r w:rsidR="00173A44">
          <w:rPr>
            <w:noProof/>
            <w:webHidden/>
          </w:rPr>
          <w:t>100</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70"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三</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基金的冻结与解冻</w:t>
        </w:r>
        <w:r w:rsidR="007B3CFB">
          <w:rPr>
            <w:noProof/>
            <w:webHidden/>
          </w:rPr>
          <w:tab/>
        </w:r>
        <w:r w:rsidR="007B3CFB">
          <w:rPr>
            <w:noProof/>
            <w:webHidden/>
          </w:rPr>
          <w:fldChar w:fldCharType="begin"/>
        </w:r>
        <w:r w:rsidR="007B3CFB">
          <w:rPr>
            <w:noProof/>
            <w:webHidden/>
          </w:rPr>
          <w:instrText xml:space="preserve"> PAGEREF _Toc86315870 \h </w:instrText>
        </w:r>
        <w:r w:rsidR="007B3CFB">
          <w:rPr>
            <w:noProof/>
            <w:webHidden/>
          </w:rPr>
        </w:r>
        <w:r w:rsidR="007B3CFB">
          <w:rPr>
            <w:noProof/>
            <w:webHidden/>
          </w:rPr>
          <w:fldChar w:fldCharType="separate"/>
        </w:r>
        <w:r w:rsidR="00173A44">
          <w:rPr>
            <w:noProof/>
            <w:webHidden/>
          </w:rPr>
          <w:t>100</w:t>
        </w:r>
        <w:r w:rsidR="007B3CFB">
          <w:rPr>
            <w:noProof/>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871" w:history="1">
        <w:r w:rsidR="007B3CFB" w:rsidRPr="006D393E">
          <w:rPr>
            <w:rStyle w:val="a5"/>
            <w:rFonts w:asciiTheme="minorEastAsia" w:hAnsiTheme="minorEastAsia" w:hint="eastAsia"/>
          </w:rPr>
          <w:t>十一、基金的投资</w:t>
        </w:r>
        <w:r w:rsidR="007B3CFB">
          <w:rPr>
            <w:webHidden/>
          </w:rPr>
          <w:tab/>
        </w:r>
        <w:r w:rsidR="007B3CFB">
          <w:rPr>
            <w:webHidden/>
          </w:rPr>
          <w:fldChar w:fldCharType="begin"/>
        </w:r>
        <w:r w:rsidR="007B3CFB">
          <w:rPr>
            <w:webHidden/>
          </w:rPr>
          <w:instrText xml:space="preserve"> PAGEREF _Toc86315871 \h </w:instrText>
        </w:r>
        <w:r w:rsidR="007B3CFB">
          <w:rPr>
            <w:webHidden/>
          </w:rPr>
        </w:r>
        <w:r w:rsidR="007B3CFB">
          <w:rPr>
            <w:webHidden/>
          </w:rPr>
          <w:fldChar w:fldCharType="separate"/>
        </w:r>
        <w:r w:rsidR="00173A44">
          <w:rPr>
            <w:webHidden/>
          </w:rPr>
          <w:t>101</w:t>
        </w:r>
        <w:r w:rsidR="007B3CFB">
          <w:rPr>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72"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一</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投资目标</w:t>
        </w:r>
        <w:r w:rsidR="007B3CFB">
          <w:rPr>
            <w:noProof/>
            <w:webHidden/>
          </w:rPr>
          <w:tab/>
        </w:r>
        <w:r w:rsidR="007B3CFB">
          <w:rPr>
            <w:noProof/>
            <w:webHidden/>
          </w:rPr>
          <w:fldChar w:fldCharType="begin"/>
        </w:r>
        <w:r w:rsidR="007B3CFB">
          <w:rPr>
            <w:noProof/>
            <w:webHidden/>
          </w:rPr>
          <w:instrText xml:space="preserve"> PAGEREF _Toc86315872 \h </w:instrText>
        </w:r>
        <w:r w:rsidR="007B3CFB">
          <w:rPr>
            <w:noProof/>
            <w:webHidden/>
          </w:rPr>
        </w:r>
        <w:r w:rsidR="007B3CFB">
          <w:rPr>
            <w:noProof/>
            <w:webHidden/>
          </w:rPr>
          <w:fldChar w:fldCharType="separate"/>
        </w:r>
        <w:r w:rsidR="00173A44">
          <w:rPr>
            <w:noProof/>
            <w:webHidden/>
          </w:rPr>
          <w:t>101</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73"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二</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投资理念</w:t>
        </w:r>
        <w:r w:rsidR="007B3CFB">
          <w:rPr>
            <w:noProof/>
            <w:webHidden/>
          </w:rPr>
          <w:tab/>
        </w:r>
        <w:r w:rsidR="007B3CFB">
          <w:rPr>
            <w:noProof/>
            <w:webHidden/>
          </w:rPr>
          <w:fldChar w:fldCharType="begin"/>
        </w:r>
        <w:r w:rsidR="007B3CFB">
          <w:rPr>
            <w:noProof/>
            <w:webHidden/>
          </w:rPr>
          <w:instrText xml:space="preserve"> PAGEREF _Toc86315873 \h </w:instrText>
        </w:r>
        <w:r w:rsidR="007B3CFB">
          <w:rPr>
            <w:noProof/>
            <w:webHidden/>
          </w:rPr>
        </w:r>
        <w:r w:rsidR="007B3CFB">
          <w:rPr>
            <w:noProof/>
            <w:webHidden/>
          </w:rPr>
          <w:fldChar w:fldCharType="separate"/>
        </w:r>
        <w:r w:rsidR="00173A44">
          <w:rPr>
            <w:noProof/>
            <w:webHidden/>
          </w:rPr>
          <w:t>101</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74"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三</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投资范围</w:t>
        </w:r>
        <w:r w:rsidR="007B3CFB">
          <w:rPr>
            <w:noProof/>
            <w:webHidden/>
          </w:rPr>
          <w:tab/>
        </w:r>
        <w:r w:rsidR="007B3CFB">
          <w:rPr>
            <w:noProof/>
            <w:webHidden/>
          </w:rPr>
          <w:fldChar w:fldCharType="begin"/>
        </w:r>
        <w:r w:rsidR="007B3CFB">
          <w:rPr>
            <w:noProof/>
            <w:webHidden/>
          </w:rPr>
          <w:instrText xml:space="preserve"> PAGEREF _Toc86315874 \h </w:instrText>
        </w:r>
        <w:r w:rsidR="007B3CFB">
          <w:rPr>
            <w:noProof/>
            <w:webHidden/>
          </w:rPr>
        </w:r>
        <w:r w:rsidR="007B3CFB">
          <w:rPr>
            <w:noProof/>
            <w:webHidden/>
          </w:rPr>
          <w:fldChar w:fldCharType="separate"/>
        </w:r>
        <w:r w:rsidR="00173A44">
          <w:rPr>
            <w:noProof/>
            <w:webHidden/>
          </w:rPr>
          <w:t>101</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75"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四</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投资策略</w:t>
        </w:r>
        <w:r w:rsidR="007B3CFB">
          <w:rPr>
            <w:noProof/>
            <w:webHidden/>
          </w:rPr>
          <w:tab/>
        </w:r>
        <w:r w:rsidR="007B3CFB">
          <w:rPr>
            <w:noProof/>
            <w:webHidden/>
          </w:rPr>
          <w:fldChar w:fldCharType="begin"/>
        </w:r>
        <w:r w:rsidR="007B3CFB">
          <w:rPr>
            <w:noProof/>
            <w:webHidden/>
          </w:rPr>
          <w:instrText xml:space="preserve"> PAGEREF _Toc86315875 \h </w:instrText>
        </w:r>
        <w:r w:rsidR="007B3CFB">
          <w:rPr>
            <w:noProof/>
            <w:webHidden/>
          </w:rPr>
        </w:r>
        <w:r w:rsidR="007B3CFB">
          <w:rPr>
            <w:noProof/>
            <w:webHidden/>
          </w:rPr>
          <w:fldChar w:fldCharType="separate"/>
        </w:r>
        <w:r w:rsidR="00173A44">
          <w:rPr>
            <w:noProof/>
            <w:webHidden/>
          </w:rPr>
          <w:t>101</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76"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五</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业绩比较基准</w:t>
        </w:r>
        <w:r w:rsidR="007B3CFB">
          <w:rPr>
            <w:noProof/>
            <w:webHidden/>
          </w:rPr>
          <w:tab/>
        </w:r>
        <w:r w:rsidR="007B3CFB">
          <w:rPr>
            <w:noProof/>
            <w:webHidden/>
          </w:rPr>
          <w:fldChar w:fldCharType="begin"/>
        </w:r>
        <w:r w:rsidR="007B3CFB">
          <w:rPr>
            <w:noProof/>
            <w:webHidden/>
          </w:rPr>
          <w:instrText xml:space="preserve"> PAGEREF _Toc86315876 \h </w:instrText>
        </w:r>
        <w:r w:rsidR="007B3CFB">
          <w:rPr>
            <w:noProof/>
            <w:webHidden/>
          </w:rPr>
        </w:r>
        <w:r w:rsidR="007B3CFB">
          <w:rPr>
            <w:noProof/>
            <w:webHidden/>
          </w:rPr>
          <w:fldChar w:fldCharType="separate"/>
        </w:r>
        <w:r w:rsidR="00173A44">
          <w:rPr>
            <w:noProof/>
            <w:webHidden/>
          </w:rPr>
          <w:t>105</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77"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六</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风险收益特征</w:t>
        </w:r>
        <w:r w:rsidR="007B3CFB">
          <w:rPr>
            <w:noProof/>
            <w:webHidden/>
          </w:rPr>
          <w:tab/>
        </w:r>
        <w:r w:rsidR="007B3CFB">
          <w:rPr>
            <w:noProof/>
            <w:webHidden/>
          </w:rPr>
          <w:fldChar w:fldCharType="begin"/>
        </w:r>
        <w:r w:rsidR="007B3CFB">
          <w:rPr>
            <w:noProof/>
            <w:webHidden/>
          </w:rPr>
          <w:instrText xml:space="preserve"> PAGEREF _Toc86315877 \h </w:instrText>
        </w:r>
        <w:r w:rsidR="007B3CFB">
          <w:rPr>
            <w:noProof/>
            <w:webHidden/>
          </w:rPr>
        </w:r>
        <w:r w:rsidR="007B3CFB">
          <w:rPr>
            <w:noProof/>
            <w:webHidden/>
          </w:rPr>
          <w:fldChar w:fldCharType="separate"/>
        </w:r>
        <w:r w:rsidR="00173A44">
          <w:rPr>
            <w:noProof/>
            <w:webHidden/>
          </w:rPr>
          <w:t>105</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78"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七</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投资决策</w:t>
        </w:r>
        <w:r w:rsidR="007B3CFB">
          <w:rPr>
            <w:noProof/>
            <w:webHidden/>
          </w:rPr>
          <w:tab/>
        </w:r>
        <w:r w:rsidR="007B3CFB">
          <w:rPr>
            <w:noProof/>
            <w:webHidden/>
          </w:rPr>
          <w:fldChar w:fldCharType="begin"/>
        </w:r>
        <w:r w:rsidR="007B3CFB">
          <w:rPr>
            <w:noProof/>
            <w:webHidden/>
          </w:rPr>
          <w:instrText xml:space="preserve"> PAGEREF _Toc86315878 \h </w:instrText>
        </w:r>
        <w:r w:rsidR="007B3CFB">
          <w:rPr>
            <w:noProof/>
            <w:webHidden/>
          </w:rPr>
        </w:r>
        <w:r w:rsidR="007B3CFB">
          <w:rPr>
            <w:noProof/>
            <w:webHidden/>
          </w:rPr>
          <w:fldChar w:fldCharType="separate"/>
        </w:r>
        <w:r w:rsidR="00173A44">
          <w:rPr>
            <w:noProof/>
            <w:webHidden/>
          </w:rPr>
          <w:t>105</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79"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八</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投资禁止行为与限制</w:t>
        </w:r>
        <w:r w:rsidR="007B3CFB">
          <w:rPr>
            <w:noProof/>
            <w:webHidden/>
          </w:rPr>
          <w:tab/>
        </w:r>
        <w:r w:rsidR="007B3CFB">
          <w:rPr>
            <w:noProof/>
            <w:webHidden/>
          </w:rPr>
          <w:fldChar w:fldCharType="begin"/>
        </w:r>
        <w:r w:rsidR="007B3CFB">
          <w:rPr>
            <w:noProof/>
            <w:webHidden/>
          </w:rPr>
          <w:instrText xml:space="preserve"> PAGEREF _Toc86315879 \h </w:instrText>
        </w:r>
        <w:r w:rsidR="007B3CFB">
          <w:rPr>
            <w:noProof/>
            <w:webHidden/>
          </w:rPr>
        </w:r>
        <w:r w:rsidR="007B3CFB">
          <w:rPr>
            <w:noProof/>
            <w:webHidden/>
          </w:rPr>
          <w:fldChar w:fldCharType="separate"/>
        </w:r>
        <w:r w:rsidR="00173A44">
          <w:rPr>
            <w:noProof/>
            <w:webHidden/>
          </w:rPr>
          <w:t>106</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80"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九</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投资组合比例调整</w:t>
        </w:r>
        <w:r w:rsidR="007B3CFB">
          <w:rPr>
            <w:noProof/>
            <w:webHidden/>
          </w:rPr>
          <w:tab/>
        </w:r>
        <w:r w:rsidR="007B3CFB">
          <w:rPr>
            <w:noProof/>
            <w:webHidden/>
          </w:rPr>
          <w:fldChar w:fldCharType="begin"/>
        </w:r>
        <w:r w:rsidR="007B3CFB">
          <w:rPr>
            <w:noProof/>
            <w:webHidden/>
          </w:rPr>
          <w:instrText xml:space="preserve"> PAGEREF _Toc86315880 \h </w:instrText>
        </w:r>
        <w:r w:rsidR="007B3CFB">
          <w:rPr>
            <w:noProof/>
            <w:webHidden/>
          </w:rPr>
        </w:r>
        <w:r w:rsidR="007B3CFB">
          <w:rPr>
            <w:noProof/>
            <w:webHidden/>
          </w:rPr>
          <w:fldChar w:fldCharType="separate"/>
        </w:r>
        <w:r w:rsidR="00173A44">
          <w:rPr>
            <w:noProof/>
            <w:webHidden/>
          </w:rPr>
          <w:t>108</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81" w:history="1">
        <w:r w:rsidR="007B3CFB" w:rsidRPr="006D393E">
          <w:rPr>
            <w:rStyle w:val="a5"/>
            <w:rFonts w:asciiTheme="minorEastAsia" w:hAnsiTheme="minorEastAsia"/>
            <w:noProof/>
            <w:kern w:val="0"/>
          </w:rPr>
          <w:t>(</w:t>
        </w:r>
        <w:r w:rsidR="007B3CFB" w:rsidRPr="006D393E">
          <w:rPr>
            <w:rStyle w:val="a5"/>
            <w:rFonts w:asciiTheme="minorEastAsia" w:hAnsiTheme="minorEastAsia" w:hint="eastAsia"/>
            <w:noProof/>
            <w:kern w:val="0"/>
          </w:rPr>
          <w:t>十</w:t>
        </w:r>
        <w:r w:rsidR="007B3CFB" w:rsidRPr="006D393E">
          <w:rPr>
            <w:rStyle w:val="a5"/>
            <w:rFonts w:asciiTheme="minorEastAsia" w:hAnsiTheme="minorEastAsia"/>
            <w:noProof/>
            <w:kern w:val="0"/>
          </w:rPr>
          <w:t>)</w:t>
        </w:r>
        <w:r w:rsidR="007B3CFB" w:rsidRPr="006D393E">
          <w:rPr>
            <w:rStyle w:val="a5"/>
            <w:rFonts w:asciiTheme="minorEastAsia" w:hAnsiTheme="minorEastAsia" w:hint="eastAsia"/>
            <w:noProof/>
            <w:kern w:val="0"/>
          </w:rPr>
          <w:t>基金的融资、融券</w:t>
        </w:r>
        <w:r w:rsidR="007B3CFB">
          <w:rPr>
            <w:noProof/>
            <w:webHidden/>
          </w:rPr>
          <w:tab/>
        </w:r>
        <w:r w:rsidR="007B3CFB">
          <w:rPr>
            <w:noProof/>
            <w:webHidden/>
          </w:rPr>
          <w:fldChar w:fldCharType="begin"/>
        </w:r>
        <w:r w:rsidR="007B3CFB">
          <w:rPr>
            <w:noProof/>
            <w:webHidden/>
          </w:rPr>
          <w:instrText xml:space="preserve"> PAGEREF _Toc86315881 \h </w:instrText>
        </w:r>
        <w:r w:rsidR="007B3CFB">
          <w:rPr>
            <w:noProof/>
            <w:webHidden/>
          </w:rPr>
        </w:r>
        <w:r w:rsidR="007B3CFB">
          <w:rPr>
            <w:noProof/>
            <w:webHidden/>
          </w:rPr>
          <w:fldChar w:fldCharType="separate"/>
        </w:r>
        <w:r w:rsidR="00173A44">
          <w:rPr>
            <w:noProof/>
            <w:webHidden/>
          </w:rPr>
          <w:t>108</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82" w:history="1">
        <w:r w:rsidR="007B3CFB" w:rsidRPr="006D393E">
          <w:rPr>
            <w:rStyle w:val="a5"/>
            <w:rFonts w:asciiTheme="minorEastAsia" w:hAnsiTheme="minorEastAsia"/>
            <w:bCs/>
            <w:noProof/>
            <w:kern w:val="0"/>
          </w:rPr>
          <w:t>(</w:t>
        </w:r>
        <w:r w:rsidR="007B3CFB" w:rsidRPr="006D393E">
          <w:rPr>
            <w:rStyle w:val="a5"/>
            <w:rFonts w:asciiTheme="minorEastAsia" w:hAnsiTheme="minorEastAsia" w:hint="eastAsia"/>
            <w:bCs/>
            <w:noProof/>
            <w:kern w:val="0"/>
          </w:rPr>
          <w:t>十一</w:t>
        </w:r>
        <w:r w:rsidR="007B3CFB" w:rsidRPr="006D393E">
          <w:rPr>
            <w:rStyle w:val="a5"/>
            <w:rFonts w:asciiTheme="minorEastAsia" w:hAnsiTheme="minorEastAsia"/>
            <w:bCs/>
            <w:noProof/>
            <w:kern w:val="0"/>
          </w:rPr>
          <w:t>)</w:t>
        </w:r>
        <w:r w:rsidR="007B3CFB" w:rsidRPr="006D393E">
          <w:rPr>
            <w:rStyle w:val="a5"/>
            <w:rFonts w:asciiTheme="minorEastAsia" w:hAnsiTheme="minorEastAsia" w:hint="eastAsia"/>
            <w:bCs/>
            <w:noProof/>
            <w:kern w:val="0"/>
          </w:rPr>
          <w:t>基金管理人代表基金行使股东权利及债权人权利的处理原则及方法</w:t>
        </w:r>
        <w:r w:rsidR="007B3CFB">
          <w:rPr>
            <w:noProof/>
            <w:webHidden/>
          </w:rPr>
          <w:tab/>
        </w:r>
        <w:r w:rsidR="007B3CFB">
          <w:rPr>
            <w:noProof/>
            <w:webHidden/>
          </w:rPr>
          <w:fldChar w:fldCharType="begin"/>
        </w:r>
        <w:r w:rsidR="007B3CFB">
          <w:rPr>
            <w:noProof/>
            <w:webHidden/>
          </w:rPr>
          <w:instrText xml:space="preserve"> PAGEREF _Toc86315882 \h </w:instrText>
        </w:r>
        <w:r w:rsidR="007B3CFB">
          <w:rPr>
            <w:noProof/>
            <w:webHidden/>
          </w:rPr>
        </w:r>
        <w:r w:rsidR="007B3CFB">
          <w:rPr>
            <w:noProof/>
            <w:webHidden/>
          </w:rPr>
          <w:fldChar w:fldCharType="separate"/>
        </w:r>
        <w:r w:rsidR="00173A44">
          <w:rPr>
            <w:noProof/>
            <w:webHidden/>
          </w:rPr>
          <w:t>108</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83" w:history="1">
        <w:r w:rsidR="007B3CFB" w:rsidRPr="006D393E">
          <w:rPr>
            <w:rStyle w:val="a5"/>
            <w:rFonts w:asciiTheme="minorEastAsia" w:hAnsiTheme="minorEastAsia" w:hint="eastAsia"/>
            <w:bCs/>
            <w:noProof/>
            <w:kern w:val="0"/>
          </w:rPr>
          <w:t>（十二）侧袋机制的实施和投资运作安排</w:t>
        </w:r>
        <w:r w:rsidR="007B3CFB">
          <w:rPr>
            <w:noProof/>
            <w:webHidden/>
          </w:rPr>
          <w:tab/>
        </w:r>
        <w:r w:rsidR="007B3CFB">
          <w:rPr>
            <w:noProof/>
            <w:webHidden/>
          </w:rPr>
          <w:fldChar w:fldCharType="begin"/>
        </w:r>
        <w:r w:rsidR="007B3CFB">
          <w:rPr>
            <w:noProof/>
            <w:webHidden/>
          </w:rPr>
          <w:instrText xml:space="preserve"> PAGEREF _Toc86315883 \h </w:instrText>
        </w:r>
        <w:r w:rsidR="007B3CFB">
          <w:rPr>
            <w:noProof/>
            <w:webHidden/>
          </w:rPr>
        </w:r>
        <w:r w:rsidR="007B3CFB">
          <w:rPr>
            <w:noProof/>
            <w:webHidden/>
          </w:rPr>
          <w:fldChar w:fldCharType="separate"/>
        </w:r>
        <w:r w:rsidR="00173A44">
          <w:rPr>
            <w:noProof/>
            <w:webHidden/>
          </w:rPr>
          <w:t>108</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84" w:history="1">
        <w:r w:rsidR="007B3CFB" w:rsidRPr="006D393E">
          <w:rPr>
            <w:rStyle w:val="a5"/>
            <w:rFonts w:asciiTheme="minorEastAsia" w:hAnsiTheme="minorEastAsia"/>
            <w:bCs/>
            <w:noProof/>
            <w:kern w:val="0"/>
          </w:rPr>
          <w:t>(</w:t>
        </w:r>
        <w:r w:rsidR="007B3CFB" w:rsidRPr="006D393E">
          <w:rPr>
            <w:rStyle w:val="a5"/>
            <w:rFonts w:asciiTheme="minorEastAsia" w:hAnsiTheme="minorEastAsia" w:hint="eastAsia"/>
            <w:bCs/>
            <w:noProof/>
            <w:kern w:val="0"/>
          </w:rPr>
          <w:t>十三</w:t>
        </w:r>
        <w:r w:rsidR="007B3CFB" w:rsidRPr="006D393E">
          <w:rPr>
            <w:rStyle w:val="a5"/>
            <w:rFonts w:asciiTheme="minorEastAsia" w:hAnsiTheme="minorEastAsia"/>
            <w:bCs/>
            <w:noProof/>
            <w:kern w:val="0"/>
          </w:rPr>
          <w:t>)</w:t>
        </w:r>
        <w:r w:rsidR="007B3CFB" w:rsidRPr="006D393E">
          <w:rPr>
            <w:rStyle w:val="a5"/>
            <w:rFonts w:asciiTheme="minorEastAsia" w:hAnsiTheme="minorEastAsia" w:hint="eastAsia"/>
            <w:bCs/>
            <w:noProof/>
            <w:kern w:val="0"/>
          </w:rPr>
          <w:t>基金投资组合报告</w:t>
        </w:r>
        <w:r w:rsidR="007B3CFB" w:rsidRPr="006D393E">
          <w:rPr>
            <w:rStyle w:val="a5"/>
            <w:rFonts w:asciiTheme="minorEastAsia" w:hAnsiTheme="minorEastAsia" w:hint="eastAsia"/>
            <w:noProof/>
          </w:rPr>
          <w:t>（未经审计）</w:t>
        </w:r>
        <w:r w:rsidR="007B3CFB">
          <w:rPr>
            <w:noProof/>
            <w:webHidden/>
          </w:rPr>
          <w:tab/>
        </w:r>
        <w:r w:rsidR="007B3CFB">
          <w:rPr>
            <w:noProof/>
            <w:webHidden/>
          </w:rPr>
          <w:fldChar w:fldCharType="begin"/>
        </w:r>
        <w:r w:rsidR="007B3CFB">
          <w:rPr>
            <w:noProof/>
            <w:webHidden/>
          </w:rPr>
          <w:instrText xml:space="preserve"> PAGEREF _Toc86315884 \h </w:instrText>
        </w:r>
        <w:r w:rsidR="007B3CFB">
          <w:rPr>
            <w:noProof/>
            <w:webHidden/>
          </w:rPr>
        </w:r>
        <w:r w:rsidR="007B3CFB">
          <w:rPr>
            <w:noProof/>
            <w:webHidden/>
          </w:rPr>
          <w:fldChar w:fldCharType="separate"/>
        </w:r>
        <w:r w:rsidR="00173A44">
          <w:rPr>
            <w:noProof/>
            <w:webHidden/>
          </w:rPr>
          <w:t>108</w:t>
        </w:r>
        <w:r w:rsidR="007B3CFB">
          <w:rPr>
            <w:noProof/>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885" w:history="1">
        <w:r w:rsidR="007B3CFB" w:rsidRPr="006D393E">
          <w:rPr>
            <w:rStyle w:val="a5"/>
            <w:rFonts w:asciiTheme="minorEastAsia" w:hAnsiTheme="minorEastAsia" w:hint="eastAsia"/>
          </w:rPr>
          <w:t>十二、基金的业绩</w:t>
        </w:r>
        <w:r w:rsidR="007B3CFB">
          <w:rPr>
            <w:webHidden/>
          </w:rPr>
          <w:tab/>
        </w:r>
        <w:r w:rsidR="007B3CFB">
          <w:rPr>
            <w:webHidden/>
          </w:rPr>
          <w:fldChar w:fldCharType="begin"/>
        </w:r>
        <w:r w:rsidR="007B3CFB">
          <w:rPr>
            <w:webHidden/>
          </w:rPr>
          <w:instrText xml:space="preserve"> PAGEREF _Toc86315885 \h </w:instrText>
        </w:r>
        <w:r w:rsidR="007B3CFB">
          <w:rPr>
            <w:webHidden/>
          </w:rPr>
        </w:r>
        <w:r w:rsidR="007B3CFB">
          <w:rPr>
            <w:webHidden/>
          </w:rPr>
          <w:fldChar w:fldCharType="separate"/>
        </w:r>
        <w:r w:rsidR="00173A44">
          <w:rPr>
            <w:webHidden/>
          </w:rPr>
          <w:t>114</w:t>
        </w:r>
        <w:r w:rsidR="007B3CFB">
          <w:rPr>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886" w:history="1">
        <w:r w:rsidR="007B3CFB" w:rsidRPr="006D393E">
          <w:rPr>
            <w:rStyle w:val="a5"/>
            <w:rFonts w:asciiTheme="minorEastAsia" w:hAnsiTheme="minorEastAsia" w:hint="eastAsia"/>
          </w:rPr>
          <w:t>十三、基金的财产</w:t>
        </w:r>
        <w:r w:rsidR="007B3CFB">
          <w:rPr>
            <w:webHidden/>
          </w:rPr>
          <w:tab/>
        </w:r>
        <w:r w:rsidR="007B3CFB">
          <w:rPr>
            <w:webHidden/>
          </w:rPr>
          <w:fldChar w:fldCharType="begin"/>
        </w:r>
        <w:r w:rsidR="007B3CFB">
          <w:rPr>
            <w:webHidden/>
          </w:rPr>
          <w:instrText xml:space="preserve"> PAGEREF _Toc86315886 \h </w:instrText>
        </w:r>
        <w:r w:rsidR="007B3CFB">
          <w:rPr>
            <w:webHidden/>
          </w:rPr>
        </w:r>
        <w:r w:rsidR="007B3CFB">
          <w:rPr>
            <w:webHidden/>
          </w:rPr>
          <w:fldChar w:fldCharType="separate"/>
        </w:r>
        <w:r w:rsidR="00173A44">
          <w:rPr>
            <w:webHidden/>
          </w:rPr>
          <w:t>116</w:t>
        </w:r>
        <w:r w:rsidR="007B3CFB">
          <w:rPr>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87"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一</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基金资产总值</w:t>
        </w:r>
        <w:r w:rsidR="007B3CFB">
          <w:rPr>
            <w:noProof/>
            <w:webHidden/>
          </w:rPr>
          <w:tab/>
        </w:r>
        <w:r w:rsidR="007B3CFB">
          <w:rPr>
            <w:noProof/>
            <w:webHidden/>
          </w:rPr>
          <w:fldChar w:fldCharType="begin"/>
        </w:r>
        <w:r w:rsidR="007B3CFB">
          <w:rPr>
            <w:noProof/>
            <w:webHidden/>
          </w:rPr>
          <w:instrText xml:space="preserve"> PAGEREF _Toc86315887 \h </w:instrText>
        </w:r>
        <w:r w:rsidR="007B3CFB">
          <w:rPr>
            <w:noProof/>
            <w:webHidden/>
          </w:rPr>
        </w:r>
        <w:r w:rsidR="007B3CFB">
          <w:rPr>
            <w:noProof/>
            <w:webHidden/>
          </w:rPr>
          <w:fldChar w:fldCharType="separate"/>
        </w:r>
        <w:r w:rsidR="00173A44">
          <w:rPr>
            <w:noProof/>
            <w:webHidden/>
          </w:rPr>
          <w:t>116</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88"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二</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基金资产净值</w:t>
        </w:r>
        <w:r w:rsidR="007B3CFB">
          <w:rPr>
            <w:noProof/>
            <w:webHidden/>
          </w:rPr>
          <w:tab/>
        </w:r>
        <w:r w:rsidR="007B3CFB">
          <w:rPr>
            <w:noProof/>
            <w:webHidden/>
          </w:rPr>
          <w:fldChar w:fldCharType="begin"/>
        </w:r>
        <w:r w:rsidR="007B3CFB">
          <w:rPr>
            <w:noProof/>
            <w:webHidden/>
          </w:rPr>
          <w:instrText xml:space="preserve"> PAGEREF _Toc86315888 \h </w:instrText>
        </w:r>
        <w:r w:rsidR="007B3CFB">
          <w:rPr>
            <w:noProof/>
            <w:webHidden/>
          </w:rPr>
        </w:r>
        <w:r w:rsidR="007B3CFB">
          <w:rPr>
            <w:noProof/>
            <w:webHidden/>
          </w:rPr>
          <w:fldChar w:fldCharType="separate"/>
        </w:r>
        <w:r w:rsidR="00173A44">
          <w:rPr>
            <w:noProof/>
            <w:webHidden/>
          </w:rPr>
          <w:t>116</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89"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三</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基金财产的账户</w:t>
        </w:r>
        <w:r w:rsidR="007B3CFB">
          <w:rPr>
            <w:noProof/>
            <w:webHidden/>
          </w:rPr>
          <w:tab/>
        </w:r>
        <w:r w:rsidR="007B3CFB">
          <w:rPr>
            <w:noProof/>
            <w:webHidden/>
          </w:rPr>
          <w:fldChar w:fldCharType="begin"/>
        </w:r>
        <w:r w:rsidR="007B3CFB">
          <w:rPr>
            <w:noProof/>
            <w:webHidden/>
          </w:rPr>
          <w:instrText xml:space="preserve"> PAGEREF _Toc86315889 \h </w:instrText>
        </w:r>
        <w:r w:rsidR="007B3CFB">
          <w:rPr>
            <w:noProof/>
            <w:webHidden/>
          </w:rPr>
        </w:r>
        <w:r w:rsidR="007B3CFB">
          <w:rPr>
            <w:noProof/>
            <w:webHidden/>
          </w:rPr>
          <w:fldChar w:fldCharType="separate"/>
        </w:r>
        <w:r w:rsidR="00173A44">
          <w:rPr>
            <w:noProof/>
            <w:webHidden/>
          </w:rPr>
          <w:t>116</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90"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四</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基金财产的处分</w:t>
        </w:r>
        <w:r w:rsidR="007B3CFB">
          <w:rPr>
            <w:noProof/>
            <w:webHidden/>
          </w:rPr>
          <w:tab/>
        </w:r>
        <w:r w:rsidR="007B3CFB">
          <w:rPr>
            <w:noProof/>
            <w:webHidden/>
          </w:rPr>
          <w:fldChar w:fldCharType="begin"/>
        </w:r>
        <w:r w:rsidR="007B3CFB">
          <w:rPr>
            <w:noProof/>
            <w:webHidden/>
          </w:rPr>
          <w:instrText xml:space="preserve"> PAGEREF _Toc86315890 \h </w:instrText>
        </w:r>
        <w:r w:rsidR="007B3CFB">
          <w:rPr>
            <w:noProof/>
            <w:webHidden/>
          </w:rPr>
        </w:r>
        <w:r w:rsidR="007B3CFB">
          <w:rPr>
            <w:noProof/>
            <w:webHidden/>
          </w:rPr>
          <w:fldChar w:fldCharType="separate"/>
        </w:r>
        <w:r w:rsidR="00173A44">
          <w:rPr>
            <w:noProof/>
            <w:webHidden/>
          </w:rPr>
          <w:t>116</w:t>
        </w:r>
        <w:r w:rsidR="007B3CFB">
          <w:rPr>
            <w:noProof/>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891" w:history="1">
        <w:r w:rsidR="007B3CFB" w:rsidRPr="006D393E">
          <w:rPr>
            <w:rStyle w:val="a5"/>
            <w:rFonts w:asciiTheme="minorEastAsia" w:hAnsiTheme="minorEastAsia" w:hint="eastAsia"/>
          </w:rPr>
          <w:t>十四、基金资产的估值</w:t>
        </w:r>
        <w:r w:rsidR="007B3CFB">
          <w:rPr>
            <w:webHidden/>
          </w:rPr>
          <w:tab/>
        </w:r>
        <w:r w:rsidR="007B3CFB">
          <w:rPr>
            <w:webHidden/>
          </w:rPr>
          <w:fldChar w:fldCharType="begin"/>
        </w:r>
        <w:r w:rsidR="007B3CFB">
          <w:rPr>
            <w:webHidden/>
          </w:rPr>
          <w:instrText xml:space="preserve"> PAGEREF _Toc86315891 \h </w:instrText>
        </w:r>
        <w:r w:rsidR="007B3CFB">
          <w:rPr>
            <w:webHidden/>
          </w:rPr>
        </w:r>
        <w:r w:rsidR="007B3CFB">
          <w:rPr>
            <w:webHidden/>
          </w:rPr>
          <w:fldChar w:fldCharType="separate"/>
        </w:r>
        <w:r w:rsidR="00173A44">
          <w:rPr>
            <w:webHidden/>
          </w:rPr>
          <w:t>117</w:t>
        </w:r>
        <w:r w:rsidR="007B3CFB">
          <w:rPr>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92"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一</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估值目的</w:t>
        </w:r>
        <w:r w:rsidR="007B3CFB">
          <w:rPr>
            <w:noProof/>
            <w:webHidden/>
          </w:rPr>
          <w:tab/>
        </w:r>
        <w:r w:rsidR="007B3CFB">
          <w:rPr>
            <w:noProof/>
            <w:webHidden/>
          </w:rPr>
          <w:fldChar w:fldCharType="begin"/>
        </w:r>
        <w:r w:rsidR="007B3CFB">
          <w:rPr>
            <w:noProof/>
            <w:webHidden/>
          </w:rPr>
          <w:instrText xml:space="preserve"> PAGEREF _Toc86315892 \h </w:instrText>
        </w:r>
        <w:r w:rsidR="007B3CFB">
          <w:rPr>
            <w:noProof/>
            <w:webHidden/>
          </w:rPr>
        </w:r>
        <w:r w:rsidR="007B3CFB">
          <w:rPr>
            <w:noProof/>
            <w:webHidden/>
          </w:rPr>
          <w:fldChar w:fldCharType="separate"/>
        </w:r>
        <w:r w:rsidR="00173A44">
          <w:rPr>
            <w:noProof/>
            <w:webHidden/>
          </w:rPr>
          <w:t>117</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93"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二</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估值日</w:t>
        </w:r>
        <w:r w:rsidR="007B3CFB">
          <w:rPr>
            <w:noProof/>
            <w:webHidden/>
          </w:rPr>
          <w:tab/>
        </w:r>
        <w:r w:rsidR="007B3CFB">
          <w:rPr>
            <w:noProof/>
            <w:webHidden/>
          </w:rPr>
          <w:fldChar w:fldCharType="begin"/>
        </w:r>
        <w:r w:rsidR="007B3CFB">
          <w:rPr>
            <w:noProof/>
            <w:webHidden/>
          </w:rPr>
          <w:instrText xml:space="preserve"> PAGEREF _Toc86315893 \h </w:instrText>
        </w:r>
        <w:r w:rsidR="007B3CFB">
          <w:rPr>
            <w:noProof/>
            <w:webHidden/>
          </w:rPr>
        </w:r>
        <w:r w:rsidR="007B3CFB">
          <w:rPr>
            <w:noProof/>
            <w:webHidden/>
          </w:rPr>
          <w:fldChar w:fldCharType="separate"/>
        </w:r>
        <w:r w:rsidR="00173A44">
          <w:rPr>
            <w:noProof/>
            <w:webHidden/>
          </w:rPr>
          <w:t>117</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94"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三</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估值方法</w:t>
        </w:r>
        <w:r w:rsidR="007B3CFB">
          <w:rPr>
            <w:noProof/>
            <w:webHidden/>
          </w:rPr>
          <w:tab/>
        </w:r>
        <w:r w:rsidR="007B3CFB">
          <w:rPr>
            <w:noProof/>
            <w:webHidden/>
          </w:rPr>
          <w:fldChar w:fldCharType="begin"/>
        </w:r>
        <w:r w:rsidR="007B3CFB">
          <w:rPr>
            <w:noProof/>
            <w:webHidden/>
          </w:rPr>
          <w:instrText xml:space="preserve"> PAGEREF _Toc86315894 \h </w:instrText>
        </w:r>
        <w:r w:rsidR="007B3CFB">
          <w:rPr>
            <w:noProof/>
            <w:webHidden/>
          </w:rPr>
        </w:r>
        <w:r w:rsidR="007B3CFB">
          <w:rPr>
            <w:noProof/>
            <w:webHidden/>
          </w:rPr>
          <w:fldChar w:fldCharType="separate"/>
        </w:r>
        <w:r w:rsidR="00173A44">
          <w:rPr>
            <w:noProof/>
            <w:webHidden/>
          </w:rPr>
          <w:t>117</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95"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四</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估值对象</w:t>
        </w:r>
        <w:r w:rsidR="007B3CFB">
          <w:rPr>
            <w:noProof/>
            <w:webHidden/>
          </w:rPr>
          <w:tab/>
        </w:r>
        <w:r w:rsidR="007B3CFB">
          <w:rPr>
            <w:noProof/>
            <w:webHidden/>
          </w:rPr>
          <w:fldChar w:fldCharType="begin"/>
        </w:r>
        <w:r w:rsidR="007B3CFB">
          <w:rPr>
            <w:noProof/>
            <w:webHidden/>
          </w:rPr>
          <w:instrText xml:space="preserve"> PAGEREF _Toc86315895 \h </w:instrText>
        </w:r>
        <w:r w:rsidR="007B3CFB">
          <w:rPr>
            <w:noProof/>
            <w:webHidden/>
          </w:rPr>
        </w:r>
        <w:r w:rsidR="007B3CFB">
          <w:rPr>
            <w:noProof/>
            <w:webHidden/>
          </w:rPr>
          <w:fldChar w:fldCharType="separate"/>
        </w:r>
        <w:r w:rsidR="00173A44">
          <w:rPr>
            <w:noProof/>
            <w:webHidden/>
          </w:rPr>
          <w:t>118</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96"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五</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估值程序</w:t>
        </w:r>
        <w:r w:rsidR="007B3CFB">
          <w:rPr>
            <w:noProof/>
            <w:webHidden/>
          </w:rPr>
          <w:tab/>
        </w:r>
        <w:r w:rsidR="007B3CFB">
          <w:rPr>
            <w:noProof/>
            <w:webHidden/>
          </w:rPr>
          <w:fldChar w:fldCharType="begin"/>
        </w:r>
        <w:r w:rsidR="007B3CFB">
          <w:rPr>
            <w:noProof/>
            <w:webHidden/>
          </w:rPr>
          <w:instrText xml:space="preserve"> PAGEREF _Toc86315896 \h </w:instrText>
        </w:r>
        <w:r w:rsidR="007B3CFB">
          <w:rPr>
            <w:noProof/>
            <w:webHidden/>
          </w:rPr>
        </w:r>
        <w:r w:rsidR="007B3CFB">
          <w:rPr>
            <w:noProof/>
            <w:webHidden/>
          </w:rPr>
          <w:fldChar w:fldCharType="separate"/>
        </w:r>
        <w:r w:rsidR="00173A44">
          <w:rPr>
            <w:noProof/>
            <w:webHidden/>
          </w:rPr>
          <w:t>118</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97"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六</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估值错误的处理</w:t>
        </w:r>
        <w:r w:rsidR="007B3CFB">
          <w:rPr>
            <w:noProof/>
            <w:webHidden/>
          </w:rPr>
          <w:tab/>
        </w:r>
        <w:r w:rsidR="007B3CFB">
          <w:rPr>
            <w:noProof/>
            <w:webHidden/>
          </w:rPr>
          <w:fldChar w:fldCharType="begin"/>
        </w:r>
        <w:r w:rsidR="007B3CFB">
          <w:rPr>
            <w:noProof/>
            <w:webHidden/>
          </w:rPr>
          <w:instrText xml:space="preserve"> PAGEREF _Toc86315897 \h </w:instrText>
        </w:r>
        <w:r w:rsidR="007B3CFB">
          <w:rPr>
            <w:noProof/>
            <w:webHidden/>
          </w:rPr>
        </w:r>
        <w:r w:rsidR="007B3CFB">
          <w:rPr>
            <w:noProof/>
            <w:webHidden/>
          </w:rPr>
          <w:fldChar w:fldCharType="separate"/>
        </w:r>
        <w:r w:rsidR="00173A44">
          <w:rPr>
            <w:noProof/>
            <w:webHidden/>
          </w:rPr>
          <w:t>118</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98"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七</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暂停估值的情形</w:t>
        </w:r>
        <w:r w:rsidR="007B3CFB">
          <w:rPr>
            <w:noProof/>
            <w:webHidden/>
          </w:rPr>
          <w:tab/>
        </w:r>
        <w:r w:rsidR="007B3CFB">
          <w:rPr>
            <w:noProof/>
            <w:webHidden/>
          </w:rPr>
          <w:fldChar w:fldCharType="begin"/>
        </w:r>
        <w:r w:rsidR="007B3CFB">
          <w:rPr>
            <w:noProof/>
            <w:webHidden/>
          </w:rPr>
          <w:instrText xml:space="preserve"> PAGEREF _Toc86315898 \h </w:instrText>
        </w:r>
        <w:r w:rsidR="007B3CFB">
          <w:rPr>
            <w:noProof/>
            <w:webHidden/>
          </w:rPr>
        </w:r>
        <w:r w:rsidR="007B3CFB">
          <w:rPr>
            <w:noProof/>
            <w:webHidden/>
          </w:rPr>
          <w:fldChar w:fldCharType="separate"/>
        </w:r>
        <w:r w:rsidR="00173A44">
          <w:rPr>
            <w:noProof/>
            <w:webHidden/>
          </w:rPr>
          <w:t>120</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899"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八</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基金净值的确认</w:t>
        </w:r>
        <w:r w:rsidR="007B3CFB">
          <w:rPr>
            <w:noProof/>
            <w:webHidden/>
          </w:rPr>
          <w:tab/>
        </w:r>
        <w:r w:rsidR="007B3CFB">
          <w:rPr>
            <w:noProof/>
            <w:webHidden/>
          </w:rPr>
          <w:fldChar w:fldCharType="begin"/>
        </w:r>
        <w:r w:rsidR="007B3CFB">
          <w:rPr>
            <w:noProof/>
            <w:webHidden/>
          </w:rPr>
          <w:instrText xml:space="preserve"> PAGEREF _Toc86315899 \h </w:instrText>
        </w:r>
        <w:r w:rsidR="007B3CFB">
          <w:rPr>
            <w:noProof/>
            <w:webHidden/>
          </w:rPr>
        </w:r>
        <w:r w:rsidR="007B3CFB">
          <w:rPr>
            <w:noProof/>
            <w:webHidden/>
          </w:rPr>
          <w:fldChar w:fldCharType="separate"/>
        </w:r>
        <w:r w:rsidR="00173A44">
          <w:rPr>
            <w:noProof/>
            <w:webHidden/>
          </w:rPr>
          <w:t>120</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00"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九</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特殊情况的处理</w:t>
        </w:r>
        <w:r w:rsidR="007B3CFB">
          <w:rPr>
            <w:noProof/>
            <w:webHidden/>
          </w:rPr>
          <w:tab/>
        </w:r>
        <w:r w:rsidR="007B3CFB">
          <w:rPr>
            <w:noProof/>
            <w:webHidden/>
          </w:rPr>
          <w:fldChar w:fldCharType="begin"/>
        </w:r>
        <w:r w:rsidR="007B3CFB">
          <w:rPr>
            <w:noProof/>
            <w:webHidden/>
          </w:rPr>
          <w:instrText xml:space="preserve"> PAGEREF _Toc86315900 \h </w:instrText>
        </w:r>
        <w:r w:rsidR="007B3CFB">
          <w:rPr>
            <w:noProof/>
            <w:webHidden/>
          </w:rPr>
        </w:r>
        <w:r w:rsidR="007B3CFB">
          <w:rPr>
            <w:noProof/>
            <w:webHidden/>
          </w:rPr>
          <w:fldChar w:fldCharType="separate"/>
        </w:r>
        <w:r w:rsidR="00173A44">
          <w:rPr>
            <w:noProof/>
            <w:webHidden/>
          </w:rPr>
          <w:t>120</w:t>
        </w:r>
        <w:r w:rsidR="007B3CFB">
          <w:rPr>
            <w:noProof/>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901" w:history="1">
        <w:r w:rsidR="007B3CFB" w:rsidRPr="006D393E">
          <w:rPr>
            <w:rStyle w:val="a5"/>
            <w:rFonts w:asciiTheme="minorEastAsia" w:hAnsiTheme="minorEastAsia" w:hint="eastAsia"/>
          </w:rPr>
          <w:t>十五、基金的收益分配</w:t>
        </w:r>
        <w:r w:rsidR="007B3CFB">
          <w:rPr>
            <w:webHidden/>
          </w:rPr>
          <w:tab/>
        </w:r>
        <w:r w:rsidR="007B3CFB">
          <w:rPr>
            <w:webHidden/>
          </w:rPr>
          <w:fldChar w:fldCharType="begin"/>
        </w:r>
        <w:r w:rsidR="007B3CFB">
          <w:rPr>
            <w:webHidden/>
          </w:rPr>
          <w:instrText xml:space="preserve"> PAGEREF _Toc86315901 \h </w:instrText>
        </w:r>
        <w:r w:rsidR="007B3CFB">
          <w:rPr>
            <w:webHidden/>
          </w:rPr>
        </w:r>
        <w:r w:rsidR="007B3CFB">
          <w:rPr>
            <w:webHidden/>
          </w:rPr>
          <w:fldChar w:fldCharType="separate"/>
        </w:r>
        <w:r w:rsidR="00173A44">
          <w:rPr>
            <w:webHidden/>
          </w:rPr>
          <w:t>122</w:t>
        </w:r>
        <w:r w:rsidR="007B3CFB">
          <w:rPr>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02"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一</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基金利润的构成</w:t>
        </w:r>
        <w:r w:rsidR="007B3CFB">
          <w:rPr>
            <w:noProof/>
            <w:webHidden/>
          </w:rPr>
          <w:tab/>
        </w:r>
        <w:r w:rsidR="007B3CFB">
          <w:rPr>
            <w:noProof/>
            <w:webHidden/>
          </w:rPr>
          <w:fldChar w:fldCharType="begin"/>
        </w:r>
        <w:r w:rsidR="007B3CFB">
          <w:rPr>
            <w:noProof/>
            <w:webHidden/>
          </w:rPr>
          <w:instrText xml:space="preserve"> PAGEREF _Toc86315902 \h </w:instrText>
        </w:r>
        <w:r w:rsidR="007B3CFB">
          <w:rPr>
            <w:noProof/>
            <w:webHidden/>
          </w:rPr>
        </w:r>
        <w:r w:rsidR="007B3CFB">
          <w:rPr>
            <w:noProof/>
            <w:webHidden/>
          </w:rPr>
          <w:fldChar w:fldCharType="separate"/>
        </w:r>
        <w:r w:rsidR="00173A44">
          <w:rPr>
            <w:noProof/>
            <w:webHidden/>
          </w:rPr>
          <w:t>122</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03"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二</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基金可供分配利润</w:t>
        </w:r>
        <w:r w:rsidR="007B3CFB">
          <w:rPr>
            <w:noProof/>
            <w:webHidden/>
          </w:rPr>
          <w:tab/>
        </w:r>
        <w:r w:rsidR="007B3CFB">
          <w:rPr>
            <w:noProof/>
            <w:webHidden/>
          </w:rPr>
          <w:fldChar w:fldCharType="begin"/>
        </w:r>
        <w:r w:rsidR="007B3CFB">
          <w:rPr>
            <w:noProof/>
            <w:webHidden/>
          </w:rPr>
          <w:instrText xml:space="preserve"> PAGEREF _Toc86315903 \h </w:instrText>
        </w:r>
        <w:r w:rsidR="007B3CFB">
          <w:rPr>
            <w:noProof/>
            <w:webHidden/>
          </w:rPr>
        </w:r>
        <w:r w:rsidR="007B3CFB">
          <w:rPr>
            <w:noProof/>
            <w:webHidden/>
          </w:rPr>
          <w:fldChar w:fldCharType="separate"/>
        </w:r>
        <w:r w:rsidR="00173A44">
          <w:rPr>
            <w:noProof/>
            <w:webHidden/>
          </w:rPr>
          <w:t>122</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04"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三</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收益分配原则</w:t>
        </w:r>
        <w:r w:rsidR="007B3CFB">
          <w:rPr>
            <w:noProof/>
            <w:webHidden/>
          </w:rPr>
          <w:tab/>
        </w:r>
        <w:r w:rsidR="007B3CFB">
          <w:rPr>
            <w:noProof/>
            <w:webHidden/>
          </w:rPr>
          <w:fldChar w:fldCharType="begin"/>
        </w:r>
        <w:r w:rsidR="007B3CFB">
          <w:rPr>
            <w:noProof/>
            <w:webHidden/>
          </w:rPr>
          <w:instrText xml:space="preserve"> PAGEREF _Toc86315904 \h </w:instrText>
        </w:r>
        <w:r w:rsidR="007B3CFB">
          <w:rPr>
            <w:noProof/>
            <w:webHidden/>
          </w:rPr>
        </w:r>
        <w:r w:rsidR="007B3CFB">
          <w:rPr>
            <w:noProof/>
            <w:webHidden/>
          </w:rPr>
          <w:fldChar w:fldCharType="separate"/>
        </w:r>
        <w:r w:rsidR="00173A44">
          <w:rPr>
            <w:noProof/>
            <w:webHidden/>
          </w:rPr>
          <w:t>122</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05"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四</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收益分配方案</w:t>
        </w:r>
        <w:r w:rsidR="007B3CFB">
          <w:rPr>
            <w:noProof/>
            <w:webHidden/>
          </w:rPr>
          <w:tab/>
        </w:r>
        <w:r w:rsidR="007B3CFB">
          <w:rPr>
            <w:noProof/>
            <w:webHidden/>
          </w:rPr>
          <w:fldChar w:fldCharType="begin"/>
        </w:r>
        <w:r w:rsidR="007B3CFB">
          <w:rPr>
            <w:noProof/>
            <w:webHidden/>
          </w:rPr>
          <w:instrText xml:space="preserve"> PAGEREF _Toc86315905 \h </w:instrText>
        </w:r>
        <w:r w:rsidR="007B3CFB">
          <w:rPr>
            <w:noProof/>
            <w:webHidden/>
          </w:rPr>
        </w:r>
        <w:r w:rsidR="007B3CFB">
          <w:rPr>
            <w:noProof/>
            <w:webHidden/>
          </w:rPr>
          <w:fldChar w:fldCharType="separate"/>
        </w:r>
        <w:r w:rsidR="00173A44">
          <w:rPr>
            <w:noProof/>
            <w:webHidden/>
          </w:rPr>
          <w:t>122</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06"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五</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收益分配方案的确定、公告与实施</w:t>
        </w:r>
        <w:r w:rsidR="007B3CFB">
          <w:rPr>
            <w:noProof/>
            <w:webHidden/>
          </w:rPr>
          <w:tab/>
        </w:r>
        <w:r w:rsidR="007B3CFB">
          <w:rPr>
            <w:noProof/>
            <w:webHidden/>
          </w:rPr>
          <w:fldChar w:fldCharType="begin"/>
        </w:r>
        <w:r w:rsidR="007B3CFB">
          <w:rPr>
            <w:noProof/>
            <w:webHidden/>
          </w:rPr>
          <w:instrText xml:space="preserve"> PAGEREF _Toc86315906 \h </w:instrText>
        </w:r>
        <w:r w:rsidR="007B3CFB">
          <w:rPr>
            <w:noProof/>
            <w:webHidden/>
          </w:rPr>
        </w:r>
        <w:r w:rsidR="007B3CFB">
          <w:rPr>
            <w:noProof/>
            <w:webHidden/>
          </w:rPr>
          <w:fldChar w:fldCharType="separate"/>
        </w:r>
        <w:r w:rsidR="00173A44">
          <w:rPr>
            <w:noProof/>
            <w:webHidden/>
          </w:rPr>
          <w:t>122</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07"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六</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收益分配中发生的费用</w:t>
        </w:r>
        <w:r w:rsidR="007B3CFB">
          <w:rPr>
            <w:noProof/>
            <w:webHidden/>
          </w:rPr>
          <w:tab/>
        </w:r>
        <w:r w:rsidR="007B3CFB">
          <w:rPr>
            <w:noProof/>
            <w:webHidden/>
          </w:rPr>
          <w:fldChar w:fldCharType="begin"/>
        </w:r>
        <w:r w:rsidR="007B3CFB">
          <w:rPr>
            <w:noProof/>
            <w:webHidden/>
          </w:rPr>
          <w:instrText xml:space="preserve"> PAGEREF _Toc86315907 \h </w:instrText>
        </w:r>
        <w:r w:rsidR="007B3CFB">
          <w:rPr>
            <w:noProof/>
            <w:webHidden/>
          </w:rPr>
        </w:r>
        <w:r w:rsidR="007B3CFB">
          <w:rPr>
            <w:noProof/>
            <w:webHidden/>
          </w:rPr>
          <w:fldChar w:fldCharType="separate"/>
        </w:r>
        <w:r w:rsidR="00173A44">
          <w:rPr>
            <w:noProof/>
            <w:webHidden/>
          </w:rPr>
          <w:t>123</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08" w:history="1">
        <w:r w:rsidR="007B3CFB" w:rsidRPr="006D393E">
          <w:rPr>
            <w:rStyle w:val="a5"/>
            <w:rFonts w:asciiTheme="minorEastAsia" w:hAnsiTheme="minorEastAsia" w:hint="eastAsia"/>
            <w:noProof/>
          </w:rPr>
          <w:t>（七）实施侧袋机制期间的收益分配</w:t>
        </w:r>
        <w:r w:rsidR="007B3CFB">
          <w:rPr>
            <w:noProof/>
            <w:webHidden/>
          </w:rPr>
          <w:tab/>
        </w:r>
        <w:r w:rsidR="007B3CFB">
          <w:rPr>
            <w:noProof/>
            <w:webHidden/>
          </w:rPr>
          <w:fldChar w:fldCharType="begin"/>
        </w:r>
        <w:r w:rsidR="007B3CFB">
          <w:rPr>
            <w:noProof/>
            <w:webHidden/>
          </w:rPr>
          <w:instrText xml:space="preserve"> PAGEREF _Toc86315908 \h </w:instrText>
        </w:r>
        <w:r w:rsidR="007B3CFB">
          <w:rPr>
            <w:noProof/>
            <w:webHidden/>
          </w:rPr>
        </w:r>
        <w:r w:rsidR="007B3CFB">
          <w:rPr>
            <w:noProof/>
            <w:webHidden/>
          </w:rPr>
          <w:fldChar w:fldCharType="separate"/>
        </w:r>
        <w:r w:rsidR="00173A44">
          <w:rPr>
            <w:noProof/>
            <w:webHidden/>
          </w:rPr>
          <w:t>123</w:t>
        </w:r>
        <w:r w:rsidR="007B3CFB">
          <w:rPr>
            <w:noProof/>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909" w:history="1">
        <w:r w:rsidR="007B3CFB" w:rsidRPr="006D393E">
          <w:rPr>
            <w:rStyle w:val="a5"/>
            <w:rFonts w:asciiTheme="minorEastAsia" w:hAnsiTheme="minorEastAsia" w:hint="eastAsia"/>
          </w:rPr>
          <w:t>十六、基金的费用与税收</w:t>
        </w:r>
        <w:r w:rsidR="007B3CFB">
          <w:rPr>
            <w:webHidden/>
          </w:rPr>
          <w:tab/>
        </w:r>
        <w:r w:rsidR="007B3CFB">
          <w:rPr>
            <w:webHidden/>
          </w:rPr>
          <w:fldChar w:fldCharType="begin"/>
        </w:r>
        <w:r w:rsidR="007B3CFB">
          <w:rPr>
            <w:webHidden/>
          </w:rPr>
          <w:instrText xml:space="preserve"> PAGEREF _Toc86315909 \h </w:instrText>
        </w:r>
        <w:r w:rsidR="007B3CFB">
          <w:rPr>
            <w:webHidden/>
          </w:rPr>
        </w:r>
        <w:r w:rsidR="007B3CFB">
          <w:rPr>
            <w:webHidden/>
          </w:rPr>
          <w:fldChar w:fldCharType="separate"/>
        </w:r>
        <w:r w:rsidR="00173A44">
          <w:rPr>
            <w:webHidden/>
          </w:rPr>
          <w:t>124</w:t>
        </w:r>
        <w:r w:rsidR="007B3CFB">
          <w:rPr>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10"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一</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与基金运作相关的费用</w:t>
        </w:r>
        <w:r w:rsidR="007B3CFB">
          <w:rPr>
            <w:noProof/>
            <w:webHidden/>
          </w:rPr>
          <w:tab/>
        </w:r>
        <w:r w:rsidR="007B3CFB">
          <w:rPr>
            <w:noProof/>
            <w:webHidden/>
          </w:rPr>
          <w:fldChar w:fldCharType="begin"/>
        </w:r>
        <w:r w:rsidR="007B3CFB">
          <w:rPr>
            <w:noProof/>
            <w:webHidden/>
          </w:rPr>
          <w:instrText xml:space="preserve"> PAGEREF _Toc86315910 \h </w:instrText>
        </w:r>
        <w:r w:rsidR="007B3CFB">
          <w:rPr>
            <w:noProof/>
            <w:webHidden/>
          </w:rPr>
        </w:r>
        <w:r w:rsidR="007B3CFB">
          <w:rPr>
            <w:noProof/>
            <w:webHidden/>
          </w:rPr>
          <w:fldChar w:fldCharType="separate"/>
        </w:r>
        <w:r w:rsidR="00173A44">
          <w:rPr>
            <w:noProof/>
            <w:webHidden/>
          </w:rPr>
          <w:t>124</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11"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二</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与基金销售相关的费用</w:t>
        </w:r>
        <w:r w:rsidR="007B3CFB">
          <w:rPr>
            <w:noProof/>
            <w:webHidden/>
          </w:rPr>
          <w:tab/>
        </w:r>
        <w:r w:rsidR="007B3CFB">
          <w:rPr>
            <w:noProof/>
            <w:webHidden/>
          </w:rPr>
          <w:fldChar w:fldCharType="begin"/>
        </w:r>
        <w:r w:rsidR="007B3CFB">
          <w:rPr>
            <w:noProof/>
            <w:webHidden/>
          </w:rPr>
          <w:instrText xml:space="preserve"> PAGEREF _Toc86315911 \h </w:instrText>
        </w:r>
        <w:r w:rsidR="007B3CFB">
          <w:rPr>
            <w:noProof/>
            <w:webHidden/>
          </w:rPr>
        </w:r>
        <w:r w:rsidR="007B3CFB">
          <w:rPr>
            <w:noProof/>
            <w:webHidden/>
          </w:rPr>
          <w:fldChar w:fldCharType="separate"/>
        </w:r>
        <w:r w:rsidR="00173A44">
          <w:rPr>
            <w:noProof/>
            <w:webHidden/>
          </w:rPr>
          <w:t>125</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12" w:history="1">
        <w:r w:rsidR="007B3CFB" w:rsidRPr="006D393E">
          <w:rPr>
            <w:rStyle w:val="a5"/>
            <w:rFonts w:asciiTheme="minorEastAsia" w:hAnsiTheme="minorEastAsia" w:hint="eastAsia"/>
            <w:noProof/>
          </w:rPr>
          <w:t>（三）实施侧袋机制期间的基金费用</w:t>
        </w:r>
        <w:r w:rsidR="007B3CFB">
          <w:rPr>
            <w:noProof/>
            <w:webHidden/>
          </w:rPr>
          <w:tab/>
        </w:r>
        <w:r w:rsidR="007B3CFB">
          <w:rPr>
            <w:noProof/>
            <w:webHidden/>
          </w:rPr>
          <w:fldChar w:fldCharType="begin"/>
        </w:r>
        <w:r w:rsidR="007B3CFB">
          <w:rPr>
            <w:noProof/>
            <w:webHidden/>
          </w:rPr>
          <w:instrText xml:space="preserve"> PAGEREF _Toc86315912 \h </w:instrText>
        </w:r>
        <w:r w:rsidR="007B3CFB">
          <w:rPr>
            <w:noProof/>
            <w:webHidden/>
          </w:rPr>
        </w:r>
        <w:r w:rsidR="007B3CFB">
          <w:rPr>
            <w:noProof/>
            <w:webHidden/>
          </w:rPr>
          <w:fldChar w:fldCharType="separate"/>
        </w:r>
        <w:r w:rsidR="00173A44">
          <w:rPr>
            <w:noProof/>
            <w:webHidden/>
          </w:rPr>
          <w:t>126</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13"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四</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税收</w:t>
        </w:r>
        <w:r w:rsidR="007B3CFB">
          <w:rPr>
            <w:noProof/>
            <w:webHidden/>
          </w:rPr>
          <w:tab/>
        </w:r>
        <w:r w:rsidR="007B3CFB">
          <w:rPr>
            <w:noProof/>
            <w:webHidden/>
          </w:rPr>
          <w:fldChar w:fldCharType="begin"/>
        </w:r>
        <w:r w:rsidR="007B3CFB">
          <w:rPr>
            <w:noProof/>
            <w:webHidden/>
          </w:rPr>
          <w:instrText xml:space="preserve"> PAGEREF _Toc86315913 \h </w:instrText>
        </w:r>
        <w:r w:rsidR="007B3CFB">
          <w:rPr>
            <w:noProof/>
            <w:webHidden/>
          </w:rPr>
        </w:r>
        <w:r w:rsidR="007B3CFB">
          <w:rPr>
            <w:noProof/>
            <w:webHidden/>
          </w:rPr>
          <w:fldChar w:fldCharType="separate"/>
        </w:r>
        <w:r w:rsidR="00173A44">
          <w:rPr>
            <w:noProof/>
            <w:webHidden/>
          </w:rPr>
          <w:t>126</w:t>
        </w:r>
        <w:r w:rsidR="007B3CFB">
          <w:rPr>
            <w:noProof/>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914" w:history="1">
        <w:r w:rsidR="007B3CFB" w:rsidRPr="006D393E">
          <w:rPr>
            <w:rStyle w:val="a5"/>
            <w:rFonts w:asciiTheme="minorEastAsia" w:hAnsiTheme="minorEastAsia" w:hint="eastAsia"/>
          </w:rPr>
          <w:t>十七、基金的会计与审计</w:t>
        </w:r>
        <w:r w:rsidR="007B3CFB">
          <w:rPr>
            <w:webHidden/>
          </w:rPr>
          <w:tab/>
        </w:r>
        <w:r w:rsidR="007B3CFB">
          <w:rPr>
            <w:webHidden/>
          </w:rPr>
          <w:fldChar w:fldCharType="begin"/>
        </w:r>
        <w:r w:rsidR="007B3CFB">
          <w:rPr>
            <w:webHidden/>
          </w:rPr>
          <w:instrText xml:space="preserve"> PAGEREF _Toc86315914 \h </w:instrText>
        </w:r>
        <w:r w:rsidR="007B3CFB">
          <w:rPr>
            <w:webHidden/>
          </w:rPr>
        </w:r>
        <w:r w:rsidR="007B3CFB">
          <w:rPr>
            <w:webHidden/>
          </w:rPr>
          <w:fldChar w:fldCharType="separate"/>
        </w:r>
        <w:r w:rsidR="00173A44">
          <w:rPr>
            <w:webHidden/>
          </w:rPr>
          <w:t>127</w:t>
        </w:r>
        <w:r w:rsidR="007B3CFB">
          <w:rPr>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15"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一</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基金会计政策</w:t>
        </w:r>
        <w:r w:rsidR="007B3CFB">
          <w:rPr>
            <w:noProof/>
            <w:webHidden/>
          </w:rPr>
          <w:tab/>
        </w:r>
        <w:r w:rsidR="007B3CFB">
          <w:rPr>
            <w:noProof/>
            <w:webHidden/>
          </w:rPr>
          <w:fldChar w:fldCharType="begin"/>
        </w:r>
        <w:r w:rsidR="007B3CFB">
          <w:rPr>
            <w:noProof/>
            <w:webHidden/>
          </w:rPr>
          <w:instrText xml:space="preserve"> PAGEREF _Toc86315915 \h </w:instrText>
        </w:r>
        <w:r w:rsidR="007B3CFB">
          <w:rPr>
            <w:noProof/>
            <w:webHidden/>
          </w:rPr>
        </w:r>
        <w:r w:rsidR="007B3CFB">
          <w:rPr>
            <w:noProof/>
            <w:webHidden/>
          </w:rPr>
          <w:fldChar w:fldCharType="separate"/>
        </w:r>
        <w:r w:rsidR="00173A44">
          <w:rPr>
            <w:noProof/>
            <w:webHidden/>
          </w:rPr>
          <w:t>127</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16"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二</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基金审计</w:t>
        </w:r>
        <w:r w:rsidR="007B3CFB">
          <w:rPr>
            <w:noProof/>
            <w:webHidden/>
          </w:rPr>
          <w:tab/>
        </w:r>
        <w:r w:rsidR="007B3CFB">
          <w:rPr>
            <w:noProof/>
            <w:webHidden/>
          </w:rPr>
          <w:fldChar w:fldCharType="begin"/>
        </w:r>
        <w:r w:rsidR="007B3CFB">
          <w:rPr>
            <w:noProof/>
            <w:webHidden/>
          </w:rPr>
          <w:instrText xml:space="preserve"> PAGEREF _Toc86315916 \h </w:instrText>
        </w:r>
        <w:r w:rsidR="007B3CFB">
          <w:rPr>
            <w:noProof/>
            <w:webHidden/>
          </w:rPr>
        </w:r>
        <w:r w:rsidR="007B3CFB">
          <w:rPr>
            <w:noProof/>
            <w:webHidden/>
          </w:rPr>
          <w:fldChar w:fldCharType="separate"/>
        </w:r>
        <w:r w:rsidR="00173A44">
          <w:rPr>
            <w:noProof/>
            <w:webHidden/>
          </w:rPr>
          <w:t>127</w:t>
        </w:r>
        <w:r w:rsidR="007B3CFB">
          <w:rPr>
            <w:noProof/>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917" w:history="1">
        <w:r w:rsidR="007B3CFB" w:rsidRPr="006D393E">
          <w:rPr>
            <w:rStyle w:val="a5"/>
            <w:rFonts w:asciiTheme="minorEastAsia" w:hAnsiTheme="minorEastAsia" w:hint="eastAsia"/>
          </w:rPr>
          <w:t>十八、基金的信息披露</w:t>
        </w:r>
        <w:r w:rsidR="007B3CFB">
          <w:rPr>
            <w:webHidden/>
          </w:rPr>
          <w:tab/>
        </w:r>
        <w:r w:rsidR="007B3CFB">
          <w:rPr>
            <w:webHidden/>
          </w:rPr>
          <w:fldChar w:fldCharType="begin"/>
        </w:r>
        <w:r w:rsidR="007B3CFB">
          <w:rPr>
            <w:webHidden/>
          </w:rPr>
          <w:instrText xml:space="preserve"> PAGEREF _Toc86315917 \h </w:instrText>
        </w:r>
        <w:r w:rsidR="007B3CFB">
          <w:rPr>
            <w:webHidden/>
          </w:rPr>
        </w:r>
        <w:r w:rsidR="007B3CFB">
          <w:rPr>
            <w:webHidden/>
          </w:rPr>
          <w:fldChar w:fldCharType="separate"/>
        </w:r>
        <w:r w:rsidR="00173A44">
          <w:rPr>
            <w:webHidden/>
          </w:rPr>
          <w:t>128</w:t>
        </w:r>
        <w:r w:rsidR="007B3CFB">
          <w:rPr>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18"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一</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信息披露的形式</w:t>
        </w:r>
        <w:r w:rsidR="007B3CFB">
          <w:rPr>
            <w:noProof/>
            <w:webHidden/>
          </w:rPr>
          <w:tab/>
        </w:r>
        <w:r w:rsidR="007B3CFB">
          <w:rPr>
            <w:noProof/>
            <w:webHidden/>
          </w:rPr>
          <w:fldChar w:fldCharType="begin"/>
        </w:r>
        <w:r w:rsidR="007B3CFB">
          <w:rPr>
            <w:noProof/>
            <w:webHidden/>
          </w:rPr>
          <w:instrText xml:space="preserve"> PAGEREF _Toc86315918 \h </w:instrText>
        </w:r>
        <w:r w:rsidR="007B3CFB">
          <w:rPr>
            <w:noProof/>
            <w:webHidden/>
          </w:rPr>
        </w:r>
        <w:r w:rsidR="007B3CFB">
          <w:rPr>
            <w:noProof/>
            <w:webHidden/>
          </w:rPr>
          <w:fldChar w:fldCharType="separate"/>
        </w:r>
        <w:r w:rsidR="00173A44">
          <w:rPr>
            <w:noProof/>
            <w:webHidden/>
          </w:rPr>
          <w:t>128</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19"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二</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信息披露的种类、披露时间和披露形式</w:t>
        </w:r>
        <w:r w:rsidR="007B3CFB">
          <w:rPr>
            <w:noProof/>
            <w:webHidden/>
          </w:rPr>
          <w:tab/>
        </w:r>
        <w:r w:rsidR="007B3CFB">
          <w:rPr>
            <w:noProof/>
            <w:webHidden/>
          </w:rPr>
          <w:fldChar w:fldCharType="begin"/>
        </w:r>
        <w:r w:rsidR="007B3CFB">
          <w:rPr>
            <w:noProof/>
            <w:webHidden/>
          </w:rPr>
          <w:instrText xml:space="preserve"> PAGEREF _Toc86315919 \h </w:instrText>
        </w:r>
        <w:r w:rsidR="007B3CFB">
          <w:rPr>
            <w:noProof/>
            <w:webHidden/>
          </w:rPr>
        </w:r>
        <w:r w:rsidR="007B3CFB">
          <w:rPr>
            <w:noProof/>
            <w:webHidden/>
          </w:rPr>
          <w:fldChar w:fldCharType="separate"/>
        </w:r>
        <w:r w:rsidR="00173A44">
          <w:rPr>
            <w:noProof/>
            <w:webHidden/>
          </w:rPr>
          <w:t>128</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20"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三</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信息披露文件的存放与查阅</w:t>
        </w:r>
        <w:r w:rsidR="007B3CFB">
          <w:rPr>
            <w:noProof/>
            <w:webHidden/>
          </w:rPr>
          <w:tab/>
        </w:r>
        <w:r w:rsidR="007B3CFB">
          <w:rPr>
            <w:noProof/>
            <w:webHidden/>
          </w:rPr>
          <w:fldChar w:fldCharType="begin"/>
        </w:r>
        <w:r w:rsidR="007B3CFB">
          <w:rPr>
            <w:noProof/>
            <w:webHidden/>
          </w:rPr>
          <w:instrText xml:space="preserve"> PAGEREF _Toc86315920 \h </w:instrText>
        </w:r>
        <w:r w:rsidR="007B3CFB">
          <w:rPr>
            <w:noProof/>
            <w:webHidden/>
          </w:rPr>
        </w:r>
        <w:r w:rsidR="007B3CFB">
          <w:rPr>
            <w:noProof/>
            <w:webHidden/>
          </w:rPr>
          <w:fldChar w:fldCharType="separate"/>
        </w:r>
        <w:r w:rsidR="00173A44">
          <w:rPr>
            <w:noProof/>
            <w:webHidden/>
          </w:rPr>
          <w:t>131</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21"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四</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信息披露事务管理</w:t>
        </w:r>
        <w:r w:rsidR="007B3CFB">
          <w:rPr>
            <w:noProof/>
            <w:webHidden/>
          </w:rPr>
          <w:tab/>
        </w:r>
        <w:r w:rsidR="007B3CFB">
          <w:rPr>
            <w:noProof/>
            <w:webHidden/>
          </w:rPr>
          <w:fldChar w:fldCharType="begin"/>
        </w:r>
        <w:r w:rsidR="007B3CFB">
          <w:rPr>
            <w:noProof/>
            <w:webHidden/>
          </w:rPr>
          <w:instrText xml:space="preserve"> PAGEREF _Toc86315921 \h </w:instrText>
        </w:r>
        <w:r w:rsidR="007B3CFB">
          <w:rPr>
            <w:noProof/>
            <w:webHidden/>
          </w:rPr>
        </w:r>
        <w:r w:rsidR="007B3CFB">
          <w:rPr>
            <w:noProof/>
            <w:webHidden/>
          </w:rPr>
          <w:fldChar w:fldCharType="separate"/>
        </w:r>
        <w:r w:rsidR="00173A44">
          <w:rPr>
            <w:noProof/>
            <w:webHidden/>
          </w:rPr>
          <w:t>131</w:t>
        </w:r>
        <w:r w:rsidR="007B3CFB">
          <w:rPr>
            <w:noProof/>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922" w:history="1">
        <w:r w:rsidR="007B3CFB" w:rsidRPr="006D393E">
          <w:rPr>
            <w:rStyle w:val="a5"/>
            <w:rFonts w:asciiTheme="minorEastAsia" w:hAnsiTheme="minorEastAsia" w:hint="eastAsia"/>
          </w:rPr>
          <w:t>十九、侧袋机制</w:t>
        </w:r>
        <w:r w:rsidR="007B3CFB">
          <w:rPr>
            <w:webHidden/>
          </w:rPr>
          <w:tab/>
        </w:r>
        <w:r w:rsidR="007B3CFB">
          <w:rPr>
            <w:webHidden/>
          </w:rPr>
          <w:fldChar w:fldCharType="begin"/>
        </w:r>
        <w:r w:rsidR="007B3CFB">
          <w:rPr>
            <w:webHidden/>
          </w:rPr>
          <w:instrText xml:space="preserve"> PAGEREF _Toc86315922 \h </w:instrText>
        </w:r>
        <w:r w:rsidR="007B3CFB">
          <w:rPr>
            <w:webHidden/>
          </w:rPr>
        </w:r>
        <w:r w:rsidR="007B3CFB">
          <w:rPr>
            <w:webHidden/>
          </w:rPr>
          <w:fldChar w:fldCharType="separate"/>
        </w:r>
        <w:r w:rsidR="00173A44">
          <w:rPr>
            <w:webHidden/>
          </w:rPr>
          <w:t>133</w:t>
        </w:r>
        <w:r w:rsidR="007B3CFB">
          <w:rPr>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923" w:history="1">
        <w:r w:rsidR="007B3CFB" w:rsidRPr="006D393E">
          <w:rPr>
            <w:rStyle w:val="a5"/>
            <w:rFonts w:asciiTheme="minorEastAsia" w:hAnsiTheme="minorEastAsia" w:hint="eastAsia"/>
          </w:rPr>
          <w:t>二十、风险揭示</w:t>
        </w:r>
        <w:r w:rsidR="007B3CFB">
          <w:rPr>
            <w:webHidden/>
          </w:rPr>
          <w:tab/>
        </w:r>
        <w:r w:rsidR="007B3CFB">
          <w:rPr>
            <w:webHidden/>
          </w:rPr>
          <w:fldChar w:fldCharType="begin"/>
        </w:r>
        <w:r w:rsidR="007B3CFB">
          <w:rPr>
            <w:webHidden/>
          </w:rPr>
          <w:instrText xml:space="preserve"> PAGEREF _Toc86315923 \h </w:instrText>
        </w:r>
        <w:r w:rsidR="007B3CFB">
          <w:rPr>
            <w:webHidden/>
          </w:rPr>
        </w:r>
        <w:r w:rsidR="007B3CFB">
          <w:rPr>
            <w:webHidden/>
          </w:rPr>
          <w:fldChar w:fldCharType="separate"/>
        </w:r>
        <w:r w:rsidR="00173A44">
          <w:rPr>
            <w:webHidden/>
          </w:rPr>
          <w:t>135</w:t>
        </w:r>
        <w:r w:rsidR="007B3CFB">
          <w:rPr>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24"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一</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市场风险</w:t>
        </w:r>
        <w:r w:rsidR="007B3CFB">
          <w:rPr>
            <w:noProof/>
            <w:webHidden/>
          </w:rPr>
          <w:tab/>
        </w:r>
        <w:r w:rsidR="007B3CFB">
          <w:rPr>
            <w:noProof/>
            <w:webHidden/>
          </w:rPr>
          <w:fldChar w:fldCharType="begin"/>
        </w:r>
        <w:r w:rsidR="007B3CFB">
          <w:rPr>
            <w:noProof/>
            <w:webHidden/>
          </w:rPr>
          <w:instrText xml:space="preserve"> PAGEREF _Toc86315924 \h </w:instrText>
        </w:r>
        <w:r w:rsidR="007B3CFB">
          <w:rPr>
            <w:noProof/>
            <w:webHidden/>
          </w:rPr>
        </w:r>
        <w:r w:rsidR="007B3CFB">
          <w:rPr>
            <w:noProof/>
            <w:webHidden/>
          </w:rPr>
          <w:fldChar w:fldCharType="separate"/>
        </w:r>
        <w:r w:rsidR="00173A44">
          <w:rPr>
            <w:noProof/>
            <w:webHidden/>
          </w:rPr>
          <w:t>135</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25"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二</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管理风险</w:t>
        </w:r>
        <w:r w:rsidR="007B3CFB">
          <w:rPr>
            <w:noProof/>
            <w:webHidden/>
          </w:rPr>
          <w:tab/>
        </w:r>
        <w:r w:rsidR="007B3CFB">
          <w:rPr>
            <w:noProof/>
            <w:webHidden/>
          </w:rPr>
          <w:fldChar w:fldCharType="begin"/>
        </w:r>
        <w:r w:rsidR="007B3CFB">
          <w:rPr>
            <w:noProof/>
            <w:webHidden/>
          </w:rPr>
          <w:instrText xml:space="preserve"> PAGEREF _Toc86315925 \h </w:instrText>
        </w:r>
        <w:r w:rsidR="007B3CFB">
          <w:rPr>
            <w:noProof/>
            <w:webHidden/>
          </w:rPr>
        </w:r>
        <w:r w:rsidR="007B3CFB">
          <w:rPr>
            <w:noProof/>
            <w:webHidden/>
          </w:rPr>
          <w:fldChar w:fldCharType="separate"/>
        </w:r>
        <w:r w:rsidR="00173A44">
          <w:rPr>
            <w:noProof/>
            <w:webHidden/>
          </w:rPr>
          <w:t>136</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26"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三</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流动性风险</w:t>
        </w:r>
        <w:r w:rsidR="007B3CFB">
          <w:rPr>
            <w:noProof/>
            <w:webHidden/>
          </w:rPr>
          <w:tab/>
        </w:r>
        <w:r w:rsidR="007B3CFB">
          <w:rPr>
            <w:noProof/>
            <w:webHidden/>
          </w:rPr>
          <w:fldChar w:fldCharType="begin"/>
        </w:r>
        <w:r w:rsidR="007B3CFB">
          <w:rPr>
            <w:noProof/>
            <w:webHidden/>
          </w:rPr>
          <w:instrText xml:space="preserve"> PAGEREF _Toc86315926 \h </w:instrText>
        </w:r>
        <w:r w:rsidR="007B3CFB">
          <w:rPr>
            <w:noProof/>
            <w:webHidden/>
          </w:rPr>
        </w:r>
        <w:r w:rsidR="007B3CFB">
          <w:rPr>
            <w:noProof/>
            <w:webHidden/>
          </w:rPr>
          <w:fldChar w:fldCharType="separate"/>
        </w:r>
        <w:r w:rsidR="00173A44">
          <w:rPr>
            <w:noProof/>
            <w:webHidden/>
          </w:rPr>
          <w:t>136</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27" w:history="1">
        <w:r w:rsidR="007B3CFB" w:rsidRPr="006D393E">
          <w:rPr>
            <w:rStyle w:val="a5"/>
            <w:rFonts w:asciiTheme="minorEastAsia" w:hAnsiTheme="minorEastAsia" w:hint="eastAsia"/>
            <w:noProof/>
          </w:rPr>
          <w:t>（四）本基金法律文件中涉及基金风险特征的表述与销售机构对基金的风险评级可能不一致的风险</w:t>
        </w:r>
        <w:r w:rsidR="007B3CFB">
          <w:rPr>
            <w:noProof/>
            <w:webHidden/>
          </w:rPr>
          <w:tab/>
        </w:r>
        <w:r w:rsidR="007B3CFB">
          <w:rPr>
            <w:noProof/>
            <w:webHidden/>
          </w:rPr>
          <w:fldChar w:fldCharType="begin"/>
        </w:r>
        <w:r w:rsidR="007B3CFB">
          <w:rPr>
            <w:noProof/>
            <w:webHidden/>
          </w:rPr>
          <w:instrText xml:space="preserve"> PAGEREF _Toc86315927 \h </w:instrText>
        </w:r>
        <w:r w:rsidR="007B3CFB">
          <w:rPr>
            <w:noProof/>
            <w:webHidden/>
          </w:rPr>
        </w:r>
        <w:r w:rsidR="007B3CFB">
          <w:rPr>
            <w:noProof/>
            <w:webHidden/>
          </w:rPr>
          <w:fldChar w:fldCharType="separate"/>
        </w:r>
        <w:r w:rsidR="00173A44">
          <w:rPr>
            <w:noProof/>
            <w:webHidden/>
          </w:rPr>
          <w:t>137</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28"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五</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特有风险</w:t>
        </w:r>
        <w:r w:rsidR="007B3CFB">
          <w:rPr>
            <w:noProof/>
            <w:webHidden/>
          </w:rPr>
          <w:tab/>
        </w:r>
        <w:r w:rsidR="007B3CFB">
          <w:rPr>
            <w:noProof/>
            <w:webHidden/>
          </w:rPr>
          <w:fldChar w:fldCharType="begin"/>
        </w:r>
        <w:r w:rsidR="007B3CFB">
          <w:rPr>
            <w:noProof/>
            <w:webHidden/>
          </w:rPr>
          <w:instrText xml:space="preserve"> PAGEREF _Toc86315928 \h </w:instrText>
        </w:r>
        <w:r w:rsidR="007B3CFB">
          <w:rPr>
            <w:noProof/>
            <w:webHidden/>
          </w:rPr>
        </w:r>
        <w:r w:rsidR="007B3CFB">
          <w:rPr>
            <w:noProof/>
            <w:webHidden/>
          </w:rPr>
          <w:fldChar w:fldCharType="separate"/>
        </w:r>
        <w:r w:rsidR="00173A44">
          <w:rPr>
            <w:noProof/>
            <w:webHidden/>
          </w:rPr>
          <w:t>138</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29"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六</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其他风险</w:t>
        </w:r>
        <w:r w:rsidR="007B3CFB">
          <w:rPr>
            <w:noProof/>
            <w:webHidden/>
          </w:rPr>
          <w:tab/>
        </w:r>
        <w:r w:rsidR="007B3CFB">
          <w:rPr>
            <w:noProof/>
            <w:webHidden/>
          </w:rPr>
          <w:fldChar w:fldCharType="begin"/>
        </w:r>
        <w:r w:rsidR="007B3CFB">
          <w:rPr>
            <w:noProof/>
            <w:webHidden/>
          </w:rPr>
          <w:instrText xml:space="preserve"> PAGEREF _Toc86315929 \h </w:instrText>
        </w:r>
        <w:r w:rsidR="007B3CFB">
          <w:rPr>
            <w:noProof/>
            <w:webHidden/>
          </w:rPr>
        </w:r>
        <w:r w:rsidR="007B3CFB">
          <w:rPr>
            <w:noProof/>
            <w:webHidden/>
          </w:rPr>
          <w:fldChar w:fldCharType="separate"/>
        </w:r>
        <w:r w:rsidR="00173A44">
          <w:rPr>
            <w:noProof/>
            <w:webHidden/>
          </w:rPr>
          <w:t>139</w:t>
        </w:r>
        <w:r w:rsidR="007B3CFB">
          <w:rPr>
            <w:noProof/>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930" w:history="1">
        <w:r w:rsidR="007B3CFB" w:rsidRPr="006D393E">
          <w:rPr>
            <w:rStyle w:val="a5"/>
            <w:rFonts w:asciiTheme="minorEastAsia" w:hAnsiTheme="minorEastAsia" w:hint="eastAsia"/>
          </w:rPr>
          <w:t>二十一、基金合同的变更、终止与基金财产的清算</w:t>
        </w:r>
        <w:r w:rsidR="007B3CFB">
          <w:rPr>
            <w:webHidden/>
          </w:rPr>
          <w:tab/>
        </w:r>
        <w:r w:rsidR="007B3CFB">
          <w:rPr>
            <w:webHidden/>
          </w:rPr>
          <w:fldChar w:fldCharType="begin"/>
        </w:r>
        <w:r w:rsidR="007B3CFB">
          <w:rPr>
            <w:webHidden/>
          </w:rPr>
          <w:instrText xml:space="preserve"> PAGEREF _Toc86315930 \h </w:instrText>
        </w:r>
        <w:r w:rsidR="007B3CFB">
          <w:rPr>
            <w:webHidden/>
          </w:rPr>
        </w:r>
        <w:r w:rsidR="007B3CFB">
          <w:rPr>
            <w:webHidden/>
          </w:rPr>
          <w:fldChar w:fldCharType="separate"/>
        </w:r>
        <w:r w:rsidR="00173A44">
          <w:rPr>
            <w:webHidden/>
          </w:rPr>
          <w:t>140</w:t>
        </w:r>
        <w:r w:rsidR="007B3CFB">
          <w:rPr>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31"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一</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基金合同的变更</w:t>
        </w:r>
        <w:r w:rsidR="007B3CFB">
          <w:rPr>
            <w:noProof/>
            <w:webHidden/>
          </w:rPr>
          <w:tab/>
        </w:r>
        <w:r w:rsidR="007B3CFB">
          <w:rPr>
            <w:noProof/>
            <w:webHidden/>
          </w:rPr>
          <w:fldChar w:fldCharType="begin"/>
        </w:r>
        <w:r w:rsidR="007B3CFB">
          <w:rPr>
            <w:noProof/>
            <w:webHidden/>
          </w:rPr>
          <w:instrText xml:space="preserve"> PAGEREF _Toc86315931 \h </w:instrText>
        </w:r>
        <w:r w:rsidR="007B3CFB">
          <w:rPr>
            <w:noProof/>
            <w:webHidden/>
          </w:rPr>
        </w:r>
        <w:r w:rsidR="007B3CFB">
          <w:rPr>
            <w:noProof/>
            <w:webHidden/>
          </w:rPr>
          <w:fldChar w:fldCharType="separate"/>
        </w:r>
        <w:r w:rsidR="00173A44">
          <w:rPr>
            <w:noProof/>
            <w:webHidden/>
          </w:rPr>
          <w:t>140</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32"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二</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基金合同的终止</w:t>
        </w:r>
        <w:r w:rsidR="007B3CFB">
          <w:rPr>
            <w:noProof/>
            <w:webHidden/>
          </w:rPr>
          <w:tab/>
        </w:r>
        <w:r w:rsidR="007B3CFB">
          <w:rPr>
            <w:noProof/>
            <w:webHidden/>
          </w:rPr>
          <w:fldChar w:fldCharType="begin"/>
        </w:r>
        <w:r w:rsidR="007B3CFB">
          <w:rPr>
            <w:noProof/>
            <w:webHidden/>
          </w:rPr>
          <w:instrText xml:space="preserve"> PAGEREF _Toc86315932 \h </w:instrText>
        </w:r>
        <w:r w:rsidR="007B3CFB">
          <w:rPr>
            <w:noProof/>
            <w:webHidden/>
          </w:rPr>
        </w:r>
        <w:r w:rsidR="007B3CFB">
          <w:rPr>
            <w:noProof/>
            <w:webHidden/>
          </w:rPr>
          <w:fldChar w:fldCharType="separate"/>
        </w:r>
        <w:r w:rsidR="00173A44">
          <w:rPr>
            <w:noProof/>
            <w:webHidden/>
          </w:rPr>
          <w:t>140</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33" w:history="1">
        <w:r w:rsidR="007B3CFB" w:rsidRPr="006D393E">
          <w:rPr>
            <w:rStyle w:val="a5"/>
            <w:rFonts w:asciiTheme="minorEastAsia" w:hAnsiTheme="minorEastAsia"/>
            <w:noProof/>
          </w:rPr>
          <w:t>(</w:t>
        </w:r>
        <w:r w:rsidR="007B3CFB" w:rsidRPr="006D393E">
          <w:rPr>
            <w:rStyle w:val="a5"/>
            <w:rFonts w:asciiTheme="minorEastAsia" w:hAnsiTheme="minorEastAsia" w:hint="eastAsia"/>
            <w:noProof/>
          </w:rPr>
          <w:t>三</w:t>
        </w:r>
        <w:r w:rsidR="007B3CFB" w:rsidRPr="006D393E">
          <w:rPr>
            <w:rStyle w:val="a5"/>
            <w:rFonts w:asciiTheme="minorEastAsia" w:hAnsiTheme="minorEastAsia"/>
            <w:noProof/>
          </w:rPr>
          <w:t>)</w:t>
        </w:r>
        <w:r w:rsidR="007B3CFB" w:rsidRPr="006D393E">
          <w:rPr>
            <w:rStyle w:val="a5"/>
            <w:rFonts w:asciiTheme="minorEastAsia" w:hAnsiTheme="minorEastAsia" w:hint="eastAsia"/>
            <w:noProof/>
          </w:rPr>
          <w:t>基金财产的清算</w:t>
        </w:r>
        <w:r w:rsidR="007B3CFB">
          <w:rPr>
            <w:noProof/>
            <w:webHidden/>
          </w:rPr>
          <w:tab/>
        </w:r>
        <w:r w:rsidR="007B3CFB">
          <w:rPr>
            <w:noProof/>
            <w:webHidden/>
          </w:rPr>
          <w:fldChar w:fldCharType="begin"/>
        </w:r>
        <w:r w:rsidR="007B3CFB">
          <w:rPr>
            <w:noProof/>
            <w:webHidden/>
          </w:rPr>
          <w:instrText xml:space="preserve"> PAGEREF _Toc86315933 \h </w:instrText>
        </w:r>
        <w:r w:rsidR="007B3CFB">
          <w:rPr>
            <w:noProof/>
            <w:webHidden/>
          </w:rPr>
        </w:r>
        <w:r w:rsidR="007B3CFB">
          <w:rPr>
            <w:noProof/>
            <w:webHidden/>
          </w:rPr>
          <w:fldChar w:fldCharType="separate"/>
        </w:r>
        <w:r w:rsidR="00173A44">
          <w:rPr>
            <w:noProof/>
            <w:webHidden/>
          </w:rPr>
          <w:t>141</w:t>
        </w:r>
        <w:r w:rsidR="007B3CFB">
          <w:rPr>
            <w:noProof/>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934" w:history="1">
        <w:r w:rsidR="007B3CFB" w:rsidRPr="006D393E">
          <w:rPr>
            <w:rStyle w:val="a5"/>
            <w:rFonts w:asciiTheme="minorEastAsia" w:hAnsiTheme="minorEastAsia" w:hint="eastAsia"/>
          </w:rPr>
          <w:t>二十二、基金合同的内容摘要</w:t>
        </w:r>
        <w:r w:rsidR="007B3CFB">
          <w:rPr>
            <w:webHidden/>
          </w:rPr>
          <w:tab/>
        </w:r>
        <w:r w:rsidR="007B3CFB">
          <w:rPr>
            <w:webHidden/>
          </w:rPr>
          <w:fldChar w:fldCharType="begin"/>
        </w:r>
        <w:r w:rsidR="007B3CFB">
          <w:rPr>
            <w:webHidden/>
          </w:rPr>
          <w:instrText xml:space="preserve"> PAGEREF _Toc86315934 \h </w:instrText>
        </w:r>
        <w:r w:rsidR="007B3CFB">
          <w:rPr>
            <w:webHidden/>
          </w:rPr>
        </w:r>
        <w:r w:rsidR="007B3CFB">
          <w:rPr>
            <w:webHidden/>
          </w:rPr>
          <w:fldChar w:fldCharType="separate"/>
        </w:r>
        <w:r w:rsidR="00173A44">
          <w:rPr>
            <w:webHidden/>
          </w:rPr>
          <w:t>143</w:t>
        </w:r>
        <w:r w:rsidR="007B3CFB">
          <w:rPr>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35"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一</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基金管理人的权利和义务</w:t>
        </w:r>
        <w:r w:rsidR="007B3CFB">
          <w:rPr>
            <w:noProof/>
            <w:webHidden/>
          </w:rPr>
          <w:tab/>
        </w:r>
        <w:r w:rsidR="007B3CFB">
          <w:rPr>
            <w:noProof/>
            <w:webHidden/>
          </w:rPr>
          <w:fldChar w:fldCharType="begin"/>
        </w:r>
        <w:r w:rsidR="007B3CFB">
          <w:rPr>
            <w:noProof/>
            <w:webHidden/>
          </w:rPr>
          <w:instrText xml:space="preserve"> PAGEREF _Toc86315935 \h </w:instrText>
        </w:r>
        <w:r w:rsidR="007B3CFB">
          <w:rPr>
            <w:noProof/>
            <w:webHidden/>
          </w:rPr>
        </w:r>
        <w:r w:rsidR="007B3CFB">
          <w:rPr>
            <w:noProof/>
            <w:webHidden/>
          </w:rPr>
          <w:fldChar w:fldCharType="separate"/>
        </w:r>
        <w:r w:rsidR="00173A44">
          <w:rPr>
            <w:noProof/>
            <w:webHidden/>
          </w:rPr>
          <w:t>143</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36"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二</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基金托管人的权利和义务</w:t>
        </w:r>
        <w:r w:rsidR="007B3CFB">
          <w:rPr>
            <w:noProof/>
            <w:webHidden/>
          </w:rPr>
          <w:tab/>
        </w:r>
        <w:r w:rsidR="007B3CFB">
          <w:rPr>
            <w:noProof/>
            <w:webHidden/>
          </w:rPr>
          <w:fldChar w:fldCharType="begin"/>
        </w:r>
        <w:r w:rsidR="007B3CFB">
          <w:rPr>
            <w:noProof/>
            <w:webHidden/>
          </w:rPr>
          <w:instrText xml:space="preserve"> PAGEREF _Toc86315936 \h </w:instrText>
        </w:r>
        <w:r w:rsidR="007B3CFB">
          <w:rPr>
            <w:noProof/>
            <w:webHidden/>
          </w:rPr>
        </w:r>
        <w:r w:rsidR="007B3CFB">
          <w:rPr>
            <w:noProof/>
            <w:webHidden/>
          </w:rPr>
          <w:fldChar w:fldCharType="separate"/>
        </w:r>
        <w:r w:rsidR="00173A44">
          <w:rPr>
            <w:noProof/>
            <w:webHidden/>
          </w:rPr>
          <w:t>145</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37"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三</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基金份额持有人的权利和义务</w:t>
        </w:r>
        <w:r w:rsidR="007B3CFB">
          <w:rPr>
            <w:noProof/>
            <w:webHidden/>
          </w:rPr>
          <w:tab/>
        </w:r>
        <w:r w:rsidR="007B3CFB">
          <w:rPr>
            <w:noProof/>
            <w:webHidden/>
          </w:rPr>
          <w:fldChar w:fldCharType="begin"/>
        </w:r>
        <w:r w:rsidR="007B3CFB">
          <w:rPr>
            <w:noProof/>
            <w:webHidden/>
          </w:rPr>
          <w:instrText xml:space="preserve"> PAGEREF _Toc86315937 \h </w:instrText>
        </w:r>
        <w:r w:rsidR="007B3CFB">
          <w:rPr>
            <w:noProof/>
            <w:webHidden/>
          </w:rPr>
        </w:r>
        <w:r w:rsidR="007B3CFB">
          <w:rPr>
            <w:noProof/>
            <w:webHidden/>
          </w:rPr>
          <w:fldChar w:fldCharType="separate"/>
        </w:r>
        <w:r w:rsidR="00173A44">
          <w:rPr>
            <w:noProof/>
            <w:webHidden/>
          </w:rPr>
          <w:t>146</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38"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四</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基金份额持有人大会</w:t>
        </w:r>
        <w:r w:rsidR="007B3CFB">
          <w:rPr>
            <w:noProof/>
            <w:webHidden/>
          </w:rPr>
          <w:tab/>
        </w:r>
        <w:r w:rsidR="007B3CFB">
          <w:rPr>
            <w:noProof/>
            <w:webHidden/>
          </w:rPr>
          <w:fldChar w:fldCharType="begin"/>
        </w:r>
        <w:r w:rsidR="007B3CFB">
          <w:rPr>
            <w:noProof/>
            <w:webHidden/>
          </w:rPr>
          <w:instrText xml:space="preserve"> PAGEREF _Toc86315938 \h </w:instrText>
        </w:r>
        <w:r w:rsidR="007B3CFB">
          <w:rPr>
            <w:noProof/>
            <w:webHidden/>
          </w:rPr>
        </w:r>
        <w:r w:rsidR="007B3CFB">
          <w:rPr>
            <w:noProof/>
            <w:webHidden/>
          </w:rPr>
          <w:fldChar w:fldCharType="separate"/>
        </w:r>
        <w:r w:rsidR="00173A44">
          <w:rPr>
            <w:noProof/>
            <w:webHidden/>
          </w:rPr>
          <w:t>147</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39"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五</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基金合同的变更、终止与基金财产的清算</w:t>
        </w:r>
        <w:r w:rsidR="007B3CFB">
          <w:rPr>
            <w:noProof/>
            <w:webHidden/>
          </w:rPr>
          <w:tab/>
        </w:r>
        <w:r w:rsidR="007B3CFB">
          <w:rPr>
            <w:noProof/>
            <w:webHidden/>
          </w:rPr>
          <w:fldChar w:fldCharType="begin"/>
        </w:r>
        <w:r w:rsidR="007B3CFB">
          <w:rPr>
            <w:noProof/>
            <w:webHidden/>
          </w:rPr>
          <w:instrText xml:space="preserve"> PAGEREF _Toc86315939 \h </w:instrText>
        </w:r>
        <w:r w:rsidR="007B3CFB">
          <w:rPr>
            <w:noProof/>
            <w:webHidden/>
          </w:rPr>
        </w:r>
        <w:r w:rsidR="007B3CFB">
          <w:rPr>
            <w:noProof/>
            <w:webHidden/>
          </w:rPr>
          <w:fldChar w:fldCharType="separate"/>
        </w:r>
        <w:r w:rsidR="00173A44">
          <w:rPr>
            <w:noProof/>
            <w:webHidden/>
          </w:rPr>
          <w:t>153</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40"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六</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争议的处理</w:t>
        </w:r>
        <w:r w:rsidR="007B3CFB">
          <w:rPr>
            <w:noProof/>
            <w:webHidden/>
          </w:rPr>
          <w:tab/>
        </w:r>
        <w:r w:rsidR="007B3CFB">
          <w:rPr>
            <w:noProof/>
            <w:webHidden/>
          </w:rPr>
          <w:fldChar w:fldCharType="begin"/>
        </w:r>
        <w:r w:rsidR="007B3CFB">
          <w:rPr>
            <w:noProof/>
            <w:webHidden/>
          </w:rPr>
          <w:instrText xml:space="preserve"> PAGEREF _Toc86315940 \h </w:instrText>
        </w:r>
        <w:r w:rsidR="007B3CFB">
          <w:rPr>
            <w:noProof/>
            <w:webHidden/>
          </w:rPr>
        </w:r>
        <w:r w:rsidR="007B3CFB">
          <w:rPr>
            <w:noProof/>
            <w:webHidden/>
          </w:rPr>
          <w:fldChar w:fldCharType="separate"/>
        </w:r>
        <w:r w:rsidR="00173A44">
          <w:rPr>
            <w:noProof/>
            <w:webHidden/>
          </w:rPr>
          <w:t>155</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41"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七</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基金合同的效力</w:t>
        </w:r>
        <w:r w:rsidR="007B3CFB">
          <w:rPr>
            <w:noProof/>
            <w:webHidden/>
          </w:rPr>
          <w:tab/>
        </w:r>
        <w:r w:rsidR="007B3CFB">
          <w:rPr>
            <w:noProof/>
            <w:webHidden/>
          </w:rPr>
          <w:fldChar w:fldCharType="begin"/>
        </w:r>
        <w:r w:rsidR="007B3CFB">
          <w:rPr>
            <w:noProof/>
            <w:webHidden/>
          </w:rPr>
          <w:instrText xml:space="preserve"> PAGEREF _Toc86315941 \h </w:instrText>
        </w:r>
        <w:r w:rsidR="007B3CFB">
          <w:rPr>
            <w:noProof/>
            <w:webHidden/>
          </w:rPr>
        </w:r>
        <w:r w:rsidR="007B3CFB">
          <w:rPr>
            <w:noProof/>
            <w:webHidden/>
          </w:rPr>
          <w:fldChar w:fldCharType="separate"/>
        </w:r>
        <w:r w:rsidR="00173A44">
          <w:rPr>
            <w:noProof/>
            <w:webHidden/>
          </w:rPr>
          <w:t>155</w:t>
        </w:r>
        <w:r w:rsidR="007B3CFB">
          <w:rPr>
            <w:noProof/>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942" w:history="1">
        <w:r w:rsidR="007B3CFB" w:rsidRPr="006D393E">
          <w:rPr>
            <w:rStyle w:val="a5"/>
            <w:rFonts w:asciiTheme="minorEastAsia" w:hAnsiTheme="minorEastAsia" w:hint="eastAsia"/>
          </w:rPr>
          <w:t>二十三、基金托管协议的内容摘要</w:t>
        </w:r>
        <w:r w:rsidR="007B3CFB">
          <w:rPr>
            <w:webHidden/>
          </w:rPr>
          <w:tab/>
        </w:r>
        <w:r w:rsidR="007B3CFB">
          <w:rPr>
            <w:webHidden/>
          </w:rPr>
          <w:fldChar w:fldCharType="begin"/>
        </w:r>
        <w:r w:rsidR="007B3CFB">
          <w:rPr>
            <w:webHidden/>
          </w:rPr>
          <w:instrText xml:space="preserve"> PAGEREF _Toc86315942 \h </w:instrText>
        </w:r>
        <w:r w:rsidR="007B3CFB">
          <w:rPr>
            <w:webHidden/>
          </w:rPr>
        </w:r>
        <w:r w:rsidR="007B3CFB">
          <w:rPr>
            <w:webHidden/>
          </w:rPr>
          <w:fldChar w:fldCharType="separate"/>
        </w:r>
        <w:r w:rsidR="00173A44">
          <w:rPr>
            <w:webHidden/>
          </w:rPr>
          <w:t>157</w:t>
        </w:r>
        <w:r w:rsidR="007B3CFB">
          <w:rPr>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43"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一</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托管协议当事人</w:t>
        </w:r>
        <w:r w:rsidR="007B3CFB">
          <w:rPr>
            <w:noProof/>
            <w:webHidden/>
          </w:rPr>
          <w:tab/>
        </w:r>
        <w:r w:rsidR="007B3CFB">
          <w:rPr>
            <w:noProof/>
            <w:webHidden/>
          </w:rPr>
          <w:fldChar w:fldCharType="begin"/>
        </w:r>
        <w:r w:rsidR="007B3CFB">
          <w:rPr>
            <w:noProof/>
            <w:webHidden/>
          </w:rPr>
          <w:instrText xml:space="preserve"> PAGEREF _Toc86315943 \h </w:instrText>
        </w:r>
        <w:r w:rsidR="007B3CFB">
          <w:rPr>
            <w:noProof/>
            <w:webHidden/>
          </w:rPr>
        </w:r>
        <w:r w:rsidR="007B3CFB">
          <w:rPr>
            <w:noProof/>
            <w:webHidden/>
          </w:rPr>
          <w:fldChar w:fldCharType="separate"/>
        </w:r>
        <w:r w:rsidR="00173A44">
          <w:rPr>
            <w:noProof/>
            <w:webHidden/>
          </w:rPr>
          <w:t>157</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44"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二</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基金托管人对基金管理人的业务监督、核查</w:t>
        </w:r>
        <w:r w:rsidR="007B3CFB">
          <w:rPr>
            <w:noProof/>
            <w:webHidden/>
          </w:rPr>
          <w:tab/>
        </w:r>
        <w:r w:rsidR="007B3CFB">
          <w:rPr>
            <w:noProof/>
            <w:webHidden/>
          </w:rPr>
          <w:fldChar w:fldCharType="begin"/>
        </w:r>
        <w:r w:rsidR="007B3CFB">
          <w:rPr>
            <w:noProof/>
            <w:webHidden/>
          </w:rPr>
          <w:instrText xml:space="preserve"> PAGEREF _Toc86315944 \h </w:instrText>
        </w:r>
        <w:r w:rsidR="007B3CFB">
          <w:rPr>
            <w:noProof/>
            <w:webHidden/>
          </w:rPr>
        </w:r>
        <w:r w:rsidR="007B3CFB">
          <w:rPr>
            <w:noProof/>
            <w:webHidden/>
          </w:rPr>
          <w:fldChar w:fldCharType="separate"/>
        </w:r>
        <w:r w:rsidR="00173A44">
          <w:rPr>
            <w:noProof/>
            <w:webHidden/>
          </w:rPr>
          <w:t>157</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45"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三</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基金管理人对基金托管人的业务核查</w:t>
        </w:r>
        <w:r w:rsidR="007B3CFB">
          <w:rPr>
            <w:noProof/>
            <w:webHidden/>
          </w:rPr>
          <w:tab/>
        </w:r>
        <w:r w:rsidR="007B3CFB">
          <w:rPr>
            <w:noProof/>
            <w:webHidden/>
          </w:rPr>
          <w:fldChar w:fldCharType="begin"/>
        </w:r>
        <w:r w:rsidR="007B3CFB">
          <w:rPr>
            <w:noProof/>
            <w:webHidden/>
          </w:rPr>
          <w:instrText xml:space="preserve"> PAGEREF _Toc86315945 \h </w:instrText>
        </w:r>
        <w:r w:rsidR="007B3CFB">
          <w:rPr>
            <w:noProof/>
            <w:webHidden/>
          </w:rPr>
        </w:r>
        <w:r w:rsidR="007B3CFB">
          <w:rPr>
            <w:noProof/>
            <w:webHidden/>
          </w:rPr>
          <w:fldChar w:fldCharType="separate"/>
        </w:r>
        <w:r w:rsidR="00173A44">
          <w:rPr>
            <w:noProof/>
            <w:webHidden/>
          </w:rPr>
          <w:t>162</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46"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四</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基金财产的保管</w:t>
        </w:r>
        <w:r w:rsidR="007B3CFB">
          <w:rPr>
            <w:noProof/>
            <w:webHidden/>
          </w:rPr>
          <w:tab/>
        </w:r>
        <w:r w:rsidR="007B3CFB">
          <w:rPr>
            <w:noProof/>
            <w:webHidden/>
          </w:rPr>
          <w:fldChar w:fldCharType="begin"/>
        </w:r>
        <w:r w:rsidR="007B3CFB">
          <w:rPr>
            <w:noProof/>
            <w:webHidden/>
          </w:rPr>
          <w:instrText xml:space="preserve"> PAGEREF _Toc86315946 \h </w:instrText>
        </w:r>
        <w:r w:rsidR="007B3CFB">
          <w:rPr>
            <w:noProof/>
            <w:webHidden/>
          </w:rPr>
        </w:r>
        <w:r w:rsidR="007B3CFB">
          <w:rPr>
            <w:noProof/>
            <w:webHidden/>
          </w:rPr>
          <w:fldChar w:fldCharType="separate"/>
        </w:r>
        <w:r w:rsidR="00173A44">
          <w:rPr>
            <w:noProof/>
            <w:webHidden/>
          </w:rPr>
          <w:t>163</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47"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五</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基金资产净值计算与复核</w:t>
        </w:r>
        <w:r w:rsidR="007B3CFB">
          <w:rPr>
            <w:noProof/>
            <w:webHidden/>
          </w:rPr>
          <w:tab/>
        </w:r>
        <w:r w:rsidR="007B3CFB">
          <w:rPr>
            <w:noProof/>
            <w:webHidden/>
          </w:rPr>
          <w:fldChar w:fldCharType="begin"/>
        </w:r>
        <w:r w:rsidR="007B3CFB">
          <w:rPr>
            <w:noProof/>
            <w:webHidden/>
          </w:rPr>
          <w:instrText xml:space="preserve"> PAGEREF _Toc86315947 \h </w:instrText>
        </w:r>
        <w:r w:rsidR="007B3CFB">
          <w:rPr>
            <w:noProof/>
            <w:webHidden/>
          </w:rPr>
        </w:r>
        <w:r w:rsidR="007B3CFB">
          <w:rPr>
            <w:noProof/>
            <w:webHidden/>
          </w:rPr>
          <w:fldChar w:fldCharType="separate"/>
        </w:r>
        <w:r w:rsidR="00173A44">
          <w:rPr>
            <w:noProof/>
            <w:webHidden/>
          </w:rPr>
          <w:t>165</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48"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六</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基金份额持有人名册的保管</w:t>
        </w:r>
        <w:r w:rsidR="007B3CFB">
          <w:rPr>
            <w:noProof/>
            <w:webHidden/>
          </w:rPr>
          <w:tab/>
        </w:r>
        <w:r w:rsidR="007B3CFB">
          <w:rPr>
            <w:noProof/>
            <w:webHidden/>
          </w:rPr>
          <w:fldChar w:fldCharType="begin"/>
        </w:r>
        <w:r w:rsidR="007B3CFB">
          <w:rPr>
            <w:noProof/>
            <w:webHidden/>
          </w:rPr>
          <w:instrText xml:space="preserve"> PAGEREF _Toc86315948 \h </w:instrText>
        </w:r>
        <w:r w:rsidR="007B3CFB">
          <w:rPr>
            <w:noProof/>
            <w:webHidden/>
          </w:rPr>
        </w:r>
        <w:r w:rsidR="007B3CFB">
          <w:rPr>
            <w:noProof/>
            <w:webHidden/>
          </w:rPr>
          <w:fldChar w:fldCharType="separate"/>
        </w:r>
        <w:r w:rsidR="00173A44">
          <w:rPr>
            <w:noProof/>
            <w:webHidden/>
          </w:rPr>
          <w:t>169</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49"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七</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适用法律与争议解决方式</w:t>
        </w:r>
        <w:r w:rsidR="007B3CFB">
          <w:rPr>
            <w:noProof/>
            <w:webHidden/>
          </w:rPr>
          <w:tab/>
        </w:r>
        <w:r w:rsidR="007B3CFB">
          <w:rPr>
            <w:noProof/>
            <w:webHidden/>
          </w:rPr>
          <w:fldChar w:fldCharType="begin"/>
        </w:r>
        <w:r w:rsidR="007B3CFB">
          <w:rPr>
            <w:noProof/>
            <w:webHidden/>
          </w:rPr>
          <w:instrText xml:space="preserve"> PAGEREF _Toc86315949 \h </w:instrText>
        </w:r>
        <w:r w:rsidR="007B3CFB">
          <w:rPr>
            <w:noProof/>
            <w:webHidden/>
          </w:rPr>
        </w:r>
        <w:r w:rsidR="007B3CFB">
          <w:rPr>
            <w:noProof/>
            <w:webHidden/>
          </w:rPr>
          <w:fldChar w:fldCharType="separate"/>
        </w:r>
        <w:r w:rsidR="00173A44">
          <w:rPr>
            <w:noProof/>
            <w:webHidden/>
          </w:rPr>
          <w:t>169</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50"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八</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托管协议的变更与终止</w:t>
        </w:r>
        <w:r w:rsidR="007B3CFB">
          <w:rPr>
            <w:noProof/>
            <w:webHidden/>
          </w:rPr>
          <w:tab/>
        </w:r>
        <w:r w:rsidR="007B3CFB">
          <w:rPr>
            <w:noProof/>
            <w:webHidden/>
          </w:rPr>
          <w:fldChar w:fldCharType="begin"/>
        </w:r>
        <w:r w:rsidR="007B3CFB">
          <w:rPr>
            <w:noProof/>
            <w:webHidden/>
          </w:rPr>
          <w:instrText xml:space="preserve"> PAGEREF _Toc86315950 \h </w:instrText>
        </w:r>
        <w:r w:rsidR="007B3CFB">
          <w:rPr>
            <w:noProof/>
            <w:webHidden/>
          </w:rPr>
        </w:r>
        <w:r w:rsidR="007B3CFB">
          <w:rPr>
            <w:noProof/>
            <w:webHidden/>
          </w:rPr>
          <w:fldChar w:fldCharType="separate"/>
        </w:r>
        <w:r w:rsidR="00173A44">
          <w:rPr>
            <w:noProof/>
            <w:webHidden/>
          </w:rPr>
          <w:t>169</w:t>
        </w:r>
        <w:r w:rsidR="007B3CFB">
          <w:rPr>
            <w:noProof/>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951" w:history="1">
        <w:r w:rsidR="007B3CFB" w:rsidRPr="006D393E">
          <w:rPr>
            <w:rStyle w:val="a5"/>
            <w:rFonts w:asciiTheme="minorEastAsia" w:hAnsiTheme="minorEastAsia" w:hint="eastAsia"/>
          </w:rPr>
          <w:t>二十四、对基金份额持有人的服务</w:t>
        </w:r>
        <w:r w:rsidR="007B3CFB">
          <w:rPr>
            <w:webHidden/>
          </w:rPr>
          <w:tab/>
        </w:r>
        <w:r w:rsidR="007B3CFB">
          <w:rPr>
            <w:webHidden/>
          </w:rPr>
          <w:fldChar w:fldCharType="begin"/>
        </w:r>
        <w:r w:rsidR="007B3CFB">
          <w:rPr>
            <w:webHidden/>
          </w:rPr>
          <w:instrText xml:space="preserve"> PAGEREF _Toc86315951 \h </w:instrText>
        </w:r>
        <w:r w:rsidR="007B3CFB">
          <w:rPr>
            <w:webHidden/>
          </w:rPr>
        </w:r>
        <w:r w:rsidR="007B3CFB">
          <w:rPr>
            <w:webHidden/>
          </w:rPr>
          <w:fldChar w:fldCharType="separate"/>
        </w:r>
        <w:r w:rsidR="00173A44">
          <w:rPr>
            <w:webHidden/>
          </w:rPr>
          <w:t>170</w:t>
        </w:r>
        <w:r w:rsidR="007B3CFB">
          <w:rPr>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52"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一</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基金份额持有人投资交易确认服务</w:t>
        </w:r>
        <w:r w:rsidR="007B3CFB">
          <w:rPr>
            <w:noProof/>
            <w:webHidden/>
          </w:rPr>
          <w:tab/>
        </w:r>
        <w:r w:rsidR="007B3CFB">
          <w:rPr>
            <w:noProof/>
            <w:webHidden/>
          </w:rPr>
          <w:fldChar w:fldCharType="begin"/>
        </w:r>
        <w:r w:rsidR="007B3CFB">
          <w:rPr>
            <w:noProof/>
            <w:webHidden/>
          </w:rPr>
          <w:instrText xml:space="preserve"> PAGEREF _Toc86315952 \h </w:instrText>
        </w:r>
        <w:r w:rsidR="007B3CFB">
          <w:rPr>
            <w:noProof/>
            <w:webHidden/>
          </w:rPr>
        </w:r>
        <w:r w:rsidR="007B3CFB">
          <w:rPr>
            <w:noProof/>
            <w:webHidden/>
          </w:rPr>
          <w:fldChar w:fldCharType="separate"/>
        </w:r>
        <w:r w:rsidR="00173A44">
          <w:rPr>
            <w:noProof/>
            <w:webHidden/>
          </w:rPr>
          <w:t>170</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53"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二</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基金份额持有人交易记录查询服务</w:t>
        </w:r>
        <w:r w:rsidR="007B3CFB">
          <w:rPr>
            <w:noProof/>
            <w:webHidden/>
          </w:rPr>
          <w:tab/>
        </w:r>
        <w:r w:rsidR="007B3CFB">
          <w:rPr>
            <w:noProof/>
            <w:webHidden/>
          </w:rPr>
          <w:fldChar w:fldCharType="begin"/>
        </w:r>
        <w:r w:rsidR="007B3CFB">
          <w:rPr>
            <w:noProof/>
            <w:webHidden/>
          </w:rPr>
          <w:instrText xml:space="preserve"> PAGEREF _Toc86315953 \h </w:instrText>
        </w:r>
        <w:r w:rsidR="007B3CFB">
          <w:rPr>
            <w:noProof/>
            <w:webHidden/>
          </w:rPr>
        </w:r>
        <w:r w:rsidR="007B3CFB">
          <w:rPr>
            <w:noProof/>
            <w:webHidden/>
          </w:rPr>
          <w:fldChar w:fldCharType="separate"/>
        </w:r>
        <w:r w:rsidR="00173A44">
          <w:rPr>
            <w:noProof/>
            <w:webHidden/>
          </w:rPr>
          <w:t>170</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54"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三</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基金管理人的对账单服务形式</w:t>
        </w:r>
        <w:r w:rsidR="007B3CFB">
          <w:rPr>
            <w:noProof/>
            <w:webHidden/>
          </w:rPr>
          <w:tab/>
        </w:r>
        <w:r w:rsidR="007B3CFB">
          <w:rPr>
            <w:noProof/>
            <w:webHidden/>
          </w:rPr>
          <w:fldChar w:fldCharType="begin"/>
        </w:r>
        <w:r w:rsidR="007B3CFB">
          <w:rPr>
            <w:noProof/>
            <w:webHidden/>
          </w:rPr>
          <w:instrText xml:space="preserve"> PAGEREF _Toc86315954 \h </w:instrText>
        </w:r>
        <w:r w:rsidR="007B3CFB">
          <w:rPr>
            <w:noProof/>
            <w:webHidden/>
          </w:rPr>
        </w:r>
        <w:r w:rsidR="007B3CFB">
          <w:rPr>
            <w:noProof/>
            <w:webHidden/>
          </w:rPr>
          <w:fldChar w:fldCharType="separate"/>
        </w:r>
        <w:r w:rsidR="00173A44">
          <w:rPr>
            <w:noProof/>
            <w:webHidden/>
          </w:rPr>
          <w:t>170</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55"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四</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定期定额投资计划</w:t>
        </w:r>
        <w:r w:rsidR="007B3CFB">
          <w:rPr>
            <w:noProof/>
            <w:webHidden/>
          </w:rPr>
          <w:tab/>
        </w:r>
        <w:r w:rsidR="007B3CFB">
          <w:rPr>
            <w:noProof/>
            <w:webHidden/>
          </w:rPr>
          <w:fldChar w:fldCharType="begin"/>
        </w:r>
        <w:r w:rsidR="007B3CFB">
          <w:rPr>
            <w:noProof/>
            <w:webHidden/>
          </w:rPr>
          <w:instrText xml:space="preserve"> PAGEREF _Toc86315955 \h </w:instrText>
        </w:r>
        <w:r w:rsidR="007B3CFB">
          <w:rPr>
            <w:noProof/>
            <w:webHidden/>
          </w:rPr>
        </w:r>
        <w:r w:rsidR="007B3CFB">
          <w:rPr>
            <w:noProof/>
            <w:webHidden/>
          </w:rPr>
          <w:fldChar w:fldCharType="separate"/>
        </w:r>
        <w:r w:rsidR="00173A44">
          <w:rPr>
            <w:noProof/>
            <w:webHidden/>
          </w:rPr>
          <w:t>170</w:t>
        </w:r>
        <w:r w:rsidR="007B3CFB">
          <w:rPr>
            <w:noProof/>
            <w:webHidden/>
          </w:rPr>
          <w:fldChar w:fldCharType="end"/>
        </w:r>
      </w:hyperlink>
    </w:p>
    <w:p w:rsidR="007B3CFB" w:rsidRDefault="004A189E">
      <w:pPr>
        <w:pStyle w:val="20"/>
        <w:tabs>
          <w:tab w:val="right" w:leader="dot" w:pos="8296"/>
        </w:tabs>
        <w:ind w:firstLine="420"/>
        <w:rPr>
          <w:rFonts w:asciiTheme="minorHAnsi" w:eastAsiaTheme="minorEastAsia" w:hAnsiTheme="minorHAnsi" w:cstheme="minorBidi"/>
          <w:smallCaps w:val="0"/>
          <w:noProof/>
          <w:szCs w:val="22"/>
        </w:rPr>
      </w:pPr>
      <w:hyperlink w:anchor="_Toc86315956" w:history="1">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五</w:t>
        </w:r>
        <w:r w:rsidR="007B3CFB" w:rsidRPr="006D393E">
          <w:rPr>
            <w:rStyle w:val="a5"/>
            <w:rFonts w:asciiTheme="minorEastAsia" w:hAnsiTheme="minorEastAsia"/>
            <w:bCs/>
            <w:noProof/>
          </w:rPr>
          <w:t>)</w:t>
        </w:r>
        <w:r w:rsidR="007B3CFB" w:rsidRPr="006D393E">
          <w:rPr>
            <w:rStyle w:val="a5"/>
            <w:rFonts w:asciiTheme="minorEastAsia" w:hAnsiTheme="minorEastAsia" w:hint="eastAsia"/>
            <w:bCs/>
            <w:noProof/>
          </w:rPr>
          <w:t>资讯服务</w:t>
        </w:r>
        <w:r w:rsidR="007B3CFB">
          <w:rPr>
            <w:noProof/>
            <w:webHidden/>
          </w:rPr>
          <w:tab/>
        </w:r>
        <w:r w:rsidR="007B3CFB">
          <w:rPr>
            <w:noProof/>
            <w:webHidden/>
          </w:rPr>
          <w:fldChar w:fldCharType="begin"/>
        </w:r>
        <w:r w:rsidR="007B3CFB">
          <w:rPr>
            <w:noProof/>
            <w:webHidden/>
          </w:rPr>
          <w:instrText xml:space="preserve"> PAGEREF _Toc86315956 \h </w:instrText>
        </w:r>
        <w:r w:rsidR="007B3CFB">
          <w:rPr>
            <w:noProof/>
            <w:webHidden/>
          </w:rPr>
        </w:r>
        <w:r w:rsidR="007B3CFB">
          <w:rPr>
            <w:noProof/>
            <w:webHidden/>
          </w:rPr>
          <w:fldChar w:fldCharType="separate"/>
        </w:r>
        <w:r w:rsidR="00173A44">
          <w:rPr>
            <w:noProof/>
            <w:webHidden/>
          </w:rPr>
          <w:t>170</w:t>
        </w:r>
        <w:r w:rsidR="007B3CFB">
          <w:rPr>
            <w:noProof/>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957" w:history="1">
        <w:r w:rsidR="007B3CFB" w:rsidRPr="006D393E">
          <w:rPr>
            <w:rStyle w:val="a5"/>
            <w:rFonts w:asciiTheme="minorEastAsia" w:hAnsiTheme="minorEastAsia" w:hint="eastAsia"/>
          </w:rPr>
          <w:t>二十五、其他应披露事项</w:t>
        </w:r>
        <w:r w:rsidR="007B3CFB">
          <w:rPr>
            <w:webHidden/>
          </w:rPr>
          <w:tab/>
        </w:r>
        <w:r w:rsidR="007B3CFB">
          <w:rPr>
            <w:webHidden/>
          </w:rPr>
          <w:fldChar w:fldCharType="begin"/>
        </w:r>
        <w:r w:rsidR="007B3CFB">
          <w:rPr>
            <w:webHidden/>
          </w:rPr>
          <w:instrText xml:space="preserve"> PAGEREF _Toc86315957 \h </w:instrText>
        </w:r>
        <w:r w:rsidR="007B3CFB">
          <w:rPr>
            <w:webHidden/>
          </w:rPr>
        </w:r>
        <w:r w:rsidR="007B3CFB">
          <w:rPr>
            <w:webHidden/>
          </w:rPr>
          <w:fldChar w:fldCharType="separate"/>
        </w:r>
        <w:r w:rsidR="00173A44">
          <w:rPr>
            <w:webHidden/>
          </w:rPr>
          <w:t>171</w:t>
        </w:r>
        <w:r w:rsidR="007B3CFB">
          <w:rPr>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958" w:history="1">
        <w:r w:rsidR="007B3CFB" w:rsidRPr="006D393E">
          <w:rPr>
            <w:rStyle w:val="a5"/>
            <w:rFonts w:asciiTheme="minorEastAsia" w:hAnsiTheme="minorEastAsia" w:hint="eastAsia"/>
          </w:rPr>
          <w:t>二十六、招募说明书的存放及查阅方式</w:t>
        </w:r>
        <w:r w:rsidR="007B3CFB">
          <w:rPr>
            <w:webHidden/>
          </w:rPr>
          <w:tab/>
        </w:r>
        <w:r w:rsidR="007B3CFB">
          <w:rPr>
            <w:webHidden/>
          </w:rPr>
          <w:fldChar w:fldCharType="begin"/>
        </w:r>
        <w:r w:rsidR="007B3CFB">
          <w:rPr>
            <w:webHidden/>
          </w:rPr>
          <w:instrText xml:space="preserve"> PAGEREF _Toc86315958 \h </w:instrText>
        </w:r>
        <w:r w:rsidR="007B3CFB">
          <w:rPr>
            <w:webHidden/>
          </w:rPr>
        </w:r>
        <w:r w:rsidR="007B3CFB">
          <w:rPr>
            <w:webHidden/>
          </w:rPr>
          <w:fldChar w:fldCharType="separate"/>
        </w:r>
        <w:r w:rsidR="00173A44">
          <w:rPr>
            <w:webHidden/>
          </w:rPr>
          <w:t>173</w:t>
        </w:r>
        <w:r w:rsidR="007B3CFB">
          <w:rPr>
            <w:webHidden/>
          </w:rPr>
          <w:fldChar w:fldCharType="end"/>
        </w:r>
      </w:hyperlink>
    </w:p>
    <w:p w:rsidR="007B3CFB" w:rsidRDefault="004A189E">
      <w:pPr>
        <w:pStyle w:val="10"/>
        <w:rPr>
          <w:rFonts w:asciiTheme="minorHAnsi" w:eastAsiaTheme="minorEastAsia" w:hAnsiTheme="minorHAnsi" w:cstheme="minorBidi"/>
          <w:caps w:val="0"/>
          <w:color w:val="auto"/>
          <w:sz w:val="21"/>
          <w:szCs w:val="22"/>
        </w:rPr>
      </w:pPr>
      <w:hyperlink w:anchor="_Toc86315959" w:history="1">
        <w:r w:rsidR="007B3CFB" w:rsidRPr="006D393E">
          <w:rPr>
            <w:rStyle w:val="a5"/>
            <w:rFonts w:asciiTheme="minorEastAsia" w:hAnsiTheme="minorEastAsia" w:hint="eastAsia"/>
          </w:rPr>
          <w:t>二十七、备查文件</w:t>
        </w:r>
        <w:r w:rsidR="007B3CFB">
          <w:rPr>
            <w:webHidden/>
          </w:rPr>
          <w:tab/>
        </w:r>
        <w:r w:rsidR="007B3CFB">
          <w:rPr>
            <w:webHidden/>
          </w:rPr>
          <w:fldChar w:fldCharType="begin"/>
        </w:r>
        <w:r w:rsidR="007B3CFB">
          <w:rPr>
            <w:webHidden/>
          </w:rPr>
          <w:instrText xml:space="preserve"> PAGEREF _Toc86315959 \h </w:instrText>
        </w:r>
        <w:r w:rsidR="007B3CFB">
          <w:rPr>
            <w:webHidden/>
          </w:rPr>
        </w:r>
        <w:r w:rsidR="007B3CFB">
          <w:rPr>
            <w:webHidden/>
          </w:rPr>
          <w:fldChar w:fldCharType="separate"/>
        </w:r>
        <w:r w:rsidR="00173A44">
          <w:rPr>
            <w:webHidden/>
          </w:rPr>
          <w:t>174</w:t>
        </w:r>
        <w:r w:rsidR="007B3CFB">
          <w:rPr>
            <w:webHidden/>
          </w:rPr>
          <w:fldChar w:fldCharType="end"/>
        </w:r>
      </w:hyperlink>
    </w:p>
    <w:p w:rsidR="00BA4B87" w:rsidRPr="00D6191E" w:rsidRDefault="00E76546" w:rsidP="000449FE">
      <w:pPr>
        <w:snapToGrid w:val="0"/>
        <w:spacing w:line="360" w:lineRule="auto"/>
        <w:ind w:firstLine="560"/>
        <w:jc w:val="center"/>
        <w:rPr>
          <w:rFonts w:asciiTheme="minorEastAsia" w:eastAsiaTheme="minorEastAsia" w:hAnsiTheme="minorEastAsia"/>
        </w:rPr>
        <w:sectPr w:rsidR="00BA4B87" w:rsidRPr="00D6191E" w:rsidSect="00D6191E">
          <w:footerReference w:type="default" r:id="rId15"/>
          <w:pgSz w:w="11906" w:h="16838" w:code="9"/>
          <w:pgMar w:top="1440" w:right="1800" w:bottom="1440" w:left="1800" w:header="1134" w:footer="1247" w:gutter="0"/>
          <w:pgNumType w:fmt="upperRoman" w:start="1"/>
          <w:cols w:space="720"/>
          <w:docGrid w:type="lines" w:linePitch="447"/>
        </w:sectPr>
      </w:pPr>
      <w:r w:rsidRPr="00D6191E">
        <w:rPr>
          <w:rFonts w:asciiTheme="minorEastAsia" w:eastAsiaTheme="minorEastAsia" w:hAnsiTheme="minorEastAsia" w:hint="eastAsia"/>
          <w:b/>
          <w:noProof/>
          <w:sz w:val="24"/>
          <w:szCs w:val="28"/>
        </w:rPr>
        <w:fldChar w:fldCharType="end"/>
      </w:r>
    </w:p>
    <w:p w:rsidR="00BA4B87" w:rsidRPr="00D6191E" w:rsidRDefault="00BA4B87" w:rsidP="004D6C82">
      <w:pPr>
        <w:pStyle w:val="11"/>
        <w:snapToGrid w:val="0"/>
        <w:spacing w:beforeLines="0" w:afterLines="0" w:line="360" w:lineRule="auto"/>
        <w:ind w:firstLine="600"/>
        <w:rPr>
          <w:rFonts w:asciiTheme="minorEastAsia" w:eastAsiaTheme="minorEastAsia" w:hAnsiTheme="minorEastAsia"/>
          <w:b w:val="0"/>
          <w:sz w:val="30"/>
        </w:rPr>
      </w:pPr>
      <w:bookmarkStart w:id="0" w:name="_Toc86315827"/>
      <w:r w:rsidRPr="00D6191E">
        <w:rPr>
          <w:rFonts w:asciiTheme="minorEastAsia" w:eastAsiaTheme="minorEastAsia" w:hAnsiTheme="minorEastAsia" w:hint="eastAsia"/>
          <w:b w:val="0"/>
          <w:sz w:val="30"/>
        </w:rPr>
        <w:lastRenderedPageBreak/>
        <w:t>一、</w:t>
      </w:r>
      <w:r w:rsidRPr="00D6191E">
        <w:rPr>
          <w:rFonts w:asciiTheme="minorEastAsia" w:eastAsiaTheme="minorEastAsia" w:hAnsiTheme="minorEastAsia" w:hint="eastAsia"/>
          <w:b w:val="0"/>
        </w:rPr>
        <w:t>绪言</w:t>
      </w:r>
      <w:bookmarkEnd w:id="0"/>
    </w:p>
    <w:p w:rsidR="00BA4B87" w:rsidRPr="00D6191E" w:rsidRDefault="00BA4B87" w:rsidP="000449FE">
      <w:pPr>
        <w:autoSpaceDE w:val="0"/>
        <w:autoSpaceDN w:val="0"/>
        <w:adjustRightInd w:val="0"/>
        <w:snapToGrid w:val="0"/>
        <w:spacing w:line="360" w:lineRule="auto"/>
        <w:ind w:firstLine="420"/>
        <w:rPr>
          <w:rFonts w:asciiTheme="minorEastAsia" w:eastAsiaTheme="minorEastAsia" w:hAnsiTheme="minorEastAsia"/>
        </w:rPr>
      </w:pPr>
      <w:r w:rsidRPr="00D6191E">
        <w:rPr>
          <w:rFonts w:asciiTheme="minorEastAsia" w:eastAsiaTheme="minorEastAsia" w:hAnsiTheme="minorEastAsia" w:hint="eastAsia"/>
        </w:rPr>
        <w:t>本招募说明书依据《中华人民共和国证券投资基金法》(以下简称《基金法》)、《证券投资基金运作管理办法》(以下简称《运作办法》)、《证券投资基金销售管理办法》(以下简称《销售办法》)、《</w:t>
      </w:r>
      <w:r w:rsidR="00F44B20" w:rsidRPr="00D6191E">
        <w:rPr>
          <w:rFonts w:asciiTheme="minorEastAsia" w:eastAsiaTheme="minorEastAsia" w:hAnsiTheme="minorEastAsia" w:hint="eastAsia"/>
        </w:rPr>
        <w:t>公开募集</w:t>
      </w:r>
      <w:r w:rsidRPr="00D6191E">
        <w:rPr>
          <w:rFonts w:asciiTheme="minorEastAsia" w:eastAsiaTheme="minorEastAsia" w:hAnsiTheme="minorEastAsia" w:hint="eastAsia"/>
        </w:rPr>
        <w:t>证券投资基金信息披露管理办法》(以下简称《信息披露办法》)、《证券投资基金信息披露内容与格式准则第5号&lt;招募说明书的内容与格式&gt;》</w:t>
      </w:r>
      <w:r w:rsidR="00501E00" w:rsidRPr="00D6191E">
        <w:rPr>
          <w:rFonts w:asciiTheme="minorEastAsia" w:eastAsiaTheme="minorEastAsia" w:hAnsiTheme="minorEastAsia" w:hint="eastAsia"/>
        </w:rPr>
        <w:t>、《公开募集开放式证券投资基金流动性风险管理规定》（以下简称“《管理规定》”）</w:t>
      </w:r>
      <w:r w:rsidRPr="00D6191E">
        <w:rPr>
          <w:rFonts w:asciiTheme="minorEastAsia" w:eastAsiaTheme="minorEastAsia" w:hAnsiTheme="minorEastAsia" w:hint="eastAsia"/>
        </w:rPr>
        <w:t>、《易方达双债增强债券型证券投资基金基金合同》(以下简称基金合同)及其它有关规定等编写。</w:t>
      </w:r>
    </w:p>
    <w:p w:rsidR="00BA4B87" w:rsidRPr="00D6191E" w:rsidRDefault="00BA4B87" w:rsidP="000449FE">
      <w:pPr>
        <w:snapToGrid w:val="0"/>
        <w:spacing w:line="360" w:lineRule="auto"/>
        <w:ind w:firstLine="482"/>
        <w:rPr>
          <w:rFonts w:asciiTheme="minorEastAsia" w:eastAsiaTheme="minorEastAsia" w:hAnsiTheme="minorEastAsia"/>
        </w:rPr>
      </w:pPr>
      <w:r w:rsidRPr="00D6191E">
        <w:rPr>
          <w:rStyle w:val="da"/>
          <w:rFonts w:asciiTheme="minorEastAsia" w:eastAsiaTheme="minorEastAsia" w:hAnsiTheme="minorEastAsia"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D6191E" w:rsidRDefault="00BA4B87" w:rsidP="000449FE">
      <w:pPr>
        <w:snapToGrid w:val="0"/>
        <w:spacing w:line="360" w:lineRule="auto"/>
        <w:ind w:firstLine="482"/>
        <w:rPr>
          <w:rStyle w:val="da"/>
          <w:rFonts w:asciiTheme="minorEastAsia" w:eastAsiaTheme="minorEastAsia" w:hAnsiTheme="minorEastAsia"/>
        </w:rPr>
      </w:pPr>
      <w:r w:rsidRPr="00D6191E">
        <w:rPr>
          <w:rStyle w:val="da"/>
          <w:rFonts w:asciiTheme="minorEastAsia" w:eastAsiaTheme="minorEastAsia" w:hAnsiTheme="minorEastAsia"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D6191E" w:rsidRDefault="00BA4B87" w:rsidP="000449FE">
      <w:pPr>
        <w:snapToGrid w:val="0"/>
        <w:spacing w:line="360" w:lineRule="auto"/>
        <w:ind w:firstLine="482"/>
        <w:rPr>
          <w:rFonts w:asciiTheme="minorEastAsia" w:eastAsiaTheme="minorEastAsia" w:hAnsiTheme="minorEastAsia"/>
        </w:rPr>
      </w:pPr>
    </w:p>
    <w:p w:rsidR="00BA4B87" w:rsidRPr="00D6191E" w:rsidRDefault="00BA4B87" w:rsidP="000449FE">
      <w:pPr>
        <w:snapToGrid w:val="0"/>
        <w:spacing w:line="360" w:lineRule="auto"/>
        <w:ind w:firstLine="482"/>
        <w:rPr>
          <w:rFonts w:asciiTheme="minorEastAsia" w:eastAsiaTheme="minorEastAsia" w:hAnsiTheme="minorEastAsia"/>
        </w:rPr>
      </w:pPr>
    </w:p>
    <w:p w:rsidR="00BA4B87" w:rsidRPr="00D6191E" w:rsidRDefault="00BA4B87" w:rsidP="000449FE">
      <w:pPr>
        <w:snapToGrid w:val="0"/>
        <w:spacing w:line="360" w:lineRule="auto"/>
        <w:ind w:firstLine="482"/>
        <w:rPr>
          <w:rFonts w:asciiTheme="minorEastAsia" w:eastAsiaTheme="minorEastAsia" w:hAnsiTheme="minorEastAsia"/>
        </w:rPr>
      </w:pPr>
    </w:p>
    <w:p w:rsidR="00BA4B87" w:rsidRPr="00D6191E" w:rsidRDefault="00BA4B87" w:rsidP="000449FE">
      <w:pPr>
        <w:snapToGrid w:val="0"/>
        <w:spacing w:line="360" w:lineRule="auto"/>
        <w:ind w:firstLine="482"/>
        <w:rPr>
          <w:rFonts w:asciiTheme="minorEastAsia" w:eastAsiaTheme="minorEastAsia" w:hAnsiTheme="minorEastAsia"/>
        </w:rPr>
      </w:pPr>
    </w:p>
    <w:p w:rsidR="00BA4B87" w:rsidRPr="00D6191E" w:rsidRDefault="00BA4B87" w:rsidP="000449FE">
      <w:pPr>
        <w:snapToGrid w:val="0"/>
        <w:spacing w:line="360" w:lineRule="auto"/>
        <w:ind w:firstLine="482"/>
        <w:rPr>
          <w:rFonts w:asciiTheme="minorEastAsia" w:eastAsiaTheme="minorEastAsia" w:hAnsiTheme="minorEastAsia"/>
        </w:rPr>
      </w:pPr>
    </w:p>
    <w:p w:rsidR="00BA4B87" w:rsidRPr="00D6191E" w:rsidRDefault="00BA4B87" w:rsidP="000449FE">
      <w:pPr>
        <w:snapToGrid w:val="0"/>
        <w:spacing w:line="360" w:lineRule="auto"/>
        <w:ind w:firstLine="482"/>
        <w:rPr>
          <w:rFonts w:asciiTheme="minorEastAsia" w:eastAsiaTheme="minorEastAsia" w:hAnsiTheme="minorEastAsia"/>
        </w:rPr>
      </w:pPr>
    </w:p>
    <w:p w:rsidR="00BA4B87" w:rsidRPr="00D6191E" w:rsidRDefault="00BA4B87" w:rsidP="000449FE">
      <w:pPr>
        <w:snapToGrid w:val="0"/>
        <w:spacing w:line="360" w:lineRule="auto"/>
        <w:ind w:firstLine="482"/>
        <w:rPr>
          <w:rFonts w:asciiTheme="minorEastAsia" w:eastAsiaTheme="minorEastAsia" w:hAnsiTheme="minorEastAsia"/>
        </w:rPr>
      </w:pPr>
    </w:p>
    <w:p w:rsidR="00BA4B87" w:rsidRPr="00D6191E" w:rsidRDefault="00BA4B87" w:rsidP="000449FE">
      <w:pPr>
        <w:snapToGrid w:val="0"/>
        <w:spacing w:line="360" w:lineRule="auto"/>
        <w:ind w:firstLine="482"/>
        <w:rPr>
          <w:rFonts w:asciiTheme="minorEastAsia" w:eastAsiaTheme="minorEastAsia" w:hAnsiTheme="minorEastAsia"/>
        </w:rPr>
      </w:pPr>
    </w:p>
    <w:p w:rsidR="00BA4B87" w:rsidRPr="00D6191E" w:rsidRDefault="00BA4B87" w:rsidP="000449FE">
      <w:pPr>
        <w:snapToGrid w:val="0"/>
        <w:spacing w:line="360" w:lineRule="auto"/>
        <w:ind w:firstLine="482"/>
        <w:rPr>
          <w:rFonts w:asciiTheme="minorEastAsia" w:eastAsiaTheme="minorEastAsia" w:hAnsiTheme="minorEastAsia"/>
        </w:rPr>
      </w:pPr>
    </w:p>
    <w:p w:rsidR="00BA4B87" w:rsidRPr="00D6191E" w:rsidRDefault="00BA4B87" w:rsidP="000449FE">
      <w:pPr>
        <w:snapToGrid w:val="0"/>
        <w:spacing w:line="360" w:lineRule="auto"/>
        <w:ind w:firstLine="482"/>
        <w:rPr>
          <w:rFonts w:asciiTheme="minorEastAsia" w:eastAsiaTheme="minorEastAsia" w:hAnsiTheme="minorEastAsia"/>
        </w:rPr>
      </w:pPr>
    </w:p>
    <w:p w:rsidR="00BA4B87" w:rsidRPr="00D6191E" w:rsidRDefault="00BA4B87" w:rsidP="000449FE">
      <w:pPr>
        <w:snapToGrid w:val="0"/>
        <w:spacing w:line="360" w:lineRule="auto"/>
        <w:ind w:firstLine="482"/>
        <w:rPr>
          <w:rFonts w:asciiTheme="minorEastAsia" w:eastAsiaTheme="minorEastAsia" w:hAnsiTheme="minorEastAsia"/>
        </w:rPr>
      </w:pPr>
    </w:p>
    <w:p w:rsidR="00BA4B87" w:rsidRPr="00D6191E" w:rsidRDefault="00BA4B87" w:rsidP="000449FE">
      <w:pPr>
        <w:snapToGrid w:val="0"/>
        <w:spacing w:line="360" w:lineRule="auto"/>
        <w:ind w:firstLine="482"/>
        <w:rPr>
          <w:rFonts w:asciiTheme="minorEastAsia" w:eastAsiaTheme="minorEastAsia" w:hAnsiTheme="minorEastAsia"/>
        </w:rPr>
      </w:pPr>
    </w:p>
    <w:p w:rsidR="00BA4B87" w:rsidRPr="00D6191E" w:rsidRDefault="00BA4B87" w:rsidP="000449FE">
      <w:pPr>
        <w:snapToGrid w:val="0"/>
        <w:spacing w:line="360" w:lineRule="auto"/>
        <w:ind w:firstLine="482"/>
        <w:rPr>
          <w:rFonts w:asciiTheme="minorEastAsia" w:eastAsiaTheme="minorEastAsia" w:hAnsiTheme="minorEastAsia"/>
        </w:rPr>
      </w:pPr>
    </w:p>
    <w:p w:rsidR="00BA4B87" w:rsidRPr="00D6191E" w:rsidRDefault="00BA4B87" w:rsidP="000449FE">
      <w:pPr>
        <w:snapToGrid w:val="0"/>
        <w:spacing w:line="360" w:lineRule="auto"/>
        <w:ind w:firstLine="482"/>
        <w:rPr>
          <w:rFonts w:asciiTheme="minorEastAsia" w:eastAsiaTheme="minorEastAsia" w:hAnsiTheme="minorEastAsia"/>
        </w:rPr>
      </w:pPr>
    </w:p>
    <w:p w:rsidR="00BA4B87" w:rsidRPr="00D6191E" w:rsidRDefault="00BA4B87" w:rsidP="000449FE">
      <w:pPr>
        <w:snapToGrid w:val="0"/>
        <w:spacing w:line="360" w:lineRule="auto"/>
        <w:ind w:firstLine="482"/>
        <w:rPr>
          <w:rFonts w:asciiTheme="minorEastAsia" w:eastAsiaTheme="minorEastAsia" w:hAnsiTheme="minorEastAsia"/>
        </w:rPr>
      </w:pPr>
    </w:p>
    <w:p w:rsidR="00BA4B87" w:rsidRPr="00D6191E" w:rsidRDefault="00BA4B87" w:rsidP="000449FE">
      <w:pPr>
        <w:snapToGrid w:val="0"/>
        <w:spacing w:line="360" w:lineRule="auto"/>
        <w:ind w:firstLine="482"/>
        <w:rPr>
          <w:rFonts w:asciiTheme="minorEastAsia" w:eastAsiaTheme="minorEastAsia" w:hAnsiTheme="minorEastAsia"/>
        </w:rPr>
      </w:pPr>
    </w:p>
    <w:p w:rsidR="00BA4B87" w:rsidRPr="00D6191E" w:rsidRDefault="00BA4B87" w:rsidP="000449FE">
      <w:pPr>
        <w:snapToGrid w:val="0"/>
        <w:spacing w:line="360" w:lineRule="auto"/>
        <w:ind w:firstLine="482"/>
        <w:rPr>
          <w:rFonts w:asciiTheme="minorEastAsia" w:eastAsiaTheme="minorEastAsia" w:hAnsiTheme="minorEastAsia"/>
        </w:rPr>
      </w:pPr>
    </w:p>
    <w:p w:rsidR="00BA4B87" w:rsidRPr="00D6191E" w:rsidRDefault="00BA4B87" w:rsidP="004D6C82">
      <w:pPr>
        <w:pStyle w:val="111"/>
        <w:pageBreakBefore w:val="0"/>
        <w:snapToGrid w:val="0"/>
        <w:spacing w:beforeLines="0" w:afterLines="0" w:line="360" w:lineRule="auto"/>
        <w:ind w:firstLine="600"/>
        <w:rPr>
          <w:rFonts w:asciiTheme="minorEastAsia" w:eastAsiaTheme="minorEastAsia" w:hAnsiTheme="minorEastAsia"/>
          <w:sz w:val="30"/>
        </w:rPr>
      </w:pPr>
      <w:bookmarkStart w:id="1" w:name="_Toc86315828"/>
      <w:r w:rsidRPr="00D6191E">
        <w:rPr>
          <w:rFonts w:asciiTheme="minorEastAsia" w:eastAsiaTheme="minorEastAsia" w:hAnsiTheme="minorEastAsia" w:hint="eastAsia"/>
          <w:sz w:val="30"/>
        </w:rPr>
        <w:lastRenderedPageBreak/>
        <w:t>二、释义</w:t>
      </w:r>
      <w:bookmarkEnd w:id="1"/>
    </w:p>
    <w:p w:rsidR="00BA4B87" w:rsidRPr="00D6191E" w:rsidRDefault="00BA4B87" w:rsidP="000449FE">
      <w:pPr>
        <w:snapToGrid w:val="0"/>
        <w:spacing w:line="360" w:lineRule="auto"/>
        <w:ind w:firstLineChars="100" w:firstLine="210"/>
        <w:rPr>
          <w:rFonts w:asciiTheme="minorEastAsia" w:eastAsiaTheme="minorEastAsia" w:hAnsiTheme="minorEastAsia"/>
          <w:szCs w:val="21"/>
        </w:rPr>
      </w:pPr>
      <w:r w:rsidRPr="00D6191E">
        <w:rPr>
          <w:rFonts w:asciiTheme="minorEastAsia" w:eastAsiaTheme="minorEastAsia" w:hAnsiTheme="minorEastAsia" w:hint="eastAsia"/>
          <w:szCs w:val="21"/>
        </w:rPr>
        <w:t>本招募说明书中除非文意另有所指，下列词语有如下含义：</w:t>
      </w:r>
    </w:p>
    <w:tbl>
      <w:tblPr>
        <w:tblW w:w="0" w:type="auto"/>
        <w:tblInd w:w="250" w:type="dxa"/>
        <w:tblLayout w:type="fixed"/>
        <w:tblLook w:val="0000" w:firstRow="0" w:lastRow="0" w:firstColumn="0" w:lastColumn="0" w:noHBand="0" w:noVBand="0"/>
      </w:tblPr>
      <w:tblGrid>
        <w:gridCol w:w="2552"/>
        <w:gridCol w:w="5601"/>
      </w:tblGrid>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基金或本基金：</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指易方达双债增强债券型证券投资基金；</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基金合同或本基金合同：</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指《易方达双债增强债券型证券投资基金基金合同》及对基金合同的任何有效修订和补充；</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招募说明书：</w:t>
            </w:r>
          </w:p>
          <w:p w:rsidR="00F44B20" w:rsidRPr="00D6191E" w:rsidRDefault="00F44B20" w:rsidP="000449FE">
            <w:pPr>
              <w:snapToGrid w:val="0"/>
              <w:spacing w:line="360" w:lineRule="auto"/>
              <w:rPr>
                <w:rFonts w:asciiTheme="minorEastAsia" w:eastAsiaTheme="minorEastAsia" w:hAnsiTheme="minorEastAsia"/>
                <w:szCs w:val="21"/>
              </w:rPr>
            </w:pPr>
          </w:p>
          <w:p w:rsidR="00F44B20" w:rsidRPr="00D6191E" w:rsidRDefault="00F44B20"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基金产品资料概要</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指《易方达双债增强债券型证券投资基金招募说明书》及其更新；</w:t>
            </w:r>
          </w:p>
          <w:p w:rsidR="00F44B20" w:rsidRPr="00D6191E" w:rsidRDefault="00F44B20"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指《易方达双债增强债券型证券投资基金基金产品资料概要》及其更新</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发售公告：</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指《易方达双债增强债券型证券投资基金基金份额发售公告》</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托管协议：</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指《易方达双债增强债券型证券投资基金托管协议》及其任何有效修订和补充；</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中国证监会：</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指中国证券监督管理委员会；</w:t>
            </w:r>
          </w:p>
        </w:tc>
      </w:tr>
      <w:tr w:rsidR="00D6191E" w:rsidRPr="00D6191E" w:rsidTr="00BA4B87">
        <w:tc>
          <w:tcPr>
            <w:tcW w:w="2552" w:type="dxa"/>
          </w:tcPr>
          <w:p w:rsidR="00BA4B87" w:rsidRPr="00D6191E" w:rsidRDefault="00501E00"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kern w:val="0"/>
                <w:szCs w:val="21"/>
              </w:rPr>
              <w:t>银行业监督管理机构</w:t>
            </w:r>
            <w:r w:rsidR="00BA4B87" w:rsidRPr="00D6191E">
              <w:rPr>
                <w:rFonts w:asciiTheme="minorEastAsia" w:eastAsiaTheme="minorEastAsia" w:hAnsiTheme="minorEastAsia" w:hint="eastAsia"/>
                <w:szCs w:val="21"/>
              </w:rPr>
              <w:t>：</w:t>
            </w:r>
          </w:p>
        </w:tc>
        <w:tc>
          <w:tcPr>
            <w:tcW w:w="5601" w:type="dxa"/>
          </w:tcPr>
          <w:p w:rsidR="00BA4B87" w:rsidRPr="00D6191E" w:rsidRDefault="00501E00" w:rsidP="00501E00">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w:t>
            </w:r>
            <w:r w:rsidR="00F45D20" w:rsidRPr="00D6191E">
              <w:rPr>
                <w:rStyle w:val="da"/>
                <w:rFonts w:asciiTheme="minorEastAsia" w:eastAsiaTheme="minorEastAsia" w:hAnsiTheme="minorEastAsia" w:hint="eastAsia"/>
              </w:rPr>
              <w:t>中国人民银行和/或</w:t>
            </w:r>
            <w:r w:rsidRPr="00D6191E">
              <w:rPr>
                <w:rFonts w:asciiTheme="minorEastAsia" w:eastAsiaTheme="minorEastAsia" w:hAnsiTheme="minorEastAsia" w:hint="eastAsia"/>
                <w:kern w:val="0"/>
                <w:szCs w:val="21"/>
              </w:rPr>
              <w:t>中国银行保险监督管理委员会</w:t>
            </w:r>
            <w:r w:rsidR="00BA4B87" w:rsidRPr="00D6191E">
              <w:rPr>
                <w:rFonts w:asciiTheme="minorEastAsia" w:eastAsiaTheme="minorEastAsia" w:hAnsiTheme="minorEastAsia" w:hint="eastAsia"/>
                <w:kern w:val="0"/>
                <w:szCs w:val="21"/>
              </w:rPr>
              <w:t>；</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《基金法》：</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指2003年10月28日经第十届全国人民代表大会常务委员会第五次会议通过的自2004年6月1日起实施的《中华人民共和国证券投资基金法》及不时做出的修订；</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《销售办法》：</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w:t>
            </w:r>
            <w:r w:rsidR="0098771B" w:rsidRPr="00D6191E">
              <w:rPr>
                <w:rFonts w:asciiTheme="minorEastAsia" w:eastAsiaTheme="minorEastAsia" w:hAnsiTheme="minorEastAsia" w:hint="eastAsia"/>
                <w:szCs w:val="21"/>
              </w:rPr>
              <w:t>中国证监会</w:t>
            </w:r>
            <w:r w:rsidR="0098771B" w:rsidRPr="00D6191E">
              <w:rPr>
                <w:rFonts w:asciiTheme="minorEastAsia" w:eastAsiaTheme="minorEastAsia" w:hAnsiTheme="minorEastAsia"/>
                <w:szCs w:val="21"/>
              </w:rPr>
              <w:t>2010</w:t>
            </w:r>
            <w:r w:rsidR="0098771B" w:rsidRPr="00D6191E">
              <w:rPr>
                <w:rFonts w:asciiTheme="minorEastAsia" w:eastAsiaTheme="minorEastAsia" w:hAnsiTheme="minorEastAsia" w:hint="eastAsia"/>
                <w:szCs w:val="21"/>
              </w:rPr>
              <w:t>年</w:t>
            </w:r>
            <w:r w:rsidR="0098771B" w:rsidRPr="00D6191E">
              <w:rPr>
                <w:rFonts w:asciiTheme="minorEastAsia" w:eastAsiaTheme="minorEastAsia" w:hAnsiTheme="minorEastAsia"/>
                <w:szCs w:val="21"/>
              </w:rPr>
              <w:t>10</w:t>
            </w:r>
            <w:r w:rsidR="0098771B" w:rsidRPr="00D6191E">
              <w:rPr>
                <w:rFonts w:asciiTheme="minorEastAsia" w:eastAsiaTheme="minorEastAsia" w:hAnsiTheme="minorEastAsia" w:hint="eastAsia"/>
                <w:szCs w:val="21"/>
              </w:rPr>
              <w:t>月</w:t>
            </w:r>
            <w:r w:rsidR="0098771B" w:rsidRPr="00D6191E">
              <w:rPr>
                <w:rFonts w:asciiTheme="minorEastAsia" w:eastAsiaTheme="minorEastAsia" w:hAnsiTheme="minorEastAsia"/>
                <w:szCs w:val="21"/>
              </w:rPr>
              <w:t>25</w:t>
            </w:r>
            <w:r w:rsidR="0098771B" w:rsidRPr="00D6191E">
              <w:rPr>
                <w:rFonts w:asciiTheme="minorEastAsia" w:eastAsiaTheme="minorEastAsia" w:hAnsiTheme="minorEastAsia" w:hint="eastAsia"/>
                <w:szCs w:val="21"/>
              </w:rPr>
              <w:t>日修订，</w:t>
            </w:r>
            <w:r w:rsidR="0098771B" w:rsidRPr="00D6191E">
              <w:rPr>
                <w:rFonts w:asciiTheme="minorEastAsia" w:eastAsiaTheme="minorEastAsia" w:hAnsiTheme="minorEastAsia"/>
                <w:szCs w:val="21"/>
              </w:rPr>
              <w:t>2011</w:t>
            </w:r>
            <w:r w:rsidR="0098771B" w:rsidRPr="00D6191E">
              <w:rPr>
                <w:rFonts w:asciiTheme="minorEastAsia" w:eastAsiaTheme="minorEastAsia" w:hAnsiTheme="minorEastAsia" w:hint="eastAsia"/>
                <w:szCs w:val="21"/>
              </w:rPr>
              <w:t>年</w:t>
            </w:r>
            <w:r w:rsidR="0098771B" w:rsidRPr="00D6191E">
              <w:rPr>
                <w:rFonts w:asciiTheme="minorEastAsia" w:eastAsiaTheme="minorEastAsia" w:hAnsiTheme="minorEastAsia"/>
                <w:szCs w:val="21"/>
              </w:rPr>
              <w:t>10</w:t>
            </w:r>
            <w:r w:rsidR="0098771B" w:rsidRPr="00D6191E">
              <w:rPr>
                <w:rFonts w:asciiTheme="minorEastAsia" w:eastAsiaTheme="minorEastAsia" w:hAnsiTheme="minorEastAsia" w:hint="eastAsia"/>
                <w:szCs w:val="21"/>
              </w:rPr>
              <w:t>月</w:t>
            </w:r>
            <w:r w:rsidR="0098771B" w:rsidRPr="00D6191E">
              <w:rPr>
                <w:rFonts w:asciiTheme="minorEastAsia" w:eastAsiaTheme="minorEastAsia" w:hAnsiTheme="minorEastAsia"/>
                <w:szCs w:val="21"/>
              </w:rPr>
              <w:t>1</w:t>
            </w:r>
            <w:r w:rsidR="0098771B" w:rsidRPr="00D6191E">
              <w:rPr>
                <w:rFonts w:asciiTheme="minorEastAsia" w:eastAsiaTheme="minorEastAsia" w:hAnsiTheme="minorEastAsia" w:hint="eastAsia"/>
                <w:szCs w:val="21"/>
              </w:rPr>
              <w:t>日实施的</w:t>
            </w:r>
            <w:r w:rsidRPr="00D6191E">
              <w:rPr>
                <w:rFonts w:asciiTheme="minorEastAsia" w:eastAsiaTheme="minorEastAsia" w:hAnsiTheme="minorEastAsia" w:hint="eastAsia"/>
                <w:kern w:val="0"/>
                <w:szCs w:val="21"/>
              </w:rPr>
              <w:t>《证券投资基金销售管理办法》及不时做出的修订；</w:t>
            </w:r>
          </w:p>
        </w:tc>
      </w:tr>
      <w:tr w:rsidR="00D6191E" w:rsidRPr="00D6191E" w:rsidTr="004C0F6D">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《运作办法》：</w:t>
            </w:r>
          </w:p>
          <w:p w:rsidR="00501E00" w:rsidRPr="00D6191E" w:rsidRDefault="00501E00" w:rsidP="000449FE">
            <w:pPr>
              <w:snapToGrid w:val="0"/>
              <w:spacing w:line="360" w:lineRule="auto"/>
              <w:rPr>
                <w:rFonts w:asciiTheme="minorEastAsia" w:eastAsiaTheme="minorEastAsia" w:hAnsiTheme="minorEastAsia"/>
                <w:szCs w:val="21"/>
              </w:rPr>
            </w:pPr>
          </w:p>
          <w:p w:rsidR="00501E00" w:rsidRPr="00D6191E" w:rsidRDefault="00501E00" w:rsidP="000449FE">
            <w:pPr>
              <w:snapToGrid w:val="0"/>
              <w:spacing w:line="360" w:lineRule="auto"/>
              <w:rPr>
                <w:rFonts w:asciiTheme="minorEastAsia" w:eastAsiaTheme="minorEastAsia" w:hAnsiTheme="minorEastAsia"/>
                <w:szCs w:val="21"/>
              </w:rPr>
            </w:pPr>
          </w:p>
          <w:p w:rsidR="00501E00" w:rsidRPr="00D6191E" w:rsidRDefault="00501E00"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kern w:val="0"/>
                <w:szCs w:val="21"/>
              </w:rPr>
              <w:t>《管理规定</w:t>
            </w:r>
            <w:r w:rsidRPr="00D6191E">
              <w:rPr>
                <w:rFonts w:asciiTheme="minorEastAsia" w:eastAsiaTheme="minorEastAsia" w:hAnsiTheme="minorEastAsia"/>
                <w:szCs w:val="21"/>
              </w:rPr>
              <w:t>》：</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指2004年6月29日由中国证监会公布并于2004年7月1日起实施的《证券投资基金运作管理办法》及不时做出的修订；</w:t>
            </w:r>
          </w:p>
          <w:p w:rsidR="00501E00" w:rsidRPr="00D6191E" w:rsidRDefault="00501E00"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指中国证监会2017年8月31日颁布、同年10月1日实施的《公开募集开放式证券投资基金流动性风险管理规定》及颁布机关对其不时做出的修订</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《信息披露办法》：</w:t>
            </w:r>
          </w:p>
        </w:tc>
        <w:tc>
          <w:tcPr>
            <w:tcW w:w="5601" w:type="dxa"/>
          </w:tcPr>
          <w:p w:rsidR="00BA4B87" w:rsidRPr="00D6191E" w:rsidRDefault="00F44B20"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指中国证监会2019年7月26日颁布、同年9月1日实施的《公开募集证券投资基金信息披露管理办法》及颁布机关对其不时做出的修订</w:t>
            </w:r>
            <w:r w:rsidR="00BA4B87" w:rsidRPr="00D6191E">
              <w:rPr>
                <w:rFonts w:asciiTheme="minorEastAsia" w:eastAsiaTheme="minorEastAsia" w:hAnsiTheme="minorEastAsia" w:hint="eastAsia"/>
                <w:kern w:val="0"/>
                <w:szCs w:val="21"/>
              </w:rPr>
              <w:t>；</w:t>
            </w:r>
          </w:p>
        </w:tc>
      </w:tr>
      <w:tr w:rsidR="00D6191E" w:rsidRPr="00D6191E" w:rsidTr="004C0F6D">
        <w:trPr>
          <w:trHeight w:val="585"/>
        </w:trPr>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《业务规则》：</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《易方达基金管理有限公司开放式基金业务规则》</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元：</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指人民币元；</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基金管理人：</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指易方达基金管理有限公司；</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基金托管人：</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指中国建设银行股份有限公司；</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kern w:val="0"/>
                <w:szCs w:val="21"/>
              </w:rPr>
              <w:lastRenderedPageBreak/>
              <w:t>注册登记业务：</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基金登记、存管、过户、清算和结算业务，具体内容包括投资人基金账户的建立和管理、基金份额注册登记、基金销售业务的确认、清算和结算、代理发放红利、建立并保管基金份额持有人名册、办理非交易过户业务等；</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kern w:val="0"/>
                <w:szCs w:val="21"/>
              </w:rPr>
              <w:t>基金注册登记机构：</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指办理注册登记业务的机构。基金的注册登记机构为易方达基金管理有限公司或接受易方达基金管理有限公司委托代为办理注册登记业务的机构；</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投资者：</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指个人投资者、机构投资者、合格境外机构投资者和法律法规或中国证监会允许购买开放式证券投资基金的其他投资者的总称；</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个人投资者：</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指依据有关法律法规规定可投资于证券投资基金的自然人；</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机构投资者：</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指依法可以投资开放式证券投资基金的、在中华人民共和国境内合法注册登记并存续或经有关政府部门批准设立并存续的企业法人、事业法人、社会团体或其他组织；</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合格境外机构投资者：</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指符合现实有效的相关法律法规规定可以投资于中国境内证券市场的中国境外的机构投资者；</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基金份额持有人大会：</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指按照本基金合同第九部分之规定召集、召开并由基金份额持有人或其合法的代理人进行表决的会议；</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基金募集期：</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指自基金份额发售之日起至发售结束之日止的期间，最长不得超过3个月；</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基金合同生效日：</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指基金募集达到法律法规规定及基金合同规定的条件，基金管理人向中国证监会办理基金备案手续完毕，并获得中国证监会书面确认的日期；</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存续期：</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指基金合同生效至终止之间的不定期期限；</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日/天：</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指公历日</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月：</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指公历月</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kern w:val="0"/>
                <w:szCs w:val="21"/>
              </w:rPr>
              <w:t>工作日、交易日：</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指上海证券交易所、深圳证券交易所的正常交易日；</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认购：</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指在基金募集期内，投资人按基金合同和招募说明书的规定申请购买基金份额的行为；</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发售：</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指在本基金募集期内，销售机构向投资者销售本基金份额的行为；</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kern w:val="0"/>
                <w:szCs w:val="21"/>
              </w:rPr>
              <w:t>申购：</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指基金合同生效后，投资人根据基金合同和招募说明书的规定申请购买基金份额的行为；</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赎回：</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指基金合同生效后，基金份额持有人按基金合同和招募说明</w:t>
            </w:r>
            <w:r w:rsidRPr="00D6191E">
              <w:rPr>
                <w:rFonts w:asciiTheme="minorEastAsia" w:eastAsiaTheme="minorEastAsia" w:hAnsiTheme="minorEastAsia" w:hint="eastAsia"/>
                <w:kern w:val="0"/>
                <w:szCs w:val="21"/>
              </w:rPr>
              <w:lastRenderedPageBreak/>
              <w:t>书规定的条件要求将基金份额兑换为现金的行为；</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lastRenderedPageBreak/>
              <w:t>巨额赎回：</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本基金单个开放日，基金净赎回申请(赎回申请份额总数加上基金转换中转出申请份额总数后扣除申购申请份额总数及基金转换中转入申请份额总数后的余额)超过上一开放日基金总份额的10%；</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基金转换：</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指基金份额持有人按照本基金合同和基金管理人届时有效公告规定的条件，申请将其持有基金管理人管理的、某一基金的基金份额转换为基金管理人管理的其他基金基金份额的行为；</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A类份额</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指在投资者认购/申购基金时收取认购/申购费用，在赎回时根据持有期限收取赎回费用，并不再从本类别基金资产中计提销售服务费的基金份额；</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C类份额</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指从本类别基金资产中计提销售服务费、不收取认购/申购费用，但对持有期限少于30日的本类别基金份额的赎回收取赎回费的基金份额；</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定期定额投资计划：</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指投资人通过有关销售机构提出申请，约定每期申购日、申购金额及扣款方式，由该销售机构于每期约定申购日在投资人指定银行账户内自动完成扣款及受理基金申购申请的一种投资方式；</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指令：</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指基金管理人在运用基金财产进行投资时，向基金托管人发出的资金划拨及实物券调拨等指令；</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kern w:val="0"/>
                <w:szCs w:val="21"/>
              </w:rPr>
              <w:t>基金</w:t>
            </w:r>
            <w:r w:rsidR="00AE5F53" w:rsidRPr="00D6191E">
              <w:rPr>
                <w:rFonts w:asciiTheme="minorEastAsia" w:eastAsiaTheme="minorEastAsia" w:hAnsiTheme="minorEastAsia" w:hint="eastAsia"/>
                <w:kern w:val="0"/>
                <w:szCs w:val="21"/>
              </w:rPr>
              <w:t>非直销销售</w:t>
            </w:r>
            <w:r w:rsidRPr="00D6191E">
              <w:rPr>
                <w:rFonts w:asciiTheme="minorEastAsia" w:eastAsiaTheme="minorEastAsia" w:hAnsiTheme="minorEastAsia" w:hint="eastAsia"/>
                <w:kern w:val="0"/>
                <w:szCs w:val="21"/>
              </w:rPr>
              <w:t>机构：</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指符合《销售办法》和中国证监会规定的其他条件，取得基金</w:t>
            </w:r>
            <w:r w:rsidR="00AE5F53" w:rsidRPr="00D6191E">
              <w:rPr>
                <w:rFonts w:asciiTheme="minorEastAsia" w:eastAsiaTheme="minorEastAsia" w:hAnsiTheme="minorEastAsia" w:hint="eastAsia"/>
                <w:kern w:val="0"/>
                <w:szCs w:val="21"/>
              </w:rPr>
              <w:t>销售</w:t>
            </w:r>
            <w:r w:rsidRPr="00D6191E">
              <w:rPr>
                <w:rFonts w:asciiTheme="minorEastAsia" w:eastAsiaTheme="minorEastAsia" w:hAnsiTheme="minorEastAsia" w:hint="eastAsia"/>
                <w:kern w:val="0"/>
                <w:szCs w:val="21"/>
              </w:rPr>
              <w:t>业务资格并</w:t>
            </w:r>
            <w:r w:rsidR="00DF00DA" w:rsidRPr="00D6191E">
              <w:rPr>
                <w:rFonts w:asciiTheme="minorEastAsia" w:eastAsiaTheme="minorEastAsia" w:hAnsiTheme="minorEastAsia" w:hint="eastAsia"/>
                <w:kern w:val="0"/>
                <w:szCs w:val="21"/>
              </w:rPr>
              <w:t>与基金管理人签订了基金销售服务协议</w:t>
            </w:r>
            <w:r w:rsidRPr="00D6191E">
              <w:rPr>
                <w:rFonts w:asciiTheme="minorEastAsia" w:eastAsiaTheme="minorEastAsia" w:hAnsiTheme="minorEastAsia" w:hint="eastAsia"/>
                <w:kern w:val="0"/>
                <w:szCs w:val="21"/>
              </w:rPr>
              <w:t>，办理基金销售业务的机构；</w:t>
            </w:r>
          </w:p>
        </w:tc>
      </w:tr>
      <w:tr w:rsidR="00D6191E" w:rsidRPr="00D6191E" w:rsidTr="00BA4B87">
        <w:tc>
          <w:tcPr>
            <w:tcW w:w="2552" w:type="dxa"/>
          </w:tcPr>
          <w:p w:rsidR="006A317B" w:rsidRPr="00D6191E" w:rsidRDefault="006A317B"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直销机构</w:t>
            </w:r>
          </w:p>
        </w:tc>
        <w:tc>
          <w:tcPr>
            <w:tcW w:w="5601" w:type="dxa"/>
          </w:tcPr>
          <w:p w:rsidR="006A317B" w:rsidRPr="00D6191E" w:rsidRDefault="006A317B"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指易方达基金管理有限公司</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销售机构：</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指直销机构和</w:t>
            </w:r>
            <w:r w:rsidR="00AE5F53" w:rsidRPr="00D6191E">
              <w:rPr>
                <w:rFonts w:asciiTheme="minorEastAsia" w:eastAsiaTheme="minorEastAsia" w:hAnsiTheme="minorEastAsia" w:hint="eastAsia"/>
                <w:kern w:val="0"/>
                <w:szCs w:val="21"/>
              </w:rPr>
              <w:t>非直销销售</w:t>
            </w:r>
            <w:r w:rsidRPr="00D6191E">
              <w:rPr>
                <w:rFonts w:asciiTheme="minorEastAsia" w:eastAsiaTheme="minorEastAsia" w:hAnsiTheme="minorEastAsia" w:hint="eastAsia"/>
                <w:kern w:val="0"/>
                <w:szCs w:val="21"/>
              </w:rPr>
              <w:t>机构；</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基金销售网点：</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指直销机构的直销</w:t>
            </w:r>
            <w:r w:rsidR="00700F8D" w:rsidRPr="00D6191E">
              <w:rPr>
                <w:rFonts w:asciiTheme="minorEastAsia" w:eastAsiaTheme="minorEastAsia" w:hAnsiTheme="minorEastAsia" w:hint="eastAsia"/>
                <w:kern w:val="0"/>
                <w:szCs w:val="21"/>
              </w:rPr>
              <w:t>网点</w:t>
            </w:r>
            <w:r w:rsidRPr="00D6191E">
              <w:rPr>
                <w:rFonts w:asciiTheme="minorEastAsia" w:eastAsiaTheme="minorEastAsia" w:hAnsiTheme="minorEastAsia" w:hint="eastAsia"/>
                <w:kern w:val="0"/>
                <w:szCs w:val="21"/>
              </w:rPr>
              <w:t>及</w:t>
            </w:r>
            <w:r w:rsidR="00AE5F53" w:rsidRPr="00D6191E">
              <w:rPr>
                <w:rFonts w:asciiTheme="minorEastAsia" w:eastAsiaTheme="minorEastAsia" w:hAnsiTheme="minorEastAsia" w:hint="eastAsia"/>
                <w:kern w:val="0"/>
                <w:szCs w:val="21"/>
              </w:rPr>
              <w:t>非直销销售</w:t>
            </w:r>
            <w:r w:rsidRPr="00D6191E">
              <w:rPr>
                <w:rFonts w:asciiTheme="minorEastAsia" w:eastAsiaTheme="minorEastAsia" w:hAnsiTheme="minorEastAsia" w:hint="eastAsia"/>
                <w:kern w:val="0"/>
                <w:szCs w:val="21"/>
              </w:rPr>
              <w:t>机构的</w:t>
            </w:r>
            <w:r w:rsidR="00AE5F53" w:rsidRPr="00D6191E">
              <w:rPr>
                <w:rFonts w:asciiTheme="minorEastAsia" w:eastAsiaTheme="minorEastAsia" w:hAnsiTheme="minorEastAsia" w:hint="eastAsia"/>
                <w:kern w:val="0"/>
                <w:szCs w:val="21"/>
              </w:rPr>
              <w:t>销售</w:t>
            </w:r>
            <w:r w:rsidRPr="00D6191E">
              <w:rPr>
                <w:rFonts w:asciiTheme="minorEastAsia" w:eastAsiaTheme="minorEastAsia" w:hAnsiTheme="minorEastAsia" w:hint="eastAsia"/>
                <w:kern w:val="0"/>
                <w:szCs w:val="21"/>
              </w:rPr>
              <w:t>网点；</w:t>
            </w:r>
          </w:p>
        </w:tc>
      </w:tr>
      <w:tr w:rsidR="00D6191E" w:rsidRPr="00D6191E" w:rsidTr="00BA4B87">
        <w:tc>
          <w:tcPr>
            <w:tcW w:w="2552" w:type="dxa"/>
          </w:tcPr>
          <w:p w:rsidR="00BA4B87" w:rsidRPr="00D6191E" w:rsidRDefault="00F44B20"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指定媒介</w:t>
            </w:r>
            <w:r w:rsidR="00BA4B87" w:rsidRPr="00D6191E">
              <w:rPr>
                <w:rFonts w:asciiTheme="minorEastAsia" w:eastAsiaTheme="minorEastAsia" w:hAnsiTheme="minorEastAsia" w:hint="eastAsia"/>
                <w:szCs w:val="21"/>
              </w:rPr>
              <w:t>：</w:t>
            </w:r>
          </w:p>
        </w:tc>
        <w:tc>
          <w:tcPr>
            <w:tcW w:w="5601" w:type="dxa"/>
          </w:tcPr>
          <w:p w:rsidR="00BA4B87" w:rsidRPr="00D6191E" w:rsidRDefault="00F44B20"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指中国证监会指定的用以进行信息披露的全国性报刊及指定互联网网站（包括基金管理人网站、基金托管人网站、中国证监会基金电子披露网站）等媒介</w:t>
            </w:r>
            <w:r w:rsidR="00BA4B87" w:rsidRPr="00D6191E">
              <w:rPr>
                <w:rFonts w:asciiTheme="minorEastAsia" w:eastAsiaTheme="minorEastAsia" w:hAnsiTheme="minorEastAsia" w:hint="eastAsia"/>
                <w:kern w:val="0"/>
                <w:szCs w:val="21"/>
              </w:rPr>
              <w:t>；</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基金账户：</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指注册登记机构为投资人开立的、记录其持有的、基金管理人所管理的基金份额余额及其变动情况的账户；</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交易账户：</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指销售机构为投资人开立的、记录投资人通过该销售机构办理认购、申购、赎回、转换、转托管及定期定额投资等业务</w:t>
            </w:r>
            <w:r w:rsidRPr="00D6191E">
              <w:rPr>
                <w:rFonts w:asciiTheme="minorEastAsia" w:eastAsiaTheme="minorEastAsia" w:hAnsiTheme="minorEastAsia" w:hint="eastAsia"/>
                <w:kern w:val="0"/>
                <w:szCs w:val="21"/>
              </w:rPr>
              <w:lastRenderedPageBreak/>
              <w:t>而引起的本基金的基金份额变动及结余情况的账户；</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lastRenderedPageBreak/>
              <w:t>转托管：</w:t>
            </w:r>
          </w:p>
        </w:tc>
        <w:tc>
          <w:tcPr>
            <w:tcW w:w="5601" w:type="dxa"/>
          </w:tcPr>
          <w:p w:rsidR="00BA4B87" w:rsidRPr="00D6191E" w:rsidDel="00370399"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指基金份额持有人在本基金的不同销售机构之间实施的变更所持基金份额销售机构的操作；</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开放日：</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指为投资人办理基金份额申购、赎回或其他业务的工作日；</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kern w:val="0"/>
                <w:szCs w:val="21"/>
              </w:rPr>
              <w:t>T日：</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指销售机构在规定时间受理投资人申购、赎回或其他业务申请的工作日；</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T+n日：</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指自T日起第n个工作日(不包含T日)；</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kern w:val="0"/>
                <w:szCs w:val="21"/>
              </w:rPr>
              <w:t>基金利润：</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指基金利息收入、投资收益、公允价值变动收益和其他收入扣除相关费用后的余额；</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基金份额净值：</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指计算日基金资产净值除以计算日基金份额总数；</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kern w:val="0"/>
                <w:szCs w:val="21"/>
              </w:rPr>
              <w:t>基金资产估值：</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指计算评估基金资产和负债的价值，以确定基金资产净值和基金份额净值的过程；</w:t>
            </w:r>
          </w:p>
        </w:tc>
      </w:tr>
      <w:tr w:rsidR="00D6191E"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法律法规：</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指中华人民共和国现行有效的法律、行政法规、司法解释、地方法规、地方规章、部门规章及其他规范性文件以及对于该等法律法规的不时修改和补充；</w:t>
            </w:r>
          </w:p>
        </w:tc>
      </w:tr>
      <w:tr w:rsidR="00893C52" w:rsidRPr="00D6191E" w:rsidTr="00BA4B87">
        <w:tc>
          <w:tcPr>
            <w:tcW w:w="2552" w:type="dxa"/>
          </w:tcPr>
          <w:p w:rsidR="00BA4B87" w:rsidRPr="00D6191E" w:rsidRDefault="00BA4B87" w:rsidP="000449FE">
            <w:pPr>
              <w:snapToGrid w:val="0"/>
              <w:spacing w:line="360" w:lineRule="auto"/>
              <w:rPr>
                <w:rFonts w:asciiTheme="minorEastAsia" w:eastAsiaTheme="minorEastAsia" w:hAnsiTheme="minorEastAsia"/>
                <w:szCs w:val="21"/>
              </w:rPr>
            </w:pPr>
            <w:r w:rsidRPr="00D6191E">
              <w:rPr>
                <w:rFonts w:asciiTheme="minorEastAsia" w:eastAsiaTheme="minorEastAsia" w:hAnsiTheme="minorEastAsia" w:hint="eastAsia"/>
                <w:szCs w:val="21"/>
              </w:rPr>
              <w:t>不可抗力：</w:t>
            </w:r>
          </w:p>
          <w:p w:rsidR="00501E00" w:rsidRPr="00D6191E" w:rsidRDefault="00501E00" w:rsidP="000449FE">
            <w:pPr>
              <w:snapToGrid w:val="0"/>
              <w:spacing w:line="360" w:lineRule="auto"/>
              <w:rPr>
                <w:rFonts w:asciiTheme="minorEastAsia" w:eastAsiaTheme="minorEastAsia" w:hAnsiTheme="minorEastAsia"/>
                <w:szCs w:val="21"/>
              </w:rPr>
            </w:pPr>
          </w:p>
          <w:p w:rsidR="00501E00" w:rsidRPr="00D6191E" w:rsidRDefault="00501E00" w:rsidP="000449FE">
            <w:pPr>
              <w:snapToGrid w:val="0"/>
              <w:spacing w:line="360" w:lineRule="auto"/>
              <w:rPr>
                <w:rFonts w:asciiTheme="minorEastAsia" w:eastAsiaTheme="minorEastAsia" w:hAnsiTheme="minorEastAsia"/>
                <w:szCs w:val="21"/>
              </w:rPr>
            </w:pPr>
          </w:p>
          <w:p w:rsidR="00501E00" w:rsidRPr="00D6191E" w:rsidRDefault="00501E00" w:rsidP="000449FE">
            <w:pPr>
              <w:snapToGrid w:val="0"/>
              <w:spacing w:line="360" w:lineRule="auto"/>
              <w:rPr>
                <w:rFonts w:asciiTheme="minorEastAsia" w:eastAsiaTheme="minorEastAsia" w:hAnsiTheme="minorEastAsia"/>
                <w:szCs w:val="21"/>
              </w:rPr>
            </w:pPr>
          </w:p>
          <w:p w:rsidR="00501E00" w:rsidRDefault="00501E00"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流动性受限资产</w:t>
            </w:r>
            <w:r w:rsidRPr="00D6191E">
              <w:rPr>
                <w:rFonts w:asciiTheme="minorEastAsia" w:eastAsiaTheme="minorEastAsia" w:hAnsiTheme="minorEastAsia"/>
                <w:kern w:val="0"/>
                <w:szCs w:val="21"/>
              </w:rPr>
              <w:t>：</w:t>
            </w:r>
          </w:p>
          <w:p w:rsidR="009A06F7" w:rsidRDefault="009A06F7" w:rsidP="000449FE">
            <w:pPr>
              <w:snapToGrid w:val="0"/>
              <w:spacing w:line="360" w:lineRule="auto"/>
              <w:rPr>
                <w:rFonts w:asciiTheme="minorEastAsia" w:eastAsiaTheme="minorEastAsia" w:hAnsiTheme="minorEastAsia"/>
                <w:kern w:val="0"/>
                <w:szCs w:val="21"/>
              </w:rPr>
            </w:pPr>
          </w:p>
          <w:p w:rsidR="009A06F7" w:rsidRDefault="009A06F7" w:rsidP="000449FE">
            <w:pPr>
              <w:snapToGrid w:val="0"/>
              <w:spacing w:line="360" w:lineRule="auto"/>
              <w:rPr>
                <w:rFonts w:asciiTheme="minorEastAsia" w:eastAsiaTheme="minorEastAsia" w:hAnsiTheme="minorEastAsia"/>
                <w:kern w:val="0"/>
                <w:szCs w:val="21"/>
              </w:rPr>
            </w:pPr>
          </w:p>
          <w:p w:rsidR="009A06F7" w:rsidRDefault="009A06F7" w:rsidP="000449FE">
            <w:pPr>
              <w:snapToGrid w:val="0"/>
              <w:spacing w:line="360" w:lineRule="auto"/>
              <w:rPr>
                <w:rFonts w:asciiTheme="minorEastAsia" w:eastAsiaTheme="minorEastAsia" w:hAnsiTheme="minorEastAsia"/>
                <w:kern w:val="0"/>
                <w:szCs w:val="21"/>
              </w:rPr>
            </w:pPr>
          </w:p>
          <w:p w:rsidR="009A06F7" w:rsidRDefault="009A06F7" w:rsidP="000449FE">
            <w:pPr>
              <w:snapToGrid w:val="0"/>
              <w:spacing w:line="360" w:lineRule="auto"/>
              <w:rPr>
                <w:rFonts w:asciiTheme="minorEastAsia" w:eastAsiaTheme="minorEastAsia" w:hAnsiTheme="minorEastAsia"/>
                <w:kern w:val="0"/>
                <w:szCs w:val="21"/>
              </w:rPr>
            </w:pPr>
          </w:p>
          <w:p w:rsidR="009A06F7" w:rsidRDefault="009A06F7" w:rsidP="000449FE">
            <w:pPr>
              <w:snapToGrid w:val="0"/>
              <w:spacing w:line="360" w:lineRule="auto"/>
              <w:rPr>
                <w:rFonts w:asciiTheme="minorEastAsia" w:eastAsiaTheme="minorEastAsia" w:hAnsiTheme="minorEastAsia"/>
                <w:kern w:val="0"/>
                <w:szCs w:val="21"/>
              </w:rPr>
            </w:pPr>
          </w:p>
          <w:p w:rsidR="009A06F7" w:rsidRDefault="009A06F7" w:rsidP="000449FE">
            <w:pPr>
              <w:snapToGrid w:val="0"/>
              <w:spacing w:line="360" w:lineRule="auto"/>
              <w:rPr>
                <w:rFonts w:asciiTheme="minorEastAsia" w:eastAsiaTheme="minorEastAsia" w:hAnsiTheme="minorEastAsia"/>
                <w:kern w:val="0"/>
                <w:szCs w:val="21"/>
              </w:rPr>
            </w:pPr>
          </w:p>
          <w:p w:rsidR="009A06F7" w:rsidRDefault="009A06F7" w:rsidP="000449FE">
            <w:pPr>
              <w:snapToGrid w:val="0"/>
              <w:spacing w:line="360" w:lineRule="auto"/>
              <w:rPr>
                <w:rStyle w:val="da"/>
                <w:rFonts w:ascii="宋体" w:hAnsi="宋体"/>
              </w:rPr>
            </w:pPr>
            <w:r w:rsidRPr="006C1000">
              <w:rPr>
                <w:rStyle w:val="da"/>
                <w:rFonts w:ascii="宋体" w:hAnsi="宋体" w:hint="eastAsia"/>
              </w:rPr>
              <w:t>侧袋机制</w:t>
            </w:r>
          </w:p>
          <w:p w:rsidR="009A06F7" w:rsidRDefault="009A06F7" w:rsidP="000449FE">
            <w:pPr>
              <w:snapToGrid w:val="0"/>
              <w:spacing w:line="360" w:lineRule="auto"/>
              <w:rPr>
                <w:rStyle w:val="da"/>
                <w:rFonts w:ascii="宋体" w:hAnsi="宋体"/>
              </w:rPr>
            </w:pPr>
          </w:p>
          <w:p w:rsidR="009A06F7" w:rsidRDefault="009A06F7" w:rsidP="000449FE">
            <w:pPr>
              <w:snapToGrid w:val="0"/>
              <w:spacing w:line="360" w:lineRule="auto"/>
              <w:rPr>
                <w:rStyle w:val="da"/>
                <w:rFonts w:ascii="宋体" w:hAnsi="宋体"/>
              </w:rPr>
            </w:pPr>
          </w:p>
          <w:p w:rsidR="009A06F7" w:rsidRDefault="009A06F7" w:rsidP="000449FE">
            <w:pPr>
              <w:snapToGrid w:val="0"/>
              <w:spacing w:line="360" w:lineRule="auto"/>
              <w:rPr>
                <w:rStyle w:val="da"/>
                <w:rFonts w:ascii="宋体" w:hAnsi="宋体"/>
              </w:rPr>
            </w:pPr>
          </w:p>
          <w:p w:rsidR="009A06F7" w:rsidRPr="00D6191E" w:rsidRDefault="009A06F7" w:rsidP="000449FE">
            <w:pPr>
              <w:snapToGrid w:val="0"/>
              <w:spacing w:line="360" w:lineRule="auto"/>
              <w:rPr>
                <w:rFonts w:asciiTheme="minorEastAsia" w:eastAsiaTheme="minorEastAsia" w:hAnsiTheme="minorEastAsia"/>
                <w:szCs w:val="21"/>
              </w:rPr>
            </w:pPr>
            <w:r w:rsidRPr="006C1000">
              <w:rPr>
                <w:rStyle w:val="da"/>
                <w:rFonts w:ascii="宋体" w:hAnsi="宋体" w:hint="eastAsia"/>
              </w:rPr>
              <w:t>特定资产</w:t>
            </w:r>
          </w:p>
        </w:tc>
        <w:tc>
          <w:tcPr>
            <w:tcW w:w="5601" w:type="dxa"/>
          </w:tcPr>
          <w:p w:rsidR="00BA4B87" w:rsidRPr="00D6191E" w:rsidRDefault="00BA4B87"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指本基金合同当事人无法预见、无法抗拒、无法避免且在本基金合同由基金管理人、基金托管人签署之日后发生的，使本基金合同当事人无法全部或部分履行本基金合同的任何事件；</w:t>
            </w:r>
          </w:p>
          <w:p w:rsidR="00501E00" w:rsidRDefault="00501E00" w:rsidP="000449FE">
            <w:pPr>
              <w:snapToGrid w:val="0"/>
              <w:spacing w:line="360" w:lineRule="auto"/>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9A06F7" w:rsidRPr="006C1000" w:rsidRDefault="009A06F7" w:rsidP="001B2C8B">
            <w:pPr>
              <w:spacing w:line="360" w:lineRule="auto"/>
              <w:rPr>
                <w:rStyle w:val="da"/>
                <w:rFonts w:ascii="宋体" w:hAnsi="宋体"/>
              </w:rPr>
            </w:pPr>
            <w:r w:rsidRPr="006C1000">
              <w:rPr>
                <w:rStyle w:val="da"/>
                <w:rFonts w:ascii="宋体" w:hAnsi="宋体" w:hint="eastAsia"/>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9A06F7" w:rsidRPr="00D6191E" w:rsidRDefault="009A06F7" w:rsidP="009A06F7">
            <w:pPr>
              <w:snapToGrid w:val="0"/>
              <w:spacing w:line="360" w:lineRule="auto"/>
              <w:rPr>
                <w:rFonts w:asciiTheme="minorEastAsia" w:eastAsiaTheme="minorEastAsia" w:hAnsiTheme="minorEastAsia"/>
                <w:kern w:val="0"/>
                <w:szCs w:val="21"/>
              </w:rPr>
            </w:pPr>
            <w:r w:rsidRPr="006C1000">
              <w:rPr>
                <w:rStyle w:val="da"/>
                <w:rFonts w:ascii="宋体" w:hAnsi="宋体" w:hint="eastAsia"/>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bl>
    <w:p w:rsidR="00BA4B87" w:rsidRPr="00D6191E" w:rsidRDefault="00BA4B87" w:rsidP="004D6C82">
      <w:pPr>
        <w:pStyle w:val="111"/>
        <w:pageBreakBefore w:val="0"/>
        <w:snapToGrid w:val="0"/>
        <w:spacing w:beforeLines="0" w:afterLines="0" w:line="360" w:lineRule="auto"/>
        <w:ind w:firstLine="643"/>
        <w:rPr>
          <w:rFonts w:asciiTheme="minorEastAsia" w:eastAsiaTheme="minorEastAsia" w:hAnsiTheme="minorEastAsia"/>
        </w:rPr>
      </w:pPr>
      <w:r w:rsidRPr="00D6191E">
        <w:rPr>
          <w:rFonts w:asciiTheme="minorEastAsia" w:eastAsiaTheme="minorEastAsia" w:hAnsiTheme="minorEastAsia" w:hint="eastAsia"/>
          <w:b/>
          <w:bCs/>
        </w:rPr>
        <w:br w:type="column"/>
      </w:r>
      <w:bookmarkStart w:id="2" w:name="_Toc86315829"/>
      <w:r w:rsidRPr="00D6191E">
        <w:rPr>
          <w:rFonts w:asciiTheme="minorEastAsia" w:eastAsiaTheme="minorEastAsia" w:hAnsiTheme="minorEastAsia" w:hint="eastAsia"/>
        </w:rPr>
        <w:lastRenderedPageBreak/>
        <w:t>三、基金管理人</w:t>
      </w:r>
      <w:bookmarkEnd w:id="2"/>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cs="仿宋_GB2312"/>
          <w:b w:val="0"/>
          <w:bCs/>
          <w:kern w:val="0"/>
          <w:szCs w:val="24"/>
        </w:rPr>
      </w:pPr>
      <w:bookmarkStart w:id="3" w:name="_Toc86315830"/>
      <w:r w:rsidRPr="00D6191E">
        <w:rPr>
          <w:rFonts w:asciiTheme="minorEastAsia" w:eastAsiaTheme="minorEastAsia" w:hAnsiTheme="minorEastAsia" w:cs="仿宋_GB2312" w:hint="eastAsia"/>
          <w:b w:val="0"/>
          <w:bCs/>
          <w:kern w:val="0"/>
          <w:szCs w:val="24"/>
        </w:rPr>
        <w:t>(一)基金管理人基本情况</w:t>
      </w:r>
      <w:bookmarkEnd w:id="3"/>
    </w:p>
    <w:p w:rsidR="005C2AB5" w:rsidRPr="00D6191E" w:rsidRDefault="000449FE" w:rsidP="00BA4C79">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1、</w:t>
      </w:r>
      <w:r w:rsidR="005C2AB5" w:rsidRPr="00D6191E">
        <w:rPr>
          <w:rFonts w:asciiTheme="minorEastAsia" w:eastAsiaTheme="minorEastAsia" w:hAnsiTheme="minorEastAsia" w:cs="仿宋_GB2312" w:hint="eastAsia"/>
          <w:kern w:val="0"/>
        </w:rPr>
        <w:t>基金管理人：易方达基金管理有限公司</w:t>
      </w:r>
    </w:p>
    <w:p w:rsidR="005C2AB5" w:rsidRPr="00D6191E" w:rsidRDefault="005C2AB5"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注册地址：</w:t>
      </w:r>
      <w:r w:rsidR="00501E00" w:rsidRPr="00D6191E">
        <w:rPr>
          <w:rFonts w:asciiTheme="minorEastAsia" w:eastAsiaTheme="minorEastAsia" w:hAnsiTheme="minorEastAsia" w:cs="仿宋_GB2312" w:hint="eastAsia"/>
          <w:kern w:val="0"/>
        </w:rPr>
        <w:t>广东省珠海市横琴新区宝华路6号105室-42891（集中办公区）</w:t>
      </w:r>
    </w:p>
    <w:p w:rsidR="005C2AB5" w:rsidRPr="00D6191E" w:rsidRDefault="005C2AB5"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办公地址：广州市天河区珠江新城珠江东路30号广州银行大厦40-43楼</w:t>
      </w:r>
    </w:p>
    <w:p w:rsidR="005C2AB5" w:rsidRPr="00D6191E" w:rsidRDefault="005C2AB5"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设立日期：2001年4月17日</w:t>
      </w:r>
    </w:p>
    <w:p w:rsidR="005C2AB5" w:rsidRPr="00D6191E" w:rsidRDefault="005C2AB5"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法定代表人：</w:t>
      </w:r>
      <w:r w:rsidR="00B972B9" w:rsidRPr="00D6191E">
        <w:rPr>
          <w:rFonts w:asciiTheme="minorEastAsia" w:eastAsiaTheme="minorEastAsia" w:hAnsiTheme="minorEastAsia" w:cs="仿宋_GB2312" w:hint="eastAsia"/>
          <w:kern w:val="0"/>
        </w:rPr>
        <w:t>刘晓艳</w:t>
      </w:r>
    </w:p>
    <w:p w:rsidR="005C2AB5" w:rsidRPr="00D6191E" w:rsidRDefault="005C2AB5"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联系电话：4008818088</w:t>
      </w:r>
    </w:p>
    <w:p w:rsidR="005C2AB5" w:rsidRPr="00D6191E" w:rsidRDefault="000125DB"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联系人：李红枫</w:t>
      </w:r>
    </w:p>
    <w:p w:rsidR="00BA4B87" w:rsidRPr="00D6191E" w:rsidRDefault="00C2573F"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注册资本：13,244.2万元人民币</w:t>
      </w:r>
    </w:p>
    <w:p w:rsidR="000044E4" w:rsidRPr="00D6191E" w:rsidRDefault="000044E4" w:rsidP="000044E4">
      <w:pPr>
        <w:snapToGrid w:val="0"/>
        <w:spacing w:line="360" w:lineRule="auto"/>
        <w:ind w:firstLine="420"/>
        <w:rPr>
          <w:rFonts w:asciiTheme="minorEastAsia" w:eastAsiaTheme="minorEastAsia" w:hAnsiTheme="minorEastAsia"/>
        </w:rPr>
      </w:pPr>
      <w:r w:rsidRPr="00D6191E">
        <w:rPr>
          <w:rFonts w:asciiTheme="minorEastAsia" w:eastAsiaTheme="minorEastAsia" w:hAnsiTheme="minorEastAsia" w:hint="eastAsia"/>
        </w:rPr>
        <w:t>批准设立机关及文号：中国证券监督管理委员会，证监基金字[2001]4号</w:t>
      </w:r>
    </w:p>
    <w:p w:rsidR="00E82623" w:rsidRPr="00D6191E" w:rsidRDefault="000044E4" w:rsidP="00BA4C79">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经营范围：</w:t>
      </w:r>
      <w:r w:rsidR="00501E00" w:rsidRPr="00D6191E">
        <w:rPr>
          <w:rFonts w:asciiTheme="minorEastAsia" w:eastAsiaTheme="minorEastAsia" w:hAnsiTheme="minorEastAsia" w:hint="eastAsia"/>
          <w:szCs w:val="21"/>
        </w:rPr>
        <w:t>公开募集证券投资基金管理、基金销售、特定客户资产</w:t>
      </w:r>
      <w:r w:rsidR="00501E00" w:rsidRPr="00D6191E">
        <w:rPr>
          <w:rFonts w:asciiTheme="minorEastAsia" w:eastAsiaTheme="minorEastAsia" w:hAnsiTheme="minorEastAsia" w:hint="eastAsia"/>
        </w:rPr>
        <w:t>管理</w:t>
      </w:r>
    </w:p>
    <w:p w:rsidR="00BA4B87" w:rsidRPr="00D6191E" w:rsidRDefault="000449FE" w:rsidP="00BA4C79">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2、</w:t>
      </w:r>
      <w:r w:rsidR="00BA4B87" w:rsidRPr="00D6191E">
        <w:rPr>
          <w:rFonts w:asciiTheme="minorEastAsia" w:eastAsiaTheme="minorEastAsia" w:hAnsiTheme="minorEastAsia" w:cs="仿宋_GB2312" w:hint="eastAsia"/>
          <w:kern w:val="0"/>
        </w:rPr>
        <w:t>股权结构：</w:t>
      </w:r>
    </w:p>
    <w:tbl>
      <w:tblPr>
        <w:tblW w:w="6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6"/>
        <w:gridCol w:w="1837"/>
      </w:tblGrid>
      <w:tr w:rsidR="00D6191E" w:rsidRPr="00D6191E" w:rsidTr="00BA4B87">
        <w:trPr>
          <w:jc w:val="center"/>
        </w:trPr>
        <w:tc>
          <w:tcPr>
            <w:tcW w:w="4236" w:type="dxa"/>
            <w:vAlign w:val="center"/>
          </w:tcPr>
          <w:p w:rsidR="00BA4B87" w:rsidRPr="00D6191E" w:rsidRDefault="00BA4B87" w:rsidP="0047252A">
            <w:pPr>
              <w:snapToGrid w:val="0"/>
              <w:spacing w:line="360" w:lineRule="auto"/>
              <w:jc w:val="center"/>
              <w:rPr>
                <w:rFonts w:asciiTheme="minorEastAsia" w:eastAsiaTheme="minorEastAsia" w:hAnsiTheme="minorEastAsia"/>
              </w:rPr>
            </w:pPr>
            <w:r w:rsidRPr="00D6191E">
              <w:rPr>
                <w:rFonts w:asciiTheme="minorEastAsia" w:eastAsiaTheme="minorEastAsia" w:hAnsiTheme="minorEastAsia" w:hint="eastAsia"/>
              </w:rPr>
              <w:t>股东名称</w:t>
            </w:r>
          </w:p>
        </w:tc>
        <w:tc>
          <w:tcPr>
            <w:tcW w:w="1837" w:type="dxa"/>
            <w:vAlign w:val="center"/>
          </w:tcPr>
          <w:p w:rsidR="00BA4B87" w:rsidRPr="00D6191E" w:rsidRDefault="00BA4B87" w:rsidP="0047252A">
            <w:pPr>
              <w:snapToGrid w:val="0"/>
              <w:spacing w:line="360" w:lineRule="auto"/>
              <w:jc w:val="center"/>
              <w:rPr>
                <w:rFonts w:asciiTheme="minorEastAsia" w:eastAsiaTheme="minorEastAsia" w:hAnsiTheme="minorEastAsia"/>
              </w:rPr>
            </w:pPr>
            <w:r w:rsidRPr="00D6191E">
              <w:rPr>
                <w:rFonts w:asciiTheme="minorEastAsia" w:eastAsiaTheme="minorEastAsia" w:hAnsiTheme="minorEastAsia" w:hint="eastAsia"/>
              </w:rPr>
              <w:t>出资比例</w:t>
            </w:r>
          </w:p>
        </w:tc>
      </w:tr>
      <w:tr w:rsidR="00B070B0">
        <w:trPr>
          <w:jc w:val="center"/>
        </w:trPr>
        <w:tc>
          <w:tcPr>
            <w:tcW w:w="4236" w:type="dxa"/>
          </w:tcPr>
          <w:p w:rsidR="00B070B0" w:rsidRDefault="005C077B">
            <w:pPr>
              <w:jc w:val="center"/>
            </w:pPr>
            <w:r>
              <w:t>广东粤财信托有限公司</w:t>
            </w:r>
          </w:p>
        </w:tc>
        <w:tc>
          <w:tcPr>
            <w:tcW w:w="1837" w:type="dxa"/>
          </w:tcPr>
          <w:p w:rsidR="00B070B0" w:rsidRDefault="005C077B">
            <w:pPr>
              <w:jc w:val="center"/>
            </w:pPr>
            <w:r>
              <w:t>22.6514</w:t>
            </w:r>
            <w:r>
              <w:t>％</w:t>
            </w:r>
          </w:p>
        </w:tc>
      </w:tr>
      <w:tr w:rsidR="00B070B0">
        <w:trPr>
          <w:jc w:val="center"/>
        </w:trPr>
        <w:tc>
          <w:tcPr>
            <w:tcW w:w="4236" w:type="dxa"/>
          </w:tcPr>
          <w:p w:rsidR="00B070B0" w:rsidRDefault="005C077B">
            <w:pPr>
              <w:jc w:val="center"/>
            </w:pPr>
            <w:r>
              <w:t>广发证券股份有限公司</w:t>
            </w:r>
          </w:p>
        </w:tc>
        <w:tc>
          <w:tcPr>
            <w:tcW w:w="1837" w:type="dxa"/>
          </w:tcPr>
          <w:p w:rsidR="00B070B0" w:rsidRDefault="005C077B">
            <w:pPr>
              <w:jc w:val="center"/>
            </w:pPr>
            <w:r>
              <w:t>22.6514</w:t>
            </w:r>
            <w:r>
              <w:t>％</w:t>
            </w:r>
          </w:p>
        </w:tc>
      </w:tr>
      <w:tr w:rsidR="00B070B0">
        <w:trPr>
          <w:jc w:val="center"/>
        </w:trPr>
        <w:tc>
          <w:tcPr>
            <w:tcW w:w="4236" w:type="dxa"/>
          </w:tcPr>
          <w:p w:rsidR="00B070B0" w:rsidRDefault="005C077B">
            <w:pPr>
              <w:jc w:val="center"/>
            </w:pPr>
            <w:r>
              <w:t>盈峰集团有限公司</w:t>
            </w:r>
          </w:p>
        </w:tc>
        <w:tc>
          <w:tcPr>
            <w:tcW w:w="1837" w:type="dxa"/>
          </w:tcPr>
          <w:p w:rsidR="00B070B0" w:rsidRDefault="005C077B">
            <w:pPr>
              <w:jc w:val="center"/>
            </w:pPr>
            <w:r>
              <w:t>22.6514</w:t>
            </w:r>
            <w:r>
              <w:t>％</w:t>
            </w:r>
          </w:p>
        </w:tc>
      </w:tr>
      <w:tr w:rsidR="00B070B0">
        <w:trPr>
          <w:jc w:val="center"/>
        </w:trPr>
        <w:tc>
          <w:tcPr>
            <w:tcW w:w="4236" w:type="dxa"/>
          </w:tcPr>
          <w:p w:rsidR="00B070B0" w:rsidRDefault="005C077B">
            <w:pPr>
              <w:jc w:val="center"/>
            </w:pPr>
            <w:r>
              <w:t>广东省广晟控股集团有限公司</w:t>
            </w:r>
          </w:p>
        </w:tc>
        <w:tc>
          <w:tcPr>
            <w:tcW w:w="1837" w:type="dxa"/>
          </w:tcPr>
          <w:p w:rsidR="00B070B0" w:rsidRDefault="005C077B">
            <w:pPr>
              <w:jc w:val="center"/>
            </w:pPr>
            <w:r>
              <w:t>15.1010</w:t>
            </w:r>
            <w:r>
              <w:t>％</w:t>
            </w:r>
          </w:p>
        </w:tc>
      </w:tr>
      <w:tr w:rsidR="00B070B0">
        <w:trPr>
          <w:jc w:val="center"/>
        </w:trPr>
        <w:tc>
          <w:tcPr>
            <w:tcW w:w="4236" w:type="dxa"/>
          </w:tcPr>
          <w:p w:rsidR="00B070B0" w:rsidRDefault="005C077B">
            <w:pPr>
              <w:jc w:val="center"/>
            </w:pPr>
            <w:r>
              <w:t>广州市广永国有资产经营有限公司</w:t>
            </w:r>
          </w:p>
        </w:tc>
        <w:tc>
          <w:tcPr>
            <w:tcW w:w="1837" w:type="dxa"/>
          </w:tcPr>
          <w:p w:rsidR="00B070B0" w:rsidRDefault="005C077B">
            <w:pPr>
              <w:jc w:val="center"/>
            </w:pPr>
            <w:r>
              <w:t>7.5505</w:t>
            </w:r>
            <w:r>
              <w:t>％</w:t>
            </w:r>
          </w:p>
        </w:tc>
      </w:tr>
      <w:tr w:rsidR="00B070B0">
        <w:trPr>
          <w:jc w:val="center"/>
        </w:trPr>
        <w:tc>
          <w:tcPr>
            <w:tcW w:w="4236" w:type="dxa"/>
          </w:tcPr>
          <w:p w:rsidR="00B070B0" w:rsidRDefault="005C077B">
            <w:pPr>
              <w:jc w:val="center"/>
            </w:pPr>
            <w:r>
              <w:t>珠海祺荣宝股权投资合伙企业（有限合伙）</w:t>
            </w:r>
          </w:p>
        </w:tc>
        <w:tc>
          <w:tcPr>
            <w:tcW w:w="1837" w:type="dxa"/>
          </w:tcPr>
          <w:p w:rsidR="00B070B0" w:rsidRDefault="005C077B">
            <w:pPr>
              <w:jc w:val="center"/>
            </w:pPr>
            <w:r>
              <w:t>1.5087</w:t>
            </w:r>
            <w:r>
              <w:t>％</w:t>
            </w:r>
          </w:p>
        </w:tc>
      </w:tr>
      <w:tr w:rsidR="00B070B0">
        <w:trPr>
          <w:jc w:val="center"/>
        </w:trPr>
        <w:tc>
          <w:tcPr>
            <w:tcW w:w="4236" w:type="dxa"/>
          </w:tcPr>
          <w:p w:rsidR="00B070B0" w:rsidRDefault="005C077B">
            <w:pPr>
              <w:jc w:val="center"/>
            </w:pPr>
            <w:r>
              <w:t>珠海祺泰宝股权投资合伙企业（有限合伙）</w:t>
            </w:r>
          </w:p>
        </w:tc>
        <w:tc>
          <w:tcPr>
            <w:tcW w:w="1837" w:type="dxa"/>
          </w:tcPr>
          <w:p w:rsidR="00B070B0" w:rsidRDefault="005C077B">
            <w:pPr>
              <w:jc w:val="center"/>
            </w:pPr>
            <w:r>
              <w:t>1.6205</w:t>
            </w:r>
            <w:r>
              <w:t>％</w:t>
            </w:r>
          </w:p>
        </w:tc>
      </w:tr>
      <w:tr w:rsidR="00B070B0">
        <w:trPr>
          <w:jc w:val="center"/>
        </w:trPr>
        <w:tc>
          <w:tcPr>
            <w:tcW w:w="4236" w:type="dxa"/>
          </w:tcPr>
          <w:p w:rsidR="00B070B0" w:rsidRDefault="005C077B">
            <w:pPr>
              <w:jc w:val="center"/>
            </w:pPr>
            <w:r>
              <w:t>珠海祺丰宝股权投资合伙企业（有限合伙）</w:t>
            </w:r>
          </w:p>
        </w:tc>
        <w:tc>
          <w:tcPr>
            <w:tcW w:w="1837" w:type="dxa"/>
          </w:tcPr>
          <w:p w:rsidR="00B070B0" w:rsidRDefault="005C077B">
            <w:pPr>
              <w:jc w:val="center"/>
            </w:pPr>
            <w:r>
              <w:t>1.5309</w:t>
            </w:r>
            <w:r>
              <w:t>％</w:t>
            </w:r>
          </w:p>
        </w:tc>
      </w:tr>
      <w:tr w:rsidR="00B070B0">
        <w:trPr>
          <w:jc w:val="center"/>
        </w:trPr>
        <w:tc>
          <w:tcPr>
            <w:tcW w:w="4236" w:type="dxa"/>
          </w:tcPr>
          <w:p w:rsidR="00B070B0" w:rsidRDefault="005C077B">
            <w:pPr>
              <w:jc w:val="center"/>
            </w:pPr>
            <w:r>
              <w:t>珠海聚莱康股权投资合伙企业（有限合伙）</w:t>
            </w:r>
          </w:p>
        </w:tc>
        <w:tc>
          <w:tcPr>
            <w:tcW w:w="1837" w:type="dxa"/>
          </w:tcPr>
          <w:p w:rsidR="00B070B0" w:rsidRDefault="005C077B">
            <w:pPr>
              <w:jc w:val="center"/>
            </w:pPr>
            <w:r>
              <w:t>1.7558</w:t>
            </w:r>
            <w:r>
              <w:t>％</w:t>
            </w:r>
          </w:p>
        </w:tc>
      </w:tr>
      <w:tr w:rsidR="00B070B0">
        <w:trPr>
          <w:jc w:val="center"/>
        </w:trPr>
        <w:tc>
          <w:tcPr>
            <w:tcW w:w="4236" w:type="dxa"/>
          </w:tcPr>
          <w:p w:rsidR="00B070B0" w:rsidRDefault="005C077B">
            <w:pPr>
              <w:jc w:val="center"/>
            </w:pPr>
            <w:r>
              <w:t>珠海聚宁康股权投资合伙企业（有限合伙）</w:t>
            </w:r>
          </w:p>
        </w:tc>
        <w:tc>
          <w:tcPr>
            <w:tcW w:w="1837" w:type="dxa"/>
          </w:tcPr>
          <w:p w:rsidR="00B070B0" w:rsidRDefault="005C077B">
            <w:pPr>
              <w:jc w:val="center"/>
            </w:pPr>
            <w:r>
              <w:t>1.4396</w:t>
            </w:r>
            <w:r>
              <w:t>％</w:t>
            </w:r>
          </w:p>
        </w:tc>
      </w:tr>
      <w:tr w:rsidR="00B070B0">
        <w:trPr>
          <w:jc w:val="center"/>
        </w:trPr>
        <w:tc>
          <w:tcPr>
            <w:tcW w:w="4236" w:type="dxa"/>
          </w:tcPr>
          <w:p w:rsidR="00B070B0" w:rsidRDefault="005C077B">
            <w:pPr>
              <w:jc w:val="center"/>
            </w:pPr>
            <w:r>
              <w:t>珠海聚弘康股权投资合伙企业（有限合伙）</w:t>
            </w:r>
          </w:p>
        </w:tc>
        <w:tc>
          <w:tcPr>
            <w:tcW w:w="1837" w:type="dxa"/>
          </w:tcPr>
          <w:p w:rsidR="00B070B0" w:rsidRDefault="005C077B">
            <w:pPr>
              <w:jc w:val="center"/>
            </w:pPr>
            <w:r>
              <w:t>1.5388</w:t>
            </w:r>
            <w:r>
              <w:t>％</w:t>
            </w:r>
          </w:p>
        </w:tc>
      </w:tr>
      <w:tr w:rsidR="00B070B0">
        <w:trPr>
          <w:jc w:val="center"/>
        </w:trPr>
        <w:tc>
          <w:tcPr>
            <w:tcW w:w="4236" w:type="dxa"/>
          </w:tcPr>
          <w:p w:rsidR="00B070B0" w:rsidRDefault="005C077B">
            <w:pPr>
              <w:jc w:val="center"/>
            </w:pPr>
            <w:r>
              <w:t>总</w:t>
            </w:r>
            <w:r>
              <w:t xml:space="preserve">   </w:t>
            </w:r>
            <w:r>
              <w:t>计</w:t>
            </w:r>
          </w:p>
        </w:tc>
        <w:tc>
          <w:tcPr>
            <w:tcW w:w="1837" w:type="dxa"/>
          </w:tcPr>
          <w:p w:rsidR="00B070B0" w:rsidRDefault="005C077B">
            <w:pPr>
              <w:jc w:val="center"/>
            </w:pPr>
            <w:r>
              <w:t>100%</w:t>
            </w:r>
          </w:p>
        </w:tc>
      </w:tr>
    </w:tbl>
    <w:p w:rsidR="000449FE" w:rsidRPr="00D6191E" w:rsidRDefault="000449FE" w:rsidP="000449FE">
      <w:pPr>
        <w:snapToGrid w:val="0"/>
        <w:spacing w:line="360" w:lineRule="auto"/>
        <w:ind w:firstLine="420"/>
        <w:rPr>
          <w:rFonts w:asciiTheme="minorEastAsia" w:eastAsiaTheme="minorEastAsia" w:hAnsiTheme="minorEastAsia"/>
        </w:rPr>
      </w:pP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cs="仿宋_GB2312"/>
          <w:b w:val="0"/>
          <w:bCs/>
          <w:kern w:val="0"/>
          <w:szCs w:val="24"/>
        </w:rPr>
      </w:pPr>
      <w:bookmarkStart w:id="4" w:name="_Toc86315831"/>
      <w:r w:rsidRPr="00D6191E">
        <w:rPr>
          <w:rFonts w:asciiTheme="minorEastAsia" w:eastAsiaTheme="minorEastAsia" w:hAnsiTheme="minorEastAsia" w:hint="eastAsia"/>
          <w:b w:val="0"/>
          <w:bCs/>
          <w:szCs w:val="21"/>
        </w:rPr>
        <w:t>(二)主要人员情况</w:t>
      </w:r>
      <w:bookmarkEnd w:id="4"/>
    </w:p>
    <w:p w:rsidR="000B4D66" w:rsidRPr="00D6191E" w:rsidRDefault="000B4D66" w:rsidP="000B4D66">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1、董事、监事及高级管理人员</w:t>
      </w:r>
    </w:p>
    <w:p w:rsidR="00ED552C" w:rsidRDefault="00B37D4A">
      <w:pPr>
        <w:spacing w:line="360" w:lineRule="auto"/>
        <w:ind w:firstLine="420"/>
      </w:pPr>
      <w: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w:t>
      </w:r>
      <w:r>
        <w:lastRenderedPageBreak/>
        <w:t>证券投资部主任。</w:t>
      </w:r>
    </w:p>
    <w:p w:rsidR="00ED552C" w:rsidRDefault="00B37D4A">
      <w:pPr>
        <w:spacing w:line="360" w:lineRule="auto"/>
        <w:ind w:firstLine="420"/>
      </w:pPr>
      <w:r>
        <w:t>刘晓艳女士，经济学博士、工商管理博士。现任易方达基金管理有限公司副董事长、总裁，易方达国际控股有限公司董事。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w:t>
      </w:r>
    </w:p>
    <w:p w:rsidR="00ED552C" w:rsidRDefault="00B37D4A">
      <w:pPr>
        <w:spacing w:line="360" w:lineRule="auto"/>
        <w:ind w:firstLine="420"/>
      </w:pPr>
      <w:r>
        <w:t>周泽群先生，高级管理人员工商管理硕士（</w:t>
      </w:r>
      <w:r>
        <w:t>EMBA</w:t>
      </w:r>
      <w:r>
        <w:t>）。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ED552C" w:rsidRDefault="00B37D4A">
      <w:pPr>
        <w:spacing w:line="360" w:lineRule="auto"/>
        <w:ind w:firstLine="420"/>
      </w:pPr>
      <w:r>
        <w:t>秦力先生，经济学博士。现任易方达基金管理有限公司董事，广发证券股份有限公司执行董事、公司总监。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广发控股（香港）有限公司董事长。</w:t>
      </w:r>
    </w:p>
    <w:p w:rsidR="00ED552C" w:rsidRDefault="00B37D4A">
      <w:pPr>
        <w:spacing w:line="360" w:lineRule="auto"/>
        <w:ind w:firstLine="420"/>
      </w:pPr>
      <w:r>
        <w:t>苏斌先生，管理学硕士。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南京柯勒复合材料有限责任公司总经理，盈峰环境科技集团股份有限公司董事，广州华艺国际拍卖有限公司董事。曾任中富证券有限责任公司投行部经理，鸿商产业控股集团有限公司产业投资部执行董事，名力中国成长基金合伙人，复星能源环境与智能装备集团总裁。</w:t>
      </w:r>
    </w:p>
    <w:p w:rsidR="00ED552C" w:rsidRDefault="00B37D4A">
      <w:pPr>
        <w:spacing w:line="360" w:lineRule="auto"/>
        <w:ind w:firstLine="420"/>
      </w:pPr>
      <w:r>
        <w:t>潘文皓先生，经济学硕士。现任易方达基金管理有限公司董事，广东省广晟控股集团有限公司资本运营部副部长（主持工作），广东南粤银行股份有限公司董事，澳大利亚泛澳公司董事，广东省广晟财务有限公司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w:t>
      </w:r>
    </w:p>
    <w:p w:rsidR="00ED552C" w:rsidRDefault="00B37D4A">
      <w:pPr>
        <w:spacing w:line="360" w:lineRule="auto"/>
        <w:ind w:firstLine="420"/>
      </w:pPr>
      <w:r>
        <w:t>忻榕女士，工商行政管理博士。现任易方达基金管理有限公司独立董事，中欧国际工商学院教授，复星旅游文化集团（开曼）有限公司独立董事，上海汇招信息技术有限公司董事，</w:t>
      </w:r>
      <w:r>
        <w:lastRenderedPageBreak/>
        <w:t>上海卡恩文化传播股份有限公司独立董事，上海智篆文化传播有限公司董事。曾任中科院研究生院讲师，美国加州高温橡胶公司市场部经理，美国加州大学讲师，美国南加州大学助理教授，香港科技大学副教授，中欧国际工商学院教授，瑞士洛桑管理学院教授。</w:t>
      </w:r>
    </w:p>
    <w:p w:rsidR="00ED552C" w:rsidRDefault="00B37D4A">
      <w:pPr>
        <w:spacing w:line="360" w:lineRule="auto"/>
        <w:ind w:firstLine="420"/>
      </w:pPr>
      <w:r>
        <w:t>谭劲松先生，管理学博士（会计学）。现任易方达基金管理有限公司独立董事，中山大学管理学院教授，中远海运特种运输股份有限公司独立董事，上海莱士血液制品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广州农村商业银行股份有限公司独立董事，广州港集团有限公司外部董事。曾任邵阳市财会学校教师，中山大学管理学院助教、讲师、副教授，广州恒运企业集团股份有限公司独立董事，中国南方航空股份有限公司独立董事，珠海华发实业股份有限公司独立董事。</w:t>
      </w:r>
    </w:p>
    <w:p w:rsidR="00ED552C" w:rsidRDefault="00B37D4A">
      <w:pPr>
        <w:spacing w:line="360" w:lineRule="auto"/>
        <w:ind w:firstLine="420"/>
      </w:pPr>
      <w:r>
        <w:t>王承志先生，法学博士。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深圳市美之高科技股份有限公司独立董事。曾任美国天普大学法学院访问副教授。</w:t>
      </w:r>
    </w:p>
    <w:p w:rsidR="00ED552C" w:rsidRDefault="00B37D4A">
      <w:pPr>
        <w:spacing w:line="360" w:lineRule="auto"/>
        <w:ind w:firstLine="420"/>
      </w:pPr>
      <w:r>
        <w:t>刘发宏先生，工商管理硕士。现任易方达基金管理有限公司监事会主席，广东粤财信托有限公司董事，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w:t>
      </w:r>
    </w:p>
    <w:p w:rsidR="00ED552C" w:rsidRDefault="00B37D4A">
      <w:pPr>
        <w:spacing w:line="360" w:lineRule="auto"/>
        <w:ind w:firstLine="420"/>
      </w:pPr>
      <w: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广州广永股权投资基金管理有限公司董事长。曾任中国水利水电第八工程局三产实业开发部秘书，中国人民银行广州分行统计研究处干部、货币信贷管理处主任科员、营管部综合处助理调研员，广州金融控股集团有限</w:t>
      </w:r>
      <w:r>
        <w:lastRenderedPageBreak/>
        <w:t>公司行政办公室主任，广州金融资产交易中心有限公司董事，广州股权交易中心有限公司董事，广州广永丽都酒店有限公司董事长。</w:t>
      </w:r>
    </w:p>
    <w:p w:rsidR="00ED552C" w:rsidRDefault="00B37D4A">
      <w:pPr>
        <w:spacing w:line="360" w:lineRule="auto"/>
        <w:ind w:firstLine="420"/>
      </w:pPr>
      <w:r>
        <w:t>廖智先生，经济学硕士。现任易方达基金管理有限公司监事、总裁助理、行政管理部总经理，广东粤财互联网金融股份有限公司董事。曾任广东证券股份有限公司基金部主管，易方达基金管理有限公司综合管理部副总经理、人力资源部副总经理、市场部总经理、互联网金融部总经理、综合管理部总经理。</w:t>
      </w:r>
    </w:p>
    <w:p w:rsidR="00ED552C" w:rsidRDefault="00B37D4A">
      <w:pPr>
        <w:spacing w:line="360" w:lineRule="auto"/>
        <w:ind w:firstLine="420"/>
      </w:pPr>
      <w:r>
        <w:t>邓志盛先生，经济学研究生。现任易方达基金管理有限公司监事、行政总监、党群工作部总经理。曾任广东证监会信息部部长，中国证监会广州证管办机构二处处长，金鹰基金管理有限公司副总经理，易方达基金管理有限公司综合管理部总经理、董事会秘书。</w:t>
      </w:r>
    </w:p>
    <w:p w:rsidR="00ED552C" w:rsidRDefault="00B37D4A">
      <w:pPr>
        <w:spacing w:line="360" w:lineRule="auto"/>
        <w:ind w:firstLine="420"/>
      </w:pPr>
      <w:r>
        <w:t>刘炜先生，工商管理硕士（</w:t>
      </w:r>
      <w:r>
        <w:t>EMBA</w:t>
      </w:r>
      <w:r>
        <w:t>）、法学硕士。现任易方达基金管理有限公司监事、人力资源部总经理。曾任易方达基金管理有限公司监察部监察员、上海分公司销售经理、市场部总经理助理、人力资源部副总经理、综合管理部总经理。</w:t>
      </w:r>
    </w:p>
    <w:p w:rsidR="00ED552C" w:rsidRDefault="00B37D4A">
      <w:pPr>
        <w:spacing w:line="360" w:lineRule="auto"/>
        <w:ind w:firstLine="420"/>
      </w:pPr>
      <w:r>
        <w:t>马骏先生，工商管理硕士（</w:t>
      </w:r>
      <w:r>
        <w:t>EMBA</w:t>
      </w:r>
      <w:r>
        <w:t>）。现任易方达基金管理有限公司常务副总裁、固定收益投资决策委员会委员，易方达资产管理（香港）有限公司董事长、人民币合格境外投资者（</w:t>
      </w:r>
      <w:r>
        <w:t>RQFII</w:t>
      </w:r>
      <w:r>
        <w:t>）业务负责人、证券交易负责人员（</w:t>
      </w:r>
      <w:r>
        <w:t>RO</w:t>
      </w:r>
      <w:r>
        <w:t>）、就证券提供意见负责人员（</w:t>
      </w:r>
      <w:r>
        <w:t>RO</w:t>
      </w:r>
      <w:r>
        <w:t>）、提供资产管理负责人员（</w:t>
      </w:r>
      <w:r>
        <w:t>RO</w:t>
      </w:r>
      <w:r>
        <w:t>）、产品审批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ED552C" w:rsidRDefault="00B37D4A">
      <w:pPr>
        <w:spacing w:line="360" w:lineRule="auto"/>
        <w:ind w:firstLine="420"/>
      </w:pPr>
      <w:r>
        <w:t>吴欣荣先生，工学硕士。现任易方达基金管理有限公司常务副总裁、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ED552C" w:rsidRDefault="00B37D4A">
      <w:pPr>
        <w:spacing w:line="360" w:lineRule="auto"/>
        <w:ind w:firstLine="420"/>
      </w:pPr>
      <w: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ED552C" w:rsidRDefault="00B37D4A">
      <w:pPr>
        <w:spacing w:line="360" w:lineRule="auto"/>
        <w:ind w:firstLine="420"/>
      </w:pPr>
      <w:r>
        <w:t>张南女士，经济学博士。现任易方达基金管理有限公司督察长。曾任广东省经济贸易委</w:t>
      </w:r>
      <w:r>
        <w:lastRenderedPageBreak/>
        <w:t>员会主任科员、副处长，易方达基金管理有限公司市场拓展部副总经理、监察部总经理。</w:t>
      </w:r>
    </w:p>
    <w:p w:rsidR="00ED552C" w:rsidRDefault="00B37D4A">
      <w:pPr>
        <w:spacing w:line="360" w:lineRule="auto"/>
        <w:ind w:firstLine="420"/>
      </w:pPr>
      <w:r>
        <w:t>范岳先生，工商管理硕士。现任易方达基金管理有限公司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w:t>
      </w:r>
    </w:p>
    <w:p w:rsidR="00ED552C" w:rsidRDefault="00B37D4A">
      <w:pPr>
        <w:spacing w:line="360" w:lineRule="auto"/>
        <w:ind w:firstLine="420"/>
      </w:pPr>
      <w:r>
        <w:t>高松凡先生，工商管理硕士（</w:t>
      </w:r>
      <w:r>
        <w:t>EMBA</w:t>
      </w:r>
      <w:r>
        <w:t>）。现任易方达基金管理有限公司副总经理级高级管理人员。曾任招商银行总行人事部高级经理、企业年金中心副主任，浦东发展银行总行企业年金部总经理，长江养老保险公司首席市场总监，易方达基金管理有限公司养老金业务总监。</w:t>
      </w:r>
    </w:p>
    <w:p w:rsidR="00ED552C" w:rsidRDefault="00B37D4A">
      <w:pPr>
        <w:spacing w:line="360" w:lineRule="auto"/>
        <w:ind w:firstLine="420"/>
      </w:pPr>
      <w:r>
        <w:t>关秀霞女士，工商管理硕士、金融学硕士。现任易方达基金管理有限公司副总经理级高级管理人员。曾任中国银行（香港）有限公司分析员，</w:t>
      </w:r>
      <w:r>
        <w:t>Daniel Dennis</w:t>
      </w:r>
      <w:r>
        <w:t>高级审计师，美国道富银行公司内部审计部高级审计师、美国共同基金业务风险经理、亚洲区（除日本外）机构服务主管、亚洲区（除日本外）副总裁、大中华地区董事总经理、大中华地区高级副总裁、中国区行长。</w:t>
      </w:r>
    </w:p>
    <w:p w:rsidR="00ED552C" w:rsidRDefault="00B37D4A">
      <w:pPr>
        <w:spacing w:line="360" w:lineRule="auto"/>
        <w:ind w:firstLine="420"/>
      </w:pPr>
      <w:r>
        <w:t>陈荣女士，经济学博士。现任易方达基金管理有限公司副总经理级高级管理人员，易方达国际控股有限公司董事，易方达资产管理（香港）有限公司董事，易方达资产管理有限公司监事，易方达海外投资（深圳）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rsidR="00ED552C" w:rsidRDefault="00B37D4A">
      <w:pPr>
        <w:spacing w:line="360" w:lineRule="auto"/>
        <w:ind w:firstLine="420"/>
      </w:pPr>
      <w:r>
        <w:t>张坤先生，理学硕士。现任易方达基金管理有限公司副总经理级高级管理人员、权益投资决策委员会委员、基金经理。曾任易方达基金管理有限公司行业研究员、基金经理助理、研究部总经理助理。</w:t>
      </w:r>
    </w:p>
    <w:p w:rsidR="00ED552C" w:rsidRDefault="00B37D4A">
      <w:pPr>
        <w:spacing w:line="360" w:lineRule="auto"/>
        <w:ind w:firstLine="420"/>
      </w:pPr>
      <w:r>
        <w:t>胡剑先生，经济学硕士。现任易方达基金管理有限公司副总经理级高级管理人员、固定收益投资业务总部总经理、固定收益投资决策委员会委员、基金经理。曾任易方达基金管理有限公司债券研究员、基金经理助理、固定收益研究部负责人、固定收益总部总经理助理、固定收益研究部总经理、固定收益投资部总经理。</w:t>
      </w:r>
    </w:p>
    <w:p w:rsidR="00ED552C" w:rsidRDefault="00B37D4A">
      <w:pPr>
        <w:spacing w:line="360" w:lineRule="auto"/>
        <w:ind w:firstLine="420"/>
      </w:pPr>
      <w:r>
        <w:t>张清华先生，物理学硕士。现任易方达基金管理有限公司副总经理级高级管理人员、多资产投资业务总部总经理、固定收益投资决策委员会委员、基金经理。曾任晨星资讯（深圳）有限公司数量分析师，中信证券股份有限公司研究员，易方达基金管理有限公司投资经理、固定收益基金投资部总经理、混合资产投资部总经理。</w:t>
      </w:r>
    </w:p>
    <w:p w:rsidR="00ED552C" w:rsidRDefault="00B37D4A">
      <w:pPr>
        <w:spacing w:line="360" w:lineRule="auto"/>
        <w:ind w:firstLine="420"/>
      </w:pPr>
      <w:r>
        <w:lastRenderedPageBreak/>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ED552C" w:rsidRDefault="00B37D4A">
      <w:pPr>
        <w:spacing w:line="360" w:lineRule="auto"/>
        <w:ind w:firstLine="420"/>
      </w:pPr>
      <w: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ED552C" w:rsidRDefault="00B37D4A">
      <w:pPr>
        <w:spacing w:line="360" w:lineRule="auto"/>
        <w:ind w:firstLine="420"/>
      </w:pPr>
      <w:r>
        <w:t>娄利舟女士，工商管理硕士（</w:t>
      </w:r>
      <w:r>
        <w:t>EMBA</w:t>
      </w:r>
      <w:r>
        <w:t>）、经济学硕士。现任易方达基金管理有限公司副总经理级高级管理人员、</w:t>
      </w:r>
      <w:r>
        <w:t>FOF</w:t>
      </w:r>
      <w: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ED552C" w:rsidRDefault="00B37D4A">
      <w:pPr>
        <w:spacing w:line="360" w:lineRule="auto"/>
        <w:ind w:firstLine="420"/>
      </w:pPr>
      <w:r>
        <w:t>萧楠先生，经济学硕士。现任易方达基金管理有限公司副总经理级高级管理人员、投资三部总经理、研究部副总经理、基金经理。曾任易方达基金管理有限公司行业研究员、基金经理助理、投资经理。</w:t>
      </w:r>
    </w:p>
    <w:p w:rsidR="00ED552C" w:rsidRDefault="00B37D4A">
      <w:pPr>
        <w:spacing w:line="360" w:lineRule="auto"/>
        <w:ind w:firstLine="420"/>
      </w:pPr>
      <w:r>
        <w:t>管勇先生，理学硕士。现任易方达基金管理有限公司首席信息官、数据平台研发中心总经理、规划与支持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w:t>
      </w:r>
    </w:p>
    <w:p w:rsidR="00ED552C" w:rsidRDefault="00B37D4A">
      <w:pPr>
        <w:spacing w:line="360" w:lineRule="auto"/>
        <w:ind w:firstLine="420"/>
      </w:pPr>
      <w: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722D81" w:rsidRPr="00D6191E" w:rsidRDefault="00722D81">
      <w:pPr>
        <w:snapToGrid w:val="0"/>
        <w:spacing w:line="360" w:lineRule="auto"/>
        <w:ind w:firstLine="420"/>
        <w:rPr>
          <w:rFonts w:asciiTheme="minorEastAsia" w:eastAsiaTheme="minorEastAsia" w:hAnsiTheme="minorEastAsia" w:cs="Arial"/>
          <w:szCs w:val="21"/>
        </w:rPr>
      </w:pPr>
      <w:r w:rsidRPr="00D6191E">
        <w:rPr>
          <w:rFonts w:asciiTheme="minorEastAsia" w:eastAsiaTheme="minorEastAsia" w:hAnsiTheme="minorEastAsia" w:cs="Arial"/>
          <w:szCs w:val="21"/>
        </w:rPr>
        <w:t>2、基金经理</w:t>
      </w:r>
    </w:p>
    <w:p w:rsidR="00ED552C" w:rsidRDefault="00B37D4A">
      <w:pPr>
        <w:spacing w:line="360" w:lineRule="auto"/>
        <w:ind w:firstLine="420"/>
      </w:pPr>
      <w:r>
        <w:t>王晓晨女士，经济学硕士，本基金的基金经理。现任易方达基金管理有限公司固定收益全策略投资部总经理、固定收益投资决策委员会委员、易方达增强回报债券型证券投资基金</w:t>
      </w:r>
      <w:r>
        <w:lastRenderedPageBreak/>
        <w:t>基金经理（自</w:t>
      </w:r>
      <w:r>
        <w:t>2011</w:t>
      </w:r>
      <w:r>
        <w:t>年</w:t>
      </w:r>
      <w:r>
        <w:t>8</w:t>
      </w:r>
      <w:r>
        <w:t>月</w:t>
      </w:r>
      <w:r>
        <w:t>15</w:t>
      </w:r>
      <w:r>
        <w:t>日起任职）、易方达投资级信用债债券型证券投资基金基金经理（自</w:t>
      </w:r>
      <w:r>
        <w:t>2013</w:t>
      </w:r>
      <w:r>
        <w:t>年</w:t>
      </w:r>
      <w:r>
        <w:t>9</w:t>
      </w:r>
      <w:r>
        <w:t>月</w:t>
      </w:r>
      <w:r>
        <w:t>10</w:t>
      </w:r>
      <w:r>
        <w:t>日起任职）、易方达中债新综合债券指数发起式证券投资基金（</w:t>
      </w:r>
      <w:r>
        <w:t>LOF</w:t>
      </w:r>
      <w:r>
        <w:t>）基金经理（自</w:t>
      </w:r>
      <w:r>
        <w:t>2014</w:t>
      </w:r>
      <w:r>
        <w:t>年</w:t>
      </w:r>
      <w:r>
        <w:t>7</w:t>
      </w:r>
      <w:r>
        <w:t>月</w:t>
      </w:r>
      <w:r>
        <w:t>5</w:t>
      </w:r>
      <w:r>
        <w:t>日起任职）、易方达双债增强债券型证券投资基金基金经理（自</w:t>
      </w:r>
      <w:r>
        <w:t>2016</w:t>
      </w:r>
      <w:r>
        <w:t>年</w:t>
      </w:r>
      <w:r>
        <w:t>12</w:t>
      </w:r>
      <w:r>
        <w:t>月</w:t>
      </w:r>
      <w:r>
        <w:t>3</w:t>
      </w:r>
      <w:r>
        <w:t>日起任职）、易方达恒安定期开放债券型发起式证券投资基金基金经理（自</w:t>
      </w:r>
      <w:r>
        <w:t>2018</w:t>
      </w:r>
      <w:r>
        <w:t>年</w:t>
      </w:r>
      <w:r>
        <w:t>5</w:t>
      </w:r>
      <w:r>
        <w:t>月</w:t>
      </w:r>
      <w:r>
        <w:t>15</w:t>
      </w:r>
      <w:r>
        <w:t>日起任职）、易方达富财纯债债券型证券投资基金基金经理（自</w:t>
      </w:r>
      <w:r>
        <w:t>2018</w:t>
      </w:r>
      <w:r>
        <w:t>年</w:t>
      </w:r>
      <w:r>
        <w:t>10</w:t>
      </w:r>
      <w:r>
        <w:t>月</w:t>
      </w:r>
      <w:r>
        <w:t>26</w:t>
      </w:r>
      <w:r>
        <w:t>日起任职）、易方达安瑞短债债券型证券投资基金基金经理（自</w:t>
      </w:r>
      <w:r>
        <w:t>2018</w:t>
      </w:r>
      <w:r>
        <w:t>年</w:t>
      </w:r>
      <w:r>
        <w:t>11</w:t>
      </w:r>
      <w:r>
        <w:t>月</w:t>
      </w:r>
      <w:r>
        <w:t>14</w:t>
      </w:r>
      <w:r>
        <w:t>日起任职）、易方达恒兴</w:t>
      </w:r>
      <w:r>
        <w:t>3</w:t>
      </w:r>
      <w:r>
        <w:t>个月定期开放债券型发起式证券投资基金基金经理（自</w:t>
      </w:r>
      <w:r>
        <w:t>2019</w:t>
      </w:r>
      <w:r>
        <w:t>年</w:t>
      </w:r>
      <w:r>
        <w:t>10</w:t>
      </w:r>
      <w:r>
        <w:t>月</w:t>
      </w:r>
      <w:r>
        <w:t>15</w:t>
      </w:r>
      <w:r>
        <w:t>日起任职），易方达资产管理（香港）有限公司基金经理、就证券提供意见负责人员（</w:t>
      </w:r>
      <w:r>
        <w:t>RO</w:t>
      </w:r>
      <w:r>
        <w:t>）、提供资产管理负责人员（</w:t>
      </w:r>
      <w:r>
        <w:t>RO</w:t>
      </w:r>
      <w:r>
        <w:t>）。曾任易方达基金管理有限公司集中交易室债券交易员、债券交易主管、固定收益总部总经理助理、固定收益基金投资部副总经理、固定收益投资部副总经理、易方达货币市场基金基金经理（自</w:t>
      </w:r>
      <w:r>
        <w:t>2013</w:t>
      </w:r>
      <w:r>
        <w:t>年</w:t>
      </w:r>
      <w:r>
        <w:t>4</w:t>
      </w:r>
      <w:r>
        <w:t>月</w:t>
      </w:r>
      <w:r>
        <w:t>22</w:t>
      </w:r>
      <w:r>
        <w:t>日至</w:t>
      </w:r>
      <w:r>
        <w:t>2014</w:t>
      </w:r>
      <w:r>
        <w:t>年</w:t>
      </w:r>
      <w:r>
        <w:t>11</w:t>
      </w:r>
      <w:r>
        <w:t>月</w:t>
      </w:r>
      <w:r>
        <w:t>21</w:t>
      </w:r>
      <w:r>
        <w:t>日）、易方达保证金收益货币市场基金基金经理（自</w:t>
      </w:r>
      <w:r>
        <w:t>2013</w:t>
      </w:r>
      <w:r>
        <w:t>年</w:t>
      </w:r>
      <w:r>
        <w:t>4</w:t>
      </w:r>
      <w:r>
        <w:t>月</w:t>
      </w:r>
      <w:r>
        <w:t>22</w:t>
      </w:r>
      <w:r>
        <w:t>日至</w:t>
      </w:r>
      <w:r>
        <w:t>2014</w:t>
      </w:r>
      <w:r>
        <w:t>年</w:t>
      </w:r>
      <w:r>
        <w:t>11</w:t>
      </w:r>
      <w:r>
        <w:t>月</w:t>
      </w:r>
      <w:r>
        <w:t>21</w:t>
      </w:r>
      <w:r>
        <w:t>日）、易方达保本一号混合型证券投资基金基金经理（自</w:t>
      </w:r>
      <w:r>
        <w:t>2016</w:t>
      </w:r>
      <w:r>
        <w:t>年</w:t>
      </w:r>
      <w:r>
        <w:t>1</w:t>
      </w:r>
      <w:r>
        <w:t>月</w:t>
      </w:r>
      <w:r>
        <w:t>13</w:t>
      </w:r>
      <w:r>
        <w:t>日至</w:t>
      </w:r>
      <w:r>
        <w:t>2019</w:t>
      </w:r>
      <w:r>
        <w:t>年</w:t>
      </w:r>
      <w:r>
        <w:t>2</w:t>
      </w:r>
      <w:r>
        <w:t>月</w:t>
      </w:r>
      <w:r>
        <w:t>18</w:t>
      </w:r>
      <w:r>
        <w:t>日）、易方达新鑫灵活配置混合型证券投资基金基金经理（自</w:t>
      </w:r>
      <w:r>
        <w:t>2018</w:t>
      </w:r>
      <w:r>
        <w:t>年</w:t>
      </w:r>
      <w:r>
        <w:t>1</w:t>
      </w:r>
      <w:r>
        <w:t>月</w:t>
      </w:r>
      <w:r>
        <w:t>31</w:t>
      </w:r>
      <w:r>
        <w:t>日至</w:t>
      </w:r>
      <w:r>
        <w:t>2019</w:t>
      </w:r>
      <w:r>
        <w:t>年</w:t>
      </w:r>
      <w:r>
        <w:t>7</w:t>
      </w:r>
      <w:r>
        <w:t>月</w:t>
      </w:r>
      <w:r>
        <w:t>2</w:t>
      </w:r>
      <w:r>
        <w:t>日）、易方达纯债债券型证券投资基金基金经理（自</w:t>
      </w:r>
      <w:r>
        <w:t>2017</w:t>
      </w:r>
      <w:r>
        <w:t>年</w:t>
      </w:r>
      <w:r>
        <w:t>2</w:t>
      </w:r>
      <w:r>
        <w:t>月</w:t>
      </w:r>
      <w:r>
        <w:t>15</w:t>
      </w:r>
      <w:r>
        <w:t>日至</w:t>
      </w:r>
      <w:r>
        <w:t>2019</w:t>
      </w:r>
      <w:r>
        <w:t>年</w:t>
      </w:r>
      <w:r>
        <w:t>9</w:t>
      </w:r>
      <w:r>
        <w:t>月</w:t>
      </w:r>
      <w:r>
        <w:t>10</w:t>
      </w:r>
      <w:r>
        <w:t>日）、易方达恒益定期开放债券型发起式证券投资基金基金经理（自</w:t>
      </w:r>
      <w:r>
        <w:t>2017</w:t>
      </w:r>
      <w:r>
        <w:t>年</w:t>
      </w:r>
      <w:r>
        <w:t>10</w:t>
      </w:r>
      <w:r>
        <w:t>月</w:t>
      </w:r>
      <w:r>
        <w:t>25</w:t>
      </w:r>
      <w:r>
        <w:t>日至</w:t>
      </w:r>
      <w:r>
        <w:t>2019</w:t>
      </w:r>
      <w:r>
        <w:t>年</w:t>
      </w:r>
      <w:r>
        <w:t>9</w:t>
      </w:r>
      <w:r>
        <w:t>月</w:t>
      </w:r>
      <w:r>
        <w:t>10</w:t>
      </w:r>
      <w:r>
        <w:t>日）、易方达中债</w:t>
      </w:r>
      <w:r>
        <w:t>3-5</w:t>
      </w:r>
      <w:r>
        <w:t>年期国债指数证券投资基金基金经理（自</w:t>
      </w:r>
      <w:r>
        <w:t>2017</w:t>
      </w:r>
      <w:r>
        <w:t>年</w:t>
      </w:r>
      <w:r>
        <w:t>2</w:t>
      </w:r>
      <w:r>
        <w:t>月</w:t>
      </w:r>
      <w:r>
        <w:t>15</w:t>
      </w:r>
      <w:r>
        <w:t>日至</w:t>
      </w:r>
      <w:r>
        <w:t>2019</w:t>
      </w:r>
      <w:r>
        <w:t>年</w:t>
      </w:r>
      <w:r>
        <w:t>9</w:t>
      </w:r>
      <w:r>
        <w:t>月</w:t>
      </w:r>
      <w:r>
        <w:t>27</w:t>
      </w:r>
      <w:r>
        <w:t>日）、易方达中债</w:t>
      </w:r>
      <w:r>
        <w:t>7-10</w:t>
      </w:r>
      <w:r>
        <w:t>年期国开行债券指数证券投资基金基金经理（自</w:t>
      </w:r>
      <w:r>
        <w:t>2017</w:t>
      </w:r>
      <w:r>
        <w:t>年</w:t>
      </w:r>
      <w:r>
        <w:t>2</w:t>
      </w:r>
      <w:r>
        <w:t>月</w:t>
      </w:r>
      <w:r>
        <w:t>15</w:t>
      </w:r>
      <w:r>
        <w:t>日至</w:t>
      </w:r>
      <w:r>
        <w:t>2019</w:t>
      </w:r>
      <w:r>
        <w:t>年</w:t>
      </w:r>
      <w:r>
        <w:t>10</w:t>
      </w:r>
      <w:r>
        <w:t>月</w:t>
      </w:r>
      <w:r>
        <w:t>28</w:t>
      </w:r>
      <w:r>
        <w:t>日）、易方达中债</w:t>
      </w:r>
      <w:r>
        <w:t>1-3</w:t>
      </w:r>
      <w:r>
        <w:t>年国开行债券指数证券投资基金基金经理（自</w:t>
      </w:r>
      <w:r>
        <w:t>2019</w:t>
      </w:r>
      <w:r>
        <w:t>年</w:t>
      </w:r>
      <w:r>
        <w:t>4</w:t>
      </w:r>
      <w:r>
        <w:t>月</w:t>
      </w:r>
      <w:r>
        <w:t>29</w:t>
      </w:r>
      <w:r>
        <w:t>日至</w:t>
      </w:r>
      <w:r>
        <w:t>2020</w:t>
      </w:r>
      <w:r>
        <w:t>年</w:t>
      </w:r>
      <w:r>
        <w:t>12</w:t>
      </w:r>
      <w:r>
        <w:t>月</w:t>
      </w:r>
      <w:r>
        <w:t>17</w:t>
      </w:r>
      <w:r>
        <w:t>日）、易方达中债</w:t>
      </w:r>
      <w:r>
        <w:t>3-5</w:t>
      </w:r>
      <w:r>
        <w:t>年国开行债券指数证券投资基金基金经理（自</w:t>
      </w:r>
      <w:r>
        <w:t>2019</w:t>
      </w:r>
      <w:r>
        <w:t>年</w:t>
      </w:r>
      <w:r>
        <w:t>7</w:t>
      </w:r>
      <w:r>
        <w:t>月</w:t>
      </w:r>
      <w:r>
        <w:t>8</w:t>
      </w:r>
      <w:r>
        <w:t>日至</w:t>
      </w:r>
      <w:r>
        <w:t>2020</w:t>
      </w:r>
      <w:r>
        <w:t>年</w:t>
      </w:r>
      <w:r>
        <w:t>12</w:t>
      </w:r>
      <w:r>
        <w:t>月</w:t>
      </w:r>
      <w:r>
        <w:t>17</w:t>
      </w:r>
      <w:r>
        <w:t>日）、易方达中债</w:t>
      </w:r>
      <w:r>
        <w:t>1-3</w:t>
      </w:r>
      <w:r>
        <w:t>年政策性金融债指数证券投资基金基金经理（自</w:t>
      </w:r>
      <w:r>
        <w:t>2019</w:t>
      </w:r>
      <w:r>
        <w:t>年</w:t>
      </w:r>
      <w:r>
        <w:t>12</w:t>
      </w:r>
      <w:r>
        <w:t>月</w:t>
      </w:r>
      <w:r>
        <w:t>3</w:t>
      </w:r>
      <w:r>
        <w:t>日至</w:t>
      </w:r>
      <w:r>
        <w:t>2020</w:t>
      </w:r>
      <w:r>
        <w:t>年</w:t>
      </w:r>
      <w:r>
        <w:t>12</w:t>
      </w:r>
      <w:r>
        <w:t>月</w:t>
      </w:r>
      <w:r>
        <w:t>17</w:t>
      </w:r>
      <w:r>
        <w:t>日）、易方达中债</w:t>
      </w:r>
      <w:r>
        <w:t>3-5</w:t>
      </w:r>
      <w:r>
        <w:t>年政策性金融债指数证券投资基金基金经理（自</w:t>
      </w:r>
      <w:r>
        <w:t>2019</w:t>
      </w:r>
      <w:r>
        <w:t>年</w:t>
      </w:r>
      <w:r>
        <w:t>12</w:t>
      </w:r>
      <w:r>
        <w:t>月</w:t>
      </w:r>
      <w:r>
        <w:t>4</w:t>
      </w:r>
      <w:r>
        <w:t>日至</w:t>
      </w:r>
      <w:r>
        <w:t>2020</w:t>
      </w:r>
      <w:r>
        <w:t>年</w:t>
      </w:r>
      <w:r>
        <w:t>12</w:t>
      </w:r>
      <w:r>
        <w:t>月</w:t>
      </w:r>
      <w:r>
        <w:t>17</w:t>
      </w:r>
      <w:r>
        <w:t>日）。</w:t>
      </w:r>
    </w:p>
    <w:p w:rsidR="00ED552C" w:rsidRDefault="00B37D4A">
      <w:pPr>
        <w:spacing w:line="360" w:lineRule="auto"/>
        <w:ind w:firstLine="420"/>
      </w:pPr>
      <w:r>
        <w:t>胡文伯先生，金融数学硕士，本基金的基金经理。现任易方达基金管理有限公司易方达双债增强债券型证券投资基金基金经理（自</w:t>
      </w:r>
      <w:r>
        <w:t>2020</w:t>
      </w:r>
      <w:r>
        <w:t>年</w:t>
      </w:r>
      <w:r>
        <w:t>10</w:t>
      </w:r>
      <w:r>
        <w:t>月</w:t>
      </w:r>
      <w:r>
        <w:t>16</w:t>
      </w:r>
      <w:r>
        <w:t>日起任职）、易方达稳健收益债券型证券投资基金基金经理助理、易方达裕惠回报定期开放式混合型发起式证券投资基金基金经理助理、易方达裕如灵活配置混合型证券投资基金基金经理助理、易方达瑞财灵活配置混合型证券投资基金基金经理助理、易方达永旭添利定期开放债券型证券投资基金基金经理助理、易方达中债新综合债券指数发起式证券投资基金（</w:t>
      </w:r>
      <w:r>
        <w:t>LOF</w:t>
      </w:r>
      <w:r>
        <w:t>）基金经理助理、易方达信用</w:t>
      </w:r>
      <w:r>
        <w:lastRenderedPageBreak/>
        <w:t>债债券型证券投资基金基金经理助理、易方达纯债</w:t>
      </w:r>
      <w:r>
        <w:t>1</w:t>
      </w:r>
      <w:r>
        <w:t>年定期开放债券型证券投资基金基金经理助理、易方达高等级信用债债券型证券投资基金基金经理助理、易方达富惠纯债债券型证券投资基金基金经理助理、易方达恒益定期开放债券型发起式证券投资基金基金经理助理、易方达恒信定期开放债券型发起式证券投资基金基金经理助理、易方达恒惠定期开放债券型发起式证券投资基金基金经理助理、易方达恒利</w:t>
      </w:r>
      <w:r>
        <w:t>3</w:t>
      </w:r>
      <w:r>
        <w:t>个月定期开放债券型发起式证券投资基金基金经理助理、易方达安源中短债债券型证券投资基金基金经理助理、易方达年年恒夏纯债一年定期开放债券型发起式证券投资基金基金经理助理、易方达裕景添利</w:t>
      </w:r>
      <w:r>
        <w:t>6</w:t>
      </w:r>
      <w:r>
        <w:t>个月定期开放债券型证券投资基金基金经理助理、易方达裕祥回报债券型证券投资基金基金经理助理、易方达年年恒秋纯债一年定期开放债券型发起式证券投资基金基金经理助理、易方达增强回报债券型证券投资基金基金经理助理、易方达恒盛</w:t>
      </w:r>
      <w:r>
        <w:t>3</w:t>
      </w:r>
      <w:r>
        <w:t>个月定期开放混合型发起式证券投资基金基金经理助理。曾任易方达基金管理有限公司固定收益研究员、易方达鑫转增利混合型证券投资基金基金经理助理、易方达鑫转招利混合型证券投资基金基金经理助理、易方达新利灵活配置混合型证券投资基金基金经理助理、易方达新享灵活配置混合型证券投资基金基金经理助理、易方达瑞景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聚盈分级债券型发起式证券投资基金基金经理助理、易方达丰惠混合型证券投资基金基金经理助理、易方达双债增强债券型证券投资基金基金经理助理、易方达鑫转添利混合型证券投资基金基金经理助理、易方达安盈回报混合型证券投资基金基金经理助理、易方达瑞和灵活配置混合型证券投资基金基金经理助理、易方达瑞信灵活配置混合型证券投资基金基金经理助理、易方达瑞富灵活配置混合型证券投资基金基金经理助理。</w:t>
      </w:r>
    </w:p>
    <w:p w:rsidR="00ED552C" w:rsidRDefault="00B37D4A">
      <w:pPr>
        <w:spacing w:line="360" w:lineRule="auto"/>
        <w:ind w:firstLine="420"/>
      </w:pPr>
      <w:r>
        <w:t>张凯頔先生，经济学硕士，本基金的基金经理助理。现任易方达基金管理有限公司易方达双债增强债券型证券投资基金基金经理助理、易方达岁丰添利债券型证券投资基金基金经理助理、易方达投资级信用债债券型证券投资基金基金经理助理、易方达增强回报债券型证券投资基金基金经理助理、易方达中债</w:t>
      </w:r>
      <w:r>
        <w:t>1-3</w:t>
      </w:r>
      <w:r>
        <w:t>年国开行债券指数证券投资基金基金经理助理、易方达中债</w:t>
      </w:r>
      <w:r>
        <w:t>3-5</w:t>
      </w:r>
      <w:r>
        <w:t>年国开行债券指数证券投资基金基金经理助理、易方达中债</w:t>
      </w:r>
      <w:r>
        <w:t>1-3</w:t>
      </w:r>
      <w:r>
        <w:t>年政策性金融债指数证券投资基金基金经理助理、易方达中债</w:t>
      </w:r>
      <w:r>
        <w:t>3-5</w:t>
      </w:r>
      <w:r>
        <w:t>年政策性金融债指数证券投资基金基金经理助理、易方达恒安定期开放债券型发起式证券投资基金基金经理助理、易方达高等级信用债债券型证券投资基金基金经理助理、易方达裕景添利</w:t>
      </w:r>
      <w:r>
        <w:t>6</w:t>
      </w:r>
      <w:r>
        <w:t>个月定期开放债券型证券投资基金基金经理助理、易方达裕祥回报债券型证券投资基金基金经理助理、易方达瑞通灵活配</w:t>
      </w:r>
      <w:r>
        <w:lastRenderedPageBreak/>
        <w:t>置混合型证券投资基金基金经理助理、易方达瑞弘灵活配置混合型证券投资基金基金经理助理、易方达瑞程灵活配置混合型证券投资基金基金经理助理、易方达安心回馈混合型证券投资基金基金经理助理、易方达平稳增长证券投资基金基金经理助理、易方达科汇灵活配置混合型证券投资基金基金经理助理、易方达稳健增长混合型证券投资基金基金经理助理、易方达稳健回报一年封闭运作混合型证券投资基金基金经理助理、易方达稳健增利混合型证券投资基金基金经理助理。曾任工银瑞信基金管理有限公司债券交易员，易方达基金管理有限公司债券交易员、易方达保本一号混合型证券投资基金基金经理助理、易方达恒益定期开放债券型发起式证券投资基金基金经理助理、易方达高等级信用债债券型证券投资基金基金经理助理、易方达裕鑫债券型证券投资基金基金经理助理。</w:t>
      </w:r>
    </w:p>
    <w:p w:rsidR="00ED552C" w:rsidRDefault="00B37D4A">
      <w:pPr>
        <w:spacing w:line="360" w:lineRule="auto"/>
        <w:ind w:firstLine="420"/>
      </w:pPr>
      <w:r>
        <w:t>本基金历任基金经理情况：张磊，管理时间为</w:t>
      </w:r>
      <w:r>
        <w:t>2011</w:t>
      </w:r>
      <w:r>
        <w:t>年</w:t>
      </w:r>
      <w:r>
        <w:t>12</w:t>
      </w:r>
      <w:r>
        <w:t>月</w:t>
      </w:r>
      <w:r>
        <w:t>1</w:t>
      </w:r>
      <w:r>
        <w:t>日至</w:t>
      </w:r>
      <w:r>
        <w:t>2019</w:t>
      </w:r>
      <w:r>
        <w:t>年</w:t>
      </w:r>
      <w:r>
        <w:t>1</w:t>
      </w:r>
      <w:r>
        <w:t>月</w:t>
      </w:r>
      <w:r>
        <w:t>3</w:t>
      </w:r>
      <w:r>
        <w:t>日。</w:t>
      </w:r>
    </w:p>
    <w:p w:rsidR="00ED552C" w:rsidRDefault="00B37D4A">
      <w:pPr>
        <w:spacing w:line="360" w:lineRule="auto"/>
        <w:ind w:firstLine="420"/>
      </w:pPr>
      <w:r>
        <w:t>3</w:t>
      </w:r>
      <w:r>
        <w:t>、固定收益投资决策委员会成员</w:t>
      </w:r>
    </w:p>
    <w:p w:rsidR="00ED552C" w:rsidRDefault="00B37D4A">
      <w:pPr>
        <w:spacing w:line="360" w:lineRule="auto"/>
        <w:ind w:firstLine="420"/>
      </w:pPr>
      <w:r>
        <w:t>本公司固定收益投资决策委员会成员包括：马骏先生、胡剑先生、张清华先生、王晓晨女士、袁方女士、刘朝阳女士、祁广东先生。</w:t>
      </w:r>
    </w:p>
    <w:p w:rsidR="00ED552C" w:rsidRDefault="00B37D4A">
      <w:pPr>
        <w:spacing w:line="360" w:lineRule="auto"/>
        <w:ind w:firstLine="420"/>
      </w:pPr>
      <w:r>
        <w:t>马骏先生，同上。</w:t>
      </w:r>
    </w:p>
    <w:p w:rsidR="00ED552C" w:rsidRDefault="00B37D4A">
      <w:pPr>
        <w:spacing w:line="360" w:lineRule="auto"/>
        <w:ind w:firstLine="420"/>
      </w:pPr>
      <w:r>
        <w:t>胡剑先生，同上。</w:t>
      </w:r>
    </w:p>
    <w:p w:rsidR="00ED552C" w:rsidRDefault="00B37D4A">
      <w:pPr>
        <w:spacing w:line="360" w:lineRule="auto"/>
        <w:ind w:firstLine="420"/>
      </w:pPr>
      <w:r>
        <w:t>张清华先生，同上。</w:t>
      </w:r>
    </w:p>
    <w:p w:rsidR="00ED552C" w:rsidRDefault="00B37D4A">
      <w:pPr>
        <w:spacing w:line="360" w:lineRule="auto"/>
        <w:ind w:firstLine="420"/>
      </w:pPr>
      <w:r>
        <w:t>王晓晨女士，同上。</w:t>
      </w:r>
    </w:p>
    <w:p w:rsidR="00ED552C" w:rsidRDefault="00B37D4A">
      <w:pPr>
        <w:spacing w:line="360" w:lineRule="auto"/>
        <w:ind w:firstLine="420"/>
      </w:pPr>
      <w:r>
        <w:t>袁方女士，易方达基金管理有限公司多资产养老金投资部总经理、基金经理。</w:t>
      </w:r>
    </w:p>
    <w:p w:rsidR="00ED552C" w:rsidRDefault="00B37D4A">
      <w:pPr>
        <w:spacing w:line="360" w:lineRule="auto"/>
        <w:ind w:firstLine="420"/>
      </w:pPr>
      <w:r>
        <w:t>刘朝阳女士，易方达基金管理有限公司现金管理部总经理、基金经理。</w:t>
      </w:r>
    </w:p>
    <w:p w:rsidR="00ED552C" w:rsidRDefault="00B37D4A">
      <w:pPr>
        <w:spacing w:line="360" w:lineRule="auto"/>
        <w:ind w:firstLine="420"/>
      </w:pPr>
      <w:r>
        <w:t>祁广东先生，易方达基金管理有限公司国际投资部总经理、基金经理，易方达资产管理（香港）有限公司首席投资官（国际固定收益）、就证券提供意见负责人员（</w:t>
      </w:r>
      <w:r>
        <w:t>RO</w:t>
      </w:r>
      <w:r>
        <w:t>）、提供资产管理负责人员（</w:t>
      </w:r>
      <w:r>
        <w:t>RO</w:t>
      </w:r>
      <w:r>
        <w:t>）、投资决策委员会委员。</w:t>
      </w:r>
    </w:p>
    <w:p w:rsidR="00E82623" w:rsidRPr="00D6191E" w:rsidRDefault="00342A8C">
      <w:pPr>
        <w:snapToGrid w:val="0"/>
        <w:spacing w:line="360" w:lineRule="auto"/>
        <w:ind w:firstLine="420"/>
        <w:rPr>
          <w:rFonts w:asciiTheme="minorEastAsia" w:eastAsiaTheme="minorEastAsia" w:hAnsiTheme="minorEastAsia"/>
        </w:rPr>
      </w:pPr>
      <w:r w:rsidRPr="00D6191E">
        <w:rPr>
          <w:rFonts w:asciiTheme="minorEastAsia" w:eastAsiaTheme="minorEastAsia" w:hAnsiTheme="minorEastAsia"/>
        </w:rPr>
        <w:t>4、</w:t>
      </w:r>
      <w:r w:rsidRPr="00D6191E">
        <w:rPr>
          <w:rFonts w:asciiTheme="minorEastAsia" w:eastAsiaTheme="minorEastAsia" w:hAnsiTheme="minorEastAsia" w:hint="eastAsia"/>
        </w:rPr>
        <w:t>上述人员之间均不存在近亲属关系。</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szCs w:val="21"/>
        </w:rPr>
      </w:pPr>
      <w:bookmarkStart w:id="5" w:name="_Toc86315832"/>
      <w:r w:rsidRPr="00D6191E">
        <w:rPr>
          <w:rFonts w:asciiTheme="minorEastAsia" w:eastAsiaTheme="minorEastAsia" w:hAnsiTheme="minorEastAsia" w:hint="eastAsia"/>
          <w:b w:val="0"/>
          <w:bCs/>
          <w:szCs w:val="21"/>
        </w:rPr>
        <w:t>(三)基金管理人的职责</w:t>
      </w:r>
      <w:bookmarkEnd w:id="5"/>
    </w:p>
    <w:p w:rsidR="00BA4B87" w:rsidRPr="00D6191E" w:rsidRDefault="000449FE" w:rsidP="000449FE">
      <w:pPr>
        <w:snapToGrid w:val="0"/>
        <w:spacing w:line="360" w:lineRule="auto"/>
        <w:ind w:firstLineChars="200" w:firstLine="420"/>
        <w:rPr>
          <w:rFonts w:asciiTheme="minorEastAsia" w:eastAsiaTheme="minorEastAsia" w:hAnsiTheme="minorEastAsia" w:cs="仿宋_GB2312"/>
          <w:bCs/>
          <w:kern w:val="0"/>
        </w:rPr>
      </w:pPr>
      <w:r w:rsidRPr="00D6191E">
        <w:rPr>
          <w:rFonts w:asciiTheme="minorEastAsia" w:eastAsiaTheme="minorEastAsia" w:hAnsiTheme="minorEastAsia" w:cs="仿宋_GB2312" w:hint="eastAsia"/>
          <w:bCs/>
          <w:kern w:val="0"/>
        </w:rPr>
        <w:t>1、</w:t>
      </w:r>
      <w:r w:rsidR="006B26B2" w:rsidRPr="00D6191E">
        <w:rPr>
          <w:rFonts w:asciiTheme="minorEastAsia" w:eastAsiaTheme="minorEastAsia" w:hAnsiTheme="minorEastAsia" w:cs="仿宋_GB2312" w:hint="eastAsia"/>
          <w:bCs/>
          <w:kern w:val="0"/>
        </w:rPr>
        <w:t>依法募集资金，办理基金份额的发售和登记事宜；</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bCs/>
          <w:kern w:val="0"/>
        </w:rPr>
      </w:pPr>
      <w:r w:rsidRPr="00D6191E">
        <w:rPr>
          <w:rFonts w:asciiTheme="minorEastAsia" w:eastAsiaTheme="minorEastAsia" w:hAnsiTheme="minorEastAsia" w:cs="仿宋_GB2312" w:hint="eastAsia"/>
          <w:bCs/>
          <w:kern w:val="0"/>
        </w:rPr>
        <w:t>2、</w:t>
      </w:r>
      <w:r w:rsidR="00BA4B87" w:rsidRPr="00D6191E">
        <w:rPr>
          <w:rFonts w:asciiTheme="minorEastAsia" w:eastAsiaTheme="minorEastAsia" w:hAnsiTheme="minorEastAsia" w:cs="仿宋_GB2312" w:hint="eastAsia"/>
          <w:bCs/>
          <w:kern w:val="0"/>
        </w:rPr>
        <w:t>办理基金备案手续；</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bCs/>
          <w:kern w:val="0"/>
        </w:rPr>
      </w:pPr>
      <w:r w:rsidRPr="00D6191E">
        <w:rPr>
          <w:rFonts w:asciiTheme="minorEastAsia" w:eastAsiaTheme="minorEastAsia" w:hAnsiTheme="minorEastAsia" w:cs="仿宋_GB2312" w:hint="eastAsia"/>
          <w:bCs/>
          <w:kern w:val="0"/>
        </w:rPr>
        <w:t>3、</w:t>
      </w:r>
      <w:r w:rsidR="00BA4B87" w:rsidRPr="00D6191E">
        <w:rPr>
          <w:rFonts w:asciiTheme="minorEastAsia" w:eastAsiaTheme="minorEastAsia" w:hAnsiTheme="minorEastAsia" w:cs="仿宋_GB2312" w:hint="eastAsia"/>
          <w:bCs/>
          <w:kern w:val="0"/>
        </w:rPr>
        <w:t>对所管理的不同基金财产分别管理、分别记账，进行证券投资；</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bCs/>
          <w:kern w:val="0"/>
        </w:rPr>
      </w:pPr>
      <w:r w:rsidRPr="00D6191E">
        <w:rPr>
          <w:rFonts w:asciiTheme="minorEastAsia" w:eastAsiaTheme="minorEastAsia" w:hAnsiTheme="minorEastAsia" w:cs="仿宋_GB2312" w:hint="eastAsia"/>
          <w:bCs/>
          <w:kern w:val="0"/>
        </w:rPr>
        <w:t>4、</w:t>
      </w:r>
      <w:r w:rsidR="00BA4B87" w:rsidRPr="00D6191E">
        <w:rPr>
          <w:rFonts w:asciiTheme="minorEastAsia" w:eastAsiaTheme="minorEastAsia" w:hAnsiTheme="minorEastAsia" w:cs="仿宋_GB2312" w:hint="eastAsia"/>
          <w:bCs/>
          <w:kern w:val="0"/>
        </w:rPr>
        <w:t>按照基金合同的约定确定基金收益分配方案，及时向基金份额持有人分配收益；</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bCs/>
          <w:kern w:val="0"/>
        </w:rPr>
      </w:pPr>
      <w:r w:rsidRPr="00D6191E">
        <w:rPr>
          <w:rFonts w:asciiTheme="minorEastAsia" w:eastAsiaTheme="minorEastAsia" w:hAnsiTheme="minorEastAsia" w:cs="仿宋_GB2312" w:hint="eastAsia"/>
          <w:bCs/>
          <w:kern w:val="0"/>
        </w:rPr>
        <w:t>5、</w:t>
      </w:r>
      <w:r w:rsidR="00BA4B87" w:rsidRPr="00D6191E">
        <w:rPr>
          <w:rFonts w:asciiTheme="minorEastAsia" w:eastAsiaTheme="minorEastAsia" w:hAnsiTheme="minorEastAsia" w:cs="仿宋_GB2312" w:hint="eastAsia"/>
          <w:bCs/>
          <w:kern w:val="0"/>
        </w:rPr>
        <w:t>进行基金会计核算并编制基金财务会计报告；</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bCs/>
          <w:kern w:val="0"/>
        </w:rPr>
      </w:pPr>
      <w:r w:rsidRPr="00D6191E">
        <w:rPr>
          <w:rFonts w:asciiTheme="minorEastAsia" w:eastAsiaTheme="minorEastAsia" w:hAnsiTheme="minorEastAsia" w:cs="仿宋_GB2312" w:hint="eastAsia"/>
          <w:bCs/>
          <w:kern w:val="0"/>
        </w:rPr>
        <w:t>6、</w:t>
      </w:r>
      <w:r w:rsidR="00BA4B87" w:rsidRPr="00D6191E">
        <w:rPr>
          <w:rFonts w:asciiTheme="minorEastAsia" w:eastAsiaTheme="minorEastAsia" w:hAnsiTheme="minorEastAsia" w:cs="仿宋_GB2312" w:hint="eastAsia"/>
          <w:bCs/>
          <w:kern w:val="0"/>
        </w:rPr>
        <w:t>编制季度</w:t>
      </w:r>
      <w:r w:rsidR="00F44B20" w:rsidRPr="00D6191E">
        <w:rPr>
          <w:rFonts w:asciiTheme="minorEastAsia" w:eastAsiaTheme="minorEastAsia" w:hAnsiTheme="minorEastAsia" w:cs="仿宋_GB2312" w:hint="eastAsia"/>
          <w:bCs/>
          <w:kern w:val="0"/>
        </w:rPr>
        <w:t>报告</w:t>
      </w:r>
      <w:r w:rsidR="00BA4B87" w:rsidRPr="00D6191E">
        <w:rPr>
          <w:rFonts w:asciiTheme="minorEastAsia" w:eastAsiaTheme="minorEastAsia" w:hAnsiTheme="minorEastAsia" w:cs="仿宋_GB2312" w:hint="eastAsia"/>
          <w:bCs/>
          <w:kern w:val="0"/>
        </w:rPr>
        <w:t>、</w:t>
      </w:r>
      <w:r w:rsidR="00F44B20" w:rsidRPr="00D6191E">
        <w:rPr>
          <w:rFonts w:asciiTheme="minorEastAsia" w:eastAsiaTheme="minorEastAsia" w:hAnsiTheme="minorEastAsia" w:cs="仿宋_GB2312" w:hint="eastAsia"/>
          <w:bCs/>
          <w:kern w:val="0"/>
        </w:rPr>
        <w:t>中期报告</w:t>
      </w:r>
      <w:r w:rsidR="00BA4B87" w:rsidRPr="00D6191E">
        <w:rPr>
          <w:rFonts w:asciiTheme="minorEastAsia" w:eastAsiaTheme="minorEastAsia" w:hAnsiTheme="minorEastAsia" w:cs="仿宋_GB2312" w:hint="eastAsia"/>
          <w:bCs/>
          <w:kern w:val="0"/>
        </w:rPr>
        <w:t>和年度报告；</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bCs/>
          <w:kern w:val="0"/>
        </w:rPr>
      </w:pPr>
      <w:r w:rsidRPr="00D6191E">
        <w:rPr>
          <w:rFonts w:asciiTheme="minorEastAsia" w:eastAsiaTheme="minorEastAsia" w:hAnsiTheme="minorEastAsia" w:cs="仿宋_GB2312" w:hint="eastAsia"/>
          <w:bCs/>
          <w:kern w:val="0"/>
        </w:rPr>
        <w:lastRenderedPageBreak/>
        <w:t>7、</w:t>
      </w:r>
      <w:r w:rsidR="00BA4B87" w:rsidRPr="00D6191E">
        <w:rPr>
          <w:rFonts w:asciiTheme="minorEastAsia" w:eastAsiaTheme="minorEastAsia" w:hAnsiTheme="minorEastAsia" w:cs="仿宋_GB2312" w:hint="eastAsia"/>
          <w:bCs/>
          <w:kern w:val="0"/>
        </w:rPr>
        <w:t>计算并公告基金净值</w:t>
      </w:r>
      <w:r w:rsidR="00F44B20" w:rsidRPr="00D6191E">
        <w:rPr>
          <w:rFonts w:asciiTheme="minorEastAsia" w:eastAsiaTheme="minorEastAsia" w:hAnsiTheme="minorEastAsia" w:cs="仿宋_GB2312" w:hint="eastAsia"/>
          <w:bCs/>
          <w:kern w:val="0"/>
        </w:rPr>
        <w:t>信息</w:t>
      </w:r>
      <w:r w:rsidR="00BA4B87" w:rsidRPr="00D6191E">
        <w:rPr>
          <w:rFonts w:asciiTheme="minorEastAsia" w:eastAsiaTheme="minorEastAsia" w:hAnsiTheme="minorEastAsia" w:cs="仿宋_GB2312" w:hint="eastAsia"/>
          <w:bCs/>
          <w:kern w:val="0"/>
        </w:rPr>
        <w:t>，确定基金份额申购、赎回价格；</w:t>
      </w:r>
    </w:p>
    <w:p w:rsidR="00BA4B87" w:rsidRPr="00D6191E" w:rsidRDefault="000449FE" w:rsidP="00BA4C79">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8、</w:t>
      </w:r>
      <w:r w:rsidR="00BA4B87" w:rsidRPr="00D6191E">
        <w:rPr>
          <w:rFonts w:asciiTheme="minorEastAsia" w:eastAsiaTheme="minorEastAsia" w:hAnsiTheme="minorEastAsia" w:cs="仿宋_GB2312" w:hint="eastAsia"/>
          <w:kern w:val="0"/>
        </w:rPr>
        <w:t>办理与基金财产管理业务活动有关的信息披露事项；</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9、</w:t>
      </w:r>
      <w:r w:rsidR="006B26B2" w:rsidRPr="00D6191E">
        <w:rPr>
          <w:rFonts w:asciiTheme="minorEastAsia" w:eastAsiaTheme="minorEastAsia" w:hAnsiTheme="minorEastAsia" w:cs="仿宋_GB2312" w:hint="eastAsia"/>
          <w:kern w:val="0"/>
        </w:rPr>
        <w:t>按照规定</w:t>
      </w:r>
      <w:r w:rsidR="00BA4B87" w:rsidRPr="00D6191E">
        <w:rPr>
          <w:rFonts w:asciiTheme="minorEastAsia" w:eastAsiaTheme="minorEastAsia" w:hAnsiTheme="minorEastAsia" w:cs="仿宋_GB2312" w:hint="eastAsia"/>
          <w:kern w:val="0"/>
        </w:rPr>
        <w:t>召集基金份额持有人大会；</w:t>
      </w:r>
    </w:p>
    <w:p w:rsidR="00BA4B87" w:rsidRPr="00D6191E" w:rsidRDefault="000449FE" w:rsidP="00BA4C79">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10、</w:t>
      </w:r>
      <w:r w:rsidR="00BA4B87" w:rsidRPr="00D6191E">
        <w:rPr>
          <w:rFonts w:asciiTheme="minorEastAsia" w:eastAsiaTheme="minorEastAsia" w:hAnsiTheme="minorEastAsia" w:cs="仿宋_GB2312" w:hint="eastAsia"/>
          <w:kern w:val="0"/>
        </w:rPr>
        <w:t>保存基金财产管理业务活动的记录、账册、报表和其他相关资料；</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11、</w:t>
      </w:r>
      <w:r w:rsidR="00BA4B87" w:rsidRPr="00D6191E">
        <w:rPr>
          <w:rFonts w:asciiTheme="minorEastAsia" w:eastAsiaTheme="minorEastAsia" w:hAnsiTheme="minorEastAsia" w:cs="仿宋_GB2312" w:hint="eastAsia"/>
          <w:kern w:val="0"/>
        </w:rPr>
        <w:t>以基金管理人名义，代表基金份额持有人利益行使诉讼权利或者实施其他法律行为；</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12、</w:t>
      </w:r>
      <w:r w:rsidR="00BA4B87" w:rsidRPr="00D6191E">
        <w:rPr>
          <w:rFonts w:asciiTheme="minorEastAsia" w:eastAsiaTheme="minorEastAsia" w:hAnsiTheme="minorEastAsia" w:cs="仿宋_GB2312" w:hint="eastAsia"/>
          <w:kern w:val="0"/>
        </w:rPr>
        <w:t>国务院证券监督管理机构规定的其他职责。</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szCs w:val="21"/>
        </w:rPr>
      </w:pPr>
      <w:bookmarkStart w:id="6" w:name="_Toc86315833"/>
      <w:r w:rsidRPr="00D6191E">
        <w:rPr>
          <w:rFonts w:asciiTheme="minorEastAsia" w:eastAsiaTheme="minorEastAsia" w:hAnsiTheme="minorEastAsia" w:hint="eastAsia"/>
          <w:b w:val="0"/>
          <w:bCs/>
          <w:szCs w:val="21"/>
        </w:rPr>
        <w:t>(四)基金管理人的承诺</w:t>
      </w:r>
      <w:bookmarkEnd w:id="6"/>
    </w:p>
    <w:p w:rsidR="00BA4B87" w:rsidRPr="00D6191E" w:rsidRDefault="000449FE" w:rsidP="000449FE">
      <w:pPr>
        <w:snapToGrid w:val="0"/>
        <w:spacing w:line="360" w:lineRule="auto"/>
        <w:ind w:firstLineChars="200" w:firstLine="420"/>
        <w:rPr>
          <w:rFonts w:asciiTheme="minorEastAsia" w:eastAsiaTheme="minorEastAsia" w:hAnsiTheme="minorEastAsia" w:cs="仿宋_GB2312"/>
          <w:bCs/>
          <w:kern w:val="0"/>
        </w:rPr>
      </w:pPr>
      <w:r w:rsidRPr="00D6191E">
        <w:rPr>
          <w:rFonts w:asciiTheme="minorEastAsia" w:eastAsiaTheme="minorEastAsia" w:hAnsiTheme="minorEastAsia" w:cs="仿宋_GB2312" w:hint="eastAsia"/>
          <w:bCs/>
          <w:kern w:val="0"/>
        </w:rPr>
        <w:t>1、</w:t>
      </w:r>
      <w:r w:rsidR="00BA4B87" w:rsidRPr="00D6191E">
        <w:rPr>
          <w:rFonts w:asciiTheme="minorEastAsia" w:eastAsiaTheme="minorEastAsia" w:hAnsiTheme="minorEastAsia" w:cs="仿宋_GB2312" w:hint="eastAsia"/>
          <w:bCs/>
          <w:kern w:val="0"/>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bCs/>
          <w:kern w:val="0"/>
        </w:rPr>
      </w:pPr>
      <w:r w:rsidRPr="00D6191E">
        <w:rPr>
          <w:rFonts w:asciiTheme="minorEastAsia" w:eastAsiaTheme="minorEastAsia" w:hAnsiTheme="minorEastAsia" w:cs="仿宋_GB2312" w:hint="eastAsia"/>
          <w:bCs/>
          <w:kern w:val="0"/>
        </w:rPr>
        <w:t>2、</w:t>
      </w:r>
      <w:r w:rsidR="00BA4B87" w:rsidRPr="00D6191E">
        <w:rPr>
          <w:rFonts w:asciiTheme="minorEastAsia" w:eastAsiaTheme="minorEastAsia" w:hAnsiTheme="minorEastAsia" w:cs="仿宋_GB2312" w:hint="eastAsia"/>
          <w:bCs/>
          <w:kern w:val="0"/>
        </w:rPr>
        <w:t>本基金管理人承诺严格遵守《证券法》、《基金法》及有关法律法规，建立健全内部控制制度，采取有效措施，防止下列行为发生：</w:t>
      </w:r>
    </w:p>
    <w:p w:rsidR="00BA4B87" w:rsidRPr="00D6191E" w:rsidRDefault="000449FE" w:rsidP="00BA4C79">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（1）</w:t>
      </w:r>
      <w:r w:rsidR="00BA4B87" w:rsidRPr="00D6191E">
        <w:rPr>
          <w:rFonts w:asciiTheme="minorEastAsia" w:eastAsiaTheme="minorEastAsia" w:hAnsiTheme="minorEastAsia" w:cs="仿宋_GB2312" w:hint="eastAsia"/>
          <w:kern w:val="0"/>
        </w:rPr>
        <w:t>将其固有财产或者他人财产混同于基金财产从事证券投资；</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（2）</w:t>
      </w:r>
      <w:r w:rsidR="00BA4B87" w:rsidRPr="00D6191E">
        <w:rPr>
          <w:rFonts w:asciiTheme="minorEastAsia" w:eastAsiaTheme="minorEastAsia" w:hAnsiTheme="minorEastAsia" w:cs="仿宋_GB2312" w:hint="eastAsia"/>
          <w:kern w:val="0"/>
        </w:rPr>
        <w:t>不公平地对待其管理的不同基金财产；</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（3）</w:t>
      </w:r>
      <w:r w:rsidR="00BA4B87" w:rsidRPr="00D6191E">
        <w:rPr>
          <w:rFonts w:asciiTheme="minorEastAsia" w:eastAsiaTheme="minorEastAsia" w:hAnsiTheme="minorEastAsia" w:cs="仿宋_GB2312" w:hint="eastAsia"/>
          <w:kern w:val="0"/>
        </w:rPr>
        <w:t>利用基金财产</w:t>
      </w:r>
      <w:r w:rsidR="006B26B2" w:rsidRPr="00D6191E">
        <w:rPr>
          <w:rFonts w:asciiTheme="minorEastAsia" w:eastAsiaTheme="minorEastAsia" w:hAnsiTheme="minorEastAsia" w:cs="仿宋_GB2312" w:hint="eastAsia"/>
          <w:kern w:val="0"/>
        </w:rPr>
        <w:t>或者职务之便</w:t>
      </w:r>
      <w:r w:rsidR="00BA4B87" w:rsidRPr="00D6191E">
        <w:rPr>
          <w:rFonts w:asciiTheme="minorEastAsia" w:eastAsiaTheme="minorEastAsia" w:hAnsiTheme="minorEastAsia" w:cs="仿宋_GB2312" w:hint="eastAsia"/>
          <w:kern w:val="0"/>
        </w:rPr>
        <w:t>为基金份额持有人以外的第三人谋取利益；</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（4）</w:t>
      </w:r>
      <w:r w:rsidR="00BA4B87" w:rsidRPr="00D6191E">
        <w:rPr>
          <w:rFonts w:asciiTheme="minorEastAsia" w:eastAsiaTheme="minorEastAsia" w:hAnsiTheme="minorEastAsia" w:cs="仿宋_GB2312" w:hint="eastAsia"/>
          <w:kern w:val="0"/>
        </w:rPr>
        <w:t>向基金份额持有人违规承诺收益或者承担损失；</w:t>
      </w:r>
    </w:p>
    <w:p w:rsidR="006B26B2" w:rsidRPr="00D6191E" w:rsidRDefault="000449FE"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（5）</w:t>
      </w:r>
      <w:r w:rsidR="006B26B2" w:rsidRPr="00D6191E">
        <w:rPr>
          <w:rFonts w:asciiTheme="minorEastAsia" w:eastAsiaTheme="minorEastAsia" w:hAnsiTheme="minorEastAsia" w:cs="仿宋_GB2312" w:hint="eastAsia"/>
          <w:kern w:val="0"/>
        </w:rPr>
        <w:t>侵占、挪用基金财产；</w:t>
      </w:r>
    </w:p>
    <w:p w:rsidR="006B26B2" w:rsidRPr="00D6191E" w:rsidRDefault="000449FE"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（6）</w:t>
      </w:r>
      <w:r w:rsidR="006B26B2" w:rsidRPr="00D6191E">
        <w:rPr>
          <w:rFonts w:asciiTheme="minorEastAsia" w:eastAsiaTheme="minorEastAsia" w:hAnsiTheme="minorEastAsia" w:cs="仿宋_GB2312" w:hint="eastAsia"/>
          <w:kern w:val="0"/>
        </w:rPr>
        <w:t>泄露因职务便利获取的未公开信息、利用该信息从事或者明示、暗示他人从事相关的交易活动；</w:t>
      </w:r>
    </w:p>
    <w:p w:rsidR="006B26B2" w:rsidRPr="00D6191E" w:rsidRDefault="000449FE" w:rsidP="00BA4C79">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（7）</w:t>
      </w:r>
      <w:r w:rsidR="006B26B2" w:rsidRPr="00D6191E">
        <w:rPr>
          <w:rFonts w:asciiTheme="minorEastAsia" w:eastAsiaTheme="minorEastAsia" w:hAnsiTheme="minorEastAsia" w:cs="仿宋_GB2312" w:hint="eastAsia"/>
          <w:kern w:val="0"/>
        </w:rPr>
        <w:t>玩忽职守，不按照规定履行职责；</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（8）</w:t>
      </w:r>
      <w:r w:rsidR="006B26B2" w:rsidRPr="00D6191E">
        <w:rPr>
          <w:rFonts w:asciiTheme="minorEastAsia" w:eastAsiaTheme="minorEastAsia" w:hAnsiTheme="minorEastAsia" w:cs="仿宋_GB2312" w:hint="eastAsia"/>
          <w:kern w:val="0"/>
        </w:rPr>
        <w:t>法律、行政法规和中国证监会规定禁止的其他行为。</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3、</w:t>
      </w:r>
      <w:r w:rsidR="00BA4B87" w:rsidRPr="00D6191E">
        <w:rPr>
          <w:rFonts w:asciiTheme="minorEastAsia" w:eastAsiaTheme="minorEastAsia" w:hAnsiTheme="minorEastAsia" w:cs="仿宋_GB2312" w:hint="eastAsia"/>
          <w:kern w:val="0"/>
        </w:rPr>
        <w:t>本基金管理人承诺加强人员管理，强化职业操守，督促和约束员工遵守国家有关法律、法规及行业规范，诚实信用、勤勉尽责，不从事以下活动：</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（1）</w:t>
      </w:r>
      <w:r w:rsidR="00BA4B87" w:rsidRPr="00D6191E">
        <w:rPr>
          <w:rFonts w:asciiTheme="minorEastAsia" w:eastAsiaTheme="minorEastAsia" w:hAnsiTheme="minorEastAsia" w:cs="仿宋_GB2312" w:hint="eastAsia"/>
          <w:kern w:val="0"/>
        </w:rPr>
        <w:t>越权或违规经营；</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（2）</w:t>
      </w:r>
      <w:r w:rsidR="00BA4B87" w:rsidRPr="00D6191E">
        <w:rPr>
          <w:rFonts w:asciiTheme="minorEastAsia" w:eastAsiaTheme="minorEastAsia" w:hAnsiTheme="minorEastAsia" w:cs="仿宋_GB2312" w:hint="eastAsia"/>
          <w:kern w:val="0"/>
        </w:rPr>
        <w:t>违反基金合同或托管协议；</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（3）</w:t>
      </w:r>
      <w:r w:rsidR="00BA4B87" w:rsidRPr="00D6191E">
        <w:rPr>
          <w:rFonts w:asciiTheme="minorEastAsia" w:eastAsiaTheme="minorEastAsia" w:hAnsiTheme="minorEastAsia" w:cs="仿宋_GB2312" w:hint="eastAsia"/>
          <w:kern w:val="0"/>
        </w:rPr>
        <w:t>故意损害基金份额持有人或其他基金相关机构的合法利益；</w:t>
      </w:r>
    </w:p>
    <w:p w:rsidR="00BA4B87" w:rsidRPr="00D6191E" w:rsidRDefault="000449FE" w:rsidP="00BA4C79">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（4）</w:t>
      </w:r>
      <w:r w:rsidR="00BA4B87" w:rsidRPr="00D6191E">
        <w:rPr>
          <w:rFonts w:asciiTheme="minorEastAsia" w:eastAsiaTheme="minorEastAsia" w:hAnsiTheme="minorEastAsia" w:cs="仿宋_GB2312" w:hint="eastAsia"/>
          <w:kern w:val="0"/>
        </w:rPr>
        <w:t>在向中国证监会报送的资料中弄虚作假；</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（5）</w:t>
      </w:r>
      <w:r w:rsidR="00BA4B87" w:rsidRPr="00D6191E">
        <w:rPr>
          <w:rFonts w:asciiTheme="minorEastAsia" w:eastAsiaTheme="minorEastAsia" w:hAnsiTheme="minorEastAsia" w:cs="仿宋_GB2312" w:hint="eastAsia"/>
          <w:kern w:val="0"/>
        </w:rPr>
        <w:t>拒绝、干扰、阻挠或严重影响中国证监会依法监管；</w:t>
      </w:r>
    </w:p>
    <w:p w:rsidR="00BA4B87" w:rsidRPr="00D6191E" w:rsidRDefault="000449FE" w:rsidP="00BA4C79">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（6）</w:t>
      </w:r>
      <w:r w:rsidR="00BA4B87" w:rsidRPr="00D6191E">
        <w:rPr>
          <w:rFonts w:asciiTheme="minorEastAsia" w:eastAsiaTheme="minorEastAsia" w:hAnsiTheme="minorEastAsia" w:cs="仿宋_GB2312" w:hint="eastAsia"/>
          <w:kern w:val="0"/>
        </w:rPr>
        <w:t>玩忽职守、滥用职权；</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（7）</w:t>
      </w:r>
      <w:r w:rsidR="00BA4B87" w:rsidRPr="00D6191E">
        <w:rPr>
          <w:rFonts w:asciiTheme="minorEastAsia" w:eastAsiaTheme="minorEastAsia" w:hAnsiTheme="minorEastAsia" w:cs="仿宋_GB2312" w:hint="eastAsia"/>
          <w:kern w:val="0"/>
        </w:rPr>
        <w:t>违反现行有效的有关法律、法规、规章、基金合同和中国证监会的有关规定，泄漏在任职期间知悉的有关证券、基金的商业秘密，尚未依法公开的基金投资内容、基金投资计划等信息；</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bCs/>
          <w:kern w:val="0"/>
        </w:rPr>
      </w:pPr>
      <w:r w:rsidRPr="00D6191E">
        <w:rPr>
          <w:rFonts w:asciiTheme="minorEastAsia" w:eastAsiaTheme="minorEastAsia" w:hAnsiTheme="minorEastAsia" w:cs="仿宋_GB2312" w:hint="eastAsia"/>
          <w:bCs/>
          <w:kern w:val="0"/>
        </w:rPr>
        <w:t>（8）</w:t>
      </w:r>
      <w:r w:rsidR="00BA4B87" w:rsidRPr="00D6191E">
        <w:rPr>
          <w:rFonts w:asciiTheme="minorEastAsia" w:eastAsiaTheme="minorEastAsia" w:hAnsiTheme="minorEastAsia" w:cs="仿宋_GB2312" w:hint="eastAsia"/>
          <w:bCs/>
          <w:kern w:val="0"/>
        </w:rPr>
        <w:t>违反证券交易场所业务规则，利用对敲、倒仓等手段操纵市场价格，扰乱市场秩序；</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bCs/>
          <w:kern w:val="0"/>
        </w:rPr>
      </w:pPr>
      <w:r w:rsidRPr="00D6191E">
        <w:rPr>
          <w:rFonts w:asciiTheme="minorEastAsia" w:eastAsiaTheme="minorEastAsia" w:hAnsiTheme="minorEastAsia" w:cs="仿宋_GB2312" w:hint="eastAsia"/>
          <w:bCs/>
          <w:kern w:val="0"/>
        </w:rPr>
        <w:lastRenderedPageBreak/>
        <w:t>（9）</w:t>
      </w:r>
      <w:r w:rsidR="00BA4B87" w:rsidRPr="00D6191E">
        <w:rPr>
          <w:rFonts w:asciiTheme="minorEastAsia" w:eastAsiaTheme="minorEastAsia" w:hAnsiTheme="minorEastAsia" w:cs="仿宋_GB2312" w:hint="eastAsia"/>
          <w:bCs/>
          <w:kern w:val="0"/>
        </w:rPr>
        <w:t>贬损同行，以抬高自己；</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bCs/>
          <w:kern w:val="0"/>
        </w:rPr>
      </w:pPr>
      <w:r w:rsidRPr="00D6191E">
        <w:rPr>
          <w:rFonts w:asciiTheme="minorEastAsia" w:eastAsiaTheme="minorEastAsia" w:hAnsiTheme="minorEastAsia" w:cs="仿宋_GB2312" w:hint="eastAsia"/>
          <w:bCs/>
          <w:kern w:val="0"/>
        </w:rPr>
        <w:t>（10）</w:t>
      </w:r>
      <w:r w:rsidR="00BA4B87" w:rsidRPr="00D6191E">
        <w:rPr>
          <w:rFonts w:asciiTheme="minorEastAsia" w:eastAsiaTheme="minorEastAsia" w:hAnsiTheme="minorEastAsia" w:cs="仿宋_GB2312" w:hint="eastAsia"/>
          <w:bCs/>
          <w:kern w:val="0"/>
        </w:rPr>
        <w:t>以不正当手段谋求业务发展；</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bCs/>
          <w:kern w:val="0"/>
        </w:rPr>
      </w:pPr>
      <w:r w:rsidRPr="00D6191E">
        <w:rPr>
          <w:rFonts w:asciiTheme="minorEastAsia" w:eastAsiaTheme="minorEastAsia" w:hAnsiTheme="minorEastAsia" w:cs="仿宋_GB2312" w:hint="eastAsia"/>
          <w:bCs/>
          <w:kern w:val="0"/>
        </w:rPr>
        <w:t>（11）</w:t>
      </w:r>
      <w:r w:rsidR="00BA4B87" w:rsidRPr="00D6191E">
        <w:rPr>
          <w:rFonts w:asciiTheme="minorEastAsia" w:eastAsiaTheme="minorEastAsia" w:hAnsiTheme="minorEastAsia" w:cs="仿宋_GB2312" w:hint="eastAsia"/>
          <w:bCs/>
          <w:kern w:val="0"/>
        </w:rPr>
        <w:t>有悖社会公德，损害证券投资基金人员形象；</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bCs/>
          <w:kern w:val="0"/>
        </w:rPr>
      </w:pPr>
      <w:r w:rsidRPr="00D6191E">
        <w:rPr>
          <w:rFonts w:asciiTheme="minorEastAsia" w:eastAsiaTheme="minorEastAsia" w:hAnsiTheme="minorEastAsia" w:cs="仿宋_GB2312" w:hint="eastAsia"/>
          <w:bCs/>
          <w:kern w:val="0"/>
        </w:rPr>
        <w:t>（12）</w:t>
      </w:r>
      <w:r w:rsidR="00BA4B87" w:rsidRPr="00D6191E">
        <w:rPr>
          <w:rFonts w:asciiTheme="minorEastAsia" w:eastAsiaTheme="minorEastAsia" w:hAnsiTheme="minorEastAsia" w:cs="仿宋_GB2312" w:hint="eastAsia"/>
          <w:bCs/>
          <w:kern w:val="0"/>
        </w:rPr>
        <w:t>在公开信息披露和广告中故意含有虚假、误导、欺诈成分；</w:t>
      </w:r>
    </w:p>
    <w:p w:rsidR="00BA4B87" w:rsidRPr="00D6191E" w:rsidRDefault="000449FE" w:rsidP="000449FE">
      <w:pPr>
        <w:snapToGrid w:val="0"/>
        <w:spacing w:line="360" w:lineRule="auto"/>
        <w:ind w:firstLineChars="200" w:firstLine="420"/>
        <w:rPr>
          <w:rFonts w:asciiTheme="minorEastAsia" w:eastAsiaTheme="minorEastAsia" w:hAnsiTheme="minorEastAsia" w:cs="仿宋_GB2312"/>
          <w:bCs/>
          <w:kern w:val="0"/>
        </w:rPr>
      </w:pPr>
      <w:r w:rsidRPr="00D6191E">
        <w:rPr>
          <w:rFonts w:asciiTheme="minorEastAsia" w:eastAsiaTheme="minorEastAsia" w:hAnsiTheme="minorEastAsia" w:cs="仿宋_GB2312" w:hint="eastAsia"/>
          <w:bCs/>
          <w:kern w:val="0"/>
        </w:rPr>
        <w:t>（13）</w:t>
      </w:r>
      <w:r w:rsidR="00BA4B87" w:rsidRPr="00D6191E">
        <w:rPr>
          <w:rFonts w:asciiTheme="minorEastAsia" w:eastAsiaTheme="minorEastAsia" w:hAnsiTheme="minorEastAsia" w:cs="仿宋_GB2312" w:hint="eastAsia"/>
          <w:bCs/>
          <w:kern w:val="0"/>
        </w:rPr>
        <w:t>其他法律、行政法规以及中国证监会禁止的行为。</w:t>
      </w:r>
    </w:p>
    <w:p w:rsidR="00BA4B87" w:rsidRPr="00D6191E" w:rsidRDefault="000449FE" w:rsidP="00BA4C79">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4、</w:t>
      </w:r>
      <w:r w:rsidR="00BA4B87" w:rsidRPr="00D6191E">
        <w:rPr>
          <w:rFonts w:asciiTheme="minorEastAsia" w:eastAsiaTheme="minorEastAsia" w:hAnsiTheme="minorEastAsia" w:cs="仿宋_GB2312" w:hint="eastAsia"/>
          <w:kern w:val="0"/>
        </w:rPr>
        <w:t>基金经理承诺</w:t>
      </w:r>
    </w:p>
    <w:p w:rsidR="00BA4B87" w:rsidRPr="00D6191E" w:rsidRDefault="00BA4B87" w:rsidP="00BA4C79">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(1)依照有关法律、法规和基金合同的规定，本着谨慎的原则为基金份额持有人谋取最大利益；</w:t>
      </w:r>
    </w:p>
    <w:p w:rsidR="00BA4B87" w:rsidRPr="00D6191E" w:rsidRDefault="00BA4B87" w:rsidP="00BA4C79">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(2)不利用职务之便为自己及其代理人、受雇人或任何第三人谋取利益；</w:t>
      </w:r>
    </w:p>
    <w:p w:rsidR="00BA4B87" w:rsidRPr="00D6191E" w:rsidRDefault="00BA4B87" w:rsidP="000449FE">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(3)不违反现行有效的有关法律、法规、规章、基金合同和中国证监会的有关规定，泄漏在任职期间知悉的有关证券、基金的商业秘密、尚未依法公开的基金投资内容、基金投资计划等信息；</w:t>
      </w:r>
    </w:p>
    <w:p w:rsidR="00BA4B87" w:rsidRPr="00D6191E" w:rsidRDefault="00BA4B87" w:rsidP="00BA4C79">
      <w:pPr>
        <w:snapToGrid w:val="0"/>
        <w:spacing w:line="360" w:lineRule="auto"/>
        <w:ind w:firstLineChars="200" w:firstLine="420"/>
        <w:rPr>
          <w:rFonts w:asciiTheme="minorEastAsia" w:eastAsiaTheme="minorEastAsia" w:hAnsiTheme="minorEastAsia" w:cs="仿宋_GB2312"/>
          <w:kern w:val="0"/>
        </w:rPr>
      </w:pPr>
      <w:r w:rsidRPr="00D6191E">
        <w:rPr>
          <w:rFonts w:asciiTheme="minorEastAsia" w:eastAsiaTheme="minorEastAsia" w:hAnsiTheme="minorEastAsia" w:cs="仿宋_GB2312" w:hint="eastAsia"/>
          <w:kern w:val="0"/>
        </w:rPr>
        <w:t>(4)不从事损害基金财产和基金份额持有人利益的证券交易及其他活动。</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szCs w:val="21"/>
        </w:rPr>
      </w:pPr>
      <w:bookmarkStart w:id="7" w:name="_Toc86315834"/>
      <w:r w:rsidRPr="00D6191E">
        <w:rPr>
          <w:rFonts w:asciiTheme="minorEastAsia" w:eastAsiaTheme="minorEastAsia" w:hAnsiTheme="minorEastAsia" w:hint="eastAsia"/>
          <w:b w:val="0"/>
          <w:bCs/>
          <w:szCs w:val="21"/>
        </w:rPr>
        <w:t>(五)基金管理人的内部控制制度</w:t>
      </w:r>
      <w:bookmarkEnd w:id="7"/>
    </w:p>
    <w:p w:rsidR="00BA4B87" w:rsidRPr="00D6191E" w:rsidRDefault="00BA4B87" w:rsidP="000449FE">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D6191E">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B070B0" w:rsidRDefault="005C077B">
      <w:pPr>
        <w:spacing w:line="360" w:lineRule="auto"/>
        <w:ind w:firstLine="420"/>
      </w:pPr>
      <w:r>
        <w:t>1</w:t>
      </w:r>
      <w:r>
        <w:t>、公司内部控制的总体目标</w:t>
      </w:r>
    </w:p>
    <w:p w:rsidR="00B070B0" w:rsidRDefault="005C077B">
      <w:pPr>
        <w:spacing w:line="360" w:lineRule="auto"/>
        <w:ind w:firstLine="420"/>
      </w:pPr>
      <w:r>
        <w:t>（</w:t>
      </w:r>
      <w:r>
        <w:t>1</w:t>
      </w:r>
      <w:r>
        <w:t>）保证公司经营管理活动的合法合规性；</w:t>
      </w:r>
    </w:p>
    <w:p w:rsidR="00B070B0" w:rsidRDefault="005C077B">
      <w:pPr>
        <w:spacing w:line="360" w:lineRule="auto"/>
        <w:ind w:firstLine="420"/>
      </w:pPr>
      <w:r>
        <w:t>（</w:t>
      </w:r>
      <w:r>
        <w:t>2</w:t>
      </w:r>
      <w:r>
        <w:t>）保证各类基金份额持有人及委托人的合法权益不受侵犯；</w:t>
      </w:r>
    </w:p>
    <w:p w:rsidR="00B070B0" w:rsidRDefault="005C077B">
      <w:pPr>
        <w:spacing w:line="360" w:lineRule="auto"/>
        <w:ind w:firstLine="420"/>
      </w:pPr>
      <w:r>
        <w:t>（</w:t>
      </w:r>
      <w:r>
        <w:t>3</w:t>
      </w:r>
      <w:r>
        <w:t>）防范和化解经营风险，提高经营管理效率，确保业务稳健经营运行和受托资产安全完整，实现公司的持续、健康发展，促进公司实现发展战略；</w:t>
      </w:r>
    </w:p>
    <w:p w:rsidR="00B070B0" w:rsidRDefault="005C077B">
      <w:pPr>
        <w:spacing w:line="360" w:lineRule="auto"/>
        <w:ind w:firstLine="420"/>
      </w:pPr>
      <w:r>
        <w:t>（</w:t>
      </w:r>
      <w:r>
        <w:t>4</w:t>
      </w:r>
      <w:r>
        <w:t>）督促公司全体员工恪守职业操守，正直诚信，廉洁自律，勤勉尽责；</w:t>
      </w:r>
    </w:p>
    <w:p w:rsidR="00B070B0" w:rsidRDefault="005C077B">
      <w:pPr>
        <w:spacing w:line="360" w:lineRule="auto"/>
        <w:ind w:firstLine="420"/>
      </w:pPr>
      <w:r>
        <w:t>（</w:t>
      </w:r>
      <w:r>
        <w:t>5</w:t>
      </w:r>
      <w:r>
        <w:t>）维护公司的声誉，保持公司的良好形象。</w:t>
      </w:r>
    </w:p>
    <w:p w:rsidR="00B070B0" w:rsidRDefault="005C077B">
      <w:pPr>
        <w:spacing w:line="360" w:lineRule="auto"/>
        <w:ind w:firstLine="420"/>
      </w:pPr>
      <w:r>
        <w:t>2</w:t>
      </w:r>
      <w:r>
        <w:t>、公司内部控制遵循的原则</w:t>
      </w:r>
    </w:p>
    <w:p w:rsidR="00B070B0" w:rsidRDefault="005C077B">
      <w:pPr>
        <w:spacing w:line="360" w:lineRule="auto"/>
        <w:ind w:firstLine="420"/>
      </w:pPr>
      <w:r>
        <w:t>（</w:t>
      </w:r>
      <w:r>
        <w:t>1</w:t>
      </w:r>
      <w:r>
        <w:t>）健全性原则。内部控制应当包括公司的各项业务、各个部门或机构和各级人员</w:t>
      </w:r>
      <w:r>
        <w:t>,</w:t>
      </w:r>
      <w:r>
        <w:t>并涵盖到决策、执行、监督、反馈等各个环节。</w:t>
      </w:r>
    </w:p>
    <w:p w:rsidR="00B070B0" w:rsidRDefault="005C077B">
      <w:pPr>
        <w:spacing w:line="360" w:lineRule="auto"/>
        <w:ind w:firstLine="420"/>
      </w:pPr>
      <w:r>
        <w:t>（</w:t>
      </w:r>
      <w:r>
        <w:t>2</w:t>
      </w:r>
      <w:r>
        <w:t>）有效性原则。通过科学的内控手段和方法，建立合理的内控程序，维护内控制度的有效执行。</w:t>
      </w:r>
    </w:p>
    <w:p w:rsidR="00B070B0" w:rsidRDefault="005C077B">
      <w:pPr>
        <w:spacing w:line="360" w:lineRule="auto"/>
        <w:ind w:firstLine="420"/>
      </w:pPr>
      <w:r>
        <w:t>（</w:t>
      </w:r>
      <w:r>
        <w:t>3</w:t>
      </w:r>
      <w:r>
        <w:t>）独立性原则。公司机构、部门和岗位职责应当保持相对独立，除非法律法规另有规定，公司基金资产、自有资产、其他资产的运作应当分离。</w:t>
      </w:r>
    </w:p>
    <w:p w:rsidR="00B070B0" w:rsidRDefault="005C077B">
      <w:pPr>
        <w:spacing w:line="360" w:lineRule="auto"/>
        <w:ind w:firstLine="420"/>
      </w:pPr>
      <w:r>
        <w:lastRenderedPageBreak/>
        <w:t>（</w:t>
      </w:r>
      <w:r>
        <w:t>4</w:t>
      </w:r>
      <w:r>
        <w:t>）相互制约原则。公司内部部门和岗位的设置应当体现权责分明、相互制衡。</w:t>
      </w:r>
    </w:p>
    <w:p w:rsidR="00B070B0" w:rsidRDefault="005C077B">
      <w:pPr>
        <w:spacing w:line="360" w:lineRule="auto"/>
        <w:ind w:firstLine="420"/>
      </w:pPr>
      <w:r>
        <w:t>（</w:t>
      </w:r>
      <w:r>
        <w:t>5</w:t>
      </w:r>
      <w:r>
        <w:t>）成本效益原则。公司运用科学化的经营管理方法降低运作成本，提高经济效益，力争以合理的控制成本达到最佳的内部控制效果。</w:t>
      </w:r>
    </w:p>
    <w:p w:rsidR="00B070B0" w:rsidRDefault="005C077B">
      <w:pPr>
        <w:spacing w:line="360" w:lineRule="auto"/>
        <w:ind w:firstLine="420"/>
      </w:pPr>
      <w:r>
        <w:t>3</w:t>
      </w:r>
      <w:r>
        <w:t>、内部控制的制度体系</w:t>
      </w:r>
    </w:p>
    <w:p w:rsidR="00B070B0" w:rsidRDefault="005C077B">
      <w:pPr>
        <w:spacing w:line="360" w:lineRule="auto"/>
        <w:ind w:firstLine="420"/>
      </w:pPr>
      <w: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B070B0" w:rsidRDefault="005C077B">
      <w:pPr>
        <w:spacing w:line="360" w:lineRule="auto"/>
        <w:ind w:firstLine="420"/>
      </w:pPr>
      <w:r>
        <w:t>4</w:t>
      </w:r>
      <w:r>
        <w:t>、关于授权、研究、投资、交易等方面的控制点</w:t>
      </w:r>
    </w:p>
    <w:p w:rsidR="00B070B0" w:rsidRDefault="005C077B">
      <w:pPr>
        <w:spacing w:line="360" w:lineRule="auto"/>
        <w:ind w:firstLine="420"/>
      </w:pPr>
      <w:r>
        <w:t>（</w:t>
      </w:r>
      <w:r>
        <w:t>1</w:t>
      </w:r>
      <w:r>
        <w:t>）授权制度</w:t>
      </w:r>
    </w:p>
    <w:p w:rsidR="00B070B0" w:rsidRDefault="005C077B">
      <w:pPr>
        <w:spacing w:line="360" w:lineRule="auto"/>
        <w:ind w:firstLine="420"/>
      </w:pPr>
      <w: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B070B0" w:rsidRDefault="005C077B">
      <w:pPr>
        <w:spacing w:line="360" w:lineRule="auto"/>
        <w:ind w:firstLine="420"/>
      </w:pPr>
      <w:r>
        <w:t>（</w:t>
      </w:r>
      <w:r>
        <w:t>2</w:t>
      </w:r>
      <w:r>
        <w:t>）公司研究业务</w:t>
      </w:r>
    </w:p>
    <w:p w:rsidR="00B070B0" w:rsidRDefault="005C077B">
      <w:pPr>
        <w:spacing w:line="360" w:lineRule="auto"/>
        <w:ind w:firstLine="420"/>
      </w:pPr>
      <w: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B070B0" w:rsidRDefault="005C077B">
      <w:pPr>
        <w:spacing w:line="360" w:lineRule="auto"/>
        <w:ind w:firstLine="420"/>
      </w:pPr>
      <w:r>
        <w:t>（</w:t>
      </w:r>
      <w:r>
        <w:t>3</w:t>
      </w:r>
      <w:r>
        <w:t>）基金投资业务</w:t>
      </w:r>
    </w:p>
    <w:p w:rsidR="00B070B0" w:rsidRDefault="005C077B">
      <w:pPr>
        <w:spacing w:line="360" w:lineRule="auto"/>
        <w:ind w:firstLine="420"/>
      </w:pPr>
      <w: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B070B0" w:rsidRDefault="005C077B">
      <w:pPr>
        <w:spacing w:line="360" w:lineRule="auto"/>
        <w:ind w:firstLine="420"/>
      </w:pPr>
      <w:r>
        <w:lastRenderedPageBreak/>
        <w:t>（</w:t>
      </w:r>
      <w:r>
        <w:t>4</w:t>
      </w:r>
      <w:r>
        <w:t>）交易业务</w:t>
      </w:r>
    </w:p>
    <w:p w:rsidR="00B070B0" w:rsidRDefault="005C077B">
      <w:pPr>
        <w:spacing w:line="360" w:lineRule="auto"/>
        <w:ind w:firstLine="420"/>
      </w:pPr>
      <w: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B070B0" w:rsidRDefault="005C077B">
      <w:pPr>
        <w:spacing w:line="360" w:lineRule="auto"/>
        <w:ind w:firstLine="420"/>
      </w:pPr>
      <w:r>
        <w:t>（</w:t>
      </w:r>
      <w:r>
        <w:t>5</w:t>
      </w:r>
      <w:r>
        <w:t>）基金会计核算</w:t>
      </w:r>
    </w:p>
    <w:p w:rsidR="00B070B0" w:rsidRDefault="005C077B">
      <w:pPr>
        <w:spacing w:line="360" w:lineRule="auto"/>
        <w:ind w:firstLine="420"/>
      </w:pPr>
      <w: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B070B0" w:rsidRDefault="005C077B">
      <w:pPr>
        <w:spacing w:line="360" w:lineRule="auto"/>
        <w:ind w:firstLine="420"/>
      </w:pPr>
      <w:r>
        <w:t>（</w:t>
      </w:r>
      <w:r>
        <w:t>6</w:t>
      </w:r>
      <w:r>
        <w:t>）信息披露</w:t>
      </w:r>
    </w:p>
    <w:p w:rsidR="00B070B0" w:rsidRDefault="005C077B">
      <w:pPr>
        <w:spacing w:line="360" w:lineRule="auto"/>
        <w:ind w:firstLine="420"/>
      </w:pPr>
      <w:r>
        <w:t>公司建立了完备的信息披露制度，指定了信息披露负责人，并建立了相应的制度流程规范相关信息的收集、组织、审核和发布，努力确保公开披露的信息真实、准确、完整、及时。</w:t>
      </w:r>
    </w:p>
    <w:p w:rsidR="00B070B0" w:rsidRDefault="005C077B">
      <w:pPr>
        <w:spacing w:line="360" w:lineRule="auto"/>
        <w:ind w:firstLine="420"/>
      </w:pPr>
      <w:r>
        <w:t>（</w:t>
      </w:r>
      <w:r>
        <w:t>7</w:t>
      </w:r>
      <w:r>
        <w:t>）监察与合规管理</w:t>
      </w:r>
    </w:p>
    <w:p w:rsidR="00B070B0" w:rsidRDefault="005C077B">
      <w:pPr>
        <w:spacing w:line="360" w:lineRule="auto"/>
        <w:ind w:firstLine="420"/>
      </w:pPr>
      <w: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B070B0" w:rsidRDefault="005C077B">
      <w:pPr>
        <w:spacing w:line="360" w:lineRule="auto"/>
        <w:ind w:firstLine="420"/>
      </w:pPr>
      <w:r>
        <w:t>公司设立监察合规管理部门，并保障其独立性。监察合规管理部门按照公司规定和督察长的安排履行监察与合规管理职责。</w:t>
      </w:r>
    </w:p>
    <w:p w:rsidR="00B070B0" w:rsidRDefault="005C077B">
      <w:pPr>
        <w:spacing w:line="360" w:lineRule="auto"/>
        <w:ind w:firstLine="420"/>
      </w:pPr>
      <w:r>
        <w:t>监察合规管理部门通过定期或不定期检查内部控制制度的执行情况，督促公司和旗下基金的管理运作规范进行。</w:t>
      </w:r>
    </w:p>
    <w:p w:rsidR="00B070B0" w:rsidRDefault="005C077B">
      <w:pPr>
        <w:spacing w:line="360" w:lineRule="auto"/>
        <w:ind w:firstLine="420"/>
      </w:pPr>
      <w:r>
        <w:t>公司董事会和管理层充分重视和支持监察与合规管理工作，对违反法律、法规和公司内部控制制度的，追究有关部门和人员的责任。</w:t>
      </w:r>
    </w:p>
    <w:p w:rsidR="00B070B0" w:rsidRDefault="005C077B">
      <w:pPr>
        <w:spacing w:line="360" w:lineRule="auto"/>
        <w:ind w:firstLine="420"/>
      </w:pPr>
      <w:r>
        <w:t>5</w:t>
      </w:r>
      <w:r>
        <w:t>、基金管理人关于内部控制制度声明书</w:t>
      </w:r>
    </w:p>
    <w:p w:rsidR="00B070B0" w:rsidRDefault="005C077B">
      <w:pPr>
        <w:spacing w:line="360" w:lineRule="auto"/>
        <w:ind w:firstLine="420"/>
      </w:pPr>
      <w:r>
        <w:t>（</w:t>
      </w:r>
      <w:r>
        <w:t>1</w:t>
      </w:r>
      <w:r>
        <w:t>）本公司承诺以上关于内部控制制度的披露真实、准确；</w:t>
      </w:r>
    </w:p>
    <w:p w:rsidR="00BA4B87" w:rsidRPr="008E1F49" w:rsidRDefault="000449FE" w:rsidP="008E1F49">
      <w:pPr>
        <w:spacing w:line="360" w:lineRule="auto"/>
        <w:ind w:firstLine="420"/>
      </w:pPr>
      <w:r w:rsidRPr="008E1F49">
        <w:rPr>
          <w:rFonts w:hint="eastAsia"/>
        </w:rPr>
        <w:t>（</w:t>
      </w:r>
      <w:r w:rsidRPr="008E1F49">
        <w:t>2</w:t>
      </w:r>
      <w:r w:rsidRPr="008E1F49">
        <w:rPr>
          <w:rFonts w:hint="eastAsia"/>
        </w:rPr>
        <w:t>）</w:t>
      </w:r>
      <w:r w:rsidR="00BA4B87" w:rsidRPr="008E1F49">
        <w:rPr>
          <w:rFonts w:hint="eastAsia"/>
        </w:rPr>
        <w:t>本公司承诺根据市场变化和公司业务发展不断完善内部控制制度。</w:t>
      </w:r>
    </w:p>
    <w:p w:rsidR="00BA4B87" w:rsidRPr="00D6191E" w:rsidRDefault="00BA4B87" w:rsidP="004D6C82">
      <w:pPr>
        <w:pStyle w:val="1"/>
        <w:snapToGrid w:val="0"/>
        <w:spacing w:beforeLines="0" w:afterLines="0" w:line="360" w:lineRule="auto"/>
        <w:ind w:firstLine="643"/>
        <w:rPr>
          <w:rFonts w:asciiTheme="minorEastAsia" w:eastAsiaTheme="minorEastAsia" w:hAnsiTheme="minorEastAsia"/>
        </w:rPr>
      </w:pPr>
      <w:r w:rsidRPr="00D6191E">
        <w:rPr>
          <w:rFonts w:asciiTheme="minorEastAsia" w:eastAsiaTheme="minorEastAsia" w:hAnsiTheme="minorEastAsia" w:hint="eastAsia"/>
          <w:b/>
          <w:bCs/>
        </w:rPr>
        <w:br w:type="column"/>
      </w:r>
      <w:bookmarkStart w:id="8" w:name="_Toc86315835"/>
      <w:r w:rsidRPr="00D6191E">
        <w:rPr>
          <w:rFonts w:asciiTheme="minorEastAsia" w:eastAsiaTheme="minorEastAsia" w:hAnsiTheme="minorEastAsia" w:hint="eastAsia"/>
        </w:rPr>
        <w:lastRenderedPageBreak/>
        <w:t>四、基金托管人</w:t>
      </w:r>
      <w:bookmarkEnd w:id="8"/>
    </w:p>
    <w:p w:rsidR="00286A23" w:rsidRPr="005921B7" w:rsidRDefault="005C077B" w:rsidP="00C061D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sidRPr="005921B7">
        <w:rPr>
          <w:rFonts w:asciiTheme="minorEastAsia" w:eastAsiaTheme="minorEastAsia" w:hAnsiTheme="minorEastAsia" w:hint="eastAsia"/>
          <w:szCs w:val="21"/>
        </w:rPr>
        <w:t>基金托管人情况</w:t>
      </w:r>
    </w:p>
    <w:p w:rsidR="00286A23" w:rsidRPr="005921B7" w:rsidRDefault="005C077B" w:rsidP="00C061D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sidRPr="005921B7">
        <w:rPr>
          <w:rFonts w:asciiTheme="minorEastAsia" w:eastAsiaTheme="minorEastAsia" w:hAnsiTheme="minorEastAsia" w:hint="eastAsia"/>
          <w:szCs w:val="21"/>
        </w:rPr>
        <w:t>基本情况</w:t>
      </w:r>
    </w:p>
    <w:p w:rsidR="00286A23" w:rsidRPr="005921B7" w:rsidRDefault="005C077B" w:rsidP="00C061D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名称：中国建设银行股份有限公司(简称：中国建设银行)</w:t>
      </w:r>
    </w:p>
    <w:p w:rsidR="00286A23" w:rsidRPr="005921B7" w:rsidRDefault="005C077B" w:rsidP="00C061D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住所：北京市西城区金融大街25号</w:t>
      </w:r>
    </w:p>
    <w:p w:rsidR="00286A23" w:rsidRPr="005921B7" w:rsidRDefault="005C077B" w:rsidP="00C061D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办公地址：北京市西城区闹市口大街1号院1号楼</w:t>
      </w:r>
    </w:p>
    <w:p w:rsidR="00286A23" w:rsidRPr="005921B7" w:rsidRDefault="005C077B" w:rsidP="00C061D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法定代表人：田国立</w:t>
      </w:r>
    </w:p>
    <w:p w:rsidR="00286A23" w:rsidRPr="005921B7" w:rsidRDefault="005C077B" w:rsidP="00C061D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成立时间：</w:t>
      </w:r>
      <w:smartTag w:uri="urn:schemas-microsoft-com:office:smarttags" w:element="chsdate">
        <w:smartTagPr>
          <w:attr w:name="Year" w:val="2004"/>
          <w:attr w:name="Month" w:val="09"/>
          <w:attr w:name="Day" w:val="17"/>
          <w:attr w:name="IsLunarDate" w:val="False"/>
          <w:attr w:name="IsROCDate" w:val="False"/>
        </w:smartTagPr>
        <w:r w:rsidRPr="005921B7">
          <w:rPr>
            <w:rFonts w:asciiTheme="minorEastAsia" w:eastAsiaTheme="minorEastAsia" w:hAnsiTheme="minorEastAsia" w:hint="eastAsia"/>
            <w:szCs w:val="21"/>
          </w:rPr>
          <w:t>2004年09月17日</w:t>
        </w:r>
      </w:smartTag>
    </w:p>
    <w:p w:rsidR="00286A23" w:rsidRPr="005921B7" w:rsidRDefault="005C077B" w:rsidP="00C061D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组织形式：股份有限公司</w:t>
      </w:r>
    </w:p>
    <w:p w:rsidR="00286A23" w:rsidRPr="005921B7" w:rsidRDefault="005C077B" w:rsidP="00C061D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注册资本：贰仟伍佰亿壹仟零玖拾柒万柒仟肆佰捌拾陆元整</w:t>
      </w:r>
    </w:p>
    <w:p w:rsidR="00286A23" w:rsidRPr="005921B7" w:rsidRDefault="005C077B" w:rsidP="00C061D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存续期间：持续经营</w:t>
      </w:r>
    </w:p>
    <w:p w:rsidR="00286A23" w:rsidRPr="005921B7" w:rsidRDefault="005C077B" w:rsidP="00C061D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基金托管资格批文及文号：中国证监会证监基字[1998]12号</w:t>
      </w:r>
    </w:p>
    <w:p w:rsidR="00286A23" w:rsidRPr="005921B7" w:rsidRDefault="005C077B" w:rsidP="00C061D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联系人：</w:t>
      </w:r>
      <w:r w:rsidR="007B3CFB" w:rsidRPr="007B3CFB">
        <w:rPr>
          <w:rFonts w:asciiTheme="minorEastAsia" w:eastAsiaTheme="minorEastAsia" w:hAnsiTheme="minorEastAsia" w:hint="eastAsia"/>
          <w:szCs w:val="21"/>
        </w:rPr>
        <w:t>李申</w:t>
      </w:r>
    </w:p>
    <w:p w:rsidR="00286A23" w:rsidRPr="005921B7" w:rsidRDefault="005C077B" w:rsidP="00C061D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联系电话：</w:t>
      </w:r>
      <w:r w:rsidR="007B3CFB" w:rsidRPr="007B3CFB">
        <w:rPr>
          <w:rFonts w:asciiTheme="minorEastAsia" w:eastAsiaTheme="minorEastAsia" w:hAnsiTheme="minorEastAsia"/>
          <w:szCs w:val="21"/>
        </w:rPr>
        <w:t>(021)6063 7102</w:t>
      </w:r>
      <w:r w:rsidR="007B3CFB" w:rsidRPr="007B3CFB" w:rsidDel="007B3CFB">
        <w:rPr>
          <w:rFonts w:asciiTheme="minorEastAsia" w:eastAsiaTheme="minorEastAsia" w:hAnsiTheme="minorEastAsia"/>
          <w:szCs w:val="21"/>
        </w:rPr>
        <w:t xml:space="preserve"> </w:t>
      </w:r>
    </w:p>
    <w:p w:rsidR="00286A23" w:rsidRPr="005921B7" w:rsidRDefault="005C077B" w:rsidP="002A2A0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5921B7">
        <w:rPr>
          <w:rFonts w:asciiTheme="minorEastAsia" w:eastAsiaTheme="minorEastAsia" w:hAnsiTheme="minorEastAsia" w:hint="eastAsia"/>
          <w:szCs w:val="21"/>
        </w:rPr>
        <w:t>主要人员情况</w:t>
      </w:r>
    </w:p>
    <w:p w:rsidR="002A2A0A" w:rsidRDefault="005C077B" w:rsidP="002A2A0A">
      <w:pPr>
        <w:spacing w:line="360" w:lineRule="auto"/>
        <w:ind w:firstLineChars="200" w:firstLine="420"/>
        <w:rPr>
          <w:rFonts w:asciiTheme="minorEastAsia" w:eastAsiaTheme="minorEastAsia" w:hAnsiTheme="minorEastAsia"/>
          <w:szCs w:val="21"/>
        </w:rPr>
      </w:pPr>
      <w:r w:rsidRPr="0076156D">
        <w:rPr>
          <w:rFonts w:asciiTheme="minorEastAsia" w:eastAsiaTheme="minorEastAsia" w:hAnsiTheme="minorEastAsia" w:hint="eastAsia"/>
          <w:szCs w:val="21"/>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286A23" w:rsidRPr="005921B7" w:rsidRDefault="005C077B" w:rsidP="002A2A0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5921B7">
        <w:rPr>
          <w:rFonts w:asciiTheme="minorEastAsia" w:eastAsiaTheme="minorEastAsia" w:hAnsiTheme="minorEastAsia" w:hint="eastAsia"/>
          <w:szCs w:val="21"/>
        </w:rPr>
        <w:t>基金托管业务经营情况</w:t>
      </w:r>
    </w:p>
    <w:p w:rsidR="00286A23" w:rsidRPr="005921B7" w:rsidRDefault="005C077B" w:rsidP="00ED7CEF">
      <w:pPr>
        <w:spacing w:line="360" w:lineRule="auto"/>
        <w:ind w:firstLineChars="200" w:firstLine="420"/>
        <w:rPr>
          <w:rFonts w:asciiTheme="minorEastAsia" w:eastAsiaTheme="minorEastAsia" w:hAnsiTheme="minorEastAsia"/>
          <w:szCs w:val="21"/>
        </w:rPr>
      </w:pPr>
      <w:r w:rsidRPr="00315A1F">
        <w:rPr>
          <w:rFonts w:asciiTheme="minorEastAsia" w:eastAsiaTheme="minorEastAsia" w:hAnsiTheme="minorEastAsia" w:hint="eastAsia"/>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2021年一季度末，中国建设银行已托管1097只证券投资基金。中国建设银行专业高效的托管服务能力和业务</w:t>
      </w:r>
      <w:r w:rsidRPr="00315A1F">
        <w:rPr>
          <w:rFonts w:asciiTheme="minorEastAsia" w:eastAsiaTheme="minorEastAsia" w:hAnsiTheme="minorEastAsia" w:hint="eastAsia"/>
          <w:szCs w:val="21"/>
        </w:rPr>
        <w:lastRenderedPageBreak/>
        <w:t>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在2017、2019及2020年分别荣获《亚洲银行家》颁发的“最佳托管系统实施奖”、“中国年度托管业务科技实施奖”以及“中国年度托管银行（大型银行）”奖项</w:t>
      </w:r>
      <w:r w:rsidRPr="0076156D">
        <w:rPr>
          <w:rFonts w:asciiTheme="minorEastAsia" w:eastAsiaTheme="minorEastAsia" w:hAnsiTheme="minorEastAsia" w:hint="eastAsia"/>
          <w:szCs w:val="21"/>
        </w:rPr>
        <w:t>。</w:t>
      </w:r>
    </w:p>
    <w:p w:rsidR="00286A23" w:rsidRPr="005921B7" w:rsidRDefault="005C077B" w:rsidP="00DB12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5921B7">
        <w:rPr>
          <w:rFonts w:asciiTheme="minorEastAsia" w:eastAsiaTheme="minorEastAsia" w:hAnsiTheme="minorEastAsia" w:hint="eastAsia"/>
          <w:szCs w:val="21"/>
        </w:rPr>
        <w:t>二</w:t>
      </w:r>
      <w:r>
        <w:rPr>
          <w:rFonts w:asciiTheme="minorEastAsia" w:eastAsiaTheme="minorEastAsia" w:hAnsiTheme="minorEastAsia" w:hint="eastAsia"/>
          <w:szCs w:val="21"/>
        </w:rPr>
        <w:t>）</w:t>
      </w:r>
      <w:r w:rsidRPr="005921B7">
        <w:rPr>
          <w:rFonts w:asciiTheme="minorEastAsia" w:eastAsiaTheme="minorEastAsia" w:hAnsiTheme="minorEastAsia" w:hint="eastAsia"/>
          <w:szCs w:val="21"/>
        </w:rPr>
        <w:t>基金托管人的内部控制制度</w:t>
      </w:r>
    </w:p>
    <w:p w:rsidR="00286A23" w:rsidRPr="005921B7" w:rsidRDefault="005C077B" w:rsidP="00DB12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5921B7">
        <w:rPr>
          <w:rFonts w:asciiTheme="minorEastAsia" w:eastAsiaTheme="minorEastAsia" w:hAnsiTheme="minorEastAsia" w:hint="eastAsia"/>
          <w:szCs w:val="21"/>
        </w:rPr>
        <w:t>内部控制目标</w:t>
      </w:r>
    </w:p>
    <w:p w:rsidR="002F3CDE" w:rsidRPr="005921B7" w:rsidRDefault="005C077B" w:rsidP="00C061DD">
      <w:pPr>
        <w:spacing w:line="360" w:lineRule="auto"/>
        <w:ind w:firstLineChars="200" w:firstLine="420"/>
        <w:rPr>
          <w:rFonts w:asciiTheme="minorEastAsia" w:eastAsiaTheme="minorEastAsia" w:hAnsiTheme="minorEastAsia"/>
          <w:szCs w:val="21"/>
        </w:rPr>
      </w:pPr>
      <w:r w:rsidRPr="0076156D">
        <w:rPr>
          <w:rFonts w:asciiTheme="minorEastAsia" w:eastAsiaTheme="minorEastAsia" w:hAnsiTheme="minorEastAsia" w:hint="eastAsia"/>
          <w:szCs w:val="21"/>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286A23" w:rsidRPr="005921B7" w:rsidRDefault="005C077B" w:rsidP="00DB12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5921B7">
        <w:rPr>
          <w:rFonts w:asciiTheme="minorEastAsia" w:eastAsiaTheme="minorEastAsia" w:hAnsiTheme="minorEastAsia" w:hint="eastAsia"/>
          <w:szCs w:val="21"/>
        </w:rPr>
        <w:t>内部控制组织结构</w:t>
      </w:r>
    </w:p>
    <w:p w:rsidR="00286A23" w:rsidRPr="005921B7" w:rsidRDefault="005C077B" w:rsidP="00C061DD">
      <w:pPr>
        <w:spacing w:line="360" w:lineRule="auto"/>
        <w:ind w:firstLineChars="200" w:firstLine="420"/>
        <w:rPr>
          <w:rFonts w:asciiTheme="minorEastAsia" w:eastAsiaTheme="minorEastAsia" w:hAnsiTheme="minorEastAsia"/>
          <w:szCs w:val="21"/>
        </w:rPr>
      </w:pPr>
      <w:r w:rsidRPr="002D774A">
        <w:rPr>
          <w:rFonts w:asciiTheme="minorEastAsia" w:eastAsiaTheme="minorEastAsia" w:hAnsiTheme="minorEastAsia" w:hint="eastAsia"/>
          <w:szCs w:val="2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286A23" w:rsidRPr="005921B7" w:rsidRDefault="005C077B" w:rsidP="00DB12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5921B7">
        <w:rPr>
          <w:rFonts w:asciiTheme="minorEastAsia" w:eastAsiaTheme="minorEastAsia" w:hAnsiTheme="minorEastAsia" w:hint="eastAsia"/>
          <w:szCs w:val="21"/>
        </w:rPr>
        <w:t>内部控制制度及措施</w:t>
      </w:r>
    </w:p>
    <w:p w:rsidR="00286A23" w:rsidRPr="005921B7" w:rsidRDefault="005C077B" w:rsidP="00C061DD">
      <w:pPr>
        <w:spacing w:line="360" w:lineRule="auto"/>
        <w:ind w:firstLineChars="200" w:firstLine="420"/>
        <w:rPr>
          <w:rFonts w:asciiTheme="minorEastAsia" w:eastAsiaTheme="minorEastAsia" w:hAnsiTheme="minorEastAsia"/>
          <w:szCs w:val="21"/>
        </w:rPr>
      </w:pPr>
      <w:r w:rsidRPr="002D774A">
        <w:rPr>
          <w:rFonts w:asciiTheme="minorEastAsia" w:eastAsiaTheme="minorEastAsia" w:hAnsiTheme="minorEastAsia" w:hint="eastAsia"/>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286A23" w:rsidRPr="005921B7" w:rsidRDefault="005C077B" w:rsidP="00DB12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5921B7">
        <w:rPr>
          <w:rFonts w:asciiTheme="minorEastAsia" w:eastAsiaTheme="minorEastAsia" w:hAnsiTheme="minorEastAsia" w:hint="eastAsia"/>
          <w:szCs w:val="21"/>
        </w:rPr>
        <w:t>三</w:t>
      </w:r>
      <w:r>
        <w:rPr>
          <w:rFonts w:asciiTheme="minorEastAsia" w:eastAsiaTheme="minorEastAsia" w:hAnsiTheme="minorEastAsia" w:hint="eastAsia"/>
          <w:szCs w:val="21"/>
        </w:rPr>
        <w:t>）</w:t>
      </w:r>
      <w:r w:rsidRPr="005921B7">
        <w:rPr>
          <w:rFonts w:asciiTheme="minorEastAsia" w:eastAsiaTheme="minorEastAsia" w:hAnsiTheme="minorEastAsia" w:hint="eastAsia"/>
          <w:szCs w:val="21"/>
        </w:rPr>
        <w:t>基金托管人对基金管理人运作基金进行监督的方法和程序</w:t>
      </w:r>
    </w:p>
    <w:p w:rsidR="00286A23" w:rsidRPr="005921B7" w:rsidRDefault="005C077B" w:rsidP="00DB12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5921B7">
        <w:rPr>
          <w:rFonts w:asciiTheme="minorEastAsia" w:eastAsiaTheme="minorEastAsia" w:hAnsiTheme="minorEastAsia" w:hint="eastAsia"/>
          <w:szCs w:val="21"/>
        </w:rPr>
        <w:t>监督方法</w:t>
      </w:r>
    </w:p>
    <w:p w:rsidR="00286A23" w:rsidRPr="005921B7" w:rsidRDefault="005C077B" w:rsidP="00C061DD">
      <w:pPr>
        <w:spacing w:line="360" w:lineRule="auto"/>
        <w:ind w:firstLineChars="200" w:firstLine="420"/>
        <w:rPr>
          <w:rFonts w:asciiTheme="minorEastAsia" w:eastAsiaTheme="minorEastAsia" w:hAnsiTheme="minorEastAsia"/>
          <w:szCs w:val="21"/>
        </w:rPr>
      </w:pPr>
      <w:r w:rsidRPr="002D774A">
        <w:rPr>
          <w:rFonts w:asciiTheme="minorEastAsia" w:eastAsiaTheme="minorEastAsia" w:hAnsiTheme="minorEastAsia" w:hint="eastAsia"/>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286A23" w:rsidRPr="005921B7" w:rsidRDefault="005C077B" w:rsidP="00DB12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2、</w:t>
      </w:r>
      <w:r w:rsidRPr="005921B7">
        <w:rPr>
          <w:rFonts w:asciiTheme="minorEastAsia" w:eastAsiaTheme="minorEastAsia" w:hAnsiTheme="minorEastAsia" w:hint="eastAsia"/>
          <w:szCs w:val="21"/>
        </w:rPr>
        <w:t>监督流程</w:t>
      </w:r>
    </w:p>
    <w:p w:rsidR="00286A23" w:rsidRPr="005921B7" w:rsidRDefault="005C077B" w:rsidP="00C061D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2D774A">
        <w:rPr>
          <w:rFonts w:asciiTheme="minorEastAsia" w:eastAsiaTheme="minorEastAsia" w:hAnsiTheme="minorEastAsia" w:hint="eastAsia"/>
          <w:szCs w:val="21"/>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286A23" w:rsidRPr="005921B7" w:rsidRDefault="005C077B" w:rsidP="00C061D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5921B7">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2D774A">
        <w:rPr>
          <w:rFonts w:asciiTheme="minorEastAsia" w:eastAsiaTheme="minorEastAsia" w:hAnsiTheme="minorEastAsia" w:hint="eastAsia"/>
          <w:szCs w:val="21"/>
        </w:rPr>
        <w:t>收到基金管理人的划款指令后，对指令要素等内容进行核查。</w:t>
      </w:r>
    </w:p>
    <w:p w:rsidR="00B62605" w:rsidRDefault="005C077B" w:rsidP="000D786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5921B7">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2D774A">
        <w:rPr>
          <w:rFonts w:asciiTheme="minorEastAsia" w:eastAsiaTheme="minorEastAsia" w:hAnsiTheme="minorEastAsia" w:hint="eastAsia"/>
          <w:szCs w:val="21"/>
        </w:rPr>
        <w:t>通过技术或非技术手段发现基金涉嫌违规交易，电话或书面要求基金管理人进行解释或举证，如有必要将及时报告中国证监会。</w:t>
      </w:r>
    </w:p>
    <w:p w:rsidR="000D7868" w:rsidRDefault="005C077B" w:rsidP="000D7868">
      <w:pPr>
        <w:spacing w:line="360" w:lineRule="auto"/>
        <w:ind w:firstLineChars="200" w:firstLine="420"/>
        <w:rPr>
          <w:rFonts w:asciiTheme="minorEastAsia" w:eastAsiaTheme="minorEastAsia" w:hAnsiTheme="minorEastAsia"/>
          <w:szCs w:val="21"/>
        </w:rPr>
      </w:pPr>
      <w:r>
        <w:t xml:space="preserve"> </w:t>
      </w:r>
      <w:r>
        <w:br w:type="page"/>
      </w:r>
    </w:p>
    <w:p w:rsidR="00BA4B87" w:rsidRPr="00D6191E" w:rsidRDefault="00BA4B87" w:rsidP="004D6C82">
      <w:pPr>
        <w:pStyle w:val="111"/>
        <w:snapToGrid w:val="0"/>
        <w:spacing w:beforeLines="0" w:afterLines="0" w:line="360" w:lineRule="auto"/>
        <w:ind w:firstLine="640"/>
        <w:rPr>
          <w:rFonts w:asciiTheme="minorEastAsia" w:eastAsiaTheme="minorEastAsia" w:hAnsiTheme="minorEastAsia"/>
          <w:b/>
          <w:szCs w:val="32"/>
        </w:rPr>
      </w:pPr>
      <w:bookmarkStart w:id="9" w:name="_Toc86315836"/>
      <w:r w:rsidRPr="00D6191E">
        <w:rPr>
          <w:rFonts w:asciiTheme="minorEastAsia" w:eastAsiaTheme="minorEastAsia" w:hAnsiTheme="minorEastAsia" w:hint="eastAsia"/>
          <w:szCs w:val="21"/>
        </w:rPr>
        <w:lastRenderedPageBreak/>
        <w:t>五、相关服务机构</w:t>
      </w:r>
      <w:bookmarkEnd w:id="9"/>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szCs w:val="21"/>
        </w:rPr>
      </w:pPr>
      <w:bookmarkStart w:id="10" w:name="_Toc86315837"/>
      <w:r w:rsidRPr="00D6191E">
        <w:rPr>
          <w:rFonts w:asciiTheme="minorEastAsia" w:eastAsiaTheme="minorEastAsia" w:hAnsiTheme="minorEastAsia" w:hint="eastAsia"/>
          <w:b w:val="0"/>
          <w:szCs w:val="21"/>
        </w:rPr>
        <w:t>(一)基金份额</w:t>
      </w:r>
      <w:r w:rsidR="00EE0CEE" w:rsidRPr="00D6191E">
        <w:rPr>
          <w:rFonts w:asciiTheme="minorEastAsia" w:eastAsiaTheme="minorEastAsia" w:hAnsiTheme="minorEastAsia" w:hint="eastAsia"/>
          <w:b w:val="0"/>
          <w:szCs w:val="21"/>
        </w:rPr>
        <w:t>销售</w:t>
      </w:r>
      <w:r w:rsidRPr="00D6191E">
        <w:rPr>
          <w:rFonts w:asciiTheme="minorEastAsia" w:eastAsiaTheme="minorEastAsia" w:hAnsiTheme="minorEastAsia" w:hint="eastAsia"/>
          <w:b w:val="0"/>
          <w:szCs w:val="21"/>
        </w:rPr>
        <w:t>机构</w:t>
      </w:r>
      <w:bookmarkEnd w:id="10"/>
    </w:p>
    <w:p w:rsidR="00BA4B87" w:rsidRPr="00D6191E" w:rsidRDefault="000449FE"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hint="eastAsia"/>
          <w:szCs w:val="21"/>
        </w:rPr>
        <w:t>直销机构：易方达基金管理有限公司</w:t>
      </w:r>
    </w:p>
    <w:p w:rsidR="000E0507" w:rsidRPr="00D6191E" w:rsidRDefault="000E050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注册地址：</w:t>
      </w:r>
      <w:r w:rsidR="00EE79AD" w:rsidRPr="00D6191E">
        <w:rPr>
          <w:rFonts w:asciiTheme="minorEastAsia" w:eastAsiaTheme="minorEastAsia" w:hAnsiTheme="minorEastAsia" w:hint="eastAsia"/>
          <w:szCs w:val="21"/>
        </w:rPr>
        <w:t>广东省珠海市横琴新区宝华路6号105室-42891（集中办公区）</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办公地址：</w:t>
      </w:r>
      <w:r w:rsidR="00700F8D" w:rsidRPr="00D6191E">
        <w:rPr>
          <w:rFonts w:asciiTheme="minorEastAsia" w:eastAsiaTheme="minorEastAsia" w:hAnsiTheme="minorEastAsia" w:hint="eastAsia"/>
          <w:szCs w:val="21"/>
        </w:rPr>
        <w:t>广州市天河区珠江新城珠江东路30号广州银行大厦40-43</w:t>
      </w:r>
      <w:r w:rsidR="0000116B" w:rsidRPr="00D6191E">
        <w:rPr>
          <w:rFonts w:asciiTheme="minorEastAsia" w:eastAsiaTheme="minorEastAsia" w:hAnsiTheme="minorEastAsia" w:hint="eastAsia"/>
          <w:szCs w:val="21"/>
        </w:rPr>
        <w:t>楼</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法定代表人：</w:t>
      </w:r>
      <w:r w:rsidR="009D4881" w:rsidRPr="00D6191E">
        <w:rPr>
          <w:rFonts w:asciiTheme="minorEastAsia" w:eastAsiaTheme="minorEastAsia" w:hAnsiTheme="minorEastAsia" w:hint="eastAsia"/>
          <w:szCs w:val="21"/>
        </w:rPr>
        <w:t>刘晓艳</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电话：020-85102506</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传真：4008818099</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t>联系人：梁美</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网址：</w:t>
      </w:r>
      <w:hyperlink r:id="rId16" w:history="1">
        <w:r w:rsidRPr="00D6191E">
          <w:rPr>
            <w:rStyle w:val="a5"/>
            <w:rFonts w:asciiTheme="minorEastAsia" w:eastAsiaTheme="minorEastAsia" w:hAnsiTheme="minorEastAsia" w:hint="eastAsia"/>
            <w:color w:val="auto"/>
            <w:szCs w:val="21"/>
            <w:u w:val="none"/>
          </w:rPr>
          <w:t>www.efunds.com.cn</w:t>
        </w:r>
      </w:hyperlink>
    </w:p>
    <w:p w:rsidR="000E0507" w:rsidRPr="00D6191E" w:rsidRDefault="000E050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直销机构网点信息：</w:t>
      </w:r>
    </w:p>
    <w:p w:rsidR="000E0507" w:rsidRPr="00D6191E" w:rsidRDefault="000E050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（1）易方达基金管理有限公司广州直销中心</w:t>
      </w:r>
    </w:p>
    <w:p w:rsidR="000E0507" w:rsidRPr="00D6191E" w:rsidRDefault="000E050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办公地址：</w:t>
      </w:r>
      <w:r w:rsidR="00700F8D" w:rsidRPr="00D6191E">
        <w:rPr>
          <w:rFonts w:asciiTheme="minorEastAsia" w:eastAsiaTheme="minorEastAsia" w:hAnsiTheme="minorEastAsia" w:hint="eastAsia"/>
          <w:szCs w:val="21"/>
        </w:rPr>
        <w:t>广州市天河区珠江新城珠江东路30号广州银行大厦40</w:t>
      </w:r>
      <w:r w:rsidR="0000116B" w:rsidRPr="00D6191E">
        <w:rPr>
          <w:rFonts w:asciiTheme="minorEastAsia" w:eastAsiaTheme="minorEastAsia" w:hAnsiTheme="minorEastAsia" w:hint="eastAsia"/>
          <w:szCs w:val="21"/>
        </w:rPr>
        <w:t>楼</w:t>
      </w:r>
    </w:p>
    <w:p w:rsidR="000E0507" w:rsidRPr="00D6191E" w:rsidRDefault="000E050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电话：020-85102506</w:t>
      </w:r>
    </w:p>
    <w:p w:rsidR="000E0507" w:rsidRPr="00D6191E" w:rsidRDefault="000E050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传真：4008818099</w:t>
      </w:r>
    </w:p>
    <w:p w:rsidR="000E0507" w:rsidRPr="00D6191E" w:rsidRDefault="000E0507" w:rsidP="000449FE">
      <w:pPr>
        <w:snapToGrid w:val="0"/>
        <w:spacing w:line="360" w:lineRule="auto"/>
        <w:ind w:firstLineChars="200" w:firstLine="420"/>
        <w:rPr>
          <w:rFonts w:asciiTheme="minorEastAsia" w:eastAsiaTheme="minorEastAsia" w:hAnsiTheme="minorEastAsia"/>
          <w:szCs w:val="21"/>
        </w:rPr>
      </w:pPr>
      <w:r w:rsidRPr="002769D1">
        <w:rPr>
          <w:rFonts w:hint="eastAsia"/>
        </w:rPr>
        <w:t>联系人：梁美</w:t>
      </w:r>
    </w:p>
    <w:p w:rsidR="000E0507" w:rsidRPr="00D6191E" w:rsidRDefault="000E050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（2）易方达基金管理有限公司北京直销中心</w:t>
      </w:r>
    </w:p>
    <w:p w:rsidR="000E0507" w:rsidRPr="00D6191E" w:rsidRDefault="000E050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办公地址：</w:t>
      </w:r>
      <w:r w:rsidR="000125DB" w:rsidRPr="00D6191E">
        <w:rPr>
          <w:rFonts w:asciiTheme="minorEastAsia" w:eastAsiaTheme="minorEastAsia" w:hAnsiTheme="minorEastAsia" w:hint="eastAsia"/>
          <w:szCs w:val="21"/>
        </w:rPr>
        <w:t>北京市西城区武定侯街2号泰康国际大厦18层</w:t>
      </w:r>
    </w:p>
    <w:p w:rsidR="000E0507" w:rsidRPr="00D6191E" w:rsidRDefault="000E050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电话：010-63213377</w:t>
      </w:r>
    </w:p>
    <w:p w:rsidR="000E0507" w:rsidRPr="00D6191E" w:rsidRDefault="000E050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传真：4008818099</w:t>
      </w:r>
    </w:p>
    <w:p w:rsidR="000E0507" w:rsidRPr="00D6191E" w:rsidRDefault="000E050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联系人：</w:t>
      </w:r>
      <w:r w:rsidR="007169C2" w:rsidRPr="00D6191E">
        <w:rPr>
          <w:rFonts w:asciiTheme="minorEastAsia" w:eastAsiaTheme="minorEastAsia" w:hAnsiTheme="minorEastAsia" w:hint="eastAsia"/>
          <w:szCs w:val="21"/>
        </w:rPr>
        <w:t>刘蕾</w:t>
      </w:r>
    </w:p>
    <w:p w:rsidR="000E0507" w:rsidRPr="00D6191E" w:rsidRDefault="000E050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（3）易方达基金管理有限公司上海直销中心</w:t>
      </w:r>
    </w:p>
    <w:p w:rsidR="000E0507" w:rsidRPr="00D6191E" w:rsidRDefault="000E050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办公地址：上海市</w:t>
      </w:r>
      <w:r w:rsidR="004D10B6" w:rsidRPr="00D6191E">
        <w:rPr>
          <w:rFonts w:asciiTheme="minorEastAsia" w:eastAsiaTheme="minorEastAsia" w:hAnsiTheme="minorEastAsia" w:hint="eastAsia"/>
          <w:szCs w:val="21"/>
        </w:rPr>
        <w:t>浦东新区世纪大道88号金茂大厦46楼</w:t>
      </w:r>
    </w:p>
    <w:p w:rsidR="000E0507" w:rsidRPr="00D6191E" w:rsidRDefault="000E050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电话：021-50476668</w:t>
      </w:r>
    </w:p>
    <w:p w:rsidR="000E0507" w:rsidRPr="00D6191E" w:rsidRDefault="000E050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传真：4008818099</w:t>
      </w:r>
    </w:p>
    <w:p w:rsidR="000E0507" w:rsidRPr="00D6191E" w:rsidRDefault="000E050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联系人：</w:t>
      </w:r>
      <w:r w:rsidR="003419CA" w:rsidRPr="00D6191E">
        <w:rPr>
          <w:rFonts w:asciiTheme="minorEastAsia" w:eastAsiaTheme="minorEastAsia" w:hAnsiTheme="minorEastAsia" w:hint="eastAsia"/>
          <w:szCs w:val="21"/>
        </w:rPr>
        <w:t>王程</w:t>
      </w:r>
    </w:p>
    <w:p w:rsidR="000E0507" w:rsidRPr="00D6191E" w:rsidRDefault="000E050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（4）易方达基金管理有限公司网上交易系统</w:t>
      </w:r>
    </w:p>
    <w:p w:rsidR="00BA4B87" w:rsidRPr="00D6191E" w:rsidRDefault="000E050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网址：www.efunds.com.cn</w:t>
      </w:r>
    </w:p>
    <w:p w:rsidR="00BA4B87" w:rsidRPr="00D6191E" w:rsidRDefault="000449FE"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AE5F53" w:rsidRPr="00D6191E">
        <w:rPr>
          <w:rFonts w:asciiTheme="minorEastAsia" w:eastAsiaTheme="minorEastAsia" w:hAnsiTheme="minorEastAsia" w:hint="eastAsia"/>
          <w:szCs w:val="21"/>
        </w:rPr>
        <w:t>非直销销售</w:t>
      </w:r>
      <w:r w:rsidR="00BA4B87" w:rsidRPr="00D6191E">
        <w:rPr>
          <w:rFonts w:asciiTheme="minorEastAsia" w:eastAsiaTheme="minorEastAsia" w:hAnsiTheme="minorEastAsia" w:hint="eastAsia"/>
          <w:szCs w:val="21"/>
        </w:rPr>
        <w:t>机构</w:t>
      </w:r>
      <w:r w:rsidR="002605FA" w:rsidRPr="00D6191E">
        <w:rPr>
          <w:rFonts w:asciiTheme="minorEastAsia" w:eastAsiaTheme="minorEastAsia" w:hAnsiTheme="minorEastAsia" w:hint="eastAsia"/>
          <w:szCs w:val="21"/>
        </w:rPr>
        <w:t>（以下排序不分先后）</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(1)中国建设银行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注册地址:北京市西城区金融大街25号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办公地址:北京市西城区闹市口大街1号院1号楼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法定代表人:田国立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联系人:王未雨</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客户服务电话:95533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网址:www.ccb.com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(2)渤海银行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注册地址:天津市河东区海河东路218号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办公地址:天津市河东区海河东路218号渤海银行大厦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法定代表人:李伏安</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联系人:王宏</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联系电话:022-58316666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客户服务电话:95541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传真:022-58316569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网址:www.cbhb.com.cn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(3)广发银行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注册地址:广东省广州市越秀区东风东路713号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办公地址:广东省广州市越秀区东风东路713号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法定代表人:王凯</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客户服务电话:400-830-8003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网址:www.cgbchina.com.cn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(4)华夏银行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注册地址:北京市东城区建国门内大街22号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办公地址:北京市东城区建国门内大街22号华夏银行大厦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法定代表人:李民吉</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联系人:刘湘波</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客户服务电话:95577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网址:www.hxb.com.cn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(5)交通银行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注册地址:中国（上海）自由贸易试验区银城中路188号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办公地址:中国（上海）自由贸易试验区银城中路188号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法定代表人:任德奇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联系人:高天</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联系电话:021-58781234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客户服务电话:95559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网址:www.bankcomm.com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(6)平安银行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注册地址:广东省深圳市罗湖区深南东路5047号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办公地址:广东省深圳市罗湖区深南东路5047号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法定代表人:谢永林</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联系人:赵杨</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联系电话:0755-22166574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客户服务电话:95511-3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传真:021-50979507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网址:bank.pingan.com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(7)浦发银行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注册地址:上海市中山东一路12号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办公地址:上海市中山东一路12号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法定代表人:郑杨</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联系人:赵守良</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联系电话:021-61618888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客户服务电话:95528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传真:021-63604196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网址:www.spdb.com.cn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(8)兴业银行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注册地址:福州市湖东路154号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办公地址:上海市银城路167号兴业银行大厦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法定代表人:吕家进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联系人:孙琪虹</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客户服务电话:95561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网址:www.cib.com.cn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(9)招商银行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注册地址:深圳市福田区深南大道7088号招商银行大厦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办公地址:深圳市福田区深南大道7088号招商银行大厦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法定代表人:缪建民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联系人:季平伟</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客户服务电话:95555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网址:www.cmbchina.com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(10)中国工商银行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注册地址:北京西城区复兴门内大街55号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办公地址:北京西城区复兴门内大街55号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法定代表人:陈四清</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联系人:杨菲</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网址:www.icbc.com.cn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(11)中国民生银行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注册地址:北京市西城区复兴门内大街2号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办公地址:北京市西城区复兴门内大街2号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法定代表人:高迎欣</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联系人:徐野</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客户服务电话:95568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网址:www.cmbc.com.cn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(12)中国农业银行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注册地址:北京市东城区建国门内大街69号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办公地址:北京市东城区建国门内大街69号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法定代表人:谷澍</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联系人:李紫钰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传真:010-85109219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网址:www.abchina.com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(13)中国银行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注册地址:北京市西城区复兴门内大街1号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办公地址:北京市西城区复兴门内大街1号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法定代表人:刘连舸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网址:www.boc.cn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(14)中国邮政储蓄银行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注册地址:北京市西城区金融大街3号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办公地址:北京市西城区金融大街3号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法定代表人:张金良</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联系人:王硕</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客户服务电话:95580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传真:010-68858057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网址:www.psbc.com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(15)中信银行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注册地址:北京市朝阳区光华路10号院1号楼6-30层、32-42层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办公地址:北京市朝阳区光华路10号院1号楼6-30层、32-42层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法定代表人:朱鹤新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联系人:王晓琳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客户服务电话:95558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传真:010-85230049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网址:bank.ecitic.com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(16)北京银行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注册地址:北京市西城区金融大街甲17号首层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办公地址:北京市西城区金融大街丙17号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法定代表人:张东宁</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联系人:周黎</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客户服务电话:95526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网址:www.bankofbeijing.com.cn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(17)长安银行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注册地址:西安市高新技术产业开发区高新四路13号1幢1单元10101室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办公地址:西安市高新技术产业开发区高新四路13号朗臣大厦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法定代表人:张全明</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联系人:闫石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客户服务电话:400-05-96669；（029）96669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传真:029-88609566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网址:http://www.ccabchina.com/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(18)长沙银行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注册地址:长沙市岳麓区滨江路53号楷林商务中心B座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办公地址:长沙市岳麓区滨江路长沙银行大厦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法定代表人:朱玉国</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联系人:龙秀芳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联系电话:0731-89736250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客户服务电话:0731-96511（湖南省内）、40067-96511（全国）</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网址:www.bankofchangsha.com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(19)大连银行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注册地址:大连市中山区中山路88号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办公地址:大连市中山区中山路88号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法定代表人:彭寿斌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联系人:卜书慧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联系电话:0411-82311936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客户服务电话:400-664-0099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网址:www.bankofdl.com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(20)德州银行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注册地址:山东省德州市三八东路1266号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办公地址:山东省德州市三八东路1266号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法定代表人:牛洪春</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联系人:王方震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联系电话:0534-2297326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客户服务电话:400-01-96588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网址:www.dzbchina.com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(21)东莞银行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注册地址:东莞市莞城区体育路21号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办公地址:东莞市莞城区体育路21号东莞银行大厦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法定代表人:卢国锋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联系人:朱杰霞</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联系电话:0769-27239605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客户服务电话:956033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网址:www.dongguanbank.cn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(22)广东华兴银行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注册地址:广东省汕头市龙湖区黄山路28号四层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办公地址:广州市天河区天河路533号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法定代表人:周泽荣</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联系人:许悦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联系电话:020-38173552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客户服务电话:95091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传真:020-38173857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网址:www.ghbank.com.cn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(23)广东南粤银行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注册地址:湛江经济技术开发区乐山路27号财富汇金融中心1层01、02号商铺、2层01号商铺、3层01号商铺、39-45层办公室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办公地址:湛江经济技术开发区乐山路27号财富汇金融中心1层01、02号商铺、2层01号商铺、3层01号商铺、39-45层办公室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法定代表人:蒋丹</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联系人:张俊成</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联系电话:020-28308757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客户服务电话:4000-961818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网址:www.gdnybank.com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(24)广州银行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注册地址:广州市天河区珠江东路30号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办公地址:广州市天河区珠江东路30号广州银行大厦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法定代表人:丘斌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联系人:唐荟</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客户服务电话:96699（广东）400-83-96699（全国）</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网址:www.gzcb.com.cn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(25)桂林银行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(26)哈尔滨银行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注册地址:哈尔滨市道里区尚志大街160号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办公地址:哈尔滨市道里区上江街888号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法定代表人:邓新权</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联系人:贾琳娜</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联系电话:0451-86779669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客户服务电话:95537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传真:0451-87792682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网址:www.hrbb.com.cn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(27)海南银行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注册地址:海南省海口市龙华区海秀东路31号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办公地址:海南省海口市龙华区海秀东路31号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法定代表人:朱德镭</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客户服务电话:0898-96566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网址:www.hnbankchina.com.cn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(28)杭州银行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注册地址:浙江省杭州市下城区庆春路46号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办公地址:杭州市下城区庆春路46号杭州银行大厦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法定代表人:陈震山</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联系人:蒋梦君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联系电话:0571-85120718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客户服务电话:95398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传真:0571-85106576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网址:www.hzbank.com.cn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(29)河北银行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注册地址:石家庄市平安北大街28号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办公地址:石家庄市平安北大街28号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法定代表人:梅爱斌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联系人:李博</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联系电话:0311-88627587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客户服务电话:400-612-9999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传真:0311-67806407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网址:www.hebbank.com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(30)吉林银行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注册地址:吉林省长春市经济技术开发区东南湖大路1817号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办公地址:吉林省长春市经济技术开发区东南湖大路1817号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法定代表人:陈宇龙</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联系人:孙琦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联系电话:0431-84999627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客户服务电话:400-88-96666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传真:0431-84992649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网址:www.jlbank.com.cn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(31)嘉兴银行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注册地址:浙江省嘉兴市昌盛南路1001号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办公地址:浙江省嘉兴市昌盛南路1001号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法定代表人:林斌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联系人:任正东</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联系电话:0573-82080201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客户服务电话:0573-96528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网址:http://www.bojx.com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(32)江苏银行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注册地址:南京市中华路26号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办公地址:南京市中华路26号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法定代表人:夏平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联系人:展海军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联系电话:025-58587039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客户服务电话:95319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传真:025-58587820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网址:www.jsbchina.cn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(33)江西银行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注册地址:江西省南昌市红谷滩新区金融大街699号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办公地址:江西省南昌市红谷滩新区金融大街699号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法定代表人:陈晓明</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联系人:陈云波</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联系电话:0791-86796029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客户服务电话:956055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传真:0791-86790795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网址:www.jx-bank.com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(34)金华银行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注册地址:浙江省金华市丹溪路1388号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办公地址:浙江省金华市丹溪路1388号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法定代表人:裘豪</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联系人:陈霞、王智慧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联系电话:0579-82178271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客户服务电话:400-711-6668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传真:0579-82178321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网址:www.jhccb.com.cn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(35)锦州银行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注册地址:辽宁省锦州市科技路68号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办公地址:辽宁省锦州市科技路68号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法定代表人:魏学坤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联系人:庞璐璐</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客户服务电话:400-66-96178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网址:www.jinzhoubank.com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(36)晋商银行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注册地址:山西省太原市小店区长风街59号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办公地址:山西省太原市小店区长风街59号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法定代表人:阎俊生</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联系人:董嘉文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联系电话:0351-6819579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客户服务电话:9510-5588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传真:0351-6819926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网址:www.jshbank.com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(37)九江银行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注册地址:江西省九江市濂溪区长虹大道619号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办公地址:江西省九江市濂溪区长虹大道619号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法定代表人:刘羡庭</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联系人:胡浩</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联系电话:0792-2171968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客户服务电话:95316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网址:www.jjccb.com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(38)兰州银行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注册地址:甘肃省兰州市城关区酒泉路211号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办公地址:甘肃省兰州市城关区酒泉路211号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法定代表人:许建平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联系人:杜珊珊、景亚楠</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联系电话:0931-4600528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客户服务电话:400-88-96799（全国）、96799（甘肃省内）</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网址:https://www.lzbank.com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(39)龙江银行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注册地址:黑龙江省哈尔滨市道里区友谊路436号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办公地址:黑龙江省哈尔滨市道里区友谊路436号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法定代表人:张建辉</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联系人:闫勇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联系电话:0451-85706107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客户服务电话:400-645-8888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传真:0451-85706036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网址:http://www.lj-bank.com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(40)洛阳银行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注册地址:洛阳市洛阳新区开元大道与通济街交叉口</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办公地址:河南省洛阳市开元大道256号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法定代表人:王建甫</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联系人:郭文博</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联系电话:0379-65921977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客户服务电话:0379-96699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传真:0379-65938595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网址:www.bankofluoyang.com.cn/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(41)宁波银行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注册地址:浙江省宁波市鄞州区宁东路345号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办公地址:浙江省宁波市鄞州区宁东路345号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法定代表人:陆华裕</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联系人:陈佳瑜</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客户服务电话:95574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网址:www.nbcb.com.cn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(42)齐商银行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注册地址:淄博市张店区中心路105号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办公地址:山东省淄博市张店区金晶大道105号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法定代表人:李大鹏</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联系人:焦浦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联系电话:0533-2178888-9907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客户服务电话:400-86-96588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传真:0533-2180303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网址:www.qsbank.cc</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(43)青岛银行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注册地址:山东省青岛市崂山区秦岭路6号3号楼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办公地址:山东省青岛市崂山区秦岭路6号3号楼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法定代表人:郭少泉</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联系人:陈界交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联系电话:0532-68629956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客户服务电话:96588（青岛）400-66-96588（全国）</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网址:http://www.qdccb.com/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(44)泉州银行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注册地址:泉州市丰泽区泉泰路266号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办公地址:泉州市丰泽区泉泰路266号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法定代表人:傅子能</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联系人:董培姗</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联系电话:0595-22551071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客户服务电话:400-88-96312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传真:0595-22578871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网址:http://www.qzccbank.com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(45)日照银行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注册地址:山东省日照市烟台路197号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办公地址:山东省日照市烟台路197号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法定代表人:王森</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联系人:邱丽萍</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联系电话:0633-8081619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客户服务电话:400-68-96588（全国） 、0633-96588（日照）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传真:0633-8081276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网址:http://www.bankofrizhao.com.cn/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(46)上海银行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注册地址:中国（上海）自由贸易试验区银城中路168号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办公地址:上海市浦东新区银城中路168号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法定代表人:金煜</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联系电话:021-68475732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客户服务电话:95594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网址:http://www.bosc.cn/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(47)四川天府银行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注册地址:四川省南充市顺庆区滨江中路一段97号26栋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办公地址:四川省成都市锦江区东大街下东大街258号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法定代表人:邢敏</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联系人:卢菁菁</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联系电话:028-67676031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客户服务电话:400-16-96869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网址:www.tf.cn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(48)苏州银行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注册地址:江苏省苏州市工业园区钟园路728号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办公地址:江苏省苏州市工业园区钟园路728号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法定代表人:王兰凤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联系人:吴骏</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联系电话:0512-69868373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客户服务电话:96067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传真:0512-69868373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网址:www.suzhoubank.com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(49)天津银行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注册地址:天津市河西区友谊路15号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办公地址:天津市河西区友谊路15号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法定代表人:李宗唐</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联系人:李岩</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联系电话:022-28405684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客户服务电话:956056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传真:022-28405631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网址:www.bank-of-tianjin.com.cn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(50)威海市商业银行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注册地址:威海市宝泉路9号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办公地址:威海市宝泉路9号财政大厦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法定代表人:谭先国</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联系人:冯十卉</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联系电话:0531-68978175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客户服务电话:山东省内96636、中国境内40000-96636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传真:0531-68978176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网址:www.whccb.com，www.whccb.com.cn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(51)微众银行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注册地址:深圳市前海深港合作区前湾一路1号A栋201室（入驻深圳市前海商务秘书有限公司）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办公地址:广东省深圳市南山区沙河西路1819号深圳湾科技生态园7栋A座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法定代表人:顾敏</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客户服务电话:95384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网址:http://www.webank.com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(52)潍坊银行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注册地址:山东省潍坊市奎文区胜利东街5139号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办公地址:山东省潍坊市奎文区胜利东街5139号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法定代表人:颜廷军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联系人:井靖</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联系电话:0536-8051904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客户服务电话:400-61-96588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传真:0536-8056061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网址:www.wfccb.com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(53)厦门国际银行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注册地址:厦门市思明区鹭江道8-10号国际银行大厦1-6层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办公地址:厦门市思明区鹭江道8-10号国际银行大厦1-6层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法定代表人:王晓健</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联系人:王文彦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联系电话:0592-2078888-6878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客户服务电话:4001623623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网址:https://www.xib.com.cn/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(54)营口银行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注册地址:辽宁省营口市站前区市府路北1号、北3号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办公地址:辽宁省营口市站前区市府路北1号、北3号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法定代表人:周宇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联系人:杨志程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联系电话:0417-2878819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客户服务电话:40078-96178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网址:www.bankofyk.com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(55)云南红塔银行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注册地址:云南省玉溪市东风南路2号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办公地址:云南省昆明市盘龙区世博路低碳中心A座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法定代表人:李光林</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联系人:马杰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联系电话:0871-65236624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客户服务电话:0877-96522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网址:www.ynhtbank.com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(56)浙江稠州商业银行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注册地址:浙江省义乌市江滨路义乌乐园东侧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办公地址:杭州市上城区望潮路158号稠银大厦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法定代表人:金子军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联系人:谢圆圆</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联系电话:0571-87117661/13777805250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客户服务电话:0571-96527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传真:0571—87117607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网址:http://www.czcb.com.cn/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(57)浙江泰隆商业银行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注册地址:浙江省台州市路桥区南官大道188号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办公地址:浙江省台州市路桥区南官大道188号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联系人:陈妍宇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联系电话:0571-87219677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客户服务电话:95347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网址:www.zjtlcb.com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(58)中原银行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注册地址:河南省郑州市郑东新区CBD商务外环路23号中科金座大厦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办公地址:河南省郑州市郑东新区CBD商务外环路23号中科金座大厦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法定代表人:窦荣兴</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联系人:田力源</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联系电话:0371-61910219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客户服务电话:95186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网址:www.zybank.com.cn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(59)珠海华润银行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注册地址:广东省珠海市吉大九洲大道东1346号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办公地址:广东省珠海市吉大九洲大道东1346号珠海华润银行大厦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法定代表人:李福利</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联系人:李阳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联系电话:4008800338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客户服务电话:96588（广东省外请加拨0756），400-8800-338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网址:www.crbank.com.cn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(60)成都农商银行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注册地址:成都市武侯区科华中路88号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办公地址:成都市武侯区科华中路88号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法定代表人:陈萍</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联系人:杨琪</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联系电话:028-85315412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客户服务电话:95392   4006-028-666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传真:028-85390961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网址:http://www.cdrcb.com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(61)东莞农村商业银行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注册地址:广东省东莞市东城区鸿福东路2号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办公地址:广东省东莞市东城区鸿福东路2号东莞农商银行大厦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法定代表人:王耀球</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联系人:钟燕珊</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客户服务电话:0769-961122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网址:www.drcbank.com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(62)佛山农商银行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注册地址:佛山市禅城区华远东路5号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办公地址:佛山市禅城区华远东路5号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法定代表人:李川</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联系人:陈棠熙</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客户服务电话:96138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网址:www.foshanbank.cn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(63)富阳农商银行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注册地址:杭州市富阳区鹿山街道依江路501号第1幢</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办公地址:杭州市富阳区鹿山街道依江路501号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法定代表人:丁松茂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联系人:周群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联系电话:0571-61732352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客户服务电话:96596、4008896596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网址:www.fyrcbk.com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(64)广州农商银行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注册地址:广州市黄埔区映日路9号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办公地址:广州市天河区珠江新城华夏路1号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法定代表人:蔡建</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联系人:刘强</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联系电话:020-22389067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客户服务电话:95313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传真:020-22389031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网址:www.grcbank.com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(65)杭州联合银行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注册地址:浙江省杭州市上城区建国中路99号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办公地址:杭州市建国中路99号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法定代表人:张海林</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联系人:吴徐立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联系电话:0571-87923324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客户服务电话:96596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传真:0571-87923214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网址:www.urcb.com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(66)江南农村商业银行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注册地址:常州市武进区延政中路9号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办公地址:常州市武进区延政中路9号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法定代表人:陆向阳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联系人:李仙</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联系电话:0519-80585939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客户服务电话:0519-96005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传真:0519-89995170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网址:http://www.jnbank.com.cn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(67)昆山农村商业银行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注册地址:江苏省昆山市前进东路828号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办公地址:江苏省昆山市前进东路828号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法定代表人:谢铁军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联系人:黄怡</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客户服务电话:0512-96079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网址:www.ksrcb.com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(68)乐清农商银行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注册地址:浙江省乐清市城南街道伯乐西路99号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办公地址:浙江省乐清市城南街道伯乐西路99号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法定代表人:黄定表</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联系人:金晓娇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联系电话:0577-61566028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客户服务电话:4008896596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传真:0577-61566063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(69)龙湾农商银行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注册地址:浙江省温州市龙湾区永中街道永宁西路555号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办公地址:浙江省温州市龙湾区永中街道永宁西路555号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法定代表人:朱朋远</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联系人:胡肖雅</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联系电话:0577-86923223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客户服务电话:4008296596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传真:0577-86921250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(70)鹿城农商银行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注册地址:浙江省温州市鹿城区会展路1500号富银大厦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办公地址:温州市车站大道547号信合大厦A幢</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法定代表人:陈宏强</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联系人:董雷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联系电话:0577-88077675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客户服务电话:96526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网址:http://www.lcrcbank.com/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(71)青岛农商银行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注册地址:山东省青岛市崂山区秦岭路6号1号楼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办公地址:山东省青岛市崂山区秦岭路6号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法定代表人:刘仲生</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联系人:严菲</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联系电话:0532-66957360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客户服务电话:0532-96668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传真:0532-66957229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网址:www.qrcb.com.cn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(72)瑞安农商银行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注册地址:瑞安市安阳街道万松东路148号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办公地址:瑞安市安阳街道万松东路148号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法定代表人:王光领</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联系人:吴小娜</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联系电话:0577-66681245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客户服务电话:4008057702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(73)瑞丰银行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注册地址:浙江省绍兴市柯桥区笛扬路1363号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办公地址:浙江省绍兴市柯桥区笛扬路1363号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法定代表人:章伟东</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联系人:孟建潮</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联系电话:0575-81105323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客户服务电话:400-88-96596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传真:0575-84788134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网址:www.borf.cn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(74)上海农村商业银行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注册地址:上海市黄浦区中山东二路70号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办公地址:上海市黄浦区中山东二路70号上海农商银行大厦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法定代表人:徐力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联系人:施传荣</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联系电话:021-61899999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客户服务电话:021-962999、 4006962999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网址:www.srcb.com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(75)顺德农村商业银行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注册地址:广东佛山市顺德区大良德和居委会拥翠路2号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办公地址:广东佛山市顺德区大良德和居委会拥翠路2号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法定代表人:姚真勇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联系人:杨素苗、区敏欣</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联系电话:0757-22382524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客户服务电话:0757-22223388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传真:0757-22388777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网址:www.sdebank.com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(76)苏州农村商业银行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注册地址:江苏省苏州市吴江区中山南路1777号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办公地址:江苏省苏州市吴江区中山南路1777号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法定代表人:徐晓军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联系人:葛晓亮</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联系电话:0512-63969209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客户服务电话:956111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传真:0512-63969209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网址:www.szrcb.com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(77)天津农商银行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注册地址:天津市河西区马场道59号国际经济贸易中心A座1-6层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办公地址:天津市河西区马场道59号国际经济贸易中心A座1-6层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法定代表人:徐庆宏</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联系人:满与谦、梁冯雷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联系电话:022-83872155,022-83872800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客户服务电话:022-96155，400-80-96155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传真:022-83872156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网址:www.trcbank.com.cn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(78)萧山农商银行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注册地址:浙江省人民路258号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办公地址:浙江省杭州市萧山区人民路258号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法定代表人:王云龙</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联系人:朱光锋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联系电话:0571-82739513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客户服务电话:96596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网址:http://www.zjxsbank.com/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(79)余杭农村商业银行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注册地址:杭州市余杭区南苑街道南大街72号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办公地址:杭州市余杭区南苑街道南大街72号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法定代表人:来煜标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联系人:蔡亮</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联系电话:0571-86209980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客户服务电话:96596，4008896596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网址:www.yhrcb.com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(80)重庆农村商业银行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注册地址:重庆市江北区金沙门路36号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办公地址:重庆市江北区金沙门路36号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法定代表人:刘建忠</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联系人:张静</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联系电话:13880285822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客户服务电话:95389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传真:023-61110146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网址:www.cqrcb.com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(81)安信证券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注册地址:深圳市福田区金田路4018号安联大厦35层、28层A02单元</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办公地址:深圳市福田区金田路4018号安联大厦35层、28层A02单元      深圳市福田区深南大道2008号中国凤凰大厦1栋9层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法定代表人:黄炎勋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联系人:陈剑虹</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联系电话:0755-82825551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客户服务电话:95517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传真:0755-82558355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网址:www.essence.com.cn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(82)渤海证券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注册地址:天津市经济技术开发区第二大街42号写字楼101室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办公地址:天津市南开区宾水西道8号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法定代表人:安志勇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联系人:王星</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联系电话:022-28451922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客户服务电话:400-651-5988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传真:022-28451892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网址:www.ewww.com.cn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(83)财达证券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注册地址:河北省石家庄市桥西区自强路35号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办公地址:河北省石家庄市桥西区自强路35号庄家金融大厦23-26层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法定代表人:翟建强</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联系人:李卓颖</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联系电话:0311-66008561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客户服务电话:95363（河北省内）；0311-95363（河北省外）</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传真:0311-66006414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网址:www.s10000.com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(84)财通证券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注册地址:浙江省杭州市西湖区天目山路198号财通双冠大厦西楼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办公地址:浙江省杭州市西湖区天目山路198号财通双冠大厦西楼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法定代表人:陆建强</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联系人:蔡驰宙</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联系电话:0571-87821867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客户服务电话:95336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网址:www.ctsec.com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(85)财信证券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注册地址:湖南省长沙市岳麓区茶子山东路112号滨江金融中心T3、T4及裙房718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办公地址:长沙市芙蓉中路二段80号顺天国际财富中心26-28层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法定代表人:刘宛晨</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联系人:郭静</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联系电话:0731-84403347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客户服务电话:95317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传真:0731-84403439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网址:www.cfzq.com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(86)长城国瑞证券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注册地址:厦门市思明区莲前西路2号莲富大厦17楼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办公地址:厦门市思明区深田路46号深田国际大厦20楼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联系人:布前</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联系电话:010-68085771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客户服务电话:400-0099-886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传真:0592-2079602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网址:www.gwgsc.com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(87)长城证券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注册地址:深圳市福田区福田街道金田路2026号能源大厦南塔楼10-19层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办公地址:深圳市福田区福田街道金田路2026号能源大厦南塔楼10-19层长城证券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法定代表人:张巍</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联系人:纪毓灵</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联系电话:0755-23610914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客户服务电话:400-6666-888或95514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传真:0755-83515567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网址:www.cgws.com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(88)长江证券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注册地址:湖北省武汉市新华路特8号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办公地址:湖北省武汉市新华路特8号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法定代表人:李新华</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联系人:奚博宇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联系电话:027-65799999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客户服务电话:95579或4008-888-999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传真:027-85481900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网址:www.95579.com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(89)川财证券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注册地址:中国（四川）自由贸易试验区成都高新区交子大道177号中海国际中心B座17楼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办公地址:四川省成都高新区交子大道177号中海国际中心B座17楼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法定代表人:金树成</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联系人:匡婷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联系电话:028-86583053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客户服务电话:028-962708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网址:www.cczq.com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(90)大通证券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注册地址:辽宁省大连市沙河口区会展路129号大连国际金融中心A座-大连期货大厦38、39层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办公地址:辽宁省大连市沙河口区会展路129号大连国际金融中心A座-大连期货大厦38、39层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法定代表人:赵玺</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联系人:谢立军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联系电话:0411-39991807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客户服务电话:4008-169-169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传真:0411-39673214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网址:www.daton.com.cn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(91)大同证券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注册地址:山西省大同市城区迎宾街15号桐城中央21层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办公地址:山西省太原市小店区长治路111号山西世贸中心A座F12、F13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法定代表人:董祥</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联系人:薛津</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联系电话:0351-4130322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客户服务电话:4007121212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传真:0351-7219891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网址:www.dtsbc.com.cn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(92)德邦证券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注册地址:上海市普陀区曹杨路510号南半幢9楼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办公地址:上海市福山路500号城建国际中心29楼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法定代表人:武晓春</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联系人:李林</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联系电话:021-68761616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客户服务电话:400-8888-128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传真:021-68767880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网址:http://www.tebon.com.cn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(93)第一创业证券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注册地址:深圳市福田区福华一路115号投行大厦20楼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办公地址:深圳市福田区福华一路115号投行大厦20楼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法定代表人:刘学民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联系人:单晶</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联系电话:0755-23838750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客户服务电话:95358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网址:www.firstcapital.com.cn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(94)东北证券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注册地址:长春市生态大街6666号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办公地址:长春市生态大街6666号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法定代表人:李福春</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联系人:安岩岩</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联系电话:0431-85096517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客户服务电话:95360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传真:0431-85096795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网址:www.nesc.cn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(95)东方财富证券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注册地址:西藏自治区拉萨市柳梧新区国际总部城10栋楼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办公地址:上海市徐汇区宛平南路88号金座东方财富大厦16楼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法定代表人:戴彦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联系人:付佳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联系电话:021-23586603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客户服务电话:95357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网址:http://www.18.cn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(96)东方证券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注册地址:上海市黄浦区中山南路119号东方证券大厦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办公地址:上海市中山南路318号2号楼22层、23层、25层-29层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法定代表人:金文忠</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联系人:龚玉君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联系电话:021-63325888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客户服务电话:95503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传真:021-63326729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网址:http://www.dfzq.com.cn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(97)东海证券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注册地址:江苏省常州市延陵西路23号投资广场18层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办公地址:上海市浦东新区东方路1928号东海证券大厦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法定代表人:钱俊文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联系人:王一彦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联系电话:021-20333333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客户服务电话:95531、400-8888-588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传真:021-50498825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网址:www.longone.com.cn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(98)东吴证券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注册地址:苏州工业园区星阳街5号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办公地址:苏州工业园区星阳街5号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法定代表人:范力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联系人:陆晓</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联系电话:0512-62938521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客户服务电话:95330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传真:0512-65588021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网址:www.dwzq.com.cn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(99)东莞证券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注册地址:东莞市莞城区可园南路一号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办公地址:东莞市莞城区可园南路1号金源中心30楼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法定代表人:陈照星</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联系人:陈士锐</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联系电话:0769-22112151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客户服务电话:95328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传真:0769-22115712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网址:www.dgzq.com.cn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(100)方正证券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注册地址:湖南省长沙市天心区湘江中路二段36号华远华中心4、5号楼3701-3717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办公地址:北京市朝阳区朝阳门南大街10号兆泰国际中心A座16-19层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法定代表人:施华</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联系人:丁敏</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联系电话:010-59355997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客户服务电话:95571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传真:010-56437030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网址:www.foundersc.com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(101)光大证券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注册地址:上海市静安区新闸路1508号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办公地址:上海市静安区新闸路1508号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法定代表人:刘秋明</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联系人:郁疆</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联系电话:021-22169999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客户服务电话:95525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网址:www.ebscn.com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(102)广发证券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注册地址:广东省广州市黄埔区中新广州知识城腾飞一街2号618室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办公地址:广州市天河区马场路26号广发证券大厦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法定代表人:林传辉</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联系人:黄岚</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客户服务电话:95575或02095575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网址:www.gf.com.cn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(103)国都证券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注册地址:北京市东城区东直门南大街3号国华投资大厦9层10层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办公地址:北京市东城区东直门南大街3号国华投资大厦9层10层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法定代表人:翁振杰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联系人:黄静</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联系电话:010-84183333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客户服务电话:400-818-8118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传真:010-84183311-3122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网址:www.guodu.com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(104)国海证券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注册地址:广西壮族自治区桂林市七星区辅星路13号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办公地址:广西壮族自治区南宁市青秀区滨湖路46号国海大厦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法定代表人:何春梅</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联系人:李健</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联系电话:0755-88313842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客户服务电话:95563或0771-95563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网址:www.ghzq.com.cn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(105)国金证券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注册地址:成都市青羊区东城根上街95号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办公地址:成都市青羊区东城根上街95号成证大厦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法定代表人:冉云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联系人:杜晶、黎建平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联系电话:028-86690057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客户服务电话:95310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传真:028-86690126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网址:www.gjzq.com.cn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(106)国联证券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注册地址:江苏省无锡市太湖新城金融一街8号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办公地址:江苏省无锡市太湖新城金融一街8号国联金融大厦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法定代表人:姚志勇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联系人:祁昊</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联系电话:0510-82831662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客户服务电话:95570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传真:0510-82830162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网址:www.glsc.com.cn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(107)国融证券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注册地址:内蒙古自治区呼和浩特市武川县腾飞大道1号4楼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办公地址:北京市西城区宣武门西大街甲129号金隅大厦16层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法定代表人:张智河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联系人:刘云龙、张泽浩</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联系电话:010-83991889、010-83991862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客户服务电话:95385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传真:010-66412537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网址:www.grzq.com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(108)国盛证券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注册地址:江西省南昌市新建区子实路1589号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办公地址:江西省南昌市红谷滩新区凤凰中大道1115号北京银行大厦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法定代表人:周军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联系人:占文驰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联系电话:0791-88250812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客户服务电话:956080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传真:0791-86281305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网址:www.gszq.com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(109)国泰君安证券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注册地址:中国（上海）自由贸易试验区商城路618号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办公地址:上海市静安区南京西路768号国泰君安大厦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法定代表人:贺青</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联系人:芮敏祺</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客户服务电话:95521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传真:021-38670666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网址:www.gtja.com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(110)国信证券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注册地址:深圳市罗湖区红岭中路1012号国信证券大厦十六层至二十六层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办公地址:深圳市罗湖区红岭中路1012号国信证券大厦十六层至二十六层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法定代表人:张纳沙</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联系人:李颖</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联系电话:0755-82130833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客户服务电话:95536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传真:0755-82133952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网址:www.guosen.com.cn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(111)国元证券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注册地址:安徽省合肥市梅山路18号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办公地址:安徽省合肥市梅山路18号安徽国际金融中心A座国元证券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法定代表人:俞仕新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联系人:汪先哲</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联系电话:0551-62207400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客户服务电话:95578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传真:0551-2272100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网址:www.gyzq.com.cn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(112)海通证券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注册地址:上海市广东路689号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办公地址:上海市广东路689号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法定代表人:周杰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联系人:金芸、李笑鸣</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联系电话:021-23219000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客户服务电话:95553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传真:021-23219100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网址:www.htsec.com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(113)恒泰证券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注册地址:内蒙古自治区呼和浩特市新城区海拉尔东街满世尚都办公商业综合楼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办公地址:内蒙古自治区呼和浩特市新城区海拉尔东街满世尚都办公商业综合楼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法定代表人:吴谊刚（代为履行法定代表人职务）</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联系人:熊丽</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联系电话:0471-4972675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客户服务电话:956088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网址:www.cnht.com.cn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(114)华安证券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注册地址:安徽省合肥市政务文化新区天鹅湖路198号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办公地址:安徽省合肥市政务文化新区天鹅湖路198号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法定代表人:章宏韬</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联系人:范超</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联系电话:0551-65161821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客户服务电话:95318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传真:0551-65161825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网址:www.hazq.com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(115)华宝证券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注册地址:中国（上海）自由贸易试验区世纪大道100号57层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办公地址:中国（上海）自由贸易试验区世纪大道100号57层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法定代表人:刘加海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联系人:刘闻川</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联系电话:021-20515385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客户服务电话:400-820-9898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传真:021-20515593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网址:www.cnhbstock.com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(116)华福证券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注册地址:福建省福州市鼓楼区鼓屏路27号1#楼3层、4层、5层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办公地址:上海市浦东新区滨江大道5129号N1座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法定代表人:黄金琳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联系人:王虹</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联系电话:021-20655183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客户服务电话:95547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传真:021-20655196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网址:www.hfzq.com.cn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(117)华林证券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注册地址:西藏自治区拉萨市柳梧新区国际总部城3幢1单元5-5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办公地址:深圳市南山区深南大道9668号华润置地大厦C座31-33层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法定代表人:林立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联系人:郑琢</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联系电话:0755-82707766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客户服务电话:400-188-3888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传真:0755-82707993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网址:www.chinalin.com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(118)华龙证券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注册地址:兰州市城关区东岗西路638号兰州财富中心21楼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办公地址:兰州市城关区东岗西路638号兰州财富中心</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法定代表人:陈牧原</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联系人:范坤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联系电话:0931-4890208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客户服务电话:95368、400-689-8888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传真:0931-4890628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网址:www.hlzq.com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(119)华融证券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注册地址:北京市西城区金融大街8号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办公地址:北京市朝阳区朝阳门北大街18号中国人保寿险大厦12至18层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法定代表人:张海文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联系人:孙燕波</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联系电话:010-85556048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客户服务电话:95390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传真:010-85556088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网址:www.hrsec.com.cn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(120)华泰证券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注册地址:南京市江东中路228号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办公地址:南京市建邺区江东中路228号华泰证券广场</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法定代表人:张伟</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联系人:庞晓芸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联系电话:0755-82492193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客户服务电话:95597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传真:025-83387523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网址:www.htsc.com.cn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(121)华西证券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注册地址:四川省成都市高新区天府二街198号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办公地址:四川省成都市高新区天府二街198号华西证券大厦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法定代表人:杨炯洋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联系人:赵静静</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联系电话:010-58124967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客户服务电话:95584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传真:028-86150040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网址:www.hx168.com.cn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(122)华鑫证券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注册地址:深圳市福田区莲花街道福中社区深南大道2008号中国凤凰大厦1栋20C-1房</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办公地址:上海市徐汇区宛平南路8号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法定代表人:俞洋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联系人:刘熠</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联系电话:021-54967387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客户服务电话:95323（全国）、400-109-9918（全国）、029-68918888（西安）</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传真:021- 54967293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网址:www.cfsc.com.cn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(123)江海证券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注册地址:黑龙江省哈尔滨市香坊区赣水路56号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办公地址:黑龙江省哈尔滨市松北区创新三路833号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法定代表人:赵洪波</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联系人:王金娇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联系电话:0451-87765732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客户服务电话:956007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传真:0451-82337279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网址:www.jhzq.com.cn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(124)金元证券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注册地址:海口市南宝路36号证券大厦4楼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办公地址:深圳市深南大道4001号时代金融中心大厦17楼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法定代表人:王作义</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联系人:刘萍</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联系电话:0755-83025693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客户服务电话:95372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传真:0755-83025625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网址:www.jyzq.cn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(125)九州证券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注册地址:青海省西宁市南川工业园区创业路108号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办公地址:北京市朝阳区安立路30号仰山公园东一门2号楼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法定代表人:魏先锋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联系人:杨婷婷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联系电话:010-57672255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客户服务电话:95305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网址:www.jzsec.com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(126)开源证券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注册地址:陕西省西安市高新区锦业路1号都市之门B座5层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办公地址:陕西省西安市高新区锦业路1号都市之门B座5层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法定代表人:李刚</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联系人:张蕊</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联系电话:029-88365809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客户服务电话:95325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网址:www.kysec.cn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(127)联储证券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注册地址:山东省青岛市崂山区苗岭路15号金融中心大厦15层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办公地址:上海市浦东新区陆家嘴环路1366号富士康大厦9、10层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法定代表人:吕春卫</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联系人:尹铮铮</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联系电话:010-86499807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客户服务电话:400-620-6868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网址:www.lczq.com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(128)南京证券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注册地址:南京市江东中路389号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办公地址:南京市江东中路389号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法定代表人:李剑锋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联系人:王万君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联系电话:025-58519523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客户服务电话:95386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传真:025-83369725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网址:www.njzq.com.cn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(129)平安证券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注册地址:深圳市福田区福田街道益田路5023号平安金融中心B座第22-25层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办公地址:深圳市福田区金田路4036号荣超大厦16-20层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法定代表人:何之江</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联系人:周驰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联系电话:021-38643230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客户服务电话:95511-8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传真:021-58991896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网址:stock.pingan.com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(130)瑞银证券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注册地址:北京市西城区金融大街7号英蓝国际金融中心12层、15层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办公地址:北京市西城区金融大街7号英蓝国际金融中心12层、15层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法定代表人:钱于军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联系人:谢丹</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联系电话:0755-22158878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客户服务电话:400-887-8827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传真:010-58328170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网址:https://www.ubs.com/ubssecurities</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(131)山西证券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注册地址:太原市府西街69号山西国际贸易中心东塔楼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办公地址:太原市府西街69号山西国际贸易中心东塔楼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法定代表人:王怡里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联系人:谢武兵</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联系电话:0351-8686721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客户服务电话:95573或400-666-1618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传真:0351-8686619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网址:www.i618.com.cn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(132)上海证券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注册地址:上海市黄浦区四川中路213号7楼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办公地址:上海市四川中路213号久事商务大厦7楼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法定代表人:何伟</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联系人:邵珍珍</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联系电话:021-53686888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客户服务电话:4008-918-918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传真:021-53686100-7008，021-53686200-7008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网址:https://www.shzq.com/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(133)申万宏源西部证券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注册地址:新疆乌鲁木齐市高新区（新市区）北京南路358号大成国际大厦20楼2005室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办公地址:新疆乌鲁木齐市高新区（新市区）北京南路358号大成国际大厦20楼2005室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法定代表人:王献军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联系人:王怀春</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联系电话:0991-2307105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客户服务电话:95523、4008895523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传真:010-88085195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网址:www.swhysc.com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(134)申万宏源证券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注册地址:上海市徐汇区长乐路989号45层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办公地址:上海市徐汇区长乐路989号世纪商贸广场45层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法定代表人:杨玉成</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联系人:陈宇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联系电话:021-33388252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客户服务电话:95523、4008895523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传真:021-33388224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网址:www.swhysc.com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(135)世纪证券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注册地址:深圳市前海深港合作区南山街道桂湾五路128号前海深港基金小镇对冲基金中心406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办公地址:广东省深圳市福田区福田街道金田路2026号能源大厦北塔23-25楼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法定代表人:李强</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联系人:徐玲娟</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联系电话:0755-83199599-9135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客户服务电话:4008323000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网址:www.csco.com.cn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(136)首创证券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注册地址:北京市西城区德胜门外大街115号德胜尚城E座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办公地址:北京市西城区德胜门外大街115号德胜尚城E座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法定代表人:毕劲松</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联系人:刘宇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联系电话:010-59366070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客户服务电话:95381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传真:010-59366238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网址:www.sczq.com.cn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(137)天风证券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注册地址:湖北省武汉市东湖新技术开发区关东园路2号高科大厦四楼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办公地址:湖北省武汉市武昌区中南路99号保利广场A座37楼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法定代表人:余磊</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联系人:王雅薇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联系电话:027-87617017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客户服务电话:95391/400-800-5000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传真:027-87618863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网址:http://www.tfzq.com/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(138)万和证券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注册地址:海南省海口市南沙路49号通信广场二楼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办公地址:深圳市福田区深南大道7028号时代科技大厦20层西厅</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法定代表人:冯周让</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联系人:李晟辉</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联系电话:0755-82830333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客户服务电话:4008-882-882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传真:0755-25842783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网址:http://www.wanhesec.com.cn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(139)万联证券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注册地址:广州市天河区珠江东路11号18、19楼全层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办公地址:广州市天河区珠江东路13号高德置地广场E栋12层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法定代表人:袁笑一</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联系人:吕祥崟</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联系电话:020-38286692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客户服务电话:95322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传真:020-38286588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网址:www.wlzq.cn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(140)五矿证券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注册地址:深圳市南山区粤海街道海珠社区滨海大道3165号五矿金融大厦2401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办公地址:深圳市南山区滨海大道与后海滨路交汇处滨海大道3165号五矿金融大厦（18-25层）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法定代表人:黄海洲</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联系人:戴佳璐</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联系电话:0755-23375492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客户服务电话:40018-40028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传真:0755-82545500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网址:www.wkzq.com.cn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(141)西部证券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注册地址:陕西省西安市新城区东新街319号8幢10000室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办公地址:陕西省西安市新城区东新街319号8幢10000室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法定代表人:徐朝晖</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联系人:张吉安</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联系电话:029-87211668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客户服务电话:95582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传真:029-87211478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网址:www.westsecu.com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(142)西南证券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注册地址:重庆市江北区桥北苑8号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办公地址:重庆市江北区桥北苑8号西南证券大厦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法定代表人:吴坚</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联系人:魏馨怡</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联系电话:023-67663104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客户服务电话:95355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传真:023-63786212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网址:www.swsc.com.cn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(143)湘财证券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注册地址:湖南省长沙市天心区湘府中路198号新南城商务中心A栋11楼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办公地址:湖南省长沙市天心区湘府中路198号新南城商务中心A栋11楼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法定代表人:高振营</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联系人:江恩前</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联系电话:021-38784580-8920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客户服务电话:95351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传真:021-68865680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网址:www.xcsc.com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(144)新时代证券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注册地址:北京市海淀区北三环西路99号院1号楼15层1501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办公地址:北京市海淀区北三环西路99号院1号楼15层1501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法定代表人:林雯</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联系人:廖晓</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联系电话:010-83561321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网址:www.xsdzq.cn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(145)信达证券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注册地址:北京市西城区闹市口大街9号院1号楼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办公地址:北京市西城区闹市口大街9号院1号楼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法定代表人:祝瑞敏</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联系人:王薇安</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联系电话:010-83252170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客户服务电话:95321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传真:010-63080978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网址:www.cindasc.com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(146)兴业证券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注册地址:福州市湖东路268号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办公地址:上海浦东新区长柳路36号兴业证券大厦20楼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法定代表人:杨华辉</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联系人:乔琳雪</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联系电话:021-38565547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客户服务电话:95562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网址:www.xyzq.com.cn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(147)银河证券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注册地址:北京市西城区金融大街35号2-6层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办公地址:北京市丰台区西营街8号院1号楼青海金融大厦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法定代表人:陈共炎</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联系人:辛国政</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联系电话:010-80928123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客户服务电话:4008-888-888或95551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网址:www.chinastock.com.cn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(148)粤开证券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注册地址:广州经济技术开发区科学大道60号开发区控股中心21、22、23层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办公地址:广州经济技术开发区科学大道60号开发区控股中心21、22、23层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法定代表人:严亦斌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联系人:彭莲</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联系电话:0755-83331195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客户服务电话:95564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网址:http://www.ykzq.com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(149)招商证券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注册地址:深圳市福田区福田街道福华一路111号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办公地址:深圳市福田区福田街道福华一路111号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法定代表人:霍达</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联系人:黄婵君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联系电话:0755-82943666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客户服务电话:95565、400-8888-111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传真:0755-82943636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网址:www.newone.com.cn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(150)浙商证券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注册地址:浙江省杭州市江干区五星路201号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办公地址:浙江省杭州市江干区五星路201号浙商证券大楼8楼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法定代表人:吴承根</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联系人:高扬</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联系电话:0571-87902974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客户服务电话:95345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传真:0571-87901913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网址:www.stocke.com.cn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(151)中航证券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注册地址:江西省南昌市红谷滩新区红谷中大道1619号南昌国际金融大厦A栋41层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办公地址:江西省南昌市红谷滩新区红谷中大道1619号南昌国际金融大厦A栋41层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法定代表人:丛中</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联系人:王紫雯</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联系电话:010-59562468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客户服务电话:95335或400-88-95335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传真:010-59562637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网址:www.avicsec.com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(152)中金财富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注册地址:深圳市福田区益田路与福中路交界处荣超商务中心A栋第18-21层及第04层01.02.03.05.11.12.13.15.16.18.19.20.21.22.23单元</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办公地址:深圳福田区益田路6003号荣超商务中心A座4层、18-21层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法定代表人:高涛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联系人:万玉琳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联系电话:0755-82026907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客户服务电话:95532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网址:https://www.ciccwm.com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(153)中金公司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注册地址:北京市朝阳区建国门外大街1号国贸大厦2座27层及28层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办公地址:北京市朝阳区建国门外大街甲6号SK大厦38层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法定代表人:沈如军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联系人:杨涵宇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联系电话:010-65051166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客户服务电话:4009101166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网址:www.cicc.com.cn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(154)中山证券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注册地址:深圳市南山区粤海街道蔚蓝海岸社区创业路1777号海信南方大厦21、22层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办公地址:深圳市南山区创业路1777号海信南方大厦21、22层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法定代表人:吴小静</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联系人:罗艺琳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联系电话:0755-82943755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客户服务电话:95329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传真:0755-82960582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网址:www.zszq.com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(155)中泰证券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注册地址:济南市市中区经七路86号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办公地址:山东省济南市经七路86号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法定代表人:李峰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联系人:许曼华</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联系电话:021-20315290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客户服务电话:95538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传真:0531-68889095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网址:www.zts.com.cn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(156)中天证券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注册地址:辽宁省沈阳市和平区光荣街23甲</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办公地址:辽宁省沈阳市和平区光荣街23甲</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法定代表人:马功勋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联系人:李泓灏</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联系电话:024-23255256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客户服务电话:024-95346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传真:024-23255606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网址:www.iztzq.com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(157)中信建投证券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注册地址:北京市朝阳区安立路66号4号楼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办公地址:北京市朝阳门内大街188号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法定代表人:王常青</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联系人:刘芸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联系电话:010－85130554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客户服务电话:95587或4008-888-108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网址:http://www.csc108.com/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(158)中信证券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注册地址:广东省深圳市福田区中心三路8号卓越时代广场（二期）北座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办公地址:北京市朝阳区亮马桥路48号中信证券大厦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法定代表人:张佑君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联系人:王一通</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联系电话:010-60838888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客户服务电话:95548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传真:010-60836029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网址:www.cs.ecitic.com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(159)中信证券（山东）</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注册地址:青岛市崂山区深圳路222号1号楼2001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办公地址:青岛市市南区东海西路28号龙翔广场东座5层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法定代表人:冯恩新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联系人:焦刚</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联系电话:0531-89606166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客户服务电话:95548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传真:0532-85022605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网址:http://sd.citics.com/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(160)中信证券华南</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注册地址:广州市天河区临江大道395号901室(部位:自编01),1001室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办公地址:广州市天河区临江大道395号合利天德广场T1楼10层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法定代表人:胡伏云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联系人:陈靖</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联系电话:020-88836999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客户服务电话:95548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传真:020-88836984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网址:www.gzs.com.cn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(161)中银证券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注册地址:上海市浦东新区银城中路200号中银大厦39层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办公地址:上海市浦东新区银城中路200号中银大厦39-40层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法定代表人:宁敏</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联系人:王炜哲</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客户服务电话:400-620-8888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传真:021-50372474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网址:www.bocichina.com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(162)中邮证券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注册地址:陕西省西安市唐延路5号（陕西邮政信息大厦9-11层）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办公地址:北京市东城区珠市口东大街17号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法定代表人:郭成林</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联系人:岳帅</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联系电话:010-67017788-6068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客户服务电话:4008-888-005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传真:010-67017788-9696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网址:www.cnpsec.com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(163)中原证券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注册地址:郑州市郑东新区商务外环路10号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办公地址:河南省郑州市郑东新区商务外环路10号中原广发金融大厦19楼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法定代表人:菅明军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联系人:程月艳  李盼盼 党静</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联系电话:0371-69099882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客户服务电话:95377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传真:0371--65585899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网址:www.ccnew.com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(164)甬兴证券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注册地址:浙江省宁波市鄞州区海晏北路565、577号8-11层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办公地址:浙江省宁波市鄞州区海晏北路565、577号8-11层；上海市浦东新区南泉北路429号泰康大厦31-32层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法定代表人:李抱</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联系人:戴璐璐</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联系电话:021-20587260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客户服务电话:400-916-0666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网址:www.yongxingsec.com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(165)长量基金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注册地址:上海市浦东新区高翔路526号2幢220室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办公地址:上海市浦东新区东方路1267号陆家嘴金融服务广场二期11层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法定代表人:张跃伟</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联系人:孙娅雯</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联系电话:021-20691819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客户服务电话:400-820-2899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传真:021-20691861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网址:www.erichfund.com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(166)创金启富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注册地址:北京市西城区白纸坊东街2号院6号楼712室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办公地址:北京市西城区白纸坊东街2号院6号楼712室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法定代表人:梁蓉</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联系人:魏素清</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联系电话:010-66154828-8047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客户服务电话:010-66154828-8005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传真:010-63583991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网址:www.5irich.com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(167)大连网金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注册地址:辽宁省大连市沙河口区体坛路22号诺德大厦2层202室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办公地址:辽宁省大连市沙河口区体坛路22号诺德大厦2层202室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法定代表人:樊怀东</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联系人:李鑫</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联系电话:0411-39027830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客户服务电话:4000-899-100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网址:www.yibaijin.com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(168)大智慧基金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注册地址:中国（上海）自由贸易试验区杨高南路428号1号楼1102单元</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办公地址:中国（上海）自由贸易试验区杨高南路428号1号楼1102单元</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法定代表人:张俊</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联系人:张蜓</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联系电话:021-20219988-35374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客户服务电话:021-20292031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传真:021-20219923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网址:https://www.wg.com.cn/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(169)蛋卷基金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注册地址:北京市朝阳区创远路34号院6号楼15层1501室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办公地址:北京市朝阳区创远路 34 号院融新科技中心 C 座 17 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法定代表人:钟斐斐</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联系人:侯芳芳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联系电话:010-61840688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客户服务电话:400-159-9288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网址:https://danjuanapp.com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(170)度小满基金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注册地址:北京市海淀区西北旺东路10号院西区4号楼1层103室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办公地址:北京市海淀区西北旺东路10号院西区4号楼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法定代表人:葛新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联系人:孙博超</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联系电话:010-59403028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客户服务电话:95055-4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网址:www.baiyingfund.com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(171)泛华普益</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注册地址:四川省成都市成华区建设路9号高地中心1101室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办公地址:成都市金牛区花照壁西顺街399号1栋1单元龙湖西宸天街B座1201号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法定代表人:于海锋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联系人:陈丹</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联系电话:15114053620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客户服务电话:400-080-3388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网址:www.puyifund.com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(172)富济基金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注册地址:深圳市福田区福田街道岗厦社区金田路3088号中洲大厦3203A单元</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办公地址:深圳市福田区福田街道岗厦社区金田路3088号中洲大厦3203A单元</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法定代表人:祝中村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联系人:曾瑶敏</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联系电话:0755-83999907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客户服务电话:0755-83999907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传真:0755-83999926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网址:www.fujifund.cn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(173)海银基金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注册地址:中国（上海）自由贸易试验区银城中路8号402室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办公地址:上海市浦东新区银城中路8号海银金融中心4楼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法定代表人:巩巧丽</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联系人:李卓楠</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联系电话:021-80134149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客户服务电话:400-808-1016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传真:021-80133413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网址:www.fundhaiyin.com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(174)好买基金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注册地址:上海市虹口区欧阳路196号26号楼2楼41号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办公地址:上海市浦东南路1118号鄂尔多斯国际大厦903～906室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法定代表人:杨文斌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联系人:高源</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联系电话:021-36696312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客户服务电话:400-700-9665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传真:021-68596919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网址:www.ehowbuy.com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(175)恒天明泽</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注册地址:北京市经济技术开发区宏达北路10号五层5122室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办公地址:北京市朝阳区东三环北路甲19号SOHO嘉盛中心30层3001室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法定代表人:周斌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联系人:侯艳红</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联系电话:010-59313555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客户服务电话:400-8980-618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传真:010-59313586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网址:www.chtwm.com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(176)虹点基金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注册地址:北京市朝阳区东三环北路17号10层1015室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办公地址:北京市朝阳区东三环北路17号10层1015室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法定代表人:何静</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联系人:王重阳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联系电话:010-65951887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客户服务电话:400-618-0707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网址:www.hongdianfund.com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(177)华夏财富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注册地址:上海市虹口区东大名路687号1幢2楼268室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办公地址:北京市西城区金融大街33号通泰大厦B座8层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法定代表人:毛淮平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联系人:张静怡</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联系电话:010-88066326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客户服务电话:400-817-5666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传真:010-63136184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网址:www.amcfortune.com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(178)汇成基金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注册地址:北京市西城区宣武门外大街甲1号环球财讯中心D座4层401-2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办公地址:北京市西城区宣武门外大街甲1号环球财讯中心D座401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法定代表人:王伟刚</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联系人:王骁骁</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联系电话:010-56251471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客户服务电话:400-619-9059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网址:www.hcfunds.com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(179)汇付基金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注册地址:上海市黄浦区九江路769号1807-3室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办公地址:上海市徐汇区宜山路700号普天信息产业园2期C5栋 汇付天下总部大楼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法定代表人:金佶</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联系人:甄宝林</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联系电话:021-34013996-3011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客户服务电话:021-34013999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传真:021-33323837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网址:www.hotjijin.com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(180)基煜基金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注册地址:上海市黄浦区广东路500号30层3001单元</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办公地址:上海市浦东新区银城中路488号太平金融大厦1503室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法定代表人:王翔</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联系人:张巍婧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联系电话:021-65370077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客户服务电话:400-820-5369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传真:021-55085991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网址:https://www.jiyufund.com.cn/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(181)济安财富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注册地址:北京市朝阳区太阳宫中路16号院1号楼3层307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办公地址:北京市朝阳区太阳宫中路16号院1号楼冠捷大厦3层307单元</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法定代表人:杨健</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联系人:李海燕</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联系电话:010-65309516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客户服务电话:400-673-7010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传真:010-65330699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网址:www.jianfortune.com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(182)嘉实财富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注册地址:中国（上海）自由贸易试验区世纪大道8号上海国金中心办公楼二期27层2716单元</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办公地址:北京市朝阳区建国门外大街21号北京国际俱乐部C座写字楼11层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法定代表人:张峰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联系人:闫欢</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联系电话:010-85097302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客户服务电话:400-021-8850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传真:010-85712195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网址:www.harvestwm.cn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(183)加和基金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注册地址:北京市西城区平原里21号楼4层A502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办公地址:北京市西城区平原里21号楼4层A502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法定代表人:曲阳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联系人:王梓骄</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联系电话:010-80456756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客户服务电话:400-803-1188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传真:010-8045 6278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网址:www.bzfunds.com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(184)金海九州</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注册地址:深圳市前海深港合作区前湾一路1号A栋201室（入驻深圳市前海商务秘书有限公司）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办公地址:深圳市福田区富德生命保险大厦1106室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法定代表人:彭维熙</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联系人:彭维熙</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联系电话:0755-81994266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客户服务电话:4000993333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传真:0755-84333886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网址:www.jhjzfund.com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(185)京东肯特瑞</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注册地址:北京市海淀区西三旗建材城中路12号17号平房157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办公地址:北京市通州区亦庄经济技术开发区科创十一街18号院京东集团总部A座17层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法定代表人:李骏</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联系人:邢锦超</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客户服务电话:95118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网址:kenterui.jd.com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(186)凯石财富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注册地址:上海市黄浦区西藏南路765号602-115室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办公地址:上海市黄浦区延安东路1号凯石大厦4楼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法定代表人:陈继武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联系人:冯强</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联系电话:021-63333389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客户服务电话:4006-433-389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传真:021-63333390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网址:www.vstonewealth.com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(187)利得基金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注册地址:上海市宝山区月浦镇塘南街57号6幢221室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办公地址:上海市虹口区东大名路1098号浦江国际金融广场53层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法定代表人:李兴春</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联系人:张仕钰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联系电话:021-60195205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客户服务电话:400-032-5885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传真:86-21-61101630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网址:www.leadbank.com.cn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(188)联泰基金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注册地址:中国（上海）自由贸易试验区富特北路277号3层310室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办公地址:上海市长宁区福泉北路518号8座3楼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法定代表人:尹彬彬</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联系人:陈东</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联系电话:021-52822063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客户服务电话:400-118-1188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传真:021-52975270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网址:www.66zichan.com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(189)陆基金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注册地址:中国（上海）自由贸易试验区源深路1088号7层（实际楼层6层）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办公地址:上海市源深路1088号平安财富大厦7楼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法定代表人:陈祎彬</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联系人:宁博宇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联系电话:021-20665952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客户服务电话:4008219031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传真:021-22066653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网址:www.lufunds.com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(190)蚂蚁基金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注册地址:浙江省杭州市余杭区五常街道文一西路969号3幢5层599室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办公地址:浙江省杭州市西湖区万塘路18号黄龙时代广场B座6F</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法定代表人:祖国明</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联系人:韩爱彬</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联系电话:0571-26888888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客户服务电话:4000-766-123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网址:http://www.fund123.cn/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(191)民商基金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注册地址:上海黄浦区北京东路666号H区（东座）6楼A31室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办公地址:上海市浦东新区张杨路707号生命人寿大厦32楼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法定代表人:贲惠琴</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联系人:林志枫</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联系电话:021-50206003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客户服务电话:021-50206003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传真:021-50206001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网址:http://www.msftec.com/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(192)诺亚正行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注册地址:上海市虹口区飞虹路360弄9号3724室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办公地址:上海市杨浦区长阳路1687号长阳谷2号楼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法定代表人:汪静波</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联系人:李娟</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联系电话:021-80358523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客户服务电话:400-821-5399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传真:021-80358749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网址:www.noah-fund.com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(193)浦领基金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注册地址:北京市朝阳区望京东园四区2号楼10层1001号04室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办公地址:北京市朝阳区望京浦项中心A座9层04-08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法定代表人:张昱</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联系人:李艳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联系电话:010-59497361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客户服务电话:400-012-5899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传真:010-64788016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网址:www.zscffund.com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(194)钱景基金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注册地址:北京市石景山区城通街26号院2号楼17层1735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办公地址:北京市石景山区城通街26号院2号楼17层1735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法定代表人:王利刚</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联系人:白皓</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联系电话:010-59422766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客户服务电话:400-893-6885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传真:010-62565181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网址:www.qianjing.com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(195)尚善基金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注册地址:浦东新区上丰路977号1幢B座812室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办公地址:上海市浦东新区碧波路690号4幢201-2A室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法定代表人:孙晓慧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联系人:陆纪青</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联系电话:021-80234888-6813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客户服务电话:400-699-1888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网址:www.998fund.com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(196)苏宁基金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注册地址:南京市玄武区苏宁大道1-5号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办公地址:南京市玄武区苏宁大道1-5号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联系人:冯鹏鹏</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联系电话:025-66996699-882796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客户服务电话:95177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网址:www.snjijin.com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(197)腾安基金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注册地址:深圳市前海深港合作区前湾一路1号A栋201室（入驻深圳市前海商务秘书有限公司）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办公地址:深圳市南山区海天二路33号腾讯滨海大厦15楼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法定代表人:刘明军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联系人:谭广锋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客户服务电话:95017（拨通后转1转8）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网址:https://www.txfund.com/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(198)天天基金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注册地址:上海市徐汇区龙田路190号2号楼2层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办公地址:上海市徐汇区宛平南路88号东方财富大厦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法定代表人:其实</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联系人:屠彦洋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联系电话:021-54509977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客户服务电话:95021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传真:021-64385308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网址:www.1234567.com.cn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(199)通华财富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注册地址:上海市虹口区同丰路667弄107号201室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办公地址:上海市浦东新区金沪路55号通华科技大厦2楼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法定代表人:沈丹义</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联系人:杨涛、庄洁茹</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联系电话:021-60810586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客户服务电话:400-101-9301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传真:021-60810695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网址:www.tonghuafund.com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(200)同花顺</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注册地址:浙江省杭州市文二西路1号903室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办公地址:杭州市余杭区五常街道同顺街18号同花顺大楼4层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法定代表人:吴强</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联系人:吴强</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联系电话:0571-88911818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客户服务电话:952555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传真:0571-86800423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网址:www.5ifund.com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(201)途牛基金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注册地址:江苏省南京市玄武区玄武大道699-1号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办公地址:江苏省南京市玄武区玄武大道699-32号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法定代表人:单宏杰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联系人:贺杰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联系电话:025-86853960-66727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客户服务电话:4007-999-999转3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网址:http://jr.tuniu.com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(202)挖财基金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注册地址:中国（上海）自由贸易试验区杨高南路759号18层03单元</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办公地址:中国（上海）自由贸易试验区杨高南路759号18层03单元</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法定代表人:吕柳霞</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联系人:毛善波</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联系电话:021-50810687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客户服务电话:021-50810673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网址:www.wacaijijin.com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(203)万得基金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注册地址:中国（上海）自由贸易试验区福山路33号11楼B座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办公地址:上海市浦东新区浦明路1500号万得大厦11楼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法定代表人:黄祎</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联系人:徐亚丹</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联系电话:021-50712782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客户服务电话:400-799-1888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网址:www.520fund.com.cn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(204)万家财富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注册地址:天津自贸区（中心商务区）迎宾大道1988号滨海浙商大厦公寓2-2413室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办公地址:北京市西城区丰盛胡同28号太平洋保险大厦A座5层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法定代表人:戴晓云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联系人:王芳芳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联系电话:010-59013828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客户服务电话:010-59013895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网址:http://www.wanjiawealth.com/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(205)喜鹊基金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注册地址:西藏拉萨市柳梧新区柳梧大厦1513室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办公地址:北京市朝阳区北苑路甲1号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法定代表人:王舰正</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联系人:张萌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联系电话:010-58349088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客户服务电话:4006997719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网址:www.xiquefund.com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(206)新浪仓石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注册地址:北京市海淀区东北旺西路中关村软件园二期（西扩）N-1、N-2地块新浪总部科研楼5层518室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办公地址:北京市海淀区西北旺东路10号院东区3号楼为明大厦C座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法定代表人:赵芯蕊</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联系人:赵芯蕊</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联系电话:010-62625768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客户服务电话:010-62675369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传真:010-62676582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网址:www.xincai.com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(207)一路财富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注册地址:北京市海淀区宝盛南路1号院20号楼9层101-14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办公地址:北京市海淀区宝盛南路奥北科技园20号楼国泰大厦9层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法定代表人:吴雪秀</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联系人:董宣</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联系电话:010-88312877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客户服务电话:400-001-1566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传真:010-88312099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网址:www.yilucaifu.com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(208)宜信普泽</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注册地址:北京市朝阳区光华路7号楼20层20A1、20A2单元</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办公地址:北京市朝阳区光华路7号楼20层20A1、20A2单元</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法定代表人:才殿阳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联系人:魏晨</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联系电话:13260309352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客户服务电话:400-6099-200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传真:010-59644044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网址:www.yixinfund.com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(209)盈米基金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注册地址:珠海市横琴新区宝华路6号105室-3491（集中办公区）</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办公地址:广州市海珠区阅江中路688号保利国际广场北塔33层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法定代表人:肖雯</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联系人:邱湘湘</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联系电话:020-89629099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客户服务电话:020-89629066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传真:020-89629011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网址:www.yingmi.cn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(210)云湾基金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注册地址:中国（上海）自由贸易试验区新金桥路27号、明月路1257号1幢1层103-1、103-2办公区</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办公地址:上海市浦东新区新金桥路27号1号楼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法定代表人:冯轶明</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联系人:范泽杰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联系电话:021-20530186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客户服务电话:400-820-1515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传真:021-20539999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网址:http://www.zhengtongfunds.com/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(211)增财基金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注册地址:北京市西城区德胜门外大街83号4层407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办公地址:北京市西城区德胜门外大街83号4层407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法定代表人:罗细安</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联系人:闫丽敏</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联系电话:010-67000988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客户服务电话:010-67000988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传真:010-67000988-6000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网址:www.zcvc.com.cn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(212)展恒基金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注册地址:北京市朝阳区安苑路11号西楼6层604、607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办公地址:北京市朝阳区北四环中路27号盘古大观3205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法定代表人:闫振杰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联系人:武文佳</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联系电话:010-59601399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客户服务电话:400-818-8000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传真:0351-4110714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网址:www.myfund.com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(213)中欧财富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注册地址:中国（上海）自由贸易试验区陆家嘴环路333号502室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办公地址:上海市虹口区公平路18号8栋嘉昱大厦6层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法定代表人:许欣</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联系人:黎静</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联系电话:021-68609600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客户服务电话:400-700-9700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网址:www.qiangungun.com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(214)中期时代基金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注册地址:北京市朝阳区建国门外光华路14号1幢11层1103号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办公地址:北京市朝阳区建国门外光华路14号1幢4层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法定代表人:田宏莉</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联系人:尹庆</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联系电话:010-65807865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客户服务电话:95162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传真:010-65807864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网址:www.jrtoo.com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(215)中正达广</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注册地址:上海市徐汇区龙兰路277号1号楼1203、1204室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办公地址:上海市徐汇区龙兰路277号1号楼1203、1204室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法定代表人:黄欣</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联系人:戴珉微</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联系电话:021-33768132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客户服务电话:400-6767-523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传真:021-33768132-802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网址:www.zhongzhengfund.com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(216)众惠基金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注册地址:贵州省贵阳市观山湖区长岭北路贵阳国际金融中心二期商务区第C4栋30层1号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办公地址:贵州省贵阳市观山湖区长岭北路贵阳国际金融中心二期商务区第C4栋30层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法定代表人:李春蓉</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联系人:兰显勋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联系电话:0851-82209888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客户服务电话:400-8391818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传真:0851-86909950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网址:http://hyzhfund.com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(217)众禄基金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注册地址:深圳市罗湖区笋岗街道笋西社区梨园路8号HALO广场一期四层12-13室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办公地址:深圳市罗湖区笋岗街道笋西社区梨园路8号HALO广场一期四层12-13室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法定代表人:薛峰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联系人:龚江江</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联系电话:0755-33227950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客户服务电话:4006-788-887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传真:0755-33227951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网址:www.zlfund.cn    www.jjmmw.com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(218)奕丰金融</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注册地址:深圳市前海深港合作区前湾一路1号A栋201室（入驻深圳市前海商务秘书有限公司）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办公地址:深圳市南山区海德三道航天科技广场A座17楼1704室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法定代表人:TEO WEE HOWE</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联系人:叶健</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联系电话:0755-89460507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客户服务电话:400-684-0500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传真:0755-21674453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网址:www.ifastps.com.cn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(219)晟视天下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注册地址:北京市怀柔区九渡河镇黄坎村735号03室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办公地址:北京市朝阳区朝外大街甲六号万通中心D座21层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法定代表人:蒋煜</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联系人:史俊杰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联系电话:010-58170936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客户服务电话:010-58170761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传真:010-58170800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网址:www.shengshiview.com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(220)鼎信汇金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注册地址:北京市朝阳区霄云路40号院1号楼3层306室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办公地址:北京市朝阳区霄云路40号院1号楼3层306室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法定代表人:齐凌峰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联系人:阮志凌</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联系电话:010-82050520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客户服务电话:400-158-5050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传真:010-82086110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网址:www.9ifund.com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(221)和讯信息</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注册地址:北京市朝阳区朝外大街22号1002室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办公地址:北京市朝阳区朝外大街22号泛利大厦10层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法定代表人:章知方</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联系人:陈慧慧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联系电话:010-85657353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客户服务电话:400-920-0022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传真:010-65884788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网址:http://licaike.hexun.com/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(222)金百临</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注册地址:无锡市滨湖区锦溪路99号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办公地址:江苏省无锡市太湖新城锦溪道楝泽路9号楼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法定代表人:费晓燕</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联系人:邹云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联系电话:0510-81188088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客户服务电话:0510-9688988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网址:www.jsjbl.com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(223)深圳新兰德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注册地址:深圳市福田区福田街道民田路178号华融大厦27层2704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办公地址:北京市西城区宣武门外大街28号富卓大厦A座16层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法定代表人:洪弘</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联系人:文雯</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联系电话:010-83363101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客户服务电话:400-166-1188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传真:010-83363010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网址:http://8.jrj.com.cn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(224)中证金牛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注册地址:北京市丰台区东管头1号2号楼2-45室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办公地址:北京市西城区宣武门外大街甲1号环球财讯中心A座5层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法定代表人:钱昊旻</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联系人:沈晨</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联系电话:010-59336544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客户服务电话:4008-909-998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网址:www.jnlc.com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(225)鑫鼎盛</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注册地址:厦门市思明区鹭江道2号厦门第一广场西座1501-1502室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办公地址:厦门市思明区鹭江道2号厦门第一广场西座1501-1502室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法定代表人:林劲</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联系人:梁云波</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联系电话:0592-3122757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客户服务电话:400-6533-789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网址:www.xds.com.cn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(226)阳光人寿保险</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注册地址:海南省三亚市迎宾路360-1号三亚阳光金融广场16层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办公地址:北京市朝阳区景辉街33号院1号楼 阳光金融中心5层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法定代表人:李科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联系人:王超</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联系电话:010-85632771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客户服务电话:95510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传真:010-85632773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网址:http://fund.sinosig.com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(227)中国人寿</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注册地址:北京市西城区金融大街16号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办公地址:北京市西城区金融大街16号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法定代表人:王滨</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联系人:杨子彤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联系电话:010-63631752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客户服务电话:95519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网址:www.e-chinalife.com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(228)华瑞保险销售</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注册地址:上海市嘉定区南翔镇众仁路399号运通星财富广场1号楼B座13、14层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办公地址:上海市浦东新区向城路288号国华人寿金融大厦8层806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法定代表人:路昊</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联系人:茆勇强</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联系电话:021-68595698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客户服务电话:952303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传真:021-68595766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网址:www.huaruisales.com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(229)玄元保险</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注册地址:中国（上海）自由贸易试验区张杨路707号1105室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办公地址:中国（上海）自由贸易试验区张杨路707号1105室</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法定代表人:马永谙</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联系人:卢亚博</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联系电话:021-50701003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客户服务电话:400-080-8208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传真:021-50701053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网址:https://www.licaimofang.cn/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(230)东海期货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注册地址:江苏省常州市延陵西路23、25、27、29号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办公地址:上海市浦东新区东方路1928号东海证券大厦8楼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法定代表人:陈太康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联系人:陶云</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联系电话:021-68751603</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客户服务电话:95531/400-8888588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传真:021-68756991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网址:www.qh168.com.cn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(231)东证期货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注册地址:中国（上海）自由贸易试验区浦电路500号上海期货大厦14层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办公地址:上海市黄浦区中山南路318号2号楼22楼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法定代表人:卢大印</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联系人:张敏圆</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联系电话:021-63325888-4259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客户服务电话:4008859999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传真:021-63326752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网址:www.dzqh.com.cn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(232)弘业期货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注册地址:江苏省南京市秦淮区中华路50号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办公地址:江苏省南京市秦淮区中华路50号弘业大厦9楼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法定代表人:周剑秋</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联系人:张苏怡</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联系电话:025-52278981</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客户服务电话:400-828-1288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网址:www.ftol.com.cn</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(233)徽商期货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注册地址:安徽省合肥市芜湖路258号3号楼6-7层，6号楼1-2层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办公地址:合肥市芜湖路258号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法定代表人:吴国华</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联系人:申倩倩</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联系电话:0551-62865215</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客户服务电话:400-887-8707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网址:www.hsqh.net</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(234)中国国际期货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注册地址:北京市朝阳区建国门外光华路14号1幢6层609号、610号</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办公地址:北京市朝阳区建国门外光华路14号1幢1层、2层、9层、11层、12层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法定代表人:王兵</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联系人:霍丽文</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联系电话:010-65807827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客户服务电话:95162</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传真:010-59539806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网址:http://www.cifco.net/</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(235)中信建投期货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注册地址:重庆市渝中区中山三路131号希尔顿商务中心27楼、30楼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办公地址:重庆市渝中区中山三路107号皇冠大厦11楼</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法定代表人:王广学</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联系人:刘芸</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联系电话:023-86769637</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客户服务电话:400-8877-780</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lastRenderedPageBreak/>
        <w:t>传真:023-86769629</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网址:www.cfc108.com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(236)中信期货</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注册地址:广东省深圳市福田区中心三路8号卓越时代广场（二期）北座13层1301-1305室、14层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办公地址:深圳市福田区中心三路8号卓越时代广场（二期）北座13层1301-1305室、14层</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法定代表人:张皓</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联系人:刘宏莹</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联系电话:010-6083 3754</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客户服务电话:400-990-8826</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传真:021-60819988</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网址:www.citicsf.com</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注:</w:t>
      </w:r>
    </w:p>
    <w:p w:rsidR="00481915" w:rsidRPr="00481915"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微众银行仅代销本基金A类基金份额。</w:t>
      </w:r>
    </w:p>
    <w:p w:rsidR="00181A96" w:rsidRPr="00D6191E" w:rsidRDefault="00481915" w:rsidP="00481915">
      <w:pPr>
        <w:snapToGrid w:val="0"/>
        <w:spacing w:line="360" w:lineRule="auto"/>
        <w:ind w:firstLineChars="200" w:firstLine="420"/>
        <w:rPr>
          <w:rFonts w:asciiTheme="minorEastAsia" w:eastAsiaTheme="minorEastAsia" w:hAnsiTheme="minorEastAsia"/>
          <w:szCs w:val="21"/>
        </w:rPr>
      </w:pPr>
      <w:r w:rsidRPr="00481915">
        <w:rPr>
          <w:rFonts w:asciiTheme="minorEastAsia" w:eastAsiaTheme="minorEastAsia" w:hAnsiTheme="minorEastAsia" w:hint="eastAsia"/>
          <w:szCs w:val="21"/>
        </w:rPr>
        <w:t>基金管理人可根据情况变更或增减销售机构并在基金管理人网站公示。</w:t>
      </w:r>
    </w:p>
    <w:p w:rsidR="000D0D42"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szCs w:val="21"/>
        </w:rPr>
      </w:pPr>
      <w:bookmarkStart w:id="11" w:name="_Toc86315838"/>
      <w:r w:rsidRPr="00D6191E">
        <w:rPr>
          <w:rFonts w:asciiTheme="minorEastAsia" w:eastAsiaTheme="minorEastAsia" w:hAnsiTheme="minorEastAsia" w:hint="eastAsia"/>
          <w:b w:val="0"/>
          <w:szCs w:val="21"/>
        </w:rPr>
        <w:t>(二)基金注册登记机构</w:t>
      </w:r>
      <w:bookmarkEnd w:id="11"/>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名称：易方达基金管理有限公司</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注册地址：</w:t>
      </w:r>
      <w:r w:rsidR="00EE79AD" w:rsidRPr="00D6191E">
        <w:rPr>
          <w:rFonts w:asciiTheme="minorEastAsia" w:eastAsiaTheme="minorEastAsia" w:hAnsiTheme="minorEastAsia" w:cs="仿宋_GB2312" w:hint="eastAsia"/>
          <w:kern w:val="0"/>
          <w:szCs w:val="21"/>
        </w:rPr>
        <w:t>广东省珠海市横琴新区宝华路6号105室-42891（集中办公区）</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办公</w:t>
      </w:r>
      <w:r w:rsidRPr="00D6191E">
        <w:rPr>
          <w:rFonts w:asciiTheme="minorEastAsia" w:eastAsiaTheme="minorEastAsia" w:hAnsiTheme="minorEastAsia" w:hint="eastAsia"/>
          <w:szCs w:val="21"/>
        </w:rPr>
        <w:t>地址：</w:t>
      </w:r>
      <w:r w:rsidR="006068EA" w:rsidRPr="00D6191E">
        <w:rPr>
          <w:rFonts w:asciiTheme="minorEastAsia" w:eastAsiaTheme="minorEastAsia" w:hAnsiTheme="minorEastAsia" w:hint="eastAsia"/>
          <w:szCs w:val="21"/>
        </w:rPr>
        <w:t>广州市天河区珠江新城珠江东路30号广州银行大厦40-</w:t>
      </w:r>
      <w:r w:rsidR="00D20B54" w:rsidRPr="00D6191E">
        <w:rPr>
          <w:rFonts w:asciiTheme="minorEastAsia" w:eastAsiaTheme="minorEastAsia" w:hAnsiTheme="minorEastAsia" w:hint="eastAsia"/>
          <w:szCs w:val="21"/>
        </w:rPr>
        <w:t>43楼</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法定代表人：</w:t>
      </w:r>
      <w:r w:rsidR="009D4881" w:rsidRPr="00D6191E">
        <w:rPr>
          <w:rFonts w:asciiTheme="minorEastAsia" w:eastAsiaTheme="minorEastAsia" w:hAnsiTheme="minorEastAsia" w:hint="eastAsia"/>
          <w:szCs w:val="21"/>
        </w:rPr>
        <w:t>刘晓艳</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电话：4008818088</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传真：</w:t>
      </w:r>
      <w:r w:rsidRPr="00D6191E">
        <w:rPr>
          <w:rFonts w:asciiTheme="minorEastAsia" w:eastAsiaTheme="minorEastAsia" w:hAnsiTheme="minorEastAsia"/>
          <w:szCs w:val="21"/>
        </w:rPr>
        <w:t>020</w:t>
      </w:r>
      <w:r w:rsidRPr="00D6191E">
        <w:rPr>
          <w:rFonts w:asciiTheme="minorEastAsia" w:eastAsiaTheme="minorEastAsia" w:hAnsiTheme="minorEastAsia" w:hint="eastAsia"/>
          <w:szCs w:val="21"/>
        </w:rPr>
        <w:t>-38799249</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联系人：余贤高</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szCs w:val="21"/>
        </w:rPr>
      </w:pPr>
      <w:bookmarkStart w:id="12" w:name="_Toc86315839"/>
      <w:r w:rsidRPr="00D6191E">
        <w:rPr>
          <w:rFonts w:asciiTheme="minorEastAsia" w:eastAsiaTheme="minorEastAsia" w:hAnsiTheme="minorEastAsia" w:hint="eastAsia"/>
          <w:b w:val="0"/>
          <w:szCs w:val="21"/>
        </w:rPr>
        <w:t>(三)律师事务所和经办律师</w:t>
      </w:r>
      <w:bookmarkEnd w:id="12"/>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律师事务所：上海市通力律师事务所</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地址：</w:t>
      </w:r>
      <w:r w:rsidR="00DA2AE4" w:rsidRPr="00D6191E">
        <w:rPr>
          <w:rFonts w:asciiTheme="minorEastAsia" w:eastAsiaTheme="minorEastAsia" w:hAnsiTheme="minorEastAsia" w:hint="eastAsia"/>
          <w:szCs w:val="21"/>
        </w:rPr>
        <w:t>上海市浦东新区银城中路68号时代金融中心19楼</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负责人：韩炯</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电话：(021)31358666</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传真：(021)31358600</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经办律师：吕红、安冬</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联系人：安冬</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szCs w:val="21"/>
        </w:rPr>
      </w:pPr>
      <w:bookmarkStart w:id="13" w:name="_Toc86315840"/>
      <w:r w:rsidRPr="00D6191E">
        <w:rPr>
          <w:rFonts w:asciiTheme="minorEastAsia" w:eastAsiaTheme="minorEastAsia" w:hAnsiTheme="minorEastAsia" w:hint="eastAsia"/>
          <w:b w:val="0"/>
          <w:szCs w:val="21"/>
        </w:rPr>
        <w:lastRenderedPageBreak/>
        <w:t>(四)会计师事务所和经办注册会计师</w:t>
      </w:r>
      <w:bookmarkEnd w:id="13"/>
    </w:p>
    <w:p w:rsidR="00F87002" w:rsidRPr="00D6191E" w:rsidRDefault="00F87002"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会计师事务所：普华永道中天会计师事务所（特殊普通合伙）</w:t>
      </w:r>
    </w:p>
    <w:p w:rsidR="00F87002" w:rsidRPr="00D6191E" w:rsidRDefault="00F87002"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住所：</w:t>
      </w:r>
      <w:r w:rsidR="006E6AEE" w:rsidRPr="00D6191E">
        <w:rPr>
          <w:rFonts w:asciiTheme="minorEastAsia" w:eastAsiaTheme="minorEastAsia" w:hAnsiTheme="minorEastAsia" w:hint="eastAsia"/>
          <w:szCs w:val="21"/>
        </w:rPr>
        <w:t>上海市湖滨路202号普华永道中心11楼</w:t>
      </w:r>
    </w:p>
    <w:p w:rsidR="00F87002" w:rsidRPr="00D6191E" w:rsidRDefault="00F87002"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办公地址：上海市湖滨路202号普华永道中心11楼</w:t>
      </w:r>
    </w:p>
    <w:p w:rsidR="00F87002" w:rsidRPr="00D6191E" w:rsidRDefault="00F87002"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首席合伙人：李丹</w:t>
      </w:r>
    </w:p>
    <w:p w:rsidR="00F87002" w:rsidRPr="00D6191E" w:rsidRDefault="00F87002"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电话：（021）23238888</w:t>
      </w:r>
    </w:p>
    <w:p w:rsidR="00F87002" w:rsidRPr="00D6191E" w:rsidRDefault="00F87002"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传真：（021）23238800</w:t>
      </w:r>
    </w:p>
    <w:p w:rsidR="00F87002" w:rsidRPr="00D6191E" w:rsidRDefault="00F87002" w:rsidP="000449FE">
      <w:pPr>
        <w:snapToGrid w:val="0"/>
        <w:spacing w:line="360" w:lineRule="auto"/>
        <w:ind w:firstLineChars="200" w:firstLine="420"/>
        <w:rPr>
          <w:rFonts w:asciiTheme="minorEastAsia" w:eastAsiaTheme="minorEastAsia" w:hAnsiTheme="minorEastAsia"/>
          <w:szCs w:val="21"/>
        </w:rPr>
      </w:pPr>
      <w:r>
        <w:t>经办注册会计师：陈熹、陈轶杰</w:t>
      </w:r>
    </w:p>
    <w:p w:rsidR="00BA4B87" w:rsidRPr="00D6191E" w:rsidRDefault="00F87002"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联系人：</w:t>
      </w:r>
      <w:r w:rsidR="006E6AEE" w:rsidRPr="00D6191E">
        <w:rPr>
          <w:rFonts w:asciiTheme="minorEastAsia" w:eastAsiaTheme="minorEastAsia" w:hAnsiTheme="minorEastAsia" w:hint="eastAsia"/>
          <w:szCs w:val="21"/>
        </w:rPr>
        <w:t>周祎</w:t>
      </w:r>
    </w:p>
    <w:p w:rsidR="00BA4B87" w:rsidRPr="00D6191E" w:rsidRDefault="00BA4B87" w:rsidP="004D6C82">
      <w:pPr>
        <w:pStyle w:val="1"/>
        <w:pageBreakBefore/>
        <w:snapToGrid w:val="0"/>
        <w:spacing w:beforeLines="0" w:afterLines="0" w:line="360" w:lineRule="auto"/>
        <w:ind w:firstLine="640"/>
        <w:rPr>
          <w:rFonts w:asciiTheme="minorEastAsia" w:eastAsiaTheme="minorEastAsia" w:hAnsiTheme="minorEastAsia"/>
          <w:bCs/>
        </w:rPr>
      </w:pPr>
      <w:bookmarkStart w:id="14" w:name="_Toc86315841"/>
      <w:r w:rsidRPr="00D6191E">
        <w:rPr>
          <w:rFonts w:asciiTheme="minorEastAsia" w:eastAsiaTheme="minorEastAsia" w:hAnsiTheme="minorEastAsia" w:hint="eastAsia"/>
          <w:bCs/>
        </w:rPr>
        <w:lastRenderedPageBreak/>
        <w:t>六、基金的募集</w:t>
      </w:r>
      <w:bookmarkEnd w:id="14"/>
    </w:p>
    <w:p w:rsidR="002B6366" w:rsidRPr="00D6191E" w:rsidRDefault="002B6366"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本基金由基金管理人依照《基金法》、《运作办法》、《销售办法》、基金合同的相关规定、并经中国证券监督管理委员会</w:t>
      </w:r>
      <w:r w:rsidR="00A27D55" w:rsidRPr="00D6191E">
        <w:rPr>
          <w:rFonts w:asciiTheme="minorEastAsia" w:eastAsiaTheme="minorEastAsia" w:hAnsiTheme="minorEastAsia" w:hint="eastAsia"/>
        </w:rPr>
        <w:t>2011年9月23日</w:t>
      </w:r>
      <w:r w:rsidRPr="00D6191E">
        <w:rPr>
          <w:rFonts w:asciiTheme="minorEastAsia" w:eastAsiaTheme="minorEastAsia" w:hAnsiTheme="minorEastAsia" w:hint="eastAsia"/>
        </w:rPr>
        <w:t>《关于核准易方达双债增强债券型证券投资基金募集的批复》（证监许可[2011]1539号）核准募集。</w:t>
      </w:r>
    </w:p>
    <w:p w:rsidR="002B6366" w:rsidRPr="00D6191E" w:rsidRDefault="002B6366"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本基金为</w:t>
      </w:r>
      <w:r w:rsidRPr="00D6191E">
        <w:rPr>
          <w:rFonts w:asciiTheme="minorEastAsia" w:eastAsiaTheme="minorEastAsia" w:hAnsiTheme="minorEastAsia"/>
        </w:rPr>
        <w:t>契约型开放式</w:t>
      </w:r>
      <w:r w:rsidRPr="00D6191E">
        <w:rPr>
          <w:rFonts w:asciiTheme="minorEastAsia" w:eastAsiaTheme="minorEastAsia" w:hAnsiTheme="minorEastAsia" w:hint="eastAsia"/>
        </w:rPr>
        <w:t>债券基金</w:t>
      </w:r>
      <w:r w:rsidRPr="00D6191E">
        <w:rPr>
          <w:rFonts w:asciiTheme="minorEastAsia" w:eastAsiaTheme="minorEastAsia" w:hAnsiTheme="minorEastAsia"/>
        </w:rPr>
        <w:t>。基金</w:t>
      </w:r>
      <w:r w:rsidRPr="00D6191E">
        <w:rPr>
          <w:rFonts w:asciiTheme="minorEastAsia" w:eastAsiaTheme="minorEastAsia" w:hAnsiTheme="minorEastAsia" w:hint="eastAsia"/>
        </w:rPr>
        <w:t>的</w:t>
      </w:r>
      <w:r w:rsidRPr="00D6191E">
        <w:rPr>
          <w:rFonts w:asciiTheme="minorEastAsia" w:eastAsiaTheme="minorEastAsia" w:hAnsiTheme="minorEastAsia"/>
        </w:rPr>
        <w:t>存续期间</w:t>
      </w:r>
      <w:r w:rsidRPr="00D6191E">
        <w:rPr>
          <w:rFonts w:asciiTheme="minorEastAsia" w:eastAsiaTheme="minorEastAsia" w:hAnsiTheme="minorEastAsia" w:hint="eastAsia"/>
        </w:rPr>
        <w:t>为</w:t>
      </w:r>
      <w:r w:rsidRPr="00D6191E">
        <w:rPr>
          <w:rFonts w:asciiTheme="minorEastAsia" w:eastAsiaTheme="minorEastAsia" w:hAnsiTheme="minorEastAsia"/>
        </w:rPr>
        <w:t>不定期</w:t>
      </w:r>
      <w:r w:rsidRPr="00D6191E">
        <w:rPr>
          <w:rFonts w:asciiTheme="minorEastAsia" w:eastAsiaTheme="minorEastAsia" w:hAnsiTheme="minorEastAsia" w:hint="eastAsia"/>
        </w:rPr>
        <w:t>。</w:t>
      </w:r>
    </w:p>
    <w:p w:rsidR="002B6366" w:rsidRPr="00D6191E" w:rsidRDefault="002B6366"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rPr>
        <w:t>本基金</w:t>
      </w:r>
      <w:r w:rsidRPr="00D6191E">
        <w:rPr>
          <w:rFonts w:asciiTheme="minorEastAsia" w:eastAsiaTheme="minorEastAsia" w:hAnsiTheme="minorEastAsia" w:hint="eastAsia"/>
        </w:rPr>
        <w:t>募集期间</w:t>
      </w:r>
      <w:r w:rsidRPr="00D6191E">
        <w:rPr>
          <w:rFonts w:asciiTheme="minorEastAsia" w:eastAsiaTheme="minorEastAsia" w:hAnsiTheme="minorEastAsia"/>
        </w:rPr>
        <w:t>每份基金份额的</w:t>
      </w:r>
      <w:r w:rsidRPr="00D6191E">
        <w:rPr>
          <w:rFonts w:asciiTheme="minorEastAsia" w:eastAsiaTheme="minorEastAsia" w:hAnsiTheme="minorEastAsia" w:hint="eastAsia"/>
        </w:rPr>
        <w:t>初始</w:t>
      </w:r>
      <w:r w:rsidRPr="00D6191E">
        <w:rPr>
          <w:rFonts w:asciiTheme="minorEastAsia" w:eastAsiaTheme="minorEastAsia" w:hAnsiTheme="minorEastAsia"/>
        </w:rPr>
        <w:t>面值为人民币1.00元</w:t>
      </w:r>
      <w:r w:rsidRPr="00D6191E">
        <w:rPr>
          <w:rFonts w:asciiTheme="minorEastAsia" w:eastAsiaTheme="minorEastAsia" w:hAnsiTheme="minorEastAsia" w:hint="eastAsia"/>
        </w:rPr>
        <w:t>。</w:t>
      </w:r>
    </w:p>
    <w:p w:rsidR="00BA4B87" w:rsidRPr="00D6191E" w:rsidRDefault="002B6366"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本基金募集期自2011年11月7</w:t>
      </w:r>
      <w:r w:rsidRPr="00D6191E">
        <w:rPr>
          <w:rFonts w:asciiTheme="minorEastAsia" w:eastAsiaTheme="minorEastAsia" w:hAnsiTheme="minorEastAsia"/>
        </w:rPr>
        <w:t>日</w:t>
      </w:r>
      <w:r w:rsidRPr="00D6191E">
        <w:rPr>
          <w:rFonts w:asciiTheme="minorEastAsia" w:eastAsiaTheme="minorEastAsia" w:hAnsiTheme="minorEastAsia" w:hint="eastAsia"/>
        </w:rPr>
        <w:t>至</w:t>
      </w:r>
      <w:r w:rsidRPr="00D6191E">
        <w:rPr>
          <w:rFonts w:asciiTheme="minorEastAsia" w:eastAsiaTheme="minorEastAsia" w:hAnsiTheme="minorEastAsia"/>
        </w:rPr>
        <w:t>20</w:t>
      </w:r>
      <w:r w:rsidRPr="00D6191E">
        <w:rPr>
          <w:rFonts w:asciiTheme="minorEastAsia" w:eastAsiaTheme="minorEastAsia" w:hAnsiTheme="minorEastAsia" w:hint="eastAsia"/>
        </w:rPr>
        <w:t>11年11月29日。</w:t>
      </w:r>
      <w:r w:rsidRPr="00D6191E">
        <w:rPr>
          <w:rFonts w:asciiTheme="minorEastAsia" w:eastAsiaTheme="minorEastAsia" w:hAnsiTheme="minorEastAsia"/>
        </w:rPr>
        <w:t>募集对象</w:t>
      </w:r>
      <w:r w:rsidRPr="00D6191E">
        <w:rPr>
          <w:rFonts w:asciiTheme="minorEastAsia" w:eastAsiaTheme="minorEastAsia" w:hAnsiTheme="minorEastAsia" w:hint="eastAsia"/>
        </w:rPr>
        <w:t>为符合法律法规规定的个人投资者、机构投资者、合格境外机构投资者和法律法规或中国证监会允许购买证券投资基金的其他投资者。</w:t>
      </w:r>
    </w:p>
    <w:p w:rsidR="00BA4B87" w:rsidRPr="00D6191E" w:rsidRDefault="00BA4B87" w:rsidP="004D6C82">
      <w:pPr>
        <w:pStyle w:val="1"/>
        <w:pageBreakBefore/>
        <w:snapToGrid w:val="0"/>
        <w:spacing w:beforeLines="0" w:afterLines="0" w:line="360" w:lineRule="auto"/>
        <w:ind w:firstLine="640"/>
        <w:rPr>
          <w:rFonts w:asciiTheme="minorEastAsia" w:eastAsiaTheme="minorEastAsia" w:hAnsiTheme="minorEastAsia"/>
        </w:rPr>
      </w:pPr>
      <w:bookmarkStart w:id="15" w:name="_Toc86315842"/>
      <w:r w:rsidRPr="00D6191E">
        <w:rPr>
          <w:rFonts w:asciiTheme="minorEastAsia" w:eastAsiaTheme="minorEastAsia" w:hAnsiTheme="minorEastAsia" w:hint="eastAsia"/>
          <w:bCs/>
        </w:rPr>
        <w:lastRenderedPageBreak/>
        <w:t>七、基金合同的生效</w:t>
      </w:r>
      <w:bookmarkEnd w:id="15"/>
    </w:p>
    <w:p w:rsidR="00DB2B67" w:rsidRPr="00D6191E" w:rsidRDefault="00DB2B6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6" w:name="_Toc86315843"/>
      <w:bookmarkStart w:id="17" w:name="_Toc133292585"/>
      <w:r w:rsidRPr="00D6191E">
        <w:rPr>
          <w:rFonts w:asciiTheme="minorEastAsia" w:eastAsiaTheme="minorEastAsia" w:hAnsiTheme="minorEastAsia" w:hint="eastAsia"/>
          <w:b w:val="0"/>
          <w:bCs/>
        </w:rPr>
        <w:t>（一）基金合同的生效</w:t>
      </w:r>
      <w:bookmarkEnd w:id="16"/>
    </w:p>
    <w:p w:rsidR="005D60E2" w:rsidRPr="00D6191E" w:rsidRDefault="005D60E2"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rPr>
        <w:t>本基金</w:t>
      </w:r>
      <w:r w:rsidRPr="00D6191E">
        <w:rPr>
          <w:rFonts w:asciiTheme="minorEastAsia" w:eastAsiaTheme="minorEastAsia" w:hAnsiTheme="minorEastAsia" w:hint="eastAsia"/>
        </w:rPr>
        <w:t>基金合同于2011年12月1日正式生效。自基金合同生效日起，本基金管理人正式开始管理本基金。</w:t>
      </w:r>
      <w:bookmarkEnd w:id="17"/>
    </w:p>
    <w:p w:rsidR="00DB2B67" w:rsidRPr="00D6191E" w:rsidRDefault="00DB2B6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8" w:name="_Toc86315844"/>
      <w:r w:rsidRPr="00D6191E">
        <w:rPr>
          <w:rFonts w:asciiTheme="minorEastAsia" w:eastAsiaTheme="minorEastAsia" w:hAnsiTheme="minorEastAsia" w:hint="eastAsia"/>
          <w:b w:val="0"/>
          <w:bCs/>
        </w:rPr>
        <w:t>（二）基金存续期内的基金份额持有人数量和资金额</w:t>
      </w:r>
      <w:bookmarkEnd w:id="18"/>
    </w:p>
    <w:p w:rsidR="00DB2B67" w:rsidRPr="00D6191E" w:rsidRDefault="00DB2B6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基金合同生效后的存续期内，基金份额持有人数量不满200人或者基金资产净值低于5000万元，基金管理人应当及时报告中国证监会；基金份额持有人数量连续20个工作日达不到200人，或连续20个工作日基金资产净值低于5000万元，基金管理人应当向中国证监会说明出现上述情况的原因并提出解决方案。</w:t>
      </w:r>
    </w:p>
    <w:p w:rsidR="00DB2B67" w:rsidRPr="00D6191E" w:rsidRDefault="00DB2B6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法律法规另有规定时，从其规定。</w:t>
      </w:r>
    </w:p>
    <w:p w:rsidR="00DB2B67" w:rsidRPr="00D6191E" w:rsidRDefault="00DB2B67" w:rsidP="000449FE">
      <w:pPr>
        <w:snapToGrid w:val="0"/>
        <w:spacing w:line="360" w:lineRule="auto"/>
        <w:ind w:firstLineChars="200" w:firstLine="420"/>
        <w:rPr>
          <w:rFonts w:asciiTheme="minorEastAsia" w:eastAsiaTheme="minorEastAsia" w:hAnsiTheme="minorEastAsia"/>
        </w:rPr>
        <w:sectPr w:rsidR="00DB2B67" w:rsidRPr="00D6191E" w:rsidSect="00D6191E">
          <w:footerReference w:type="default" r:id="rId17"/>
          <w:pgSz w:w="11906" w:h="16838" w:code="9"/>
          <w:pgMar w:top="1440" w:right="1800" w:bottom="1440" w:left="1800" w:header="720" w:footer="720" w:gutter="0"/>
          <w:pgNumType w:start="1"/>
          <w:cols w:space="720"/>
          <w:docGrid w:type="lines" w:linePitch="312"/>
        </w:sectPr>
      </w:pPr>
    </w:p>
    <w:p w:rsidR="00BA4B87" w:rsidRPr="00D6191E" w:rsidRDefault="00BA4B87" w:rsidP="004D6C82">
      <w:pPr>
        <w:pStyle w:val="1"/>
        <w:snapToGrid w:val="0"/>
        <w:spacing w:beforeLines="0" w:afterLines="0" w:line="360" w:lineRule="auto"/>
        <w:ind w:firstLine="640"/>
        <w:rPr>
          <w:rFonts w:asciiTheme="minorEastAsia" w:eastAsiaTheme="minorEastAsia" w:hAnsiTheme="minorEastAsia"/>
        </w:rPr>
      </w:pPr>
      <w:bookmarkStart w:id="19" w:name="_Toc86315845"/>
      <w:r w:rsidRPr="00D6191E">
        <w:rPr>
          <w:rFonts w:asciiTheme="minorEastAsia" w:eastAsiaTheme="minorEastAsia" w:hAnsiTheme="minorEastAsia" w:hint="eastAsia"/>
        </w:rPr>
        <w:lastRenderedPageBreak/>
        <w:t>八、基金份额的申购、赎回</w:t>
      </w:r>
      <w:bookmarkEnd w:id="19"/>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20" w:name="_Toc86315846"/>
      <w:r w:rsidRPr="00D6191E">
        <w:rPr>
          <w:rFonts w:asciiTheme="minorEastAsia" w:eastAsiaTheme="minorEastAsia" w:hAnsiTheme="minorEastAsia" w:hint="eastAsia"/>
          <w:b w:val="0"/>
          <w:bCs/>
        </w:rPr>
        <w:t>(一)基金投资者范围</w:t>
      </w:r>
      <w:bookmarkEnd w:id="20"/>
    </w:p>
    <w:p w:rsidR="00BA4B87" w:rsidRPr="00D6191E" w:rsidRDefault="00BA4B87" w:rsidP="000449FE">
      <w:pPr>
        <w:snapToGrid w:val="0"/>
        <w:spacing w:line="360" w:lineRule="auto"/>
        <w:ind w:firstLineChars="202" w:firstLine="424"/>
        <w:rPr>
          <w:rFonts w:asciiTheme="minorEastAsia" w:eastAsiaTheme="minorEastAsia" w:hAnsiTheme="minorEastAsia"/>
        </w:rPr>
      </w:pPr>
      <w:r w:rsidRPr="00D6191E">
        <w:rPr>
          <w:rFonts w:asciiTheme="minorEastAsia" w:eastAsiaTheme="minorEastAsia" w:hAnsiTheme="minorEastAsia" w:hint="eastAsia"/>
          <w:szCs w:val="21"/>
        </w:rPr>
        <w:t>符合法律法规规定的个人投资者、机构投资者及合格境外机构投资者，以及法律法规或中国证监会允许购买证券投资基金的其他投资者。</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21" w:name="_Toc86315847"/>
      <w:r w:rsidRPr="00D6191E">
        <w:rPr>
          <w:rFonts w:asciiTheme="minorEastAsia" w:eastAsiaTheme="minorEastAsia" w:hAnsiTheme="minorEastAsia" w:hint="eastAsia"/>
          <w:b w:val="0"/>
          <w:bCs/>
        </w:rPr>
        <w:t>(二)申购与赎回的场所</w:t>
      </w:r>
      <w:bookmarkEnd w:id="21"/>
    </w:p>
    <w:p w:rsidR="0033250C" w:rsidRPr="00D6191E" w:rsidRDefault="00200D60" w:rsidP="0033250C">
      <w:pPr>
        <w:snapToGrid w:val="0"/>
        <w:spacing w:line="360" w:lineRule="auto"/>
        <w:ind w:leftChars="202" w:left="424"/>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hint="eastAsia"/>
          <w:szCs w:val="21"/>
        </w:rPr>
        <w:t>基金管理人的直销</w:t>
      </w:r>
      <w:r w:rsidR="00700F8D" w:rsidRPr="00D6191E">
        <w:rPr>
          <w:rFonts w:asciiTheme="minorEastAsia" w:eastAsiaTheme="minorEastAsia" w:hAnsiTheme="minorEastAsia" w:hint="eastAsia"/>
          <w:szCs w:val="21"/>
        </w:rPr>
        <w:t>中心</w:t>
      </w:r>
      <w:r w:rsidR="00BA4B87" w:rsidRPr="00D6191E">
        <w:rPr>
          <w:rFonts w:asciiTheme="minorEastAsia" w:eastAsiaTheme="minorEastAsia" w:hAnsiTheme="minorEastAsia" w:hint="eastAsia"/>
          <w:szCs w:val="21"/>
        </w:rPr>
        <w:t>及网上交易系统；</w:t>
      </w:r>
    </w:p>
    <w:p w:rsidR="0033250C" w:rsidRPr="00D6191E" w:rsidRDefault="00200D60" w:rsidP="0033250C">
      <w:pPr>
        <w:snapToGrid w:val="0"/>
        <w:spacing w:line="360" w:lineRule="auto"/>
        <w:ind w:leftChars="202" w:left="424"/>
        <w:rPr>
          <w:rFonts w:asciiTheme="minorEastAsia" w:eastAsiaTheme="minorEastAsia" w:hAnsiTheme="minorEastAsia"/>
          <w:szCs w:val="21"/>
        </w:rPr>
      </w:pPr>
      <w:r w:rsidRPr="00D6191E">
        <w:rPr>
          <w:rFonts w:asciiTheme="minorEastAsia" w:eastAsiaTheme="minorEastAsia" w:hAnsiTheme="minorEastAsia" w:hint="eastAsia"/>
          <w:szCs w:val="21"/>
        </w:rPr>
        <w:t>2、</w:t>
      </w:r>
      <w:r w:rsidR="00BA4B87" w:rsidRPr="00D6191E">
        <w:rPr>
          <w:rFonts w:asciiTheme="minorEastAsia" w:eastAsiaTheme="minorEastAsia" w:hAnsiTheme="minorEastAsia" w:hint="eastAsia"/>
          <w:szCs w:val="21"/>
        </w:rPr>
        <w:t>各</w:t>
      </w:r>
      <w:r w:rsidR="00AE5F53" w:rsidRPr="00D6191E">
        <w:rPr>
          <w:rFonts w:asciiTheme="minorEastAsia" w:eastAsiaTheme="minorEastAsia" w:hAnsiTheme="minorEastAsia" w:hint="eastAsia"/>
          <w:szCs w:val="21"/>
        </w:rPr>
        <w:t>非直销销售</w:t>
      </w:r>
      <w:r w:rsidR="00BA4B87" w:rsidRPr="00D6191E">
        <w:rPr>
          <w:rFonts w:asciiTheme="minorEastAsia" w:eastAsiaTheme="minorEastAsia" w:hAnsiTheme="minorEastAsia" w:hint="eastAsia"/>
          <w:szCs w:val="21"/>
        </w:rPr>
        <w:t>机构开办开放式基金业务的营业网点。</w:t>
      </w:r>
    </w:p>
    <w:p w:rsidR="00BA4B87" w:rsidRPr="00D6191E" w:rsidRDefault="00BA4B87" w:rsidP="0033250C">
      <w:pPr>
        <w:snapToGrid w:val="0"/>
        <w:spacing w:line="360" w:lineRule="auto"/>
        <w:ind w:leftChars="202" w:left="424"/>
        <w:rPr>
          <w:rFonts w:asciiTheme="minorEastAsia" w:eastAsiaTheme="minorEastAsia" w:hAnsiTheme="minorEastAsia"/>
          <w:szCs w:val="21"/>
        </w:rPr>
      </w:pPr>
      <w:r w:rsidRPr="00D6191E">
        <w:rPr>
          <w:rFonts w:asciiTheme="minorEastAsia" w:eastAsiaTheme="minorEastAsia" w:hAnsiTheme="minorEastAsia" w:hint="eastAsia"/>
          <w:szCs w:val="21"/>
        </w:rPr>
        <w:t>基金管理人可根据情况变更基金的销售机构，</w:t>
      </w:r>
      <w:r w:rsidR="00F44B20" w:rsidRPr="00D6191E">
        <w:rPr>
          <w:rFonts w:asciiTheme="minorEastAsia" w:eastAsiaTheme="minorEastAsia" w:hAnsiTheme="minorEastAsia" w:hint="eastAsia"/>
          <w:szCs w:val="21"/>
        </w:rPr>
        <w:t>并在基金管理人网站公示</w:t>
      </w:r>
      <w:r w:rsidRPr="00D6191E">
        <w:rPr>
          <w:rFonts w:asciiTheme="minorEastAsia" w:eastAsiaTheme="minorEastAsia" w:hAnsiTheme="minorEastAsia" w:hint="eastAsia"/>
          <w:szCs w:val="21"/>
        </w:rPr>
        <w:t>。</w:t>
      </w:r>
    </w:p>
    <w:p w:rsidR="00BA4B87" w:rsidRPr="00D6191E" w:rsidRDefault="00BA4B87" w:rsidP="000449FE">
      <w:pPr>
        <w:snapToGrid w:val="0"/>
        <w:spacing w:line="360" w:lineRule="auto"/>
        <w:ind w:firstLineChars="202" w:firstLine="424"/>
        <w:rPr>
          <w:rFonts w:asciiTheme="minorEastAsia" w:eastAsiaTheme="minorEastAsia" w:hAnsiTheme="minorEastAsia"/>
          <w:szCs w:val="21"/>
        </w:rPr>
      </w:pPr>
      <w:r w:rsidRPr="00D6191E">
        <w:rPr>
          <w:rFonts w:asciiTheme="minorEastAsia" w:eastAsiaTheme="minorEastAsia" w:hAnsiTheme="minorEastAsia" w:hint="eastAsia"/>
          <w:szCs w:val="21"/>
        </w:rPr>
        <w:t>投资者还可通过基金管理人或者指定的基金</w:t>
      </w:r>
      <w:r w:rsidR="00AE5F53" w:rsidRPr="00D6191E">
        <w:rPr>
          <w:rFonts w:asciiTheme="minorEastAsia" w:eastAsiaTheme="minorEastAsia" w:hAnsiTheme="minorEastAsia" w:hint="eastAsia"/>
          <w:szCs w:val="21"/>
        </w:rPr>
        <w:t>销售</w:t>
      </w:r>
      <w:r w:rsidRPr="00D6191E">
        <w:rPr>
          <w:rFonts w:asciiTheme="minorEastAsia" w:eastAsiaTheme="minorEastAsia" w:hAnsiTheme="minorEastAsia" w:hint="eastAsia"/>
          <w:szCs w:val="21"/>
        </w:rPr>
        <w:t>机构以电话或互联网等其他电子交易方式进行申购、赎回，具体以各销售机构的规定为准。</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22" w:name="_Toc86315848"/>
      <w:r w:rsidRPr="00D6191E">
        <w:rPr>
          <w:rFonts w:asciiTheme="minorEastAsia" w:eastAsiaTheme="minorEastAsia" w:hAnsiTheme="minorEastAsia" w:hint="eastAsia"/>
          <w:b w:val="0"/>
          <w:bCs/>
        </w:rPr>
        <w:t>(三)申购与赎回办理的开放日及时间</w:t>
      </w:r>
      <w:bookmarkEnd w:id="22"/>
    </w:p>
    <w:p w:rsidR="00B67F52" w:rsidRPr="00D6191E" w:rsidRDefault="00B67F52"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本基金已于2012年1月13日开始办理日常申购、赎回业务。</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rPr>
        <w:t>投资人在开放日办理基金份额的申购和赎回，具体业务办理时间为上海证券交易所、深圳证券交易所的正常交易日的交易时间，但基金管理人根据法律法规、中国证监会的要求或本基金合同的规定公告暂停申购、赎回时除外。</w:t>
      </w:r>
      <w:r w:rsidRPr="00D6191E">
        <w:rPr>
          <w:rFonts w:asciiTheme="minorEastAsia" w:eastAsiaTheme="minorEastAsia" w:hAnsiTheme="minorEastAsia" w:hint="eastAsia"/>
          <w:szCs w:val="21"/>
        </w:rPr>
        <w:t>投资者应当在开放日办理申购和赎回申请。</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若出现新的证券交易市场、证券交易所交易时间变更或其他特殊情况，基金管理人可视情况对前述开放日及开放时间进行相应的调整，但应在实施日前依照《信息披露办法》的有关规定在</w:t>
      </w:r>
      <w:r w:rsidR="00F44B20" w:rsidRPr="00D6191E">
        <w:rPr>
          <w:rFonts w:asciiTheme="minorEastAsia" w:eastAsiaTheme="minorEastAsia" w:hAnsiTheme="minorEastAsia" w:hint="eastAsia"/>
        </w:rPr>
        <w:t>指定媒介</w:t>
      </w:r>
      <w:r w:rsidRPr="00D6191E">
        <w:rPr>
          <w:rFonts w:asciiTheme="minorEastAsia" w:eastAsiaTheme="minorEastAsia" w:hAnsiTheme="minorEastAsia" w:hint="eastAsia"/>
        </w:rPr>
        <w:t>上公告。</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基金管理人不得在基金合同约定之外的日期或者时间办理基金份额的申购、赎回。投资人在基金合同约定之外的日期和时间提出申购、赎回申请且基金管理人或注册登记机构确认接收的，其基金份额申购、赎回价格为下一开放日基金份额申购、赎回的价格。</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23" w:name="_Toc86315849"/>
      <w:r w:rsidRPr="00D6191E">
        <w:rPr>
          <w:rFonts w:asciiTheme="minorEastAsia" w:eastAsiaTheme="minorEastAsia" w:hAnsiTheme="minorEastAsia" w:hint="eastAsia"/>
          <w:b w:val="0"/>
          <w:bCs/>
        </w:rPr>
        <w:t>(</w:t>
      </w:r>
      <w:r w:rsidR="00E5728E" w:rsidRPr="00D6191E">
        <w:rPr>
          <w:rFonts w:asciiTheme="minorEastAsia" w:eastAsiaTheme="minorEastAsia" w:hAnsiTheme="minorEastAsia" w:hint="eastAsia"/>
          <w:b w:val="0"/>
          <w:bCs/>
        </w:rPr>
        <w:t>四</w:t>
      </w:r>
      <w:r w:rsidRPr="00D6191E">
        <w:rPr>
          <w:rFonts w:asciiTheme="minorEastAsia" w:eastAsiaTheme="minorEastAsia" w:hAnsiTheme="minorEastAsia" w:hint="eastAsia"/>
          <w:b w:val="0"/>
          <w:bCs/>
        </w:rPr>
        <w:t>)申购与赎回的原则</w:t>
      </w:r>
      <w:bookmarkEnd w:id="23"/>
    </w:p>
    <w:p w:rsidR="00BA4B87" w:rsidRPr="00D6191E" w:rsidRDefault="00200D60"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1、</w:t>
      </w:r>
      <w:r w:rsidR="00BA4B87" w:rsidRPr="00D6191E">
        <w:rPr>
          <w:rFonts w:asciiTheme="minorEastAsia" w:eastAsiaTheme="minorEastAsia" w:hAnsiTheme="minorEastAsia" w:hint="eastAsia"/>
        </w:rPr>
        <w:t>“未知价”原则，即申购、赎回价格以申请当日收市后计算的基金份额净值为基准进行计算；</w:t>
      </w:r>
    </w:p>
    <w:p w:rsidR="00BA4B87" w:rsidRPr="00D6191E" w:rsidRDefault="00200D60"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2、</w:t>
      </w:r>
      <w:r w:rsidR="00BA4B87" w:rsidRPr="00D6191E">
        <w:rPr>
          <w:rFonts w:asciiTheme="minorEastAsia" w:eastAsiaTheme="minorEastAsia" w:hAnsiTheme="minorEastAsia" w:hint="eastAsia"/>
        </w:rPr>
        <w:t>“金额申购、份额赎回”原则，即申购以金额申请，赎回以份额申请；</w:t>
      </w:r>
    </w:p>
    <w:p w:rsidR="00BA4B87" w:rsidRPr="00D6191E" w:rsidRDefault="00200D60"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3、</w:t>
      </w:r>
      <w:r w:rsidR="00BA4B87" w:rsidRPr="00D6191E">
        <w:rPr>
          <w:rFonts w:asciiTheme="minorEastAsia" w:eastAsiaTheme="minorEastAsia" w:hAnsiTheme="minorEastAsia" w:hint="eastAsia"/>
        </w:rPr>
        <w:t>基金份额持有人赎回时，除指定赎回外，基金管理人按先进先出的原则，对该持有人账户在该销售机构托管的基金份额进行处理，即先确认的份额先赎回，后确认的份额后赎回，以确定所适用的赎回费率；</w:t>
      </w:r>
    </w:p>
    <w:p w:rsidR="00BA4B87" w:rsidRPr="00D6191E" w:rsidRDefault="00200D60"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4、</w:t>
      </w:r>
      <w:r w:rsidR="00BA4B87" w:rsidRPr="00D6191E">
        <w:rPr>
          <w:rFonts w:asciiTheme="minorEastAsia" w:eastAsiaTheme="minorEastAsia" w:hAnsiTheme="minorEastAsia" w:hint="eastAsia"/>
        </w:rPr>
        <w:t>当日的申购与赎回申请可以在基金管理人规定的时间以内撤销。</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基金管理人可根据基金运作的实际情况依法对上述原则进行调整。基金管理人必须在新原则开始实施前依照《信息披露办法》的有关规定在</w:t>
      </w:r>
      <w:r w:rsidR="00F44B20" w:rsidRPr="00D6191E">
        <w:rPr>
          <w:rFonts w:asciiTheme="minorEastAsia" w:eastAsiaTheme="minorEastAsia" w:hAnsiTheme="minorEastAsia" w:hint="eastAsia"/>
        </w:rPr>
        <w:t>指定媒介</w:t>
      </w:r>
      <w:r w:rsidRPr="00D6191E">
        <w:rPr>
          <w:rFonts w:asciiTheme="minorEastAsia" w:eastAsiaTheme="minorEastAsia" w:hAnsiTheme="minorEastAsia" w:hint="eastAsia"/>
        </w:rPr>
        <w:t>上公告。</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24" w:name="_Toc86315850"/>
      <w:r w:rsidRPr="00D6191E">
        <w:rPr>
          <w:rFonts w:asciiTheme="minorEastAsia" w:eastAsiaTheme="minorEastAsia" w:hAnsiTheme="minorEastAsia" w:hint="eastAsia"/>
          <w:b w:val="0"/>
          <w:bCs/>
        </w:rPr>
        <w:lastRenderedPageBreak/>
        <w:t>(</w:t>
      </w:r>
      <w:r w:rsidR="00E5728E" w:rsidRPr="00D6191E">
        <w:rPr>
          <w:rFonts w:asciiTheme="minorEastAsia" w:eastAsiaTheme="minorEastAsia" w:hAnsiTheme="minorEastAsia" w:hint="eastAsia"/>
          <w:b w:val="0"/>
          <w:bCs/>
        </w:rPr>
        <w:t>五</w:t>
      </w:r>
      <w:r w:rsidRPr="00D6191E">
        <w:rPr>
          <w:rFonts w:asciiTheme="minorEastAsia" w:eastAsiaTheme="minorEastAsia" w:hAnsiTheme="minorEastAsia" w:hint="eastAsia"/>
          <w:b w:val="0"/>
          <w:bCs/>
        </w:rPr>
        <w:t>)申购与赎回的程序</w:t>
      </w:r>
      <w:bookmarkEnd w:id="24"/>
    </w:p>
    <w:p w:rsidR="00BA4B87" w:rsidRPr="00D6191E" w:rsidRDefault="00200D60"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1、</w:t>
      </w:r>
      <w:r w:rsidR="00BA4B87" w:rsidRPr="00D6191E">
        <w:rPr>
          <w:rFonts w:asciiTheme="minorEastAsia" w:eastAsiaTheme="minorEastAsia" w:hAnsiTheme="minorEastAsia" w:hint="eastAsia"/>
        </w:rPr>
        <w:t>申购和赎回的申请方式</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投资人必须根据销售机构规定的程序，在开放日的具体业务办理时间内提出申购或赎回的申请。</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投资人在提交申购申请时须按销售机构规定的方式备足申购资金，基金份额持有人在提交赎回申请时须持有足够的基金份额余额，否则所提交的申购、赎回申请无效。</w:t>
      </w:r>
    </w:p>
    <w:p w:rsidR="00BA4B87" w:rsidRPr="00D6191E" w:rsidRDefault="00200D60"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BA4B87" w:rsidRPr="00D6191E">
        <w:rPr>
          <w:rFonts w:asciiTheme="minorEastAsia" w:eastAsiaTheme="minorEastAsia" w:hAnsiTheme="minorEastAsia" w:hint="eastAsia"/>
          <w:szCs w:val="21"/>
        </w:rPr>
        <w:t>申购和赎回申请的确认</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基金管理人应以交易时间结束前受理申购和赎回申请的当天作为申购或赎回申请日(T日)，在正常情况下，本基金注册登记机构在T+1日内(包括该日)对该交易的有效性进行确认。T日提交的有效申请，投资人可在T+2日后(包括该日)到销售网点柜台或以销售机构规定的其他方式及时查询申请的确认情况。基金销售机构对申购、赎回申请的受理并不代表申请一定成功，而仅代表销售机构确实接收到申购、赎回申请。申购、赎回申请的确认以注册登记机构或基金管理人的确认结果为准。</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在法律法规允许的范围内，注册登记机构可根据《业务规则》，对上述业务办理时间进行调整，本基金管理人将于开始实施前按照有关规定予以公告。</w:t>
      </w:r>
    </w:p>
    <w:p w:rsidR="00BA4B87" w:rsidRPr="00D6191E" w:rsidRDefault="00200D60"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00BA4B87" w:rsidRPr="00D6191E">
        <w:rPr>
          <w:rFonts w:asciiTheme="minorEastAsia" w:eastAsiaTheme="minorEastAsia" w:hAnsiTheme="minorEastAsia" w:hint="eastAsia"/>
          <w:szCs w:val="21"/>
        </w:rPr>
        <w:t>申购和赎回的款项支付</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申购采用全额缴款方式，若申购资金在规定时间内未全额到账则申购不成功。若申购不成功或无效，</w:t>
      </w:r>
      <w:r w:rsidR="00AE5F53" w:rsidRPr="00D6191E">
        <w:rPr>
          <w:rFonts w:asciiTheme="minorEastAsia" w:eastAsiaTheme="minorEastAsia" w:hAnsiTheme="minorEastAsia" w:hint="eastAsia"/>
        </w:rPr>
        <w:t>销售</w:t>
      </w:r>
      <w:r w:rsidRPr="00D6191E">
        <w:rPr>
          <w:rFonts w:asciiTheme="minorEastAsia" w:eastAsiaTheme="minorEastAsia" w:hAnsiTheme="minorEastAsia" w:hint="eastAsia"/>
        </w:rPr>
        <w:t>机构将投资人已缴付的申购款项本金退还给投资人。</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投资人赎回申请成功后，基金管理人将在T＋7日(包括该日)内支付赎回款项。在发生巨额赎回时，款项的支付办法参照本基金合同有关条款处理。</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25" w:name="_Toc86315851"/>
      <w:r w:rsidRPr="00D6191E">
        <w:rPr>
          <w:rFonts w:asciiTheme="minorEastAsia" w:eastAsiaTheme="minorEastAsia" w:hAnsiTheme="minorEastAsia" w:hint="eastAsia"/>
          <w:b w:val="0"/>
          <w:bCs/>
        </w:rPr>
        <w:t>(</w:t>
      </w:r>
      <w:r w:rsidR="00E5728E" w:rsidRPr="00D6191E">
        <w:rPr>
          <w:rFonts w:asciiTheme="minorEastAsia" w:eastAsiaTheme="minorEastAsia" w:hAnsiTheme="minorEastAsia" w:hint="eastAsia"/>
          <w:b w:val="0"/>
          <w:bCs/>
        </w:rPr>
        <w:t>六</w:t>
      </w:r>
      <w:r w:rsidRPr="00D6191E">
        <w:rPr>
          <w:rFonts w:asciiTheme="minorEastAsia" w:eastAsiaTheme="minorEastAsia" w:hAnsiTheme="minorEastAsia" w:hint="eastAsia"/>
          <w:b w:val="0"/>
          <w:bCs/>
        </w:rPr>
        <w:t>)申购与赎回的数额限制</w:t>
      </w:r>
      <w:bookmarkEnd w:id="25"/>
    </w:p>
    <w:p w:rsidR="00BA4B87" w:rsidRPr="00D6191E" w:rsidRDefault="00200D60"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1、</w:t>
      </w:r>
      <w:r w:rsidR="00BA4B87" w:rsidRPr="00D6191E">
        <w:rPr>
          <w:rFonts w:asciiTheme="minorEastAsia" w:eastAsiaTheme="minorEastAsia" w:hAnsiTheme="minorEastAsia" w:hint="eastAsia"/>
        </w:rPr>
        <w:t>申购金额的限制</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投资者通过</w:t>
      </w:r>
      <w:r w:rsidR="00504496" w:rsidRPr="00D6191E">
        <w:rPr>
          <w:rFonts w:asciiTheme="minorEastAsia" w:eastAsiaTheme="minorEastAsia" w:hAnsiTheme="minorEastAsia" w:hint="eastAsia"/>
          <w:szCs w:val="21"/>
        </w:rPr>
        <w:t>本公司</w:t>
      </w:r>
      <w:r w:rsidRPr="00D6191E">
        <w:rPr>
          <w:rFonts w:asciiTheme="minorEastAsia" w:eastAsiaTheme="minorEastAsia" w:hAnsiTheme="minorEastAsia" w:hint="eastAsia"/>
          <w:szCs w:val="21"/>
        </w:rPr>
        <w:t>直销中心首次申购的单笔最低金额为50,000元人民币，</w:t>
      </w:r>
      <w:r w:rsidR="00523CB0" w:rsidRPr="00D6191E">
        <w:rPr>
          <w:rFonts w:asciiTheme="minorEastAsia" w:eastAsiaTheme="minorEastAsia" w:hAnsiTheme="minorEastAsia" w:hint="eastAsia"/>
        </w:rPr>
        <w:t>追加申购单笔最低限额为</w:t>
      </w:r>
      <w:r w:rsidR="00523CB0" w:rsidRPr="00D6191E">
        <w:rPr>
          <w:rFonts w:asciiTheme="minorEastAsia" w:eastAsiaTheme="minorEastAsia" w:hAnsiTheme="minorEastAsia" w:hint="eastAsia"/>
          <w:kern w:val="0"/>
          <w:szCs w:val="21"/>
        </w:rPr>
        <w:t>1,000</w:t>
      </w:r>
      <w:r w:rsidR="00523CB0" w:rsidRPr="00D6191E">
        <w:rPr>
          <w:rFonts w:asciiTheme="minorEastAsia" w:eastAsiaTheme="minorEastAsia" w:hAnsiTheme="minorEastAsia" w:hint="eastAsia"/>
        </w:rPr>
        <w:t>元人民币；</w:t>
      </w:r>
      <w:r w:rsidRPr="00D6191E">
        <w:rPr>
          <w:rFonts w:asciiTheme="minorEastAsia" w:eastAsiaTheme="minorEastAsia" w:hAnsiTheme="minorEastAsia" w:hint="eastAsia"/>
          <w:szCs w:val="21"/>
        </w:rPr>
        <w:t>通过</w:t>
      </w:r>
      <w:r w:rsidR="00AE5F53" w:rsidRPr="00D6191E">
        <w:rPr>
          <w:rFonts w:asciiTheme="minorEastAsia" w:eastAsiaTheme="minorEastAsia" w:hAnsiTheme="minorEastAsia" w:hint="eastAsia"/>
          <w:szCs w:val="21"/>
        </w:rPr>
        <w:t>非直销销售</w:t>
      </w:r>
      <w:r w:rsidR="001D7386" w:rsidRPr="00D6191E">
        <w:rPr>
          <w:rFonts w:asciiTheme="minorEastAsia" w:eastAsiaTheme="minorEastAsia" w:hAnsiTheme="minorEastAsia" w:hint="eastAsia"/>
          <w:szCs w:val="21"/>
        </w:rPr>
        <w:t>机构</w:t>
      </w:r>
      <w:r w:rsidRPr="00D6191E">
        <w:rPr>
          <w:rFonts w:asciiTheme="minorEastAsia" w:eastAsiaTheme="minorEastAsia" w:hAnsiTheme="minorEastAsia" w:hint="eastAsia"/>
          <w:szCs w:val="21"/>
        </w:rPr>
        <w:t>或本公司网上交易系统首次申购的单笔最低金额为</w:t>
      </w:r>
      <w:r w:rsidR="00523CB0" w:rsidRPr="00D6191E">
        <w:rPr>
          <w:rFonts w:asciiTheme="minorEastAsia" w:eastAsiaTheme="minorEastAsia" w:hAnsiTheme="minorEastAsia" w:hint="eastAsia"/>
          <w:szCs w:val="21"/>
        </w:rPr>
        <w:t>1</w:t>
      </w:r>
      <w:r w:rsidRPr="00D6191E">
        <w:rPr>
          <w:rFonts w:asciiTheme="minorEastAsia" w:eastAsiaTheme="minorEastAsia" w:hAnsiTheme="minorEastAsia" w:hint="eastAsia"/>
          <w:szCs w:val="21"/>
        </w:rPr>
        <w:t>元人民币</w:t>
      </w:r>
      <w:r w:rsidR="00523CB0" w:rsidRPr="00D6191E">
        <w:rPr>
          <w:rFonts w:asciiTheme="minorEastAsia" w:eastAsiaTheme="minorEastAsia" w:hAnsiTheme="minorEastAsia" w:hint="eastAsia"/>
          <w:szCs w:val="21"/>
        </w:rPr>
        <w:t>，</w:t>
      </w:r>
      <w:r w:rsidRPr="00D6191E">
        <w:rPr>
          <w:rFonts w:asciiTheme="minorEastAsia" w:eastAsiaTheme="minorEastAsia" w:hAnsiTheme="minorEastAsia" w:hint="eastAsia"/>
          <w:szCs w:val="21"/>
        </w:rPr>
        <w:t>追加申购单笔最低金额为</w:t>
      </w:r>
      <w:r w:rsidR="00523CB0" w:rsidRPr="00D6191E">
        <w:rPr>
          <w:rFonts w:asciiTheme="minorEastAsia" w:eastAsiaTheme="minorEastAsia" w:hAnsiTheme="minorEastAsia" w:hint="eastAsia"/>
          <w:szCs w:val="21"/>
        </w:rPr>
        <w:t>1</w:t>
      </w:r>
      <w:r w:rsidRPr="00D6191E">
        <w:rPr>
          <w:rFonts w:asciiTheme="minorEastAsia" w:eastAsiaTheme="minorEastAsia" w:hAnsiTheme="minorEastAsia" w:hint="eastAsia"/>
          <w:szCs w:val="21"/>
        </w:rPr>
        <w:t>元人民币。</w:t>
      </w:r>
      <w:r w:rsidR="004D77B9" w:rsidRPr="00D6191E">
        <w:rPr>
          <w:rFonts w:asciiTheme="minorEastAsia" w:eastAsiaTheme="minorEastAsia" w:hAnsiTheme="minorEastAsia" w:hint="eastAsia"/>
          <w:szCs w:val="21"/>
        </w:rPr>
        <w:t>在符合法律法规规定的前提下，</w:t>
      </w:r>
      <w:r w:rsidRPr="00D6191E">
        <w:rPr>
          <w:rFonts w:asciiTheme="minorEastAsia" w:eastAsiaTheme="minorEastAsia" w:hAnsiTheme="minorEastAsia" w:hint="eastAsia"/>
          <w:szCs w:val="21"/>
        </w:rPr>
        <w:t>各销售机构对申购金额及交易级差有其他规定的，</w:t>
      </w:r>
      <w:r w:rsidR="00DF00DA" w:rsidRPr="00D6191E">
        <w:rPr>
          <w:rFonts w:asciiTheme="minorEastAsia" w:eastAsiaTheme="minorEastAsia" w:hAnsiTheme="minorEastAsia" w:hint="eastAsia"/>
          <w:szCs w:val="21"/>
        </w:rPr>
        <w:t>需同时遵循该销售机构的相关规定</w:t>
      </w:r>
      <w:r w:rsidRPr="00D6191E">
        <w:rPr>
          <w:rFonts w:asciiTheme="minorEastAsia" w:eastAsiaTheme="minorEastAsia" w:hAnsiTheme="minorEastAsia" w:hint="eastAsia"/>
          <w:szCs w:val="21"/>
        </w:rPr>
        <w:t>。</w:t>
      </w:r>
      <w:r w:rsidR="008F67E9" w:rsidRPr="00D6191E">
        <w:rPr>
          <w:rFonts w:asciiTheme="minorEastAsia" w:eastAsiaTheme="minorEastAsia" w:hAnsiTheme="minorEastAsia" w:hint="eastAsia"/>
          <w:szCs w:val="21"/>
        </w:rPr>
        <w:t>(以上金额均含申购费)</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投资者将当期分配的基金收益转购基金份额或采用定期定额投资计划时，不受最低申购金额的限制。</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投资者可多次申购，对单个投资者累计持有份额不设上限限制。</w:t>
      </w:r>
      <w:r w:rsidR="000C4AA3" w:rsidRPr="00D6191E">
        <w:rPr>
          <w:rFonts w:asciiTheme="minorEastAsia" w:eastAsiaTheme="minorEastAsia" w:hAnsiTheme="minorEastAsia" w:hint="eastAsia"/>
          <w:szCs w:val="21"/>
        </w:rPr>
        <w:t>但对于可能导致单一投资者持有基金份额的比例达到或者超过50%，或者变相规避50%集中度的情形，基金管理人有权按照相关法律法规采取控制措施。</w:t>
      </w:r>
      <w:r w:rsidRPr="00D6191E">
        <w:rPr>
          <w:rFonts w:asciiTheme="minorEastAsia" w:eastAsiaTheme="minorEastAsia" w:hAnsiTheme="minorEastAsia" w:hint="eastAsia"/>
          <w:szCs w:val="21"/>
        </w:rPr>
        <w:t>法律法规、中国证监会另有规定的除外。</w:t>
      </w:r>
    </w:p>
    <w:p w:rsidR="00BA4B87" w:rsidRPr="00D6191E" w:rsidRDefault="00200D60"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BA4B87" w:rsidRPr="00D6191E">
        <w:rPr>
          <w:rFonts w:asciiTheme="minorEastAsia" w:eastAsiaTheme="minorEastAsia" w:hAnsiTheme="minorEastAsia" w:hint="eastAsia"/>
          <w:szCs w:val="21"/>
        </w:rPr>
        <w:t>赎回份额的限制</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lastRenderedPageBreak/>
        <w:t>投资者可将其全部或部分基金份额赎回。</w:t>
      </w:r>
      <w:r w:rsidRPr="00D6191E">
        <w:rPr>
          <w:rFonts w:asciiTheme="minorEastAsia" w:eastAsiaTheme="minorEastAsia" w:hAnsiTheme="minorEastAsia" w:cs="TT64E9BFA0tCID-WinCharSetFFFF-H" w:hint="eastAsia"/>
          <w:kern w:val="0"/>
          <w:szCs w:val="21"/>
        </w:rPr>
        <w:t>每类基金份额</w:t>
      </w:r>
      <w:r w:rsidRPr="00D6191E">
        <w:rPr>
          <w:rFonts w:asciiTheme="minorEastAsia" w:eastAsiaTheme="minorEastAsia" w:hAnsiTheme="minorEastAsia" w:hint="eastAsia"/>
        </w:rPr>
        <w:t>单笔赎回</w:t>
      </w:r>
      <w:r w:rsidR="006B36AD" w:rsidRPr="00D6191E">
        <w:rPr>
          <w:rFonts w:asciiTheme="minorEastAsia" w:eastAsiaTheme="minorEastAsia" w:hAnsiTheme="minorEastAsia" w:hint="eastAsia"/>
        </w:rPr>
        <w:t>或转换</w:t>
      </w:r>
      <w:r w:rsidRPr="00D6191E">
        <w:rPr>
          <w:rFonts w:asciiTheme="minorEastAsia" w:eastAsiaTheme="minorEastAsia" w:hAnsiTheme="minorEastAsia" w:hint="eastAsia"/>
        </w:rPr>
        <w:t>不得少于1份(如该</w:t>
      </w:r>
      <w:r w:rsidR="00136A75" w:rsidRPr="00D6191E">
        <w:rPr>
          <w:rFonts w:asciiTheme="minorEastAsia" w:eastAsiaTheme="minorEastAsia" w:hAnsiTheme="minorEastAsia" w:hint="eastAsia"/>
        </w:rPr>
        <w:t>账户</w:t>
      </w:r>
      <w:r w:rsidRPr="00D6191E">
        <w:rPr>
          <w:rFonts w:asciiTheme="minorEastAsia" w:eastAsiaTheme="minorEastAsia" w:hAnsiTheme="minorEastAsia" w:hint="eastAsia"/>
        </w:rPr>
        <w:t>在该销售机构托管的</w:t>
      </w:r>
      <w:r w:rsidR="006F072D" w:rsidRPr="00D6191E">
        <w:rPr>
          <w:rFonts w:asciiTheme="minorEastAsia" w:eastAsiaTheme="minorEastAsia" w:hAnsiTheme="minorEastAsia" w:hint="eastAsia"/>
        </w:rPr>
        <w:t>该</w:t>
      </w:r>
      <w:r w:rsidR="001C1D97" w:rsidRPr="00D6191E">
        <w:rPr>
          <w:rFonts w:asciiTheme="minorEastAsia" w:eastAsiaTheme="minorEastAsia" w:hAnsiTheme="minorEastAsia" w:hint="eastAsia"/>
        </w:rPr>
        <w:t>类</w:t>
      </w:r>
      <w:r w:rsidRPr="00D6191E">
        <w:rPr>
          <w:rFonts w:asciiTheme="minorEastAsia" w:eastAsiaTheme="minorEastAsia" w:hAnsiTheme="minorEastAsia" w:hint="eastAsia"/>
        </w:rPr>
        <w:t>基金余额不足1份，则必须一次性赎回</w:t>
      </w:r>
      <w:r w:rsidR="006B36AD" w:rsidRPr="00D6191E">
        <w:rPr>
          <w:rFonts w:asciiTheme="minorEastAsia" w:eastAsiaTheme="minorEastAsia" w:hAnsiTheme="minorEastAsia" w:hint="eastAsia"/>
        </w:rPr>
        <w:t>或转出</w:t>
      </w:r>
      <w:r w:rsidRPr="00D6191E">
        <w:rPr>
          <w:rFonts w:asciiTheme="minorEastAsia" w:eastAsiaTheme="minorEastAsia" w:hAnsiTheme="minorEastAsia" w:hint="eastAsia"/>
        </w:rPr>
        <w:t>该类基金全部份额)；若某笔赎回将导致投资者在</w:t>
      </w:r>
      <w:r w:rsidR="00EF5035" w:rsidRPr="00D6191E">
        <w:rPr>
          <w:rFonts w:asciiTheme="minorEastAsia" w:eastAsiaTheme="minorEastAsia" w:hAnsiTheme="minorEastAsia" w:hint="eastAsia"/>
        </w:rPr>
        <w:t>该</w:t>
      </w:r>
      <w:r w:rsidRPr="00D6191E">
        <w:rPr>
          <w:rFonts w:asciiTheme="minorEastAsia" w:eastAsiaTheme="minorEastAsia" w:hAnsiTheme="minorEastAsia" w:hint="eastAsia"/>
        </w:rPr>
        <w:t>销售机构托管的该类基金余额不足1份时，基金管理人有权将投资者在该销售机构托管的该类基金剩余份额一次性全部赎回。</w:t>
      </w:r>
      <w:r w:rsidR="000E782C" w:rsidRPr="00D6191E">
        <w:rPr>
          <w:rFonts w:asciiTheme="minorEastAsia" w:eastAsiaTheme="minorEastAsia" w:hAnsiTheme="minorEastAsia" w:hint="eastAsia"/>
        </w:rPr>
        <w:t>在符合法律法规规定的前提下，</w:t>
      </w:r>
      <w:r w:rsidRPr="00D6191E">
        <w:rPr>
          <w:rFonts w:asciiTheme="minorEastAsia" w:eastAsiaTheme="minorEastAsia" w:hAnsiTheme="minorEastAsia" w:hint="eastAsia"/>
        </w:rPr>
        <w:t>各销售机构对赎回份额限制有其他规定的，</w:t>
      </w:r>
      <w:r w:rsidR="00DF00DA" w:rsidRPr="00D6191E">
        <w:rPr>
          <w:rFonts w:asciiTheme="minorEastAsia" w:eastAsiaTheme="minorEastAsia" w:hAnsiTheme="minorEastAsia" w:hint="eastAsia"/>
          <w:szCs w:val="21"/>
        </w:rPr>
        <w:t>需同时遵循该销售机构的相关规定</w:t>
      </w:r>
      <w:r w:rsidRPr="00D6191E">
        <w:rPr>
          <w:rFonts w:asciiTheme="minorEastAsia" w:eastAsiaTheme="minorEastAsia" w:hAnsiTheme="minorEastAsia" w:hint="eastAsia"/>
        </w:rPr>
        <w:t>。</w:t>
      </w:r>
    </w:p>
    <w:p w:rsidR="000C4AA3" w:rsidRPr="00D6191E" w:rsidRDefault="000C4AA3"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szCs w:val="21"/>
        </w:rPr>
        <w:t>3、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A4B87" w:rsidRPr="00D6191E" w:rsidRDefault="000C4AA3"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rPr>
        <w:t>4</w:t>
      </w:r>
      <w:r w:rsidR="00200D60" w:rsidRPr="00D6191E">
        <w:rPr>
          <w:rFonts w:asciiTheme="minorEastAsia" w:eastAsiaTheme="minorEastAsia" w:hAnsiTheme="minorEastAsia" w:hint="eastAsia"/>
        </w:rPr>
        <w:t>、</w:t>
      </w:r>
      <w:r w:rsidR="00BA4B87" w:rsidRPr="00D6191E">
        <w:rPr>
          <w:rFonts w:asciiTheme="minorEastAsia" w:eastAsiaTheme="minorEastAsia" w:hAnsiTheme="minorEastAsia" w:hint="eastAsia"/>
        </w:rPr>
        <w:t>基金管理人可以根据市场情况，在法律法规允许的情况下，调整上述规定申购金额和赎回份额的数量限制</w:t>
      </w:r>
      <w:r w:rsidRPr="00D6191E">
        <w:rPr>
          <w:rFonts w:asciiTheme="minorEastAsia" w:eastAsiaTheme="minorEastAsia" w:hAnsiTheme="minorEastAsia" w:hint="eastAsia"/>
          <w:szCs w:val="21"/>
        </w:rPr>
        <w:t>，或者新增基金规模控制措施</w:t>
      </w:r>
      <w:r w:rsidR="00BA4B87" w:rsidRPr="00D6191E">
        <w:rPr>
          <w:rFonts w:asciiTheme="minorEastAsia" w:eastAsiaTheme="minorEastAsia" w:hAnsiTheme="minorEastAsia" w:hint="eastAsia"/>
        </w:rPr>
        <w:t>。基金管理人必须在调整前依照《信息披露办法》的有关规定在</w:t>
      </w:r>
      <w:r w:rsidR="00F44B20" w:rsidRPr="00D6191E">
        <w:rPr>
          <w:rFonts w:asciiTheme="minorEastAsia" w:eastAsiaTheme="minorEastAsia" w:hAnsiTheme="minorEastAsia" w:hint="eastAsia"/>
        </w:rPr>
        <w:t>指定媒介</w:t>
      </w:r>
      <w:r w:rsidR="00BA4B87" w:rsidRPr="00D6191E">
        <w:rPr>
          <w:rFonts w:asciiTheme="minorEastAsia" w:eastAsiaTheme="minorEastAsia" w:hAnsiTheme="minorEastAsia" w:hint="eastAsia"/>
        </w:rPr>
        <w:t>上公告。</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26" w:name="_Toc86315852"/>
      <w:r w:rsidRPr="00D6191E">
        <w:rPr>
          <w:rFonts w:asciiTheme="minorEastAsia" w:eastAsiaTheme="minorEastAsia" w:hAnsiTheme="minorEastAsia" w:hint="eastAsia"/>
          <w:b w:val="0"/>
          <w:bCs/>
        </w:rPr>
        <w:t>(</w:t>
      </w:r>
      <w:r w:rsidR="00E5728E" w:rsidRPr="00D6191E">
        <w:rPr>
          <w:rFonts w:asciiTheme="minorEastAsia" w:eastAsiaTheme="minorEastAsia" w:hAnsiTheme="minorEastAsia" w:hint="eastAsia"/>
          <w:b w:val="0"/>
          <w:bCs/>
        </w:rPr>
        <w:t>七</w:t>
      </w:r>
      <w:r w:rsidRPr="00D6191E">
        <w:rPr>
          <w:rFonts w:asciiTheme="minorEastAsia" w:eastAsiaTheme="minorEastAsia" w:hAnsiTheme="minorEastAsia" w:hint="eastAsia"/>
          <w:b w:val="0"/>
          <w:bCs/>
        </w:rPr>
        <w:t>)基金的申购费和赎回费</w:t>
      </w:r>
      <w:bookmarkEnd w:id="26"/>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hint="eastAsia"/>
          <w:szCs w:val="21"/>
        </w:rPr>
        <w:t>本基金将基金份额分为A类基金份额和C类基金份额两类。其中：</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A类基金份额收取认购/申购、赎回费；C类基金份额从本类别基金资产中计提销售服务费、不收取认购/申购费用，C类基金份额对持有期限少于30日的本类别基金份额的赎回收取赎回费，对于持有期限不少于30日的本类别基金份额不收取赎回费；</w:t>
      </w:r>
    </w:p>
    <w:p w:rsidR="0046303E"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BA4B87" w:rsidRPr="00D6191E">
        <w:rPr>
          <w:rFonts w:asciiTheme="minorEastAsia" w:eastAsiaTheme="minorEastAsia" w:hAnsiTheme="minorEastAsia" w:hint="eastAsia"/>
          <w:szCs w:val="21"/>
        </w:rPr>
        <w:t>本基金的申</w:t>
      </w:r>
      <w:r w:rsidR="00BA4B87" w:rsidRPr="00D6191E">
        <w:rPr>
          <w:rFonts w:asciiTheme="minorEastAsia" w:eastAsiaTheme="minorEastAsia" w:hAnsiTheme="minorEastAsia"/>
          <w:szCs w:val="21"/>
        </w:rPr>
        <w:t>购费用</w:t>
      </w:r>
      <w:r w:rsidR="00BA4B87" w:rsidRPr="00D6191E">
        <w:rPr>
          <w:rFonts w:asciiTheme="minorEastAsia" w:eastAsiaTheme="minorEastAsia" w:hAnsiTheme="minorEastAsia" w:hint="eastAsia"/>
          <w:szCs w:val="21"/>
        </w:rPr>
        <w:t>由申购本基金A类份额的投资人承担，</w:t>
      </w:r>
      <w:r w:rsidR="00BA4B87" w:rsidRPr="00D6191E">
        <w:rPr>
          <w:rFonts w:asciiTheme="minorEastAsia" w:eastAsiaTheme="minorEastAsia" w:hAnsiTheme="minorEastAsia"/>
          <w:szCs w:val="21"/>
        </w:rPr>
        <w:t>不列入基金财产，主要用于本基金的市场推广、销售、注册登记等各项费用。</w:t>
      </w:r>
      <w:r w:rsidR="00BA4B87" w:rsidRPr="00D6191E">
        <w:rPr>
          <w:rFonts w:asciiTheme="minorEastAsia" w:eastAsiaTheme="minorEastAsia" w:hAnsiTheme="minorEastAsia" w:hint="eastAsia"/>
          <w:szCs w:val="21"/>
        </w:rPr>
        <w:t>赎回费用由基金赎回人承担。</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00BA4B87" w:rsidRPr="00D6191E">
        <w:rPr>
          <w:rFonts w:asciiTheme="minorEastAsia" w:eastAsiaTheme="minorEastAsia" w:hAnsiTheme="minorEastAsia" w:hint="eastAsia"/>
          <w:szCs w:val="21"/>
        </w:rPr>
        <w:t>申购费率：</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w:t>
      </w:r>
      <w:r w:rsidR="00413109" w:rsidRPr="00D6191E">
        <w:rPr>
          <w:rFonts w:asciiTheme="minorEastAsia" w:eastAsiaTheme="minorEastAsia" w:hAnsiTheme="minorEastAsia" w:hint="eastAsia"/>
          <w:szCs w:val="21"/>
        </w:rPr>
        <w:t>A类基金份额</w:t>
      </w:r>
      <w:r w:rsidRPr="00D6191E">
        <w:rPr>
          <w:rFonts w:asciiTheme="minorEastAsia" w:eastAsiaTheme="minorEastAsia" w:hAnsiTheme="minorEastAsia" w:hint="eastAsia"/>
          <w:szCs w:val="21"/>
        </w:rPr>
        <w:t>对通过直销中心申购的</w:t>
      </w:r>
      <w:r w:rsidR="00083C25" w:rsidRPr="00D6191E">
        <w:rPr>
          <w:rFonts w:asciiTheme="minorEastAsia" w:eastAsiaTheme="minorEastAsia" w:hAnsiTheme="minorEastAsia" w:hint="eastAsia"/>
          <w:szCs w:val="21"/>
        </w:rPr>
        <w:t>特定投资群体</w:t>
      </w:r>
      <w:r w:rsidRPr="00D6191E">
        <w:rPr>
          <w:rFonts w:asciiTheme="minorEastAsia" w:eastAsiaTheme="minorEastAsia" w:hAnsiTheme="minorEastAsia" w:hint="eastAsia"/>
          <w:szCs w:val="21"/>
        </w:rPr>
        <w:t>与除此之外的其他投资者实施差别的申购费率。</w:t>
      </w:r>
    </w:p>
    <w:p w:rsidR="00083C25" w:rsidRPr="00D6191E" w:rsidRDefault="00083C25"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通过基金管理人的直销中心申购本基金A类份额的</w:t>
      </w:r>
      <w:r w:rsidR="00083C25" w:rsidRPr="00D6191E">
        <w:rPr>
          <w:rFonts w:asciiTheme="minorEastAsia" w:eastAsiaTheme="minorEastAsia" w:hAnsiTheme="minorEastAsia" w:hint="eastAsia"/>
          <w:szCs w:val="21"/>
        </w:rPr>
        <w:t>特定投资群体</w:t>
      </w:r>
      <w:r w:rsidRPr="00D6191E">
        <w:rPr>
          <w:rFonts w:asciiTheme="minorEastAsia" w:eastAsiaTheme="minorEastAsia" w:hAnsiTheme="minorEastAsia" w:hint="eastAsia"/>
          <w:szCs w:val="21"/>
        </w:rPr>
        <w:t>申购费率见下表：</w:t>
      </w:r>
    </w:p>
    <w:tbl>
      <w:tblPr>
        <w:tblW w:w="7574" w:type="dxa"/>
        <w:jc w:val="center"/>
        <w:tblLook w:val="0000" w:firstRow="0" w:lastRow="0" w:firstColumn="0" w:lastColumn="0" w:noHBand="0" w:noVBand="0"/>
      </w:tblPr>
      <w:tblGrid>
        <w:gridCol w:w="3794"/>
        <w:gridCol w:w="3780"/>
      </w:tblGrid>
      <w:tr w:rsidR="00D6191E" w:rsidRPr="00D6191E"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b/>
                <w:bCs/>
                <w:kern w:val="0"/>
                <w:szCs w:val="21"/>
              </w:rPr>
            </w:pPr>
            <w:r w:rsidRPr="00D6191E">
              <w:rPr>
                <w:rFonts w:asciiTheme="minorEastAsia" w:eastAsiaTheme="minorEastAsia" w:hAnsiTheme="minorEastAsia" w:cs="宋体" w:hint="eastAsia"/>
                <w:b/>
                <w:bCs/>
                <w:kern w:val="0"/>
                <w:szCs w:val="21"/>
              </w:rPr>
              <w:t>申购金额M(元)(含申购费)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b/>
                <w:bCs/>
                <w:kern w:val="0"/>
                <w:szCs w:val="21"/>
              </w:rPr>
            </w:pPr>
            <w:r w:rsidRPr="00D6191E">
              <w:rPr>
                <w:rFonts w:asciiTheme="minorEastAsia" w:eastAsiaTheme="minorEastAsia" w:hAnsiTheme="minorEastAsia" w:hint="eastAsia"/>
                <w:b/>
                <w:szCs w:val="21"/>
              </w:rPr>
              <w:t>A类基金份额</w:t>
            </w:r>
            <w:r w:rsidRPr="00D6191E">
              <w:rPr>
                <w:rFonts w:asciiTheme="minorEastAsia" w:eastAsiaTheme="minorEastAsia" w:hAnsiTheme="minorEastAsia" w:cs="宋体" w:hint="eastAsia"/>
                <w:b/>
                <w:bCs/>
                <w:kern w:val="0"/>
                <w:szCs w:val="21"/>
              </w:rPr>
              <w:t>申购费率</w:t>
            </w:r>
          </w:p>
        </w:tc>
      </w:tr>
      <w:tr w:rsidR="00D6191E" w:rsidRPr="00D6191E"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M＜100万</w:t>
            </w:r>
          </w:p>
        </w:tc>
        <w:tc>
          <w:tcPr>
            <w:tcW w:w="3780" w:type="dxa"/>
            <w:tcBorders>
              <w:top w:val="nil"/>
              <w:left w:val="nil"/>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0.</w:t>
            </w:r>
            <w:r w:rsidR="00083C25" w:rsidRPr="00D6191E">
              <w:rPr>
                <w:rFonts w:asciiTheme="minorEastAsia" w:eastAsiaTheme="minorEastAsia" w:hAnsiTheme="minorEastAsia" w:cs="宋体" w:hint="eastAsia"/>
                <w:kern w:val="0"/>
                <w:szCs w:val="21"/>
              </w:rPr>
              <w:t>08</w:t>
            </w:r>
            <w:r w:rsidRPr="00D6191E">
              <w:rPr>
                <w:rFonts w:asciiTheme="minorEastAsia" w:eastAsiaTheme="minorEastAsia" w:hAnsiTheme="minorEastAsia" w:cs="宋体" w:hint="eastAsia"/>
                <w:kern w:val="0"/>
                <w:szCs w:val="21"/>
              </w:rPr>
              <w:t>%</w:t>
            </w:r>
          </w:p>
        </w:tc>
      </w:tr>
      <w:tr w:rsidR="00D6191E" w:rsidRPr="00D6191E"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100万≤M＜500万</w:t>
            </w:r>
          </w:p>
        </w:tc>
        <w:tc>
          <w:tcPr>
            <w:tcW w:w="3780" w:type="dxa"/>
            <w:tcBorders>
              <w:top w:val="nil"/>
              <w:left w:val="nil"/>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0.</w:t>
            </w:r>
            <w:r w:rsidR="00083C25" w:rsidRPr="00D6191E">
              <w:rPr>
                <w:rFonts w:asciiTheme="minorEastAsia" w:eastAsiaTheme="minorEastAsia" w:hAnsiTheme="minorEastAsia" w:cs="宋体" w:hint="eastAsia"/>
                <w:kern w:val="0"/>
                <w:szCs w:val="21"/>
              </w:rPr>
              <w:t>04</w:t>
            </w:r>
            <w:r w:rsidRPr="00D6191E">
              <w:rPr>
                <w:rFonts w:asciiTheme="minorEastAsia" w:eastAsiaTheme="minorEastAsia" w:hAnsiTheme="minorEastAsia" w:cs="宋体" w:hint="eastAsia"/>
                <w:kern w:val="0"/>
                <w:szCs w:val="21"/>
              </w:rPr>
              <w:t>%</w:t>
            </w:r>
          </w:p>
        </w:tc>
      </w:tr>
      <w:tr w:rsidR="00D6191E" w:rsidRPr="00D6191E"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500万≤M＜1000万</w:t>
            </w:r>
          </w:p>
        </w:tc>
        <w:tc>
          <w:tcPr>
            <w:tcW w:w="3780" w:type="dxa"/>
            <w:tcBorders>
              <w:top w:val="nil"/>
              <w:left w:val="nil"/>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ind w:firstLineChars="736" w:firstLine="1546"/>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0.0</w:t>
            </w:r>
            <w:r w:rsidR="0038065E" w:rsidRPr="00D6191E">
              <w:rPr>
                <w:rFonts w:asciiTheme="minorEastAsia" w:eastAsiaTheme="minorEastAsia" w:hAnsiTheme="minorEastAsia" w:cs="宋体" w:hint="eastAsia"/>
                <w:kern w:val="0"/>
                <w:szCs w:val="21"/>
              </w:rPr>
              <w:t>0</w:t>
            </w:r>
            <w:r w:rsidRPr="00D6191E">
              <w:rPr>
                <w:rFonts w:asciiTheme="minorEastAsia" w:eastAsiaTheme="minorEastAsia" w:hAnsiTheme="minorEastAsia" w:cs="宋体" w:hint="eastAsia"/>
                <w:kern w:val="0"/>
                <w:szCs w:val="21"/>
              </w:rPr>
              <w:t>2%</w:t>
            </w:r>
          </w:p>
        </w:tc>
      </w:tr>
      <w:tr w:rsidR="00D6191E" w:rsidRPr="00D6191E"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M≥1000万</w:t>
            </w:r>
          </w:p>
        </w:tc>
        <w:tc>
          <w:tcPr>
            <w:tcW w:w="3780" w:type="dxa"/>
            <w:tcBorders>
              <w:top w:val="nil"/>
              <w:left w:val="nil"/>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1000元/笔</w:t>
            </w:r>
          </w:p>
        </w:tc>
      </w:tr>
    </w:tbl>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lastRenderedPageBreak/>
        <w:t>其他投资者申购本基金A类基金份额的申购费率见下表：</w:t>
      </w:r>
    </w:p>
    <w:tbl>
      <w:tblPr>
        <w:tblW w:w="7574" w:type="dxa"/>
        <w:jc w:val="center"/>
        <w:tblLook w:val="0000" w:firstRow="0" w:lastRow="0" w:firstColumn="0" w:lastColumn="0" w:noHBand="0" w:noVBand="0"/>
      </w:tblPr>
      <w:tblGrid>
        <w:gridCol w:w="3794"/>
        <w:gridCol w:w="3780"/>
      </w:tblGrid>
      <w:tr w:rsidR="00D6191E" w:rsidRPr="00D6191E"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b/>
                <w:bCs/>
                <w:kern w:val="0"/>
                <w:szCs w:val="21"/>
              </w:rPr>
            </w:pPr>
            <w:r w:rsidRPr="00D6191E">
              <w:rPr>
                <w:rFonts w:asciiTheme="minorEastAsia" w:eastAsiaTheme="minorEastAsia" w:hAnsiTheme="minorEastAsia" w:cs="宋体" w:hint="eastAsia"/>
                <w:b/>
                <w:bCs/>
                <w:kern w:val="0"/>
                <w:szCs w:val="21"/>
              </w:rPr>
              <w:t>申购金额M(元)(含申购费)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b/>
                <w:bCs/>
                <w:kern w:val="0"/>
                <w:szCs w:val="21"/>
              </w:rPr>
            </w:pPr>
            <w:r w:rsidRPr="00D6191E">
              <w:rPr>
                <w:rFonts w:asciiTheme="minorEastAsia" w:eastAsiaTheme="minorEastAsia" w:hAnsiTheme="minorEastAsia" w:hint="eastAsia"/>
                <w:b/>
                <w:szCs w:val="21"/>
              </w:rPr>
              <w:t>A类基金份额</w:t>
            </w:r>
            <w:r w:rsidRPr="00D6191E">
              <w:rPr>
                <w:rFonts w:asciiTheme="minorEastAsia" w:eastAsiaTheme="minorEastAsia" w:hAnsiTheme="minorEastAsia" w:cs="宋体" w:hint="eastAsia"/>
                <w:b/>
                <w:bCs/>
                <w:kern w:val="0"/>
                <w:szCs w:val="21"/>
              </w:rPr>
              <w:t>申购费率</w:t>
            </w:r>
          </w:p>
        </w:tc>
      </w:tr>
      <w:tr w:rsidR="00D6191E" w:rsidRPr="00D6191E"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M＜100万</w:t>
            </w:r>
          </w:p>
        </w:tc>
        <w:tc>
          <w:tcPr>
            <w:tcW w:w="3780" w:type="dxa"/>
            <w:tcBorders>
              <w:top w:val="nil"/>
              <w:left w:val="nil"/>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0.8%</w:t>
            </w:r>
          </w:p>
        </w:tc>
      </w:tr>
      <w:tr w:rsidR="00D6191E" w:rsidRPr="00D6191E"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100万≤M＜500万</w:t>
            </w:r>
          </w:p>
        </w:tc>
        <w:tc>
          <w:tcPr>
            <w:tcW w:w="3780" w:type="dxa"/>
            <w:tcBorders>
              <w:top w:val="nil"/>
              <w:left w:val="nil"/>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0.4%</w:t>
            </w:r>
          </w:p>
        </w:tc>
      </w:tr>
      <w:tr w:rsidR="00D6191E" w:rsidRPr="00D6191E"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500万≤M＜1000万</w:t>
            </w:r>
          </w:p>
        </w:tc>
        <w:tc>
          <w:tcPr>
            <w:tcW w:w="3780" w:type="dxa"/>
            <w:tcBorders>
              <w:top w:val="nil"/>
              <w:left w:val="nil"/>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0.02%</w:t>
            </w:r>
          </w:p>
        </w:tc>
      </w:tr>
      <w:tr w:rsidR="00D6191E" w:rsidRPr="00D6191E"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M≥1000万</w:t>
            </w:r>
          </w:p>
        </w:tc>
        <w:tc>
          <w:tcPr>
            <w:tcW w:w="3780" w:type="dxa"/>
            <w:tcBorders>
              <w:top w:val="nil"/>
              <w:left w:val="nil"/>
              <w:bottom w:val="single" w:sz="8" w:space="0" w:color="auto"/>
              <w:right w:val="single" w:sz="8" w:space="0" w:color="auto"/>
            </w:tcBorders>
            <w:shd w:val="clear" w:color="auto" w:fill="auto"/>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1000元/笔</w:t>
            </w:r>
          </w:p>
        </w:tc>
      </w:tr>
    </w:tbl>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在申购费按金额分档的情况下，如果投资者多次申购，申购费适用单笔申购金额所对应的费率。</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本基金C类基金份额不收取申购费用。</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w:t>
      </w:r>
      <w:r w:rsidR="00BA4B87" w:rsidRPr="00D6191E">
        <w:rPr>
          <w:rFonts w:asciiTheme="minorEastAsia" w:eastAsiaTheme="minorEastAsia" w:hAnsiTheme="minorEastAsia" w:hint="eastAsia"/>
          <w:szCs w:val="21"/>
        </w:rPr>
        <w:t>赎回费率</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本基金A类基金份额赎回费率见下表：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D6191E" w:rsidRPr="00D6191E" w:rsidTr="00BA4B87">
        <w:trPr>
          <w:jc w:val="center"/>
        </w:trPr>
        <w:tc>
          <w:tcPr>
            <w:tcW w:w="3870" w:type="dxa"/>
          </w:tcPr>
          <w:p w:rsidR="00BA4B87" w:rsidRPr="00D6191E" w:rsidRDefault="00BA4B87" w:rsidP="000449FE">
            <w:pPr>
              <w:widowControl/>
              <w:snapToGrid w:val="0"/>
              <w:spacing w:line="360" w:lineRule="auto"/>
              <w:jc w:val="center"/>
              <w:rPr>
                <w:rFonts w:asciiTheme="minorEastAsia" w:eastAsiaTheme="minorEastAsia" w:hAnsiTheme="minorEastAsia" w:cs="宋体"/>
                <w:b/>
                <w:kern w:val="0"/>
                <w:szCs w:val="21"/>
              </w:rPr>
            </w:pPr>
            <w:r w:rsidRPr="00D6191E">
              <w:rPr>
                <w:rFonts w:asciiTheme="minorEastAsia" w:eastAsiaTheme="minorEastAsia" w:hAnsiTheme="minorEastAsia" w:cs="宋体" w:hint="eastAsia"/>
                <w:b/>
                <w:kern w:val="0"/>
                <w:szCs w:val="21"/>
              </w:rPr>
              <w:t>持有时间(天)</w:t>
            </w:r>
          </w:p>
        </w:tc>
        <w:tc>
          <w:tcPr>
            <w:tcW w:w="3798" w:type="dxa"/>
          </w:tcPr>
          <w:p w:rsidR="00BA4B87" w:rsidRPr="00D6191E" w:rsidRDefault="00BA4B87" w:rsidP="000449FE">
            <w:pPr>
              <w:widowControl/>
              <w:snapToGrid w:val="0"/>
              <w:spacing w:line="360" w:lineRule="auto"/>
              <w:jc w:val="center"/>
              <w:rPr>
                <w:rFonts w:asciiTheme="minorEastAsia" w:eastAsiaTheme="minorEastAsia" w:hAnsiTheme="minorEastAsia" w:cs="宋体"/>
                <w:b/>
                <w:kern w:val="0"/>
                <w:szCs w:val="21"/>
              </w:rPr>
            </w:pPr>
            <w:r w:rsidRPr="00D6191E">
              <w:rPr>
                <w:rFonts w:asciiTheme="minorEastAsia" w:eastAsiaTheme="minorEastAsia" w:hAnsiTheme="minorEastAsia" w:cs="宋体" w:hint="eastAsia"/>
                <w:b/>
                <w:kern w:val="0"/>
                <w:szCs w:val="21"/>
              </w:rPr>
              <w:t>A类基金份额赎回费率</w:t>
            </w:r>
          </w:p>
        </w:tc>
      </w:tr>
      <w:tr w:rsidR="00D6191E" w:rsidRPr="00D6191E" w:rsidTr="00BA4B87">
        <w:trPr>
          <w:jc w:val="center"/>
        </w:trPr>
        <w:tc>
          <w:tcPr>
            <w:tcW w:w="3870" w:type="dxa"/>
          </w:tcPr>
          <w:p w:rsidR="000C4AA3" w:rsidRPr="00D6191E" w:rsidRDefault="000C4AA3"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0</w:t>
            </w:r>
            <w:r w:rsidRPr="00D6191E">
              <w:rPr>
                <w:rFonts w:asciiTheme="minorEastAsia" w:eastAsiaTheme="minorEastAsia" w:hAnsiTheme="minorEastAsia" w:cs="宋体"/>
                <w:kern w:val="0"/>
                <w:szCs w:val="21"/>
              </w:rPr>
              <w:t>-6</w:t>
            </w:r>
          </w:p>
        </w:tc>
        <w:tc>
          <w:tcPr>
            <w:tcW w:w="3798" w:type="dxa"/>
          </w:tcPr>
          <w:p w:rsidR="000C4AA3" w:rsidRPr="00D6191E" w:rsidRDefault="000C4AA3"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1</w:t>
            </w:r>
            <w:r w:rsidRPr="00D6191E">
              <w:rPr>
                <w:rFonts w:asciiTheme="minorEastAsia" w:eastAsiaTheme="minorEastAsia" w:hAnsiTheme="minorEastAsia" w:cs="宋体"/>
                <w:kern w:val="0"/>
                <w:szCs w:val="21"/>
              </w:rPr>
              <w:t>.5%</w:t>
            </w:r>
          </w:p>
        </w:tc>
      </w:tr>
      <w:tr w:rsidR="00D6191E" w:rsidRPr="00D6191E" w:rsidTr="00BA4B87">
        <w:trPr>
          <w:jc w:val="center"/>
        </w:trPr>
        <w:tc>
          <w:tcPr>
            <w:tcW w:w="3870" w:type="dxa"/>
          </w:tcPr>
          <w:p w:rsidR="00BA4B87" w:rsidRPr="00D6191E" w:rsidRDefault="000C4AA3"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kern w:val="0"/>
                <w:szCs w:val="21"/>
              </w:rPr>
              <w:t>7</w:t>
            </w:r>
            <w:r w:rsidR="00BA4B87" w:rsidRPr="00D6191E">
              <w:rPr>
                <w:rFonts w:asciiTheme="minorEastAsia" w:eastAsiaTheme="minorEastAsia" w:hAnsiTheme="minorEastAsia" w:cs="宋体" w:hint="eastAsia"/>
                <w:kern w:val="0"/>
                <w:szCs w:val="21"/>
              </w:rPr>
              <w:t>-29</w:t>
            </w:r>
          </w:p>
        </w:tc>
        <w:tc>
          <w:tcPr>
            <w:tcW w:w="3798" w:type="dxa"/>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0.75%</w:t>
            </w:r>
          </w:p>
        </w:tc>
      </w:tr>
      <w:tr w:rsidR="00D6191E" w:rsidRPr="00D6191E" w:rsidTr="00BA4B87">
        <w:trPr>
          <w:jc w:val="center"/>
        </w:trPr>
        <w:tc>
          <w:tcPr>
            <w:tcW w:w="3870" w:type="dxa"/>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30-364</w:t>
            </w:r>
          </w:p>
        </w:tc>
        <w:tc>
          <w:tcPr>
            <w:tcW w:w="3798" w:type="dxa"/>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0.1%</w:t>
            </w:r>
          </w:p>
        </w:tc>
      </w:tr>
      <w:tr w:rsidR="00D6191E" w:rsidRPr="00D6191E" w:rsidTr="00BA4B87">
        <w:trPr>
          <w:jc w:val="center"/>
        </w:trPr>
        <w:tc>
          <w:tcPr>
            <w:tcW w:w="3870" w:type="dxa"/>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365-729</w:t>
            </w:r>
          </w:p>
        </w:tc>
        <w:tc>
          <w:tcPr>
            <w:tcW w:w="3798" w:type="dxa"/>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0.05%</w:t>
            </w:r>
          </w:p>
        </w:tc>
      </w:tr>
      <w:tr w:rsidR="00D6191E" w:rsidRPr="00D6191E" w:rsidTr="00BA4B87">
        <w:trPr>
          <w:jc w:val="center"/>
        </w:trPr>
        <w:tc>
          <w:tcPr>
            <w:tcW w:w="3870" w:type="dxa"/>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730及以上</w:t>
            </w:r>
          </w:p>
        </w:tc>
        <w:tc>
          <w:tcPr>
            <w:tcW w:w="3798" w:type="dxa"/>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0%</w:t>
            </w:r>
          </w:p>
        </w:tc>
      </w:tr>
    </w:tbl>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本基金C类基金份额赎回费率见下表：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D6191E" w:rsidRPr="00D6191E" w:rsidTr="00BA4B87">
        <w:trPr>
          <w:jc w:val="center"/>
        </w:trPr>
        <w:tc>
          <w:tcPr>
            <w:tcW w:w="3870" w:type="dxa"/>
          </w:tcPr>
          <w:p w:rsidR="00BA4B87" w:rsidRPr="00D6191E" w:rsidRDefault="00BA4B87" w:rsidP="000449FE">
            <w:pPr>
              <w:widowControl/>
              <w:snapToGrid w:val="0"/>
              <w:spacing w:line="360" w:lineRule="auto"/>
              <w:jc w:val="center"/>
              <w:rPr>
                <w:rFonts w:asciiTheme="minorEastAsia" w:eastAsiaTheme="minorEastAsia" w:hAnsiTheme="minorEastAsia" w:cs="宋体"/>
                <w:b/>
                <w:kern w:val="0"/>
                <w:szCs w:val="21"/>
              </w:rPr>
            </w:pPr>
            <w:r w:rsidRPr="00D6191E">
              <w:rPr>
                <w:rFonts w:asciiTheme="minorEastAsia" w:eastAsiaTheme="minorEastAsia" w:hAnsiTheme="minorEastAsia" w:cs="宋体" w:hint="eastAsia"/>
                <w:b/>
                <w:kern w:val="0"/>
                <w:szCs w:val="21"/>
              </w:rPr>
              <w:t>持有时间(天)</w:t>
            </w:r>
          </w:p>
        </w:tc>
        <w:tc>
          <w:tcPr>
            <w:tcW w:w="3798" w:type="dxa"/>
          </w:tcPr>
          <w:p w:rsidR="00BA4B87" w:rsidRPr="00D6191E" w:rsidRDefault="00BA4B87" w:rsidP="000449FE">
            <w:pPr>
              <w:widowControl/>
              <w:snapToGrid w:val="0"/>
              <w:spacing w:line="360" w:lineRule="auto"/>
              <w:jc w:val="center"/>
              <w:rPr>
                <w:rFonts w:asciiTheme="minorEastAsia" w:eastAsiaTheme="minorEastAsia" w:hAnsiTheme="minorEastAsia" w:cs="宋体"/>
                <w:b/>
                <w:kern w:val="0"/>
                <w:szCs w:val="21"/>
              </w:rPr>
            </w:pPr>
            <w:r w:rsidRPr="00D6191E">
              <w:rPr>
                <w:rFonts w:asciiTheme="minorEastAsia" w:eastAsiaTheme="minorEastAsia" w:hAnsiTheme="minorEastAsia" w:cs="宋体" w:hint="eastAsia"/>
                <w:b/>
                <w:kern w:val="0"/>
                <w:szCs w:val="21"/>
              </w:rPr>
              <w:t>C类基金份额赎回费率</w:t>
            </w:r>
          </w:p>
        </w:tc>
      </w:tr>
      <w:tr w:rsidR="00D6191E" w:rsidRPr="00D6191E" w:rsidTr="00BA4B87">
        <w:trPr>
          <w:jc w:val="center"/>
        </w:trPr>
        <w:tc>
          <w:tcPr>
            <w:tcW w:w="3870" w:type="dxa"/>
          </w:tcPr>
          <w:p w:rsidR="000C4AA3" w:rsidRPr="00D6191E" w:rsidRDefault="000C4AA3"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0</w:t>
            </w:r>
            <w:r w:rsidRPr="00D6191E">
              <w:rPr>
                <w:rFonts w:asciiTheme="minorEastAsia" w:eastAsiaTheme="minorEastAsia" w:hAnsiTheme="minorEastAsia" w:cs="宋体"/>
                <w:kern w:val="0"/>
                <w:szCs w:val="21"/>
              </w:rPr>
              <w:t>-6</w:t>
            </w:r>
          </w:p>
        </w:tc>
        <w:tc>
          <w:tcPr>
            <w:tcW w:w="3798" w:type="dxa"/>
          </w:tcPr>
          <w:p w:rsidR="000C4AA3" w:rsidRPr="00D6191E" w:rsidRDefault="000C4AA3"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1</w:t>
            </w:r>
            <w:r w:rsidRPr="00D6191E">
              <w:rPr>
                <w:rFonts w:asciiTheme="minorEastAsia" w:eastAsiaTheme="minorEastAsia" w:hAnsiTheme="minorEastAsia" w:cs="宋体"/>
                <w:kern w:val="0"/>
                <w:szCs w:val="21"/>
              </w:rPr>
              <w:t>.5%</w:t>
            </w:r>
          </w:p>
        </w:tc>
      </w:tr>
      <w:tr w:rsidR="00D6191E" w:rsidRPr="00D6191E" w:rsidTr="00BA4B87">
        <w:trPr>
          <w:jc w:val="center"/>
        </w:trPr>
        <w:tc>
          <w:tcPr>
            <w:tcW w:w="3870" w:type="dxa"/>
          </w:tcPr>
          <w:p w:rsidR="00BA4B87" w:rsidRPr="00D6191E" w:rsidRDefault="000C4AA3"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kern w:val="0"/>
                <w:szCs w:val="21"/>
              </w:rPr>
              <w:t>7</w:t>
            </w:r>
            <w:r w:rsidR="00BA4B87" w:rsidRPr="00D6191E">
              <w:rPr>
                <w:rFonts w:asciiTheme="minorEastAsia" w:eastAsiaTheme="minorEastAsia" w:hAnsiTheme="minorEastAsia" w:cs="宋体" w:hint="eastAsia"/>
                <w:kern w:val="0"/>
                <w:szCs w:val="21"/>
              </w:rPr>
              <w:t>-29</w:t>
            </w:r>
          </w:p>
        </w:tc>
        <w:tc>
          <w:tcPr>
            <w:tcW w:w="3798" w:type="dxa"/>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0.75%</w:t>
            </w:r>
          </w:p>
        </w:tc>
      </w:tr>
      <w:tr w:rsidR="00D6191E" w:rsidRPr="00D6191E" w:rsidTr="00BA4B87">
        <w:trPr>
          <w:jc w:val="center"/>
        </w:trPr>
        <w:tc>
          <w:tcPr>
            <w:tcW w:w="3870" w:type="dxa"/>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30及以上</w:t>
            </w:r>
          </w:p>
        </w:tc>
        <w:tc>
          <w:tcPr>
            <w:tcW w:w="3798" w:type="dxa"/>
          </w:tcPr>
          <w:p w:rsidR="00BA4B87" w:rsidRPr="00D6191E" w:rsidRDefault="00BA4B87" w:rsidP="000449FE">
            <w:pPr>
              <w:widowControl/>
              <w:snapToGrid w:val="0"/>
              <w:spacing w:line="360" w:lineRule="auto"/>
              <w:jc w:val="center"/>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0%</w:t>
            </w:r>
          </w:p>
        </w:tc>
      </w:tr>
    </w:tbl>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投资者可将其持有的全部或部分基金份额赎回。本基金的赎回费用在投资者赎回本基金份额时收取。对于持有期不少于30日的A类份额所收取的赎回费，在扣除用于市场推广、注册登记费和其他手续费后的余额归基金财产，赎回费归入基金财产的比例为赎回费总额的25%。对于持有期限少于30日的A类/C类基金份额所收取的赎回费，全额计入基金财产。</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w:t>
      </w:r>
      <w:r w:rsidR="00BA4B87" w:rsidRPr="00D6191E">
        <w:rPr>
          <w:rFonts w:asciiTheme="minorEastAsia" w:eastAsiaTheme="minorEastAsia" w:hAnsiTheme="minorEastAsia" w:hint="eastAsia"/>
          <w:szCs w:val="21"/>
        </w:rPr>
        <w:t>基金管理人可以在基金合同规定的范围内调整申购费率和赎回费率，调整后的申购费率和赎回费率在《更新的招募说明书》中列示。上述费率如发生变更，基金管理人最迟应于新的费率或收费方式实施日前依照《信息披露办法》的有关规定在</w:t>
      </w:r>
      <w:r w:rsidR="00F44B20" w:rsidRPr="00D6191E">
        <w:rPr>
          <w:rFonts w:asciiTheme="minorEastAsia" w:eastAsiaTheme="minorEastAsia" w:hAnsiTheme="minorEastAsia" w:hint="eastAsia"/>
          <w:szCs w:val="21"/>
        </w:rPr>
        <w:t>指定媒介</w:t>
      </w:r>
      <w:r w:rsidR="00BA4B87" w:rsidRPr="00D6191E">
        <w:rPr>
          <w:rFonts w:asciiTheme="minorEastAsia" w:eastAsiaTheme="minorEastAsia" w:hAnsiTheme="minorEastAsia" w:hint="eastAsia"/>
          <w:szCs w:val="21"/>
        </w:rPr>
        <w:t>上公告。</w:t>
      </w:r>
    </w:p>
    <w:p w:rsidR="00BA4B87" w:rsidRPr="00D6191E" w:rsidRDefault="0036702D"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37108E"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27" w:name="_Toc86315853"/>
      <w:r w:rsidRPr="00D6191E">
        <w:rPr>
          <w:rFonts w:asciiTheme="minorEastAsia" w:eastAsiaTheme="minorEastAsia" w:hAnsiTheme="minorEastAsia" w:hint="eastAsia"/>
          <w:b w:val="0"/>
          <w:bCs/>
        </w:rPr>
        <w:lastRenderedPageBreak/>
        <w:t>(</w:t>
      </w:r>
      <w:r w:rsidR="00E5728E" w:rsidRPr="00D6191E">
        <w:rPr>
          <w:rFonts w:asciiTheme="minorEastAsia" w:eastAsiaTheme="minorEastAsia" w:hAnsiTheme="minorEastAsia" w:hint="eastAsia"/>
          <w:b w:val="0"/>
          <w:bCs/>
        </w:rPr>
        <w:t>八</w:t>
      </w:r>
      <w:r w:rsidRPr="00D6191E">
        <w:rPr>
          <w:rFonts w:asciiTheme="minorEastAsia" w:eastAsiaTheme="minorEastAsia" w:hAnsiTheme="minorEastAsia" w:hint="eastAsia"/>
          <w:b w:val="0"/>
          <w:bCs/>
        </w:rPr>
        <w:t>)申购和赎回的数额和价格</w:t>
      </w:r>
      <w:bookmarkEnd w:id="27"/>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hint="eastAsia"/>
          <w:szCs w:val="21"/>
        </w:rPr>
        <w:t>申购和赎回数额、余额的处理方式</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rsidR="00BA4B87" w:rsidRPr="00D6191E" w:rsidRDefault="00200D60" w:rsidP="003B4E4D">
      <w:pPr>
        <w:ind w:firstLineChars="200" w:firstLine="420"/>
        <w:rPr>
          <w:rFonts w:asciiTheme="minorEastAsia" w:eastAsiaTheme="minorEastAsia" w:hAnsiTheme="minorEastAsia"/>
        </w:rPr>
      </w:pPr>
      <w:r w:rsidRPr="00D6191E">
        <w:rPr>
          <w:rFonts w:asciiTheme="minorEastAsia" w:eastAsiaTheme="minorEastAsia" w:hAnsiTheme="minorEastAsia" w:hint="eastAsia"/>
        </w:rPr>
        <w:t>2、</w:t>
      </w:r>
      <w:r w:rsidR="00BA4B87" w:rsidRPr="00D6191E">
        <w:rPr>
          <w:rFonts w:asciiTheme="minorEastAsia" w:eastAsiaTheme="minorEastAsia" w:hAnsiTheme="minorEastAsia" w:hint="eastAsia"/>
        </w:rPr>
        <w:t>申购份额的计算</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(1)若投资者选择A类基金份额，则申购份额的计算公式如下：</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净申购金额=申购金额/(1+申购费率)</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(注：对于1000万(含)以上适用固定金额申购费的申购，净申购金额＝申购金额－固定申购费金额)</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申购费用=申购金额-净申购金额</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申购份额=净申购金额/T日基金份额净值</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rPr>
        <w:t>例</w:t>
      </w:r>
      <w:r w:rsidR="00522488" w:rsidRPr="00D6191E">
        <w:rPr>
          <w:rFonts w:asciiTheme="minorEastAsia" w:eastAsiaTheme="minorEastAsia" w:hAnsiTheme="minorEastAsia" w:hint="eastAsia"/>
        </w:rPr>
        <w:t>一</w:t>
      </w:r>
      <w:r w:rsidRPr="00D6191E">
        <w:rPr>
          <w:rFonts w:asciiTheme="minorEastAsia" w:eastAsiaTheme="minorEastAsia" w:hAnsiTheme="minorEastAsia" w:hint="eastAsia"/>
        </w:rPr>
        <w:t>：某投资人(非</w:t>
      </w:r>
      <w:r w:rsidR="00083C25" w:rsidRPr="00D6191E">
        <w:rPr>
          <w:rFonts w:asciiTheme="minorEastAsia" w:eastAsiaTheme="minorEastAsia" w:hAnsiTheme="minorEastAsia" w:hint="eastAsia"/>
        </w:rPr>
        <w:t>特定投资群体</w:t>
      </w:r>
      <w:r w:rsidRPr="00D6191E">
        <w:rPr>
          <w:rFonts w:asciiTheme="minorEastAsia" w:eastAsiaTheme="minorEastAsia" w:hAnsiTheme="minorEastAsia" w:hint="eastAsia"/>
        </w:rPr>
        <w:t>)投资4万元申购本基金A类份额，申购费率为0.8%，</w:t>
      </w:r>
      <w:r w:rsidRPr="00D6191E">
        <w:rPr>
          <w:rFonts w:asciiTheme="minorEastAsia" w:eastAsiaTheme="minorEastAsia" w:hAnsiTheme="minorEastAsia" w:hint="eastAsia"/>
          <w:szCs w:val="21"/>
        </w:rPr>
        <w:t>假设申购当日基金份额净值为1.040元，则其可得到的申购份额为：</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净申购金额=40,000/(1+0.8%)=39,682.54元</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申购费用=40,000-39,682.54=317.46元</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申购份额=39,682.54/1.040=38,156.29份</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例</w:t>
      </w:r>
      <w:r w:rsidR="00522488" w:rsidRPr="00D6191E">
        <w:rPr>
          <w:rFonts w:asciiTheme="minorEastAsia" w:eastAsiaTheme="minorEastAsia" w:hAnsiTheme="minorEastAsia" w:hint="eastAsia"/>
          <w:szCs w:val="21"/>
        </w:rPr>
        <w:t>二</w:t>
      </w:r>
      <w:r w:rsidRPr="00D6191E">
        <w:rPr>
          <w:rFonts w:asciiTheme="minorEastAsia" w:eastAsiaTheme="minorEastAsia" w:hAnsiTheme="minorEastAsia" w:hint="eastAsia"/>
          <w:szCs w:val="21"/>
        </w:rPr>
        <w:t>：某投资人(</w:t>
      </w:r>
      <w:r w:rsidR="00083C25" w:rsidRPr="00D6191E">
        <w:rPr>
          <w:rFonts w:asciiTheme="minorEastAsia" w:eastAsiaTheme="minorEastAsia" w:hAnsiTheme="minorEastAsia" w:hint="eastAsia"/>
          <w:szCs w:val="21"/>
        </w:rPr>
        <w:t>特定投资群体</w:t>
      </w:r>
      <w:r w:rsidRPr="00D6191E">
        <w:rPr>
          <w:rFonts w:asciiTheme="minorEastAsia" w:eastAsiaTheme="minorEastAsia" w:hAnsiTheme="minorEastAsia" w:hint="eastAsia"/>
          <w:szCs w:val="21"/>
        </w:rPr>
        <w:t>)通过本管理人的直销中心投资</w:t>
      </w:r>
      <w:r w:rsidR="00083C25" w:rsidRPr="00D6191E">
        <w:rPr>
          <w:rFonts w:asciiTheme="minorEastAsia" w:eastAsiaTheme="minorEastAsia" w:hAnsiTheme="minorEastAsia" w:hint="eastAsia"/>
          <w:szCs w:val="21"/>
        </w:rPr>
        <w:t>5</w:t>
      </w:r>
      <w:r w:rsidRPr="00D6191E">
        <w:rPr>
          <w:rFonts w:asciiTheme="minorEastAsia" w:eastAsiaTheme="minorEastAsia" w:hAnsiTheme="minorEastAsia" w:hint="eastAsia"/>
          <w:szCs w:val="21"/>
        </w:rPr>
        <w:t>万元申购本基金A类份额，申购费率为0.</w:t>
      </w:r>
      <w:r w:rsidR="00083C25" w:rsidRPr="00D6191E">
        <w:rPr>
          <w:rFonts w:asciiTheme="minorEastAsia" w:eastAsiaTheme="minorEastAsia" w:hAnsiTheme="minorEastAsia" w:hint="eastAsia"/>
          <w:szCs w:val="21"/>
        </w:rPr>
        <w:t>08</w:t>
      </w:r>
      <w:r w:rsidRPr="00D6191E">
        <w:rPr>
          <w:rFonts w:asciiTheme="minorEastAsia" w:eastAsiaTheme="minorEastAsia" w:hAnsiTheme="minorEastAsia" w:hint="eastAsia"/>
          <w:szCs w:val="21"/>
        </w:rPr>
        <w:t>%，假设申购当日基金份额净值为1.040元，则其可得到的申购份额为：</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净申购金额=</w:t>
      </w:r>
      <w:r w:rsidR="00083C25" w:rsidRPr="00D6191E">
        <w:rPr>
          <w:rFonts w:asciiTheme="minorEastAsia" w:eastAsiaTheme="minorEastAsia" w:hAnsiTheme="minorEastAsia" w:hint="eastAsia"/>
          <w:szCs w:val="21"/>
        </w:rPr>
        <w:t>5</w:t>
      </w:r>
      <w:r w:rsidRPr="00D6191E">
        <w:rPr>
          <w:rFonts w:asciiTheme="minorEastAsia" w:eastAsiaTheme="minorEastAsia" w:hAnsiTheme="minorEastAsia" w:hint="eastAsia"/>
          <w:szCs w:val="21"/>
        </w:rPr>
        <w:t>0,000/(1+0.</w:t>
      </w:r>
      <w:r w:rsidR="00083C25" w:rsidRPr="00D6191E">
        <w:rPr>
          <w:rFonts w:asciiTheme="minorEastAsia" w:eastAsiaTheme="minorEastAsia" w:hAnsiTheme="minorEastAsia" w:hint="eastAsia"/>
          <w:szCs w:val="21"/>
        </w:rPr>
        <w:t>08</w:t>
      </w:r>
      <w:r w:rsidRPr="00D6191E">
        <w:rPr>
          <w:rFonts w:asciiTheme="minorEastAsia" w:eastAsiaTheme="minorEastAsia" w:hAnsiTheme="minorEastAsia" w:hint="eastAsia"/>
          <w:szCs w:val="21"/>
        </w:rPr>
        <w:t>%)=</w:t>
      </w:r>
      <w:r w:rsidR="00083C25" w:rsidRPr="00D6191E">
        <w:rPr>
          <w:rFonts w:asciiTheme="minorEastAsia" w:eastAsiaTheme="minorEastAsia" w:hAnsiTheme="minorEastAsia" w:hint="eastAsia"/>
          <w:szCs w:val="21"/>
        </w:rPr>
        <w:t>49</w:t>
      </w:r>
      <w:r w:rsidRPr="00D6191E">
        <w:rPr>
          <w:rFonts w:asciiTheme="minorEastAsia" w:eastAsiaTheme="minorEastAsia" w:hAnsiTheme="minorEastAsia" w:hint="eastAsia"/>
          <w:szCs w:val="21"/>
        </w:rPr>
        <w:t>,</w:t>
      </w:r>
      <w:r w:rsidR="00083C25" w:rsidRPr="00D6191E">
        <w:rPr>
          <w:rFonts w:asciiTheme="minorEastAsia" w:eastAsiaTheme="minorEastAsia" w:hAnsiTheme="minorEastAsia" w:hint="eastAsia"/>
          <w:szCs w:val="21"/>
        </w:rPr>
        <w:t>960</w:t>
      </w:r>
      <w:r w:rsidRPr="00D6191E">
        <w:rPr>
          <w:rFonts w:asciiTheme="minorEastAsia" w:eastAsiaTheme="minorEastAsia" w:hAnsiTheme="minorEastAsia" w:hint="eastAsia"/>
          <w:szCs w:val="21"/>
        </w:rPr>
        <w:t>.</w:t>
      </w:r>
      <w:r w:rsidR="00083C25" w:rsidRPr="00D6191E">
        <w:rPr>
          <w:rFonts w:asciiTheme="minorEastAsia" w:eastAsiaTheme="minorEastAsia" w:hAnsiTheme="minorEastAsia" w:hint="eastAsia"/>
          <w:szCs w:val="21"/>
        </w:rPr>
        <w:t>03</w:t>
      </w:r>
      <w:r w:rsidRPr="00D6191E">
        <w:rPr>
          <w:rFonts w:asciiTheme="minorEastAsia" w:eastAsiaTheme="minorEastAsia" w:hAnsiTheme="minorEastAsia" w:hint="eastAsia"/>
          <w:szCs w:val="21"/>
        </w:rPr>
        <w:t>元</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申购费用=</w:t>
      </w:r>
      <w:r w:rsidR="00083C25" w:rsidRPr="00D6191E">
        <w:rPr>
          <w:rFonts w:asciiTheme="minorEastAsia" w:eastAsiaTheme="minorEastAsia" w:hAnsiTheme="minorEastAsia" w:hint="eastAsia"/>
          <w:szCs w:val="21"/>
        </w:rPr>
        <w:t>5</w:t>
      </w:r>
      <w:r w:rsidRPr="00D6191E">
        <w:rPr>
          <w:rFonts w:asciiTheme="minorEastAsia" w:eastAsiaTheme="minorEastAsia" w:hAnsiTheme="minorEastAsia" w:hint="eastAsia"/>
          <w:szCs w:val="21"/>
        </w:rPr>
        <w:t>0,000-</w:t>
      </w:r>
      <w:r w:rsidR="00083C25" w:rsidRPr="00D6191E">
        <w:rPr>
          <w:rFonts w:asciiTheme="minorEastAsia" w:eastAsiaTheme="minorEastAsia" w:hAnsiTheme="minorEastAsia" w:hint="eastAsia"/>
          <w:szCs w:val="21"/>
        </w:rPr>
        <w:t>49,960.03</w:t>
      </w:r>
      <w:r w:rsidRPr="00D6191E">
        <w:rPr>
          <w:rFonts w:asciiTheme="minorEastAsia" w:eastAsiaTheme="minorEastAsia" w:hAnsiTheme="minorEastAsia" w:hint="eastAsia"/>
          <w:szCs w:val="21"/>
        </w:rPr>
        <w:t>=</w:t>
      </w:r>
      <w:r w:rsidR="00083C25" w:rsidRPr="00D6191E">
        <w:rPr>
          <w:rFonts w:asciiTheme="minorEastAsia" w:eastAsiaTheme="minorEastAsia" w:hAnsiTheme="minorEastAsia" w:hint="eastAsia"/>
          <w:szCs w:val="21"/>
        </w:rPr>
        <w:t>39</w:t>
      </w:r>
      <w:r w:rsidRPr="00D6191E">
        <w:rPr>
          <w:rFonts w:asciiTheme="minorEastAsia" w:eastAsiaTheme="minorEastAsia" w:hAnsiTheme="minorEastAsia" w:hint="eastAsia"/>
          <w:szCs w:val="21"/>
        </w:rPr>
        <w:t>.</w:t>
      </w:r>
      <w:r w:rsidR="00083C25" w:rsidRPr="00D6191E">
        <w:rPr>
          <w:rFonts w:asciiTheme="minorEastAsia" w:eastAsiaTheme="minorEastAsia" w:hAnsiTheme="minorEastAsia" w:hint="eastAsia"/>
          <w:szCs w:val="21"/>
        </w:rPr>
        <w:t>97</w:t>
      </w:r>
      <w:r w:rsidRPr="00D6191E">
        <w:rPr>
          <w:rFonts w:asciiTheme="minorEastAsia" w:eastAsiaTheme="minorEastAsia" w:hAnsiTheme="minorEastAsia" w:hint="eastAsia"/>
          <w:szCs w:val="21"/>
        </w:rPr>
        <w:t>元</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申购份额=</w:t>
      </w:r>
      <w:r w:rsidR="00083C25" w:rsidRPr="00D6191E">
        <w:rPr>
          <w:rFonts w:asciiTheme="minorEastAsia" w:eastAsiaTheme="minorEastAsia" w:hAnsiTheme="minorEastAsia" w:hint="eastAsia"/>
          <w:szCs w:val="21"/>
        </w:rPr>
        <w:t>49,960.03</w:t>
      </w:r>
      <w:r w:rsidRPr="00D6191E">
        <w:rPr>
          <w:rFonts w:asciiTheme="minorEastAsia" w:eastAsiaTheme="minorEastAsia" w:hAnsiTheme="minorEastAsia" w:hint="eastAsia"/>
          <w:szCs w:val="21"/>
        </w:rPr>
        <w:t>/1.040=</w:t>
      </w:r>
      <w:r w:rsidR="00083C25" w:rsidRPr="00D6191E">
        <w:rPr>
          <w:rFonts w:asciiTheme="minorEastAsia" w:eastAsiaTheme="minorEastAsia" w:hAnsiTheme="minorEastAsia" w:hint="eastAsia"/>
          <w:szCs w:val="21"/>
        </w:rPr>
        <w:t>48</w:t>
      </w:r>
      <w:r w:rsidRPr="00D6191E">
        <w:rPr>
          <w:rFonts w:asciiTheme="minorEastAsia" w:eastAsiaTheme="minorEastAsia" w:hAnsiTheme="minorEastAsia" w:hint="eastAsia"/>
          <w:szCs w:val="21"/>
        </w:rPr>
        <w:t>,</w:t>
      </w:r>
      <w:r w:rsidR="00083C25" w:rsidRPr="00D6191E">
        <w:rPr>
          <w:rFonts w:asciiTheme="minorEastAsia" w:eastAsiaTheme="minorEastAsia" w:hAnsiTheme="minorEastAsia" w:hint="eastAsia"/>
          <w:szCs w:val="21"/>
        </w:rPr>
        <w:t>0</w:t>
      </w:r>
      <w:r w:rsidRPr="00D6191E">
        <w:rPr>
          <w:rFonts w:asciiTheme="minorEastAsia" w:eastAsiaTheme="minorEastAsia" w:hAnsiTheme="minorEastAsia" w:hint="eastAsia"/>
          <w:szCs w:val="21"/>
        </w:rPr>
        <w:t>38.</w:t>
      </w:r>
      <w:r w:rsidR="00083C25" w:rsidRPr="00D6191E">
        <w:rPr>
          <w:rFonts w:asciiTheme="minorEastAsia" w:eastAsiaTheme="minorEastAsia" w:hAnsiTheme="minorEastAsia" w:hint="eastAsia"/>
          <w:szCs w:val="21"/>
        </w:rPr>
        <w:t>49</w:t>
      </w:r>
      <w:r w:rsidRPr="00D6191E">
        <w:rPr>
          <w:rFonts w:asciiTheme="minorEastAsia" w:eastAsiaTheme="minorEastAsia" w:hAnsiTheme="minorEastAsia" w:hint="eastAsia"/>
          <w:szCs w:val="21"/>
        </w:rPr>
        <w:t>份</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(2)若投资者选择C类基金份额，则申购份额的计算公式如下：</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申购份额=申购金额/T日基金份额净值</w:t>
      </w:r>
    </w:p>
    <w:p w:rsidR="00BA4B87" w:rsidRPr="00D6191E" w:rsidRDefault="000C4AA3"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例三</w:t>
      </w:r>
      <w:r w:rsidR="00BA4B87" w:rsidRPr="00D6191E">
        <w:rPr>
          <w:rFonts w:asciiTheme="minorEastAsia" w:eastAsiaTheme="minorEastAsia" w:hAnsiTheme="minorEastAsia" w:hint="eastAsia"/>
          <w:szCs w:val="21"/>
        </w:rPr>
        <w:t>：某投资人投资4万元申购本基金C类基金份额，假设申购当日基金份额净值为1.040元，则其可得到的申购份额为：</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申购份额=40,000.00/1.040=38,461.54份</w:t>
      </w:r>
    </w:p>
    <w:p w:rsidR="00BA4B87" w:rsidRPr="00D6191E" w:rsidRDefault="00200D60"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3、</w:t>
      </w:r>
      <w:r w:rsidR="00BA4B87" w:rsidRPr="00D6191E">
        <w:rPr>
          <w:rFonts w:asciiTheme="minorEastAsia" w:eastAsiaTheme="minorEastAsia" w:hAnsiTheme="minorEastAsia" w:hint="eastAsia"/>
        </w:rPr>
        <w:t>赎回金额的计算</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赎回金额的计算方法如下：</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赎回费用=赎回份额×T日基金份额净值×赎回费率</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赎回金额=赎回份额×T日基金份额净值-赎回费用</w:t>
      </w:r>
    </w:p>
    <w:p w:rsidR="00BA4B87" w:rsidRPr="00D6191E" w:rsidRDefault="000C4AA3"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lastRenderedPageBreak/>
        <w:t>例四</w:t>
      </w:r>
      <w:r w:rsidR="00BA4B87" w:rsidRPr="00D6191E">
        <w:rPr>
          <w:rFonts w:asciiTheme="minorEastAsia" w:eastAsiaTheme="minorEastAsia" w:hAnsiTheme="minorEastAsia" w:hint="eastAsia"/>
          <w:szCs w:val="21"/>
        </w:rPr>
        <w:t>：某投资人赎回1万份A类基金份额，假设该笔份额持有期限为100天，则对应的赎回费率为0.1%，假设赎回当日基金份额净值是1.016元，则其可得到的赎回金额为：</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赎回费用=10,000×1.016×0.1%＝10.16元</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赎回金额=10,000×1.016-10.16＝10,149.84元</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即：投资人赎回本基金1万份A类基金份额，假设赎回当日基金份额净值是1.016元，则其可得到的赎回金额为10,149.84元。</w:t>
      </w:r>
    </w:p>
    <w:p w:rsidR="000C4AA3" w:rsidRPr="00D6191E" w:rsidRDefault="000C4AA3" w:rsidP="000C4AA3">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例五：某投资人赎回1万份A类基金份额，假设该笔份额持有期限为</w:t>
      </w:r>
      <w:r w:rsidRPr="00D6191E">
        <w:rPr>
          <w:rFonts w:asciiTheme="minorEastAsia" w:eastAsiaTheme="minorEastAsia" w:hAnsiTheme="minorEastAsia"/>
          <w:szCs w:val="21"/>
        </w:rPr>
        <w:t>6</w:t>
      </w:r>
      <w:r w:rsidRPr="00D6191E">
        <w:rPr>
          <w:rFonts w:asciiTheme="minorEastAsia" w:eastAsiaTheme="minorEastAsia" w:hAnsiTheme="minorEastAsia" w:hint="eastAsia"/>
          <w:szCs w:val="21"/>
        </w:rPr>
        <w:t>天，则对应的赎回费率为</w:t>
      </w:r>
      <w:r w:rsidRPr="00D6191E">
        <w:rPr>
          <w:rFonts w:asciiTheme="minorEastAsia" w:eastAsiaTheme="minorEastAsia" w:hAnsiTheme="minorEastAsia"/>
          <w:szCs w:val="21"/>
        </w:rPr>
        <w:t>1.5</w:t>
      </w:r>
      <w:r w:rsidRPr="00D6191E">
        <w:rPr>
          <w:rFonts w:asciiTheme="minorEastAsia" w:eastAsiaTheme="minorEastAsia" w:hAnsiTheme="minorEastAsia" w:hint="eastAsia"/>
          <w:szCs w:val="21"/>
        </w:rPr>
        <w:t>%，假设赎回当日基金份额净值是1.016元，则其可得到的赎回金额为：</w:t>
      </w:r>
    </w:p>
    <w:p w:rsidR="000C4AA3" w:rsidRPr="00D6191E" w:rsidRDefault="000C4AA3" w:rsidP="000C4AA3">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赎回费用=10,000×1.016×</w:t>
      </w:r>
      <w:r w:rsidRPr="00D6191E">
        <w:rPr>
          <w:rFonts w:asciiTheme="minorEastAsia" w:eastAsiaTheme="minorEastAsia" w:hAnsiTheme="minorEastAsia"/>
          <w:szCs w:val="21"/>
        </w:rPr>
        <w:t>1.5</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152.40</w:t>
      </w:r>
      <w:r w:rsidRPr="00D6191E">
        <w:rPr>
          <w:rFonts w:asciiTheme="minorEastAsia" w:eastAsiaTheme="minorEastAsia" w:hAnsiTheme="minorEastAsia" w:hint="eastAsia"/>
          <w:szCs w:val="21"/>
        </w:rPr>
        <w:t>元</w:t>
      </w:r>
    </w:p>
    <w:p w:rsidR="000C4AA3" w:rsidRPr="00D6191E" w:rsidRDefault="000C4AA3" w:rsidP="000C4AA3">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赎回金额=10,000×1.016-</w:t>
      </w:r>
      <w:r w:rsidRPr="00D6191E">
        <w:rPr>
          <w:rFonts w:asciiTheme="minorEastAsia" w:eastAsiaTheme="minorEastAsia" w:hAnsiTheme="minorEastAsia"/>
          <w:szCs w:val="21"/>
        </w:rPr>
        <w:t>152.40</w:t>
      </w:r>
      <w:r w:rsidRPr="00D6191E">
        <w:rPr>
          <w:rFonts w:asciiTheme="minorEastAsia" w:eastAsiaTheme="minorEastAsia" w:hAnsiTheme="minorEastAsia" w:hint="eastAsia"/>
          <w:szCs w:val="21"/>
        </w:rPr>
        <w:t>＝10,</w:t>
      </w:r>
      <w:r w:rsidRPr="00D6191E">
        <w:rPr>
          <w:rFonts w:asciiTheme="minorEastAsia" w:eastAsiaTheme="minorEastAsia" w:hAnsiTheme="minorEastAsia"/>
          <w:szCs w:val="21"/>
        </w:rPr>
        <w:t>007</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60</w:t>
      </w:r>
      <w:r w:rsidRPr="00D6191E">
        <w:rPr>
          <w:rFonts w:asciiTheme="minorEastAsia" w:eastAsiaTheme="minorEastAsia" w:hAnsiTheme="minorEastAsia" w:hint="eastAsia"/>
          <w:szCs w:val="21"/>
        </w:rPr>
        <w:t>元</w:t>
      </w:r>
    </w:p>
    <w:p w:rsidR="000C4AA3" w:rsidRPr="00D6191E" w:rsidRDefault="000C4AA3" w:rsidP="000C4AA3">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即：投资人赎回本基金1万份A类基金份额，假设赎回当日基金份额净值是1.016元，则其可得到的赎回金额为10,</w:t>
      </w:r>
      <w:r w:rsidRPr="00D6191E">
        <w:rPr>
          <w:rFonts w:asciiTheme="minorEastAsia" w:eastAsiaTheme="minorEastAsia" w:hAnsiTheme="minorEastAsia"/>
          <w:szCs w:val="21"/>
        </w:rPr>
        <w:t>007</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60</w:t>
      </w:r>
      <w:r w:rsidRPr="00D6191E">
        <w:rPr>
          <w:rFonts w:asciiTheme="minorEastAsia" w:eastAsiaTheme="minorEastAsia" w:hAnsiTheme="minorEastAsia" w:hint="eastAsia"/>
          <w:szCs w:val="21"/>
        </w:rPr>
        <w:t>元。</w:t>
      </w:r>
    </w:p>
    <w:p w:rsidR="00BA4B87" w:rsidRPr="00D6191E" w:rsidRDefault="000C4AA3"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例六</w:t>
      </w:r>
      <w:r w:rsidR="00BA4B87" w:rsidRPr="00D6191E">
        <w:rPr>
          <w:rFonts w:asciiTheme="minorEastAsia" w:eastAsiaTheme="minorEastAsia" w:hAnsiTheme="minorEastAsia" w:hint="eastAsia"/>
          <w:szCs w:val="21"/>
        </w:rPr>
        <w:t>：某投资人赎回1万份C类基金份额，假设该笔份额持有期限为10天，则对应的赎回费率为0.75%，假设赎回当日基金份额净值是1.016元，则其可得到的赎回金额为：</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赎回费用=10,000×1.016×0.75%＝76.20元</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赎回金额=10,000×1.016-76.20＝10,083.80元</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即：投资人赎回本基金1万份C类基金份额，假设赎回当日基金份额净值是1.016元，则其可得到的赎回金额为10,083.80元。</w:t>
      </w:r>
    </w:p>
    <w:p w:rsidR="000C4AA3" w:rsidRPr="00D6191E" w:rsidRDefault="000C4AA3" w:rsidP="000C4AA3">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例七：某投资人赎回1万份</w:t>
      </w:r>
      <w:r w:rsidRPr="00D6191E">
        <w:rPr>
          <w:rFonts w:asciiTheme="minorEastAsia" w:eastAsiaTheme="minorEastAsia" w:hAnsiTheme="minorEastAsia"/>
          <w:szCs w:val="21"/>
        </w:rPr>
        <w:t>C</w:t>
      </w:r>
      <w:r w:rsidRPr="00D6191E">
        <w:rPr>
          <w:rFonts w:asciiTheme="minorEastAsia" w:eastAsiaTheme="minorEastAsia" w:hAnsiTheme="minorEastAsia" w:hint="eastAsia"/>
          <w:szCs w:val="21"/>
        </w:rPr>
        <w:t>类基金份额，假设该笔份额持有期限为</w:t>
      </w:r>
      <w:r w:rsidRPr="00D6191E">
        <w:rPr>
          <w:rFonts w:asciiTheme="minorEastAsia" w:eastAsiaTheme="minorEastAsia" w:hAnsiTheme="minorEastAsia"/>
          <w:szCs w:val="21"/>
        </w:rPr>
        <w:t>6</w:t>
      </w:r>
      <w:r w:rsidRPr="00D6191E">
        <w:rPr>
          <w:rFonts w:asciiTheme="minorEastAsia" w:eastAsiaTheme="minorEastAsia" w:hAnsiTheme="minorEastAsia" w:hint="eastAsia"/>
          <w:szCs w:val="21"/>
        </w:rPr>
        <w:t>天，则对应的赎回费率为</w:t>
      </w:r>
      <w:r w:rsidRPr="00D6191E">
        <w:rPr>
          <w:rFonts w:asciiTheme="minorEastAsia" w:eastAsiaTheme="minorEastAsia" w:hAnsiTheme="minorEastAsia"/>
          <w:szCs w:val="21"/>
        </w:rPr>
        <w:t>1.5</w:t>
      </w:r>
      <w:r w:rsidRPr="00D6191E">
        <w:rPr>
          <w:rFonts w:asciiTheme="minorEastAsia" w:eastAsiaTheme="minorEastAsia" w:hAnsiTheme="minorEastAsia" w:hint="eastAsia"/>
          <w:szCs w:val="21"/>
        </w:rPr>
        <w:t>%，假设赎回当日基金份额净值是1.016元，则其可得到的赎回金额为：</w:t>
      </w:r>
    </w:p>
    <w:p w:rsidR="000C4AA3" w:rsidRPr="00D6191E" w:rsidRDefault="000C4AA3" w:rsidP="000C4AA3">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赎回费用=10,000×1.016×</w:t>
      </w:r>
      <w:r w:rsidRPr="00D6191E">
        <w:rPr>
          <w:rFonts w:asciiTheme="minorEastAsia" w:eastAsiaTheme="minorEastAsia" w:hAnsiTheme="minorEastAsia"/>
          <w:szCs w:val="21"/>
        </w:rPr>
        <w:t>1.5</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152.40</w:t>
      </w:r>
      <w:r w:rsidRPr="00D6191E">
        <w:rPr>
          <w:rFonts w:asciiTheme="minorEastAsia" w:eastAsiaTheme="minorEastAsia" w:hAnsiTheme="minorEastAsia" w:hint="eastAsia"/>
          <w:szCs w:val="21"/>
        </w:rPr>
        <w:t>元</w:t>
      </w:r>
    </w:p>
    <w:p w:rsidR="000C4AA3" w:rsidRPr="00D6191E" w:rsidRDefault="000C4AA3" w:rsidP="000C4AA3">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赎回金额=10,000×1.016-</w:t>
      </w:r>
      <w:r w:rsidRPr="00D6191E">
        <w:rPr>
          <w:rFonts w:asciiTheme="minorEastAsia" w:eastAsiaTheme="minorEastAsia" w:hAnsiTheme="minorEastAsia"/>
          <w:szCs w:val="21"/>
        </w:rPr>
        <w:t>152.40</w:t>
      </w:r>
      <w:r w:rsidRPr="00D6191E">
        <w:rPr>
          <w:rFonts w:asciiTheme="minorEastAsia" w:eastAsiaTheme="minorEastAsia" w:hAnsiTheme="minorEastAsia" w:hint="eastAsia"/>
          <w:szCs w:val="21"/>
        </w:rPr>
        <w:t>＝10,</w:t>
      </w:r>
      <w:r w:rsidRPr="00D6191E">
        <w:rPr>
          <w:rFonts w:asciiTheme="minorEastAsia" w:eastAsiaTheme="minorEastAsia" w:hAnsiTheme="minorEastAsia"/>
          <w:szCs w:val="21"/>
        </w:rPr>
        <w:t>007</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60</w:t>
      </w:r>
      <w:r w:rsidRPr="00D6191E">
        <w:rPr>
          <w:rFonts w:asciiTheme="minorEastAsia" w:eastAsiaTheme="minorEastAsia" w:hAnsiTheme="minorEastAsia" w:hint="eastAsia"/>
          <w:szCs w:val="21"/>
        </w:rPr>
        <w:t>元</w:t>
      </w:r>
    </w:p>
    <w:p w:rsidR="000C4AA3" w:rsidRPr="00D6191E" w:rsidRDefault="000C4AA3" w:rsidP="000C4AA3">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即：投资人赎回本基金1万份</w:t>
      </w:r>
      <w:r w:rsidRPr="00D6191E">
        <w:rPr>
          <w:rFonts w:asciiTheme="minorEastAsia" w:eastAsiaTheme="minorEastAsia" w:hAnsiTheme="minorEastAsia"/>
          <w:szCs w:val="21"/>
        </w:rPr>
        <w:t>C</w:t>
      </w:r>
      <w:r w:rsidRPr="00D6191E">
        <w:rPr>
          <w:rFonts w:asciiTheme="minorEastAsia" w:eastAsiaTheme="minorEastAsia" w:hAnsiTheme="minorEastAsia" w:hint="eastAsia"/>
          <w:szCs w:val="21"/>
        </w:rPr>
        <w:t>类基金份额，假设赎回当日基金份额净值是1.016元，则其可得到的赎回金额为10,</w:t>
      </w:r>
      <w:r w:rsidRPr="00D6191E">
        <w:rPr>
          <w:rFonts w:asciiTheme="minorEastAsia" w:eastAsiaTheme="minorEastAsia" w:hAnsiTheme="minorEastAsia"/>
          <w:szCs w:val="21"/>
        </w:rPr>
        <w:t>007</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60</w:t>
      </w:r>
      <w:r w:rsidRPr="00D6191E">
        <w:rPr>
          <w:rFonts w:asciiTheme="minorEastAsia" w:eastAsiaTheme="minorEastAsia" w:hAnsiTheme="minorEastAsia" w:hint="eastAsia"/>
          <w:szCs w:val="21"/>
        </w:rPr>
        <w:t>元。</w:t>
      </w:r>
    </w:p>
    <w:p w:rsidR="00BA4B87" w:rsidRPr="00D6191E" w:rsidRDefault="00200D60" w:rsidP="003B4E4D">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w:t>
      </w:r>
      <w:r w:rsidR="00BA4B87" w:rsidRPr="00D6191E">
        <w:rPr>
          <w:rFonts w:asciiTheme="minorEastAsia" w:eastAsiaTheme="minorEastAsia" w:hAnsiTheme="minorEastAsia" w:hint="eastAsia"/>
          <w:szCs w:val="21"/>
        </w:rPr>
        <w:t>基金份额净值的计算公式</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计算日该类基金份额净值=计算日该类基金资产净值/计算日该类基金总份额。</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本基金T日的基金份额净值在当天收市后计算，并在T＋1日公告。遇特殊情况，可以适当延迟计算或公告。</w:t>
      </w:r>
    </w:p>
    <w:p w:rsidR="0037108E"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28" w:name="_Toc86315854"/>
      <w:r w:rsidRPr="00D6191E">
        <w:rPr>
          <w:rFonts w:asciiTheme="minorEastAsia" w:eastAsiaTheme="minorEastAsia" w:hAnsiTheme="minorEastAsia" w:hint="eastAsia"/>
          <w:b w:val="0"/>
          <w:bCs/>
        </w:rPr>
        <w:t>(</w:t>
      </w:r>
      <w:r w:rsidR="00E5728E" w:rsidRPr="00D6191E">
        <w:rPr>
          <w:rFonts w:asciiTheme="minorEastAsia" w:eastAsiaTheme="minorEastAsia" w:hAnsiTheme="minorEastAsia" w:hint="eastAsia"/>
          <w:b w:val="0"/>
          <w:bCs/>
        </w:rPr>
        <w:t>九</w:t>
      </w:r>
      <w:r w:rsidRPr="00D6191E">
        <w:rPr>
          <w:rFonts w:asciiTheme="minorEastAsia" w:eastAsiaTheme="minorEastAsia" w:hAnsiTheme="minorEastAsia" w:hint="eastAsia"/>
          <w:b w:val="0"/>
          <w:bCs/>
        </w:rPr>
        <w:t>)申购与赎回的注册登记</w:t>
      </w:r>
      <w:bookmarkEnd w:id="28"/>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200D60" w:rsidRPr="00D6191E">
        <w:rPr>
          <w:rFonts w:asciiTheme="minorEastAsia" w:eastAsiaTheme="minorEastAsia" w:hAnsiTheme="minorEastAsia" w:hint="eastAsia"/>
          <w:szCs w:val="21"/>
        </w:rPr>
        <w:t>、</w:t>
      </w:r>
      <w:r w:rsidRPr="00D6191E">
        <w:rPr>
          <w:rFonts w:asciiTheme="minorEastAsia" w:eastAsiaTheme="minorEastAsia" w:hAnsiTheme="minorEastAsia" w:hint="eastAsia"/>
          <w:szCs w:val="21"/>
        </w:rPr>
        <w:t>投资人T日申购基金成功后，正常情况下，注册登记机构在T+1日为投资者增加权益并办理注册登记手续，投资人自T+2日起(含该日)有权赎回该部分基金份额。</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200D60" w:rsidRPr="00D6191E">
        <w:rPr>
          <w:rFonts w:asciiTheme="minorEastAsia" w:eastAsiaTheme="minorEastAsia" w:hAnsiTheme="minorEastAsia" w:hint="eastAsia"/>
          <w:szCs w:val="21"/>
        </w:rPr>
        <w:t>、</w:t>
      </w:r>
      <w:r w:rsidRPr="00D6191E">
        <w:rPr>
          <w:rFonts w:asciiTheme="minorEastAsia" w:eastAsiaTheme="minorEastAsia" w:hAnsiTheme="minorEastAsia" w:hint="eastAsia"/>
          <w:szCs w:val="21"/>
        </w:rPr>
        <w:t>投资人T日赎回基金成功后，正常情况下，注册登记机构在T+1日为投资人扣除权益并办理相应的注册登记手续。</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00200D60" w:rsidRPr="00D6191E">
        <w:rPr>
          <w:rFonts w:asciiTheme="minorEastAsia" w:eastAsiaTheme="minorEastAsia" w:hAnsiTheme="minorEastAsia" w:hint="eastAsia"/>
          <w:szCs w:val="21"/>
        </w:rPr>
        <w:t>、</w:t>
      </w:r>
      <w:r w:rsidRPr="00D6191E">
        <w:rPr>
          <w:rFonts w:asciiTheme="minorEastAsia" w:eastAsiaTheme="minorEastAsia" w:hAnsiTheme="minorEastAsia" w:hint="eastAsia"/>
          <w:szCs w:val="21"/>
        </w:rPr>
        <w:t>在法律法规允许的范围内，注册登记机构可对上述注册登记办理时间进行调整，本</w:t>
      </w:r>
      <w:r w:rsidRPr="00D6191E">
        <w:rPr>
          <w:rFonts w:asciiTheme="minorEastAsia" w:eastAsiaTheme="minorEastAsia" w:hAnsiTheme="minorEastAsia" w:hint="eastAsia"/>
          <w:szCs w:val="21"/>
        </w:rPr>
        <w:lastRenderedPageBreak/>
        <w:t>基金管理人将于该调整开始实施前依照《信息披露办法》的有关规定在</w:t>
      </w:r>
      <w:r w:rsidR="00F44B20" w:rsidRPr="00D6191E">
        <w:rPr>
          <w:rFonts w:asciiTheme="minorEastAsia" w:eastAsiaTheme="minorEastAsia" w:hAnsiTheme="minorEastAsia" w:hint="eastAsia"/>
          <w:szCs w:val="21"/>
        </w:rPr>
        <w:t>指定媒介</w:t>
      </w:r>
      <w:r w:rsidRPr="00D6191E">
        <w:rPr>
          <w:rFonts w:asciiTheme="minorEastAsia" w:eastAsiaTheme="minorEastAsia" w:hAnsiTheme="minorEastAsia" w:hint="eastAsia"/>
          <w:szCs w:val="21"/>
        </w:rPr>
        <w:t>上公告。</w:t>
      </w:r>
    </w:p>
    <w:p w:rsidR="0037108E"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29" w:name="_Toc86315855"/>
      <w:r w:rsidRPr="00D6191E">
        <w:rPr>
          <w:rFonts w:asciiTheme="minorEastAsia" w:eastAsiaTheme="minorEastAsia" w:hAnsiTheme="minorEastAsia" w:hint="eastAsia"/>
          <w:b w:val="0"/>
          <w:bCs/>
        </w:rPr>
        <w:t>(</w:t>
      </w:r>
      <w:r w:rsidR="00E5728E" w:rsidRPr="00D6191E">
        <w:rPr>
          <w:rFonts w:asciiTheme="minorEastAsia" w:eastAsiaTheme="minorEastAsia" w:hAnsiTheme="minorEastAsia" w:hint="eastAsia"/>
          <w:b w:val="0"/>
          <w:bCs/>
        </w:rPr>
        <w:t>十</w:t>
      </w:r>
      <w:r w:rsidRPr="00D6191E">
        <w:rPr>
          <w:rFonts w:asciiTheme="minorEastAsia" w:eastAsiaTheme="minorEastAsia" w:hAnsiTheme="minorEastAsia" w:hint="eastAsia"/>
          <w:b w:val="0"/>
          <w:bCs/>
        </w:rPr>
        <w:t>)巨额赎回的认定及处理方式</w:t>
      </w:r>
      <w:bookmarkEnd w:id="29"/>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hint="eastAsia"/>
          <w:szCs w:val="21"/>
        </w:rPr>
        <w:t>巨额赎回的认定</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BA4B87" w:rsidRPr="00D6191E" w:rsidRDefault="00200D60" w:rsidP="003B4E4D">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BA4B87" w:rsidRPr="00D6191E">
        <w:rPr>
          <w:rFonts w:asciiTheme="minorEastAsia" w:eastAsiaTheme="minorEastAsia" w:hAnsiTheme="minorEastAsia" w:hint="eastAsia"/>
          <w:szCs w:val="21"/>
        </w:rPr>
        <w:t>巨额赎回的处理方式</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当基金出现巨额赎回时，基金管理人可以根据基金当时的资产组合状况决定全额赎回或部分延期赎回。</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(1)全额赎回：当基金管理人认为有能力支付投资人的全部赎回申请时，按正常赎回程序执行。</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基金份额持有人提交的每笔赎回申请量占赎回申请总量的比例，确定该笔赎回申请当日部分确认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C4AA3" w:rsidRPr="00D6191E" w:rsidRDefault="000C4AA3"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(3)暂停赎回：连续2日以上(含本数)发生巨额赎回，如基金管理人认为有必要，可暂停接受基金的赎回申请；已经接受的赎回申请可以延缓支付赎回款项，但不得超过20个工作日，并应当在</w:t>
      </w:r>
      <w:r w:rsidR="00F44B20" w:rsidRPr="00D6191E">
        <w:rPr>
          <w:rFonts w:asciiTheme="minorEastAsia" w:eastAsiaTheme="minorEastAsia" w:hAnsiTheme="minorEastAsia" w:hint="eastAsia"/>
          <w:szCs w:val="21"/>
        </w:rPr>
        <w:t>指定媒介</w:t>
      </w:r>
      <w:r w:rsidRPr="00D6191E">
        <w:rPr>
          <w:rFonts w:asciiTheme="minorEastAsia" w:eastAsiaTheme="minorEastAsia" w:hAnsiTheme="minorEastAsia" w:hint="eastAsia"/>
          <w:szCs w:val="21"/>
        </w:rPr>
        <w:t>上进行公告。</w:t>
      </w:r>
    </w:p>
    <w:p w:rsidR="00BA4B87" w:rsidRPr="00D6191E" w:rsidRDefault="00200D60" w:rsidP="003B4E4D">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00BA4B87" w:rsidRPr="00D6191E">
        <w:rPr>
          <w:rFonts w:asciiTheme="minorEastAsia" w:eastAsiaTheme="minorEastAsia" w:hAnsiTheme="minorEastAsia" w:hint="eastAsia"/>
          <w:szCs w:val="21"/>
        </w:rPr>
        <w:t>巨额赎回的公告</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当发生上述延期赎回并延期办理时，基金管理人应当通过邮寄、传真或者其他方式在3个交易日内通知基金份额持有人，说明有关处理方法，</w:t>
      </w:r>
      <w:r w:rsidR="00F44B20" w:rsidRPr="00D6191E">
        <w:rPr>
          <w:rFonts w:asciiTheme="minorEastAsia" w:eastAsiaTheme="minorEastAsia" w:hAnsiTheme="minorEastAsia" w:hint="eastAsia"/>
          <w:szCs w:val="21"/>
        </w:rPr>
        <w:t>并在2日内</w:t>
      </w:r>
      <w:r w:rsidRPr="00D6191E">
        <w:rPr>
          <w:rFonts w:asciiTheme="minorEastAsia" w:eastAsiaTheme="minorEastAsia" w:hAnsiTheme="minorEastAsia" w:hint="eastAsia"/>
          <w:szCs w:val="21"/>
        </w:rPr>
        <w:t>在</w:t>
      </w:r>
      <w:r w:rsidR="00F44B20" w:rsidRPr="00D6191E">
        <w:rPr>
          <w:rFonts w:asciiTheme="minorEastAsia" w:eastAsiaTheme="minorEastAsia" w:hAnsiTheme="minorEastAsia" w:hint="eastAsia"/>
          <w:szCs w:val="21"/>
        </w:rPr>
        <w:t>指定媒介</w:t>
      </w:r>
      <w:r w:rsidRPr="00D6191E">
        <w:rPr>
          <w:rFonts w:asciiTheme="minorEastAsia" w:eastAsiaTheme="minorEastAsia" w:hAnsiTheme="minorEastAsia" w:hint="eastAsia"/>
          <w:szCs w:val="21"/>
        </w:rPr>
        <w:t>上刊登公告。</w:t>
      </w:r>
    </w:p>
    <w:p w:rsidR="00BA4B87" w:rsidRPr="00D6191E" w:rsidRDefault="00BA4B87" w:rsidP="005C39ED">
      <w:pPr>
        <w:pStyle w:val="2"/>
        <w:snapToGrid w:val="0"/>
        <w:spacing w:beforeLines="0" w:afterLines="0" w:line="360" w:lineRule="auto"/>
        <w:ind w:firstLineChars="0" w:firstLine="0"/>
        <w:jc w:val="left"/>
        <w:rPr>
          <w:rFonts w:asciiTheme="minorEastAsia" w:eastAsiaTheme="minorEastAsia" w:hAnsiTheme="minorEastAsia"/>
          <w:b w:val="0"/>
          <w:bCs/>
        </w:rPr>
      </w:pPr>
      <w:bookmarkStart w:id="30" w:name="_Toc86315856"/>
      <w:r w:rsidRPr="00D6191E">
        <w:rPr>
          <w:rFonts w:asciiTheme="minorEastAsia" w:eastAsiaTheme="minorEastAsia" w:hAnsiTheme="minorEastAsia" w:hint="eastAsia"/>
          <w:b w:val="0"/>
          <w:bCs/>
        </w:rPr>
        <w:t>(十</w:t>
      </w:r>
      <w:r w:rsidR="00E5728E" w:rsidRPr="00D6191E">
        <w:rPr>
          <w:rFonts w:asciiTheme="minorEastAsia" w:eastAsiaTheme="minorEastAsia" w:hAnsiTheme="minorEastAsia" w:hint="eastAsia"/>
          <w:b w:val="0"/>
          <w:bCs/>
        </w:rPr>
        <w:t>一</w:t>
      </w:r>
      <w:r w:rsidRPr="00D6191E">
        <w:rPr>
          <w:rFonts w:asciiTheme="minorEastAsia" w:eastAsiaTheme="minorEastAsia" w:hAnsiTheme="minorEastAsia" w:hint="eastAsia"/>
          <w:b w:val="0"/>
          <w:bCs/>
        </w:rPr>
        <w:t>)拒绝或暂停申购、暂停赎回的情形及处理</w:t>
      </w:r>
      <w:bookmarkEnd w:id="30"/>
    </w:p>
    <w:p w:rsidR="00BA4B87" w:rsidRPr="00D6191E" w:rsidRDefault="00200D60"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1、</w:t>
      </w:r>
      <w:r w:rsidR="00BA4B87" w:rsidRPr="00D6191E">
        <w:rPr>
          <w:rFonts w:asciiTheme="minorEastAsia" w:eastAsiaTheme="minorEastAsia" w:hAnsiTheme="minorEastAsia" w:hint="eastAsia"/>
        </w:rPr>
        <w:t>发生下列情况时，基金管理人可拒绝或暂停接受投资人的申购申请：</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(1)因不可抗力导致基金无法正常运作。</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lastRenderedPageBreak/>
        <w:t>(2)证券交易所交易时间临时停市，导致基金管理人无法计算当日基金资产净值。</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(3)发生本基金合同规定的暂停基金资产估值情况。</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(4)基金管理人认为接受某笔或某些申购申请可能会影响或损害现有基金份额持有人利益时。</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(5)基金资产规模过大，使基金管理人无法找到合适的投资品种，或其他可能对基金业绩产生负面影响，从而损害现有基金份额持有人利益的情形。</w:t>
      </w:r>
    </w:p>
    <w:p w:rsidR="000C4AA3"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(6)</w:t>
      </w:r>
      <w:r w:rsidR="000C4AA3" w:rsidRPr="00D6191E">
        <w:rPr>
          <w:rFonts w:asciiTheme="minorEastAsia" w:eastAsiaTheme="minorEastAsia" w:hAnsiTheme="minorEastAsia" w:hint="eastAsia"/>
          <w:szCs w:val="21"/>
        </w:rPr>
        <w:t>基金管理人接受某笔或者某些申购申请有可能导致单一投资者持有基金份额的比例达到或者超过50%，或者变相规避50%集中度的情形时。</w:t>
      </w:r>
    </w:p>
    <w:p w:rsidR="000C4AA3" w:rsidRPr="00D6191E" w:rsidRDefault="000C4AA3"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（7</w:t>
      </w:r>
      <w:r w:rsidRPr="00D6191E">
        <w:rPr>
          <w:rFonts w:asciiTheme="minorEastAsia" w:eastAsiaTheme="minorEastAsia" w:hAnsiTheme="minorEastAsia"/>
          <w:szCs w:val="21"/>
        </w:rPr>
        <w:t>）</w:t>
      </w:r>
      <w:r w:rsidRPr="00D6191E">
        <w:rPr>
          <w:rFonts w:asciiTheme="minorEastAsia" w:eastAsiaTheme="minorEastAsia" w:hAnsiTheme="minorEastAsia" w:hint="eastAsia"/>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0C4AA3" w:rsidRPr="00D6191E" w:rsidRDefault="000C4AA3"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（8</w:t>
      </w:r>
      <w:r w:rsidRPr="00D6191E">
        <w:rPr>
          <w:rFonts w:asciiTheme="minorEastAsia" w:eastAsiaTheme="minorEastAsia" w:hAnsiTheme="minorEastAsia"/>
          <w:szCs w:val="21"/>
        </w:rPr>
        <w:t>）</w:t>
      </w:r>
      <w:r w:rsidRPr="00D6191E">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BA4B87" w:rsidRPr="00D6191E" w:rsidRDefault="000C4AA3"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（9</w:t>
      </w:r>
      <w:r w:rsidRPr="00D6191E">
        <w:rPr>
          <w:rFonts w:asciiTheme="minorEastAsia" w:eastAsiaTheme="minorEastAsia" w:hAnsiTheme="minorEastAsia"/>
          <w:szCs w:val="21"/>
        </w:rPr>
        <w:t>）</w:t>
      </w:r>
      <w:r w:rsidR="00BA4B87" w:rsidRPr="00D6191E">
        <w:rPr>
          <w:rFonts w:asciiTheme="minorEastAsia" w:eastAsiaTheme="minorEastAsia" w:hAnsiTheme="minorEastAsia" w:hint="eastAsia"/>
          <w:szCs w:val="21"/>
        </w:rPr>
        <w:t>法律法规规定或中国证监会认定的其他情形。</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发生上述第(1)、(2)、(3)、(5)</w:t>
      </w:r>
      <w:r w:rsidR="000C4AA3" w:rsidRPr="00D6191E">
        <w:rPr>
          <w:rFonts w:asciiTheme="minorEastAsia" w:eastAsiaTheme="minorEastAsia" w:hAnsiTheme="minorEastAsia" w:hint="eastAsia"/>
          <w:szCs w:val="21"/>
        </w:rPr>
        <w:t>、</w:t>
      </w:r>
      <w:r w:rsidR="000C4AA3" w:rsidRPr="00D6191E">
        <w:rPr>
          <w:rFonts w:asciiTheme="minorEastAsia" w:eastAsiaTheme="minorEastAsia" w:hAnsiTheme="minorEastAsia"/>
          <w:szCs w:val="21"/>
        </w:rPr>
        <w:t>（</w:t>
      </w:r>
      <w:r w:rsidR="000C4AA3" w:rsidRPr="00D6191E">
        <w:rPr>
          <w:rFonts w:asciiTheme="minorEastAsia" w:eastAsiaTheme="minorEastAsia" w:hAnsiTheme="minorEastAsia" w:hint="eastAsia"/>
          <w:szCs w:val="21"/>
        </w:rPr>
        <w:t>7</w:t>
      </w:r>
      <w:r w:rsidR="000C4AA3" w:rsidRPr="00D6191E">
        <w:rPr>
          <w:rFonts w:asciiTheme="minorEastAsia" w:eastAsiaTheme="minorEastAsia" w:hAnsiTheme="minorEastAsia"/>
          <w:szCs w:val="21"/>
        </w:rPr>
        <w:t>）</w:t>
      </w:r>
      <w:r w:rsidR="000C4AA3" w:rsidRPr="00D6191E">
        <w:rPr>
          <w:rFonts w:asciiTheme="minorEastAsia" w:eastAsiaTheme="minorEastAsia" w:hAnsiTheme="minorEastAsia" w:hint="eastAsia"/>
          <w:szCs w:val="21"/>
        </w:rPr>
        <w:t>、</w:t>
      </w:r>
      <w:r w:rsidR="000C4AA3" w:rsidRPr="00D6191E">
        <w:rPr>
          <w:rFonts w:asciiTheme="minorEastAsia" w:eastAsiaTheme="minorEastAsia" w:hAnsiTheme="minorEastAsia"/>
          <w:szCs w:val="21"/>
        </w:rPr>
        <w:t>（</w:t>
      </w:r>
      <w:r w:rsidR="000C4AA3" w:rsidRPr="00D6191E">
        <w:rPr>
          <w:rFonts w:asciiTheme="minorEastAsia" w:eastAsiaTheme="minorEastAsia" w:hAnsiTheme="minorEastAsia" w:hint="eastAsia"/>
          <w:szCs w:val="21"/>
        </w:rPr>
        <w:t>8</w:t>
      </w:r>
      <w:r w:rsidR="000C4AA3" w:rsidRPr="00D6191E">
        <w:rPr>
          <w:rFonts w:asciiTheme="minorEastAsia" w:eastAsiaTheme="minorEastAsia" w:hAnsiTheme="minorEastAsia"/>
          <w:szCs w:val="21"/>
        </w:rPr>
        <w:t>）</w:t>
      </w:r>
      <w:r w:rsidR="000C4AA3" w:rsidRPr="00D6191E">
        <w:rPr>
          <w:rFonts w:asciiTheme="minorEastAsia" w:eastAsiaTheme="minorEastAsia" w:hAnsiTheme="minorEastAsia" w:hint="eastAsia"/>
          <w:szCs w:val="21"/>
        </w:rPr>
        <w:t>、</w:t>
      </w:r>
      <w:r w:rsidR="000C4AA3" w:rsidRPr="00D6191E">
        <w:rPr>
          <w:rFonts w:asciiTheme="minorEastAsia" w:eastAsiaTheme="minorEastAsia" w:hAnsiTheme="minorEastAsia"/>
          <w:szCs w:val="21"/>
        </w:rPr>
        <w:t>（</w:t>
      </w:r>
      <w:r w:rsidR="000C4AA3" w:rsidRPr="00D6191E">
        <w:rPr>
          <w:rFonts w:asciiTheme="minorEastAsia" w:eastAsiaTheme="minorEastAsia" w:hAnsiTheme="minorEastAsia" w:hint="eastAsia"/>
          <w:szCs w:val="21"/>
        </w:rPr>
        <w:t>9</w:t>
      </w:r>
      <w:r w:rsidR="000C4AA3" w:rsidRPr="00D6191E">
        <w:rPr>
          <w:rFonts w:asciiTheme="minorEastAsia" w:eastAsiaTheme="minorEastAsia" w:hAnsiTheme="minorEastAsia"/>
          <w:szCs w:val="21"/>
        </w:rPr>
        <w:t>）</w:t>
      </w:r>
      <w:r w:rsidRPr="00D6191E">
        <w:rPr>
          <w:rFonts w:asciiTheme="minorEastAsia" w:eastAsiaTheme="minorEastAsia" w:hAnsiTheme="minorEastAsia" w:hint="eastAsia"/>
          <w:szCs w:val="21"/>
        </w:rPr>
        <w:t>项暂停申购情形且基金管理人决定暂停申购时，基金管理人应当根据有关规定在</w:t>
      </w:r>
      <w:r w:rsidR="00F44B20" w:rsidRPr="00D6191E">
        <w:rPr>
          <w:rFonts w:asciiTheme="minorEastAsia" w:eastAsiaTheme="minorEastAsia" w:hAnsiTheme="minorEastAsia" w:hint="eastAsia"/>
          <w:szCs w:val="21"/>
        </w:rPr>
        <w:t>指定媒介</w:t>
      </w:r>
      <w:r w:rsidRPr="00D6191E">
        <w:rPr>
          <w:rFonts w:asciiTheme="minorEastAsia" w:eastAsiaTheme="minorEastAsia" w:hAnsiTheme="minorEastAsia" w:hint="eastAsia"/>
          <w:szCs w:val="21"/>
        </w:rPr>
        <w:t>上刊登暂停申购公告。如果投资人的申购申请被拒绝，被拒绝的申购款项将退还给投资人。在暂停申购的情况消除时，基金管理人应及时恢复申购业务的办理。</w:t>
      </w:r>
    </w:p>
    <w:p w:rsidR="00BA4B87" w:rsidRPr="00D6191E" w:rsidRDefault="00200D60"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2、</w:t>
      </w:r>
      <w:r w:rsidR="00BA4B87" w:rsidRPr="00D6191E">
        <w:rPr>
          <w:rFonts w:asciiTheme="minorEastAsia" w:eastAsiaTheme="minorEastAsia" w:hAnsiTheme="minorEastAsia" w:hint="eastAsia"/>
        </w:rPr>
        <w:t>发生下列情形时，基金管理人可暂停接受投资人的赎回申请或延缓支付赎回款项：</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(1)因不可抗力导致基金管理人不能支付赎回款项。</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(2)证券交易所交易时间临时停市，导致基金管理人无法计算当日基金资产净值。</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(3)连续两个或两个以上开放日发生巨额赎回，导致本基金的现金支付出现困难。</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(4)发生本基金合同规定的暂停基金资产估值情况。</w:t>
      </w:r>
    </w:p>
    <w:p w:rsidR="000C4AA3"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w:t>
      </w:r>
      <w:r w:rsidR="000C4AA3" w:rsidRPr="00D6191E">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BA4B87" w:rsidRPr="00D6191E" w:rsidRDefault="000C4AA3"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（6</w:t>
      </w:r>
      <w:r w:rsidRPr="00D6191E">
        <w:rPr>
          <w:rFonts w:asciiTheme="minorEastAsia" w:eastAsiaTheme="minorEastAsia" w:hAnsiTheme="minorEastAsia"/>
          <w:szCs w:val="21"/>
        </w:rPr>
        <w:t>）</w:t>
      </w:r>
      <w:r w:rsidR="00BA4B87" w:rsidRPr="00D6191E">
        <w:rPr>
          <w:rFonts w:asciiTheme="minorEastAsia" w:eastAsiaTheme="minorEastAsia" w:hAnsiTheme="minorEastAsia" w:hint="eastAsia"/>
          <w:szCs w:val="21"/>
        </w:rPr>
        <w:t>法律法规规定或中国证监会认定的其他情形。</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发生上述情形且基金管理人决定暂停赎回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w:t>
      </w:r>
      <w:r w:rsidR="00F44B20" w:rsidRPr="00D6191E">
        <w:rPr>
          <w:rFonts w:asciiTheme="minorEastAsia" w:eastAsiaTheme="minorEastAsia" w:hAnsiTheme="minorEastAsia" w:hint="eastAsia"/>
          <w:szCs w:val="21"/>
        </w:rPr>
        <w:t>指定媒介</w:t>
      </w:r>
      <w:r w:rsidRPr="00D6191E">
        <w:rPr>
          <w:rFonts w:asciiTheme="minorEastAsia" w:eastAsiaTheme="minorEastAsia" w:hAnsiTheme="minorEastAsia" w:hint="eastAsia"/>
          <w:szCs w:val="21"/>
        </w:rPr>
        <w:t>上公告。投资人在申请赎回时可事先选择将当</w:t>
      </w:r>
      <w:r w:rsidRPr="00D6191E">
        <w:rPr>
          <w:rFonts w:asciiTheme="minorEastAsia" w:eastAsiaTheme="minorEastAsia" w:hAnsiTheme="minorEastAsia" w:hint="eastAsia"/>
          <w:szCs w:val="21"/>
        </w:rPr>
        <w:lastRenderedPageBreak/>
        <w:t>日可能未获受理部分予以撤销。在暂停赎回的情况消除时，基金管理人应及时恢复赎回业务的办理并予以公告。</w:t>
      </w:r>
    </w:p>
    <w:p w:rsidR="00BA4B87" w:rsidRPr="00D6191E" w:rsidRDefault="00200D60" w:rsidP="003B4E4D">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00BA4B87" w:rsidRPr="00D6191E">
        <w:rPr>
          <w:rFonts w:asciiTheme="minorEastAsia" w:eastAsiaTheme="minorEastAsia" w:hAnsiTheme="minorEastAsia" w:hint="eastAsia"/>
          <w:szCs w:val="21"/>
        </w:rPr>
        <w:t>暂停申购或赎回的公告和重新开放申购或赎回的公告</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(1)发生上述暂停申购或赎回情况的，基金管理人当日应立即向中国证监会备案，并在规定期限内在</w:t>
      </w:r>
      <w:r w:rsidR="00F44B20" w:rsidRPr="00D6191E">
        <w:rPr>
          <w:rFonts w:asciiTheme="minorEastAsia" w:eastAsiaTheme="minorEastAsia" w:hAnsiTheme="minorEastAsia" w:hint="eastAsia"/>
        </w:rPr>
        <w:t>指定媒介</w:t>
      </w:r>
      <w:r w:rsidRPr="00D6191E">
        <w:rPr>
          <w:rFonts w:asciiTheme="minorEastAsia" w:eastAsiaTheme="minorEastAsia" w:hAnsiTheme="minorEastAsia" w:hint="eastAsia"/>
        </w:rPr>
        <w:t>上刊登暂停公告。</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(2)如发生暂停的时间为1日，基金管理人应于重新开放日，在</w:t>
      </w:r>
      <w:r w:rsidR="00F44B20" w:rsidRPr="00D6191E">
        <w:rPr>
          <w:rFonts w:asciiTheme="minorEastAsia" w:eastAsiaTheme="minorEastAsia" w:hAnsiTheme="minorEastAsia" w:hint="eastAsia"/>
          <w:szCs w:val="21"/>
        </w:rPr>
        <w:t>指定媒介</w:t>
      </w:r>
      <w:r w:rsidRPr="00D6191E">
        <w:rPr>
          <w:rFonts w:asciiTheme="minorEastAsia" w:eastAsiaTheme="minorEastAsia" w:hAnsiTheme="minorEastAsia" w:hint="eastAsia"/>
          <w:szCs w:val="21"/>
        </w:rPr>
        <w:t>上刊登基金重新开放申购或赎回公告，并公布最近1个工作日的基金份额净值。</w:t>
      </w:r>
    </w:p>
    <w:p w:rsidR="00BA4B87"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(3)如发生暂停的时间超过1日，暂停结束，基金重新开放申购或赎回时，基金管理人应提前在</w:t>
      </w:r>
      <w:r w:rsidR="00F44B20" w:rsidRPr="00D6191E">
        <w:rPr>
          <w:rFonts w:asciiTheme="minorEastAsia" w:eastAsiaTheme="minorEastAsia" w:hAnsiTheme="minorEastAsia" w:hint="eastAsia"/>
          <w:szCs w:val="21"/>
        </w:rPr>
        <w:t>指定媒介</w:t>
      </w:r>
      <w:r w:rsidRPr="00D6191E">
        <w:rPr>
          <w:rFonts w:asciiTheme="minorEastAsia" w:eastAsiaTheme="minorEastAsia" w:hAnsiTheme="minorEastAsia" w:hint="eastAsia"/>
          <w:szCs w:val="21"/>
        </w:rPr>
        <w:t>上刊登基金重新开放申购或赎回公告，并公告最近1个工作日的基金份额净值。</w:t>
      </w:r>
    </w:p>
    <w:p w:rsidR="009A06F7" w:rsidRPr="007D27C7" w:rsidRDefault="009A06F7" w:rsidP="009A06F7">
      <w:pPr>
        <w:spacing w:line="360" w:lineRule="auto"/>
        <w:ind w:firstLineChars="200" w:firstLine="420"/>
        <w:rPr>
          <w:rFonts w:ascii="宋体" w:hAnsi="宋体"/>
          <w:szCs w:val="21"/>
        </w:rPr>
      </w:pPr>
      <w:r>
        <w:rPr>
          <w:rFonts w:ascii="宋体" w:hAnsi="宋体" w:hint="eastAsia"/>
          <w:szCs w:val="21"/>
        </w:rPr>
        <w:t>（十二</w:t>
      </w:r>
      <w:r w:rsidRPr="007D27C7">
        <w:rPr>
          <w:rFonts w:ascii="宋体" w:hAnsi="宋体" w:hint="eastAsia"/>
          <w:szCs w:val="21"/>
        </w:rPr>
        <w:t>）实施侧袋机制期间本基金的申购与赎回</w:t>
      </w:r>
    </w:p>
    <w:p w:rsidR="009A06F7" w:rsidRPr="00D6191E" w:rsidRDefault="009A06F7" w:rsidP="009A06F7">
      <w:pPr>
        <w:snapToGrid w:val="0"/>
        <w:spacing w:line="360" w:lineRule="auto"/>
        <w:ind w:firstLineChars="200" w:firstLine="420"/>
        <w:rPr>
          <w:rFonts w:asciiTheme="minorEastAsia" w:eastAsiaTheme="minorEastAsia" w:hAnsiTheme="minorEastAsia"/>
          <w:szCs w:val="21"/>
        </w:rPr>
      </w:pPr>
      <w:r w:rsidRPr="007D27C7">
        <w:rPr>
          <w:rFonts w:ascii="宋体" w:hAnsi="宋体" w:hint="eastAsia"/>
          <w:szCs w:val="21"/>
        </w:rPr>
        <w:t>本基金实施侧袋机制的，本基金的申购和赎回安排详见本招募说明书“侧袋机制”部分的规定或相关公告。</w:t>
      </w:r>
    </w:p>
    <w:p w:rsidR="00BA4B87" w:rsidRPr="00D6191E" w:rsidRDefault="00BA4B87" w:rsidP="004D6C82">
      <w:pPr>
        <w:pStyle w:val="1"/>
        <w:snapToGrid w:val="0"/>
        <w:spacing w:beforeLines="0" w:afterLines="0" w:line="360" w:lineRule="auto"/>
        <w:ind w:firstLine="600"/>
        <w:rPr>
          <w:rFonts w:asciiTheme="minorEastAsia" w:eastAsiaTheme="minorEastAsia" w:hAnsiTheme="minorEastAsia"/>
          <w:sz w:val="30"/>
        </w:rPr>
      </w:pPr>
      <w:r w:rsidRPr="00D6191E">
        <w:rPr>
          <w:rFonts w:asciiTheme="minorEastAsia" w:eastAsiaTheme="minorEastAsia" w:hAnsiTheme="minorEastAsia" w:hint="eastAsia"/>
          <w:sz w:val="30"/>
        </w:rPr>
        <w:br w:type="column"/>
      </w:r>
      <w:bookmarkStart w:id="31" w:name="_Toc86315857"/>
      <w:r w:rsidRPr="00D6191E">
        <w:rPr>
          <w:rFonts w:asciiTheme="minorEastAsia" w:eastAsiaTheme="minorEastAsia" w:hAnsiTheme="minorEastAsia" w:hint="eastAsia"/>
          <w:sz w:val="30"/>
        </w:rPr>
        <w:lastRenderedPageBreak/>
        <w:t>九、基金转换</w:t>
      </w:r>
      <w:bookmarkEnd w:id="31"/>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32" w:name="_Toc86315858"/>
      <w:r w:rsidRPr="00D6191E">
        <w:rPr>
          <w:rFonts w:asciiTheme="minorEastAsia" w:eastAsiaTheme="minorEastAsia" w:hAnsiTheme="minorEastAsia" w:hint="eastAsia"/>
          <w:b w:val="0"/>
          <w:bCs/>
        </w:rPr>
        <w:t>(一)基金转换</w:t>
      </w:r>
      <w:r w:rsidR="00E5728E" w:rsidRPr="00D6191E">
        <w:rPr>
          <w:rFonts w:asciiTheme="minorEastAsia" w:eastAsiaTheme="minorEastAsia" w:hAnsiTheme="minorEastAsia" w:hint="eastAsia"/>
          <w:b w:val="0"/>
          <w:bCs/>
        </w:rPr>
        <w:t>开始日及时间</w:t>
      </w:r>
      <w:bookmarkEnd w:id="32"/>
    </w:p>
    <w:p w:rsidR="00E5728E" w:rsidRPr="00D6191E" w:rsidRDefault="00E5728E" w:rsidP="000449FE">
      <w:pPr>
        <w:pStyle w:val="a4"/>
        <w:snapToGrid w:val="0"/>
        <w:spacing w:line="360" w:lineRule="auto"/>
        <w:rPr>
          <w:rFonts w:asciiTheme="minorEastAsia" w:eastAsiaTheme="minorEastAsia" w:hAnsiTheme="minorEastAsia" w:cs="宋体"/>
          <w:kern w:val="0"/>
          <w:szCs w:val="21"/>
        </w:rPr>
      </w:pPr>
      <w:r w:rsidRPr="00D6191E">
        <w:rPr>
          <w:rFonts w:asciiTheme="minorEastAsia" w:eastAsiaTheme="minorEastAsia" w:hAnsiTheme="minorEastAsia" w:cs="宋体" w:hint="eastAsia"/>
          <w:kern w:val="0"/>
          <w:szCs w:val="21"/>
        </w:rPr>
        <w:t>本基金已于</w:t>
      </w:r>
      <w:r w:rsidRPr="00D6191E">
        <w:rPr>
          <w:rFonts w:asciiTheme="minorEastAsia" w:eastAsiaTheme="minorEastAsia" w:hAnsiTheme="minorEastAsia" w:cs="宋体"/>
          <w:kern w:val="0"/>
          <w:szCs w:val="21"/>
        </w:rPr>
        <w:t>20</w:t>
      </w:r>
      <w:r w:rsidRPr="00D6191E">
        <w:rPr>
          <w:rFonts w:asciiTheme="minorEastAsia" w:eastAsiaTheme="minorEastAsia" w:hAnsiTheme="minorEastAsia" w:cs="宋体" w:hint="eastAsia"/>
          <w:kern w:val="0"/>
          <w:szCs w:val="21"/>
        </w:rPr>
        <w:t>1</w:t>
      </w:r>
      <w:r w:rsidR="00A356CC" w:rsidRPr="00D6191E">
        <w:rPr>
          <w:rFonts w:asciiTheme="minorEastAsia" w:eastAsiaTheme="minorEastAsia" w:hAnsiTheme="minorEastAsia" w:cs="宋体" w:hint="eastAsia"/>
          <w:kern w:val="0"/>
          <w:szCs w:val="21"/>
        </w:rPr>
        <w:t>2</w:t>
      </w:r>
      <w:r w:rsidRPr="00D6191E">
        <w:rPr>
          <w:rFonts w:asciiTheme="minorEastAsia" w:eastAsiaTheme="minorEastAsia" w:hAnsiTheme="minorEastAsia" w:cs="宋体" w:hint="eastAsia"/>
          <w:kern w:val="0"/>
          <w:szCs w:val="21"/>
        </w:rPr>
        <w:t>年</w:t>
      </w:r>
      <w:r w:rsidR="00A356CC" w:rsidRPr="00D6191E">
        <w:rPr>
          <w:rFonts w:asciiTheme="minorEastAsia" w:eastAsiaTheme="minorEastAsia" w:hAnsiTheme="minorEastAsia" w:cs="宋体" w:hint="eastAsia"/>
          <w:kern w:val="0"/>
          <w:szCs w:val="21"/>
        </w:rPr>
        <w:t>1</w:t>
      </w:r>
      <w:r w:rsidRPr="00D6191E">
        <w:rPr>
          <w:rFonts w:asciiTheme="minorEastAsia" w:eastAsiaTheme="minorEastAsia" w:hAnsiTheme="minorEastAsia" w:cs="宋体" w:hint="eastAsia"/>
          <w:kern w:val="0"/>
          <w:szCs w:val="21"/>
        </w:rPr>
        <w:t>月</w:t>
      </w:r>
      <w:r w:rsidR="00A356CC" w:rsidRPr="00D6191E">
        <w:rPr>
          <w:rFonts w:asciiTheme="minorEastAsia" w:eastAsiaTheme="minorEastAsia" w:hAnsiTheme="minorEastAsia" w:cs="宋体" w:hint="eastAsia"/>
          <w:kern w:val="0"/>
          <w:szCs w:val="21"/>
        </w:rPr>
        <w:t>13</w:t>
      </w:r>
      <w:r w:rsidRPr="00D6191E">
        <w:rPr>
          <w:rFonts w:asciiTheme="minorEastAsia" w:eastAsiaTheme="minorEastAsia" w:hAnsiTheme="minorEastAsia" w:cs="宋体" w:hint="eastAsia"/>
          <w:kern w:val="0"/>
          <w:szCs w:val="21"/>
        </w:rPr>
        <w:t>日开始办理转换业务。</w:t>
      </w:r>
    </w:p>
    <w:p w:rsidR="00E5728E" w:rsidRPr="00D6191E" w:rsidRDefault="00E5728E"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本基金转换业务的开放日为上海证券交易所</w:t>
      </w:r>
      <w:r w:rsidR="00A356CC" w:rsidRPr="00D6191E">
        <w:rPr>
          <w:rFonts w:asciiTheme="minorEastAsia" w:eastAsiaTheme="minorEastAsia" w:hAnsiTheme="minorEastAsia" w:hint="eastAsia"/>
          <w:szCs w:val="21"/>
        </w:rPr>
        <w:t>和</w:t>
      </w:r>
      <w:r w:rsidRPr="00D6191E">
        <w:rPr>
          <w:rFonts w:asciiTheme="minorEastAsia" w:eastAsiaTheme="minorEastAsia" w:hAnsiTheme="minorEastAsia" w:hint="eastAsia"/>
          <w:szCs w:val="21"/>
        </w:rPr>
        <w:t>深圳证券交易所</w:t>
      </w:r>
      <w:r w:rsidR="00A356CC" w:rsidRPr="00D6191E">
        <w:rPr>
          <w:rFonts w:asciiTheme="minorEastAsia" w:eastAsiaTheme="minorEastAsia" w:hAnsiTheme="minorEastAsia" w:hint="eastAsia"/>
        </w:rPr>
        <w:t>同时开放交易的工作日</w:t>
      </w:r>
      <w:r w:rsidRPr="00D6191E">
        <w:rPr>
          <w:rFonts w:asciiTheme="minorEastAsia" w:eastAsiaTheme="minorEastAsia" w:hAnsiTheme="minorEastAsia" w:hint="eastAsia"/>
          <w:szCs w:val="21"/>
        </w:rPr>
        <w:t>（基金管理人根据法律法规、中国证监会的要求或</w:t>
      </w:r>
      <w:r w:rsidRPr="00D6191E">
        <w:rPr>
          <w:rFonts w:asciiTheme="minorEastAsia" w:eastAsiaTheme="minorEastAsia" w:hAnsiTheme="minorEastAsia" w:hint="eastAsia"/>
          <w:kern w:val="0"/>
          <w:szCs w:val="21"/>
        </w:rPr>
        <w:t>本</w:t>
      </w:r>
      <w:r w:rsidRPr="00D6191E">
        <w:rPr>
          <w:rFonts w:asciiTheme="minorEastAsia" w:eastAsiaTheme="minorEastAsia" w:hAnsiTheme="minorEastAsia" w:hint="eastAsia"/>
          <w:szCs w:val="21"/>
        </w:rPr>
        <w:t>基金合同的规定公告暂停转换时除外）。</w:t>
      </w:r>
      <w:r w:rsidR="00A356CC" w:rsidRPr="00D6191E">
        <w:rPr>
          <w:rFonts w:asciiTheme="minorEastAsia" w:eastAsiaTheme="minorEastAsia" w:hAnsiTheme="minorEastAsia" w:hint="eastAsia"/>
        </w:rPr>
        <w:t>具体业务办理时间为上海证券交易所、深圳证券交易所正常交易日的交易时间，若出现新的证券交易市场、证券交易所交易时间变更或其他特殊情况，基金管理人可视情况对开放日及开放时间进行相应的调整，但应在实施日前依照《信息披露办法》的有关规定在</w:t>
      </w:r>
      <w:r w:rsidR="00F44B20" w:rsidRPr="00D6191E">
        <w:rPr>
          <w:rFonts w:asciiTheme="minorEastAsia" w:eastAsiaTheme="minorEastAsia" w:hAnsiTheme="minorEastAsia" w:hint="eastAsia"/>
        </w:rPr>
        <w:t>指定媒介</w:t>
      </w:r>
      <w:r w:rsidR="00A356CC" w:rsidRPr="00D6191E">
        <w:rPr>
          <w:rFonts w:asciiTheme="minorEastAsia" w:eastAsiaTheme="minorEastAsia" w:hAnsiTheme="minorEastAsia" w:hint="eastAsia"/>
        </w:rPr>
        <w:t>上公告。</w:t>
      </w:r>
    </w:p>
    <w:p w:rsidR="00BA4B87" w:rsidRPr="00D6191E" w:rsidRDefault="00E5728E"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rPr>
        <w:t>投资人在基金合同约定之外的日期和时间提出转换申请</w:t>
      </w:r>
      <w:r w:rsidR="00DF51AE" w:rsidRPr="00D6191E">
        <w:rPr>
          <w:rFonts w:asciiTheme="minorEastAsia" w:eastAsiaTheme="minorEastAsia" w:hAnsiTheme="minorEastAsia" w:hint="eastAsia"/>
        </w:rPr>
        <w:t>且基金管理人或注册登记机构确认接收</w:t>
      </w:r>
      <w:r w:rsidRPr="00D6191E">
        <w:rPr>
          <w:rFonts w:asciiTheme="minorEastAsia" w:eastAsiaTheme="minorEastAsia" w:hAnsiTheme="minorEastAsia" w:hint="eastAsia"/>
        </w:rPr>
        <w:t>的，其基金份额转换价格为下一开放日基金份额转换的价格。</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33" w:name="_Toc86315859"/>
      <w:r w:rsidRPr="00D6191E">
        <w:rPr>
          <w:rFonts w:asciiTheme="minorEastAsia" w:eastAsiaTheme="minorEastAsia" w:hAnsiTheme="minorEastAsia" w:hint="eastAsia"/>
          <w:b w:val="0"/>
          <w:bCs/>
        </w:rPr>
        <w:t>(二)</w:t>
      </w:r>
      <w:r w:rsidR="00A356CC" w:rsidRPr="00D6191E">
        <w:rPr>
          <w:rFonts w:asciiTheme="minorEastAsia" w:eastAsiaTheme="minorEastAsia" w:hAnsiTheme="minorEastAsia" w:hint="eastAsia"/>
          <w:b w:val="0"/>
          <w:bCs/>
        </w:rPr>
        <w:t>基金转换的原则</w:t>
      </w:r>
      <w:bookmarkEnd w:id="33"/>
    </w:p>
    <w:p w:rsidR="00B56605" w:rsidRPr="00D6191E" w:rsidRDefault="00200D60"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1、</w:t>
      </w:r>
      <w:r w:rsidR="00B56605" w:rsidRPr="00D6191E">
        <w:rPr>
          <w:rFonts w:asciiTheme="minorEastAsia" w:eastAsiaTheme="minorEastAsia" w:hAnsiTheme="minorEastAsia" w:hint="eastAsia"/>
          <w:szCs w:val="21"/>
        </w:rPr>
        <w:t>基金转换以份额为单位进行申请。投资者可以发起多次基金转换业务，基金转换费用按每笔申请单独计算。转换费用以人民币元为单位，计算结果按照四舍五入方法，保留小数点后两位。</w:t>
      </w:r>
    </w:p>
    <w:p w:rsidR="00B67F52" w:rsidRPr="00D6191E" w:rsidRDefault="00B67F52"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2</w:t>
      </w:r>
      <w:r w:rsidR="00200D60" w:rsidRPr="00D6191E">
        <w:rPr>
          <w:rFonts w:asciiTheme="minorEastAsia" w:eastAsiaTheme="minorEastAsia" w:hAnsiTheme="minorEastAsia" w:hint="eastAsia"/>
          <w:szCs w:val="21"/>
        </w:rPr>
        <w:t>、</w:t>
      </w:r>
      <w:r w:rsidRPr="00D6191E">
        <w:rPr>
          <w:rFonts w:asciiTheme="minorEastAsia" w:eastAsiaTheme="minorEastAsia" w:hAnsiTheme="minorEastAsia" w:hint="eastAsia"/>
          <w:szCs w:val="21"/>
        </w:rPr>
        <w:t>当日的转换申请可以在当日交易结束时间前撤销，在当日的交易时间结束后不得撤销。</w:t>
      </w:r>
    </w:p>
    <w:p w:rsidR="00B56605" w:rsidRPr="00D6191E" w:rsidRDefault="00B67F52"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3</w:t>
      </w:r>
      <w:r w:rsidR="00200D60" w:rsidRPr="00D6191E">
        <w:rPr>
          <w:rFonts w:asciiTheme="minorEastAsia" w:eastAsiaTheme="minorEastAsia" w:hAnsiTheme="minorEastAsia" w:hint="eastAsia"/>
          <w:szCs w:val="21"/>
        </w:rPr>
        <w:t>、</w:t>
      </w:r>
      <w:r w:rsidR="00B56605" w:rsidRPr="00D6191E">
        <w:rPr>
          <w:rFonts w:asciiTheme="minorEastAsia" w:eastAsiaTheme="minorEastAsia" w:hAnsiTheme="minorEastAsia" w:hint="eastAsia"/>
          <w:szCs w:val="21"/>
        </w:rPr>
        <w:t>基金转换采取未知价法，即基金的转换价格以转换申请受理当日各转出、转入基金的份额净值为基准进行计算。</w:t>
      </w:r>
    </w:p>
    <w:p w:rsidR="00A356CC" w:rsidRPr="00D6191E" w:rsidRDefault="00B67F52"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4</w:t>
      </w:r>
      <w:r w:rsidR="00200D60" w:rsidRPr="00D6191E">
        <w:rPr>
          <w:rFonts w:asciiTheme="minorEastAsia" w:eastAsiaTheme="minorEastAsia" w:hAnsiTheme="minorEastAsia" w:hint="eastAsia"/>
          <w:szCs w:val="21"/>
        </w:rPr>
        <w:t>、</w:t>
      </w:r>
      <w:r w:rsidR="00A356CC" w:rsidRPr="00D6191E">
        <w:rPr>
          <w:rFonts w:asciiTheme="minorEastAsia" w:eastAsiaTheme="minorEastAsia" w:hAnsiTheme="minorEastAsia" w:hint="eastAsia"/>
          <w:szCs w:val="21"/>
        </w:rPr>
        <w:t>基金转换只能在同一销售机构进行。转换的两只基金必须都是该销售机构代理的同一基金管理人管理的、在同一注册登记机构注册登记的基金。</w:t>
      </w:r>
    </w:p>
    <w:p w:rsidR="00B56605" w:rsidRPr="00D6191E" w:rsidRDefault="00B67F52"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5</w:t>
      </w:r>
      <w:r w:rsidR="00200D60" w:rsidRPr="00D6191E">
        <w:rPr>
          <w:rFonts w:asciiTheme="minorEastAsia" w:eastAsiaTheme="minorEastAsia" w:hAnsiTheme="minorEastAsia" w:hint="eastAsia"/>
          <w:szCs w:val="21"/>
        </w:rPr>
        <w:t>、</w:t>
      </w:r>
      <w:r w:rsidR="00B56605" w:rsidRPr="00D6191E">
        <w:rPr>
          <w:rFonts w:asciiTheme="minorEastAsia" w:eastAsiaTheme="minorEastAsia" w:hAnsiTheme="minorEastAsia" w:hint="eastAsia"/>
          <w:szCs w:val="21"/>
        </w:rPr>
        <w:t>投资者办理基金转换业务时，转出方的基金必须处于可赎回状态，转入方的基金必须处于可申购状态。</w:t>
      </w:r>
    </w:p>
    <w:p w:rsidR="00B56605" w:rsidRPr="00D6191E" w:rsidRDefault="00B67F52"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6</w:t>
      </w:r>
      <w:r w:rsidR="00200D60" w:rsidRPr="00D6191E">
        <w:rPr>
          <w:rFonts w:asciiTheme="minorEastAsia" w:eastAsiaTheme="minorEastAsia" w:hAnsiTheme="minorEastAsia" w:hint="eastAsia"/>
          <w:szCs w:val="21"/>
        </w:rPr>
        <w:t>、</w:t>
      </w:r>
      <w:r w:rsidR="00B56605" w:rsidRPr="00D6191E">
        <w:rPr>
          <w:rFonts w:asciiTheme="minorEastAsia" w:eastAsiaTheme="minorEastAsia" w:hAnsiTheme="minorEastAsia" w:hint="eastAsia"/>
          <w:szCs w:val="21"/>
        </w:rPr>
        <w:t>转换业务遵循“先进先出”的业务规则，即份额注册日期在前的先转换出，份额注册日期在后的后转换出，如果转换申请当日，同时有赎回申请的情况下，则遵循先赎回后转换的处理原则。</w:t>
      </w:r>
    </w:p>
    <w:p w:rsidR="00A356CC" w:rsidRPr="00D6191E" w:rsidRDefault="00B56605"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6.</w:t>
      </w:r>
      <w:r w:rsidR="00A356CC" w:rsidRPr="00D6191E">
        <w:rPr>
          <w:rFonts w:asciiTheme="minorEastAsia" w:eastAsiaTheme="minorEastAsia" w:hAnsiTheme="minorEastAsia" w:hint="eastAsia"/>
          <w:szCs w:val="21"/>
        </w:rPr>
        <w:t>基金转换后，转入的基金份额的持有期将自转入的基金份额被确认之日起重新开始计算。</w:t>
      </w:r>
    </w:p>
    <w:p w:rsidR="00B56605" w:rsidRPr="00D6191E" w:rsidRDefault="00B56605" w:rsidP="000449FE">
      <w:pPr>
        <w:widowControl/>
        <w:snapToGrid w:val="0"/>
        <w:spacing w:line="360" w:lineRule="auto"/>
        <w:ind w:firstLineChars="200" w:firstLine="420"/>
        <w:jc w:val="left"/>
        <w:rPr>
          <w:rFonts w:asciiTheme="minorEastAsia" w:eastAsiaTheme="minorEastAsia" w:hAnsiTheme="minorEastAsia"/>
        </w:rPr>
      </w:pPr>
      <w:r w:rsidRPr="00D6191E">
        <w:rPr>
          <w:rFonts w:asciiTheme="minorEastAsia" w:eastAsiaTheme="minorEastAsia" w:hAnsiTheme="minorEastAsia" w:hint="eastAsia"/>
        </w:rPr>
        <w:t>基金管理人可在不损害基金份额持有人权益的情况下调整上述原则，但应在调整生效前在至少一种中国证监会指定的媒体上予以公告。</w:t>
      </w:r>
    </w:p>
    <w:p w:rsidR="00B56605" w:rsidRPr="00D6191E" w:rsidRDefault="00B56605" w:rsidP="004D6C82">
      <w:pPr>
        <w:pStyle w:val="2"/>
        <w:snapToGrid w:val="0"/>
        <w:spacing w:beforeLines="0" w:afterLines="0" w:line="360" w:lineRule="auto"/>
        <w:ind w:firstLineChars="0" w:firstLine="0"/>
        <w:rPr>
          <w:rFonts w:asciiTheme="minorEastAsia" w:eastAsiaTheme="minorEastAsia" w:hAnsiTheme="minorEastAsia"/>
          <w:b w:val="0"/>
          <w:bCs/>
        </w:rPr>
      </w:pPr>
      <w:bookmarkStart w:id="34" w:name="_Toc86315860"/>
      <w:r w:rsidRPr="00D6191E">
        <w:rPr>
          <w:rFonts w:asciiTheme="minorEastAsia" w:eastAsiaTheme="minorEastAsia" w:hAnsiTheme="minorEastAsia" w:hint="eastAsia"/>
          <w:b w:val="0"/>
          <w:bCs/>
        </w:rPr>
        <w:t>(三)基金转换的程序</w:t>
      </w:r>
      <w:bookmarkEnd w:id="34"/>
    </w:p>
    <w:p w:rsidR="0027081F" w:rsidRPr="00D6191E" w:rsidRDefault="00200D60" w:rsidP="000449FE">
      <w:pPr>
        <w:widowControl/>
        <w:snapToGrid w:val="0"/>
        <w:spacing w:line="360" w:lineRule="auto"/>
        <w:ind w:firstLineChars="200" w:firstLine="420"/>
        <w:jc w:val="left"/>
        <w:rPr>
          <w:rFonts w:asciiTheme="minorEastAsia" w:eastAsiaTheme="minorEastAsia" w:hAnsiTheme="minorEastAsia"/>
        </w:rPr>
      </w:pPr>
      <w:r w:rsidRPr="00D6191E">
        <w:rPr>
          <w:rFonts w:asciiTheme="minorEastAsia" w:eastAsiaTheme="minorEastAsia" w:hAnsiTheme="minorEastAsia" w:hint="eastAsia"/>
        </w:rPr>
        <w:t>1、</w:t>
      </w:r>
      <w:r w:rsidR="0027081F" w:rsidRPr="00D6191E">
        <w:rPr>
          <w:rFonts w:asciiTheme="minorEastAsia" w:eastAsiaTheme="minorEastAsia" w:hAnsiTheme="minorEastAsia" w:hint="eastAsia"/>
        </w:rPr>
        <w:t>基金转换的申请方式</w:t>
      </w:r>
    </w:p>
    <w:p w:rsidR="0027081F" w:rsidRPr="00D6191E" w:rsidRDefault="0027081F" w:rsidP="000449FE">
      <w:pPr>
        <w:widowControl/>
        <w:snapToGrid w:val="0"/>
        <w:spacing w:line="360" w:lineRule="auto"/>
        <w:ind w:firstLineChars="200" w:firstLine="420"/>
        <w:jc w:val="left"/>
        <w:rPr>
          <w:rFonts w:asciiTheme="minorEastAsia" w:eastAsiaTheme="minorEastAsia" w:hAnsiTheme="minorEastAsia"/>
        </w:rPr>
      </w:pPr>
      <w:r w:rsidRPr="00D6191E">
        <w:rPr>
          <w:rFonts w:asciiTheme="minorEastAsia" w:eastAsiaTheme="minorEastAsia" w:hAnsiTheme="minorEastAsia" w:hint="eastAsia"/>
        </w:rPr>
        <w:lastRenderedPageBreak/>
        <w:t>基金投资者必须根据基金管理人和基金</w:t>
      </w:r>
      <w:r w:rsidR="004D0101" w:rsidRPr="00D6191E">
        <w:rPr>
          <w:rFonts w:asciiTheme="minorEastAsia" w:eastAsiaTheme="minorEastAsia" w:hAnsiTheme="minorEastAsia" w:hint="eastAsia"/>
        </w:rPr>
        <w:t>销售</w:t>
      </w:r>
      <w:r w:rsidRPr="00D6191E">
        <w:rPr>
          <w:rFonts w:asciiTheme="minorEastAsia" w:eastAsiaTheme="minorEastAsia" w:hAnsiTheme="minorEastAsia" w:hint="eastAsia"/>
        </w:rPr>
        <w:t>机构规定的手续，在开放日的业务办理时间提出转换的申请。</w:t>
      </w:r>
    </w:p>
    <w:p w:rsidR="0027081F" w:rsidRPr="00D6191E" w:rsidRDefault="0027081F" w:rsidP="000449FE">
      <w:pPr>
        <w:widowControl/>
        <w:snapToGrid w:val="0"/>
        <w:spacing w:line="360" w:lineRule="auto"/>
        <w:ind w:firstLineChars="200" w:firstLine="420"/>
        <w:jc w:val="left"/>
        <w:rPr>
          <w:rFonts w:asciiTheme="minorEastAsia" w:eastAsiaTheme="minorEastAsia" w:hAnsiTheme="minorEastAsia"/>
        </w:rPr>
      </w:pPr>
      <w:r w:rsidRPr="00D6191E">
        <w:rPr>
          <w:rFonts w:asciiTheme="minorEastAsia" w:eastAsiaTheme="minorEastAsia" w:hAnsiTheme="minorEastAsia" w:hint="eastAsia"/>
        </w:rPr>
        <w:t>提交基金转换申请时，账户中必须有足够可用的转出基金份额余额。</w:t>
      </w:r>
    </w:p>
    <w:p w:rsidR="001374EE" w:rsidRPr="00D6191E" w:rsidRDefault="00701CC2" w:rsidP="003B4E4D">
      <w:pPr>
        <w:widowControl/>
        <w:snapToGrid w:val="0"/>
        <w:spacing w:line="360" w:lineRule="auto"/>
        <w:ind w:firstLineChars="200" w:firstLine="420"/>
        <w:jc w:val="left"/>
        <w:rPr>
          <w:rFonts w:asciiTheme="minorEastAsia" w:eastAsiaTheme="minorEastAsia" w:hAnsiTheme="minorEastAsia"/>
        </w:rPr>
      </w:pPr>
      <w:r w:rsidRPr="00D6191E">
        <w:rPr>
          <w:rFonts w:asciiTheme="minorEastAsia" w:eastAsiaTheme="minorEastAsia" w:hAnsiTheme="minorEastAsia"/>
        </w:rPr>
        <w:t>2、</w:t>
      </w:r>
      <w:r w:rsidR="00204E25" w:rsidRPr="00D6191E">
        <w:rPr>
          <w:rFonts w:asciiTheme="minorEastAsia" w:eastAsiaTheme="minorEastAsia" w:hAnsiTheme="minorEastAsia" w:hint="eastAsia"/>
        </w:rPr>
        <w:t>基金转换申请的确认</w:t>
      </w:r>
    </w:p>
    <w:p w:rsidR="00B56605" w:rsidRPr="00D6191E" w:rsidRDefault="0027081F" w:rsidP="000449FE">
      <w:pPr>
        <w:widowControl/>
        <w:snapToGrid w:val="0"/>
        <w:spacing w:line="360" w:lineRule="auto"/>
        <w:ind w:firstLineChars="200" w:firstLine="420"/>
        <w:jc w:val="left"/>
        <w:rPr>
          <w:rFonts w:asciiTheme="minorEastAsia" w:eastAsiaTheme="minorEastAsia" w:hAnsiTheme="minorEastAsia"/>
        </w:rPr>
      </w:pPr>
      <w:r w:rsidRPr="00D6191E">
        <w:rPr>
          <w:rFonts w:asciiTheme="minorEastAsia" w:eastAsiaTheme="minorEastAsia" w:hAnsiTheme="minorEastAsia" w:hint="eastAsia"/>
        </w:rPr>
        <w:t>正常情况下，基金管理人以在规定的基金业务办理时间段内收到基金转换申请的当天作为基金转换的申请日（T日），并在T+1工作日对该交易的有效性进行确认。投资者可在T+2工作日及之后查询成交情况。</w:t>
      </w:r>
    </w:p>
    <w:p w:rsidR="0027081F" w:rsidRPr="00D6191E" w:rsidRDefault="0027081F" w:rsidP="004D6C82">
      <w:pPr>
        <w:pStyle w:val="2"/>
        <w:snapToGrid w:val="0"/>
        <w:spacing w:beforeLines="0" w:afterLines="0" w:line="360" w:lineRule="auto"/>
        <w:ind w:firstLineChars="0" w:firstLine="0"/>
        <w:rPr>
          <w:rFonts w:asciiTheme="minorEastAsia" w:eastAsiaTheme="minorEastAsia" w:hAnsiTheme="minorEastAsia"/>
          <w:b w:val="0"/>
          <w:bCs/>
        </w:rPr>
      </w:pPr>
      <w:bookmarkStart w:id="35" w:name="_Toc86315861"/>
      <w:r w:rsidRPr="00D6191E">
        <w:rPr>
          <w:rFonts w:asciiTheme="minorEastAsia" w:eastAsiaTheme="minorEastAsia" w:hAnsiTheme="minorEastAsia" w:hint="eastAsia"/>
          <w:b w:val="0"/>
          <w:bCs/>
        </w:rPr>
        <w:t>(四)基金转换的份额限制</w:t>
      </w:r>
      <w:bookmarkEnd w:id="35"/>
    </w:p>
    <w:p w:rsidR="00A356CC" w:rsidRPr="00D6191E" w:rsidRDefault="00A356CC"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基金份额持有人可将其全部或部分基金份额转换成另一只基金，本基金每类基金份额单笔转出申请不得少于1份（如该账户在该销售机构托管的</w:t>
      </w:r>
      <w:r w:rsidR="00B8438D" w:rsidRPr="00D6191E">
        <w:rPr>
          <w:rFonts w:asciiTheme="minorEastAsia" w:eastAsiaTheme="minorEastAsia" w:hAnsiTheme="minorEastAsia" w:hint="eastAsia"/>
          <w:szCs w:val="21"/>
        </w:rPr>
        <w:t>该</w:t>
      </w:r>
      <w:r w:rsidRPr="00D6191E">
        <w:rPr>
          <w:rFonts w:asciiTheme="minorEastAsia" w:eastAsiaTheme="minorEastAsia" w:hAnsiTheme="minorEastAsia" w:hint="eastAsia"/>
          <w:szCs w:val="21"/>
        </w:rPr>
        <w:t>类基金余额不足1份，则必须一次性赎回或转出该类基金全部份额）；若某笔转换导致投资者在</w:t>
      </w:r>
      <w:r w:rsidR="00EF5035" w:rsidRPr="00D6191E">
        <w:rPr>
          <w:rFonts w:asciiTheme="minorEastAsia" w:eastAsiaTheme="minorEastAsia" w:hAnsiTheme="minorEastAsia" w:hint="eastAsia"/>
          <w:szCs w:val="21"/>
        </w:rPr>
        <w:t>该</w:t>
      </w:r>
      <w:r w:rsidRPr="00D6191E">
        <w:rPr>
          <w:rFonts w:asciiTheme="minorEastAsia" w:eastAsiaTheme="minorEastAsia" w:hAnsiTheme="minorEastAsia" w:hint="eastAsia"/>
          <w:szCs w:val="21"/>
        </w:rPr>
        <w:t>销售机构托管的该类基金余额不足1份时，基金管理人有权将投资者在该销售机构托管的该类基金剩余份额一次性全部赎回。</w:t>
      </w:r>
    </w:p>
    <w:p w:rsidR="0027081F" w:rsidRPr="00D6191E" w:rsidRDefault="0027081F"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kern w:val="0"/>
          <w:szCs w:val="21"/>
        </w:rPr>
        <w:t>基金管理人可根据市场情况制定或调整上述基金转换的程序及有关限制，但应在调整生效前在至少一种中国证监会指定的媒体上予以公告。</w:t>
      </w:r>
    </w:p>
    <w:p w:rsidR="0027081F" w:rsidRPr="00D6191E" w:rsidRDefault="0027081F" w:rsidP="004D6C82">
      <w:pPr>
        <w:pStyle w:val="2"/>
        <w:snapToGrid w:val="0"/>
        <w:spacing w:beforeLines="0" w:afterLines="0" w:line="360" w:lineRule="auto"/>
        <w:ind w:firstLineChars="0" w:firstLine="0"/>
        <w:rPr>
          <w:rFonts w:asciiTheme="minorEastAsia" w:eastAsiaTheme="minorEastAsia" w:hAnsiTheme="minorEastAsia"/>
          <w:b w:val="0"/>
          <w:bCs/>
        </w:rPr>
      </w:pPr>
      <w:bookmarkStart w:id="36" w:name="_Toc86315862"/>
      <w:r w:rsidRPr="00D6191E">
        <w:rPr>
          <w:rFonts w:asciiTheme="minorEastAsia" w:eastAsiaTheme="minorEastAsia" w:hAnsiTheme="minorEastAsia" w:hint="eastAsia"/>
          <w:b w:val="0"/>
          <w:bCs/>
        </w:rPr>
        <w:t>(五)基金转换费率</w:t>
      </w:r>
      <w:bookmarkEnd w:id="36"/>
    </w:p>
    <w:p w:rsidR="0027081F" w:rsidRPr="00D6191E" w:rsidRDefault="0027081F" w:rsidP="000449FE">
      <w:pPr>
        <w:widowControl/>
        <w:snapToGrid w:val="0"/>
        <w:spacing w:line="360" w:lineRule="auto"/>
        <w:ind w:firstLineChars="200" w:firstLine="420"/>
        <w:jc w:val="left"/>
        <w:rPr>
          <w:rFonts w:asciiTheme="minorEastAsia" w:eastAsiaTheme="minorEastAsia" w:hAnsiTheme="minorEastAsia"/>
        </w:rPr>
      </w:pPr>
      <w:r w:rsidRPr="00D6191E">
        <w:rPr>
          <w:rFonts w:asciiTheme="minorEastAsia" w:eastAsiaTheme="minorEastAsia" w:hAnsiTheme="minorEastAsia" w:hint="eastAsia"/>
        </w:rPr>
        <w:t>基金转换费由基金份额持有人承担，</w:t>
      </w:r>
      <w:r w:rsidRPr="00D6191E">
        <w:rPr>
          <w:rFonts w:asciiTheme="minorEastAsia" w:eastAsiaTheme="minorEastAsia" w:hAnsiTheme="minorEastAsia" w:hint="eastAsia"/>
          <w:szCs w:val="21"/>
        </w:rPr>
        <w:t>由转出基金赎回费用及基金申购补差费用两部分构成</w:t>
      </w:r>
      <w:r w:rsidR="00503874" w:rsidRPr="00D6191E">
        <w:rPr>
          <w:rFonts w:asciiTheme="minorEastAsia" w:eastAsiaTheme="minorEastAsia" w:hAnsiTheme="minorEastAsia" w:hint="eastAsia"/>
          <w:szCs w:val="21"/>
        </w:rPr>
        <w:t>，其中赎回费按照</w:t>
      </w:r>
      <w:r w:rsidR="00B8438D" w:rsidRPr="00D6191E">
        <w:rPr>
          <w:rFonts w:asciiTheme="minorEastAsia" w:eastAsiaTheme="minorEastAsia" w:hAnsiTheme="minorEastAsia" w:hint="eastAsia"/>
          <w:szCs w:val="21"/>
        </w:rPr>
        <w:t>各基金的</w:t>
      </w:r>
      <w:r w:rsidR="00503874" w:rsidRPr="00D6191E">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r w:rsidR="00783ECE" w:rsidRPr="00D6191E">
        <w:rPr>
          <w:rFonts w:asciiTheme="minorEastAsia" w:eastAsiaTheme="minorEastAsia" w:hAnsiTheme="minorEastAsia" w:hint="eastAsia"/>
          <w:szCs w:val="21"/>
        </w:rPr>
        <w:t>，</w:t>
      </w:r>
      <w:r w:rsidR="00783ECE" w:rsidRPr="00D6191E">
        <w:rPr>
          <w:rFonts w:asciiTheme="minorEastAsia" w:eastAsiaTheme="minorEastAsia" w:hAnsiTheme="minorEastAsia" w:hint="eastAsia"/>
        </w:rPr>
        <w:t>具体实施办法和</w:t>
      </w:r>
      <w:r w:rsidR="00503874" w:rsidRPr="00D6191E">
        <w:rPr>
          <w:rFonts w:asciiTheme="minorEastAsia" w:eastAsiaTheme="minorEastAsia" w:hAnsiTheme="minorEastAsia" w:hint="eastAsia"/>
        </w:rPr>
        <w:t>基金转换费率详见相关公告。转换费用以人民币元为单位，计算结果按照四舍五入方法，保留小数点后两位。</w:t>
      </w:r>
    </w:p>
    <w:p w:rsidR="00503874" w:rsidRPr="00D6191E" w:rsidRDefault="00503874" w:rsidP="000449FE">
      <w:pPr>
        <w:widowControl/>
        <w:snapToGrid w:val="0"/>
        <w:spacing w:line="360" w:lineRule="auto"/>
        <w:ind w:firstLineChars="200" w:firstLine="420"/>
        <w:jc w:val="left"/>
        <w:rPr>
          <w:rFonts w:asciiTheme="minorEastAsia" w:eastAsiaTheme="minorEastAsia" w:hAnsiTheme="minorEastAsia"/>
        </w:rPr>
      </w:pPr>
      <w:r w:rsidRPr="00D6191E">
        <w:rPr>
          <w:rFonts w:asciiTheme="minorEastAsia" w:eastAsiaTheme="minorEastAsia" w:hAnsiTheme="minorEastAsia" w:hint="eastAsia"/>
        </w:rPr>
        <w:t>基金管理人可以根据市场情况在不违背有关法律法规和《基金合同》的规定之前提下调整上述费率</w:t>
      </w:r>
      <w:r w:rsidR="0034649F" w:rsidRPr="00D6191E">
        <w:rPr>
          <w:rFonts w:asciiTheme="minorEastAsia" w:eastAsiaTheme="minorEastAsia" w:hAnsiTheme="minorEastAsia" w:hint="eastAsia"/>
        </w:rPr>
        <w:t>，</w:t>
      </w:r>
      <w:r w:rsidRPr="00D6191E">
        <w:rPr>
          <w:rFonts w:asciiTheme="minorEastAsia" w:eastAsiaTheme="minorEastAsia" w:hAnsiTheme="minorEastAsia" w:hint="eastAsia"/>
        </w:rPr>
        <w:t>但应在调整生效前在至少一种中国证监会指定的媒体上予以公告。</w:t>
      </w:r>
    </w:p>
    <w:p w:rsidR="005536E3" w:rsidRPr="00D6191E" w:rsidRDefault="0036702D" w:rsidP="000449FE">
      <w:pPr>
        <w:widowControl/>
        <w:snapToGrid w:val="0"/>
        <w:spacing w:line="360" w:lineRule="auto"/>
        <w:ind w:firstLineChars="200" w:firstLine="420"/>
        <w:jc w:val="left"/>
        <w:rPr>
          <w:rFonts w:asciiTheme="minorEastAsia" w:eastAsiaTheme="minorEastAsia" w:hAnsiTheme="minorEastAsia"/>
        </w:rPr>
      </w:pPr>
      <w:r w:rsidRPr="00D6191E">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503874" w:rsidRPr="00D6191E" w:rsidRDefault="00503874" w:rsidP="004D6C82">
      <w:pPr>
        <w:pStyle w:val="2"/>
        <w:snapToGrid w:val="0"/>
        <w:spacing w:beforeLines="0" w:afterLines="0" w:line="360" w:lineRule="auto"/>
        <w:ind w:firstLineChars="0" w:firstLine="0"/>
        <w:rPr>
          <w:rFonts w:asciiTheme="minorEastAsia" w:eastAsiaTheme="minorEastAsia" w:hAnsiTheme="minorEastAsia"/>
          <w:b w:val="0"/>
          <w:bCs/>
        </w:rPr>
      </w:pPr>
      <w:bookmarkStart w:id="37" w:name="_Toc86315863"/>
      <w:r w:rsidRPr="00D6191E">
        <w:rPr>
          <w:rFonts w:asciiTheme="minorEastAsia" w:eastAsiaTheme="minorEastAsia" w:hAnsiTheme="minorEastAsia" w:hint="eastAsia"/>
          <w:b w:val="0"/>
          <w:bCs/>
        </w:rPr>
        <w:t>(六)基金转换份额的计算方式</w:t>
      </w:r>
      <w:bookmarkEnd w:id="37"/>
    </w:p>
    <w:p w:rsidR="00503874" w:rsidRPr="00D6191E" w:rsidRDefault="00503874"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计算公式：</w:t>
      </w:r>
    </w:p>
    <w:p w:rsidR="00503874" w:rsidRPr="00D6191E" w:rsidRDefault="00503874" w:rsidP="006E5457">
      <w:pPr>
        <w:ind w:firstLineChars="250" w:firstLine="525"/>
        <w:rPr>
          <w:rFonts w:asciiTheme="minorEastAsia" w:eastAsiaTheme="minorEastAsia" w:hAnsiTheme="minorEastAsia"/>
        </w:rPr>
      </w:pPr>
      <w:r w:rsidRPr="00D6191E">
        <w:rPr>
          <w:rFonts w:asciiTheme="minorEastAsia" w:eastAsiaTheme="minorEastAsia" w:hAnsiTheme="minorEastAsia" w:hint="eastAsia"/>
        </w:rPr>
        <w:t>A=［B×C×(1-D)/（1+G）+F］/E</w:t>
      </w:r>
    </w:p>
    <w:p w:rsidR="00503874" w:rsidRPr="00D6191E" w:rsidRDefault="00503874" w:rsidP="006E5457">
      <w:pPr>
        <w:ind w:firstLineChars="250" w:firstLine="525"/>
        <w:rPr>
          <w:rFonts w:asciiTheme="minorEastAsia" w:eastAsiaTheme="minorEastAsia" w:hAnsiTheme="minorEastAsia"/>
          <w:szCs w:val="21"/>
        </w:rPr>
      </w:pPr>
      <w:r w:rsidRPr="00D6191E">
        <w:rPr>
          <w:rFonts w:asciiTheme="minorEastAsia" w:eastAsiaTheme="minorEastAsia" w:hAnsiTheme="minorEastAsia"/>
          <w:szCs w:val="21"/>
        </w:rPr>
        <w:t>H=B×C×D</w:t>
      </w:r>
    </w:p>
    <w:p w:rsidR="00503874" w:rsidRPr="00D6191E" w:rsidRDefault="00503874" w:rsidP="006E5457">
      <w:pPr>
        <w:ind w:firstLineChars="250" w:firstLine="525"/>
        <w:rPr>
          <w:rFonts w:asciiTheme="minorEastAsia" w:eastAsiaTheme="minorEastAsia" w:hAnsiTheme="minorEastAsia"/>
          <w:szCs w:val="21"/>
        </w:rPr>
      </w:pPr>
      <w:r w:rsidRPr="00D6191E">
        <w:rPr>
          <w:rFonts w:asciiTheme="minorEastAsia" w:eastAsiaTheme="minorEastAsia" w:hAnsiTheme="minorEastAsia"/>
          <w:szCs w:val="21"/>
        </w:rPr>
        <w:t>J=[B×C×(1-D)/(1+G)]×G</w:t>
      </w:r>
    </w:p>
    <w:p w:rsidR="00503874" w:rsidRPr="00D6191E" w:rsidRDefault="00503874"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szCs w:val="21"/>
        </w:rPr>
        <w:t>其中，A为转入的基金份额；B为转出的基金份额；C为转换申请当日转出基金的基金</w:t>
      </w:r>
      <w:r w:rsidRPr="00D6191E">
        <w:rPr>
          <w:rFonts w:asciiTheme="minorEastAsia" w:eastAsiaTheme="minorEastAsia" w:hAnsiTheme="minorEastAsia" w:hint="eastAsia"/>
        </w:rPr>
        <w:t>份额净值；D为转出基金的对应赎回费率；E为转换申请当日转入基金的基金份额净值；</w:t>
      </w:r>
      <w:r w:rsidR="000676DE" w:rsidRPr="00D6191E">
        <w:rPr>
          <w:rFonts w:asciiTheme="minorEastAsia" w:eastAsiaTheme="minorEastAsia" w:hAnsiTheme="minorEastAsia" w:hint="eastAsia"/>
        </w:rPr>
        <w:t>F为货币市场基金全部转出时注册登记机构已支付的未付收益</w:t>
      </w:r>
      <w:r w:rsidRPr="00D6191E">
        <w:rPr>
          <w:rFonts w:asciiTheme="minorEastAsia" w:eastAsiaTheme="minorEastAsia" w:hAnsiTheme="minorEastAsia" w:hint="eastAsia"/>
        </w:rPr>
        <w:t>；G为对应的申购补差费率；H</w:t>
      </w:r>
      <w:r w:rsidRPr="00D6191E">
        <w:rPr>
          <w:rFonts w:asciiTheme="minorEastAsia" w:eastAsiaTheme="minorEastAsia" w:hAnsiTheme="minorEastAsia" w:hint="eastAsia"/>
        </w:rPr>
        <w:lastRenderedPageBreak/>
        <w:t>为转出基金赎回费；J为申购补差费。</w:t>
      </w:r>
    </w:p>
    <w:p w:rsidR="00F177EC" w:rsidRPr="00D6191E" w:rsidRDefault="00F177EC" w:rsidP="00EB43C8">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503874" w:rsidRPr="00D6191E" w:rsidRDefault="00503874"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说明：</w:t>
      </w:r>
    </w:p>
    <w:p w:rsidR="00503874" w:rsidRPr="00D6191E" w:rsidRDefault="00200D60"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1、</w:t>
      </w:r>
      <w:r w:rsidR="00503874" w:rsidRPr="00D6191E">
        <w:rPr>
          <w:rFonts w:asciiTheme="minorEastAsia" w:eastAsiaTheme="minorEastAsia" w:hAnsiTheme="minorEastAsia" w:hint="eastAsia"/>
        </w:rPr>
        <w:t>基金转换费用由转出基金赎回费用及基金申购补差费用两部分构成。</w:t>
      </w:r>
    </w:p>
    <w:p w:rsidR="00503874" w:rsidRPr="00D6191E" w:rsidRDefault="00200D60"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2、</w:t>
      </w:r>
      <w:r w:rsidR="00503874" w:rsidRPr="00D6191E">
        <w:rPr>
          <w:rFonts w:asciiTheme="minorEastAsia" w:eastAsiaTheme="minorEastAsia" w:hAnsiTheme="minorEastAsia" w:hint="eastAsia"/>
        </w:rPr>
        <w:t>转入基金时，从申购费用低的基金向申购费用高的基金转换时，每次收取申购补差费用；从申购费用高的基金向申购费用低的基金转换时，不收取申购补差费用</w:t>
      </w:r>
      <w:r w:rsidR="00294FC6" w:rsidRPr="00D6191E">
        <w:rPr>
          <w:rFonts w:asciiTheme="minorEastAsia" w:eastAsiaTheme="minorEastAsia" w:hAnsiTheme="minorEastAsia" w:hint="eastAsia"/>
          <w:szCs w:val="21"/>
        </w:rPr>
        <w:t>（注：对通过直销中心申购实施差别申购费率的投资群体基金份额的申购费，以除</w:t>
      </w:r>
      <w:r w:rsidR="00145144">
        <w:rPr>
          <w:rFonts w:asciiTheme="minorEastAsia" w:hAnsiTheme="minorEastAsia" w:hint="eastAsia"/>
          <w:color w:val="000000" w:themeColor="text1"/>
          <w:kern w:val="0"/>
          <w:szCs w:val="21"/>
        </w:rPr>
        <w:t>上述投资群体之外的</w:t>
      </w:r>
      <w:r w:rsidR="00294FC6" w:rsidRPr="00D6191E">
        <w:rPr>
          <w:rFonts w:asciiTheme="minorEastAsia" w:eastAsiaTheme="minorEastAsia" w:hAnsiTheme="minorEastAsia" w:hint="eastAsia"/>
          <w:szCs w:val="21"/>
        </w:rPr>
        <w:t>其他投资者申购费为比较标准）</w:t>
      </w:r>
      <w:r w:rsidR="00503874" w:rsidRPr="00D6191E">
        <w:rPr>
          <w:rFonts w:asciiTheme="minorEastAsia" w:eastAsiaTheme="minorEastAsia" w:hAnsiTheme="minorEastAsia" w:hint="eastAsia"/>
        </w:rPr>
        <w:t>。申购补差费用按照转换金额对应的转出基金与转入基金的申购费率差额进行补差，具体收取情况视每次转换时两只基金的申购费率的差异情况而定</w:t>
      </w:r>
      <w:r w:rsidR="0005548E" w:rsidRPr="00D6191E">
        <w:rPr>
          <w:rFonts w:asciiTheme="minorEastAsia" w:eastAsiaTheme="minorEastAsia" w:hAnsiTheme="minorEastAsia" w:hint="eastAsia"/>
        </w:rPr>
        <w:t>并见相关公告</w:t>
      </w:r>
      <w:r w:rsidR="00503874" w:rsidRPr="00D6191E">
        <w:rPr>
          <w:rFonts w:asciiTheme="minorEastAsia" w:eastAsiaTheme="minorEastAsia" w:hAnsiTheme="minorEastAsia" w:hint="eastAsia"/>
        </w:rPr>
        <w:t>。</w:t>
      </w:r>
    </w:p>
    <w:p w:rsidR="0027081F"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rPr>
        <w:t>3、</w:t>
      </w:r>
      <w:r w:rsidR="00503874" w:rsidRPr="00D6191E">
        <w:rPr>
          <w:rFonts w:asciiTheme="minorEastAsia" w:eastAsiaTheme="minorEastAsia" w:hAnsiTheme="minorEastAsia" w:hint="eastAsia"/>
        </w:rPr>
        <w:t>转出基金时，如涉及的转出基金有赎回费用，收取该基金的赎回费用。</w:t>
      </w:r>
      <w:r w:rsidR="001E5CEE" w:rsidRPr="00D6191E">
        <w:rPr>
          <w:rFonts w:asciiTheme="minorEastAsia" w:eastAsiaTheme="minorEastAsia" w:hAnsiTheme="minorEastAsia" w:hint="eastAsia"/>
        </w:rPr>
        <w:t>收取的赎回费按照</w:t>
      </w:r>
      <w:r w:rsidR="00EF5035" w:rsidRPr="00D6191E">
        <w:rPr>
          <w:rFonts w:asciiTheme="minorEastAsia" w:eastAsiaTheme="minorEastAsia" w:hAnsiTheme="minorEastAsia" w:hint="eastAsia"/>
        </w:rPr>
        <w:t>各基金</w:t>
      </w:r>
      <w:r w:rsidR="00EF5035" w:rsidRPr="00D6191E">
        <w:rPr>
          <w:rFonts w:asciiTheme="minorEastAsia" w:eastAsiaTheme="minorEastAsia" w:hAnsiTheme="minorEastAsia"/>
        </w:rPr>
        <w:t>的</w:t>
      </w:r>
      <w:r w:rsidR="001E5CEE" w:rsidRPr="00D6191E">
        <w:rPr>
          <w:rFonts w:asciiTheme="minorEastAsia" w:eastAsiaTheme="minorEastAsia" w:hAnsiTheme="minorEastAsia" w:hint="eastAsia"/>
        </w:rPr>
        <w:t>基金合同、更新的招募说明书及最新的相关公告约定的比例归入基金财产，其余部分用</w:t>
      </w:r>
      <w:r w:rsidR="001E5CEE" w:rsidRPr="00D6191E">
        <w:rPr>
          <w:rFonts w:asciiTheme="minorEastAsia" w:eastAsiaTheme="minorEastAsia" w:hAnsiTheme="minorEastAsia" w:hint="eastAsia"/>
          <w:szCs w:val="21"/>
        </w:rPr>
        <w:t>于支付注册登记费等相关手续费。</w:t>
      </w:r>
    </w:p>
    <w:p w:rsidR="0027081F" w:rsidRPr="00D6191E" w:rsidRDefault="001E5CEE"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w:t>
      </w:r>
      <w:r w:rsidR="00200D60" w:rsidRPr="00D6191E">
        <w:rPr>
          <w:rFonts w:asciiTheme="minorEastAsia" w:eastAsiaTheme="minorEastAsia" w:hAnsiTheme="minorEastAsia" w:hint="eastAsia"/>
          <w:szCs w:val="21"/>
        </w:rPr>
        <w:t>、</w:t>
      </w:r>
      <w:r w:rsidRPr="00D6191E">
        <w:rPr>
          <w:rFonts w:asciiTheme="minorEastAsia" w:eastAsiaTheme="minorEastAsia" w:hAnsiTheme="minorEastAsia" w:hint="eastAsia"/>
          <w:szCs w:val="21"/>
        </w:rPr>
        <w:t>投资者可以发起多次基金转换业务，基金转换费用按每笔申请单独计算。转换费用以人民币元为单位，计算</w:t>
      </w:r>
      <w:r w:rsidRPr="00D6191E">
        <w:rPr>
          <w:rFonts w:asciiTheme="minorEastAsia" w:eastAsiaTheme="minorEastAsia" w:hAnsiTheme="minorEastAsia" w:hint="eastAsia"/>
        </w:rPr>
        <w:t>结果</w:t>
      </w:r>
      <w:r w:rsidRPr="00D6191E">
        <w:rPr>
          <w:rFonts w:asciiTheme="minorEastAsia" w:eastAsiaTheme="minorEastAsia" w:hAnsiTheme="minorEastAsia" w:hint="eastAsia"/>
          <w:szCs w:val="21"/>
        </w:rPr>
        <w:t>按照四舍五入方法，保留小数点后两位。</w:t>
      </w:r>
    </w:p>
    <w:p w:rsidR="0027081F" w:rsidRPr="00D6191E" w:rsidRDefault="001E5CEE"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举例说明：</w:t>
      </w:r>
    </w:p>
    <w:p w:rsidR="001E5CEE" w:rsidRPr="00D6191E" w:rsidRDefault="001E5CEE"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假设某持有人</w:t>
      </w:r>
      <w:r w:rsidR="0056586E">
        <w:rPr>
          <w:rFonts w:asciiTheme="minorEastAsia" w:eastAsiaTheme="minorEastAsia" w:hAnsiTheme="minorEastAsia" w:hint="eastAsia"/>
          <w:szCs w:val="21"/>
        </w:rPr>
        <w:t>（其他投资者）</w:t>
      </w:r>
      <w:r w:rsidRPr="00D6191E">
        <w:rPr>
          <w:rFonts w:asciiTheme="minorEastAsia" w:eastAsiaTheme="minorEastAsia" w:hAnsiTheme="minorEastAsia" w:hint="eastAsia"/>
          <w:szCs w:val="21"/>
        </w:rPr>
        <w:t>持有本基金C类基金份额10,000份，持有100天，现欲转换为易方达策略成长二号混合型证券投资基金；假设转出基金T日的基金份额净值为1.100元，转入基金易方达策略成长二号混合型证券投资基金T日的基金份额净值为1.020元，则转出基金的赎回费率为0，申购补差费率为2.0%。转换份额计算如下：</w:t>
      </w:r>
    </w:p>
    <w:p w:rsidR="001E5CEE" w:rsidRPr="00D6191E" w:rsidRDefault="001E5CEE"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转换金额=转出基金申请份额×转出基金份额净值=10,000×1.100=11,000.00元</w:t>
      </w:r>
    </w:p>
    <w:p w:rsidR="001E5CEE" w:rsidRPr="00D6191E" w:rsidRDefault="001E5CEE"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转出基金赎回费=转换金额×转出基金赎回费率=11,000.00×0.00=0.00元</w:t>
      </w:r>
    </w:p>
    <w:p w:rsidR="001E5CEE" w:rsidRPr="00D6191E" w:rsidRDefault="001E5CEE"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申购补差费=(转换金额-转出基金赎回费)×申购补差费率÷(１＋申购补差费率)=（11,000.00-0.00)×2.0%÷(1+2.0%)=215.69元</w:t>
      </w:r>
    </w:p>
    <w:p w:rsidR="001E5CEE" w:rsidRPr="00D6191E" w:rsidRDefault="001E5CEE"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转换费=转出基金赎回费+申购补差费=0.00+215.69=215.69元</w:t>
      </w:r>
    </w:p>
    <w:p w:rsidR="001E5CEE" w:rsidRPr="00D6191E" w:rsidRDefault="001E5CEE"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转入金额=转换金额-转换费=11,000.00-215.69=10784.31元</w:t>
      </w:r>
    </w:p>
    <w:p w:rsidR="0027081F" w:rsidRPr="00D6191E" w:rsidRDefault="001E5CEE"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转入份额=转入金额÷转入基金份额净值=10784.31÷1.020=10572.85份</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440"/>
        <w:gridCol w:w="1260"/>
        <w:gridCol w:w="1080"/>
        <w:gridCol w:w="1440"/>
        <w:gridCol w:w="1185"/>
        <w:gridCol w:w="1335"/>
      </w:tblGrid>
      <w:tr w:rsidR="00D6191E" w:rsidRPr="00D6191E" w:rsidTr="004B07D0">
        <w:trPr>
          <w:trHeight w:val="413"/>
        </w:trPr>
        <w:tc>
          <w:tcPr>
            <w:tcW w:w="1080" w:type="dxa"/>
            <w:vMerge w:val="restart"/>
          </w:tcPr>
          <w:p w:rsidR="001E5CEE" w:rsidRPr="00D6191E" w:rsidRDefault="001E5CEE" w:rsidP="000449FE">
            <w:pPr>
              <w:snapToGrid w:val="0"/>
              <w:spacing w:line="360" w:lineRule="auto"/>
              <w:ind w:leftChars="-45" w:left="-94" w:rightChars="-57" w:right="-120"/>
              <w:jc w:val="center"/>
              <w:rPr>
                <w:rFonts w:asciiTheme="minorEastAsia" w:eastAsiaTheme="minorEastAsia" w:hAnsiTheme="minorEastAsia"/>
                <w:szCs w:val="20"/>
              </w:rPr>
            </w:pPr>
            <w:r w:rsidRPr="00D6191E">
              <w:rPr>
                <w:rFonts w:asciiTheme="minorEastAsia" w:eastAsiaTheme="minorEastAsia" w:hAnsiTheme="minorEastAsia" w:hint="eastAsia"/>
                <w:szCs w:val="20"/>
              </w:rPr>
              <w:t>转出</w:t>
            </w:r>
            <w:r w:rsidRPr="00D6191E">
              <w:rPr>
                <w:rFonts w:asciiTheme="minorEastAsia" w:eastAsiaTheme="minorEastAsia" w:hAnsiTheme="minorEastAsia"/>
                <w:szCs w:val="20"/>
              </w:rPr>
              <w:t>份额</w:t>
            </w:r>
          </w:p>
        </w:tc>
        <w:tc>
          <w:tcPr>
            <w:tcW w:w="900" w:type="dxa"/>
            <w:vMerge w:val="restart"/>
          </w:tcPr>
          <w:p w:rsidR="001E5CEE" w:rsidRPr="00D6191E" w:rsidRDefault="001E5CEE" w:rsidP="000449FE">
            <w:pPr>
              <w:snapToGrid w:val="0"/>
              <w:spacing w:line="360" w:lineRule="auto"/>
              <w:ind w:leftChars="-45" w:left="-94" w:rightChars="-57" w:right="-120"/>
              <w:jc w:val="center"/>
              <w:rPr>
                <w:rFonts w:asciiTheme="minorEastAsia" w:eastAsiaTheme="minorEastAsia" w:hAnsiTheme="minorEastAsia"/>
                <w:szCs w:val="20"/>
              </w:rPr>
            </w:pPr>
            <w:r w:rsidRPr="00D6191E">
              <w:rPr>
                <w:rFonts w:asciiTheme="minorEastAsia" w:eastAsiaTheme="minorEastAsia" w:hAnsiTheme="minorEastAsia" w:hint="eastAsia"/>
                <w:szCs w:val="20"/>
              </w:rPr>
              <w:t>转出</w:t>
            </w:r>
            <w:r w:rsidRPr="00D6191E">
              <w:rPr>
                <w:rFonts w:asciiTheme="minorEastAsia" w:eastAsiaTheme="minorEastAsia" w:hAnsiTheme="minorEastAsia"/>
                <w:szCs w:val="20"/>
              </w:rPr>
              <w:t>基金</w:t>
            </w:r>
            <w:r w:rsidRPr="00D6191E">
              <w:rPr>
                <w:rFonts w:asciiTheme="minorEastAsia" w:eastAsiaTheme="minorEastAsia" w:hAnsiTheme="minorEastAsia" w:hint="eastAsia"/>
                <w:szCs w:val="20"/>
              </w:rPr>
              <w:t>份额</w:t>
            </w:r>
            <w:r w:rsidRPr="00D6191E">
              <w:rPr>
                <w:rFonts w:asciiTheme="minorEastAsia" w:eastAsiaTheme="minorEastAsia" w:hAnsiTheme="minorEastAsia"/>
                <w:szCs w:val="20"/>
              </w:rPr>
              <w:t>净值</w:t>
            </w:r>
          </w:p>
        </w:tc>
        <w:tc>
          <w:tcPr>
            <w:tcW w:w="1440" w:type="dxa"/>
            <w:vMerge w:val="restart"/>
          </w:tcPr>
          <w:p w:rsidR="001E5CEE" w:rsidRPr="00D6191E" w:rsidRDefault="001E5CEE" w:rsidP="000449FE">
            <w:pPr>
              <w:snapToGrid w:val="0"/>
              <w:spacing w:line="360" w:lineRule="auto"/>
              <w:ind w:leftChars="-45" w:left="-94" w:rightChars="-57" w:right="-120"/>
              <w:jc w:val="center"/>
              <w:rPr>
                <w:rFonts w:asciiTheme="minorEastAsia" w:eastAsiaTheme="minorEastAsia" w:hAnsiTheme="minorEastAsia"/>
                <w:szCs w:val="20"/>
              </w:rPr>
            </w:pPr>
            <w:r w:rsidRPr="00D6191E">
              <w:rPr>
                <w:rFonts w:asciiTheme="minorEastAsia" w:eastAsiaTheme="minorEastAsia" w:hAnsiTheme="minorEastAsia" w:hint="eastAsia"/>
                <w:szCs w:val="20"/>
              </w:rPr>
              <w:t>转换金额</w:t>
            </w:r>
          </w:p>
        </w:tc>
        <w:tc>
          <w:tcPr>
            <w:tcW w:w="2340" w:type="dxa"/>
            <w:gridSpan w:val="2"/>
          </w:tcPr>
          <w:p w:rsidR="001E5CEE" w:rsidRPr="00D6191E" w:rsidRDefault="001E5CEE" w:rsidP="000449FE">
            <w:pPr>
              <w:snapToGrid w:val="0"/>
              <w:spacing w:line="360" w:lineRule="auto"/>
              <w:ind w:leftChars="-45" w:left="-94" w:rightChars="-57" w:right="-120"/>
              <w:jc w:val="center"/>
              <w:rPr>
                <w:rFonts w:asciiTheme="minorEastAsia" w:eastAsiaTheme="minorEastAsia" w:hAnsiTheme="minorEastAsia"/>
                <w:szCs w:val="20"/>
              </w:rPr>
            </w:pPr>
            <w:r w:rsidRPr="00D6191E">
              <w:rPr>
                <w:rFonts w:asciiTheme="minorEastAsia" w:eastAsiaTheme="minorEastAsia" w:hAnsiTheme="minorEastAsia" w:hint="eastAsia"/>
                <w:szCs w:val="20"/>
              </w:rPr>
              <w:t>转换费</w:t>
            </w:r>
          </w:p>
        </w:tc>
        <w:tc>
          <w:tcPr>
            <w:tcW w:w="1440" w:type="dxa"/>
            <w:vMerge w:val="restart"/>
          </w:tcPr>
          <w:p w:rsidR="001E5CEE" w:rsidRPr="00D6191E" w:rsidRDefault="001E5CEE" w:rsidP="000449FE">
            <w:pPr>
              <w:snapToGrid w:val="0"/>
              <w:spacing w:line="360" w:lineRule="auto"/>
              <w:ind w:leftChars="-45" w:left="-94" w:rightChars="-57" w:right="-120"/>
              <w:jc w:val="center"/>
              <w:rPr>
                <w:rFonts w:asciiTheme="minorEastAsia" w:eastAsiaTheme="minorEastAsia" w:hAnsiTheme="minorEastAsia"/>
                <w:szCs w:val="20"/>
              </w:rPr>
            </w:pPr>
            <w:r w:rsidRPr="00D6191E">
              <w:rPr>
                <w:rFonts w:asciiTheme="minorEastAsia" w:eastAsiaTheme="minorEastAsia" w:hAnsiTheme="minorEastAsia" w:hint="eastAsia"/>
                <w:szCs w:val="20"/>
              </w:rPr>
              <w:t>转入金额</w:t>
            </w:r>
          </w:p>
        </w:tc>
        <w:tc>
          <w:tcPr>
            <w:tcW w:w="1185" w:type="dxa"/>
            <w:vMerge w:val="restart"/>
          </w:tcPr>
          <w:p w:rsidR="001E5CEE" w:rsidRPr="00D6191E" w:rsidRDefault="001E5CEE" w:rsidP="000449FE">
            <w:pPr>
              <w:snapToGrid w:val="0"/>
              <w:spacing w:line="360" w:lineRule="auto"/>
              <w:ind w:leftChars="-45" w:left="-94" w:rightChars="-57" w:right="-120"/>
              <w:jc w:val="center"/>
              <w:rPr>
                <w:rFonts w:asciiTheme="minorEastAsia" w:eastAsiaTheme="minorEastAsia" w:hAnsiTheme="minorEastAsia"/>
                <w:szCs w:val="20"/>
              </w:rPr>
            </w:pPr>
            <w:r w:rsidRPr="00D6191E">
              <w:rPr>
                <w:rFonts w:asciiTheme="minorEastAsia" w:eastAsiaTheme="minorEastAsia" w:hAnsiTheme="minorEastAsia" w:hint="eastAsia"/>
                <w:szCs w:val="20"/>
              </w:rPr>
              <w:t>转入</w:t>
            </w:r>
            <w:r w:rsidRPr="00D6191E">
              <w:rPr>
                <w:rFonts w:asciiTheme="minorEastAsia" w:eastAsiaTheme="minorEastAsia" w:hAnsiTheme="minorEastAsia"/>
                <w:szCs w:val="20"/>
              </w:rPr>
              <w:t>基金</w:t>
            </w:r>
            <w:r w:rsidRPr="00D6191E">
              <w:rPr>
                <w:rFonts w:asciiTheme="minorEastAsia" w:eastAsiaTheme="minorEastAsia" w:hAnsiTheme="minorEastAsia" w:hint="eastAsia"/>
                <w:szCs w:val="20"/>
              </w:rPr>
              <w:t>份额</w:t>
            </w:r>
            <w:r w:rsidRPr="00D6191E">
              <w:rPr>
                <w:rFonts w:asciiTheme="minorEastAsia" w:eastAsiaTheme="minorEastAsia" w:hAnsiTheme="minorEastAsia"/>
                <w:szCs w:val="20"/>
              </w:rPr>
              <w:t>净值</w:t>
            </w:r>
          </w:p>
        </w:tc>
        <w:tc>
          <w:tcPr>
            <w:tcW w:w="1335" w:type="dxa"/>
            <w:vMerge w:val="restart"/>
          </w:tcPr>
          <w:p w:rsidR="001E5CEE" w:rsidRPr="00D6191E" w:rsidRDefault="001E5CEE" w:rsidP="000449FE">
            <w:pPr>
              <w:snapToGrid w:val="0"/>
              <w:spacing w:line="360" w:lineRule="auto"/>
              <w:ind w:leftChars="-45" w:left="-94" w:rightChars="-57" w:right="-120"/>
              <w:jc w:val="center"/>
              <w:rPr>
                <w:rFonts w:asciiTheme="minorEastAsia" w:eastAsiaTheme="minorEastAsia" w:hAnsiTheme="minorEastAsia"/>
                <w:szCs w:val="20"/>
              </w:rPr>
            </w:pPr>
            <w:r w:rsidRPr="00D6191E">
              <w:rPr>
                <w:rFonts w:asciiTheme="minorEastAsia" w:eastAsiaTheme="minorEastAsia" w:hAnsiTheme="minorEastAsia" w:hint="eastAsia"/>
                <w:szCs w:val="20"/>
              </w:rPr>
              <w:t>转入份额</w:t>
            </w:r>
          </w:p>
        </w:tc>
      </w:tr>
      <w:tr w:rsidR="00D6191E" w:rsidRPr="00D6191E" w:rsidTr="004B07D0">
        <w:trPr>
          <w:trHeight w:val="412"/>
        </w:trPr>
        <w:tc>
          <w:tcPr>
            <w:tcW w:w="1080" w:type="dxa"/>
            <w:vMerge/>
          </w:tcPr>
          <w:p w:rsidR="001E5CEE" w:rsidRPr="00D6191E" w:rsidRDefault="001E5CEE" w:rsidP="000449FE">
            <w:pPr>
              <w:snapToGrid w:val="0"/>
              <w:spacing w:line="360" w:lineRule="auto"/>
              <w:ind w:firstLine="420"/>
              <w:rPr>
                <w:rFonts w:asciiTheme="minorEastAsia" w:eastAsiaTheme="minorEastAsia" w:hAnsiTheme="minorEastAsia"/>
                <w:szCs w:val="20"/>
              </w:rPr>
            </w:pPr>
          </w:p>
        </w:tc>
        <w:tc>
          <w:tcPr>
            <w:tcW w:w="900" w:type="dxa"/>
            <w:vMerge/>
          </w:tcPr>
          <w:p w:rsidR="001E5CEE" w:rsidRPr="00D6191E" w:rsidRDefault="001E5CEE" w:rsidP="000449FE">
            <w:pPr>
              <w:snapToGrid w:val="0"/>
              <w:spacing w:line="360" w:lineRule="auto"/>
              <w:ind w:firstLine="420"/>
              <w:rPr>
                <w:rFonts w:asciiTheme="minorEastAsia" w:eastAsiaTheme="minorEastAsia" w:hAnsiTheme="minorEastAsia"/>
                <w:szCs w:val="20"/>
              </w:rPr>
            </w:pPr>
          </w:p>
        </w:tc>
        <w:tc>
          <w:tcPr>
            <w:tcW w:w="1440" w:type="dxa"/>
            <w:vMerge/>
          </w:tcPr>
          <w:p w:rsidR="001E5CEE" w:rsidRPr="00D6191E" w:rsidRDefault="001E5CEE" w:rsidP="000449FE">
            <w:pPr>
              <w:snapToGrid w:val="0"/>
              <w:spacing w:line="360" w:lineRule="auto"/>
              <w:ind w:firstLine="420"/>
              <w:rPr>
                <w:rFonts w:asciiTheme="minorEastAsia" w:eastAsiaTheme="minorEastAsia" w:hAnsiTheme="minorEastAsia"/>
                <w:szCs w:val="20"/>
              </w:rPr>
            </w:pPr>
          </w:p>
        </w:tc>
        <w:tc>
          <w:tcPr>
            <w:tcW w:w="1260" w:type="dxa"/>
          </w:tcPr>
          <w:p w:rsidR="001E5CEE" w:rsidRPr="00D6191E" w:rsidRDefault="001E5CEE" w:rsidP="000449FE">
            <w:pPr>
              <w:snapToGrid w:val="0"/>
              <w:spacing w:line="360" w:lineRule="auto"/>
              <w:ind w:leftChars="-45" w:left="-94" w:rightChars="-57" w:right="-120"/>
              <w:jc w:val="center"/>
              <w:rPr>
                <w:rFonts w:asciiTheme="minorEastAsia" w:eastAsiaTheme="minorEastAsia" w:hAnsiTheme="minorEastAsia"/>
                <w:szCs w:val="20"/>
              </w:rPr>
            </w:pPr>
            <w:r w:rsidRPr="00D6191E">
              <w:rPr>
                <w:rFonts w:asciiTheme="minorEastAsia" w:eastAsiaTheme="minorEastAsia" w:hAnsiTheme="minorEastAsia" w:hint="eastAsia"/>
                <w:szCs w:val="20"/>
              </w:rPr>
              <w:t>转出基金</w:t>
            </w:r>
            <w:r w:rsidRPr="00D6191E">
              <w:rPr>
                <w:rFonts w:asciiTheme="minorEastAsia" w:eastAsiaTheme="minorEastAsia" w:hAnsiTheme="minorEastAsia"/>
                <w:szCs w:val="20"/>
              </w:rPr>
              <w:t>赎回费</w:t>
            </w:r>
          </w:p>
        </w:tc>
        <w:tc>
          <w:tcPr>
            <w:tcW w:w="1080" w:type="dxa"/>
          </w:tcPr>
          <w:p w:rsidR="001E5CEE" w:rsidRPr="00D6191E" w:rsidRDefault="001E5CEE" w:rsidP="000449FE">
            <w:pPr>
              <w:snapToGrid w:val="0"/>
              <w:spacing w:line="360" w:lineRule="auto"/>
              <w:ind w:leftChars="-45" w:left="-94" w:rightChars="-57" w:right="-120"/>
              <w:jc w:val="center"/>
              <w:rPr>
                <w:rFonts w:asciiTheme="minorEastAsia" w:eastAsiaTheme="minorEastAsia" w:hAnsiTheme="minorEastAsia"/>
                <w:szCs w:val="20"/>
              </w:rPr>
            </w:pPr>
            <w:r w:rsidRPr="00D6191E">
              <w:rPr>
                <w:rFonts w:asciiTheme="minorEastAsia" w:eastAsiaTheme="minorEastAsia" w:hAnsiTheme="minorEastAsia" w:hint="eastAsia"/>
                <w:szCs w:val="20"/>
              </w:rPr>
              <w:t>申购</w:t>
            </w:r>
            <w:r w:rsidRPr="00D6191E">
              <w:rPr>
                <w:rFonts w:asciiTheme="minorEastAsia" w:eastAsiaTheme="minorEastAsia" w:hAnsiTheme="minorEastAsia"/>
                <w:szCs w:val="20"/>
              </w:rPr>
              <w:t>补差费</w:t>
            </w:r>
          </w:p>
        </w:tc>
        <w:tc>
          <w:tcPr>
            <w:tcW w:w="1440" w:type="dxa"/>
            <w:vMerge/>
          </w:tcPr>
          <w:p w:rsidR="001E5CEE" w:rsidRPr="00D6191E" w:rsidRDefault="001E5CEE" w:rsidP="000449FE">
            <w:pPr>
              <w:snapToGrid w:val="0"/>
              <w:spacing w:line="360" w:lineRule="auto"/>
              <w:ind w:firstLine="420"/>
              <w:rPr>
                <w:rFonts w:asciiTheme="minorEastAsia" w:eastAsiaTheme="minorEastAsia" w:hAnsiTheme="minorEastAsia"/>
                <w:szCs w:val="20"/>
              </w:rPr>
            </w:pPr>
          </w:p>
        </w:tc>
        <w:tc>
          <w:tcPr>
            <w:tcW w:w="1185" w:type="dxa"/>
            <w:vMerge/>
          </w:tcPr>
          <w:p w:rsidR="001E5CEE" w:rsidRPr="00D6191E" w:rsidRDefault="001E5CEE" w:rsidP="000449FE">
            <w:pPr>
              <w:snapToGrid w:val="0"/>
              <w:spacing w:line="360" w:lineRule="auto"/>
              <w:ind w:firstLine="420"/>
              <w:rPr>
                <w:rFonts w:asciiTheme="minorEastAsia" w:eastAsiaTheme="minorEastAsia" w:hAnsiTheme="minorEastAsia"/>
                <w:szCs w:val="20"/>
              </w:rPr>
            </w:pPr>
          </w:p>
        </w:tc>
        <w:tc>
          <w:tcPr>
            <w:tcW w:w="1335" w:type="dxa"/>
            <w:vMerge/>
          </w:tcPr>
          <w:p w:rsidR="001E5CEE" w:rsidRPr="00D6191E" w:rsidRDefault="001E5CEE" w:rsidP="000449FE">
            <w:pPr>
              <w:snapToGrid w:val="0"/>
              <w:spacing w:line="360" w:lineRule="auto"/>
              <w:ind w:firstLine="420"/>
              <w:rPr>
                <w:rFonts w:asciiTheme="minorEastAsia" w:eastAsiaTheme="minorEastAsia" w:hAnsiTheme="minorEastAsia"/>
                <w:szCs w:val="20"/>
              </w:rPr>
            </w:pPr>
          </w:p>
        </w:tc>
      </w:tr>
      <w:tr w:rsidR="00D6191E" w:rsidRPr="00D6191E" w:rsidTr="004B07D0">
        <w:tc>
          <w:tcPr>
            <w:tcW w:w="1080" w:type="dxa"/>
          </w:tcPr>
          <w:p w:rsidR="001E5CEE" w:rsidRPr="00D6191E" w:rsidRDefault="001E5CEE" w:rsidP="000449FE">
            <w:pPr>
              <w:snapToGrid w:val="0"/>
              <w:spacing w:line="360" w:lineRule="auto"/>
              <w:ind w:leftChars="-45" w:left="-94" w:rightChars="-57" w:right="-120"/>
              <w:jc w:val="center"/>
              <w:rPr>
                <w:rFonts w:asciiTheme="minorEastAsia" w:eastAsiaTheme="minorEastAsia" w:hAnsiTheme="minorEastAsia"/>
                <w:szCs w:val="20"/>
              </w:rPr>
            </w:pPr>
            <w:r w:rsidRPr="00D6191E">
              <w:rPr>
                <w:rFonts w:asciiTheme="minorEastAsia" w:eastAsiaTheme="minorEastAsia" w:hAnsiTheme="minorEastAsia"/>
                <w:szCs w:val="20"/>
              </w:rPr>
              <w:lastRenderedPageBreak/>
              <w:t>10,000</w:t>
            </w:r>
            <w:r w:rsidRPr="00D6191E">
              <w:rPr>
                <w:rFonts w:asciiTheme="minorEastAsia" w:eastAsiaTheme="minorEastAsia" w:hAnsiTheme="minorEastAsia" w:hint="eastAsia"/>
                <w:szCs w:val="20"/>
              </w:rPr>
              <w:t>份</w:t>
            </w:r>
          </w:p>
        </w:tc>
        <w:tc>
          <w:tcPr>
            <w:tcW w:w="900" w:type="dxa"/>
          </w:tcPr>
          <w:p w:rsidR="001E5CEE" w:rsidRPr="00D6191E" w:rsidRDefault="001E5CEE" w:rsidP="000449FE">
            <w:pPr>
              <w:snapToGrid w:val="0"/>
              <w:spacing w:line="360" w:lineRule="auto"/>
              <w:ind w:leftChars="-45" w:left="-94" w:rightChars="-57" w:right="-120"/>
              <w:jc w:val="center"/>
              <w:rPr>
                <w:rFonts w:asciiTheme="minorEastAsia" w:eastAsiaTheme="minorEastAsia" w:hAnsiTheme="minorEastAsia"/>
                <w:szCs w:val="20"/>
              </w:rPr>
            </w:pPr>
            <w:r w:rsidRPr="00D6191E">
              <w:rPr>
                <w:rFonts w:asciiTheme="minorEastAsia" w:eastAsiaTheme="minorEastAsia" w:hAnsiTheme="minorEastAsia"/>
                <w:szCs w:val="20"/>
              </w:rPr>
              <w:t>1.</w:t>
            </w:r>
            <w:r w:rsidRPr="00D6191E">
              <w:rPr>
                <w:rFonts w:asciiTheme="minorEastAsia" w:eastAsiaTheme="minorEastAsia" w:hAnsiTheme="minorEastAsia" w:hint="eastAsia"/>
                <w:szCs w:val="20"/>
              </w:rPr>
              <w:t>1</w:t>
            </w:r>
            <w:r w:rsidRPr="00D6191E">
              <w:rPr>
                <w:rFonts w:asciiTheme="minorEastAsia" w:eastAsiaTheme="minorEastAsia" w:hAnsiTheme="minorEastAsia"/>
                <w:szCs w:val="20"/>
              </w:rPr>
              <w:t>0</w:t>
            </w:r>
            <w:r w:rsidRPr="00D6191E">
              <w:rPr>
                <w:rFonts w:asciiTheme="minorEastAsia" w:eastAsiaTheme="minorEastAsia" w:hAnsiTheme="minorEastAsia" w:hint="eastAsia"/>
                <w:szCs w:val="20"/>
              </w:rPr>
              <w:t>0</w:t>
            </w:r>
            <w:r w:rsidRPr="00D6191E">
              <w:rPr>
                <w:rFonts w:asciiTheme="minorEastAsia" w:eastAsiaTheme="minorEastAsia" w:hAnsiTheme="minorEastAsia"/>
                <w:szCs w:val="20"/>
              </w:rPr>
              <w:t>元</w:t>
            </w:r>
          </w:p>
        </w:tc>
        <w:tc>
          <w:tcPr>
            <w:tcW w:w="1440" w:type="dxa"/>
          </w:tcPr>
          <w:p w:rsidR="001E5CEE" w:rsidRPr="00D6191E" w:rsidRDefault="001E5CEE" w:rsidP="000449FE">
            <w:pPr>
              <w:snapToGrid w:val="0"/>
              <w:spacing w:line="360" w:lineRule="auto"/>
              <w:ind w:leftChars="-45" w:left="-94" w:rightChars="-57" w:right="-120"/>
              <w:jc w:val="center"/>
              <w:rPr>
                <w:rFonts w:asciiTheme="minorEastAsia" w:eastAsiaTheme="minorEastAsia" w:hAnsiTheme="minorEastAsia"/>
                <w:szCs w:val="20"/>
              </w:rPr>
            </w:pPr>
            <w:r w:rsidRPr="00D6191E">
              <w:rPr>
                <w:rFonts w:asciiTheme="minorEastAsia" w:eastAsiaTheme="minorEastAsia" w:hAnsiTheme="minorEastAsia" w:hint="eastAsia"/>
                <w:szCs w:val="20"/>
              </w:rPr>
              <w:t>11,000.00元</w:t>
            </w:r>
          </w:p>
        </w:tc>
        <w:tc>
          <w:tcPr>
            <w:tcW w:w="1260" w:type="dxa"/>
          </w:tcPr>
          <w:p w:rsidR="001E5CEE" w:rsidRPr="00D6191E" w:rsidRDefault="001E5CEE" w:rsidP="000449FE">
            <w:pPr>
              <w:snapToGrid w:val="0"/>
              <w:spacing w:line="360" w:lineRule="auto"/>
              <w:ind w:leftChars="-45" w:left="-94" w:rightChars="-57" w:right="-120"/>
              <w:jc w:val="center"/>
              <w:rPr>
                <w:rFonts w:asciiTheme="minorEastAsia" w:eastAsiaTheme="minorEastAsia" w:hAnsiTheme="minorEastAsia"/>
                <w:szCs w:val="20"/>
              </w:rPr>
            </w:pPr>
            <w:r w:rsidRPr="00D6191E">
              <w:rPr>
                <w:rFonts w:asciiTheme="minorEastAsia" w:eastAsiaTheme="minorEastAsia" w:hAnsiTheme="minorEastAsia" w:hint="eastAsia"/>
                <w:szCs w:val="20"/>
              </w:rPr>
              <w:t>0.00元</w:t>
            </w:r>
          </w:p>
        </w:tc>
        <w:tc>
          <w:tcPr>
            <w:tcW w:w="1080" w:type="dxa"/>
          </w:tcPr>
          <w:p w:rsidR="001E5CEE" w:rsidRPr="00D6191E" w:rsidRDefault="001E5CEE" w:rsidP="000449FE">
            <w:pPr>
              <w:snapToGrid w:val="0"/>
              <w:spacing w:line="360" w:lineRule="auto"/>
              <w:ind w:leftChars="-45" w:left="-94" w:rightChars="-57" w:right="-120"/>
              <w:jc w:val="center"/>
              <w:rPr>
                <w:rFonts w:asciiTheme="minorEastAsia" w:eastAsiaTheme="minorEastAsia" w:hAnsiTheme="minorEastAsia"/>
                <w:szCs w:val="20"/>
              </w:rPr>
            </w:pPr>
            <w:r w:rsidRPr="00D6191E">
              <w:rPr>
                <w:rFonts w:asciiTheme="minorEastAsia" w:eastAsiaTheme="minorEastAsia" w:hAnsiTheme="minorEastAsia" w:hint="eastAsia"/>
              </w:rPr>
              <w:t>215.69</w:t>
            </w:r>
            <w:r w:rsidRPr="00D6191E">
              <w:rPr>
                <w:rFonts w:asciiTheme="minorEastAsia" w:eastAsiaTheme="minorEastAsia" w:hAnsiTheme="minorEastAsia" w:hint="eastAsia"/>
                <w:szCs w:val="20"/>
              </w:rPr>
              <w:t>元</w:t>
            </w:r>
          </w:p>
        </w:tc>
        <w:tc>
          <w:tcPr>
            <w:tcW w:w="1440" w:type="dxa"/>
          </w:tcPr>
          <w:p w:rsidR="001E5CEE" w:rsidRPr="00D6191E" w:rsidRDefault="001E5CEE" w:rsidP="000449FE">
            <w:pPr>
              <w:snapToGrid w:val="0"/>
              <w:spacing w:line="360" w:lineRule="auto"/>
              <w:ind w:leftChars="-45" w:left="-94" w:rightChars="-57" w:right="-120"/>
              <w:jc w:val="center"/>
              <w:rPr>
                <w:rFonts w:asciiTheme="minorEastAsia" w:eastAsiaTheme="minorEastAsia" w:hAnsiTheme="minorEastAsia"/>
                <w:szCs w:val="20"/>
              </w:rPr>
            </w:pPr>
            <w:r w:rsidRPr="00D6191E">
              <w:rPr>
                <w:rFonts w:asciiTheme="minorEastAsia" w:eastAsiaTheme="minorEastAsia" w:hAnsiTheme="minorEastAsia"/>
                <w:szCs w:val="20"/>
              </w:rPr>
              <w:t>10</w:t>
            </w:r>
            <w:r w:rsidRPr="00D6191E">
              <w:rPr>
                <w:rFonts w:asciiTheme="minorEastAsia" w:eastAsiaTheme="minorEastAsia" w:hAnsiTheme="minorEastAsia" w:hint="eastAsia"/>
                <w:szCs w:val="20"/>
              </w:rPr>
              <w:t>,</w:t>
            </w:r>
            <w:r w:rsidRPr="00D6191E">
              <w:rPr>
                <w:rFonts w:asciiTheme="minorEastAsia" w:eastAsiaTheme="minorEastAsia" w:hAnsiTheme="minorEastAsia"/>
                <w:szCs w:val="20"/>
              </w:rPr>
              <w:t>784.31</w:t>
            </w:r>
            <w:r w:rsidRPr="00D6191E">
              <w:rPr>
                <w:rFonts w:asciiTheme="minorEastAsia" w:eastAsiaTheme="minorEastAsia" w:hAnsiTheme="minorEastAsia" w:hint="eastAsia"/>
                <w:szCs w:val="20"/>
              </w:rPr>
              <w:t>元</w:t>
            </w:r>
          </w:p>
        </w:tc>
        <w:tc>
          <w:tcPr>
            <w:tcW w:w="1185" w:type="dxa"/>
          </w:tcPr>
          <w:p w:rsidR="001E5CEE" w:rsidRPr="00D6191E" w:rsidRDefault="001E5CEE" w:rsidP="000449FE">
            <w:pPr>
              <w:snapToGrid w:val="0"/>
              <w:spacing w:line="360" w:lineRule="auto"/>
              <w:ind w:leftChars="-45" w:left="-94" w:rightChars="-57" w:right="-120"/>
              <w:jc w:val="center"/>
              <w:rPr>
                <w:rFonts w:asciiTheme="minorEastAsia" w:eastAsiaTheme="minorEastAsia" w:hAnsiTheme="minorEastAsia"/>
                <w:szCs w:val="20"/>
              </w:rPr>
            </w:pPr>
            <w:r w:rsidRPr="00D6191E">
              <w:rPr>
                <w:rFonts w:asciiTheme="minorEastAsia" w:eastAsiaTheme="minorEastAsia" w:hAnsiTheme="minorEastAsia" w:hint="eastAsia"/>
                <w:szCs w:val="20"/>
              </w:rPr>
              <w:t>1.020元</w:t>
            </w:r>
          </w:p>
        </w:tc>
        <w:tc>
          <w:tcPr>
            <w:tcW w:w="1335" w:type="dxa"/>
          </w:tcPr>
          <w:p w:rsidR="001E5CEE" w:rsidRPr="00D6191E" w:rsidRDefault="001E5CEE" w:rsidP="000449FE">
            <w:pPr>
              <w:snapToGrid w:val="0"/>
              <w:spacing w:line="360" w:lineRule="auto"/>
              <w:ind w:leftChars="-45" w:left="-94" w:rightChars="-57" w:right="-120"/>
              <w:jc w:val="center"/>
              <w:rPr>
                <w:rFonts w:asciiTheme="minorEastAsia" w:eastAsiaTheme="minorEastAsia" w:hAnsiTheme="minorEastAsia"/>
                <w:szCs w:val="20"/>
              </w:rPr>
            </w:pPr>
            <w:r w:rsidRPr="00D6191E">
              <w:rPr>
                <w:rFonts w:asciiTheme="minorEastAsia" w:eastAsiaTheme="minorEastAsia" w:hAnsiTheme="minorEastAsia"/>
                <w:szCs w:val="20"/>
              </w:rPr>
              <w:t>10</w:t>
            </w:r>
            <w:r w:rsidRPr="00D6191E">
              <w:rPr>
                <w:rFonts w:asciiTheme="minorEastAsia" w:eastAsiaTheme="minorEastAsia" w:hAnsiTheme="minorEastAsia" w:hint="eastAsia"/>
                <w:szCs w:val="20"/>
              </w:rPr>
              <w:t>,</w:t>
            </w:r>
            <w:r w:rsidRPr="00D6191E">
              <w:rPr>
                <w:rFonts w:asciiTheme="minorEastAsia" w:eastAsiaTheme="minorEastAsia" w:hAnsiTheme="minorEastAsia"/>
                <w:szCs w:val="20"/>
              </w:rPr>
              <w:t>572.85</w:t>
            </w:r>
            <w:r w:rsidRPr="00D6191E">
              <w:rPr>
                <w:rFonts w:asciiTheme="minorEastAsia" w:eastAsiaTheme="minorEastAsia" w:hAnsiTheme="minorEastAsia" w:hint="eastAsia"/>
                <w:szCs w:val="20"/>
              </w:rPr>
              <w:t>份</w:t>
            </w:r>
          </w:p>
        </w:tc>
      </w:tr>
    </w:tbl>
    <w:p w:rsidR="00181A96" w:rsidRPr="00D6191E" w:rsidRDefault="00181A96" w:rsidP="00D6191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8469C5" w:rsidRPr="00D6191E" w:rsidRDefault="008469C5" w:rsidP="004D6C82">
      <w:pPr>
        <w:pStyle w:val="2"/>
        <w:snapToGrid w:val="0"/>
        <w:spacing w:beforeLines="0" w:afterLines="0" w:line="360" w:lineRule="auto"/>
        <w:ind w:firstLineChars="0" w:firstLine="0"/>
        <w:rPr>
          <w:rFonts w:asciiTheme="minorEastAsia" w:eastAsiaTheme="minorEastAsia" w:hAnsiTheme="minorEastAsia"/>
          <w:b w:val="0"/>
          <w:bCs/>
        </w:rPr>
      </w:pPr>
      <w:bookmarkStart w:id="38" w:name="_Toc86315864"/>
      <w:r w:rsidRPr="00D6191E">
        <w:rPr>
          <w:rFonts w:asciiTheme="minorEastAsia" w:eastAsiaTheme="minorEastAsia" w:hAnsiTheme="minorEastAsia" w:hint="eastAsia"/>
          <w:b w:val="0"/>
          <w:bCs/>
        </w:rPr>
        <w:t>(七)基金转换的注册登记</w:t>
      </w:r>
      <w:bookmarkEnd w:id="38"/>
    </w:p>
    <w:p w:rsidR="0027081F" w:rsidRPr="00D6191E" w:rsidRDefault="008469C5"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27081F" w:rsidRPr="00D6191E" w:rsidRDefault="008469C5"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基金管理人可在法律法规允许的范围内，对上述注册登记办理时间进行调整，并应在调整生效前在至少一种中国证监会指定的媒体上予以公告。</w:t>
      </w:r>
    </w:p>
    <w:p w:rsidR="008469C5" w:rsidRPr="00D6191E" w:rsidRDefault="008469C5" w:rsidP="004D6C82">
      <w:pPr>
        <w:pStyle w:val="2"/>
        <w:snapToGrid w:val="0"/>
        <w:spacing w:beforeLines="0" w:afterLines="0" w:line="360" w:lineRule="auto"/>
        <w:ind w:firstLineChars="0" w:firstLine="0"/>
        <w:rPr>
          <w:rFonts w:asciiTheme="minorEastAsia" w:eastAsiaTheme="minorEastAsia" w:hAnsiTheme="minorEastAsia"/>
          <w:b w:val="0"/>
          <w:bCs/>
        </w:rPr>
      </w:pPr>
      <w:bookmarkStart w:id="39" w:name="_Toc86315865"/>
      <w:r w:rsidRPr="00D6191E">
        <w:rPr>
          <w:rFonts w:asciiTheme="minorEastAsia" w:eastAsiaTheme="minorEastAsia" w:hAnsiTheme="minorEastAsia" w:hint="eastAsia"/>
          <w:b w:val="0"/>
          <w:bCs/>
        </w:rPr>
        <w:t>(八)基金转换与巨额赎回</w:t>
      </w:r>
      <w:bookmarkEnd w:id="39"/>
    </w:p>
    <w:p w:rsidR="0027081F" w:rsidRPr="00D6191E" w:rsidRDefault="008469C5"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8469C5" w:rsidRPr="00D6191E" w:rsidRDefault="008469C5" w:rsidP="004D6C82">
      <w:pPr>
        <w:pStyle w:val="2"/>
        <w:snapToGrid w:val="0"/>
        <w:spacing w:beforeLines="0" w:afterLines="0" w:line="360" w:lineRule="auto"/>
        <w:ind w:firstLineChars="0" w:firstLine="0"/>
        <w:rPr>
          <w:rFonts w:asciiTheme="minorEastAsia" w:eastAsiaTheme="minorEastAsia" w:hAnsiTheme="minorEastAsia"/>
          <w:b w:val="0"/>
          <w:bCs/>
        </w:rPr>
      </w:pPr>
      <w:bookmarkStart w:id="40" w:name="_Toc86315866"/>
      <w:r w:rsidRPr="00D6191E">
        <w:rPr>
          <w:rFonts w:asciiTheme="minorEastAsia" w:eastAsiaTheme="minorEastAsia" w:hAnsiTheme="minorEastAsia" w:hint="eastAsia"/>
          <w:b w:val="0"/>
          <w:bCs/>
        </w:rPr>
        <w:t>(九)暂停基金转换的情形</w:t>
      </w:r>
      <w:bookmarkEnd w:id="40"/>
    </w:p>
    <w:p w:rsidR="008469C5" w:rsidRPr="00D6191E" w:rsidRDefault="008469C5"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发生下列情况时，基金管理人可拒绝或暂停接受基金投资者的转换申请：</w:t>
      </w:r>
    </w:p>
    <w:p w:rsidR="008469C5" w:rsidRPr="00D6191E" w:rsidRDefault="00200D60"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1、</w:t>
      </w:r>
      <w:r w:rsidR="008469C5" w:rsidRPr="00D6191E">
        <w:rPr>
          <w:rFonts w:asciiTheme="minorEastAsia" w:eastAsiaTheme="minorEastAsia" w:hAnsiTheme="minorEastAsia" w:hint="eastAsia"/>
          <w:szCs w:val="21"/>
        </w:rPr>
        <w:t>因不可抗力导致基金管理人无法受理投资者的转换申请。</w:t>
      </w:r>
    </w:p>
    <w:p w:rsidR="008469C5" w:rsidRPr="00D6191E" w:rsidRDefault="00200D60"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2、</w:t>
      </w:r>
      <w:r w:rsidR="008469C5" w:rsidRPr="00D6191E">
        <w:rPr>
          <w:rFonts w:asciiTheme="minorEastAsia" w:eastAsiaTheme="minorEastAsia" w:hAnsiTheme="minorEastAsia" w:hint="eastAsia"/>
          <w:szCs w:val="21"/>
        </w:rPr>
        <w:t>证券交易场所交易时间临时停市，导致基金管理人无法计算当日基金资产净值。</w:t>
      </w:r>
    </w:p>
    <w:p w:rsidR="008469C5" w:rsidRPr="00D6191E" w:rsidRDefault="00200D60"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3、</w:t>
      </w:r>
      <w:r w:rsidR="008469C5" w:rsidRPr="00D6191E">
        <w:rPr>
          <w:rFonts w:asciiTheme="minorEastAsia" w:eastAsiaTheme="minorEastAsia" w:hAnsiTheme="minorEastAsia" w:hint="eastAsia"/>
          <w:szCs w:val="21"/>
        </w:rPr>
        <w:t>发生基金合同规定的暂停基金资产估值情况。</w:t>
      </w:r>
    </w:p>
    <w:p w:rsidR="008469C5" w:rsidRPr="00D6191E" w:rsidRDefault="00200D60"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4、</w:t>
      </w:r>
      <w:r w:rsidR="008469C5" w:rsidRPr="00D6191E">
        <w:rPr>
          <w:rFonts w:asciiTheme="minorEastAsia" w:eastAsiaTheme="minorEastAsia" w:hAnsiTheme="minorEastAsia" w:hint="eastAsia"/>
          <w:szCs w:val="21"/>
        </w:rPr>
        <w:t>基金财产规模过大，使基金管理人无法找到合适的投资品种，或其他可能对基金业绩产生负面影响，从而损害现有基金份额持有人的利益的情形。</w:t>
      </w:r>
    </w:p>
    <w:p w:rsidR="008469C5" w:rsidRPr="00D6191E" w:rsidRDefault="00200D60"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5、</w:t>
      </w:r>
      <w:r w:rsidR="008469C5" w:rsidRPr="00D6191E">
        <w:rPr>
          <w:rFonts w:asciiTheme="minorEastAsia" w:eastAsiaTheme="minorEastAsia" w:hAnsiTheme="minorEastAsia" w:hint="eastAsia"/>
          <w:szCs w:val="21"/>
        </w:rPr>
        <w:t>连续两个或两个以上开放日发生巨额赎回，导致本基金的现金支付出现困难。</w:t>
      </w:r>
    </w:p>
    <w:p w:rsidR="000C4AA3" w:rsidRPr="00D6191E" w:rsidRDefault="00200D60" w:rsidP="000449FE">
      <w:pPr>
        <w:widowControl/>
        <w:snapToGrid w:val="0"/>
        <w:spacing w:line="360" w:lineRule="auto"/>
        <w:ind w:firstLineChars="200" w:firstLine="420"/>
        <w:jc w:val="left"/>
        <w:rPr>
          <w:rStyle w:val="da"/>
          <w:rFonts w:asciiTheme="minorEastAsia" w:eastAsiaTheme="minorEastAsia" w:hAnsiTheme="minorEastAsia"/>
          <w:szCs w:val="21"/>
        </w:rPr>
      </w:pPr>
      <w:r w:rsidRPr="00D6191E">
        <w:rPr>
          <w:rFonts w:asciiTheme="minorEastAsia" w:eastAsiaTheme="minorEastAsia" w:hAnsiTheme="minorEastAsia" w:hint="eastAsia"/>
          <w:szCs w:val="21"/>
        </w:rPr>
        <w:t>6、</w:t>
      </w:r>
      <w:r w:rsidR="000C4AA3" w:rsidRPr="00D6191E">
        <w:rPr>
          <w:rStyle w:val="da"/>
          <w:rFonts w:asciiTheme="minorEastAsia" w:eastAsiaTheme="minorEastAsia" w:hAnsiTheme="minorEastAsia" w:hint="eastAsia"/>
          <w:szCs w:val="21"/>
        </w:rPr>
        <w:t>基金管理人接受某笔或者某些转换转入申请有可能导致单一投资者持有基金份额的比例达到或者超过50%，或者变相规避50%集中度的情形时。</w:t>
      </w:r>
    </w:p>
    <w:p w:rsidR="000C4AA3" w:rsidRPr="00D6191E" w:rsidRDefault="000C4AA3" w:rsidP="000449FE">
      <w:pPr>
        <w:widowControl/>
        <w:snapToGrid w:val="0"/>
        <w:spacing w:line="360" w:lineRule="auto"/>
        <w:ind w:firstLineChars="200" w:firstLine="420"/>
        <w:jc w:val="left"/>
        <w:rPr>
          <w:rStyle w:val="da"/>
          <w:rFonts w:asciiTheme="minorEastAsia" w:eastAsiaTheme="minorEastAsia" w:hAnsiTheme="minorEastAsia"/>
          <w:szCs w:val="21"/>
        </w:rPr>
      </w:pPr>
      <w:r w:rsidRPr="00D6191E">
        <w:rPr>
          <w:rStyle w:val="da"/>
          <w:rFonts w:asciiTheme="minorEastAsia" w:eastAsiaTheme="minorEastAsia" w:hAnsiTheme="minorEastAsia" w:hint="eastAsia"/>
          <w:szCs w:val="21"/>
        </w:rPr>
        <w:t>7</w:t>
      </w:r>
      <w:r w:rsidRPr="00D6191E">
        <w:rPr>
          <w:rStyle w:val="da"/>
          <w:rFonts w:asciiTheme="minorEastAsia" w:eastAsiaTheme="minorEastAsia" w:hAnsiTheme="minorEastAsia"/>
          <w:szCs w:val="21"/>
        </w:rPr>
        <w:t>、</w:t>
      </w:r>
      <w:r w:rsidRPr="00D6191E">
        <w:rPr>
          <w:rStyle w:val="da"/>
          <w:rFonts w:asciiTheme="minorEastAsia" w:eastAsiaTheme="minorEastAsia" w:hAnsiTheme="minorEastAsia" w:hint="eastAsia"/>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0C4AA3" w:rsidRPr="00D6191E" w:rsidRDefault="000C4AA3" w:rsidP="000449FE">
      <w:pPr>
        <w:widowControl/>
        <w:snapToGrid w:val="0"/>
        <w:spacing w:line="360" w:lineRule="auto"/>
        <w:ind w:firstLineChars="200" w:firstLine="420"/>
        <w:jc w:val="left"/>
        <w:rPr>
          <w:rFonts w:asciiTheme="minorEastAsia" w:eastAsiaTheme="minorEastAsia" w:hAnsiTheme="minorEastAsia"/>
          <w:szCs w:val="21"/>
        </w:rPr>
      </w:pPr>
      <w:r w:rsidRPr="00D6191E">
        <w:rPr>
          <w:rStyle w:val="da"/>
          <w:rFonts w:asciiTheme="minorEastAsia" w:eastAsiaTheme="minorEastAsia" w:hAnsiTheme="minorEastAsia" w:hint="eastAsia"/>
          <w:szCs w:val="21"/>
        </w:rPr>
        <w:lastRenderedPageBreak/>
        <w:t>8</w:t>
      </w:r>
      <w:r w:rsidRPr="00D6191E">
        <w:rPr>
          <w:rStyle w:val="da"/>
          <w:rFonts w:asciiTheme="minorEastAsia" w:eastAsiaTheme="minorEastAsia" w:hAnsiTheme="minorEastAsia"/>
          <w:szCs w:val="21"/>
        </w:rPr>
        <w:t>、</w:t>
      </w:r>
      <w:r w:rsidRPr="00D6191E">
        <w:rPr>
          <w:rStyle w:val="da"/>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8469C5" w:rsidRPr="00D6191E" w:rsidRDefault="000C4AA3"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9</w:t>
      </w:r>
      <w:r w:rsidRPr="00D6191E">
        <w:rPr>
          <w:rFonts w:asciiTheme="minorEastAsia" w:eastAsiaTheme="minorEastAsia" w:hAnsiTheme="minorEastAsia"/>
          <w:szCs w:val="21"/>
        </w:rPr>
        <w:t>、</w:t>
      </w:r>
      <w:r w:rsidR="008469C5" w:rsidRPr="00D6191E">
        <w:rPr>
          <w:rFonts w:asciiTheme="minorEastAsia" w:eastAsiaTheme="minorEastAsia" w:hAnsiTheme="minorEastAsia" w:hint="eastAsia"/>
          <w:szCs w:val="21"/>
        </w:rPr>
        <w:t>法律法规规定或经中国证监会认定的其他情形。</w:t>
      </w:r>
    </w:p>
    <w:p w:rsidR="008469C5" w:rsidRPr="00D6191E" w:rsidRDefault="008469C5"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发生暂停基金转换时，基金管理人应当在</w:t>
      </w:r>
      <w:r w:rsidR="00421B11" w:rsidRPr="00D6191E">
        <w:rPr>
          <w:rFonts w:asciiTheme="minorEastAsia" w:eastAsiaTheme="minorEastAsia" w:hAnsiTheme="minorEastAsia" w:hint="eastAsia"/>
          <w:szCs w:val="21"/>
        </w:rPr>
        <w:t>至少一种中国证监会指定的媒体上予以公告。</w:t>
      </w:r>
    </w:p>
    <w:p w:rsidR="00A356CC" w:rsidRPr="00D6191E" w:rsidRDefault="00A356CC" w:rsidP="004D6C82">
      <w:pPr>
        <w:pStyle w:val="1"/>
        <w:snapToGrid w:val="0"/>
        <w:spacing w:beforeLines="0" w:afterLines="0" w:line="360" w:lineRule="auto"/>
        <w:ind w:firstLine="600"/>
        <w:rPr>
          <w:rFonts w:asciiTheme="minorEastAsia" w:eastAsiaTheme="minorEastAsia" w:hAnsiTheme="minorEastAsia"/>
          <w:sz w:val="30"/>
        </w:rPr>
        <w:sectPr w:rsidR="00A356CC" w:rsidRPr="00D6191E" w:rsidSect="00D6191E">
          <w:pgSz w:w="11906" w:h="16838" w:code="9"/>
          <w:pgMar w:top="1440" w:right="1800" w:bottom="1440" w:left="1800" w:header="720" w:footer="720" w:gutter="0"/>
          <w:cols w:space="720"/>
          <w:docGrid w:type="lines" w:linePitch="312"/>
        </w:sectPr>
      </w:pPr>
    </w:p>
    <w:p w:rsidR="00BA4B87" w:rsidRPr="00D6191E" w:rsidRDefault="00BA4B87" w:rsidP="004D6C82">
      <w:pPr>
        <w:pStyle w:val="1"/>
        <w:snapToGrid w:val="0"/>
        <w:spacing w:beforeLines="0" w:afterLines="0" w:line="360" w:lineRule="auto"/>
        <w:ind w:firstLine="600"/>
        <w:rPr>
          <w:rFonts w:asciiTheme="minorEastAsia" w:eastAsiaTheme="minorEastAsia" w:hAnsiTheme="minorEastAsia"/>
          <w:b/>
          <w:bCs/>
          <w:kern w:val="44"/>
          <w:sz w:val="28"/>
          <w:szCs w:val="44"/>
        </w:rPr>
      </w:pPr>
      <w:bookmarkStart w:id="41" w:name="_Toc86315867"/>
      <w:r w:rsidRPr="00D6191E">
        <w:rPr>
          <w:rFonts w:asciiTheme="minorEastAsia" w:eastAsiaTheme="minorEastAsia" w:hAnsiTheme="minorEastAsia" w:hint="eastAsia"/>
          <w:sz w:val="30"/>
        </w:rPr>
        <w:lastRenderedPageBreak/>
        <w:t>十、基金的转托管、非交易过户、冻结与解冻</w:t>
      </w:r>
      <w:bookmarkEnd w:id="41"/>
    </w:p>
    <w:p w:rsidR="00BA4B87" w:rsidRPr="00D6191E" w:rsidRDefault="00BA4B87" w:rsidP="004D6C82">
      <w:pPr>
        <w:pStyle w:val="2"/>
        <w:snapToGrid w:val="0"/>
        <w:spacing w:beforeLines="0" w:afterLines="0" w:line="360" w:lineRule="auto"/>
        <w:ind w:firstLineChars="0" w:firstLine="420"/>
        <w:rPr>
          <w:rFonts w:asciiTheme="minorEastAsia" w:eastAsiaTheme="minorEastAsia" w:hAnsiTheme="minorEastAsia"/>
          <w:b w:val="0"/>
          <w:bCs/>
        </w:rPr>
      </w:pPr>
      <w:bookmarkStart w:id="42" w:name="_Toc86315868"/>
      <w:bookmarkStart w:id="43" w:name="_Toc79392621"/>
      <w:r w:rsidRPr="00D6191E">
        <w:rPr>
          <w:rFonts w:asciiTheme="minorEastAsia" w:eastAsiaTheme="minorEastAsia" w:hAnsiTheme="minorEastAsia" w:hint="eastAsia"/>
          <w:b w:val="0"/>
          <w:bCs/>
        </w:rPr>
        <w:t>(一)转托管</w:t>
      </w:r>
      <w:bookmarkEnd w:id="42"/>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基金份额持有人可办理已持有基金份额在不同销售机构之间的转托管，基金销售机构可以按照规定的标准收取转托管费。具体办理方法参照《业务规则》的有关规定以及基金</w:t>
      </w:r>
      <w:r w:rsidR="00AE5F53" w:rsidRPr="00D6191E">
        <w:rPr>
          <w:rFonts w:asciiTheme="minorEastAsia" w:eastAsiaTheme="minorEastAsia" w:hAnsiTheme="minorEastAsia" w:hint="eastAsia"/>
          <w:szCs w:val="21"/>
        </w:rPr>
        <w:t>销售</w:t>
      </w:r>
      <w:r w:rsidRPr="00D6191E">
        <w:rPr>
          <w:rFonts w:asciiTheme="minorEastAsia" w:eastAsiaTheme="minorEastAsia" w:hAnsiTheme="minorEastAsia" w:hint="eastAsia"/>
          <w:szCs w:val="21"/>
        </w:rPr>
        <w:t>机构的业务规则。</w:t>
      </w:r>
    </w:p>
    <w:p w:rsidR="00BA4B87" w:rsidRPr="00D6191E" w:rsidRDefault="00BA4B87" w:rsidP="004D6C82">
      <w:pPr>
        <w:pStyle w:val="2"/>
        <w:snapToGrid w:val="0"/>
        <w:spacing w:beforeLines="0" w:afterLines="0" w:line="360" w:lineRule="auto"/>
        <w:ind w:firstLineChars="0" w:firstLine="420"/>
        <w:rPr>
          <w:rFonts w:asciiTheme="minorEastAsia" w:eastAsiaTheme="minorEastAsia" w:hAnsiTheme="minorEastAsia"/>
          <w:b w:val="0"/>
          <w:bCs/>
        </w:rPr>
      </w:pPr>
      <w:bookmarkStart w:id="44" w:name="_Toc86315869"/>
      <w:r w:rsidRPr="00D6191E">
        <w:rPr>
          <w:rFonts w:asciiTheme="minorEastAsia" w:eastAsiaTheme="minorEastAsia" w:hAnsiTheme="minorEastAsia" w:hint="eastAsia"/>
          <w:b w:val="0"/>
          <w:bCs/>
        </w:rPr>
        <w:t>(二)基金的非交易过户</w:t>
      </w:r>
      <w:bookmarkEnd w:id="44"/>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rsidR="00BA4B87" w:rsidRPr="00D6191E" w:rsidRDefault="00BA4B87" w:rsidP="004D6C82">
      <w:pPr>
        <w:pStyle w:val="2"/>
        <w:snapToGrid w:val="0"/>
        <w:spacing w:beforeLines="0" w:afterLines="0" w:line="360" w:lineRule="auto"/>
        <w:ind w:firstLineChars="0" w:firstLine="420"/>
        <w:rPr>
          <w:rFonts w:asciiTheme="minorEastAsia" w:eastAsiaTheme="minorEastAsia" w:hAnsiTheme="minorEastAsia"/>
          <w:b w:val="0"/>
          <w:bCs/>
        </w:rPr>
      </w:pPr>
      <w:bookmarkStart w:id="45" w:name="_Toc86315870"/>
      <w:r w:rsidRPr="00D6191E">
        <w:rPr>
          <w:rFonts w:asciiTheme="minorEastAsia" w:eastAsiaTheme="minorEastAsia" w:hAnsiTheme="minorEastAsia" w:hint="eastAsia"/>
          <w:b w:val="0"/>
          <w:bCs/>
        </w:rPr>
        <w:t>(三)基金的冻结与解冻</w:t>
      </w:r>
      <w:bookmarkEnd w:id="45"/>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注册登记机构只受理国家有权机关依法要求的基金份额的冻结与解冻，以及注册登记机构认可、符合法律法规的其他情况下基金份额的冻结与解冻。基金份额被冻结的，被冻结部分产生的权益一并冻结，被冻结部分份额仍然参与收益分配与支付。</w:t>
      </w:r>
    </w:p>
    <w:bookmarkEnd w:id="43"/>
    <w:p w:rsidR="00BA4B87" w:rsidRPr="00D6191E" w:rsidRDefault="00BA4B87" w:rsidP="004D6C82">
      <w:pPr>
        <w:pStyle w:val="1"/>
        <w:snapToGrid w:val="0"/>
        <w:spacing w:beforeLines="0" w:afterLines="0" w:line="360" w:lineRule="auto"/>
        <w:ind w:firstLine="640"/>
        <w:rPr>
          <w:rFonts w:asciiTheme="minorEastAsia" w:eastAsiaTheme="minorEastAsia" w:hAnsiTheme="minorEastAsia"/>
          <w:szCs w:val="21"/>
        </w:rPr>
      </w:pPr>
      <w:r w:rsidRPr="00D6191E">
        <w:rPr>
          <w:rFonts w:asciiTheme="minorEastAsia" w:eastAsiaTheme="minorEastAsia" w:hAnsiTheme="minorEastAsia" w:hint="eastAsia"/>
        </w:rPr>
        <w:br w:type="column"/>
      </w:r>
      <w:bookmarkStart w:id="46" w:name="_Toc86315871"/>
      <w:r w:rsidRPr="00D6191E">
        <w:rPr>
          <w:rFonts w:asciiTheme="minorEastAsia" w:eastAsiaTheme="minorEastAsia" w:hAnsiTheme="minorEastAsia" w:hint="eastAsia"/>
          <w:sz w:val="30"/>
        </w:rPr>
        <w:lastRenderedPageBreak/>
        <w:t>十一、基金的投资</w:t>
      </w:r>
      <w:bookmarkEnd w:id="46"/>
    </w:p>
    <w:p w:rsidR="0037108E"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47" w:name="_Toc86315872"/>
      <w:r w:rsidRPr="00D6191E">
        <w:rPr>
          <w:rFonts w:asciiTheme="minorEastAsia" w:eastAsiaTheme="minorEastAsia" w:hAnsiTheme="minorEastAsia" w:hint="eastAsia"/>
          <w:b w:val="0"/>
        </w:rPr>
        <w:t>(一)投资目标</w:t>
      </w:r>
      <w:bookmarkEnd w:id="47"/>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本基金主要投资于信用债、可转债等固定收益品种，通过积极主动的投资管理，力争为投资者提供持续稳定的回报。</w:t>
      </w:r>
    </w:p>
    <w:p w:rsidR="0037108E"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48" w:name="_Toc86315873"/>
      <w:r w:rsidRPr="00D6191E">
        <w:rPr>
          <w:rFonts w:asciiTheme="minorEastAsia" w:eastAsiaTheme="minorEastAsia" w:hAnsiTheme="minorEastAsia" w:hint="eastAsia"/>
          <w:b w:val="0"/>
        </w:rPr>
        <w:t>(二)投资理念</w:t>
      </w:r>
      <w:bookmarkEnd w:id="48"/>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为债券基金，主要投资于信用债与可转债。本基金依据不同的市场情况及信用债与可转债之间的相关关系，进行两类资产的比例配置。本基金既可以投资于信用债，在控制信用风险的前提下，增强债券组合的持有期收益；也可以利用可转债兼具股性和债性的特征，在承担较小下跌风险的前提下，分享股市上涨带来的收益。另外，本基金还可采用新股申购等策略，增强组合的收益。</w:t>
      </w:r>
    </w:p>
    <w:p w:rsidR="0037108E"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49" w:name="_Toc86315874"/>
      <w:r w:rsidRPr="00D6191E">
        <w:rPr>
          <w:rFonts w:asciiTheme="minorEastAsia" w:eastAsiaTheme="minorEastAsia" w:hAnsiTheme="minorEastAsia" w:hint="eastAsia"/>
          <w:b w:val="0"/>
        </w:rPr>
        <w:t>(三)投资范围</w:t>
      </w:r>
      <w:bookmarkEnd w:id="49"/>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的投资范围为具有良好流动性的金融工具，包括国债、央行票据、地方政府债、金融债、企业债、短期融资券、公司债、可转债(含分离交易可转债)、资产支持证券、债券回购、银行存款等固定收益类资产、</w:t>
      </w:r>
      <w:r w:rsidR="009A06F7" w:rsidRPr="009A06F7">
        <w:rPr>
          <w:rFonts w:asciiTheme="minorEastAsia" w:eastAsiaTheme="minorEastAsia" w:hAnsiTheme="minorEastAsia" w:hint="eastAsia"/>
          <w:szCs w:val="21"/>
        </w:rPr>
        <w:t>股票（包含中小板、创业板及其他经中国证监会批准或注册上市的股票、存托凭证）、</w:t>
      </w:r>
      <w:r w:rsidRPr="00D6191E">
        <w:rPr>
          <w:rFonts w:asciiTheme="minorEastAsia" w:eastAsiaTheme="minorEastAsia" w:hAnsiTheme="minorEastAsia" w:hint="eastAsia"/>
          <w:szCs w:val="21"/>
        </w:rPr>
        <w:t>权证等权益类资产以及法律法规或中国证监会允许基金投资的其他金融工具，但须符合中国证监会相关规定。</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本基金不直接从二级市场买入股票、权证等权益类资产，但可以参与一级市场新股申购(含增发)，并可持有因可转债转股所形成的股票、因所持股票所派发的权证以及因投资分离交易可转债而产生的权证等。</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如法律法规或监管机构以后允许基金投资其他品种，基金管理人提前公告后，可以将其纳入投资范围，其投资比例遵循届时有效法律法规或相关规定。</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各类资产的投资比例范围为：固定收益类资产的比例不低于基金资产的80%，其中，信用债和可转债合计投资比例不低于债券资产的80%；权益类资产的比例不高于基金资产的20%；现金或到期日在一年以内的政府债券的比例合计不低于基金资产净值的5%</w:t>
      </w:r>
      <w:r w:rsidR="00E74649" w:rsidRPr="00D6191E">
        <w:rPr>
          <w:rFonts w:asciiTheme="minorEastAsia" w:eastAsiaTheme="minorEastAsia" w:hAnsiTheme="minorEastAsia" w:hint="eastAsia"/>
          <w:szCs w:val="21"/>
        </w:rPr>
        <w:t>，现金不包括结算备付金、存出保证金、应收申购款等</w:t>
      </w:r>
      <w:r w:rsidRPr="00D6191E">
        <w:rPr>
          <w:rFonts w:asciiTheme="minorEastAsia" w:eastAsiaTheme="minorEastAsia" w:hAnsiTheme="minorEastAsia" w:hint="eastAsia"/>
          <w:szCs w:val="21"/>
        </w:rPr>
        <w:t>。</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本基金所指的信用债为除国债、央行票据和政策性金融债之外的、非由国家信用担保的固定收益证券品种，包括企业债、公司债、短期融资券、资产支持证券和非政策性金融债等。</w:t>
      </w:r>
    </w:p>
    <w:p w:rsidR="0037108E"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rPr>
      </w:pPr>
      <w:bookmarkStart w:id="50" w:name="_Toc86315875"/>
      <w:r w:rsidRPr="00D6191E">
        <w:rPr>
          <w:rFonts w:asciiTheme="minorEastAsia" w:eastAsiaTheme="minorEastAsia" w:hAnsiTheme="minorEastAsia" w:hint="eastAsia"/>
          <w:b w:val="0"/>
        </w:rPr>
        <w:t>(四)投资策略</w:t>
      </w:r>
      <w:bookmarkEnd w:id="50"/>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hint="eastAsia"/>
          <w:szCs w:val="21"/>
        </w:rPr>
        <w:t>建仓期策略</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建仓期内，本基金将采用相对保守的投资策略，主要投资于波动性风险较小、安全边际较高的品种。在该期间，本基金对固定收益类资产的建仓将优先考虑通过一级市场新债(包括新可转债)申购来完成。在对本基金主要的两类投资品种——可转债与信用债进行建仓时，</w:t>
      </w:r>
      <w:r w:rsidRPr="00D6191E">
        <w:rPr>
          <w:rFonts w:asciiTheme="minorEastAsia" w:eastAsiaTheme="minorEastAsia" w:hAnsiTheme="minorEastAsia" w:hint="eastAsia"/>
          <w:szCs w:val="21"/>
        </w:rPr>
        <w:lastRenderedPageBreak/>
        <w:t>本基金将严格遵循防范风险的原则，着重选择纯债溢价率较低的可转债品种，以及久期相对较短(如短期融资券)或息票率较高的信用债品种进行投资。此外，本基金根据组合收益情况与资产结构，综合考虑宏观基本面数据、各类资产市场走势、市场供求关系、流动性等因素，控制建仓进度。</w:t>
      </w:r>
    </w:p>
    <w:p w:rsidR="00BA4B87" w:rsidRPr="00D6191E" w:rsidRDefault="00200D60"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BA4B87" w:rsidRPr="00D6191E">
        <w:rPr>
          <w:rFonts w:asciiTheme="minorEastAsia" w:eastAsiaTheme="minorEastAsia" w:hAnsiTheme="minorEastAsia" w:hint="eastAsia"/>
          <w:szCs w:val="21"/>
        </w:rPr>
        <w:t>资产配置策略</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本基金的资产配置策略包括大类资产配置策略与固定收益类资产配置策略。</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(1)大类资产配置策略</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根据对国内外宏观经济形势、宏观经济政策、市场利率走势、证券市场走势、投资新股收益率等因素进行分析和判断，对大类资产的风险收益特征及相关关系进行研究，确定权益类资产、固定收益类资产以及货币市场工具的配置比例。</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(2)固定收益类资产配置策略</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在大类资产配置的基础上，本基金采取以下策略，将固定收益类资产在信用债、可转债和其他资产间进行配置。</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首先，本基金分别对影响信用债市场的信贷水平、信用利差水平、信用债市场供求关系等因素进行分析；然后，对影响可转债市场的转股溢价率、隐含波动率、对应正股的市场走势、可转债市场供求关系等因素进行分析研究；最后，本基金根据上述分析结论，预测和比较两类资产未来的收益率与风险，并结合二者的相关关系，确定并调整两类资产的配置比例，在收益与风险间寻求最佳平衡。除信用债与可转债外，本基金还将在综合考虑组合收益、利率风险以及流动性的前提下，投资于国债、央行票据等利率品种。</w:t>
      </w:r>
    </w:p>
    <w:p w:rsidR="00BA4B87" w:rsidRPr="00D6191E" w:rsidRDefault="00200D60"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00BA4B87" w:rsidRPr="00D6191E">
        <w:rPr>
          <w:rFonts w:asciiTheme="minorEastAsia" w:eastAsiaTheme="minorEastAsia" w:hAnsiTheme="minorEastAsia" w:hint="eastAsia"/>
          <w:szCs w:val="21"/>
        </w:rPr>
        <w:t>信用债投资策略与信用风险管理</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对不同市场以及不同种类的信用债，本基金将结合自上而下的配置策略和自下而上的个券选择策略进行投资。</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(1)配置策略</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a.市场间配置</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本基金根据交易所市场和银行间市场信用债到期收益率的变化、流动性的变化和市场规模等情况，分析不同市场信用债的信用利差水平及差异变动，动态调整两个市场信用债的投资比例。</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b.类属资产配置</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运用数量化方法对不同种类信用债(包括金融债、企业债、公司债、短期融资券等)的信用风险溢价、流动性风险溢价、税收溢价等因素进行分析，综合考虑其流动性、收益率以及各类信用债市场供求状况，优化配置各类信用债的投资比例。</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c.平均久期配置</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本基金通过对货币信贷、固定资产投资、通胀率等宏观经济变量和货币政策、财政政策等宏观经济政策，进行定性和定量的分析，预测未来的利率变化趋势，判断信用债市场对上</w:t>
      </w:r>
      <w:r w:rsidRPr="00D6191E">
        <w:rPr>
          <w:rFonts w:asciiTheme="minorEastAsia" w:eastAsiaTheme="minorEastAsia" w:hAnsiTheme="minorEastAsia" w:hint="eastAsia"/>
          <w:szCs w:val="21"/>
        </w:rPr>
        <w:lastRenderedPageBreak/>
        <w:t>述变量和政策的反应，并据此积极调整信用债组合的平均久期，提高投资收益。</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d.期限结构配置</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本基金对信用债市场收益率期限结构进行分析，运用统计和数量分析技术，预测收益率期限结构的变化方式，选择合适的期限结构配置策略，配置各期限信用债的比例，以达到预期投资收益最大化的目的。</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(2)个债选择策略</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本基金运用行业研究方法和公司财务分析方法对债券发行人信用风险进行分析和度量，选择风险与收益相匹配的更优品种进行投资。具体而言：</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a.根据宏观经济环境及各行业的发展状况，确定各行业的优先配置顺序；</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b.研究债券发行人的产业发展趋势、行业政策、公司背景、盈利状况、竞争地位、治理结构、特殊事件风险等基本面信息，分析企业的长期运作风险；</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c.运用财务评价体系对债券发行人的资产流动性、盈利能力、偿债能力、现金流水平等方面进行综合评价，度量发行人财务风险；</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d.利用历史数据、市场价格以及资产质量等信息，估算债券发行人的违约率及违约损失率；</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e.综合发行人各方面分析结果，确定信用利差的合理水平，利用市场的相对失衡，选择溢价偏高的品种进行投资。</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(3)信用风险管理</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本基金从以下四个方面来进行信用风险管理：</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a.运用信用产品的相关数据资料，分析发行人的公司背景、行业特性、流动性、盈利能力、偿债能力和表外事项等因素，对信用债进行信用风险评估，并确定信用债的风险等级；</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b.严格遵守信用类债券的备选库制度，根据不同的信用风险等级，设置不同的投资管理流程和权限管理制度；</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c.对信用产品备选库内的债券进行跟踪信用评估；</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d.采取分散化投资策略和集中度限制，严格控制组合整体的违约风险水平。</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w:t>
      </w:r>
      <w:r w:rsidR="00BA4B87" w:rsidRPr="00D6191E">
        <w:rPr>
          <w:rFonts w:asciiTheme="minorEastAsia" w:eastAsiaTheme="minorEastAsia" w:hAnsiTheme="minorEastAsia" w:hint="eastAsia"/>
          <w:szCs w:val="21"/>
        </w:rPr>
        <w:t>可转债投资策略</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(1)普通可转债投资策略</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普通可转债是一种被赋予了股票转换权的债券，投资者可以在约定期限内按照事先确定的价格和比例将该债券转为对应的普通股。可转债的价值取决于普通债券价值加上内含的转股权等期权价值。可转债同时具有股性和债性这两种性质，当正股下跌时，可转债中的普通债券价值可以作为其价格支撑，以此抵御下跌风险；当正股上涨时，可转债中的转股期权能够使其分享股票价格上涨带来的收益。</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a.个券投资策略</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本基金对可转债发行公司的基本面进行分析，包括所处行业的景气度、公司成长性、市</w:t>
      </w:r>
      <w:r w:rsidRPr="00D6191E">
        <w:rPr>
          <w:rFonts w:asciiTheme="minorEastAsia" w:eastAsiaTheme="minorEastAsia" w:hAnsiTheme="minorEastAsia" w:hint="eastAsia"/>
          <w:szCs w:val="21"/>
        </w:rPr>
        <w:lastRenderedPageBreak/>
        <w:t>场竞争力等，并参考同类公司的估值水平，判断可转换债券的股权投资价值；基于对利率水平、票息率、派息频率及信用风险等因素的分析，判断其债券投资价值；采用期权定价模型，估算可转换债券的转换期权价值。综合以上因素，对可转换债券进行定价分析，决定可转债个券的投资策略。</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b.可转债条款博弈策略</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可转债通常含有修正转股价、提前赎回、提前回售等条款，这些条款对可转债的价值有着重要的影响。其中，修正转股价条款允许公司向下修正转股价，从而提高转债的转股价值，对投资者是一种保护。赎回条款则允许发行人向投资人赎回可转债，若发行人放弃赎回权，则也能提高转债的价值。回售条款为投资人的权利，它允许投资人将可转债出售给发行人，回售价格往往是判断可转债安全边际的重要指标。本基金将在个券投资策略的基础上综合分析可转债各项可能触发条款的风险和收益，并据此制定相应的投资策略，充分把握由各类条款触发带来的投资机会。</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c.可转债转股的投资策略</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在转股期内，投资者可在满足转换条件的前提下，将可转债转换为对应正股。本基金将根据不同情况制订可转债转股策略。当可转债的转股溢价率为负时，即可转债转成正股后的价值大于可转债价格时，本基金可执行转股获取超额收益。</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当可转债因正股股价上涨而达到触发提前赎回条款时，本基金在对正股未来的走势进行分析的基础上，决定是否进行转股以及转股后的持有策略。此外，本基金还将根据实际情况，决定是否将可转债转股，来保持组合的流动性。</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(2)分离交易可转债投资策略</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分离交易可转债是指认股权和债券分离交易的可转债，它与普通可转债的区别在于上市后可分离为纯债和认股权证两部分，且两部分各自单独交易。分离交易可转债与普通可转债的本质区别在于债券与认股权证可分离交易。当分离交易可转债上市后，对分离出的纯债部分，其投资策略与本基金普通公司债的投资策略相同；而对分离出的权证，其投资原则为有利于本基金资产增值、控制下跌风险、实现保值和锁定收益。</w:t>
      </w:r>
    </w:p>
    <w:p w:rsidR="00BA4B87" w:rsidRPr="00D6191E" w:rsidRDefault="00200D60"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w:t>
      </w:r>
      <w:r w:rsidR="00BA4B87" w:rsidRPr="00D6191E">
        <w:rPr>
          <w:rFonts w:asciiTheme="minorEastAsia" w:eastAsiaTheme="minorEastAsia" w:hAnsiTheme="minorEastAsia" w:hint="eastAsia"/>
          <w:szCs w:val="21"/>
        </w:rPr>
        <w:t>利率品种投资策略</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国债、央行票据等作为无信用风险的利率品种，受货币政策、经济周期、通胀周期等宏观因素的影响比较大。在对利率品种进行投资时，本基金主要在对上述宏观因素进行分析的基础上，结合数量方法对利率走势和利率期限结构变化趋势进行预测，深入分析利率品种的收益和风险，确定组合平均久期，并选择合适的期限结构配置策略，在合理控制利率风险和保持组合流动性的前提下，决定投资品种。</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6、</w:t>
      </w:r>
      <w:r w:rsidR="00BA4B87" w:rsidRPr="00D6191E">
        <w:rPr>
          <w:rFonts w:asciiTheme="minorEastAsia" w:eastAsiaTheme="minorEastAsia" w:hAnsiTheme="minorEastAsia" w:hint="eastAsia"/>
          <w:szCs w:val="21"/>
        </w:rPr>
        <w:t>权益类投资策略</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(1)股票投资策略</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szCs w:val="21"/>
        </w:rPr>
        <w:t>本基金不直接从二级市场买入股票，但可以参与一级市场新股申购或增发新股，并可持</w:t>
      </w:r>
      <w:r w:rsidRPr="00D6191E">
        <w:rPr>
          <w:rFonts w:asciiTheme="minorEastAsia" w:eastAsiaTheme="minorEastAsia" w:hAnsiTheme="minorEastAsia" w:hint="eastAsia"/>
        </w:rPr>
        <w:lastRenderedPageBreak/>
        <w:t>有因可转债转股所形成的股票。本基金通过对新股的分析，参考同类公司的估值水平，判断一、二级市场价差的大小，并根据过往新股的中签率及上市后股价涨幅的统计，对新股投资的收益率进行预测，同时综合考虑锁定期间的投资风险以及资金成本，制定新股申购策略。</w:t>
      </w:r>
    </w:p>
    <w:p w:rsidR="00BA4B87"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rPr>
        <w:t>在新发股票获准上市或可转债转股形成的股票可上市交易后，本基金管理人将根据对股</w:t>
      </w:r>
      <w:r w:rsidRPr="00D6191E">
        <w:rPr>
          <w:rFonts w:asciiTheme="minorEastAsia" w:eastAsiaTheme="minorEastAsia" w:hAnsiTheme="minorEastAsia" w:hint="eastAsia"/>
          <w:szCs w:val="21"/>
        </w:rPr>
        <w:t>票内在投资价值的判断，结合市场环境的分析，选择适当的时机卖出。</w:t>
      </w:r>
    </w:p>
    <w:p w:rsidR="009A06F7" w:rsidRPr="009A06F7" w:rsidRDefault="009A06F7" w:rsidP="009A06F7">
      <w:pPr>
        <w:snapToGrid w:val="0"/>
        <w:spacing w:line="360" w:lineRule="auto"/>
        <w:ind w:firstLineChars="200" w:firstLine="420"/>
        <w:rPr>
          <w:rFonts w:asciiTheme="minorEastAsia" w:eastAsiaTheme="minorEastAsia" w:hAnsiTheme="minorEastAsia"/>
          <w:szCs w:val="21"/>
        </w:rPr>
      </w:pPr>
      <w:r w:rsidRPr="009A06F7">
        <w:rPr>
          <w:rFonts w:asciiTheme="minorEastAsia" w:eastAsiaTheme="minorEastAsia" w:hAnsiTheme="minorEastAsia" w:hint="eastAsia"/>
          <w:szCs w:val="21"/>
        </w:rPr>
        <w:t>（2）存托凭证投资策略</w:t>
      </w:r>
    </w:p>
    <w:p w:rsidR="009A06F7" w:rsidRPr="00D6191E" w:rsidRDefault="009A06F7" w:rsidP="009A06F7">
      <w:pPr>
        <w:snapToGrid w:val="0"/>
        <w:spacing w:line="360" w:lineRule="auto"/>
        <w:ind w:firstLineChars="200" w:firstLine="420"/>
        <w:rPr>
          <w:rFonts w:asciiTheme="minorEastAsia" w:eastAsiaTheme="minorEastAsia" w:hAnsiTheme="minorEastAsia"/>
          <w:szCs w:val="21"/>
        </w:rPr>
      </w:pPr>
      <w:r w:rsidRPr="009A06F7">
        <w:rPr>
          <w:rFonts w:asciiTheme="minorEastAsia" w:eastAsiaTheme="minorEastAsia" w:hAnsiTheme="minorEastAsia" w:hint="eastAsia"/>
          <w:szCs w:val="21"/>
        </w:rPr>
        <w:t>本基金可投资存托凭证，本基金将结合对宏观经济状况、行业景气度、公司竞争优势、公司治理结构、估值水平等因素的分析判断，选择投资价值高的存托凭证进行投资。</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w:t>
      </w:r>
      <w:r w:rsidR="009A06F7">
        <w:rPr>
          <w:rFonts w:asciiTheme="minorEastAsia" w:eastAsiaTheme="minorEastAsia" w:hAnsiTheme="minorEastAsia"/>
          <w:szCs w:val="21"/>
        </w:rPr>
        <w:t>3</w:t>
      </w:r>
      <w:r w:rsidRPr="00D6191E">
        <w:rPr>
          <w:rFonts w:asciiTheme="minorEastAsia" w:eastAsiaTheme="minorEastAsia" w:hAnsiTheme="minorEastAsia" w:hint="eastAsia"/>
          <w:szCs w:val="21"/>
        </w:rPr>
        <w:t>)权证的投资策略</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本基金可持有因所持股票所派发的权证以及因投资分离交易可转债而产生的权证。权证为本基金辅助性投资工具，投资原则为有利于本基金资产增值、控制下跌风险、实现保值和锁定收益。</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51" w:name="_Toc86315876"/>
      <w:bookmarkStart w:id="52" w:name="question3"/>
      <w:r w:rsidRPr="00D6191E">
        <w:rPr>
          <w:rFonts w:asciiTheme="minorEastAsia" w:eastAsiaTheme="minorEastAsia" w:hAnsiTheme="minorEastAsia" w:hint="eastAsia"/>
          <w:b w:val="0"/>
        </w:rPr>
        <w:t>(五)业绩比较基准</w:t>
      </w:r>
      <w:bookmarkEnd w:id="51"/>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中债企业债总全价指数收益率*40%+天相可转债指数收益率*40%+中债国债总全价指数收益率*20%</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为债券基金，且以信用债、可转债为主要投资方向。为使业绩比较基准能够与本基金的投资风格与投资方法一致，本基金选择具有较高权威性和公允性的中债企业债总全价指数、天相可转债指数以及中债国债总全价指数作为基础构建业绩比较基准。其中,中债企业债总全价指数与中债国债总全价指数是由中央国债登记结算有限责任公司编制并发布的分别反映国内企业债市场与国债市场总体走势的指数，而天相可转债指数是由天相投资顾问有限公司编制并发布的反映沪深两市可转债总体走势的指数。</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如果今后法律法规发生变化，或者有更权威的、更能为市场普遍接受的业绩比较基准推出，或者是市场上出现更加适合用于本基金的业绩基准的指数时，基金管理人可以根据本基金的投资范围和投资策略，确定变更基金的业绩比较基准。业绩比较基准的变更需经基金管理人与基金托管人协商一致。基金管理人最迟应于新的业绩比较基准实施前2日在至少一种</w:t>
      </w:r>
      <w:r w:rsidR="00F44B20" w:rsidRPr="00D6191E">
        <w:rPr>
          <w:rFonts w:asciiTheme="minorEastAsia" w:eastAsiaTheme="minorEastAsia" w:hAnsiTheme="minorEastAsia" w:hint="eastAsia"/>
          <w:szCs w:val="21"/>
        </w:rPr>
        <w:t>指定媒介</w:t>
      </w:r>
      <w:r w:rsidRPr="00D6191E">
        <w:rPr>
          <w:rFonts w:asciiTheme="minorEastAsia" w:eastAsiaTheme="minorEastAsia" w:hAnsiTheme="minorEastAsia" w:hint="eastAsia"/>
          <w:szCs w:val="21"/>
        </w:rPr>
        <w:t>上进行公告并报中国证监会备案。</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53" w:name="_Toc86315877"/>
      <w:bookmarkEnd w:id="52"/>
      <w:r w:rsidRPr="00D6191E">
        <w:rPr>
          <w:rFonts w:asciiTheme="minorEastAsia" w:eastAsiaTheme="minorEastAsia" w:hAnsiTheme="minorEastAsia" w:hint="eastAsia"/>
          <w:b w:val="0"/>
        </w:rPr>
        <w:t>(六)风险收益特征</w:t>
      </w:r>
      <w:bookmarkEnd w:id="53"/>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本基金为债券型基金，其长期平均风险和预期收益率低于混合型基金、股票型基金，高于货币市场基金。</w:t>
      </w:r>
    </w:p>
    <w:p w:rsidR="0037108E"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54" w:name="_Toc86315878"/>
      <w:r w:rsidRPr="00D6191E">
        <w:rPr>
          <w:rFonts w:asciiTheme="minorEastAsia" w:eastAsiaTheme="minorEastAsia" w:hAnsiTheme="minorEastAsia" w:hint="eastAsia"/>
          <w:b w:val="0"/>
        </w:rPr>
        <w:t>(七)投资决策</w:t>
      </w:r>
      <w:bookmarkEnd w:id="54"/>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hint="eastAsia"/>
          <w:szCs w:val="21"/>
        </w:rPr>
        <w:t>决策依据</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(1)国家有关法律、法规和本基金合同的有关规定。</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(2)宏观经济发展态势、微观经济运行环境和证券市场走势。</w:t>
      </w:r>
    </w:p>
    <w:p w:rsidR="00BA4B87" w:rsidRPr="00D6191E" w:rsidRDefault="00200D60"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lastRenderedPageBreak/>
        <w:t>2、</w:t>
      </w:r>
      <w:r w:rsidR="00BA4B87" w:rsidRPr="00D6191E">
        <w:rPr>
          <w:rFonts w:asciiTheme="minorEastAsia" w:eastAsiaTheme="minorEastAsia" w:hAnsiTheme="minorEastAsia" w:hint="eastAsia"/>
          <w:szCs w:val="21"/>
        </w:rPr>
        <w:t>决策程序</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(1)研究员提交宏观经济、债券市场、行业分析、新股申购、公司研究及信用分析报告；</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(2)基金经理根据研究报告以及对宏观经济、债券市场投资机会、新股申购收益率、股票市场预期收益水平的判断，制定资产配置计划，</w:t>
      </w:r>
      <w:r w:rsidR="00884CDC" w:rsidRPr="00D6191E">
        <w:rPr>
          <w:rFonts w:asciiTheme="minorEastAsia" w:eastAsiaTheme="minorEastAsia" w:hAnsiTheme="minorEastAsia" w:hint="eastAsia"/>
          <w:szCs w:val="21"/>
        </w:rPr>
        <w:t>按制度提交审议并实施</w:t>
      </w:r>
      <w:r w:rsidRPr="00D6191E">
        <w:rPr>
          <w:rFonts w:asciiTheme="minorEastAsia" w:eastAsiaTheme="minorEastAsia" w:hAnsiTheme="minorEastAsia" w:hint="eastAsia"/>
          <w:szCs w:val="21"/>
        </w:rPr>
        <w:t>；</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(3)基金经理制定具体的固定收益品种、权益类品种的投资方案，构造投资组合；</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w:t>
      </w:r>
      <w:r w:rsidR="00884CDC" w:rsidRPr="00D6191E">
        <w:rPr>
          <w:rFonts w:asciiTheme="minorEastAsia" w:eastAsiaTheme="minorEastAsia" w:hAnsiTheme="minorEastAsia" w:hint="eastAsia"/>
          <w:szCs w:val="21"/>
        </w:rPr>
        <w:t>4</w:t>
      </w:r>
      <w:r w:rsidRPr="00D6191E">
        <w:rPr>
          <w:rFonts w:asciiTheme="minorEastAsia" w:eastAsiaTheme="minorEastAsia" w:hAnsiTheme="minorEastAsia" w:hint="eastAsia"/>
          <w:szCs w:val="21"/>
        </w:rPr>
        <w:t>)集中交易室依据基金经理的指令，执行交易；</w:t>
      </w:r>
    </w:p>
    <w:p w:rsidR="00322CAF"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w:t>
      </w:r>
      <w:r w:rsidR="00884CDC" w:rsidRPr="00D6191E">
        <w:rPr>
          <w:rFonts w:asciiTheme="minorEastAsia" w:eastAsiaTheme="minorEastAsia" w:hAnsiTheme="minorEastAsia" w:hint="eastAsia"/>
          <w:szCs w:val="21"/>
        </w:rPr>
        <w:t>5</w:t>
      </w:r>
      <w:r w:rsidRPr="00D6191E">
        <w:rPr>
          <w:rFonts w:asciiTheme="minorEastAsia" w:eastAsiaTheme="minorEastAsia" w:hAnsiTheme="minorEastAsia" w:hint="eastAsia"/>
          <w:szCs w:val="21"/>
        </w:rPr>
        <w:t>)</w:t>
      </w:r>
      <w:r w:rsidR="00D6191E" w:rsidRPr="00D6191E">
        <w:rPr>
          <w:rFonts w:asciiTheme="minorEastAsia" w:eastAsiaTheme="minorEastAsia" w:hAnsiTheme="minorEastAsia" w:hint="eastAsia"/>
          <w:szCs w:val="21"/>
        </w:rPr>
        <w:t>监察合规管理部门</w:t>
      </w:r>
      <w:r w:rsidR="00322CAF" w:rsidRPr="00D6191E">
        <w:rPr>
          <w:rFonts w:asciiTheme="minorEastAsia" w:eastAsiaTheme="minorEastAsia" w:hAnsiTheme="minorEastAsia" w:hint="eastAsia"/>
          <w:szCs w:val="21"/>
        </w:rPr>
        <w:t>对基金的日常投资和交易是否遵守法律法规、基金合同进行独立监督检查；</w:t>
      </w:r>
    </w:p>
    <w:p w:rsidR="00BA4B87" w:rsidRPr="00D6191E" w:rsidRDefault="00322CAF"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(6)</w:t>
      </w:r>
      <w:r w:rsidR="00884CDC" w:rsidRPr="00D6191E">
        <w:rPr>
          <w:rFonts w:asciiTheme="minorEastAsia" w:eastAsiaTheme="minorEastAsia" w:hAnsiTheme="minorEastAsia" w:hint="eastAsia"/>
          <w:szCs w:val="21"/>
        </w:rPr>
        <w:t>投资风险管理部定期出具基金绩效评估和风险管理报告</w:t>
      </w:r>
      <w:r w:rsidR="00F5314B" w:rsidRPr="00D6191E">
        <w:rPr>
          <w:rFonts w:asciiTheme="minorEastAsia" w:eastAsiaTheme="minorEastAsia" w:hAnsiTheme="minorEastAsia" w:hint="eastAsia"/>
          <w:szCs w:val="21"/>
        </w:rPr>
        <w:t>，供基金经理调整投资组合</w:t>
      </w:r>
      <w:r w:rsidR="00F5314B" w:rsidRPr="00D6191E">
        <w:rPr>
          <w:rFonts w:asciiTheme="minorEastAsia" w:eastAsiaTheme="minorEastAsia" w:hAnsiTheme="minorEastAsia" w:hint="eastAsia"/>
        </w:rPr>
        <w:t>时参考</w:t>
      </w:r>
      <w:r w:rsidR="00BA4B87" w:rsidRPr="00D6191E">
        <w:rPr>
          <w:rFonts w:asciiTheme="minorEastAsia" w:eastAsiaTheme="minorEastAsia" w:hAnsiTheme="minorEastAsia" w:hint="eastAsia"/>
          <w:szCs w:val="21"/>
        </w:rPr>
        <w:t>；</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w:t>
      </w:r>
      <w:r w:rsidR="00322CAF" w:rsidRPr="00D6191E">
        <w:rPr>
          <w:rFonts w:asciiTheme="minorEastAsia" w:eastAsiaTheme="minorEastAsia" w:hAnsiTheme="minorEastAsia" w:hint="eastAsia"/>
          <w:szCs w:val="21"/>
        </w:rPr>
        <w:t>7</w:t>
      </w:r>
      <w:r w:rsidRPr="00D6191E">
        <w:rPr>
          <w:rFonts w:asciiTheme="minorEastAsia" w:eastAsiaTheme="minorEastAsia" w:hAnsiTheme="minorEastAsia" w:hint="eastAsia"/>
          <w:szCs w:val="21"/>
        </w:rPr>
        <w:t>)基金经理定期检讨投资组合的运作成效，并进行相应的组合调整。</w:t>
      </w:r>
    </w:p>
    <w:p w:rsidR="0037108E"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szCs w:val="21"/>
        </w:rPr>
      </w:pPr>
      <w:bookmarkStart w:id="55" w:name="_Toc86315879"/>
      <w:r w:rsidRPr="00D6191E">
        <w:rPr>
          <w:rFonts w:asciiTheme="minorEastAsia" w:eastAsiaTheme="minorEastAsia" w:hAnsiTheme="minorEastAsia" w:hint="eastAsia"/>
          <w:b w:val="0"/>
          <w:szCs w:val="21"/>
        </w:rPr>
        <w:t>(八)投资禁止行为与限制</w:t>
      </w:r>
      <w:bookmarkEnd w:id="55"/>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hint="eastAsia"/>
          <w:szCs w:val="21"/>
        </w:rPr>
        <w:t>禁止行为</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为维护基金份额持有人的合法权益，基金财产不得用于下列投资或者活动：</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(1)承销证券；</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(2)向他人贷款或者提供担保；</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(3)从事承担无限责任的投资；</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(4)买卖其他基金份额，但是法律法规或中国证监会另有规定的除外；</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(5)向其基金管理人、基金托管人出资或者买卖其基金管理人、基金托管人发行的股票或者债券；</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(6)买卖与其基金管理人、基金托管人有控股关系的股东或者与其基金管理人、基金托管人有其他重大利害关系的公司发行的证券或者承销期内承销的证券；</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(7)从事内幕交易、操纵证券交易价格及其他不正当的证券交易活动；</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(8)依照法律法规有关规定，由中国证监会规定禁止的其他活动；</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(9)法律法规或监管部门取消上述限制，如适用于本基金，则本基金投资不再受相关限制。</w:t>
      </w:r>
    </w:p>
    <w:p w:rsidR="00BA4B87" w:rsidRPr="00D6191E" w:rsidRDefault="00200D60"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BA4B87" w:rsidRPr="00D6191E">
        <w:rPr>
          <w:rFonts w:asciiTheme="minorEastAsia" w:eastAsiaTheme="minorEastAsia" w:hAnsiTheme="minorEastAsia" w:hint="eastAsia"/>
          <w:szCs w:val="21"/>
        </w:rPr>
        <w:t>投资组合限制</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本基金在投资策略上兼顾投资原则以及开放式基金的固有特点，通过分散投资降低基金财产的非系统性风险，保持基金组合良好的流动性。基金的投资组合将遵循以下限制：</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(1)本基金持有一家上市公司的股票，其市值不超过基金资产净值的10％；</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(2)本基金持有的全部权证，其市值不得超过基金资产净值的3％；</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(3)本基金管理人管理的全部基金持有一家公司发行的证券，不超过该证券的10％；</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(4)本基金管理人管理的全部基金持有的同一权证，不得超过该权证的10％；</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(5)本基金进入全国银行间同业市场进行债券回购的资金余额不得超过基金资产净值的</w:t>
      </w:r>
      <w:r w:rsidRPr="00D6191E">
        <w:rPr>
          <w:rFonts w:asciiTheme="minorEastAsia" w:eastAsiaTheme="minorEastAsia" w:hAnsiTheme="minorEastAsia" w:hint="eastAsia"/>
          <w:szCs w:val="21"/>
        </w:rPr>
        <w:lastRenderedPageBreak/>
        <w:t>40％；</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(6)本基金投资固定收益类资产的比例不低于基金资产的80%，其中，信用债、可转债合计投资比例不低于债券资产的80%；本基金投资权益类资产的比例不高于基金资产的20%；</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(7)本基金投资于同一原始权益人的各类资产支持证券的比例，不得超过基金资产净值的10％；</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(8)本基金持有的全部资产支持证券，其市值不得超过基金资产净值的20％；</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(9)本基金持有的同一(指同一信用级别)资产支持证券的比例，不得超过该资产支持证券规模的10％；</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(10)本基金管理人管理的全部基金投资于同一原始权益人的各类资产支持证券，不得超过其各类资产支持证券合计规模的10％；</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(11)本基金应投资于信用级别评级为BBB以上(含BBB)的资产支持证券。基金持有资产支持证券期间，如果其信用等级下降、不再符合投资标准，应在评级报告发布之日起3个月内予以全部卖出；</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(12)基金财产参与股票发行申购，本基金所申报的金额不超过本基金的总资产，本基金所申报的股票数量不超过拟发行股票公司本次发行股票的总量；</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(13)保持不低于基金资产净值5％的现金或者到期日在一年以内的政府债券</w:t>
      </w:r>
      <w:r w:rsidR="00BA7A94" w:rsidRPr="00D6191E">
        <w:rPr>
          <w:rFonts w:asciiTheme="minorEastAsia" w:eastAsiaTheme="minorEastAsia" w:hAnsiTheme="minorEastAsia" w:hint="eastAsia"/>
          <w:szCs w:val="21"/>
        </w:rPr>
        <w:t>，现金不包括结算备付金、存出保证金、应收申购款等</w:t>
      </w:r>
      <w:r w:rsidRPr="00D6191E">
        <w:rPr>
          <w:rFonts w:asciiTheme="minorEastAsia" w:eastAsiaTheme="minorEastAsia" w:hAnsiTheme="minorEastAsia" w:hint="eastAsia"/>
          <w:szCs w:val="21"/>
        </w:rPr>
        <w:t>；</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(14)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BA7A94" w:rsidRPr="00D6191E" w:rsidRDefault="00BA7A94" w:rsidP="00BA7A94">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BA7A94" w:rsidRPr="00D6191E" w:rsidRDefault="00BA7A94" w:rsidP="00BA7A94">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（16）本基金主动投资于流动性受限资产的市值合计不得超过该基金资产净值的15%。</w:t>
      </w:r>
    </w:p>
    <w:p w:rsidR="00BA7A94" w:rsidRPr="00D6191E" w:rsidRDefault="00BA7A94" w:rsidP="00BA7A94">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因证券市场波动、上市公司股票停牌、基金规模变动等基金管理人之外的因素致使基金不符合前款所规定比例限制的，基金管理人不得主动新增流动性受限资产的投资。</w:t>
      </w:r>
    </w:p>
    <w:p w:rsidR="00BA7A94" w:rsidRDefault="00BA7A94" w:rsidP="00BA7A94">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（17）本基金与私募类证券资管产品及中国证监会认定的其他主体为交易对手开展逆回购交易的，可接受质押品的资质要求应当与基金合同约定的投资范围保持一致。</w:t>
      </w:r>
    </w:p>
    <w:p w:rsidR="009A06F7" w:rsidRPr="009A06F7" w:rsidRDefault="009A06F7" w:rsidP="00BA7A94">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8</w:t>
      </w:r>
      <w:r>
        <w:rPr>
          <w:rFonts w:asciiTheme="minorEastAsia" w:eastAsiaTheme="minorEastAsia" w:hAnsiTheme="minorEastAsia" w:hint="eastAsia"/>
          <w:szCs w:val="21"/>
        </w:rPr>
        <w:t>）</w:t>
      </w:r>
      <w:r w:rsidRPr="009A06F7">
        <w:rPr>
          <w:rFonts w:asciiTheme="minorEastAsia" w:eastAsiaTheme="minorEastAsia" w:hAnsiTheme="minorEastAsia" w:hint="eastAsia"/>
          <w:szCs w:val="21"/>
        </w:rPr>
        <w:t>本基金投资存托凭证的比例限制依照境内上市交易的股票执行，与境内上市交易的股票合并计算；</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如果法律法规或监管部门对上述约定的投资组合比例规定进行变更的，以变更后的规定为准。有关法律法规或监管部门取消上述限制，履行适当程序后，则本基金投资不再受相关限制。</w:t>
      </w:r>
    </w:p>
    <w:p w:rsidR="0037108E"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rPr>
      </w:pPr>
      <w:bookmarkStart w:id="56" w:name="_Toc86315880"/>
      <w:r w:rsidRPr="00D6191E">
        <w:rPr>
          <w:rFonts w:asciiTheme="minorEastAsia" w:eastAsiaTheme="minorEastAsia" w:hAnsiTheme="minorEastAsia" w:hint="eastAsia"/>
          <w:b w:val="0"/>
        </w:rPr>
        <w:lastRenderedPageBreak/>
        <w:t>(九)投资组合比例调整</w:t>
      </w:r>
      <w:bookmarkEnd w:id="56"/>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基金管理人应当自基金合同生效之日起6个月内使基金的投资组合比例符合基金合同的有关约定。基金托管人对基金的投资的监督与检查自本基金合同生效之日起开始。</w:t>
      </w:r>
      <w:r w:rsidR="00BA7A94" w:rsidRPr="00D6191E">
        <w:rPr>
          <w:rFonts w:asciiTheme="minorEastAsia" w:eastAsiaTheme="minorEastAsia" w:hAnsiTheme="minorEastAsia" w:hint="eastAsia"/>
          <w:szCs w:val="21"/>
        </w:rPr>
        <w:t>除上述（11）、（12）、（13）、（16）、（17）以外，</w:t>
      </w:r>
      <w:r w:rsidRPr="00D6191E">
        <w:rPr>
          <w:rFonts w:asciiTheme="minorEastAsia" w:eastAsiaTheme="minorEastAsia" w:hAnsiTheme="minorEastAsia" w:hint="eastAsia"/>
          <w:szCs w:val="21"/>
        </w:rPr>
        <w:t>因证券市场波动、上市公司合并、基金规模变动、股权分置改革中支付对价等基金管理人之外的因素致使基金投资比例不符合上述规定投资比例的，基金管理人应当在10个交易日内进行调整。</w:t>
      </w:r>
    </w:p>
    <w:p w:rsidR="0037108E"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kern w:val="0"/>
          <w:szCs w:val="21"/>
        </w:rPr>
      </w:pPr>
      <w:bookmarkStart w:id="57" w:name="_Toc86315881"/>
      <w:r w:rsidRPr="00D6191E">
        <w:rPr>
          <w:rFonts w:asciiTheme="minorEastAsia" w:eastAsiaTheme="minorEastAsia" w:hAnsiTheme="minorEastAsia" w:hint="eastAsia"/>
          <w:b w:val="0"/>
          <w:kern w:val="0"/>
          <w:szCs w:val="21"/>
        </w:rPr>
        <w:t>(十)基金的融资、融券</w:t>
      </w:r>
      <w:bookmarkEnd w:id="57"/>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本基金可以按照国家的有关规定进行融资</w:t>
      </w:r>
      <w:r w:rsidRPr="00D6191E">
        <w:rPr>
          <w:rFonts w:asciiTheme="minorEastAsia" w:eastAsiaTheme="minorEastAsia" w:hAnsiTheme="minorEastAsia" w:hint="eastAsia"/>
          <w:szCs w:val="21"/>
        </w:rPr>
        <w:t>、融券</w:t>
      </w:r>
      <w:r w:rsidRPr="00D6191E">
        <w:rPr>
          <w:rFonts w:asciiTheme="minorEastAsia" w:eastAsiaTheme="minorEastAsia" w:hAnsiTheme="minorEastAsia"/>
          <w:szCs w:val="21"/>
        </w:rPr>
        <w:t>。</w:t>
      </w:r>
      <w:bookmarkStart w:id="58" w:name="_Toc79392634"/>
    </w:p>
    <w:p w:rsidR="0037108E"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kern w:val="0"/>
          <w:szCs w:val="21"/>
        </w:rPr>
      </w:pPr>
      <w:bookmarkStart w:id="59" w:name="_Toc86315882"/>
      <w:bookmarkEnd w:id="58"/>
      <w:r w:rsidRPr="00D6191E">
        <w:rPr>
          <w:rFonts w:asciiTheme="minorEastAsia" w:eastAsiaTheme="minorEastAsia" w:hAnsiTheme="minorEastAsia" w:hint="eastAsia"/>
          <w:b w:val="0"/>
          <w:bCs/>
          <w:kern w:val="0"/>
          <w:szCs w:val="21"/>
        </w:rPr>
        <w:t>(十一)基金管理人代表基金行使股东权利及债权人权利的处理原则及方法</w:t>
      </w:r>
      <w:bookmarkEnd w:id="59"/>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hint="eastAsia"/>
          <w:szCs w:val="21"/>
        </w:rPr>
        <w:t>基金管理人按照国家有关规定代表基金独立行使股东权利及债权人权利，保护基金份额持有人的利益；</w:t>
      </w:r>
    </w:p>
    <w:p w:rsidR="00BA4B87" w:rsidRPr="00D6191E" w:rsidRDefault="00200D60"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BA4B87" w:rsidRPr="00D6191E">
        <w:rPr>
          <w:rFonts w:asciiTheme="minorEastAsia" w:eastAsiaTheme="minorEastAsia" w:hAnsiTheme="minorEastAsia" w:hint="eastAsia"/>
          <w:szCs w:val="21"/>
        </w:rPr>
        <w:t>不谋求对上市公司的控股，不参与所投资上市公司的经营管理；</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00BA4B87" w:rsidRPr="00D6191E">
        <w:rPr>
          <w:rFonts w:asciiTheme="minorEastAsia" w:eastAsiaTheme="minorEastAsia" w:hAnsiTheme="minorEastAsia" w:hint="eastAsia"/>
          <w:szCs w:val="21"/>
        </w:rPr>
        <w:t>有利于基金财产的安全与增值；</w:t>
      </w:r>
    </w:p>
    <w:p w:rsidR="00BA4B87"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w:t>
      </w:r>
      <w:r w:rsidR="00BA4B87" w:rsidRPr="00D6191E">
        <w:rPr>
          <w:rFonts w:asciiTheme="minorEastAsia" w:eastAsiaTheme="minorEastAsia" w:hAnsiTheme="minorEastAsia" w:hint="eastAsia"/>
          <w:szCs w:val="21"/>
        </w:rPr>
        <w:t>不通过关联交易为自身、雇员、授权代理人或任何存在利害关系的第三人牟取任何不当利益。</w:t>
      </w:r>
    </w:p>
    <w:p w:rsidR="009A06F7" w:rsidRPr="00721042" w:rsidRDefault="009A06F7" w:rsidP="001B2C8B">
      <w:pPr>
        <w:pStyle w:val="2"/>
        <w:snapToGrid w:val="0"/>
        <w:spacing w:beforeLines="0" w:afterLines="0" w:line="360" w:lineRule="auto"/>
        <w:ind w:firstLineChars="0" w:firstLine="0"/>
        <w:rPr>
          <w:rFonts w:asciiTheme="minorEastAsia" w:eastAsiaTheme="minorEastAsia" w:hAnsiTheme="minorEastAsia"/>
          <w:b w:val="0"/>
          <w:bCs/>
          <w:kern w:val="0"/>
          <w:szCs w:val="21"/>
        </w:rPr>
      </w:pPr>
      <w:bookmarkStart w:id="60" w:name="_Toc86315883"/>
      <w:bookmarkStart w:id="61" w:name="_GoBack"/>
      <w:r w:rsidRPr="00721042">
        <w:rPr>
          <w:rFonts w:asciiTheme="minorEastAsia" w:eastAsiaTheme="minorEastAsia" w:hAnsiTheme="minorEastAsia" w:hint="eastAsia"/>
          <w:b w:val="0"/>
          <w:bCs/>
          <w:kern w:val="0"/>
          <w:szCs w:val="21"/>
        </w:rPr>
        <w:t>（十二）侧袋机制的实施和投资运作安排</w:t>
      </w:r>
      <w:bookmarkEnd w:id="60"/>
    </w:p>
    <w:bookmarkEnd w:id="61"/>
    <w:p w:rsidR="009A06F7" w:rsidRPr="007D27C7" w:rsidRDefault="009A06F7" w:rsidP="009A06F7">
      <w:pPr>
        <w:spacing w:line="360" w:lineRule="auto"/>
        <w:ind w:firstLineChars="200" w:firstLine="420"/>
        <w:rPr>
          <w:rStyle w:val="da"/>
          <w:szCs w:val="21"/>
        </w:rPr>
      </w:pPr>
      <w:r>
        <w:rPr>
          <w:rStyle w:val="da"/>
          <w:rFonts w:hint="eastAsia"/>
          <w:szCs w:val="21"/>
        </w:rPr>
        <w:t>当基金持有特定资产且存在或潜在大额</w:t>
      </w:r>
      <w:r w:rsidRPr="007D27C7">
        <w:rPr>
          <w:rStyle w:val="da"/>
          <w:rFonts w:hint="eastAsia"/>
          <w:szCs w:val="21"/>
        </w:rPr>
        <w:t>赎回申请时，根据最大限度保护基金份额持有人利益的原则，基金管理人经与基金托管人协商一致，并咨询会计师事务所意见后，可以依照法律法规及基金合同的约定启用侧袋机制。</w:t>
      </w:r>
    </w:p>
    <w:p w:rsidR="009A06F7" w:rsidRPr="007D27C7" w:rsidRDefault="009A06F7" w:rsidP="009A06F7">
      <w:pPr>
        <w:spacing w:line="360" w:lineRule="auto"/>
        <w:ind w:firstLineChars="200" w:firstLine="420"/>
        <w:rPr>
          <w:rStyle w:val="da"/>
          <w:szCs w:val="21"/>
        </w:rPr>
      </w:pPr>
      <w:r w:rsidRPr="007D27C7">
        <w:rPr>
          <w:rStyle w:val="da"/>
          <w:rFonts w:hint="eastAsia"/>
          <w:szCs w:val="21"/>
        </w:rPr>
        <w:t>侧袋机制实施期间，本部分约定的投资组合比例、投资策略、组合限制、业绩比较基准、风险收益特征等约定仅适用于主袋账户。</w:t>
      </w:r>
    </w:p>
    <w:p w:rsidR="009A06F7" w:rsidRPr="00D6191E" w:rsidRDefault="009A06F7" w:rsidP="009A06F7">
      <w:pPr>
        <w:snapToGrid w:val="0"/>
        <w:spacing w:line="360" w:lineRule="auto"/>
        <w:ind w:firstLineChars="200" w:firstLine="420"/>
        <w:rPr>
          <w:rFonts w:asciiTheme="minorEastAsia" w:eastAsiaTheme="minorEastAsia" w:hAnsiTheme="minorEastAsia"/>
          <w:szCs w:val="21"/>
        </w:rPr>
      </w:pPr>
      <w:r w:rsidRPr="007D27C7">
        <w:rPr>
          <w:rStyle w:val="da"/>
          <w:rFonts w:hint="eastAsia"/>
          <w:szCs w:val="21"/>
        </w:rPr>
        <w:t>侧袋账户的实施条件、实施程序、运作安排、投资安排、特定资产的处置变现和支付等对投资者权益有重大影响的事项详见本招募说明书“侧袋机制”部分的规定。</w:t>
      </w:r>
    </w:p>
    <w:p w:rsidR="0037108E" w:rsidRPr="00D6191E" w:rsidRDefault="008469C5" w:rsidP="004D6C82">
      <w:pPr>
        <w:pStyle w:val="2"/>
        <w:snapToGrid w:val="0"/>
        <w:spacing w:beforeLines="0" w:afterLines="0" w:line="360" w:lineRule="auto"/>
        <w:ind w:firstLineChars="0" w:firstLine="0"/>
        <w:rPr>
          <w:rFonts w:asciiTheme="minorEastAsia" w:eastAsiaTheme="minorEastAsia" w:hAnsiTheme="minorEastAsia"/>
          <w:b w:val="0"/>
          <w:bCs/>
          <w:kern w:val="0"/>
          <w:szCs w:val="21"/>
        </w:rPr>
      </w:pPr>
      <w:bookmarkStart w:id="62" w:name="_Toc86315884"/>
      <w:r w:rsidRPr="00D6191E">
        <w:rPr>
          <w:rFonts w:asciiTheme="minorEastAsia" w:eastAsiaTheme="minorEastAsia" w:hAnsiTheme="minorEastAsia" w:hint="eastAsia"/>
          <w:b w:val="0"/>
          <w:bCs/>
          <w:kern w:val="0"/>
          <w:szCs w:val="21"/>
        </w:rPr>
        <w:t>(十</w:t>
      </w:r>
      <w:r w:rsidR="009A06F7">
        <w:rPr>
          <w:rFonts w:asciiTheme="minorEastAsia" w:eastAsiaTheme="minorEastAsia" w:hAnsiTheme="minorEastAsia"/>
          <w:b w:val="0"/>
          <w:bCs/>
          <w:kern w:val="0"/>
          <w:szCs w:val="21"/>
        </w:rPr>
        <w:t>三</w:t>
      </w:r>
      <w:r w:rsidRPr="00D6191E">
        <w:rPr>
          <w:rFonts w:asciiTheme="minorEastAsia" w:eastAsiaTheme="minorEastAsia" w:hAnsiTheme="minorEastAsia" w:hint="eastAsia"/>
          <w:b w:val="0"/>
          <w:bCs/>
          <w:kern w:val="0"/>
          <w:szCs w:val="21"/>
        </w:rPr>
        <w:t>)基金投资组合报告</w:t>
      </w:r>
      <w:r w:rsidRPr="00D6191E">
        <w:rPr>
          <w:rFonts w:asciiTheme="minorEastAsia" w:eastAsiaTheme="minorEastAsia" w:hAnsiTheme="minorEastAsia" w:hint="eastAsia"/>
          <w:b w:val="0"/>
        </w:rPr>
        <w:t>（未经审计）</w:t>
      </w:r>
      <w:bookmarkEnd w:id="62"/>
    </w:p>
    <w:p w:rsidR="008469C5" w:rsidRPr="00D6191E" w:rsidRDefault="008469C5"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本基金管理人的董事会及董事保证本报告所载资料不存在虚假记载、误导性陈述或重大遗漏，并对其内容的真实性、准确性和完整性承担个别及连带责任。</w:t>
      </w:r>
    </w:p>
    <w:p w:rsidR="00EE79AD" w:rsidRPr="00D6191E" w:rsidRDefault="008469C5"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本基金的托管人中国建设银行股份有限公司根据本基金合同的规定，复核了本报告的内容，保证复核内容不存在虚假记载、误导性陈述或者重大遗漏。</w:t>
      </w:r>
    </w:p>
    <w:p w:rsidR="00EE79AD" w:rsidRPr="00D6191E" w:rsidRDefault="008E4EB2" w:rsidP="00EE79AD">
      <w:pPr>
        <w:adjustRightInd w:val="0"/>
        <w:snapToGrid w:val="0"/>
        <w:spacing w:line="360" w:lineRule="auto"/>
        <w:ind w:firstLineChars="200" w:firstLine="420"/>
        <w:rPr>
          <w:rFonts w:asciiTheme="minorEastAsia" w:eastAsiaTheme="minorEastAsia" w:hAnsiTheme="minorEastAsia"/>
        </w:rPr>
      </w:pPr>
      <w:r w:rsidRPr="008E4EB2">
        <w:rPr>
          <w:rFonts w:asciiTheme="minorEastAsia" w:eastAsiaTheme="minorEastAsia" w:hAnsiTheme="minorEastAsia" w:hint="eastAsia"/>
        </w:rPr>
        <w:t>本投资组合报告有关数据的期间为2021年7月1日至2021年9月30日。</w:t>
      </w:r>
    </w:p>
    <w:p w:rsidR="00ED552C" w:rsidRDefault="00B37D4A">
      <w:pPr>
        <w:spacing w:line="360" w:lineRule="auto"/>
        <w:jc w:val="left"/>
      </w:pPr>
      <w:r>
        <w:t>1</w:t>
      </w:r>
      <w:r>
        <w:t>、</w:t>
      </w:r>
      <w:r>
        <w:t xml:space="preserve"> </w:t>
      </w:r>
      <w: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2977"/>
        <w:gridCol w:w="1843"/>
      </w:tblGrid>
      <w:tr w:rsidR="00ED552C">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lastRenderedPageBreak/>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金额</w:t>
            </w:r>
            <w:r>
              <w:rPr>
                <w:color w:val="000000"/>
              </w:rPr>
              <w:t>(</w:t>
            </w:r>
            <w:r>
              <w:rPr>
                <w:color w:val="000000"/>
              </w:rPr>
              <w:t>元</w:t>
            </w: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占基金总资产的比例</w:t>
            </w:r>
            <w:r>
              <w:rPr>
                <w:color w:val="000000"/>
              </w:rPr>
              <w:t>(%)</w:t>
            </w:r>
          </w:p>
        </w:tc>
      </w:tr>
      <w:tr w:rsidR="00ED552C">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sz w:val="24"/>
              </w:rPr>
            </w:pPr>
            <w:r>
              <w:rPr>
                <w:color w:val="000000"/>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158,040,547.31</w:t>
            </w:r>
          </w:p>
        </w:tc>
        <w:tc>
          <w:tcPr>
            <w:tcW w:w="1843"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3.65</w:t>
            </w:r>
          </w:p>
        </w:tc>
      </w:tr>
      <w:tr w:rsidR="00ED552C">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552C" w:rsidRDefault="00ED552C">
            <w:pPr>
              <w:ind w:left="17"/>
              <w:jc w:val="center"/>
              <w:rPr>
                <w:color w:val="00000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sz w:val="24"/>
              </w:rPr>
            </w:pPr>
            <w:r>
              <w:rPr>
                <w:color w:val="000000"/>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158,040,547.31</w:t>
            </w:r>
          </w:p>
        </w:tc>
        <w:tc>
          <w:tcPr>
            <w:tcW w:w="1843"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3.65</w:t>
            </w:r>
          </w:p>
        </w:tc>
      </w:tr>
      <w:tr w:rsidR="00ED552C">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sz w:val="24"/>
              </w:rPr>
            </w:pPr>
            <w:r>
              <w:rPr>
                <w:color w:val="000000"/>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4,030,861,924.89</w:t>
            </w:r>
          </w:p>
        </w:tc>
        <w:tc>
          <w:tcPr>
            <w:tcW w:w="1843"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93.16</w:t>
            </w:r>
          </w:p>
        </w:tc>
      </w:tr>
      <w:tr w:rsidR="00ED552C">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552C" w:rsidRDefault="00ED552C">
            <w:pPr>
              <w:ind w:left="17"/>
              <w:jc w:val="center"/>
              <w:rPr>
                <w:color w:val="00000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sz w:val="24"/>
              </w:rPr>
            </w:pPr>
            <w:r>
              <w:rPr>
                <w:color w:val="000000"/>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4,030,861,924.89</w:t>
            </w:r>
          </w:p>
        </w:tc>
        <w:tc>
          <w:tcPr>
            <w:tcW w:w="1843"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93.16</w:t>
            </w:r>
          </w:p>
        </w:tc>
      </w:tr>
      <w:tr w:rsidR="00ED552C">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552C" w:rsidRDefault="00ED552C">
            <w:pPr>
              <w:ind w:left="17"/>
              <w:jc w:val="center"/>
              <w:rPr>
                <w:color w:val="00000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7"/>
              <w:jc w:val="left"/>
              <w:rPr>
                <w:color w:val="000000"/>
                <w:sz w:val="24"/>
              </w:rPr>
            </w:pPr>
            <w:r>
              <w:rPr>
                <w:color w:val="000000"/>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w:t>
            </w:r>
          </w:p>
        </w:tc>
      </w:tr>
      <w:tr w:rsidR="00ED552C">
        <w:trPr>
          <w:jc w:val="center"/>
        </w:trPr>
        <w:tc>
          <w:tcPr>
            <w:tcW w:w="720" w:type="dxa"/>
            <w:tcBorders>
              <w:top w:val="single" w:sz="0" w:space="0" w:color="000000"/>
              <w:left w:val="single" w:sz="0" w:space="0" w:color="000000"/>
              <w:bottom w:val="single" w:sz="0" w:space="0" w:color="000000"/>
              <w:right w:val="single" w:sz="0" w:space="0" w:color="000000"/>
            </w:tcBorders>
          </w:tcPr>
          <w:p w:rsidR="00ED552C" w:rsidRDefault="00B37D4A">
            <w:pPr>
              <w:ind w:left="17"/>
              <w:jc w:val="center"/>
              <w:rPr>
                <w:color w:val="000000"/>
                <w:sz w:val="24"/>
              </w:rPr>
            </w:pPr>
            <w:r>
              <w:rPr>
                <w:color w:val="000000"/>
              </w:rPr>
              <w:t>3</w:t>
            </w:r>
          </w:p>
        </w:tc>
        <w:tc>
          <w:tcPr>
            <w:tcW w:w="3357" w:type="dxa"/>
            <w:tcBorders>
              <w:top w:val="single" w:sz="0" w:space="0" w:color="000000"/>
              <w:left w:val="single" w:sz="0" w:space="0" w:color="000000"/>
              <w:bottom w:val="single" w:sz="0" w:space="0" w:color="000000"/>
              <w:right w:val="single" w:sz="0" w:space="0" w:color="000000"/>
            </w:tcBorders>
          </w:tcPr>
          <w:p w:rsidR="00ED552C" w:rsidRDefault="00B37D4A">
            <w:pPr>
              <w:ind w:leftChars="50" w:left="105"/>
              <w:rPr>
                <w:color w:val="000000"/>
                <w:sz w:val="24"/>
              </w:rPr>
            </w:pPr>
            <w:r>
              <w:rPr>
                <w:color w:val="000000"/>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w:t>
            </w:r>
          </w:p>
        </w:tc>
      </w:tr>
      <w:tr w:rsidR="00ED552C">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color w:val="000000"/>
                <w:sz w:val="24"/>
              </w:rPr>
            </w:pPr>
            <w:r>
              <w:rPr>
                <w:color w:val="000000"/>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w:t>
            </w:r>
          </w:p>
        </w:tc>
      </w:tr>
      <w:tr w:rsidR="00ED552C">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sz w:val="24"/>
              </w:rPr>
            </w:pPr>
            <w:r>
              <w:rPr>
                <w:color w:val="000000"/>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12,920,206.46</w:t>
            </w:r>
          </w:p>
        </w:tc>
        <w:tc>
          <w:tcPr>
            <w:tcW w:w="1843"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0.30</w:t>
            </w:r>
          </w:p>
        </w:tc>
      </w:tr>
      <w:tr w:rsidR="00ED552C">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552C" w:rsidRDefault="00ED552C">
            <w:pPr>
              <w:ind w:left="17"/>
              <w:jc w:val="center"/>
              <w:rPr>
                <w:color w:val="00000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sz w:val="24"/>
              </w:rPr>
            </w:pPr>
            <w:r>
              <w:rPr>
                <w:color w:val="000000"/>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w:t>
            </w:r>
          </w:p>
        </w:tc>
      </w:tr>
      <w:tr w:rsidR="00ED552C">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sz w:val="24"/>
              </w:rPr>
            </w:pPr>
            <w:r>
              <w:rPr>
                <w:color w:val="000000"/>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41,280,958.10</w:t>
            </w:r>
          </w:p>
        </w:tc>
        <w:tc>
          <w:tcPr>
            <w:tcW w:w="1843"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color w:val="000000"/>
                <w:sz w:val="24"/>
              </w:rPr>
            </w:pPr>
            <w:r>
              <w:rPr>
                <w:color w:val="000000"/>
              </w:rPr>
              <w:t>0.95</w:t>
            </w:r>
          </w:p>
        </w:tc>
      </w:tr>
      <w:tr w:rsidR="00ED552C">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left"/>
              <w:rPr>
                <w:sz w:val="24"/>
              </w:rPr>
            </w:pPr>
            <w:r>
              <w:rPr>
                <w:color w:val="000000"/>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color w:val="000000"/>
                <w:sz w:val="24"/>
              </w:rPr>
            </w:pPr>
            <w:r>
              <w:rPr>
                <w:color w:val="000000"/>
              </w:rPr>
              <w:t>83,536,147.78</w:t>
            </w:r>
          </w:p>
        </w:tc>
        <w:tc>
          <w:tcPr>
            <w:tcW w:w="1843"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color w:val="000000"/>
                <w:sz w:val="24"/>
              </w:rPr>
            </w:pPr>
            <w:r>
              <w:rPr>
                <w:color w:val="000000"/>
              </w:rPr>
              <w:t>1.93</w:t>
            </w:r>
          </w:p>
        </w:tc>
      </w:tr>
      <w:tr w:rsidR="00ED552C">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left"/>
              <w:rPr>
                <w:sz w:val="24"/>
              </w:rPr>
            </w:pPr>
            <w:r>
              <w:rPr>
                <w:color w:val="000000"/>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color w:val="000000"/>
                <w:sz w:val="24"/>
              </w:rPr>
            </w:pPr>
            <w:r>
              <w:rPr>
                <w:color w:val="000000"/>
              </w:rPr>
              <w:t>4,326,639,784.54</w:t>
            </w:r>
          </w:p>
        </w:tc>
        <w:tc>
          <w:tcPr>
            <w:tcW w:w="1843"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color w:val="000000"/>
                <w:sz w:val="24"/>
              </w:rPr>
            </w:pPr>
            <w:r>
              <w:rPr>
                <w:color w:val="000000"/>
              </w:rPr>
              <w:t>100.00</w:t>
            </w:r>
          </w:p>
        </w:tc>
      </w:tr>
    </w:tbl>
    <w:p w:rsidR="00ED552C" w:rsidRDefault="00B37D4A">
      <w:pPr>
        <w:spacing w:line="360" w:lineRule="auto"/>
        <w:jc w:val="left"/>
      </w:pPr>
      <w:r>
        <w:t>2</w:t>
      </w:r>
      <w:r>
        <w:t>、</w:t>
      </w:r>
      <w:r>
        <w:t xml:space="preserve"> </w:t>
      </w:r>
      <w:r>
        <w:t>报告期末按行业分类的股票投资组合</w:t>
      </w:r>
    </w:p>
    <w:p w:rsidR="00ED552C" w:rsidRDefault="00B37D4A">
      <w:pPr>
        <w:spacing w:line="360" w:lineRule="auto"/>
        <w:jc w:val="left"/>
      </w:pPr>
      <w:r>
        <w:t>（</w:t>
      </w:r>
      <w:r>
        <w:t>1</w:t>
      </w:r>
      <w: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ED552C">
        <w:trPr>
          <w:trHeight w:val="390"/>
        </w:trPr>
        <w:tc>
          <w:tcPr>
            <w:tcW w:w="540" w:type="dxa"/>
            <w:tcBorders>
              <w:top w:val="single" w:sz="0" w:space="0" w:color="000000"/>
              <w:left w:val="single" w:sz="0" w:space="0" w:color="000000"/>
              <w:bottom w:val="single" w:sz="0" w:space="0" w:color="000000"/>
              <w:right w:val="single" w:sz="0" w:space="0" w:color="000000"/>
            </w:tcBorders>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代码</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行业类别</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公允价值（元）</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占基金资产净值比例（％）</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A</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农、林、牧、渔业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utoSpaceDE w:val="0"/>
              <w:autoSpaceDN w:val="0"/>
              <w:adjustRightInd w:val="0"/>
              <w:ind w:left="15"/>
              <w:jc w:val="right"/>
              <w:rPr>
                <w:rFonts w:eastAsiaTheme="minorEastAsia"/>
                <w:color w:val="000000" w:themeColor="text1"/>
                <w:sz w:val="24"/>
              </w:rPr>
            </w:pPr>
            <w:r>
              <w:rPr>
                <w:rFonts w:eastAsiaTheme="minorEastAsia"/>
                <w:color w:val="000000" w:themeColor="text1"/>
              </w:rPr>
              <w:t>-</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B</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采矿业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w:t>
            </w:r>
          </w:p>
          <w:p w:rsidR="00ED552C" w:rsidRDefault="00ED552C">
            <w:pPr>
              <w:jc w:val="right"/>
              <w:rPr>
                <w:rFonts w:eastAsiaTheme="minorEastAsia"/>
                <w:color w:val="000000" w:themeColor="text1"/>
                <w:sz w:val="24"/>
              </w:rPr>
            </w:pP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w:t>
            </w:r>
          </w:p>
          <w:p w:rsidR="00ED552C" w:rsidRDefault="00ED552C">
            <w:pPr>
              <w:jc w:val="right"/>
              <w:rPr>
                <w:rFonts w:eastAsiaTheme="minorEastAsia"/>
                <w:color w:val="000000" w:themeColor="text1"/>
                <w:sz w:val="24"/>
              </w:rPr>
            </w:pP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C</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制造业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111,593,482.10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2.64</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D</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电力、热力、燃气及水生产和供应业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E</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建筑业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46,447,065.21</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1.10</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F</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批发和零售业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G</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交通运输、仓储和邮政业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H</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住宿和餐饮业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I</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信息传输、软件和信息技术服务业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J</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金融业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K</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房地产业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L</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租赁和商务服务业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M</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科学研究和技术服务业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N</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水利、环境和公共设施管理业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O</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居民服务、修理和其他服务业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P</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教育</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Q</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卫生和社会工作</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R</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文化、体育和娱乐业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jc w:val="center"/>
              <w:rPr>
                <w:rFonts w:eastAsiaTheme="minorEastAsia"/>
                <w:color w:val="000000" w:themeColor="text1"/>
                <w:sz w:val="24"/>
              </w:rPr>
            </w:pPr>
            <w:r>
              <w:rPr>
                <w:rFonts w:eastAsiaTheme="minorEastAsia"/>
                <w:color w:val="000000" w:themeColor="text1"/>
              </w:rPr>
              <w:t>S</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综合</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w:t>
            </w:r>
          </w:p>
        </w:tc>
      </w:tr>
      <w:tr w:rsidR="00ED552C">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ED552C">
            <w:pPr>
              <w:adjustRightInd w:val="0"/>
              <w:snapToGrid w:val="0"/>
              <w:jc w:val="center"/>
              <w:rPr>
                <w:rFonts w:eastAsiaTheme="minorEastAsia"/>
                <w:color w:val="000000" w:themeColor="text1"/>
                <w:sz w:val="24"/>
              </w:rPr>
            </w:pP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adjustRightInd w:val="0"/>
              <w:snapToGrid w:val="0"/>
              <w:rPr>
                <w:rFonts w:eastAsiaTheme="minorEastAsia"/>
                <w:color w:val="000000" w:themeColor="text1"/>
                <w:sz w:val="24"/>
              </w:rPr>
            </w:pPr>
            <w:r>
              <w:rPr>
                <w:rFonts w:eastAsiaTheme="minorEastAsia"/>
                <w:color w:val="000000" w:themeColor="text1"/>
              </w:rPr>
              <w:t>合计</w:t>
            </w:r>
          </w:p>
        </w:tc>
        <w:tc>
          <w:tcPr>
            <w:tcW w:w="2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rPr>
                <w:rFonts w:eastAsiaTheme="minorEastAsia"/>
                <w:color w:val="000000" w:themeColor="text1"/>
                <w:sz w:val="24"/>
              </w:rPr>
            </w:pPr>
            <w:r>
              <w:rPr>
                <w:rFonts w:eastAsiaTheme="minorEastAsia"/>
                <w:color w:val="000000" w:themeColor="text1"/>
              </w:rPr>
              <w:t>158,040,547.31</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552C" w:rsidRDefault="00B37D4A">
            <w:pPr>
              <w:jc w:val="right"/>
              <w:rPr>
                <w:rFonts w:eastAsiaTheme="minorEastAsia"/>
                <w:color w:val="000000" w:themeColor="text1"/>
                <w:sz w:val="24"/>
              </w:rPr>
            </w:pPr>
            <w:r>
              <w:rPr>
                <w:rFonts w:eastAsiaTheme="minorEastAsia"/>
                <w:color w:val="000000" w:themeColor="text1"/>
              </w:rPr>
              <w:t>3.74</w:t>
            </w:r>
          </w:p>
        </w:tc>
      </w:tr>
    </w:tbl>
    <w:p w:rsidR="00ED552C" w:rsidRDefault="00B37D4A">
      <w:pPr>
        <w:spacing w:line="360" w:lineRule="auto"/>
        <w:jc w:val="left"/>
      </w:pPr>
      <w:r>
        <w:t>3</w:t>
      </w:r>
      <w:r>
        <w:t>、</w:t>
      </w:r>
      <w:r>
        <w:t xml:space="preserve"> </w:t>
      </w:r>
      <w:r>
        <w:t>期末按公允价值占基金资产净值比例大小排序的股票投资明细</w:t>
      </w:r>
    </w:p>
    <w:p w:rsidR="00ED552C" w:rsidRDefault="00B37D4A">
      <w:pPr>
        <w:spacing w:line="360" w:lineRule="auto"/>
        <w:jc w:val="left"/>
      </w:pPr>
      <w:r>
        <w:t>（</w:t>
      </w:r>
      <w:r>
        <w:t>1</w:t>
      </w:r>
      <w:r>
        <w:t>）</w:t>
      </w:r>
      <w:r>
        <w:t xml:space="preserve"> </w:t>
      </w:r>
      <w:r>
        <w:t>报告期末按公允价值占基金资产净值比例大小排序的前十名股票投资明细</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6"/>
        <w:gridCol w:w="1418"/>
        <w:gridCol w:w="1701"/>
        <w:gridCol w:w="1984"/>
        <w:gridCol w:w="1559"/>
      </w:tblGrid>
      <w:tr w:rsidR="00ED552C">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kern w:val="0"/>
                <w:sz w:val="24"/>
              </w:rPr>
            </w:pPr>
            <w:r>
              <w:rPr>
                <w:rFonts w:hint="eastAsia"/>
                <w:color w:val="000000"/>
                <w:kern w:val="0"/>
              </w:rPr>
              <w:lastRenderedPageBreak/>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kern w:val="0"/>
                <w:sz w:val="24"/>
              </w:rPr>
            </w:pPr>
            <w:r>
              <w:rPr>
                <w:rFonts w:hint="eastAsia"/>
                <w:color w:val="000000"/>
                <w:kern w:val="0"/>
              </w:rPr>
              <w:t>股票代码</w:t>
            </w:r>
          </w:p>
        </w:tc>
        <w:tc>
          <w:tcPr>
            <w:tcW w:w="1418"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kern w:val="0"/>
                <w:sz w:val="24"/>
              </w:rPr>
            </w:pPr>
            <w:r>
              <w:rPr>
                <w:rFonts w:hint="eastAsia"/>
                <w:color w:val="000000"/>
                <w:kern w:val="0"/>
              </w:rPr>
              <w:t>股票名称</w:t>
            </w:r>
          </w:p>
        </w:tc>
        <w:tc>
          <w:tcPr>
            <w:tcW w:w="1701"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kern w:val="0"/>
                <w:sz w:val="24"/>
              </w:rPr>
            </w:pPr>
            <w:r>
              <w:rPr>
                <w:rFonts w:hint="eastAsia"/>
                <w:color w:val="000000"/>
                <w:kern w:val="0"/>
              </w:rPr>
              <w:t>数量（股）</w:t>
            </w:r>
          </w:p>
        </w:tc>
        <w:tc>
          <w:tcPr>
            <w:tcW w:w="1984"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7"/>
              <w:jc w:val="center"/>
              <w:rPr>
                <w:color w:val="000000"/>
                <w:kern w:val="0"/>
                <w:sz w:val="24"/>
              </w:rPr>
            </w:pPr>
            <w:r>
              <w:rPr>
                <w:rFonts w:hint="eastAsia"/>
                <w:color w:val="000000"/>
                <w:kern w:val="0"/>
              </w:rPr>
              <w:t>公允价值（元）</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kern w:val="0"/>
                <w:sz w:val="24"/>
              </w:rPr>
            </w:pPr>
            <w:r>
              <w:rPr>
                <w:rFonts w:hint="eastAsia"/>
                <w:color w:val="000000"/>
                <w:kern w:val="0"/>
              </w:rPr>
              <w:t>占基金资产净值比例（％）</w:t>
            </w:r>
          </w:p>
        </w:tc>
      </w:tr>
      <w:tr w:rsidR="00ED552C">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kern w:val="0"/>
              </w:rPr>
              <w:t>601117</w:t>
            </w:r>
          </w:p>
        </w:tc>
        <w:tc>
          <w:tcPr>
            <w:tcW w:w="1418"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kern w:val="0"/>
              </w:rPr>
              <w:t>中国化学</w:t>
            </w:r>
          </w:p>
        </w:tc>
        <w:tc>
          <w:tcPr>
            <w:tcW w:w="1701"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kern w:val="0"/>
              </w:rPr>
              <w:t>4,705,883</w:t>
            </w:r>
          </w:p>
        </w:tc>
        <w:tc>
          <w:tcPr>
            <w:tcW w:w="1984"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kern w:val="0"/>
              </w:rPr>
              <w:t>46,447,065.21</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kern w:val="0"/>
              </w:rPr>
              <w:t>1.10</w:t>
            </w:r>
          </w:p>
        </w:tc>
      </w:tr>
      <w:tr w:rsidR="00ED552C">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kern w:val="0"/>
              </w:rPr>
              <w:t>603681</w:t>
            </w:r>
          </w:p>
        </w:tc>
        <w:tc>
          <w:tcPr>
            <w:tcW w:w="1418"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kern w:val="0"/>
              </w:rPr>
              <w:t>永冠新材</w:t>
            </w:r>
          </w:p>
        </w:tc>
        <w:tc>
          <w:tcPr>
            <w:tcW w:w="1701"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kern w:val="0"/>
              </w:rPr>
              <w:t>1,059,882</w:t>
            </w:r>
          </w:p>
        </w:tc>
        <w:tc>
          <w:tcPr>
            <w:tcW w:w="1984"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kern w:val="0"/>
              </w:rPr>
              <w:t>34,923,111.90</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kern w:val="0"/>
              </w:rPr>
              <w:t>0.83</w:t>
            </w:r>
          </w:p>
        </w:tc>
      </w:tr>
      <w:tr w:rsidR="00ED552C">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kern w:val="0"/>
              </w:rPr>
              <w:t>002831</w:t>
            </w:r>
          </w:p>
        </w:tc>
        <w:tc>
          <w:tcPr>
            <w:tcW w:w="1418"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kern w:val="0"/>
              </w:rPr>
              <w:t>裕同科技</w:t>
            </w:r>
          </w:p>
        </w:tc>
        <w:tc>
          <w:tcPr>
            <w:tcW w:w="1701"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kern w:val="0"/>
              </w:rPr>
              <w:t>788,398</w:t>
            </w:r>
          </w:p>
        </w:tc>
        <w:tc>
          <w:tcPr>
            <w:tcW w:w="1984"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kern w:val="0"/>
              </w:rPr>
              <w:t>23,557,332.24</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kern w:val="0"/>
              </w:rPr>
              <w:t>0.56</w:t>
            </w:r>
          </w:p>
        </w:tc>
      </w:tr>
      <w:tr w:rsidR="00ED552C">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kern w:val="0"/>
              </w:rPr>
              <w:t>601799</w:t>
            </w:r>
          </w:p>
        </w:tc>
        <w:tc>
          <w:tcPr>
            <w:tcW w:w="1418"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kern w:val="0"/>
              </w:rPr>
              <w:t>星宇股份</w:t>
            </w:r>
          </w:p>
        </w:tc>
        <w:tc>
          <w:tcPr>
            <w:tcW w:w="1701"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kern w:val="0"/>
              </w:rPr>
              <w:t>128,817</w:t>
            </w:r>
          </w:p>
        </w:tc>
        <w:tc>
          <w:tcPr>
            <w:tcW w:w="1984"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kern w:val="0"/>
              </w:rPr>
              <w:t>23,315,877.00</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kern w:val="0"/>
              </w:rPr>
              <w:t>0.55</w:t>
            </w:r>
          </w:p>
        </w:tc>
      </w:tr>
      <w:tr w:rsidR="00ED552C">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kern w:val="0"/>
              </w:rPr>
              <w:t>002036</w:t>
            </w:r>
          </w:p>
        </w:tc>
        <w:tc>
          <w:tcPr>
            <w:tcW w:w="1418"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kern w:val="0"/>
              </w:rPr>
              <w:t>联创电子</w:t>
            </w:r>
          </w:p>
        </w:tc>
        <w:tc>
          <w:tcPr>
            <w:tcW w:w="1701"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kern w:val="0"/>
              </w:rPr>
              <w:t>1,029,634</w:t>
            </w:r>
          </w:p>
        </w:tc>
        <w:tc>
          <w:tcPr>
            <w:tcW w:w="1984"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kern w:val="0"/>
              </w:rPr>
              <w:t>17,009,553.68</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kern w:val="0"/>
              </w:rPr>
              <w:t>0.40</w:t>
            </w:r>
          </w:p>
        </w:tc>
      </w:tr>
      <w:tr w:rsidR="00ED552C">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kern w:val="0"/>
              </w:rPr>
              <w:t>6</w:t>
            </w:r>
          </w:p>
        </w:tc>
        <w:tc>
          <w:tcPr>
            <w:tcW w:w="1276"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kern w:val="0"/>
              </w:rPr>
              <w:t>300003</w:t>
            </w:r>
          </w:p>
        </w:tc>
        <w:tc>
          <w:tcPr>
            <w:tcW w:w="1418"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kern w:val="0"/>
              </w:rPr>
              <w:t>乐普医疗</w:t>
            </w:r>
          </w:p>
        </w:tc>
        <w:tc>
          <w:tcPr>
            <w:tcW w:w="1701"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kern w:val="0"/>
              </w:rPr>
              <w:t>476,616</w:t>
            </w:r>
          </w:p>
        </w:tc>
        <w:tc>
          <w:tcPr>
            <w:tcW w:w="1984"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kern w:val="0"/>
              </w:rPr>
              <w:t>12,787,607.28</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kern w:val="0"/>
              </w:rPr>
              <w:t>0.30</w:t>
            </w:r>
          </w:p>
        </w:tc>
      </w:tr>
    </w:tbl>
    <w:p w:rsidR="00ED552C" w:rsidRDefault="00B37D4A">
      <w:pPr>
        <w:spacing w:line="360" w:lineRule="auto"/>
        <w:jc w:val="left"/>
      </w:pPr>
      <w:r>
        <w:t>4</w:t>
      </w:r>
      <w:r>
        <w:t>、</w:t>
      </w:r>
      <w:r>
        <w:t xml:space="preserve"> </w:t>
      </w:r>
      <w: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ED552C">
        <w:tc>
          <w:tcPr>
            <w:tcW w:w="81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rFonts w:eastAsiaTheme="minorEastAsia"/>
                <w:color w:val="000000" w:themeColor="text1"/>
                <w:sz w:val="24"/>
              </w:rPr>
            </w:pPr>
            <w:r>
              <w:rPr>
                <w:rFonts w:eastAsiaTheme="minorEastAsia"/>
                <w:color w:val="000000" w:themeColor="text1"/>
              </w:rPr>
              <w:t>序号</w:t>
            </w:r>
          </w:p>
        </w:tc>
        <w:tc>
          <w:tcPr>
            <w:tcW w:w="326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rFonts w:eastAsiaTheme="minorEastAsia"/>
                <w:color w:val="000000" w:themeColor="text1"/>
                <w:sz w:val="24"/>
              </w:rPr>
            </w:pPr>
            <w:r>
              <w:rPr>
                <w:rFonts w:eastAsiaTheme="minorEastAsia"/>
                <w:color w:val="000000" w:themeColor="text1"/>
              </w:rPr>
              <w:t>债券品种</w:t>
            </w:r>
          </w:p>
        </w:tc>
        <w:tc>
          <w:tcPr>
            <w:tcW w:w="2835"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rFonts w:eastAsiaTheme="minorEastAsia"/>
                <w:color w:val="000000" w:themeColor="text1"/>
                <w:sz w:val="24"/>
              </w:rPr>
            </w:pPr>
            <w:r>
              <w:rPr>
                <w:rFonts w:eastAsiaTheme="minorEastAsia"/>
                <w:color w:val="000000" w:themeColor="text1"/>
              </w:rPr>
              <w:t>公允价值</w:t>
            </w:r>
            <w:r>
              <w:rPr>
                <w:rFonts w:eastAsiaTheme="minorEastAsia"/>
                <w:color w:val="000000" w:themeColor="text1"/>
              </w:rPr>
              <w:t>(</w:t>
            </w:r>
            <w:r>
              <w:rPr>
                <w:rFonts w:eastAsiaTheme="minorEastAsia"/>
                <w:color w:val="000000" w:themeColor="text1"/>
              </w:rPr>
              <w:t>元</w:t>
            </w:r>
            <w:r>
              <w:rPr>
                <w:rFonts w:eastAsia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rFonts w:eastAsiaTheme="minorEastAsia"/>
                <w:color w:val="000000" w:themeColor="text1"/>
                <w:sz w:val="24"/>
              </w:rPr>
            </w:pPr>
            <w:r>
              <w:rPr>
                <w:rFonts w:eastAsiaTheme="minorEastAsia"/>
                <w:color w:val="000000" w:themeColor="text1"/>
              </w:rPr>
              <w:t>占基金资产净值比例</w:t>
            </w:r>
            <w:r>
              <w:rPr>
                <w:rFonts w:eastAsiaTheme="minorEastAsia"/>
                <w:color w:val="000000" w:themeColor="text1"/>
              </w:rPr>
              <w:t>(</w:t>
            </w:r>
            <w:r>
              <w:rPr>
                <w:rFonts w:eastAsiaTheme="minorEastAsia"/>
                <w:color w:val="000000" w:themeColor="text1"/>
              </w:rPr>
              <w:t>％</w:t>
            </w:r>
            <w:r>
              <w:rPr>
                <w:rFonts w:eastAsiaTheme="minorEastAsia"/>
                <w:color w:val="000000" w:themeColor="text1"/>
              </w:rPr>
              <w:t>)</w:t>
            </w:r>
          </w:p>
        </w:tc>
      </w:tr>
      <w:tr w:rsidR="00ED552C">
        <w:tc>
          <w:tcPr>
            <w:tcW w:w="81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rFonts w:eastAsiaTheme="minorEastAsia"/>
                <w:color w:val="000000" w:themeColor="text1"/>
                <w:sz w:val="24"/>
              </w:rPr>
            </w:pPr>
            <w:r>
              <w:rPr>
                <w:rFonts w:eastAsiaTheme="minorEastAsia"/>
                <w:color w:val="000000" w:themeColor="text1"/>
              </w:rPr>
              <w:t>1</w:t>
            </w:r>
          </w:p>
        </w:tc>
        <w:tc>
          <w:tcPr>
            <w:tcW w:w="326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rFonts w:eastAsiaTheme="minorEastAsia"/>
                <w:color w:val="000000" w:themeColor="text1"/>
                <w:sz w:val="24"/>
              </w:rPr>
            </w:pPr>
            <w:r>
              <w:rPr>
                <w:rFonts w:eastAsiaTheme="minorEastAsia"/>
                <w:color w:val="000000" w:themeColor="text1"/>
              </w:rPr>
              <w:t>国家债券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w:t>
            </w:r>
          </w:p>
        </w:tc>
      </w:tr>
      <w:tr w:rsidR="00ED552C">
        <w:tc>
          <w:tcPr>
            <w:tcW w:w="81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rFonts w:eastAsiaTheme="minorEastAsia"/>
                <w:color w:val="000000" w:themeColor="text1"/>
                <w:sz w:val="24"/>
              </w:rPr>
            </w:pPr>
            <w:r>
              <w:rPr>
                <w:rFonts w:eastAsiaTheme="minorEastAsia"/>
                <w:color w:val="000000" w:themeColor="text1"/>
              </w:rPr>
              <w:t>2</w:t>
            </w:r>
          </w:p>
        </w:tc>
        <w:tc>
          <w:tcPr>
            <w:tcW w:w="326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rFonts w:eastAsiaTheme="minorEastAsia"/>
                <w:color w:val="000000" w:themeColor="text1"/>
                <w:sz w:val="24"/>
              </w:rPr>
            </w:pPr>
            <w:r>
              <w:rPr>
                <w:rFonts w:eastAsiaTheme="minorEastAsia"/>
                <w:color w:val="000000" w:themeColor="text1"/>
              </w:rPr>
              <w:t>央行票据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w:t>
            </w:r>
          </w:p>
        </w:tc>
      </w:tr>
      <w:tr w:rsidR="00ED552C">
        <w:tc>
          <w:tcPr>
            <w:tcW w:w="81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rFonts w:eastAsiaTheme="minorEastAsia"/>
                <w:color w:val="000000" w:themeColor="text1"/>
                <w:sz w:val="24"/>
              </w:rPr>
            </w:pPr>
            <w:r>
              <w:rPr>
                <w:rFonts w:eastAsiaTheme="minorEastAsia"/>
                <w:color w:val="000000" w:themeColor="text1"/>
              </w:rPr>
              <w:t>3</w:t>
            </w:r>
          </w:p>
        </w:tc>
        <w:tc>
          <w:tcPr>
            <w:tcW w:w="326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rFonts w:eastAsiaTheme="minorEastAsia"/>
                <w:color w:val="000000" w:themeColor="text1"/>
                <w:sz w:val="24"/>
              </w:rPr>
            </w:pPr>
            <w:r>
              <w:rPr>
                <w:rFonts w:eastAsiaTheme="minorEastAsia"/>
                <w:color w:val="000000" w:themeColor="text1"/>
              </w:rPr>
              <w:t>金融债券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493,566,000.00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11.67</w:t>
            </w:r>
          </w:p>
        </w:tc>
      </w:tr>
      <w:tr w:rsidR="00ED552C">
        <w:tc>
          <w:tcPr>
            <w:tcW w:w="817" w:type="dxa"/>
            <w:tcBorders>
              <w:top w:val="single" w:sz="0" w:space="0" w:color="000000"/>
              <w:left w:val="single" w:sz="0" w:space="0" w:color="000000"/>
              <w:bottom w:val="single" w:sz="0" w:space="0" w:color="000000"/>
              <w:right w:val="single" w:sz="0" w:space="0" w:color="000000"/>
            </w:tcBorders>
            <w:vAlign w:val="center"/>
          </w:tcPr>
          <w:p w:rsidR="00ED552C" w:rsidRDefault="00ED552C">
            <w:pPr>
              <w:ind w:left="17"/>
              <w:jc w:val="center"/>
              <w:rPr>
                <w:rFonts w:eastAsiaTheme="minorEastAsia"/>
                <w:color w:val="000000" w:themeColor="text1"/>
                <w:sz w:val="24"/>
              </w:rPr>
            </w:pPr>
          </w:p>
        </w:tc>
        <w:tc>
          <w:tcPr>
            <w:tcW w:w="326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rFonts w:eastAsiaTheme="minorEastAsia"/>
                <w:color w:val="000000" w:themeColor="text1"/>
                <w:sz w:val="24"/>
              </w:rPr>
            </w:pPr>
            <w:r>
              <w:rPr>
                <w:rFonts w:eastAsiaTheme="minorEastAsia"/>
                <w:color w:val="000000" w:themeColor="text1"/>
              </w:rPr>
              <w:t>其中：政策性金融债</w:t>
            </w:r>
          </w:p>
        </w:tc>
        <w:tc>
          <w:tcPr>
            <w:tcW w:w="2835"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493,566,000.00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11.67</w:t>
            </w:r>
          </w:p>
        </w:tc>
      </w:tr>
      <w:tr w:rsidR="00ED552C">
        <w:tc>
          <w:tcPr>
            <w:tcW w:w="81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rFonts w:eastAsiaTheme="minorEastAsia"/>
                <w:color w:val="000000" w:themeColor="text1"/>
                <w:sz w:val="24"/>
              </w:rPr>
            </w:pPr>
            <w:r>
              <w:rPr>
                <w:rFonts w:eastAsiaTheme="minorEastAsia"/>
                <w:color w:val="000000" w:themeColor="text1"/>
              </w:rPr>
              <w:t>4</w:t>
            </w:r>
          </w:p>
        </w:tc>
        <w:tc>
          <w:tcPr>
            <w:tcW w:w="326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rFonts w:eastAsiaTheme="minorEastAsia"/>
                <w:color w:val="000000" w:themeColor="text1"/>
                <w:sz w:val="24"/>
              </w:rPr>
            </w:pPr>
            <w:r>
              <w:rPr>
                <w:rFonts w:eastAsiaTheme="minorEastAsia"/>
                <w:color w:val="000000" w:themeColor="text1"/>
              </w:rPr>
              <w:t>企业债券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617,933,100.00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14.61</w:t>
            </w:r>
          </w:p>
        </w:tc>
      </w:tr>
      <w:tr w:rsidR="00ED552C">
        <w:tc>
          <w:tcPr>
            <w:tcW w:w="81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rFonts w:eastAsiaTheme="minorEastAsia"/>
                <w:color w:val="000000" w:themeColor="text1"/>
                <w:sz w:val="24"/>
              </w:rPr>
            </w:pPr>
            <w:r>
              <w:rPr>
                <w:rFonts w:eastAsiaTheme="minorEastAsia"/>
                <w:color w:val="000000" w:themeColor="text1"/>
              </w:rPr>
              <w:t>5</w:t>
            </w:r>
          </w:p>
        </w:tc>
        <w:tc>
          <w:tcPr>
            <w:tcW w:w="326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rFonts w:eastAsiaTheme="minorEastAsia"/>
                <w:color w:val="000000" w:themeColor="text1"/>
                <w:sz w:val="24"/>
              </w:rPr>
            </w:pPr>
            <w:r>
              <w:rPr>
                <w:rFonts w:eastAsiaTheme="minorEastAsia"/>
                <w:color w:val="000000" w:themeColor="text1"/>
              </w:rPr>
              <w:t>企业短期融资券</w:t>
            </w:r>
          </w:p>
        </w:tc>
        <w:tc>
          <w:tcPr>
            <w:tcW w:w="2835"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w:t>
            </w:r>
          </w:p>
        </w:tc>
      </w:tr>
      <w:tr w:rsidR="00ED552C">
        <w:tc>
          <w:tcPr>
            <w:tcW w:w="81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rFonts w:eastAsiaTheme="minorEastAsia"/>
                <w:color w:val="000000" w:themeColor="text1"/>
                <w:sz w:val="24"/>
              </w:rPr>
            </w:pPr>
            <w:r>
              <w:rPr>
                <w:rFonts w:eastAsiaTheme="minorEastAsia"/>
                <w:color w:val="000000" w:themeColor="text1"/>
              </w:rPr>
              <w:t>6</w:t>
            </w:r>
          </w:p>
        </w:tc>
        <w:tc>
          <w:tcPr>
            <w:tcW w:w="326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rFonts w:eastAsiaTheme="minorEastAsia"/>
                <w:color w:val="000000" w:themeColor="text1"/>
                <w:sz w:val="24"/>
              </w:rPr>
            </w:pPr>
            <w:r>
              <w:rPr>
                <w:rFonts w:eastAsiaTheme="minorEastAsia"/>
                <w:color w:val="000000" w:themeColor="text1"/>
              </w:rPr>
              <w:t>中期票据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930,495,000.00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22.00</w:t>
            </w:r>
          </w:p>
        </w:tc>
      </w:tr>
      <w:tr w:rsidR="00ED552C">
        <w:tc>
          <w:tcPr>
            <w:tcW w:w="81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rFonts w:eastAsiaTheme="minorEastAsia"/>
                <w:color w:val="000000" w:themeColor="text1"/>
                <w:sz w:val="24"/>
              </w:rPr>
            </w:pPr>
            <w:r>
              <w:rPr>
                <w:rFonts w:eastAsiaTheme="minorEastAsia"/>
                <w:color w:val="000000" w:themeColor="text1"/>
              </w:rPr>
              <w:t>7</w:t>
            </w:r>
          </w:p>
        </w:tc>
        <w:tc>
          <w:tcPr>
            <w:tcW w:w="326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rFonts w:eastAsiaTheme="minorEastAsia"/>
                <w:color w:val="000000" w:themeColor="text1"/>
                <w:sz w:val="24"/>
              </w:rPr>
            </w:pPr>
            <w:r>
              <w:rPr>
                <w:rFonts w:eastAsiaTheme="minorEastAsia"/>
                <w:color w:val="000000" w:themeColor="text1"/>
              </w:rPr>
              <w:t>可转债</w:t>
            </w:r>
            <w:r>
              <w:rPr>
                <w:rFonts w:eastAsiaTheme="minorEastAsia" w:hint="eastAsia"/>
                <w:color w:val="000000" w:themeColor="text1"/>
              </w:rPr>
              <w:t>（可交换债）</w:t>
            </w:r>
          </w:p>
        </w:tc>
        <w:tc>
          <w:tcPr>
            <w:tcW w:w="2835"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1,957,613,824.89</w:t>
            </w:r>
          </w:p>
        </w:tc>
        <w:tc>
          <w:tcPr>
            <w:tcW w:w="1616"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46.29</w:t>
            </w:r>
          </w:p>
        </w:tc>
      </w:tr>
      <w:tr w:rsidR="00ED552C">
        <w:tc>
          <w:tcPr>
            <w:tcW w:w="81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rFonts w:eastAsiaTheme="minorEastAsia"/>
                <w:color w:val="000000" w:themeColor="text1"/>
                <w:sz w:val="24"/>
              </w:rPr>
            </w:pPr>
            <w:r>
              <w:rPr>
                <w:rFonts w:eastAsiaTheme="minorEastAsia"/>
                <w:color w:val="000000" w:themeColor="text1"/>
              </w:rPr>
              <w:t>8</w:t>
            </w:r>
          </w:p>
        </w:tc>
        <w:tc>
          <w:tcPr>
            <w:tcW w:w="326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rFonts w:eastAsiaTheme="minorEastAsia"/>
                <w:color w:val="000000" w:themeColor="text1"/>
                <w:sz w:val="24"/>
              </w:rPr>
            </w:pPr>
            <w:r>
              <w:rPr>
                <w:rFonts w:eastAsiaTheme="minorEastAsia"/>
                <w:color w:val="000000" w:themeColor="text1"/>
              </w:rPr>
              <w:t>同业存单</w:t>
            </w:r>
          </w:p>
        </w:tc>
        <w:tc>
          <w:tcPr>
            <w:tcW w:w="2835"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w:t>
            </w:r>
          </w:p>
        </w:tc>
      </w:tr>
      <w:tr w:rsidR="00ED552C">
        <w:tc>
          <w:tcPr>
            <w:tcW w:w="81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rFonts w:eastAsiaTheme="minorEastAsia"/>
                <w:color w:val="000000" w:themeColor="text1"/>
                <w:sz w:val="24"/>
              </w:rPr>
            </w:pPr>
            <w:r>
              <w:rPr>
                <w:rFonts w:eastAsiaTheme="minorEastAsia"/>
                <w:color w:val="000000" w:themeColor="text1"/>
              </w:rPr>
              <w:t>9</w:t>
            </w:r>
          </w:p>
        </w:tc>
        <w:tc>
          <w:tcPr>
            <w:tcW w:w="326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rFonts w:eastAsiaTheme="minorEastAsia"/>
                <w:color w:val="000000" w:themeColor="text1"/>
                <w:sz w:val="24"/>
              </w:rPr>
            </w:pPr>
            <w:r>
              <w:rPr>
                <w:rFonts w:eastAsiaTheme="minorEastAsia"/>
                <w:color w:val="000000" w:themeColor="text1"/>
              </w:rPr>
              <w:t>其他</w:t>
            </w:r>
          </w:p>
        </w:tc>
        <w:tc>
          <w:tcPr>
            <w:tcW w:w="2835"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31,254,000.00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0.74</w:t>
            </w:r>
          </w:p>
        </w:tc>
      </w:tr>
      <w:tr w:rsidR="00ED552C">
        <w:tc>
          <w:tcPr>
            <w:tcW w:w="81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rFonts w:eastAsiaTheme="minorEastAsia"/>
                <w:color w:val="000000" w:themeColor="text1"/>
                <w:sz w:val="24"/>
              </w:rPr>
            </w:pPr>
            <w:r>
              <w:rPr>
                <w:rFonts w:eastAsiaTheme="minorEastAsia"/>
                <w:color w:val="000000" w:themeColor="text1"/>
              </w:rPr>
              <w:t>10</w:t>
            </w:r>
          </w:p>
        </w:tc>
        <w:tc>
          <w:tcPr>
            <w:tcW w:w="3260"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left"/>
              <w:rPr>
                <w:rFonts w:eastAsiaTheme="minorEastAsia"/>
                <w:color w:val="000000" w:themeColor="text1"/>
                <w:sz w:val="24"/>
              </w:rPr>
            </w:pPr>
            <w:r>
              <w:rPr>
                <w:rFonts w:eastAsiaTheme="minorEastAsia"/>
                <w:color w:val="000000" w:themeColor="text1"/>
              </w:rPr>
              <w:t>合计</w:t>
            </w:r>
          </w:p>
        </w:tc>
        <w:tc>
          <w:tcPr>
            <w:tcW w:w="2835"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4,030,861,924.89</w:t>
            </w:r>
          </w:p>
        </w:tc>
        <w:tc>
          <w:tcPr>
            <w:tcW w:w="1616"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right"/>
              <w:rPr>
                <w:rFonts w:eastAsiaTheme="minorEastAsia"/>
                <w:color w:val="000000" w:themeColor="text1"/>
                <w:sz w:val="24"/>
              </w:rPr>
            </w:pPr>
            <w:r>
              <w:rPr>
                <w:rFonts w:eastAsiaTheme="minorEastAsia"/>
                <w:color w:val="000000" w:themeColor="text1"/>
              </w:rPr>
              <w:t>95.32</w:t>
            </w:r>
          </w:p>
        </w:tc>
      </w:tr>
    </w:tbl>
    <w:p w:rsidR="00ED552C" w:rsidRDefault="00B37D4A">
      <w:pPr>
        <w:spacing w:line="360" w:lineRule="auto"/>
        <w:jc w:val="left"/>
      </w:pPr>
      <w:r>
        <w:t>5</w:t>
      </w:r>
      <w:r>
        <w:t>、</w:t>
      </w:r>
      <w:r>
        <w:t xml:space="preserve"> </w:t>
      </w:r>
      <w:r>
        <w:t>报告期末按公允价值占基金资产净值比例大小排序的前五名债券投资明细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559"/>
        <w:gridCol w:w="1985"/>
        <w:gridCol w:w="1559"/>
        <w:gridCol w:w="2126"/>
        <w:gridCol w:w="990"/>
      </w:tblGrid>
      <w:tr w:rsidR="00ED552C">
        <w:tc>
          <w:tcPr>
            <w:tcW w:w="802"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center"/>
              <w:rPr>
                <w:color w:val="000000"/>
                <w:kern w:val="0"/>
                <w:sz w:val="24"/>
              </w:rPr>
            </w:pPr>
            <w:r>
              <w:rPr>
                <w:color w:val="000000"/>
                <w:kern w:val="0"/>
              </w:rPr>
              <w:t>序号</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center"/>
              <w:rPr>
                <w:color w:val="000000"/>
                <w:kern w:val="0"/>
                <w:sz w:val="24"/>
              </w:rPr>
            </w:pPr>
            <w:r>
              <w:rPr>
                <w:color w:val="000000"/>
                <w:kern w:val="0"/>
              </w:rPr>
              <w:t>债券代码</w:t>
            </w:r>
          </w:p>
        </w:tc>
        <w:tc>
          <w:tcPr>
            <w:tcW w:w="1985"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center"/>
              <w:rPr>
                <w:color w:val="000000"/>
                <w:kern w:val="0"/>
                <w:sz w:val="24"/>
              </w:rPr>
            </w:pPr>
            <w:r>
              <w:rPr>
                <w:color w:val="000000"/>
                <w:kern w:val="0"/>
              </w:rPr>
              <w:t>债券名称</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center"/>
              <w:rPr>
                <w:color w:val="000000"/>
                <w:kern w:val="0"/>
                <w:sz w:val="24"/>
              </w:rPr>
            </w:pPr>
            <w:r>
              <w:rPr>
                <w:color w:val="000000"/>
                <w:kern w:val="0"/>
              </w:rPr>
              <w:t>数量（张）</w:t>
            </w:r>
          </w:p>
        </w:tc>
        <w:tc>
          <w:tcPr>
            <w:tcW w:w="2126"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center"/>
              <w:rPr>
                <w:color w:val="000000"/>
                <w:kern w:val="0"/>
                <w:sz w:val="24"/>
              </w:rPr>
            </w:pPr>
            <w:r>
              <w:rPr>
                <w:color w:val="000000"/>
                <w:kern w:val="0"/>
              </w:rPr>
              <w:t>公允价值</w:t>
            </w:r>
            <w:r>
              <w:rPr>
                <w:color w:val="000000"/>
                <w:kern w:val="0"/>
              </w:rPr>
              <w:t>(</w:t>
            </w:r>
            <w:r>
              <w:rPr>
                <w:color w:val="000000"/>
                <w:kern w:val="0"/>
              </w:rPr>
              <w:t>元</w:t>
            </w:r>
            <w:r>
              <w:rPr>
                <w:color w:val="000000"/>
                <w:kern w:val="0"/>
              </w:rPr>
              <w:t>)</w:t>
            </w:r>
          </w:p>
        </w:tc>
        <w:tc>
          <w:tcPr>
            <w:tcW w:w="990"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center"/>
              <w:rPr>
                <w:color w:val="000000"/>
                <w:kern w:val="0"/>
                <w:sz w:val="24"/>
              </w:rPr>
            </w:pPr>
            <w:r>
              <w:rPr>
                <w:color w:val="000000"/>
                <w:kern w:val="0"/>
              </w:rPr>
              <w:t>占基金资产净值比例（％）</w:t>
            </w:r>
          </w:p>
        </w:tc>
      </w:tr>
      <w:tr w:rsidR="00ED552C">
        <w:tc>
          <w:tcPr>
            <w:tcW w:w="80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210206</w:t>
            </w:r>
          </w:p>
        </w:tc>
        <w:tc>
          <w:tcPr>
            <w:tcW w:w="1985"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21</w:t>
            </w:r>
            <w:r>
              <w:rPr>
                <w:color w:val="000000"/>
              </w:rPr>
              <w:t>国开</w:t>
            </w:r>
            <w:r>
              <w:rPr>
                <w:color w:val="000000"/>
              </w:rPr>
              <w:t>06</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1,900,000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190,114,000.00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4.50</w:t>
            </w:r>
          </w:p>
        </w:tc>
      </w:tr>
      <w:tr w:rsidR="00ED552C">
        <w:tc>
          <w:tcPr>
            <w:tcW w:w="80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2</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190208</w:t>
            </w:r>
          </w:p>
        </w:tc>
        <w:tc>
          <w:tcPr>
            <w:tcW w:w="1985"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19</w:t>
            </w:r>
            <w:r>
              <w:rPr>
                <w:color w:val="000000"/>
              </w:rPr>
              <w:t>国开</w:t>
            </w:r>
            <w:r>
              <w:rPr>
                <w:color w:val="000000"/>
              </w:rPr>
              <w:t>08</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1,700,000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172,686,000.00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4.08</w:t>
            </w:r>
          </w:p>
        </w:tc>
      </w:tr>
      <w:tr w:rsidR="00ED552C">
        <w:tc>
          <w:tcPr>
            <w:tcW w:w="80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3</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149167</w:t>
            </w:r>
          </w:p>
        </w:tc>
        <w:tc>
          <w:tcPr>
            <w:tcW w:w="1985"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20</w:t>
            </w:r>
            <w:r>
              <w:rPr>
                <w:color w:val="000000"/>
              </w:rPr>
              <w:t>温氏</w:t>
            </w:r>
            <w:r>
              <w:rPr>
                <w:color w:val="000000"/>
              </w:rPr>
              <w:t>01</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1,400,000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138,726,000.00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3.28</w:t>
            </w:r>
          </w:p>
        </w:tc>
      </w:tr>
      <w:tr w:rsidR="00ED552C">
        <w:tc>
          <w:tcPr>
            <w:tcW w:w="80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4</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113011</w:t>
            </w:r>
          </w:p>
        </w:tc>
        <w:tc>
          <w:tcPr>
            <w:tcW w:w="1985"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光大转债</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1,154,040</w:t>
            </w:r>
          </w:p>
        </w:tc>
        <w:tc>
          <w:tcPr>
            <w:tcW w:w="2126"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131,410,534.80</w:t>
            </w:r>
          </w:p>
        </w:tc>
        <w:tc>
          <w:tcPr>
            <w:tcW w:w="990"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3.11</w:t>
            </w:r>
          </w:p>
        </w:tc>
      </w:tr>
      <w:tr w:rsidR="00ED552C">
        <w:tc>
          <w:tcPr>
            <w:tcW w:w="80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5</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113050</w:t>
            </w:r>
          </w:p>
        </w:tc>
        <w:tc>
          <w:tcPr>
            <w:tcW w:w="1985"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南银转债</w:t>
            </w:r>
          </w:p>
        </w:tc>
        <w:tc>
          <w:tcPr>
            <w:tcW w:w="1559"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1,097,800</w:t>
            </w:r>
          </w:p>
        </w:tc>
        <w:tc>
          <w:tcPr>
            <w:tcW w:w="2126"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126,642,208.00</w:t>
            </w:r>
          </w:p>
        </w:tc>
        <w:tc>
          <w:tcPr>
            <w:tcW w:w="990"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2.99</w:t>
            </w:r>
          </w:p>
        </w:tc>
      </w:tr>
    </w:tbl>
    <w:p w:rsidR="00ED552C" w:rsidRDefault="00B37D4A">
      <w:pPr>
        <w:spacing w:line="360" w:lineRule="auto"/>
        <w:jc w:val="left"/>
      </w:pPr>
      <w:r>
        <w:t>6</w:t>
      </w:r>
      <w:r>
        <w:t>、　报告期末按公允价值占基金资产净值比例大小排序的前十名资产支持证券投资明细</w:t>
      </w:r>
    </w:p>
    <w:p w:rsidR="00ED552C" w:rsidRDefault="00B37D4A">
      <w:pPr>
        <w:spacing w:line="360" w:lineRule="auto"/>
        <w:ind w:firstLine="420"/>
        <w:jc w:val="left"/>
      </w:pPr>
      <w:r>
        <w:t>本基金本报告期末未持有资产支持证券。</w:t>
      </w:r>
    </w:p>
    <w:p w:rsidR="00ED552C" w:rsidRDefault="00B37D4A">
      <w:pPr>
        <w:spacing w:line="360" w:lineRule="auto"/>
        <w:jc w:val="left"/>
      </w:pPr>
      <w:r>
        <w:t>7</w:t>
      </w:r>
      <w:r>
        <w:t>、报告期末按公允价值占基金资产净值比例大小排序的前五名贵金属投资明细</w:t>
      </w:r>
    </w:p>
    <w:p w:rsidR="00ED552C" w:rsidRDefault="00B37D4A">
      <w:pPr>
        <w:spacing w:line="360" w:lineRule="auto"/>
        <w:ind w:firstLine="420"/>
        <w:jc w:val="left"/>
      </w:pPr>
      <w:r>
        <w:t>本基金本报告期末未持有贵金属。</w:t>
      </w:r>
    </w:p>
    <w:p w:rsidR="00ED552C" w:rsidRDefault="00B37D4A">
      <w:pPr>
        <w:spacing w:line="360" w:lineRule="auto"/>
        <w:jc w:val="left"/>
      </w:pPr>
      <w:r>
        <w:t>8</w:t>
      </w:r>
      <w:r>
        <w:t>、报告期末按公允价值占基金资产净值比例大小排序的前五名权证投资明细</w:t>
      </w:r>
    </w:p>
    <w:p w:rsidR="00ED552C" w:rsidRDefault="00B37D4A">
      <w:pPr>
        <w:spacing w:line="360" w:lineRule="auto"/>
        <w:ind w:firstLine="420"/>
        <w:jc w:val="left"/>
      </w:pPr>
      <w:r>
        <w:t>本基金本报告期末未持有权证。</w:t>
      </w:r>
    </w:p>
    <w:p w:rsidR="00ED552C" w:rsidRDefault="00B37D4A">
      <w:pPr>
        <w:spacing w:line="360" w:lineRule="auto"/>
        <w:jc w:val="left"/>
      </w:pPr>
      <w:r>
        <w:t>9</w:t>
      </w:r>
      <w:r>
        <w:t>、报告期末本基金投资的股指期货交易情况说明</w:t>
      </w:r>
    </w:p>
    <w:p w:rsidR="00ED552C" w:rsidRDefault="00B37D4A">
      <w:pPr>
        <w:spacing w:line="360" w:lineRule="auto"/>
        <w:ind w:firstLine="420"/>
        <w:jc w:val="left"/>
      </w:pPr>
      <w:r>
        <w:t>本基金本报告期末未投资股指期货。</w:t>
      </w:r>
    </w:p>
    <w:p w:rsidR="00ED552C" w:rsidRDefault="00B37D4A">
      <w:pPr>
        <w:spacing w:line="360" w:lineRule="auto"/>
        <w:jc w:val="left"/>
      </w:pPr>
      <w:r>
        <w:lastRenderedPageBreak/>
        <w:t>10</w:t>
      </w:r>
      <w:r>
        <w:t>、报告期末本基金投资的国债期货交易情况说明</w:t>
      </w:r>
    </w:p>
    <w:p w:rsidR="00ED552C" w:rsidRDefault="00B37D4A">
      <w:pPr>
        <w:spacing w:line="360" w:lineRule="auto"/>
        <w:ind w:firstLine="420"/>
        <w:jc w:val="left"/>
      </w:pPr>
      <w:r>
        <w:t>本基金本报告期末未投资国债期货。</w:t>
      </w:r>
    </w:p>
    <w:p w:rsidR="00ED552C" w:rsidRDefault="00B37D4A">
      <w:pPr>
        <w:spacing w:line="360" w:lineRule="auto"/>
        <w:jc w:val="left"/>
      </w:pPr>
      <w:r>
        <w:t>11</w:t>
      </w:r>
      <w:r>
        <w:t>、投资组合报告附注</w:t>
      </w:r>
    </w:p>
    <w:p w:rsidR="00ED552C" w:rsidRDefault="00B37D4A">
      <w:pPr>
        <w:spacing w:line="360" w:lineRule="auto"/>
        <w:jc w:val="left"/>
      </w:pPr>
      <w:r>
        <w:t>（</w:t>
      </w:r>
      <w:r>
        <w:t>1</w:t>
      </w:r>
      <w:r>
        <w:t>）</w:t>
      </w:r>
      <w:r>
        <w:t xml:space="preserve"> </w:t>
      </w:r>
      <w:r>
        <w:t>本基金投资的前十名证券的发行主体中，国家开发银行在报告编制日前一年内曾受到国家外汇管理局北京外汇管理部、中国银行保险监督管理委员会的处罚。光大银行股份有限公司在报告编制日前一年内曾受到国家外汇管理局北京外汇管理部的处罚。南京银行股份有限公司在报告编制日前一年内曾受到中国人民银行南京分行、国家市场监管总局的处罚。</w:t>
      </w:r>
    </w:p>
    <w:p w:rsidR="00ED552C" w:rsidRDefault="00B37D4A">
      <w:pPr>
        <w:spacing w:line="360" w:lineRule="auto"/>
        <w:ind w:firstLine="420"/>
        <w:jc w:val="left"/>
      </w:pPr>
      <w:r>
        <w:t>本基金投资的前十名证券中，上述主体所发行证券的投资决策程序符合公司投资制度的规定。除上述主体外，本基金投资的前十名证券的发行主体本期没有出现被监管部门立案调查，或在报告编制日前一年内受到公开谴责、处罚的情形。</w:t>
      </w:r>
    </w:p>
    <w:p w:rsidR="00ED552C" w:rsidRDefault="00B37D4A">
      <w:pPr>
        <w:spacing w:line="360" w:lineRule="auto"/>
        <w:jc w:val="left"/>
      </w:pPr>
      <w:r>
        <w:t>（</w:t>
      </w:r>
      <w:r>
        <w:t>2</w:t>
      </w:r>
      <w:r>
        <w:t>）</w:t>
      </w:r>
      <w:r>
        <w:t xml:space="preserve"> </w:t>
      </w:r>
      <w:r>
        <w:t>本基金投资的前十名股票没有超出基金合同规定的备选股票库。</w:t>
      </w:r>
    </w:p>
    <w:p w:rsidR="00ED552C" w:rsidRDefault="00B37D4A">
      <w:pPr>
        <w:spacing w:line="360" w:lineRule="auto"/>
        <w:jc w:val="left"/>
      </w:pPr>
      <w:r>
        <w:t>（</w:t>
      </w:r>
      <w:r>
        <w:t>3</w:t>
      </w:r>
      <w: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759"/>
        <w:gridCol w:w="4805"/>
      </w:tblGrid>
      <w:tr w:rsidR="00ED552C">
        <w:tc>
          <w:tcPr>
            <w:tcW w:w="944"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7"/>
              <w:jc w:val="center"/>
              <w:rPr>
                <w:color w:val="000000"/>
                <w:kern w:val="0"/>
                <w:sz w:val="24"/>
              </w:rPr>
            </w:pPr>
            <w:r>
              <w:rPr>
                <w:color w:val="000000"/>
                <w:kern w:val="0"/>
              </w:rPr>
              <w:t>序号</w:t>
            </w:r>
          </w:p>
        </w:tc>
        <w:tc>
          <w:tcPr>
            <w:tcW w:w="2761"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7"/>
              <w:jc w:val="center"/>
              <w:rPr>
                <w:color w:val="000000"/>
                <w:kern w:val="0"/>
                <w:sz w:val="24"/>
              </w:rPr>
            </w:pPr>
            <w:r>
              <w:rPr>
                <w:color w:val="000000"/>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7"/>
              <w:jc w:val="center"/>
              <w:rPr>
                <w:color w:val="000000"/>
                <w:kern w:val="0"/>
                <w:sz w:val="24"/>
              </w:rPr>
            </w:pPr>
            <w:r>
              <w:rPr>
                <w:color w:val="000000"/>
                <w:kern w:val="0"/>
              </w:rPr>
              <w:t>金额</w:t>
            </w:r>
            <w:r>
              <w:rPr>
                <w:color w:val="000000"/>
                <w:kern w:val="0"/>
              </w:rPr>
              <w:t>(</w:t>
            </w:r>
            <w:r>
              <w:rPr>
                <w:color w:val="000000"/>
                <w:kern w:val="0"/>
              </w:rPr>
              <w:t>元</w:t>
            </w:r>
            <w:r>
              <w:rPr>
                <w:color w:val="000000"/>
                <w:kern w:val="0"/>
              </w:rPr>
              <w:t>)</w:t>
            </w:r>
          </w:p>
        </w:tc>
      </w:tr>
      <w:tr w:rsidR="00ED552C">
        <w:tc>
          <w:tcPr>
            <w:tcW w:w="944"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center"/>
              <w:rPr>
                <w:color w:val="000000"/>
                <w:kern w:val="0"/>
                <w:sz w:val="24"/>
              </w:rPr>
            </w:pPr>
            <w:r>
              <w:rPr>
                <w:color w:val="000000"/>
              </w:rPr>
              <w:t>1</w:t>
            </w:r>
          </w:p>
        </w:tc>
        <w:tc>
          <w:tcPr>
            <w:tcW w:w="2761"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left"/>
              <w:rPr>
                <w:color w:val="000000"/>
                <w:kern w:val="0"/>
                <w:sz w:val="24"/>
              </w:rPr>
            </w:pPr>
            <w:r>
              <w:rPr>
                <w:color w:val="000000"/>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right"/>
              <w:rPr>
                <w:color w:val="000000"/>
                <w:kern w:val="0"/>
                <w:sz w:val="24"/>
              </w:rPr>
            </w:pPr>
            <w:r>
              <w:rPr>
                <w:color w:val="000000"/>
                <w:kern w:val="0"/>
              </w:rPr>
              <w:t>183,381.70</w:t>
            </w:r>
          </w:p>
        </w:tc>
      </w:tr>
      <w:tr w:rsidR="00ED552C">
        <w:tc>
          <w:tcPr>
            <w:tcW w:w="944"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center"/>
              <w:rPr>
                <w:color w:val="000000"/>
                <w:sz w:val="24"/>
              </w:rPr>
            </w:pPr>
            <w:r>
              <w:rPr>
                <w:color w:val="000000"/>
              </w:rPr>
              <w:t>2</w:t>
            </w:r>
          </w:p>
        </w:tc>
        <w:tc>
          <w:tcPr>
            <w:tcW w:w="2761"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left"/>
              <w:rPr>
                <w:color w:val="000000"/>
                <w:kern w:val="0"/>
                <w:sz w:val="24"/>
              </w:rPr>
            </w:pPr>
            <w:r>
              <w:rPr>
                <w:color w:val="000000"/>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right"/>
              <w:rPr>
                <w:color w:val="000000"/>
                <w:kern w:val="0"/>
                <w:sz w:val="24"/>
              </w:rPr>
            </w:pPr>
            <w:r>
              <w:rPr>
                <w:color w:val="000000"/>
                <w:kern w:val="0"/>
              </w:rPr>
              <w:t>13,800,958.88</w:t>
            </w:r>
          </w:p>
        </w:tc>
      </w:tr>
      <w:tr w:rsidR="00ED552C">
        <w:tc>
          <w:tcPr>
            <w:tcW w:w="944"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center"/>
              <w:rPr>
                <w:color w:val="000000"/>
                <w:sz w:val="24"/>
              </w:rPr>
            </w:pPr>
            <w:r>
              <w:rPr>
                <w:color w:val="000000"/>
              </w:rPr>
              <w:t>3</w:t>
            </w:r>
          </w:p>
        </w:tc>
        <w:tc>
          <w:tcPr>
            <w:tcW w:w="2761"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left"/>
              <w:rPr>
                <w:color w:val="000000"/>
                <w:kern w:val="0"/>
                <w:sz w:val="24"/>
              </w:rPr>
            </w:pPr>
            <w:r>
              <w:rPr>
                <w:color w:val="000000"/>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right"/>
              <w:rPr>
                <w:color w:val="000000"/>
                <w:kern w:val="0"/>
                <w:sz w:val="24"/>
              </w:rPr>
            </w:pPr>
            <w:r>
              <w:rPr>
                <w:color w:val="000000"/>
                <w:kern w:val="0"/>
              </w:rPr>
              <w:t>-</w:t>
            </w:r>
          </w:p>
        </w:tc>
      </w:tr>
      <w:tr w:rsidR="00ED552C">
        <w:tc>
          <w:tcPr>
            <w:tcW w:w="944"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center"/>
              <w:rPr>
                <w:color w:val="000000"/>
                <w:sz w:val="24"/>
              </w:rPr>
            </w:pPr>
            <w:r>
              <w:rPr>
                <w:color w:val="000000"/>
              </w:rPr>
              <w:t>4</w:t>
            </w:r>
          </w:p>
        </w:tc>
        <w:tc>
          <w:tcPr>
            <w:tcW w:w="2761"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left"/>
              <w:rPr>
                <w:color w:val="000000"/>
                <w:kern w:val="0"/>
                <w:sz w:val="24"/>
              </w:rPr>
            </w:pPr>
            <w:r>
              <w:rPr>
                <w:color w:val="000000"/>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right"/>
              <w:rPr>
                <w:color w:val="000000"/>
                <w:kern w:val="0"/>
                <w:sz w:val="24"/>
              </w:rPr>
            </w:pPr>
            <w:r>
              <w:rPr>
                <w:color w:val="000000"/>
                <w:kern w:val="0"/>
              </w:rPr>
              <w:t>34,372,299.17</w:t>
            </w:r>
          </w:p>
        </w:tc>
      </w:tr>
      <w:tr w:rsidR="00ED552C">
        <w:tc>
          <w:tcPr>
            <w:tcW w:w="944"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center"/>
              <w:rPr>
                <w:color w:val="000000"/>
                <w:sz w:val="24"/>
              </w:rPr>
            </w:pPr>
            <w:r>
              <w:rPr>
                <w:color w:val="000000"/>
              </w:rPr>
              <w:t>5</w:t>
            </w:r>
          </w:p>
        </w:tc>
        <w:tc>
          <w:tcPr>
            <w:tcW w:w="2761"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left"/>
              <w:rPr>
                <w:color w:val="000000"/>
                <w:kern w:val="0"/>
                <w:sz w:val="24"/>
              </w:rPr>
            </w:pPr>
            <w:r>
              <w:rPr>
                <w:color w:val="000000"/>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right"/>
              <w:rPr>
                <w:color w:val="000000"/>
                <w:kern w:val="0"/>
                <w:sz w:val="24"/>
              </w:rPr>
            </w:pPr>
            <w:r>
              <w:rPr>
                <w:color w:val="000000"/>
                <w:kern w:val="0"/>
              </w:rPr>
              <w:t>35,179,508.03</w:t>
            </w:r>
          </w:p>
        </w:tc>
      </w:tr>
      <w:tr w:rsidR="00ED552C">
        <w:tc>
          <w:tcPr>
            <w:tcW w:w="944"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center"/>
              <w:rPr>
                <w:color w:val="000000"/>
                <w:sz w:val="24"/>
              </w:rPr>
            </w:pPr>
            <w:r>
              <w:rPr>
                <w:color w:val="000000"/>
              </w:rPr>
              <w:t>6</w:t>
            </w:r>
          </w:p>
        </w:tc>
        <w:tc>
          <w:tcPr>
            <w:tcW w:w="2761"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left"/>
              <w:rPr>
                <w:color w:val="000000"/>
                <w:kern w:val="0"/>
                <w:sz w:val="24"/>
              </w:rPr>
            </w:pPr>
            <w:r>
              <w:rPr>
                <w:color w:val="000000"/>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right"/>
              <w:rPr>
                <w:color w:val="000000"/>
                <w:kern w:val="0"/>
                <w:sz w:val="24"/>
              </w:rPr>
            </w:pPr>
            <w:r>
              <w:rPr>
                <w:color w:val="000000"/>
                <w:kern w:val="0"/>
              </w:rPr>
              <w:t>-</w:t>
            </w:r>
          </w:p>
        </w:tc>
      </w:tr>
      <w:tr w:rsidR="00ED552C">
        <w:tc>
          <w:tcPr>
            <w:tcW w:w="944"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center"/>
              <w:rPr>
                <w:color w:val="000000"/>
                <w:sz w:val="24"/>
              </w:rPr>
            </w:pPr>
            <w:r>
              <w:rPr>
                <w:color w:val="000000"/>
              </w:rPr>
              <w:t>7</w:t>
            </w:r>
          </w:p>
        </w:tc>
        <w:tc>
          <w:tcPr>
            <w:tcW w:w="2761"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left"/>
              <w:rPr>
                <w:color w:val="000000"/>
                <w:sz w:val="24"/>
              </w:rPr>
            </w:pPr>
            <w:r>
              <w:rPr>
                <w:color w:val="000000"/>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right"/>
              <w:rPr>
                <w:color w:val="000000"/>
                <w:sz w:val="24"/>
              </w:rPr>
            </w:pPr>
            <w:r>
              <w:rPr>
                <w:color w:val="000000"/>
              </w:rPr>
              <w:t>-</w:t>
            </w:r>
          </w:p>
        </w:tc>
      </w:tr>
      <w:tr w:rsidR="00ED552C">
        <w:tc>
          <w:tcPr>
            <w:tcW w:w="944"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center"/>
              <w:rPr>
                <w:color w:val="000000"/>
                <w:sz w:val="24"/>
              </w:rPr>
            </w:pPr>
            <w:r>
              <w:rPr>
                <w:color w:val="000000"/>
              </w:rPr>
              <w:t>8</w:t>
            </w:r>
          </w:p>
        </w:tc>
        <w:tc>
          <w:tcPr>
            <w:tcW w:w="2761"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left"/>
              <w:rPr>
                <w:color w:val="000000"/>
                <w:kern w:val="0"/>
                <w:sz w:val="24"/>
              </w:rPr>
            </w:pPr>
            <w:r>
              <w:rPr>
                <w:color w:val="000000"/>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right"/>
              <w:rPr>
                <w:color w:val="000000"/>
                <w:kern w:val="0"/>
                <w:sz w:val="24"/>
              </w:rPr>
            </w:pPr>
            <w:r>
              <w:rPr>
                <w:color w:val="000000"/>
                <w:kern w:val="0"/>
              </w:rPr>
              <w:t>-</w:t>
            </w:r>
          </w:p>
        </w:tc>
      </w:tr>
      <w:tr w:rsidR="00ED552C">
        <w:tc>
          <w:tcPr>
            <w:tcW w:w="944"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center"/>
              <w:rPr>
                <w:color w:val="000000"/>
                <w:sz w:val="24"/>
              </w:rPr>
            </w:pPr>
            <w:r>
              <w:rPr>
                <w:color w:val="000000"/>
              </w:rPr>
              <w:t>9</w:t>
            </w:r>
          </w:p>
        </w:tc>
        <w:tc>
          <w:tcPr>
            <w:tcW w:w="2761"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left"/>
              <w:rPr>
                <w:color w:val="000000"/>
                <w:kern w:val="0"/>
                <w:sz w:val="24"/>
              </w:rPr>
            </w:pPr>
            <w:r>
              <w:rPr>
                <w:color w:val="000000"/>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ED552C" w:rsidRDefault="00B37D4A">
            <w:pPr>
              <w:autoSpaceDE w:val="0"/>
              <w:autoSpaceDN w:val="0"/>
              <w:adjustRightInd w:val="0"/>
              <w:ind w:left="15"/>
              <w:jc w:val="right"/>
              <w:rPr>
                <w:color w:val="000000"/>
                <w:kern w:val="0"/>
                <w:sz w:val="24"/>
              </w:rPr>
            </w:pPr>
            <w:r>
              <w:rPr>
                <w:color w:val="000000"/>
                <w:kern w:val="0"/>
              </w:rPr>
              <w:t>83,536,147.78</w:t>
            </w:r>
          </w:p>
        </w:tc>
      </w:tr>
    </w:tbl>
    <w:p w:rsidR="00ED552C" w:rsidRDefault="00B37D4A">
      <w:pPr>
        <w:spacing w:line="360" w:lineRule="auto"/>
        <w:jc w:val="left"/>
      </w:pPr>
      <w:r>
        <w:t>（</w:t>
      </w:r>
      <w:r>
        <w:t>4</w:t>
      </w:r>
      <w: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566"/>
        <w:gridCol w:w="1663"/>
        <w:gridCol w:w="1727"/>
        <w:gridCol w:w="1608"/>
      </w:tblGrid>
      <w:tr w:rsidR="00ED552C">
        <w:tc>
          <w:tcPr>
            <w:tcW w:w="944"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序号</w:t>
            </w:r>
          </w:p>
        </w:tc>
        <w:tc>
          <w:tcPr>
            <w:tcW w:w="2568"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债券代码</w:t>
            </w:r>
          </w:p>
        </w:tc>
        <w:tc>
          <w:tcPr>
            <w:tcW w:w="1665"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债券名称</w:t>
            </w:r>
          </w:p>
        </w:tc>
        <w:tc>
          <w:tcPr>
            <w:tcW w:w="172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公允价值</w:t>
            </w:r>
            <w:r>
              <w:rPr>
                <w:color w:val="000000"/>
              </w:rPr>
              <w:t>(</w:t>
            </w:r>
            <w:r>
              <w:rPr>
                <w:color w:val="000000"/>
              </w:rPr>
              <w:t>元</w:t>
            </w:r>
            <w:r>
              <w:rPr>
                <w:color w:val="000000"/>
              </w:rPr>
              <w:t>)</w:t>
            </w:r>
          </w:p>
        </w:tc>
        <w:tc>
          <w:tcPr>
            <w:tcW w:w="1609"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占基金资产净值比例</w:t>
            </w:r>
            <w:r>
              <w:rPr>
                <w:color w:val="000000"/>
              </w:rPr>
              <w:t>(%)</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113011</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光大转债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131,410,534.80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3.11</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128129</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青农转债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119,396,214.00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2.82</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3</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110057</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现代转债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78,468,828.90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1.86</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4</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110073</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国投转债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75,011,449.50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1.77</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5</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110062</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烽火转债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63,790,559.00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1.51</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6</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128081</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海亮转债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55,534,648.00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1.31</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7</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132004</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15</w:t>
            </w:r>
            <w:r>
              <w:rPr>
                <w:color w:val="000000"/>
              </w:rPr>
              <w:t>国盛</w:t>
            </w:r>
            <w:r>
              <w:rPr>
                <w:color w:val="000000"/>
              </w:rPr>
              <w:t>EB</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50,072,570.80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1.18</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8</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110068</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龙净转债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41,961,334.40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0.99</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9</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128108</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蓝帆转债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41,739,432.21</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0.99</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123049</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维尔转债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40,967,203.40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0.97</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128141</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旺能转债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40,906,177.07</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0.97</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110051</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中天转债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38,595,431.40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0.91</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13</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123077</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汉得转债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37,602,737.84</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0.89</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lastRenderedPageBreak/>
              <w:t>14</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128106</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华统转债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37,367,138.05</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0.88</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15</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110045</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海澜转债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34,774,608.00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0.82</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16</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123096</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思创转债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34,631,454.00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0.82</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17</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110047</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山鹰转债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34,447,657.40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0.81</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18</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110064</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建工转债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33,561,675.90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0.79</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19</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123035</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利德转债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31,814,834.15</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0.75</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20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128075</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远东转债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31,412,798.48</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0.74</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21</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113604</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多伦转债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29,910,601.10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0.71</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22</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127014</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北方转债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28,792,988.25</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0.68</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23</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127025</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冀东转债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28,503,297.90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0.67</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24</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123023</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迪森转债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26,671,850.15</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0.63</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25</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128073</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哈尔转债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25,416,102.60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0.60</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26</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123083</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朗新转债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25,394,172.18</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0.60</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27</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128044</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岭南转债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24,669,446.40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0.58</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28</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127019</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国城转债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24,220,199.38</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0.57</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29</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128097</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奥佳转债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23,267,303.40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0.55</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30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128096</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奥瑞转债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23,185,273.59</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0.55</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31</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113569</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科达转债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22,343,975.40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0.53</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32</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113596</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城地转债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21,972,150.90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0.52</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33</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113600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新星转债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21,395,173.80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0.51</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34</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123060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苏试转债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20,637,351.90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0.49</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35</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128107</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交科转债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19,086,178.10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0.45</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36</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128063</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未来转债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18,580,320.00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0.44</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37</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128138</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侨银转债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18,572,635.90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0.44</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38</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128023</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亚太转债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18,330,556.68</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0.43</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39</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123088</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威唐转债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17,893,502.11</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0.42</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40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128127</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文科转债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17,820,058.54</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0.42</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41</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128083</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新北转债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17,799,705.33</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0.42</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42</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113535</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大业转债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17,660,399.00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0.42</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43</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123045</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雷迪转债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16,733,577.70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0.40</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44</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123106</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正丹转债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16,635,818.40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0.39</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45</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113549</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白电转债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16,500,000.00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0.39</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46</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128042</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凯中转债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15,268,896.40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0.36</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47</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128132</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交建转债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13,765,595.16</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0.33</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48</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123102</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华自转债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13,519,200.00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0.32</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49</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128139</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祥鑫转债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12,927,466.48</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0.31</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50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128074</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游族转债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12,509,384.40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0.30</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51</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127013</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创维转债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10,908,245.68</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0.26</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52</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113614</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健</w:t>
            </w:r>
            <w:r>
              <w:rPr>
                <w:color w:val="000000"/>
              </w:rPr>
              <w:t>20</w:t>
            </w:r>
            <w:r>
              <w:rPr>
                <w:color w:val="000000"/>
              </w:rPr>
              <w:t>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9,200,368.80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0.22</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53</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113601</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塞力转债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4,814,345.10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0.11</w:t>
            </w:r>
          </w:p>
        </w:tc>
      </w:tr>
      <w:tr w:rsidR="00ED552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54</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110052</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贵广转债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4,811,479.20</w:t>
            </w:r>
          </w:p>
        </w:tc>
        <w:tc>
          <w:tcPr>
            <w:tcW w:w="0" w:type="auto"/>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0.11</w:t>
            </w:r>
          </w:p>
        </w:tc>
      </w:tr>
    </w:tbl>
    <w:p w:rsidR="00ED552C" w:rsidRDefault="00B37D4A">
      <w:pPr>
        <w:spacing w:line="360" w:lineRule="auto"/>
        <w:jc w:val="left"/>
      </w:pPr>
      <w:r>
        <w:t>（</w:t>
      </w:r>
      <w:r>
        <w:t>5</w:t>
      </w:r>
      <w:r>
        <w:t>）报告期末前十名股票中存在流通受限情况的说明</w:t>
      </w:r>
      <w:r>
        <w:br w:type="page"/>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ED552C">
        <w:tc>
          <w:tcPr>
            <w:tcW w:w="1083"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lastRenderedPageBreak/>
              <w:t>序号</w:t>
            </w:r>
          </w:p>
        </w:tc>
        <w:tc>
          <w:tcPr>
            <w:tcW w:w="1302"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股票代码</w:t>
            </w:r>
          </w:p>
        </w:tc>
        <w:tc>
          <w:tcPr>
            <w:tcW w:w="1301"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股票名称</w:t>
            </w:r>
          </w:p>
        </w:tc>
        <w:tc>
          <w:tcPr>
            <w:tcW w:w="1805"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流通受限部分的公允价值</w:t>
            </w:r>
            <w:r>
              <w:rPr>
                <w:color w:val="000000"/>
              </w:rPr>
              <w:t>(</w:t>
            </w:r>
            <w:r>
              <w:rPr>
                <w:color w:val="000000"/>
              </w:rPr>
              <w:t>元</w:t>
            </w:r>
            <w:r>
              <w:rPr>
                <w:color w:val="000000"/>
              </w:rPr>
              <w:t>)</w:t>
            </w:r>
          </w:p>
        </w:tc>
        <w:tc>
          <w:tcPr>
            <w:tcW w:w="1655"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占基金资产净值比例</w:t>
            </w:r>
            <w:r>
              <w:rPr>
                <w:color w:val="000000"/>
              </w:rPr>
              <w:t>(%)</w:t>
            </w:r>
          </w:p>
        </w:tc>
        <w:tc>
          <w:tcPr>
            <w:tcW w:w="1367" w:type="dxa"/>
            <w:tcBorders>
              <w:top w:val="single" w:sz="0" w:space="0" w:color="000000"/>
              <w:left w:val="single" w:sz="0" w:space="0" w:color="000000"/>
              <w:bottom w:val="single" w:sz="0" w:space="0" w:color="000000"/>
              <w:right w:val="single" w:sz="0" w:space="0" w:color="000000"/>
            </w:tcBorders>
            <w:vAlign w:val="center"/>
          </w:tcPr>
          <w:p w:rsidR="00ED552C" w:rsidRDefault="00B37D4A">
            <w:pPr>
              <w:ind w:left="17"/>
              <w:jc w:val="center"/>
              <w:rPr>
                <w:color w:val="000000"/>
                <w:sz w:val="24"/>
              </w:rPr>
            </w:pPr>
            <w:r>
              <w:rPr>
                <w:color w:val="000000"/>
              </w:rPr>
              <w:t>流通受限情况说明</w:t>
            </w:r>
          </w:p>
        </w:tc>
      </w:tr>
      <w:tr w:rsidR="00ED552C">
        <w:tc>
          <w:tcPr>
            <w:tcW w:w="1083"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1</w:t>
            </w:r>
          </w:p>
        </w:tc>
        <w:tc>
          <w:tcPr>
            <w:tcW w:w="1302"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601117</w:t>
            </w:r>
          </w:p>
        </w:tc>
        <w:tc>
          <w:tcPr>
            <w:tcW w:w="1301"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center"/>
            </w:pPr>
            <w:r>
              <w:rPr>
                <w:color w:val="000000"/>
              </w:rPr>
              <w:t>中国化学</w:t>
            </w:r>
          </w:p>
        </w:tc>
        <w:tc>
          <w:tcPr>
            <w:tcW w:w="1805"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46,447,065.21</w:t>
            </w:r>
          </w:p>
        </w:tc>
        <w:tc>
          <w:tcPr>
            <w:tcW w:w="1655"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1.10</w:t>
            </w:r>
          </w:p>
        </w:tc>
        <w:tc>
          <w:tcPr>
            <w:tcW w:w="1367" w:type="dxa"/>
            <w:tcBorders>
              <w:top w:val="single" w:sz="0" w:space="0" w:color="000000"/>
              <w:left w:val="single" w:sz="0" w:space="0" w:color="000000"/>
              <w:bottom w:val="single" w:sz="0" w:space="0" w:color="000000"/>
              <w:right w:val="single" w:sz="0" w:space="0" w:color="000000"/>
            </w:tcBorders>
            <w:vAlign w:val="center"/>
          </w:tcPr>
          <w:p w:rsidR="00ED552C" w:rsidRDefault="00B37D4A">
            <w:pPr>
              <w:jc w:val="right"/>
            </w:pPr>
            <w:r>
              <w:rPr>
                <w:color w:val="000000"/>
              </w:rPr>
              <w:t>非公开发行流通受限</w:t>
            </w:r>
          </w:p>
        </w:tc>
      </w:tr>
    </w:tbl>
    <w:p w:rsidR="00173A44" w:rsidRDefault="00173A44">
      <w:pPr>
        <w:widowControl/>
        <w:jc w:val="left"/>
        <w:rPr>
          <w:rFonts w:asciiTheme="minorEastAsia" w:eastAsiaTheme="minorEastAsia" w:hAnsiTheme="minorEastAsia"/>
          <w:sz w:val="30"/>
          <w:szCs w:val="32"/>
        </w:rPr>
      </w:pPr>
      <w:bookmarkStart w:id="63" w:name="_Toc86315885"/>
      <w:r>
        <w:rPr>
          <w:rFonts w:asciiTheme="minorEastAsia" w:eastAsiaTheme="minorEastAsia" w:hAnsiTheme="minorEastAsia"/>
          <w:sz w:val="30"/>
        </w:rPr>
        <w:br w:type="page"/>
      </w:r>
    </w:p>
    <w:p w:rsidR="008469C5" w:rsidRPr="00D6191E" w:rsidRDefault="008469C5" w:rsidP="004D6C82">
      <w:pPr>
        <w:pStyle w:val="1"/>
        <w:snapToGrid w:val="0"/>
        <w:spacing w:beforeLines="0" w:afterLines="0" w:line="360" w:lineRule="auto"/>
        <w:ind w:firstLine="600"/>
        <w:rPr>
          <w:rFonts w:asciiTheme="minorEastAsia" w:eastAsiaTheme="minorEastAsia" w:hAnsiTheme="minorEastAsia"/>
          <w:szCs w:val="21"/>
        </w:rPr>
      </w:pPr>
      <w:r w:rsidRPr="00D6191E">
        <w:rPr>
          <w:rFonts w:asciiTheme="minorEastAsia" w:eastAsiaTheme="minorEastAsia" w:hAnsiTheme="minorEastAsia" w:hint="eastAsia"/>
          <w:sz w:val="30"/>
        </w:rPr>
        <w:lastRenderedPageBreak/>
        <w:t>十二、基金的业绩</w:t>
      </w:r>
      <w:bookmarkEnd w:id="63"/>
    </w:p>
    <w:p w:rsidR="004D7A88" w:rsidRPr="00D6191E" w:rsidRDefault="004D7A88"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基金管理人依照恪尽职守、诚实信用、谨慎勤勉的原则管理和运用基金财产，但不保证基金一定盈利，也不保证最低收益。基金的过往业绩并不代表其未来表现。投资有风险，投资者在</w:t>
      </w:r>
      <w:r w:rsidRPr="00D6191E">
        <w:rPr>
          <w:rFonts w:asciiTheme="minorEastAsia" w:eastAsiaTheme="minorEastAsia" w:hAnsiTheme="minorEastAsia" w:hint="eastAsia"/>
          <w:szCs w:val="21"/>
        </w:rPr>
        <w:t>作出</w:t>
      </w:r>
      <w:r w:rsidRPr="00D6191E">
        <w:rPr>
          <w:rFonts w:asciiTheme="minorEastAsia" w:eastAsiaTheme="minorEastAsia" w:hAnsiTheme="minorEastAsia"/>
          <w:szCs w:val="21"/>
        </w:rPr>
        <w:t>投资决策前应仔细阅读本基金的招募说明书。</w:t>
      </w:r>
    </w:p>
    <w:p w:rsidR="004D7A88" w:rsidRPr="00D6191E" w:rsidRDefault="004D7A88" w:rsidP="000449FE">
      <w:pPr>
        <w:snapToGrid w:val="0"/>
        <w:spacing w:line="360" w:lineRule="auto"/>
        <w:ind w:firstLineChars="200" w:firstLine="420"/>
        <w:rPr>
          <w:rFonts w:asciiTheme="minorEastAsia" w:eastAsiaTheme="minorEastAsia" w:hAnsiTheme="minorEastAsia"/>
          <w:szCs w:val="21"/>
        </w:rPr>
      </w:pPr>
      <w:r>
        <w:t>本基金合同生效日为</w:t>
      </w:r>
      <w:r>
        <w:t>2011</w:t>
      </w:r>
      <w:r>
        <w:t>年</w:t>
      </w:r>
      <w:r>
        <w:t>12</w:t>
      </w:r>
      <w:r>
        <w:t>月</w:t>
      </w:r>
      <w:r>
        <w:t>1</w:t>
      </w:r>
      <w:r>
        <w:t>日，基金合同生效以来（截至</w:t>
      </w:r>
      <w:r>
        <w:t>2020</w:t>
      </w:r>
      <w:r>
        <w:t>年</w:t>
      </w:r>
      <w:r>
        <w:t>12</w:t>
      </w:r>
      <w:r>
        <w:t>月</w:t>
      </w:r>
      <w:r>
        <w:t>31</w:t>
      </w:r>
      <w:r>
        <w:t>日）的投资业绩及与同期基准的比较如下表所示：</w:t>
      </w:r>
    </w:p>
    <w:p w:rsidR="009C0CEE" w:rsidRPr="00D6191E" w:rsidRDefault="00200D60" w:rsidP="00200D60">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1</w:t>
      </w:r>
      <w:r w:rsidRPr="00D6191E">
        <w:rPr>
          <w:rFonts w:asciiTheme="minorEastAsia" w:eastAsiaTheme="minorEastAsia" w:hAnsiTheme="minorEastAsia" w:hint="eastAsia"/>
          <w:szCs w:val="21"/>
        </w:rPr>
        <w:t>、</w:t>
      </w:r>
      <w:r w:rsidR="009C0CEE" w:rsidRPr="00D6191E">
        <w:rPr>
          <w:rFonts w:asciiTheme="minorEastAsia" w:eastAsiaTheme="minorEastAsia" w:hAnsiTheme="minorEastAsia" w:hint="eastAsia"/>
          <w:szCs w:val="21"/>
        </w:rPr>
        <w:t>易方达双债增强债券</w:t>
      </w:r>
      <w:r w:rsidR="009C0CEE" w:rsidRPr="00D6191E">
        <w:rPr>
          <w:rFonts w:asciiTheme="minorEastAsia" w:eastAsiaTheme="minorEastAsia" w:hAnsiTheme="minorEastAsia"/>
          <w:szCs w:val="21"/>
        </w:rPr>
        <w:t>A</w:t>
      </w:r>
      <w:r w:rsidR="009C0CEE" w:rsidRPr="00D6191E">
        <w:rPr>
          <w:rFonts w:asciiTheme="minorEastAsia" w:eastAsiaTheme="minorEastAsia" w:hAnsiTheme="minorEastAsia" w:hint="eastAsia"/>
          <w:szCs w:val="21"/>
        </w:rPr>
        <w:t>类基金份额净值增长率与同期业绩比较基准收益率比较</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080"/>
        <w:gridCol w:w="1080"/>
        <w:gridCol w:w="1440"/>
        <w:gridCol w:w="1339"/>
        <w:gridCol w:w="1001"/>
        <w:gridCol w:w="900"/>
      </w:tblGrid>
      <w:tr w:rsidR="00D6191E" w:rsidRPr="00D6191E" w:rsidTr="00EF6246">
        <w:trPr>
          <w:trHeight w:val="315"/>
          <w:jc w:val="center"/>
        </w:trPr>
        <w:tc>
          <w:tcPr>
            <w:tcW w:w="1582" w:type="dxa"/>
            <w:tcBorders>
              <w:top w:val="single" w:sz="4" w:space="0" w:color="auto"/>
              <w:left w:val="single" w:sz="4" w:space="0" w:color="auto"/>
              <w:bottom w:val="single" w:sz="4" w:space="0" w:color="auto"/>
              <w:right w:val="single" w:sz="4" w:space="0" w:color="auto"/>
            </w:tcBorders>
            <w:vAlign w:val="center"/>
            <w:hideMark/>
          </w:tcPr>
          <w:p w:rsidR="00CF51EA" w:rsidRPr="00D6191E" w:rsidRDefault="00CF51EA" w:rsidP="000449FE">
            <w:pPr>
              <w:snapToGrid w:val="0"/>
              <w:spacing w:line="360" w:lineRule="auto"/>
              <w:jc w:val="center"/>
              <w:rPr>
                <w:rFonts w:asciiTheme="minorEastAsia" w:eastAsiaTheme="minorEastAsia" w:hAnsiTheme="minorEastAsia"/>
                <w:szCs w:val="21"/>
              </w:rPr>
            </w:pPr>
            <w:r w:rsidRPr="00D6191E">
              <w:rPr>
                <w:rFonts w:asciiTheme="minorEastAsia" w:eastAsiaTheme="minorEastAsia" w:hAnsiTheme="minorEastAsia" w:hint="eastAsia"/>
                <w:szCs w:val="21"/>
              </w:rPr>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CF51EA" w:rsidRPr="00D6191E" w:rsidRDefault="00CF51EA" w:rsidP="000449FE">
            <w:pPr>
              <w:snapToGrid w:val="0"/>
              <w:spacing w:line="360" w:lineRule="auto"/>
              <w:jc w:val="center"/>
              <w:rPr>
                <w:rFonts w:asciiTheme="minorEastAsia" w:eastAsiaTheme="minorEastAsia" w:hAnsiTheme="minorEastAsia"/>
                <w:szCs w:val="21"/>
              </w:rPr>
            </w:pPr>
            <w:r w:rsidRPr="00D6191E">
              <w:rPr>
                <w:rFonts w:asciiTheme="minorEastAsia" w:eastAsiaTheme="minorEastAsia" w:hAnsiTheme="minorEastAsia" w:hint="eastAsia"/>
                <w:szCs w:val="21"/>
              </w:rPr>
              <w:t>净值增长率（1</w:t>
            </w:r>
            <w:r w:rsidR="00D66695" w:rsidRPr="00D6191E">
              <w:rPr>
                <w:rFonts w:asciiTheme="minorEastAsia" w:eastAsiaTheme="minorEastAsia" w:hAnsiTheme="minorEastAsia" w:hint="eastAsia"/>
                <w:szCs w:val="21"/>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CF51EA" w:rsidRPr="00D6191E" w:rsidRDefault="00550091" w:rsidP="000449FE">
            <w:pPr>
              <w:snapToGrid w:val="0"/>
              <w:spacing w:line="360" w:lineRule="auto"/>
              <w:jc w:val="center"/>
              <w:rPr>
                <w:rFonts w:asciiTheme="minorEastAsia" w:eastAsiaTheme="minorEastAsia" w:hAnsiTheme="minorEastAsia"/>
                <w:szCs w:val="21"/>
              </w:rPr>
            </w:pPr>
            <w:r w:rsidRPr="00D6191E">
              <w:rPr>
                <w:rFonts w:asciiTheme="minorEastAsia" w:eastAsiaTheme="minorEastAsia" w:hAnsiTheme="minorEastAsia" w:hint="eastAsia"/>
                <w:szCs w:val="21"/>
              </w:rPr>
              <w:t>净值增长率标准差（</w:t>
            </w:r>
            <w:r w:rsidR="0043083C" w:rsidRPr="00D6191E">
              <w:rPr>
                <w:rFonts w:asciiTheme="minorEastAsia" w:eastAsiaTheme="minorEastAsia" w:hAnsiTheme="minorEastAsia"/>
                <w:szCs w:val="21"/>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CF51EA" w:rsidRPr="00D6191E" w:rsidRDefault="0043083C" w:rsidP="000449FE">
            <w:pPr>
              <w:snapToGrid w:val="0"/>
              <w:spacing w:line="360" w:lineRule="auto"/>
              <w:jc w:val="center"/>
              <w:rPr>
                <w:rFonts w:asciiTheme="minorEastAsia" w:eastAsiaTheme="minorEastAsia" w:hAnsiTheme="minorEastAsia"/>
                <w:szCs w:val="21"/>
              </w:rPr>
            </w:pPr>
            <w:r w:rsidRPr="00D6191E">
              <w:rPr>
                <w:rFonts w:asciiTheme="minorEastAsia" w:eastAsiaTheme="minorEastAsia" w:hAnsiTheme="minorEastAsia" w:hint="eastAsia"/>
                <w:szCs w:val="21"/>
              </w:rPr>
              <w:t>业绩比较基准收益率（</w:t>
            </w:r>
            <w:r w:rsidR="00E2628D" w:rsidRPr="00D6191E">
              <w:rPr>
                <w:rFonts w:asciiTheme="minorEastAsia" w:eastAsiaTheme="minorEastAsia" w:hAnsiTheme="minorEastAsia"/>
                <w:szCs w:val="21"/>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rsidR="00CF51EA" w:rsidRPr="00D6191E" w:rsidRDefault="00A170CC" w:rsidP="000449FE">
            <w:pPr>
              <w:snapToGrid w:val="0"/>
              <w:spacing w:line="360" w:lineRule="auto"/>
              <w:jc w:val="center"/>
              <w:rPr>
                <w:rFonts w:asciiTheme="minorEastAsia" w:eastAsiaTheme="minorEastAsia" w:hAnsiTheme="minorEastAsia"/>
                <w:szCs w:val="21"/>
              </w:rPr>
            </w:pPr>
            <w:r w:rsidRPr="00D6191E">
              <w:rPr>
                <w:rFonts w:asciiTheme="minorEastAsia" w:eastAsiaTheme="minorEastAsia" w:hAnsiTheme="minorEastAsia" w:hint="eastAsia"/>
                <w:szCs w:val="21"/>
              </w:rPr>
              <w:t>业绩比较基准收益率标准差（</w:t>
            </w:r>
            <w:r w:rsidRPr="00D6191E">
              <w:rPr>
                <w:rFonts w:asciiTheme="minorEastAsia" w:eastAsiaTheme="minorEastAsia" w:hAnsiTheme="minorEastAsia"/>
                <w:szCs w:val="21"/>
              </w:rPr>
              <w:t>4）</w:t>
            </w:r>
          </w:p>
        </w:tc>
        <w:tc>
          <w:tcPr>
            <w:tcW w:w="1001" w:type="dxa"/>
            <w:tcBorders>
              <w:top w:val="single" w:sz="4" w:space="0" w:color="auto"/>
              <w:left w:val="single" w:sz="4" w:space="0" w:color="auto"/>
              <w:bottom w:val="single" w:sz="4" w:space="0" w:color="auto"/>
              <w:right w:val="single" w:sz="4" w:space="0" w:color="auto"/>
            </w:tcBorders>
            <w:vAlign w:val="center"/>
            <w:hideMark/>
          </w:tcPr>
          <w:p w:rsidR="00CF51EA" w:rsidRPr="00D6191E" w:rsidRDefault="0037108E" w:rsidP="000449FE">
            <w:pPr>
              <w:snapToGrid w:val="0"/>
              <w:spacing w:line="360" w:lineRule="auto"/>
              <w:ind w:leftChars="-51" w:left="-107" w:rightChars="-51" w:right="-107"/>
              <w:jc w:val="center"/>
              <w:rPr>
                <w:rFonts w:asciiTheme="minorEastAsia" w:eastAsiaTheme="minorEastAsia" w:hAnsiTheme="minorEastAsia"/>
                <w:szCs w:val="21"/>
              </w:rPr>
            </w:pPr>
            <w:r w:rsidRPr="00D6191E">
              <w:rPr>
                <w:rFonts w:asciiTheme="minorEastAsia" w:eastAsiaTheme="minorEastAsia" w:hAnsiTheme="minorEastAsia"/>
                <w:szCs w:val="21"/>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CF51EA" w:rsidRPr="00D6191E" w:rsidRDefault="00CF51EA" w:rsidP="000449FE">
            <w:pPr>
              <w:snapToGrid w:val="0"/>
              <w:spacing w:line="360" w:lineRule="auto"/>
              <w:ind w:leftChars="-51" w:left="-107"/>
              <w:jc w:val="center"/>
              <w:rPr>
                <w:rFonts w:asciiTheme="minorEastAsia" w:eastAsiaTheme="minorEastAsia" w:hAnsiTheme="minorEastAsia"/>
                <w:szCs w:val="21"/>
              </w:rPr>
            </w:pPr>
            <w:r w:rsidRPr="00D6191E">
              <w:rPr>
                <w:rFonts w:asciiTheme="minorEastAsia" w:eastAsiaTheme="minorEastAsia" w:hAnsiTheme="minorEastAsia" w:hint="eastAsia"/>
                <w:szCs w:val="21"/>
              </w:rPr>
              <w:t>(2)-(4)</w:t>
            </w:r>
          </w:p>
        </w:tc>
      </w:tr>
      <w:tr w:rsidR="00B070B0">
        <w:trPr>
          <w:jc w:val="center"/>
        </w:trPr>
        <w:tc>
          <w:tcPr>
            <w:tcW w:w="1582" w:type="dxa"/>
          </w:tcPr>
          <w:p w:rsidR="00B070B0" w:rsidRDefault="005C077B">
            <w:pPr>
              <w:jc w:val="center"/>
            </w:pPr>
            <w:r>
              <w:t>自基金合同生效日至</w:t>
            </w:r>
            <w:r>
              <w:t>2011</w:t>
            </w:r>
            <w:r>
              <w:t>年</w:t>
            </w:r>
            <w:r>
              <w:t>12</w:t>
            </w:r>
            <w:r>
              <w:t>月</w:t>
            </w:r>
            <w:r>
              <w:t>31</w:t>
            </w:r>
            <w:r>
              <w:t>日</w:t>
            </w:r>
          </w:p>
        </w:tc>
        <w:tc>
          <w:tcPr>
            <w:tcW w:w="1080" w:type="dxa"/>
          </w:tcPr>
          <w:p w:rsidR="00B070B0" w:rsidRDefault="005C077B">
            <w:pPr>
              <w:jc w:val="center"/>
            </w:pPr>
            <w:r>
              <w:t>0.30%</w:t>
            </w:r>
          </w:p>
        </w:tc>
        <w:tc>
          <w:tcPr>
            <w:tcW w:w="1080" w:type="dxa"/>
          </w:tcPr>
          <w:p w:rsidR="00B070B0" w:rsidRDefault="005C077B">
            <w:pPr>
              <w:jc w:val="center"/>
            </w:pPr>
            <w:r>
              <w:t>0.03%</w:t>
            </w:r>
          </w:p>
        </w:tc>
        <w:tc>
          <w:tcPr>
            <w:tcW w:w="1440" w:type="dxa"/>
          </w:tcPr>
          <w:p w:rsidR="00B070B0" w:rsidRDefault="005C077B">
            <w:pPr>
              <w:jc w:val="center"/>
            </w:pPr>
            <w:r>
              <w:t>0.60%</w:t>
            </w:r>
          </w:p>
        </w:tc>
        <w:tc>
          <w:tcPr>
            <w:tcW w:w="1339" w:type="dxa"/>
          </w:tcPr>
          <w:p w:rsidR="00B070B0" w:rsidRDefault="005C077B">
            <w:pPr>
              <w:jc w:val="center"/>
            </w:pPr>
            <w:r>
              <w:t>0.22%</w:t>
            </w:r>
          </w:p>
        </w:tc>
        <w:tc>
          <w:tcPr>
            <w:tcW w:w="1001" w:type="dxa"/>
          </w:tcPr>
          <w:p w:rsidR="00B070B0" w:rsidRDefault="005C077B">
            <w:pPr>
              <w:jc w:val="center"/>
            </w:pPr>
            <w:r>
              <w:t>-0.30%</w:t>
            </w:r>
          </w:p>
        </w:tc>
        <w:tc>
          <w:tcPr>
            <w:tcW w:w="900" w:type="dxa"/>
          </w:tcPr>
          <w:p w:rsidR="00B070B0" w:rsidRDefault="005C077B">
            <w:pPr>
              <w:jc w:val="center"/>
            </w:pPr>
            <w:r>
              <w:t>-0.19%</w:t>
            </w:r>
          </w:p>
        </w:tc>
      </w:tr>
      <w:tr w:rsidR="00B070B0">
        <w:trPr>
          <w:jc w:val="center"/>
        </w:trPr>
        <w:tc>
          <w:tcPr>
            <w:tcW w:w="1582" w:type="dxa"/>
          </w:tcPr>
          <w:p w:rsidR="00B070B0" w:rsidRDefault="005C077B">
            <w:pPr>
              <w:jc w:val="center"/>
            </w:pPr>
            <w:r>
              <w:t>2012</w:t>
            </w:r>
            <w:r>
              <w:t>年</w:t>
            </w:r>
            <w:r>
              <w:t>1</w:t>
            </w:r>
            <w:r>
              <w:t>月</w:t>
            </w:r>
            <w:r>
              <w:t>1</w:t>
            </w:r>
            <w:r>
              <w:t>日至</w:t>
            </w:r>
            <w:r>
              <w:t>2012</w:t>
            </w:r>
            <w:r>
              <w:t>年</w:t>
            </w:r>
            <w:r>
              <w:t>12</w:t>
            </w:r>
            <w:r>
              <w:t>月</w:t>
            </w:r>
            <w:r>
              <w:t>31</w:t>
            </w:r>
            <w:r>
              <w:t>日</w:t>
            </w:r>
          </w:p>
        </w:tc>
        <w:tc>
          <w:tcPr>
            <w:tcW w:w="1080" w:type="dxa"/>
          </w:tcPr>
          <w:p w:rsidR="00B070B0" w:rsidRDefault="005C077B">
            <w:pPr>
              <w:jc w:val="center"/>
            </w:pPr>
            <w:r>
              <w:t>7.28%</w:t>
            </w:r>
          </w:p>
        </w:tc>
        <w:tc>
          <w:tcPr>
            <w:tcW w:w="1080" w:type="dxa"/>
          </w:tcPr>
          <w:p w:rsidR="00B070B0" w:rsidRDefault="005C077B">
            <w:pPr>
              <w:jc w:val="center"/>
            </w:pPr>
            <w:r>
              <w:t>0.14%</w:t>
            </w:r>
          </w:p>
        </w:tc>
        <w:tc>
          <w:tcPr>
            <w:tcW w:w="1440" w:type="dxa"/>
          </w:tcPr>
          <w:p w:rsidR="00B070B0" w:rsidRDefault="005C077B">
            <w:pPr>
              <w:jc w:val="center"/>
            </w:pPr>
            <w:r>
              <w:t>2.42%</w:t>
            </w:r>
          </w:p>
        </w:tc>
        <w:tc>
          <w:tcPr>
            <w:tcW w:w="1339" w:type="dxa"/>
          </w:tcPr>
          <w:p w:rsidR="00B070B0" w:rsidRDefault="005C077B">
            <w:pPr>
              <w:jc w:val="center"/>
            </w:pPr>
            <w:r>
              <w:t>0.15%</w:t>
            </w:r>
          </w:p>
        </w:tc>
        <w:tc>
          <w:tcPr>
            <w:tcW w:w="1001" w:type="dxa"/>
          </w:tcPr>
          <w:p w:rsidR="00B070B0" w:rsidRDefault="005C077B">
            <w:pPr>
              <w:jc w:val="center"/>
            </w:pPr>
            <w:r>
              <w:t>4.86%</w:t>
            </w:r>
          </w:p>
        </w:tc>
        <w:tc>
          <w:tcPr>
            <w:tcW w:w="900" w:type="dxa"/>
          </w:tcPr>
          <w:p w:rsidR="00B070B0" w:rsidRDefault="005C077B">
            <w:pPr>
              <w:jc w:val="center"/>
            </w:pPr>
            <w:r>
              <w:t>-0.01%</w:t>
            </w:r>
          </w:p>
        </w:tc>
      </w:tr>
      <w:tr w:rsidR="00B070B0">
        <w:trPr>
          <w:jc w:val="center"/>
        </w:trPr>
        <w:tc>
          <w:tcPr>
            <w:tcW w:w="1582" w:type="dxa"/>
          </w:tcPr>
          <w:p w:rsidR="00B070B0" w:rsidRDefault="005C077B">
            <w:pPr>
              <w:jc w:val="center"/>
            </w:pPr>
            <w:r>
              <w:t>2013</w:t>
            </w:r>
            <w:r>
              <w:t>年</w:t>
            </w:r>
            <w:r>
              <w:t>1</w:t>
            </w:r>
            <w:r>
              <w:t>月</w:t>
            </w:r>
            <w:r>
              <w:t>1</w:t>
            </w:r>
            <w:r>
              <w:t>日至</w:t>
            </w:r>
            <w:r>
              <w:t>2013</w:t>
            </w:r>
            <w:r>
              <w:t>年</w:t>
            </w:r>
            <w:r>
              <w:t>12</w:t>
            </w:r>
            <w:r>
              <w:t>月</w:t>
            </w:r>
            <w:r>
              <w:t>31</w:t>
            </w:r>
            <w:r>
              <w:t>日</w:t>
            </w:r>
          </w:p>
        </w:tc>
        <w:tc>
          <w:tcPr>
            <w:tcW w:w="1080" w:type="dxa"/>
          </w:tcPr>
          <w:p w:rsidR="00B070B0" w:rsidRDefault="005C077B">
            <w:pPr>
              <w:jc w:val="center"/>
            </w:pPr>
            <w:r>
              <w:t>3.58%</w:t>
            </w:r>
          </w:p>
        </w:tc>
        <w:tc>
          <w:tcPr>
            <w:tcW w:w="1080" w:type="dxa"/>
          </w:tcPr>
          <w:p w:rsidR="00B070B0" w:rsidRDefault="005C077B">
            <w:pPr>
              <w:jc w:val="center"/>
            </w:pPr>
            <w:r>
              <w:t>0.26%</w:t>
            </w:r>
          </w:p>
        </w:tc>
        <w:tc>
          <w:tcPr>
            <w:tcW w:w="1440" w:type="dxa"/>
          </w:tcPr>
          <w:p w:rsidR="00B070B0" w:rsidRDefault="005C077B">
            <w:pPr>
              <w:jc w:val="center"/>
            </w:pPr>
            <w:r>
              <w:t>-2.66%</w:t>
            </w:r>
          </w:p>
        </w:tc>
        <w:tc>
          <w:tcPr>
            <w:tcW w:w="1339" w:type="dxa"/>
          </w:tcPr>
          <w:p w:rsidR="00B070B0" w:rsidRDefault="005C077B">
            <w:pPr>
              <w:jc w:val="center"/>
            </w:pPr>
            <w:r>
              <w:t>0.27%</w:t>
            </w:r>
          </w:p>
        </w:tc>
        <w:tc>
          <w:tcPr>
            <w:tcW w:w="1001" w:type="dxa"/>
          </w:tcPr>
          <w:p w:rsidR="00B070B0" w:rsidRDefault="005C077B">
            <w:pPr>
              <w:jc w:val="center"/>
            </w:pPr>
            <w:r>
              <w:t>6.24%</w:t>
            </w:r>
          </w:p>
        </w:tc>
        <w:tc>
          <w:tcPr>
            <w:tcW w:w="900" w:type="dxa"/>
          </w:tcPr>
          <w:p w:rsidR="00B070B0" w:rsidRDefault="005C077B">
            <w:pPr>
              <w:jc w:val="center"/>
            </w:pPr>
            <w:r>
              <w:t>-0.01%</w:t>
            </w:r>
          </w:p>
        </w:tc>
      </w:tr>
      <w:tr w:rsidR="00B070B0">
        <w:trPr>
          <w:jc w:val="center"/>
        </w:trPr>
        <w:tc>
          <w:tcPr>
            <w:tcW w:w="1582" w:type="dxa"/>
          </w:tcPr>
          <w:p w:rsidR="00B070B0" w:rsidRDefault="005C077B">
            <w:pPr>
              <w:jc w:val="center"/>
            </w:pPr>
            <w:r>
              <w:t>2014</w:t>
            </w:r>
            <w:r>
              <w:t>年</w:t>
            </w:r>
            <w:r>
              <w:t>1</w:t>
            </w:r>
            <w:r>
              <w:t>月</w:t>
            </w:r>
            <w:r>
              <w:t>1</w:t>
            </w:r>
            <w:r>
              <w:t>日至</w:t>
            </w:r>
            <w:r>
              <w:t>2014</w:t>
            </w:r>
            <w:r>
              <w:t>年</w:t>
            </w:r>
            <w:r>
              <w:t>12</w:t>
            </w:r>
            <w:r>
              <w:t>月</w:t>
            </w:r>
            <w:r>
              <w:t>31</w:t>
            </w:r>
            <w:r>
              <w:t>日</w:t>
            </w:r>
          </w:p>
        </w:tc>
        <w:tc>
          <w:tcPr>
            <w:tcW w:w="1080" w:type="dxa"/>
          </w:tcPr>
          <w:p w:rsidR="00B070B0" w:rsidRDefault="005C077B">
            <w:pPr>
              <w:jc w:val="center"/>
            </w:pPr>
            <w:r>
              <w:t>14.37%</w:t>
            </w:r>
          </w:p>
        </w:tc>
        <w:tc>
          <w:tcPr>
            <w:tcW w:w="1080" w:type="dxa"/>
          </w:tcPr>
          <w:p w:rsidR="00B070B0" w:rsidRDefault="005C077B">
            <w:pPr>
              <w:jc w:val="center"/>
            </w:pPr>
            <w:r>
              <w:t>0.22%</w:t>
            </w:r>
          </w:p>
        </w:tc>
        <w:tc>
          <w:tcPr>
            <w:tcW w:w="1440" w:type="dxa"/>
          </w:tcPr>
          <w:p w:rsidR="00B070B0" w:rsidRDefault="005C077B">
            <w:pPr>
              <w:jc w:val="center"/>
            </w:pPr>
            <w:r>
              <w:t>26.21%</w:t>
            </w:r>
          </w:p>
        </w:tc>
        <w:tc>
          <w:tcPr>
            <w:tcW w:w="1339" w:type="dxa"/>
          </w:tcPr>
          <w:p w:rsidR="00B070B0" w:rsidRDefault="005C077B">
            <w:pPr>
              <w:jc w:val="center"/>
            </w:pPr>
            <w:r>
              <w:t>0.43%</w:t>
            </w:r>
          </w:p>
        </w:tc>
        <w:tc>
          <w:tcPr>
            <w:tcW w:w="1001" w:type="dxa"/>
          </w:tcPr>
          <w:p w:rsidR="00B070B0" w:rsidRDefault="005C077B">
            <w:pPr>
              <w:jc w:val="center"/>
            </w:pPr>
            <w:r>
              <w:t>-11.84%</w:t>
            </w:r>
          </w:p>
        </w:tc>
        <w:tc>
          <w:tcPr>
            <w:tcW w:w="900" w:type="dxa"/>
          </w:tcPr>
          <w:p w:rsidR="00B070B0" w:rsidRDefault="005C077B">
            <w:pPr>
              <w:jc w:val="center"/>
            </w:pPr>
            <w:r>
              <w:t>-0.21%</w:t>
            </w:r>
          </w:p>
        </w:tc>
      </w:tr>
      <w:tr w:rsidR="00B070B0">
        <w:trPr>
          <w:jc w:val="center"/>
        </w:trPr>
        <w:tc>
          <w:tcPr>
            <w:tcW w:w="1582" w:type="dxa"/>
          </w:tcPr>
          <w:p w:rsidR="00B070B0" w:rsidRDefault="005C077B">
            <w:pPr>
              <w:jc w:val="center"/>
            </w:pPr>
            <w:r>
              <w:t>2015</w:t>
            </w:r>
            <w:r>
              <w:t>年</w:t>
            </w:r>
            <w:r>
              <w:t>1</w:t>
            </w:r>
            <w:r>
              <w:t>月</w:t>
            </w:r>
            <w:r>
              <w:t>1</w:t>
            </w:r>
            <w:r>
              <w:t>日至</w:t>
            </w:r>
            <w:r>
              <w:t>2015</w:t>
            </w:r>
            <w:r>
              <w:t>年</w:t>
            </w:r>
            <w:r>
              <w:t>12</w:t>
            </w:r>
            <w:r>
              <w:t>月</w:t>
            </w:r>
            <w:r>
              <w:t>31</w:t>
            </w:r>
            <w:r>
              <w:t>日</w:t>
            </w:r>
          </w:p>
        </w:tc>
        <w:tc>
          <w:tcPr>
            <w:tcW w:w="1080" w:type="dxa"/>
          </w:tcPr>
          <w:p w:rsidR="00B070B0" w:rsidRDefault="005C077B">
            <w:pPr>
              <w:jc w:val="center"/>
            </w:pPr>
            <w:r>
              <w:t>10.03%</w:t>
            </w:r>
          </w:p>
        </w:tc>
        <w:tc>
          <w:tcPr>
            <w:tcW w:w="1080" w:type="dxa"/>
          </w:tcPr>
          <w:p w:rsidR="00B070B0" w:rsidRDefault="005C077B">
            <w:pPr>
              <w:jc w:val="center"/>
            </w:pPr>
            <w:r>
              <w:t>0.09%</w:t>
            </w:r>
          </w:p>
        </w:tc>
        <w:tc>
          <w:tcPr>
            <w:tcW w:w="1440" w:type="dxa"/>
          </w:tcPr>
          <w:p w:rsidR="00B070B0" w:rsidRDefault="005C077B">
            <w:pPr>
              <w:jc w:val="center"/>
            </w:pPr>
            <w:r>
              <w:t>-8.78%</w:t>
            </w:r>
          </w:p>
        </w:tc>
        <w:tc>
          <w:tcPr>
            <w:tcW w:w="1339" w:type="dxa"/>
          </w:tcPr>
          <w:p w:rsidR="00B070B0" w:rsidRDefault="005C077B">
            <w:pPr>
              <w:jc w:val="center"/>
            </w:pPr>
            <w:r>
              <w:t>1.23%</w:t>
            </w:r>
          </w:p>
        </w:tc>
        <w:tc>
          <w:tcPr>
            <w:tcW w:w="1001" w:type="dxa"/>
          </w:tcPr>
          <w:p w:rsidR="00B070B0" w:rsidRDefault="005C077B">
            <w:pPr>
              <w:jc w:val="center"/>
            </w:pPr>
            <w:r>
              <w:t>18.81%</w:t>
            </w:r>
          </w:p>
        </w:tc>
        <w:tc>
          <w:tcPr>
            <w:tcW w:w="900" w:type="dxa"/>
          </w:tcPr>
          <w:p w:rsidR="00B070B0" w:rsidRDefault="005C077B">
            <w:pPr>
              <w:jc w:val="center"/>
            </w:pPr>
            <w:r>
              <w:t>-1.14%</w:t>
            </w:r>
          </w:p>
        </w:tc>
      </w:tr>
      <w:tr w:rsidR="00B070B0">
        <w:trPr>
          <w:jc w:val="center"/>
        </w:trPr>
        <w:tc>
          <w:tcPr>
            <w:tcW w:w="1582" w:type="dxa"/>
          </w:tcPr>
          <w:p w:rsidR="00B070B0" w:rsidRDefault="005C077B">
            <w:pPr>
              <w:jc w:val="center"/>
            </w:pPr>
            <w:r>
              <w:t>2016</w:t>
            </w:r>
            <w:r>
              <w:t>年</w:t>
            </w:r>
            <w:r>
              <w:t>1</w:t>
            </w:r>
            <w:r>
              <w:t>月</w:t>
            </w:r>
            <w:r>
              <w:t>1</w:t>
            </w:r>
            <w:r>
              <w:t>日至</w:t>
            </w:r>
            <w:r>
              <w:t>2016</w:t>
            </w:r>
            <w:r>
              <w:t>年</w:t>
            </w:r>
            <w:r>
              <w:t>12</w:t>
            </w:r>
            <w:r>
              <w:t>月</w:t>
            </w:r>
            <w:r>
              <w:t>31</w:t>
            </w:r>
            <w:r>
              <w:t>日</w:t>
            </w:r>
          </w:p>
        </w:tc>
        <w:tc>
          <w:tcPr>
            <w:tcW w:w="1080" w:type="dxa"/>
          </w:tcPr>
          <w:p w:rsidR="00B070B0" w:rsidRDefault="005C077B">
            <w:pPr>
              <w:jc w:val="center"/>
            </w:pPr>
            <w:r>
              <w:t>1.22%</w:t>
            </w:r>
          </w:p>
        </w:tc>
        <w:tc>
          <w:tcPr>
            <w:tcW w:w="1080" w:type="dxa"/>
          </w:tcPr>
          <w:p w:rsidR="00B070B0" w:rsidRDefault="005C077B">
            <w:pPr>
              <w:jc w:val="center"/>
            </w:pPr>
            <w:r>
              <w:t>0.09%</w:t>
            </w:r>
          </w:p>
        </w:tc>
        <w:tc>
          <w:tcPr>
            <w:tcW w:w="1440" w:type="dxa"/>
          </w:tcPr>
          <w:p w:rsidR="00B070B0" w:rsidRDefault="005C077B">
            <w:pPr>
              <w:jc w:val="center"/>
            </w:pPr>
            <w:r>
              <w:t>-7.42%</w:t>
            </w:r>
          </w:p>
        </w:tc>
        <w:tc>
          <w:tcPr>
            <w:tcW w:w="1339" w:type="dxa"/>
          </w:tcPr>
          <w:p w:rsidR="00B070B0" w:rsidRDefault="005C077B">
            <w:pPr>
              <w:jc w:val="center"/>
            </w:pPr>
            <w:r>
              <w:t>0.31%</w:t>
            </w:r>
          </w:p>
        </w:tc>
        <w:tc>
          <w:tcPr>
            <w:tcW w:w="1001" w:type="dxa"/>
          </w:tcPr>
          <w:p w:rsidR="00B070B0" w:rsidRDefault="005C077B">
            <w:pPr>
              <w:jc w:val="center"/>
            </w:pPr>
            <w:r>
              <w:t>8.64%</w:t>
            </w:r>
          </w:p>
        </w:tc>
        <w:tc>
          <w:tcPr>
            <w:tcW w:w="900" w:type="dxa"/>
          </w:tcPr>
          <w:p w:rsidR="00B070B0" w:rsidRDefault="005C077B">
            <w:pPr>
              <w:jc w:val="center"/>
            </w:pPr>
            <w:r>
              <w:t>-0.22%</w:t>
            </w:r>
          </w:p>
        </w:tc>
      </w:tr>
      <w:tr w:rsidR="00B070B0">
        <w:trPr>
          <w:jc w:val="center"/>
        </w:trPr>
        <w:tc>
          <w:tcPr>
            <w:tcW w:w="1582" w:type="dxa"/>
          </w:tcPr>
          <w:p w:rsidR="00B070B0" w:rsidRDefault="005C077B">
            <w:pPr>
              <w:jc w:val="center"/>
            </w:pPr>
            <w:r>
              <w:t>2017</w:t>
            </w:r>
            <w:r>
              <w:t>年</w:t>
            </w:r>
            <w:r>
              <w:t>1</w:t>
            </w:r>
            <w:r>
              <w:t>月</w:t>
            </w:r>
            <w:r>
              <w:t>1</w:t>
            </w:r>
            <w:r>
              <w:t>日至</w:t>
            </w:r>
            <w:r>
              <w:t>2017</w:t>
            </w:r>
            <w:r>
              <w:t>年</w:t>
            </w:r>
            <w:r>
              <w:t>12</w:t>
            </w:r>
            <w:r>
              <w:t>月</w:t>
            </w:r>
            <w:r>
              <w:t>31</w:t>
            </w:r>
            <w:r>
              <w:t>日</w:t>
            </w:r>
          </w:p>
        </w:tc>
        <w:tc>
          <w:tcPr>
            <w:tcW w:w="1080" w:type="dxa"/>
          </w:tcPr>
          <w:p w:rsidR="00B070B0" w:rsidRDefault="005C077B">
            <w:pPr>
              <w:jc w:val="center"/>
            </w:pPr>
            <w:r>
              <w:t>2.97%</w:t>
            </w:r>
          </w:p>
        </w:tc>
        <w:tc>
          <w:tcPr>
            <w:tcW w:w="1080" w:type="dxa"/>
          </w:tcPr>
          <w:p w:rsidR="00B070B0" w:rsidRDefault="005C077B">
            <w:pPr>
              <w:jc w:val="center"/>
            </w:pPr>
            <w:r>
              <w:t>0.24%</w:t>
            </w:r>
          </w:p>
        </w:tc>
        <w:tc>
          <w:tcPr>
            <w:tcW w:w="1440" w:type="dxa"/>
          </w:tcPr>
          <w:p w:rsidR="00B070B0" w:rsidRDefault="005C077B">
            <w:pPr>
              <w:jc w:val="center"/>
            </w:pPr>
            <w:r>
              <w:t>-5.28%</w:t>
            </w:r>
          </w:p>
        </w:tc>
        <w:tc>
          <w:tcPr>
            <w:tcW w:w="1339" w:type="dxa"/>
          </w:tcPr>
          <w:p w:rsidR="00B070B0" w:rsidRDefault="005C077B">
            <w:pPr>
              <w:jc w:val="center"/>
            </w:pPr>
            <w:r>
              <w:t>0.18%</w:t>
            </w:r>
          </w:p>
        </w:tc>
        <w:tc>
          <w:tcPr>
            <w:tcW w:w="1001" w:type="dxa"/>
          </w:tcPr>
          <w:p w:rsidR="00B070B0" w:rsidRDefault="005C077B">
            <w:pPr>
              <w:jc w:val="center"/>
            </w:pPr>
            <w:r>
              <w:t>8.25%</w:t>
            </w:r>
          </w:p>
        </w:tc>
        <w:tc>
          <w:tcPr>
            <w:tcW w:w="900" w:type="dxa"/>
          </w:tcPr>
          <w:p w:rsidR="00B070B0" w:rsidRDefault="005C077B">
            <w:pPr>
              <w:jc w:val="center"/>
            </w:pPr>
            <w:r>
              <w:t>0.06%</w:t>
            </w:r>
          </w:p>
        </w:tc>
      </w:tr>
      <w:tr w:rsidR="00B070B0">
        <w:trPr>
          <w:jc w:val="center"/>
        </w:trPr>
        <w:tc>
          <w:tcPr>
            <w:tcW w:w="1582" w:type="dxa"/>
          </w:tcPr>
          <w:p w:rsidR="00B070B0" w:rsidRDefault="005C077B">
            <w:pPr>
              <w:jc w:val="center"/>
            </w:pPr>
            <w:r>
              <w:t>2018</w:t>
            </w:r>
            <w:r>
              <w:t>年</w:t>
            </w:r>
            <w:r>
              <w:t>1</w:t>
            </w:r>
            <w:r>
              <w:t>月</w:t>
            </w:r>
            <w:r>
              <w:t>1</w:t>
            </w:r>
            <w:r>
              <w:t>日至</w:t>
            </w:r>
            <w:r>
              <w:t>2018</w:t>
            </w:r>
            <w:r>
              <w:t>年</w:t>
            </w:r>
            <w:r>
              <w:t>12</w:t>
            </w:r>
            <w:r>
              <w:t>月</w:t>
            </w:r>
            <w:r>
              <w:t>31</w:t>
            </w:r>
            <w:r>
              <w:t>日</w:t>
            </w:r>
          </w:p>
        </w:tc>
        <w:tc>
          <w:tcPr>
            <w:tcW w:w="1080" w:type="dxa"/>
          </w:tcPr>
          <w:p w:rsidR="00B070B0" w:rsidRDefault="005C077B">
            <w:pPr>
              <w:jc w:val="center"/>
            </w:pPr>
            <w:r>
              <w:t>1.09%</w:t>
            </w:r>
          </w:p>
        </w:tc>
        <w:tc>
          <w:tcPr>
            <w:tcW w:w="1080" w:type="dxa"/>
          </w:tcPr>
          <w:p w:rsidR="00B070B0" w:rsidRDefault="005C077B">
            <w:pPr>
              <w:jc w:val="center"/>
            </w:pPr>
            <w:r>
              <w:t>0.19%</w:t>
            </w:r>
          </w:p>
        </w:tc>
        <w:tc>
          <w:tcPr>
            <w:tcW w:w="1440" w:type="dxa"/>
          </w:tcPr>
          <w:p w:rsidR="00B070B0" w:rsidRDefault="005C077B">
            <w:pPr>
              <w:jc w:val="center"/>
            </w:pPr>
            <w:r>
              <w:t>2.09%</w:t>
            </w:r>
          </w:p>
        </w:tc>
        <w:tc>
          <w:tcPr>
            <w:tcW w:w="1339" w:type="dxa"/>
          </w:tcPr>
          <w:p w:rsidR="00B070B0" w:rsidRDefault="005C077B">
            <w:pPr>
              <w:jc w:val="center"/>
            </w:pPr>
            <w:r>
              <w:t>0.21%</w:t>
            </w:r>
          </w:p>
        </w:tc>
        <w:tc>
          <w:tcPr>
            <w:tcW w:w="1001" w:type="dxa"/>
          </w:tcPr>
          <w:p w:rsidR="00B070B0" w:rsidRDefault="005C077B">
            <w:pPr>
              <w:jc w:val="center"/>
            </w:pPr>
            <w:r>
              <w:t>-1.00%</w:t>
            </w:r>
          </w:p>
        </w:tc>
        <w:tc>
          <w:tcPr>
            <w:tcW w:w="900" w:type="dxa"/>
          </w:tcPr>
          <w:p w:rsidR="00B070B0" w:rsidRDefault="005C077B">
            <w:pPr>
              <w:jc w:val="center"/>
            </w:pPr>
            <w:r>
              <w:t>-0.02%</w:t>
            </w:r>
          </w:p>
        </w:tc>
      </w:tr>
      <w:tr w:rsidR="00B070B0">
        <w:trPr>
          <w:jc w:val="center"/>
        </w:trPr>
        <w:tc>
          <w:tcPr>
            <w:tcW w:w="1582" w:type="dxa"/>
          </w:tcPr>
          <w:p w:rsidR="00B070B0" w:rsidRDefault="005C077B">
            <w:pPr>
              <w:jc w:val="center"/>
            </w:pPr>
            <w:r>
              <w:t>2019</w:t>
            </w:r>
            <w:r>
              <w:t>年</w:t>
            </w:r>
            <w:r>
              <w:t>1</w:t>
            </w:r>
            <w:r>
              <w:t>月</w:t>
            </w:r>
            <w:r>
              <w:t>1</w:t>
            </w:r>
            <w:r>
              <w:t>日至</w:t>
            </w:r>
            <w:r>
              <w:t>2019</w:t>
            </w:r>
            <w:r>
              <w:t>年</w:t>
            </w:r>
            <w:r>
              <w:t>12</w:t>
            </w:r>
            <w:r>
              <w:t>月</w:t>
            </w:r>
            <w:r>
              <w:t>31</w:t>
            </w:r>
            <w:r>
              <w:t>日</w:t>
            </w:r>
          </w:p>
        </w:tc>
        <w:tc>
          <w:tcPr>
            <w:tcW w:w="1080" w:type="dxa"/>
          </w:tcPr>
          <w:p w:rsidR="00B070B0" w:rsidRDefault="005C077B">
            <w:pPr>
              <w:jc w:val="center"/>
            </w:pPr>
            <w:r>
              <w:t>18.92%</w:t>
            </w:r>
          </w:p>
        </w:tc>
        <w:tc>
          <w:tcPr>
            <w:tcW w:w="1080" w:type="dxa"/>
          </w:tcPr>
          <w:p w:rsidR="00B070B0" w:rsidRDefault="005C077B">
            <w:pPr>
              <w:jc w:val="center"/>
            </w:pPr>
            <w:r>
              <w:t>0.45%</w:t>
            </w:r>
          </w:p>
        </w:tc>
        <w:tc>
          <w:tcPr>
            <w:tcW w:w="1440" w:type="dxa"/>
          </w:tcPr>
          <w:p w:rsidR="00B070B0" w:rsidRDefault="005C077B">
            <w:pPr>
              <w:jc w:val="center"/>
            </w:pPr>
            <w:r>
              <w:t>8.64%</w:t>
            </w:r>
          </w:p>
        </w:tc>
        <w:tc>
          <w:tcPr>
            <w:tcW w:w="1339" w:type="dxa"/>
          </w:tcPr>
          <w:p w:rsidR="00B070B0" w:rsidRDefault="005C077B">
            <w:pPr>
              <w:jc w:val="center"/>
            </w:pPr>
            <w:r>
              <w:t>0.22%</w:t>
            </w:r>
          </w:p>
        </w:tc>
        <w:tc>
          <w:tcPr>
            <w:tcW w:w="1001" w:type="dxa"/>
          </w:tcPr>
          <w:p w:rsidR="00B070B0" w:rsidRDefault="005C077B">
            <w:pPr>
              <w:jc w:val="center"/>
            </w:pPr>
            <w:r>
              <w:t>10.28%</w:t>
            </w:r>
          </w:p>
        </w:tc>
        <w:tc>
          <w:tcPr>
            <w:tcW w:w="900" w:type="dxa"/>
          </w:tcPr>
          <w:p w:rsidR="00B070B0" w:rsidRDefault="005C077B">
            <w:pPr>
              <w:jc w:val="center"/>
            </w:pPr>
            <w:r>
              <w:t>0.23%</w:t>
            </w:r>
          </w:p>
        </w:tc>
      </w:tr>
      <w:tr w:rsidR="00B070B0">
        <w:trPr>
          <w:jc w:val="center"/>
        </w:trPr>
        <w:tc>
          <w:tcPr>
            <w:tcW w:w="1582" w:type="dxa"/>
          </w:tcPr>
          <w:p w:rsidR="00B070B0" w:rsidRDefault="005C077B">
            <w:pPr>
              <w:jc w:val="center"/>
            </w:pPr>
            <w:r>
              <w:t>2020</w:t>
            </w:r>
            <w:r>
              <w:t>年</w:t>
            </w:r>
            <w:r>
              <w:t>1</w:t>
            </w:r>
            <w:r>
              <w:t>月</w:t>
            </w:r>
            <w:r>
              <w:t>1</w:t>
            </w:r>
            <w:r>
              <w:t>日至</w:t>
            </w:r>
            <w:r>
              <w:t>2020</w:t>
            </w:r>
            <w:r>
              <w:t>年</w:t>
            </w:r>
            <w:r>
              <w:t>12</w:t>
            </w:r>
            <w:r>
              <w:t>月</w:t>
            </w:r>
            <w:r>
              <w:t>31</w:t>
            </w:r>
            <w:r>
              <w:t>日</w:t>
            </w:r>
          </w:p>
        </w:tc>
        <w:tc>
          <w:tcPr>
            <w:tcW w:w="1080" w:type="dxa"/>
          </w:tcPr>
          <w:p w:rsidR="00B070B0" w:rsidRDefault="005C077B">
            <w:pPr>
              <w:jc w:val="center"/>
            </w:pPr>
            <w:r>
              <w:t>11.23%</w:t>
            </w:r>
          </w:p>
        </w:tc>
        <w:tc>
          <w:tcPr>
            <w:tcW w:w="1080" w:type="dxa"/>
          </w:tcPr>
          <w:p w:rsidR="00B070B0" w:rsidRDefault="005C077B">
            <w:pPr>
              <w:jc w:val="center"/>
            </w:pPr>
            <w:r>
              <w:t>0.60%</w:t>
            </w:r>
          </w:p>
        </w:tc>
        <w:tc>
          <w:tcPr>
            <w:tcW w:w="1440" w:type="dxa"/>
          </w:tcPr>
          <w:p w:rsidR="00B070B0" w:rsidRDefault="005C077B">
            <w:pPr>
              <w:jc w:val="center"/>
            </w:pPr>
            <w:r>
              <w:t>1.76%</w:t>
            </w:r>
          </w:p>
        </w:tc>
        <w:tc>
          <w:tcPr>
            <w:tcW w:w="1339" w:type="dxa"/>
          </w:tcPr>
          <w:p w:rsidR="00B070B0" w:rsidRDefault="005C077B">
            <w:pPr>
              <w:jc w:val="center"/>
            </w:pPr>
            <w:r>
              <w:t>0.25%</w:t>
            </w:r>
          </w:p>
        </w:tc>
        <w:tc>
          <w:tcPr>
            <w:tcW w:w="1001" w:type="dxa"/>
          </w:tcPr>
          <w:p w:rsidR="00B070B0" w:rsidRDefault="005C077B">
            <w:pPr>
              <w:jc w:val="center"/>
            </w:pPr>
            <w:r>
              <w:t>9.47%</w:t>
            </w:r>
          </w:p>
        </w:tc>
        <w:tc>
          <w:tcPr>
            <w:tcW w:w="900" w:type="dxa"/>
          </w:tcPr>
          <w:p w:rsidR="00B070B0" w:rsidRDefault="005C077B">
            <w:pPr>
              <w:jc w:val="center"/>
            </w:pPr>
            <w:r>
              <w:t>0.35%</w:t>
            </w:r>
          </w:p>
        </w:tc>
      </w:tr>
      <w:tr w:rsidR="00B070B0">
        <w:trPr>
          <w:jc w:val="center"/>
        </w:trPr>
        <w:tc>
          <w:tcPr>
            <w:tcW w:w="1582" w:type="dxa"/>
          </w:tcPr>
          <w:p w:rsidR="00B070B0" w:rsidRDefault="005C077B">
            <w:pPr>
              <w:jc w:val="center"/>
            </w:pPr>
            <w:r>
              <w:lastRenderedPageBreak/>
              <w:t>自基金合同生效日至</w:t>
            </w:r>
            <w:r>
              <w:t>2020</w:t>
            </w:r>
            <w:r>
              <w:t>年</w:t>
            </w:r>
            <w:r>
              <w:t>12</w:t>
            </w:r>
            <w:r>
              <w:t>月</w:t>
            </w:r>
            <w:r>
              <w:t>31</w:t>
            </w:r>
            <w:r>
              <w:t>日</w:t>
            </w:r>
          </w:p>
        </w:tc>
        <w:tc>
          <w:tcPr>
            <w:tcW w:w="1080" w:type="dxa"/>
          </w:tcPr>
          <w:p w:rsidR="00B070B0" w:rsidRDefault="005C077B">
            <w:pPr>
              <w:jc w:val="center"/>
            </w:pPr>
            <w:r>
              <w:t>95.47%</w:t>
            </w:r>
          </w:p>
        </w:tc>
        <w:tc>
          <w:tcPr>
            <w:tcW w:w="1080" w:type="dxa"/>
          </w:tcPr>
          <w:p w:rsidR="00B070B0" w:rsidRDefault="005C077B">
            <w:pPr>
              <w:jc w:val="center"/>
            </w:pPr>
            <w:r>
              <w:t>0.30%</w:t>
            </w:r>
          </w:p>
        </w:tc>
        <w:tc>
          <w:tcPr>
            <w:tcW w:w="1440" w:type="dxa"/>
          </w:tcPr>
          <w:p w:rsidR="00B070B0" w:rsidRDefault="005C077B">
            <w:pPr>
              <w:jc w:val="center"/>
            </w:pPr>
            <w:r>
              <w:t>11.90%</w:t>
            </w:r>
          </w:p>
        </w:tc>
        <w:tc>
          <w:tcPr>
            <w:tcW w:w="1339" w:type="dxa"/>
          </w:tcPr>
          <w:p w:rsidR="00B070B0" w:rsidRDefault="005C077B">
            <w:pPr>
              <w:jc w:val="center"/>
            </w:pPr>
            <w:r>
              <w:t>0.48%</w:t>
            </w:r>
          </w:p>
        </w:tc>
        <w:tc>
          <w:tcPr>
            <w:tcW w:w="1001" w:type="dxa"/>
          </w:tcPr>
          <w:p w:rsidR="00B070B0" w:rsidRDefault="005C077B">
            <w:pPr>
              <w:jc w:val="center"/>
            </w:pPr>
            <w:r>
              <w:t>83.57%</w:t>
            </w:r>
          </w:p>
        </w:tc>
        <w:tc>
          <w:tcPr>
            <w:tcW w:w="900" w:type="dxa"/>
          </w:tcPr>
          <w:p w:rsidR="00B070B0" w:rsidRDefault="005C077B">
            <w:pPr>
              <w:jc w:val="center"/>
            </w:pPr>
            <w:r>
              <w:t>-0.18%</w:t>
            </w:r>
          </w:p>
        </w:tc>
      </w:tr>
    </w:tbl>
    <w:p w:rsidR="009C0CEE" w:rsidRPr="00D6191E" w:rsidRDefault="00200D60" w:rsidP="00200D60">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2</w:t>
      </w:r>
      <w:r w:rsidRPr="00D6191E">
        <w:rPr>
          <w:rFonts w:asciiTheme="minorEastAsia" w:eastAsiaTheme="minorEastAsia" w:hAnsiTheme="minorEastAsia" w:hint="eastAsia"/>
          <w:szCs w:val="21"/>
        </w:rPr>
        <w:t>、</w:t>
      </w:r>
      <w:r w:rsidR="009C0CEE" w:rsidRPr="00D6191E">
        <w:rPr>
          <w:rFonts w:asciiTheme="minorEastAsia" w:eastAsiaTheme="minorEastAsia" w:hAnsiTheme="minorEastAsia" w:hint="eastAsia"/>
          <w:szCs w:val="21"/>
        </w:rPr>
        <w:t>易方达双债增强债券C类基金份额净值增长率与同期业绩比较基准收益率比较</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080"/>
        <w:gridCol w:w="1080"/>
        <w:gridCol w:w="1440"/>
        <w:gridCol w:w="1339"/>
        <w:gridCol w:w="1001"/>
        <w:gridCol w:w="900"/>
      </w:tblGrid>
      <w:tr w:rsidR="00D6191E" w:rsidRPr="00D6191E" w:rsidTr="00EF6246">
        <w:trPr>
          <w:trHeight w:val="315"/>
          <w:jc w:val="center"/>
        </w:trPr>
        <w:tc>
          <w:tcPr>
            <w:tcW w:w="1582" w:type="dxa"/>
            <w:tcBorders>
              <w:top w:val="single" w:sz="4" w:space="0" w:color="auto"/>
              <w:left w:val="single" w:sz="4" w:space="0" w:color="auto"/>
              <w:bottom w:val="single" w:sz="4" w:space="0" w:color="auto"/>
              <w:right w:val="single" w:sz="4" w:space="0" w:color="auto"/>
            </w:tcBorders>
            <w:vAlign w:val="center"/>
            <w:hideMark/>
          </w:tcPr>
          <w:p w:rsidR="00CF51EA" w:rsidRPr="00D6191E" w:rsidRDefault="00CF51EA" w:rsidP="000449FE">
            <w:pPr>
              <w:snapToGrid w:val="0"/>
              <w:spacing w:line="360" w:lineRule="auto"/>
              <w:jc w:val="center"/>
              <w:rPr>
                <w:rFonts w:asciiTheme="minorEastAsia" w:eastAsiaTheme="minorEastAsia" w:hAnsiTheme="minorEastAsia"/>
                <w:szCs w:val="21"/>
              </w:rPr>
            </w:pPr>
            <w:r w:rsidRPr="00D6191E">
              <w:rPr>
                <w:rFonts w:asciiTheme="minorEastAsia" w:eastAsiaTheme="minorEastAsia" w:hAnsiTheme="minorEastAsia" w:hint="eastAsia"/>
                <w:szCs w:val="21"/>
              </w:rPr>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CF51EA" w:rsidRPr="00D6191E" w:rsidRDefault="00CF51EA" w:rsidP="000449FE">
            <w:pPr>
              <w:snapToGrid w:val="0"/>
              <w:spacing w:line="360" w:lineRule="auto"/>
              <w:jc w:val="center"/>
              <w:rPr>
                <w:rFonts w:asciiTheme="minorEastAsia" w:eastAsiaTheme="minorEastAsia" w:hAnsiTheme="minorEastAsia"/>
                <w:szCs w:val="21"/>
              </w:rPr>
            </w:pPr>
            <w:r w:rsidRPr="00D6191E">
              <w:rPr>
                <w:rFonts w:asciiTheme="minorEastAsia" w:eastAsiaTheme="minorEastAsia" w:hAnsiTheme="minorEastAsia" w:hint="eastAsia"/>
                <w:szCs w:val="21"/>
              </w:rPr>
              <w:t>净值增长率（1</w:t>
            </w:r>
            <w:r w:rsidR="00D66695" w:rsidRPr="00D6191E">
              <w:rPr>
                <w:rFonts w:asciiTheme="minorEastAsia" w:eastAsiaTheme="minorEastAsia" w:hAnsiTheme="minorEastAsia" w:hint="eastAsia"/>
                <w:szCs w:val="21"/>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CF51EA" w:rsidRPr="00D6191E" w:rsidRDefault="00550091" w:rsidP="000449FE">
            <w:pPr>
              <w:snapToGrid w:val="0"/>
              <w:spacing w:line="360" w:lineRule="auto"/>
              <w:jc w:val="center"/>
              <w:rPr>
                <w:rFonts w:asciiTheme="minorEastAsia" w:eastAsiaTheme="minorEastAsia" w:hAnsiTheme="minorEastAsia"/>
                <w:szCs w:val="21"/>
              </w:rPr>
            </w:pPr>
            <w:r w:rsidRPr="00D6191E">
              <w:rPr>
                <w:rFonts w:asciiTheme="minorEastAsia" w:eastAsiaTheme="minorEastAsia" w:hAnsiTheme="minorEastAsia" w:hint="eastAsia"/>
                <w:szCs w:val="21"/>
              </w:rPr>
              <w:t>净值增长率标准差（</w:t>
            </w:r>
            <w:r w:rsidR="0043083C" w:rsidRPr="00D6191E">
              <w:rPr>
                <w:rFonts w:asciiTheme="minorEastAsia" w:eastAsiaTheme="minorEastAsia" w:hAnsiTheme="minorEastAsia"/>
                <w:szCs w:val="21"/>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CF51EA" w:rsidRPr="00D6191E" w:rsidRDefault="0043083C" w:rsidP="000449FE">
            <w:pPr>
              <w:snapToGrid w:val="0"/>
              <w:spacing w:line="360" w:lineRule="auto"/>
              <w:jc w:val="center"/>
              <w:rPr>
                <w:rFonts w:asciiTheme="minorEastAsia" w:eastAsiaTheme="minorEastAsia" w:hAnsiTheme="minorEastAsia"/>
                <w:szCs w:val="21"/>
              </w:rPr>
            </w:pPr>
            <w:r w:rsidRPr="00D6191E">
              <w:rPr>
                <w:rFonts w:asciiTheme="minorEastAsia" w:eastAsiaTheme="minorEastAsia" w:hAnsiTheme="minorEastAsia" w:hint="eastAsia"/>
                <w:szCs w:val="21"/>
              </w:rPr>
              <w:t>业绩比较基准收益率（</w:t>
            </w:r>
            <w:r w:rsidR="00E2628D" w:rsidRPr="00D6191E">
              <w:rPr>
                <w:rFonts w:asciiTheme="minorEastAsia" w:eastAsiaTheme="minorEastAsia" w:hAnsiTheme="minorEastAsia"/>
                <w:szCs w:val="21"/>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rsidR="00CF51EA" w:rsidRPr="00D6191E" w:rsidRDefault="00A170CC" w:rsidP="000449FE">
            <w:pPr>
              <w:snapToGrid w:val="0"/>
              <w:spacing w:line="360" w:lineRule="auto"/>
              <w:jc w:val="center"/>
              <w:rPr>
                <w:rFonts w:asciiTheme="minorEastAsia" w:eastAsiaTheme="minorEastAsia" w:hAnsiTheme="minorEastAsia"/>
                <w:szCs w:val="21"/>
              </w:rPr>
            </w:pPr>
            <w:r w:rsidRPr="00D6191E">
              <w:rPr>
                <w:rFonts w:asciiTheme="minorEastAsia" w:eastAsiaTheme="minorEastAsia" w:hAnsiTheme="minorEastAsia" w:hint="eastAsia"/>
                <w:szCs w:val="21"/>
              </w:rPr>
              <w:t>业绩比较基准收益率标准差（</w:t>
            </w:r>
            <w:r w:rsidRPr="00D6191E">
              <w:rPr>
                <w:rFonts w:asciiTheme="minorEastAsia" w:eastAsiaTheme="minorEastAsia" w:hAnsiTheme="minorEastAsia"/>
                <w:szCs w:val="21"/>
              </w:rPr>
              <w:t>4）</w:t>
            </w:r>
          </w:p>
        </w:tc>
        <w:tc>
          <w:tcPr>
            <w:tcW w:w="1001" w:type="dxa"/>
            <w:tcBorders>
              <w:top w:val="single" w:sz="4" w:space="0" w:color="auto"/>
              <w:left w:val="single" w:sz="4" w:space="0" w:color="auto"/>
              <w:bottom w:val="single" w:sz="4" w:space="0" w:color="auto"/>
              <w:right w:val="single" w:sz="4" w:space="0" w:color="auto"/>
            </w:tcBorders>
            <w:vAlign w:val="center"/>
            <w:hideMark/>
          </w:tcPr>
          <w:p w:rsidR="00CF51EA" w:rsidRPr="00D6191E" w:rsidRDefault="0037108E" w:rsidP="000449FE">
            <w:pPr>
              <w:snapToGrid w:val="0"/>
              <w:spacing w:line="360" w:lineRule="auto"/>
              <w:ind w:leftChars="-51" w:left="-107" w:rightChars="-51" w:right="-107"/>
              <w:jc w:val="center"/>
              <w:rPr>
                <w:rFonts w:asciiTheme="minorEastAsia" w:eastAsiaTheme="minorEastAsia" w:hAnsiTheme="minorEastAsia"/>
                <w:szCs w:val="21"/>
              </w:rPr>
            </w:pPr>
            <w:r w:rsidRPr="00D6191E">
              <w:rPr>
                <w:rFonts w:asciiTheme="minorEastAsia" w:eastAsiaTheme="minorEastAsia" w:hAnsiTheme="minorEastAsia"/>
                <w:szCs w:val="21"/>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CF51EA" w:rsidRPr="00D6191E" w:rsidRDefault="00CF51EA" w:rsidP="000449FE">
            <w:pPr>
              <w:snapToGrid w:val="0"/>
              <w:spacing w:line="360" w:lineRule="auto"/>
              <w:ind w:leftChars="-51" w:left="-107"/>
              <w:jc w:val="center"/>
              <w:rPr>
                <w:rFonts w:asciiTheme="minorEastAsia" w:eastAsiaTheme="minorEastAsia" w:hAnsiTheme="minorEastAsia"/>
                <w:szCs w:val="21"/>
              </w:rPr>
            </w:pPr>
            <w:r w:rsidRPr="00D6191E">
              <w:rPr>
                <w:rFonts w:asciiTheme="minorEastAsia" w:eastAsiaTheme="minorEastAsia" w:hAnsiTheme="minorEastAsia" w:hint="eastAsia"/>
                <w:szCs w:val="21"/>
              </w:rPr>
              <w:t>(2)-(4)</w:t>
            </w:r>
          </w:p>
        </w:tc>
      </w:tr>
      <w:tr w:rsidR="00B070B0">
        <w:trPr>
          <w:jc w:val="center"/>
        </w:trPr>
        <w:tc>
          <w:tcPr>
            <w:tcW w:w="1582" w:type="dxa"/>
          </w:tcPr>
          <w:p w:rsidR="00B070B0" w:rsidRDefault="005C077B">
            <w:pPr>
              <w:jc w:val="center"/>
            </w:pPr>
            <w:r>
              <w:t>自基金合同生效日至</w:t>
            </w:r>
            <w:r>
              <w:t>2011</w:t>
            </w:r>
            <w:r>
              <w:t>年</w:t>
            </w:r>
            <w:r>
              <w:t>12</w:t>
            </w:r>
            <w:r>
              <w:t>月</w:t>
            </w:r>
            <w:r>
              <w:t>31</w:t>
            </w:r>
            <w:r>
              <w:t>日</w:t>
            </w:r>
          </w:p>
        </w:tc>
        <w:tc>
          <w:tcPr>
            <w:tcW w:w="1080" w:type="dxa"/>
          </w:tcPr>
          <w:p w:rsidR="00B070B0" w:rsidRDefault="005C077B">
            <w:pPr>
              <w:jc w:val="center"/>
            </w:pPr>
            <w:r>
              <w:t>0.20%</w:t>
            </w:r>
          </w:p>
        </w:tc>
        <w:tc>
          <w:tcPr>
            <w:tcW w:w="1080" w:type="dxa"/>
          </w:tcPr>
          <w:p w:rsidR="00B070B0" w:rsidRDefault="005C077B">
            <w:pPr>
              <w:jc w:val="center"/>
            </w:pPr>
            <w:r>
              <w:t>0.03%</w:t>
            </w:r>
          </w:p>
        </w:tc>
        <w:tc>
          <w:tcPr>
            <w:tcW w:w="1440" w:type="dxa"/>
          </w:tcPr>
          <w:p w:rsidR="00B070B0" w:rsidRDefault="005C077B">
            <w:pPr>
              <w:jc w:val="center"/>
            </w:pPr>
            <w:r>
              <w:t>0.60%</w:t>
            </w:r>
          </w:p>
        </w:tc>
        <w:tc>
          <w:tcPr>
            <w:tcW w:w="1339" w:type="dxa"/>
          </w:tcPr>
          <w:p w:rsidR="00B070B0" w:rsidRDefault="005C077B">
            <w:pPr>
              <w:jc w:val="center"/>
            </w:pPr>
            <w:r>
              <w:t>0.22%</w:t>
            </w:r>
          </w:p>
        </w:tc>
        <w:tc>
          <w:tcPr>
            <w:tcW w:w="1001" w:type="dxa"/>
          </w:tcPr>
          <w:p w:rsidR="00B070B0" w:rsidRDefault="005C077B">
            <w:pPr>
              <w:jc w:val="center"/>
            </w:pPr>
            <w:r>
              <w:t>-0.40%</w:t>
            </w:r>
          </w:p>
        </w:tc>
        <w:tc>
          <w:tcPr>
            <w:tcW w:w="900" w:type="dxa"/>
          </w:tcPr>
          <w:p w:rsidR="00B070B0" w:rsidRDefault="005C077B">
            <w:pPr>
              <w:jc w:val="center"/>
            </w:pPr>
            <w:r>
              <w:t>-0.19%</w:t>
            </w:r>
          </w:p>
        </w:tc>
      </w:tr>
      <w:tr w:rsidR="00B070B0">
        <w:trPr>
          <w:jc w:val="center"/>
        </w:trPr>
        <w:tc>
          <w:tcPr>
            <w:tcW w:w="1582" w:type="dxa"/>
          </w:tcPr>
          <w:p w:rsidR="00B070B0" w:rsidRDefault="005C077B">
            <w:pPr>
              <w:jc w:val="center"/>
            </w:pPr>
            <w:r>
              <w:t>2012</w:t>
            </w:r>
            <w:r>
              <w:t>年</w:t>
            </w:r>
            <w:r>
              <w:t>1</w:t>
            </w:r>
            <w:r>
              <w:t>月</w:t>
            </w:r>
            <w:r>
              <w:t>1</w:t>
            </w:r>
            <w:r>
              <w:t>日至</w:t>
            </w:r>
            <w:r>
              <w:t>2012</w:t>
            </w:r>
            <w:r>
              <w:t>年</w:t>
            </w:r>
            <w:r>
              <w:t>12</w:t>
            </w:r>
            <w:r>
              <w:t>月</w:t>
            </w:r>
            <w:r>
              <w:t>31</w:t>
            </w:r>
            <w:r>
              <w:t>日</w:t>
            </w:r>
          </w:p>
        </w:tc>
        <w:tc>
          <w:tcPr>
            <w:tcW w:w="1080" w:type="dxa"/>
          </w:tcPr>
          <w:p w:rsidR="00B070B0" w:rsidRDefault="005C077B">
            <w:pPr>
              <w:jc w:val="center"/>
            </w:pPr>
            <w:r>
              <w:t>6.69%</w:t>
            </w:r>
          </w:p>
        </w:tc>
        <w:tc>
          <w:tcPr>
            <w:tcW w:w="1080" w:type="dxa"/>
          </w:tcPr>
          <w:p w:rsidR="00B070B0" w:rsidRDefault="005C077B">
            <w:pPr>
              <w:jc w:val="center"/>
            </w:pPr>
            <w:r>
              <w:t>0.15%</w:t>
            </w:r>
          </w:p>
        </w:tc>
        <w:tc>
          <w:tcPr>
            <w:tcW w:w="1440" w:type="dxa"/>
          </w:tcPr>
          <w:p w:rsidR="00B070B0" w:rsidRDefault="005C077B">
            <w:pPr>
              <w:jc w:val="center"/>
            </w:pPr>
            <w:r>
              <w:t>2.42%</w:t>
            </w:r>
          </w:p>
        </w:tc>
        <w:tc>
          <w:tcPr>
            <w:tcW w:w="1339" w:type="dxa"/>
          </w:tcPr>
          <w:p w:rsidR="00B070B0" w:rsidRDefault="005C077B">
            <w:pPr>
              <w:jc w:val="center"/>
            </w:pPr>
            <w:r>
              <w:t>0.15%</w:t>
            </w:r>
          </w:p>
        </w:tc>
        <w:tc>
          <w:tcPr>
            <w:tcW w:w="1001" w:type="dxa"/>
          </w:tcPr>
          <w:p w:rsidR="00B070B0" w:rsidRDefault="005C077B">
            <w:pPr>
              <w:jc w:val="center"/>
            </w:pPr>
            <w:r>
              <w:t>4.27%</w:t>
            </w:r>
          </w:p>
        </w:tc>
        <w:tc>
          <w:tcPr>
            <w:tcW w:w="900" w:type="dxa"/>
          </w:tcPr>
          <w:p w:rsidR="00B070B0" w:rsidRDefault="005C077B">
            <w:pPr>
              <w:jc w:val="center"/>
            </w:pPr>
            <w:r>
              <w:t>0.00%</w:t>
            </w:r>
          </w:p>
        </w:tc>
      </w:tr>
      <w:tr w:rsidR="00B070B0">
        <w:trPr>
          <w:jc w:val="center"/>
        </w:trPr>
        <w:tc>
          <w:tcPr>
            <w:tcW w:w="1582" w:type="dxa"/>
          </w:tcPr>
          <w:p w:rsidR="00B070B0" w:rsidRDefault="005C077B">
            <w:pPr>
              <w:jc w:val="center"/>
            </w:pPr>
            <w:r>
              <w:t>2013</w:t>
            </w:r>
            <w:r>
              <w:t>年</w:t>
            </w:r>
            <w:r>
              <w:t>1</w:t>
            </w:r>
            <w:r>
              <w:t>月</w:t>
            </w:r>
            <w:r>
              <w:t>1</w:t>
            </w:r>
            <w:r>
              <w:t>日至</w:t>
            </w:r>
            <w:r>
              <w:t>2013</w:t>
            </w:r>
            <w:r>
              <w:t>年</w:t>
            </w:r>
            <w:r>
              <w:t>12</w:t>
            </w:r>
            <w:r>
              <w:t>月</w:t>
            </w:r>
            <w:r>
              <w:t>31</w:t>
            </w:r>
            <w:r>
              <w:t>日</w:t>
            </w:r>
          </w:p>
        </w:tc>
        <w:tc>
          <w:tcPr>
            <w:tcW w:w="1080" w:type="dxa"/>
          </w:tcPr>
          <w:p w:rsidR="00B070B0" w:rsidRDefault="005C077B">
            <w:pPr>
              <w:jc w:val="center"/>
            </w:pPr>
            <w:r>
              <w:t>3.41%</w:t>
            </w:r>
          </w:p>
        </w:tc>
        <w:tc>
          <w:tcPr>
            <w:tcW w:w="1080" w:type="dxa"/>
          </w:tcPr>
          <w:p w:rsidR="00B070B0" w:rsidRDefault="005C077B">
            <w:pPr>
              <w:jc w:val="center"/>
            </w:pPr>
            <w:r>
              <w:t>0.26%</w:t>
            </w:r>
          </w:p>
        </w:tc>
        <w:tc>
          <w:tcPr>
            <w:tcW w:w="1440" w:type="dxa"/>
          </w:tcPr>
          <w:p w:rsidR="00B070B0" w:rsidRDefault="005C077B">
            <w:pPr>
              <w:jc w:val="center"/>
            </w:pPr>
            <w:r>
              <w:t>-2.66%</w:t>
            </w:r>
          </w:p>
        </w:tc>
        <w:tc>
          <w:tcPr>
            <w:tcW w:w="1339" w:type="dxa"/>
          </w:tcPr>
          <w:p w:rsidR="00B070B0" w:rsidRDefault="005C077B">
            <w:pPr>
              <w:jc w:val="center"/>
            </w:pPr>
            <w:r>
              <w:t>0.27%</w:t>
            </w:r>
          </w:p>
        </w:tc>
        <w:tc>
          <w:tcPr>
            <w:tcW w:w="1001" w:type="dxa"/>
          </w:tcPr>
          <w:p w:rsidR="00B070B0" w:rsidRDefault="005C077B">
            <w:pPr>
              <w:jc w:val="center"/>
            </w:pPr>
            <w:r>
              <w:t>6.07%</w:t>
            </w:r>
          </w:p>
        </w:tc>
        <w:tc>
          <w:tcPr>
            <w:tcW w:w="900" w:type="dxa"/>
          </w:tcPr>
          <w:p w:rsidR="00B070B0" w:rsidRDefault="005C077B">
            <w:pPr>
              <w:jc w:val="center"/>
            </w:pPr>
            <w:r>
              <w:t>-0.01%</w:t>
            </w:r>
          </w:p>
        </w:tc>
      </w:tr>
      <w:tr w:rsidR="00B070B0">
        <w:trPr>
          <w:jc w:val="center"/>
        </w:trPr>
        <w:tc>
          <w:tcPr>
            <w:tcW w:w="1582" w:type="dxa"/>
          </w:tcPr>
          <w:p w:rsidR="00B070B0" w:rsidRDefault="005C077B">
            <w:pPr>
              <w:jc w:val="center"/>
            </w:pPr>
            <w:r>
              <w:t>2014</w:t>
            </w:r>
            <w:r>
              <w:t>年</w:t>
            </w:r>
            <w:r>
              <w:t>1</w:t>
            </w:r>
            <w:r>
              <w:t>月</w:t>
            </w:r>
            <w:r>
              <w:t>1</w:t>
            </w:r>
            <w:r>
              <w:t>日至</w:t>
            </w:r>
            <w:r>
              <w:t>2014</w:t>
            </w:r>
            <w:r>
              <w:t>年</w:t>
            </w:r>
            <w:r>
              <w:t>12</w:t>
            </w:r>
            <w:r>
              <w:t>月</w:t>
            </w:r>
            <w:r>
              <w:t>31</w:t>
            </w:r>
            <w:r>
              <w:t>日</w:t>
            </w:r>
          </w:p>
        </w:tc>
        <w:tc>
          <w:tcPr>
            <w:tcW w:w="1080" w:type="dxa"/>
          </w:tcPr>
          <w:p w:rsidR="00B070B0" w:rsidRDefault="005C077B">
            <w:pPr>
              <w:jc w:val="center"/>
            </w:pPr>
            <w:r>
              <w:t>13.31%</w:t>
            </w:r>
          </w:p>
        </w:tc>
        <w:tc>
          <w:tcPr>
            <w:tcW w:w="1080" w:type="dxa"/>
          </w:tcPr>
          <w:p w:rsidR="00B070B0" w:rsidRDefault="005C077B">
            <w:pPr>
              <w:jc w:val="center"/>
            </w:pPr>
            <w:r>
              <w:t>0.22%</w:t>
            </w:r>
          </w:p>
        </w:tc>
        <w:tc>
          <w:tcPr>
            <w:tcW w:w="1440" w:type="dxa"/>
          </w:tcPr>
          <w:p w:rsidR="00B070B0" w:rsidRDefault="005C077B">
            <w:pPr>
              <w:jc w:val="center"/>
            </w:pPr>
            <w:r>
              <w:t>26.21%</w:t>
            </w:r>
          </w:p>
        </w:tc>
        <w:tc>
          <w:tcPr>
            <w:tcW w:w="1339" w:type="dxa"/>
          </w:tcPr>
          <w:p w:rsidR="00B070B0" w:rsidRDefault="005C077B">
            <w:pPr>
              <w:jc w:val="center"/>
            </w:pPr>
            <w:r>
              <w:t>0.43%</w:t>
            </w:r>
          </w:p>
        </w:tc>
        <w:tc>
          <w:tcPr>
            <w:tcW w:w="1001" w:type="dxa"/>
          </w:tcPr>
          <w:p w:rsidR="00B070B0" w:rsidRDefault="005C077B">
            <w:pPr>
              <w:jc w:val="center"/>
            </w:pPr>
            <w:r>
              <w:t>-12.90%</w:t>
            </w:r>
          </w:p>
        </w:tc>
        <w:tc>
          <w:tcPr>
            <w:tcW w:w="900" w:type="dxa"/>
          </w:tcPr>
          <w:p w:rsidR="00B070B0" w:rsidRDefault="005C077B">
            <w:pPr>
              <w:jc w:val="center"/>
            </w:pPr>
            <w:r>
              <w:t>-0.21%</w:t>
            </w:r>
          </w:p>
        </w:tc>
      </w:tr>
      <w:tr w:rsidR="00B070B0">
        <w:trPr>
          <w:jc w:val="center"/>
        </w:trPr>
        <w:tc>
          <w:tcPr>
            <w:tcW w:w="1582" w:type="dxa"/>
          </w:tcPr>
          <w:p w:rsidR="00B070B0" w:rsidRDefault="005C077B">
            <w:pPr>
              <w:jc w:val="center"/>
            </w:pPr>
            <w:r>
              <w:t>2015</w:t>
            </w:r>
            <w:r>
              <w:t>年</w:t>
            </w:r>
            <w:r>
              <w:t>1</w:t>
            </w:r>
            <w:r>
              <w:t>月</w:t>
            </w:r>
            <w:r>
              <w:t>1</w:t>
            </w:r>
            <w:r>
              <w:t>日至</w:t>
            </w:r>
            <w:r>
              <w:t>2015</w:t>
            </w:r>
            <w:r>
              <w:t>年</w:t>
            </w:r>
            <w:r>
              <w:t>12</w:t>
            </w:r>
            <w:r>
              <w:t>月</w:t>
            </w:r>
            <w:r>
              <w:t>31</w:t>
            </w:r>
            <w:r>
              <w:t>日</w:t>
            </w:r>
          </w:p>
        </w:tc>
        <w:tc>
          <w:tcPr>
            <w:tcW w:w="1080" w:type="dxa"/>
          </w:tcPr>
          <w:p w:rsidR="00B070B0" w:rsidRDefault="005C077B">
            <w:pPr>
              <w:jc w:val="center"/>
            </w:pPr>
            <w:r>
              <w:t>10.13%</w:t>
            </w:r>
          </w:p>
        </w:tc>
        <w:tc>
          <w:tcPr>
            <w:tcW w:w="1080" w:type="dxa"/>
          </w:tcPr>
          <w:p w:rsidR="00B070B0" w:rsidRDefault="005C077B">
            <w:pPr>
              <w:jc w:val="center"/>
            </w:pPr>
            <w:r>
              <w:t>0.10%</w:t>
            </w:r>
          </w:p>
        </w:tc>
        <w:tc>
          <w:tcPr>
            <w:tcW w:w="1440" w:type="dxa"/>
          </w:tcPr>
          <w:p w:rsidR="00B070B0" w:rsidRDefault="005C077B">
            <w:pPr>
              <w:jc w:val="center"/>
            </w:pPr>
            <w:r>
              <w:t>-8.78%</w:t>
            </w:r>
          </w:p>
        </w:tc>
        <w:tc>
          <w:tcPr>
            <w:tcW w:w="1339" w:type="dxa"/>
          </w:tcPr>
          <w:p w:rsidR="00B070B0" w:rsidRDefault="005C077B">
            <w:pPr>
              <w:jc w:val="center"/>
            </w:pPr>
            <w:r>
              <w:t>1.23%</w:t>
            </w:r>
          </w:p>
        </w:tc>
        <w:tc>
          <w:tcPr>
            <w:tcW w:w="1001" w:type="dxa"/>
          </w:tcPr>
          <w:p w:rsidR="00B070B0" w:rsidRDefault="005C077B">
            <w:pPr>
              <w:jc w:val="center"/>
            </w:pPr>
            <w:r>
              <w:t>18.91%</w:t>
            </w:r>
          </w:p>
        </w:tc>
        <w:tc>
          <w:tcPr>
            <w:tcW w:w="900" w:type="dxa"/>
          </w:tcPr>
          <w:p w:rsidR="00B070B0" w:rsidRDefault="005C077B">
            <w:pPr>
              <w:jc w:val="center"/>
            </w:pPr>
            <w:r>
              <w:t>-1.13%</w:t>
            </w:r>
          </w:p>
        </w:tc>
      </w:tr>
      <w:tr w:rsidR="00B070B0">
        <w:trPr>
          <w:jc w:val="center"/>
        </w:trPr>
        <w:tc>
          <w:tcPr>
            <w:tcW w:w="1582" w:type="dxa"/>
          </w:tcPr>
          <w:p w:rsidR="00B070B0" w:rsidRDefault="005C077B">
            <w:pPr>
              <w:jc w:val="center"/>
            </w:pPr>
            <w:r>
              <w:t>2016</w:t>
            </w:r>
            <w:r>
              <w:t>年</w:t>
            </w:r>
            <w:r>
              <w:t>1</w:t>
            </w:r>
            <w:r>
              <w:t>月</w:t>
            </w:r>
            <w:r>
              <w:t>1</w:t>
            </w:r>
            <w:r>
              <w:t>日至</w:t>
            </w:r>
            <w:r>
              <w:t>2016</w:t>
            </w:r>
            <w:r>
              <w:t>年</w:t>
            </w:r>
            <w:r>
              <w:t>12</w:t>
            </w:r>
            <w:r>
              <w:t>月</w:t>
            </w:r>
            <w:r>
              <w:t>31</w:t>
            </w:r>
            <w:r>
              <w:t>日</w:t>
            </w:r>
          </w:p>
        </w:tc>
        <w:tc>
          <w:tcPr>
            <w:tcW w:w="1080" w:type="dxa"/>
          </w:tcPr>
          <w:p w:rsidR="00B070B0" w:rsidRDefault="005C077B">
            <w:pPr>
              <w:jc w:val="center"/>
            </w:pPr>
            <w:r>
              <w:t>0.91%</w:t>
            </w:r>
          </w:p>
        </w:tc>
        <w:tc>
          <w:tcPr>
            <w:tcW w:w="1080" w:type="dxa"/>
          </w:tcPr>
          <w:p w:rsidR="00B070B0" w:rsidRDefault="005C077B">
            <w:pPr>
              <w:jc w:val="center"/>
            </w:pPr>
            <w:r>
              <w:t>0.09%</w:t>
            </w:r>
          </w:p>
        </w:tc>
        <w:tc>
          <w:tcPr>
            <w:tcW w:w="1440" w:type="dxa"/>
          </w:tcPr>
          <w:p w:rsidR="00B070B0" w:rsidRDefault="005C077B">
            <w:pPr>
              <w:jc w:val="center"/>
            </w:pPr>
            <w:r>
              <w:t>-7.42%</w:t>
            </w:r>
          </w:p>
        </w:tc>
        <w:tc>
          <w:tcPr>
            <w:tcW w:w="1339" w:type="dxa"/>
          </w:tcPr>
          <w:p w:rsidR="00B070B0" w:rsidRDefault="005C077B">
            <w:pPr>
              <w:jc w:val="center"/>
            </w:pPr>
            <w:r>
              <w:t>0.31%</w:t>
            </w:r>
          </w:p>
        </w:tc>
        <w:tc>
          <w:tcPr>
            <w:tcW w:w="1001" w:type="dxa"/>
          </w:tcPr>
          <w:p w:rsidR="00B070B0" w:rsidRDefault="005C077B">
            <w:pPr>
              <w:jc w:val="center"/>
            </w:pPr>
            <w:r>
              <w:t>8.33%</w:t>
            </w:r>
          </w:p>
        </w:tc>
        <w:tc>
          <w:tcPr>
            <w:tcW w:w="900" w:type="dxa"/>
          </w:tcPr>
          <w:p w:rsidR="00B070B0" w:rsidRDefault="005C077B">
            <w:pPr>
              <w:jc w:val="center"/>
            </w:pPr>
            <w:r>
              <w:t>-0.22%</w:t>
            </w:r>
          </w:p>
        </w:tc>
      </w:tr>
      <w:tr w:rsidR="00B070B0">
        <w:trPr>
          <w:jc w:val="center"/>
        </w:trPr>
        <w:tc>
          <w:tcPr>
            <w:tcW w:w="1582" w:type="dxa"/>
          </w:tcPr>
          <w:p w:rsidR="00B070B0" w:rsidRDefault="005C077B">
            <w:pPr>
              <w:jc w:val="center"/>
            </w:pPr>
            <w:r>
              <w:t>2017</w:t>
            </w:r>
            <w:r>
              <w:t>年</w:t>
            </w:r>
            <w:r>
              <w:t>1</w:t>
            </w:r>
            <w:r>
              <w:t>月</w:t>
            </w:r>
            <w:r>
              <w:t>1</w:t>
            </w:r>
            <w:r>
              <w:t>日至</w:t>
            </w:r>
            <w:r>
              <w:t>2017</w:t>
            </w:r>
            <w:r>
              <w:t>年</w:t>
            </w:r>
            <w:r>
              <w:t>12</w:t>
            </w:r>
            <w:r>
              <w:t>月</w:t>
            </w:r>
            <w:r>
              <w:t>31</w:t>
            </w:r>
            <w:r>
              <w:t>日</w:t>
            </w:r>
          </w:p>
        </w:tc>
        <w:tc>
          <w:tcPr>
            <w:tcW w:w="1080" w:type="dxa"/>
          </w:tcPr>
          <w:p w:rsidR="00B070B0" w:rsidRDefault="005C077B">
            <w:pPr>
              <w:jc w:val="center"/>
            </w:pPr>
            <w:r>
              <w:t>2.46%</w:t>
            </w:r>
          </w:p>
        </w:tc>
        <w:tc>
          <w:tcPr>
            <w:tcW w:w="1080" w:type="dxa"/>
          </w:tcPr>
          <w:p w:rsidR="00B070B0" w:rsidRDefault="005C077B">
            <w:pPr>
              <w:jc w:val="center"/>
            </w:pPr>
            <w:r>
              <w:t>0.23%</w:t>
            </w:r>
          </w:p>
        </w:tc>
        <w:tc>
          <w:tcPr>
            <w:tcW w:w="1440" w:type="dxa"/>
          </w:tcPr>
          <w:p w:rsidR="00B070B0" w:rsidRDefault="005C077B">
            <w:pPr>
              <w:jc w:val="center"/>
            </w:pPr>
            <w:r>
              <w:t>-5.28%</w:t>
            </w:r>
          </w:p>
        </w:tc>
        <w:tc>
          <w:tcPr>
            <w:tcW w:w="1339" w:type="dxa"/>
          </w:tcPr>
          <w:p w:rsidR="00B070B0" w:rsidRDefault="005C077B">
            <w:pPr>
              <w:jc w:val="center"/>
            </w:pPr>
            <w:r>
              <w:t>0.18%</w:t>
            </w:r>
          </w:p>
        </w:tc>
        <w:tc>
          <w:tcPr>
            <w:tcW w:w="1001" w:type="dxa"/>
          </w:tcPr>
          <w:p w:rsidR="00B070B0" w:rsidRDefault="005C077B">
            <w:pPr>
              <w:jc w:val="center"/>
            </w:pPr>
            <w:r>
              <w:t>7.74%</w:t>
            </w:r>
          </w:p>
        </w:tc>
        <w:tc>
          <w:tcPr>
            <w:tcW w:w="900" w:type="dxa"/>
          </w:tcPr>
          <w:p w:rsidR="00B070B0" w:rsidRDefault="005C077B">
            <w:pPr>
              <w:jc w:val="center"/>
            </w:pPr>
            <w:r>
              <w:t>0.05%</w:t>
            </w:r>
          </w:p>
        </w:tc>
      </w:tr>
      <w:tr w:rsidR="00B070B0">
        <w:trPr>
          <w:jc w:val="center"/>
        </w:trPr>
        <w:tc>
          <w:tcPr>
            <w:tcW w:w="1582" w:type="dxa"/>
          </w:tcPr>
          <w:p w:rsidR="00B070B0" w:rsidRDefault="005C077B">
            <w:pPr>
              <w:jc w:val="center"/>
            </w:pPr>
            <w:r>
              <w:t>2018</w:t>
            </w:r>
            <w:r>
              <w:t>年</w:t>
            </w:r>
            <w:r>
              <w:t>1</w:t>
            </w:r>
            <w:r>
              <w:t>月</w:t>
            </w:r>
            <w:r>
              <w:t>1</w:t>
            </w:r>
            <w:r>
              <w:t>日至</w:t>
            </w:r>
            <w:r>
              <w:t>2018</w:t>
            </w:r>
            <w:r>
              <w:t>年</w:t>
            </w:r>
            <w:r>
              <w:t>12</w:t>
            </w:r>
            <w:r>
              <w:t>月</w:t>
            </w:r>
            <w:r>
              <w:t>31</w:t>
            </w:r>
            <w:r>
              <w:t>日</w:t>
            </w:r>
          </w:p>
        </w:tc>
        <w:tc>
          <w:tcPr>
            <w:tcW w:w="1080" w:type="dxa"/>
          </w:tcPr>
          <w:p w:rsidR="00B070B0" w:rsidRDefault="005C077B">
            <w:pPr>
              <w:jc w:val="center"/>
            </w:pPr>
            <w:r>
              <w:t>0.72%</w:t>
            </w:r>
          </w:p>
        </w:tc>
        <w:tc>
          <w:tcPr>
            <w:tcW w:w="1080" w:type="dxa"/>
          </w:tcPr>
          <w:p w:rsidR="00B070B0" w:rsidRDefault="005C077B">
            <w:pPr>
              <w:jc w:val="center"/>
            </w:pPr>
            <w:r>
              <w:t>0.19%</w:t>
            </w:r>
          </w:p>
        </w:tc>
        <w:tc>
          <w:tcPr>
            <w:tcW w:w="1440" w:type="dxa"/>
          </w:tcPr>
          <w:p w:rsidR="00B070B0" w:rsidRDefault="005C077B">
            <w:pPr>
              <w:jc w:val="center"/>
            </w:pPr>
            <w:r>
              <w:t>2.09%</w:t>
            </w:r>
          </w:p>
        </w:tc>
        <w:tc>
          <w:tcPr>
            <w:tcW w:w="1339" w:type="dxa"/>
          </w:tcPr>
          <w:p w:rsidR="00B070B0" w:rsidRDefault="005C077B">
            <w:pPr>
              <w:jc w:val="center"/>
            </w:pPr>
            <w:r>
              <w:t>0.21%</w:t>
            </w:r>
          </w:p>
        </w:tc>
        <w:tc>
          <w:tcPr>
            <w:tcW w:w="1001" w:type="dxa"/>
          </w:tcPr>
          <w:p w:rsidR="00B070B0" w:rsidRDefault="005C077B">
            <w:pPr>
              <w:jc w:val="center"/>
            </w:pPr>
            <w:r>
              <w:t>-1.37%</w:t>
            </w:r>
          </w:p>
        </w:tc>
        <w:tc>
          <w:tcPr>
            <w:tcW w:w="900" w:type="dxa"/>
          </w:tcPr>
          <w:p w:rsidR="00B070B0" w:rsidRDefault="005C077B">
            <w:pPr>
              <w:jc w:val="center"/>
            </w:pPr>
            <w:r>
              <w:t>-0.02%</w:t>
            </w:r>
          </w:p>
        </w:tc>
      </w:tr>
      <w:tr w:rsidR="00B070B0">
        <w:trPr>
          <w:jc w:val="center"/>
        </w:trPr>
        <w:tc>
          <w:tcPr>
            <w:tcW w:w="1582" w:type="dxa"/>
          </w:tcPr>
          <w:p w:rsidR="00B070B0" w:rsidRDefault="005C077B">
            <w:pPr>
              <w:jc w:val="center"/>
            </w:pPr>
            <w:r>
              <w:t>2019</w:t>
            </w:r>
            <w:r>
              <w:t>年</w:t>
            </w:r>
            <w:r>
              <w:t>1</w:t>
            </w:r>
            <w:r>
              <w:t>月</w:t>
            </w:r>
            <w:r>
              <w:t>1</w:t>
            </w:r>
            <w:r>
              <w:t>日至</w:t>
            </w:r>
            <w:r>
              <w:t>2019</w:t>
            </w:r>
            <w:r>
              <w:t>年</w:t>
            </w:r>
            <w:r>
              <w:t>12</w:t>
            </w:r>
            <w:r>
              <w:t>月</w:t>
            </w:r>
            <w:r>
              <w:t>31</w:t>
            </w:r>
            <w:r>
              <w:t>日</w:t>
            </w:r>
          </w:p>
        </w:tc>
        <w:tc>
          <w:tcPr>
            <w:tcW w:w="1080" w:type="dxa"/>
          </w:tcPr>
          <w:p w:rsidR="00B070B0" w:rsidRDefault="005C077B">
            <w:pPr>
              <w:jc w:val="center"/>
            </w:pPr>
            <w:r>
              <w:t>18.77%</w:t>
            </w:r>
          </w:p>
        </w:tc>
        <w:tc>
          <w:tcPr>
            <w:tcW w:w="1080" w:type="dxa"/>
          </w:tcPr>
          <w:p w:rsidR="00B070B0" w:rsidRDefault="005C077B">
            <w:pPr>
              <w:jc w:val="center"/>
            </w:pPr>
            <w:r>
              <w:t>0.45%</w:t>
            </w:r>
          </w:p>
        </w:tc>
        <w:tc>
          <w:tcPr>
            <w:tcW w:w="1440" w:type="dxa"/>
          </w:tcPr>
          <w:p w:rsidR="00B070B0" w:rsidRDefault="005C077B">
            <w:pPr>
              <w:jc w:val="center"/>
            </w:pPr>
            <w:r>
              <w:t>8.64%</w:t>
            </w:r>
          </w:p>
        </w:tc>
        <w:tc>
          <w:tcPr>
            <w:tcW w:w="1339" w:type="dxa"/>
          </w:tcPr>
          <w:p w:rsidR="00B070B0" w:rsidRDefault="005C077B">
            <w:pPr>
              <w:jc w:val="center"/>
            </w:pPr>
            <w:r>
              <w:t>0.22%</w:t>
            </w:r>
          </w:p>
        </w:tc>
        <w:tc>
          <w:tcPr>
            <w:tcW w:w="1001" w:type="dxa"/>
          </w:tcPr>
          <w:p w:rsidR="00B070B0" w:rsidRDefault="005C077B">
            <w:pPr>
              <w:jc w:val="center"/>
            </w:pPr>
            <w:r>
              <w:t>10.13%</w:t>
            </w:r>
          </w:p>
        </w:tc>
        <w:tc>
          <w:tcPr>
            <w:tcW w:w="900" w:type="dxa"/>
          </w:tcPr>
          <w:p w:rsidR="00B070B0" w:rsidRDefault="005C077B">
            <w:pPr>
              <w:jc w:val="center"/>
            </w:pPr>
            <w:r>
              <w:t>0.23%</w:t>
            </w:r>
          </w:p>
        </w:tc>
      </w:tr>
      <w:tr w:rsidR="00B070B0">
        <w:trPr>
          <w:jc w:val="center"/>
        </w:trPr>
        <w:tc>
          <w:tcPr>
            <w:tcW w:w="1582" w:type="dxa"/>
          </w:tcPr>
          <w:p w:rsidR="00B070B0" w:rsidRDefault="005C077B">
            <w:pPr>
              <w:jc w:val="center"/>
            </w:pPr>
            <w:r>
              <w:t>2020</w:t>
            </w:r>
            <w:r>
              <w:t>年</w:t>
            </w:r>
            <w:r>
              <w:t>1</w:t>
            </w:r>
            <w:r>
              <w:t>月</w:t>
            </w:r>
            <w:r>
              <w:t>1</w:t>
            </w:r>
            <w:r>
              <w:t>日至</w:t>
            </w:r>
            <w:r>
              <w:t>2020</w:t>
            </w:r>
            <w:r>
              <w:t>年</w:t>
            </w:r>
            <w:r>
              <w:t>12</w:t>
            </w:r>
            <w:r>
              <w:t>月</w:t>
            </w:r>
            <w:r>
              <w:t>31</w:t>
            </w:r>
            <w:r>
              <w:t>日</w:t>
            </w:r>
          </w:p>
        </w:tc>
        <w:tc>
          <w:tcPr>
            <w:tcW w:w="1080" w:type="dxa"/>
          </w:tcPr>
          <w:p w:rsidR="00B070B0" w:rsidRDefault="005C077B">
            <w:pPr>
              <w:jc w:val="center"/>
            </w:pPr>
            <w:r>
              <w:t>10.78%</w:t>
            </w:r>
          </w:p>
        </w:tc>
        <w:tc>
          <w:tcPr>
            <w:tcW w:w="1080" w:type="dxa"/>
          </w:tcPr>
          <w:p w:rsidR="00B070B0" w:rsidRDefault="005C077B">
            <w:pPr>
              <w:jc w:val="center"/>
            </w:pPr>
            <w:r>
              <w:t>0.60%</w:t>
            </w:r>
          </w:p>
        </w:tc>
        <w:tc>
          <w:tcPr>
            <w:tcW w:w="1440" w:type="dxa"/>
          </w:tcPr>
          <w:p w:rsidR="00B070B0" w:rsidRDefault="005C077B">
            <w:pPr>
              <w:jc w:val="center"/>
            </w:pPr>
            <w:r>
              <w:t>1.76%</w:t>
            </w:r>
          </w:p>
        </w:tc>
        <w:tc>
          <w:tcPr>
            <w:tcW w:w="1339" w:type="dxa"/>
          </w:tcPr>
          <w:p w:rsidR="00B070B0" w:rsidRDefault="005C077B">
            <w:pPr>
              <w:jc w:val="center"/>
            </w:pPr>
            <w:r>
              <w:t>0.25%</w:t>
            </w:r>
          </w:p>
        </w:tc>
        <w:tc>
          <w:tcPr>
            <w:tcW w:w="1001" w:type="dxa"/>
          </w:tcPr>
          <w:p w:rsidR="00B070B0" w:rsidRDefault="005C077B">
            <w:pPr>
              <w:jc w:val="center"/>
            </w:pPr>
            <w:r>
              <w:t>9.02%</w:t>
            </w:r>
          </w:p>
        </w:tc>
        <w:tc>
          <w:tcPr>
            <w:tcW w:w="900" w:type="dxa"/>
          </w:tcPr>
          <w:p w:rsidR="00B070B0" w:rsidRDefault="005C077B">
            <w:pPr>
              <w:jc w:val="center"/>
            </w:pPr>
            <w:r>
              <w:t>0.35%</w:t>
            </w:r>
          </w:p>
        </w:tc>
      </w:tr>
      <w:tr w:rsidR="00B070B0">
        <w:trPr>
          <w:jc w:val="center"/>
        </w:trPr>
        <w:tc>
          <w:tcPr>
            <w:tcW w:w="1582" w:type="dxa"/>
          </w:tcPr>
          <w:p w:rsidR="00B070B0" w:rsidRDefault="005C077B">
            <w:pPr>
              <w:jc w:val="center"/>
            </w:pPr>
            <w:r>
              <w:t>自基金合同生效日至</w:t>
            </w:r>
            <w:r>
              <w:t>2020</w:t>
            </w:r>
            <w:r>
              <w:t>年</w:t>
            </w:r>
            <w:r>
              <w:t>12</w:t>
            </w:r>
            <w:r>
              <w:t>月</w:t>
            </w:r>
            <w:r>
              <w:t>31</w:t>
            </w:r>
            <w:r>
              <w:t>日</w:t>
            </w:r>
          </w:p>
        </w:tc>
        <w:tc>
          <w:tcPr>
            <w:tcW w:w="1080" w:type="dxa"/>
          </w:tcPr>
          <w:p w:rsidR="00B070B0" w:rsidRDefault="005C077B">
            <w:pPr>
              <w:jc w:val="center"/>
            </w:pPr>
            <w:r>
              <w:t>89.04%</w:t>
            </w:r>
          </w:p>
        </w:tc>
        <w:tc>
          <w:tcPr>
            <w:tcW w:w="1080" w:type="dxa"/>
          </w:tcPr>
          <w:p w:rsidR="00B070B0" w:rsidRDefault="005C077B">
            <w:pPr>
              <w:jc w:val="center"/>
            </w:pPr>
            <w:r>
              <w:t>0.30%</w:t>
            </w:r>
          </w:p>
        </w:tc>
        <w:tc>
          <w:tcPr>
            <w:tcW w:w="1440" w:type="dxa"/>
          </w:tcPr>
          <w:p w:rsidR="00B070B0" w:rsidRDefault="005C077B">
            <w:pPr>
              <w:jc w:val="center"/>
            </w:pPr>
            <w:r>
              <w:t>11.90%</w:t>
            </w:r>
          </w:p>
        </w:tc>
        <w:tc>
          <w:tcPr>
            <w:tcW w:w="1339" w:type="dxa"/>
          </w:tcPr>
          <w:p w:rsidR="00B070B0" w:rsidRDefault="005C077B">
            <w:pPr>
              <w:jc w:val="center"/>
            </w:pPr>
            <w:r>
              <w:t>0.48%</w:t>
            </w:r>
          </w:p>
        </w:tc>
        <w:tc>
          <w:tcPr>
            <w:tcW w:w="1001" w:type="dxa"/>
          </w:tcPr>
          <w:p w:rsidR="00B070B0" w:rsidRDefault="005C077B">
            <w:pPr>
              <w:jc w:val="center"/>
            </w:pPr>
            <w:r>
              <w:t>77.14%</w:t>
            </w:r>
          </w:p>
        </w:tc>
        <w:tc>
          <w:tcPr>
            <w:tcW w:w="900" w:type="dxa"/>
          </w:tcPr>
          <w:p w:rsidR="00B070B0" w:rsidRDefault="005C077B">
            <w:pPr>
              <w:jc w:val="center"/>
            </w:pPr>
            <w:r>
              <w:t>-0.18%</w:t>
            </w:r>
          </w:p>
        </w:tc>
      </w:tr>
    </w:tbl>
    <w:p w:rsidR="00F90499" w:rsidRPr="00D6191E" w:rsidRDefault="00F90499" w:rsidP="00D6191E">
      <w:pPr>
        <w:snapToGrid w:val="0"/>
        <w:spacing w:line="360" w:lineRule="auto"/>
        <w:ind w:firstLine="420"/>
        <w:rPr>
          <w:rFonts w:asciiTheme="minorEastAsia" w:eastAsiaTheme="minorEastAsia" w:hAnsiTheme="minorEastAsia" w:cs="Arial"/>
          <w:szCs w:val="21"/>
        </w:rPr>
      </w:pPr>
      <w:r>
        <w:t>本基金历任基金经理情况：张磊，管理时间为</w:t>
      </w:r>
      <w:r>
        <w:t>2011</w:t>
      </w:r>
      <w:r>
        <w:t>年</w:t>
      </w:r>
      <w:r>
        <w:t>12</w:t>
      </w:r>
      <w:r>
        <w:t>月</w:t>
      </w:r>
      <w:r>
        <w:t>1</w:t>
      </w:r>
      <w:r>
        <w:t>日至</w:t>
      </w:r>
      <w:r>
        <w:t>2019</w:t>
      </w:r>
      <w:r>
        <w:t>年</w:t>
      </w:r>
      <w:r>
        <w:t>1</w:t>
      </w:r>
      <w:r>
        <w:t>月</w:t>
      </w:r>
      <w:r>
        <w:t>3</w:t>
      </w:r>
      <w:r>
        <w:t>日。</w:t>
      </w:r>
    </w:p>
    <w:p w:rsidR="00BA4B87" w:rsidRPr="00D6191E" w:rsidRDefault="00E22F92" w:rsidP="004D6C82">
      <w:pPr>
        <w:pStyle w:val="1"/>
        <w:snapToGrid w:val="0"/>
        <w:spacing w:beforeLines="0" w:afterLines="0" w:line="360" w:lineRule="auto"/>
        <w:ind w:firstLine="640"/>
        <w:rPr>
          <w:rFonts w:asciiTheme="minorEastAsia" w:eastAsiaTheme="minorEastAsia" w:hAnsiTheme="minorEastAsia"/>
          <w:szCs w:val="21"/>
        </w:rPr>
      </w:pPr>
      <w:r>
        <w:br w:type="page"/>
      </w:r>
      <w:bookmarkStart w:id="64" w:name="_Toc86315886"/>
      <w:r w:rsidR="00BA4B87" w:rsidRPr="00D6191E">
        <w:rPr>
          <w:rFonts w:asciiTheme="minorEastAsia" w:eastAsiaTheme="minorEastAsia" w:hAnsiTheme="minorEastAsia" w:hint="eastAsia"/>
          <w:sz w:val="30"/>
        </w:rPr>
        <w:lastRenderedPageBreak/>
        <w:t>十</w:t>
      </w:r>
      <w:r w:rsidR="009C0CEE" w:rsidRPr="00D6191E">
        <w:rPr>
          <w:rFonts w:asciiTheme="minorEastAsia" w:eastAsiaTheme="minorEastAsia" w:hAnsiTheme="minorEastAsia" w:hint="eastAsia"/>
          <w:sz w:val="30"/>
        </w:rPr>
        <w:t>三</w:t>
      </w:r>
      <w:r w:rsidR="00BA4B87" w:rsidRPr="00D6191E">
        <w:rPr>
          <w:rFonts w:asciiTheme="minorEastAsia" w:eastAsiaTheme="minorEastAsia" w:hAnsiTheme="minorEastAsia" w:hint="eastAsia"/>
          <w:sz w:val="30"/>
        </w:rPr>
        <w:t>、基金的财产</w:t>
      </w:r>
      <w:bookmarkEnd w:id="64"/>
    </w:p>
    <w:p w:rsidR="00BA4B87" w:rsidRPr="00D6191E" w:rsidRDefault="00BA4B87" w:rsidP="004D6C82">
      <w:pPr>
        <w:pStyle w:val="2"/>
        <w:snapToGrid w:val="0"/>
        <w:spacing w:beforeLines="0" w:afterLines="0" w:line="360" w:lineRule="auto"/>
        <w:ind w:firstLineChars="0" w:firstLine="420"/>
        <w:rPr>
          <w:rFonts w:asciiTheme="minorEastAsia" w:eastAsiaTheme="minorEastAsia" w:hAnsiTheme="minorEastAsia"/>
          <w:b w:val="0"/>
        </w:rPr>
      </w:pPr>
      <w:bookmarkStart w:id="65" w:name="_Toc86315887"/>
      <w:bookmarkStart w:id="66" w:name="_Toc79392635"/>
      <w:bookmarkStart w:id="67" w:name="_Toc79556449"/>
      <w:r w:rsidRPr="00D6191E">
        <w:rPr>
          <w:rFonts w:asciiTheme="minorEastAsia" w:eastAsiaTheme="minorEastAsia" w:hAnsiTheme="minorEastAsia" w:hint="eastAsia"/>
          <w:b w:val="0"/>
        </w:rPr>
        <w:t>(一)</w:t>
      </w:r>
      <w:r w:rsidRPr="00D6191E">
        <w:rPr>
          <w:rFonts w:asciiTheme="minorEastAsia" w:eastAsiaTheme="minorEastAsia" w:hAnsiTheme="minorEastAsia"/>
          <w:b w:val="0"/>
        </w:rPr>
        <w:t>基金资产总值</w:t>
      </w:r>
      <w:bookmarkEnd w:id="65"/>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基金资产总值是指基金拥有的各类有价证券、银行存款本息、基金应收申购款以及其他资产的价值总和。</w:t>
      </w:r>
    </w:p>
    <w:p w:rsidR="00BA4B87" w:rsidRPr="00D6191E" w:rsidRDefault="00BA4B87" w:rsidP="004D6C82">
      <w:pPr>
        <w:pStyle w:val="2"/>
        <w:snapToGrid w:val="0"/>
        <w:spacing w:beforeLines="0" w:afterLines="0" w:line="360" w:lineRule="auto"/>
        <w:ind w:firstLineChars="0" w:firstLine="420"/>
        <w:rPr>
          <w:rFonts w:asciiTheme="minorEastAsia" w:eastAsiaTheme="minorEastAsia" w:hAnsiTheme="minorEastAsia"/>
          <w:b w:val="0"/>
        </w:rPr>
      </w:pPr>
      <w:bookmarkStart w:id="68" w:name="_Toc86315888"/>
      <w:r w:rsidRPr="00D6191E">
        <w:rPr>
          <w:rFonts w:asciiTheme="minorEastAsia" w:eastAsiaTheme="minorEastAsia" w:hAnsiTheme="minorEastAsia"/>
          <w:b w:val="0"/>
        </w:rPr>
        <w:t>(二)基金资产净值</w:t>
      </w:r>
      <w:bookmarkEnd w:id="68"/>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基金资产净值是指基金资产总值减去负债后的价值。</w:t>
      </w:r>
    </w:p>
    <w:p w:rsidR="00BA4B87" w:rsidRPr="00D6191E" w:rsidRDefault="00BA4B87" w:rsidP="004D6C82">
      <w:pPr>
        <w:pStyle w:val="2"/>
        <w:snapToGrid w:val="0"/>
        <w:spacing w:beforeLines="0" w:afterLines="0" w:line="360" w:lineRule="auto"/>
        <w:ind w:firstLineChars="0" w:firstLine="420"/>
        <w:rPr>
          <w:rFonts w:asciiTheme="minorEastAsia" w:eastAsiaTheme="minorEastAsia" w:hAnsiTheme="minorEastAsia"/>
          <w:b w:val="0"/>
        </w:rPr>
      </w:pPr>
      <w:bookmarkStart w:id="69" w:name="_Toc86315889"/>
      <w:r w:rsidRPr="00D6191E">
        <w:rPr>
          <w:rFonts w:asciiTheme="minorEastAsia" w:eastAsiaTheme="minorEastAsia" w:hAnsiTheme="minorEastAsia"/>
          <w:b w:val="0"/>
        </w:rPr>
        <w:t>(三)基金财产的账户</w:t>
      </w:r>
      <w:bookmarkEnd w:id="69"/>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BA4B87" w:rsidRPr="00D6191E" w:rsidRDefault="00BA4B87" w:rsidP="004D6C82">
      <w:pPr>
        <w:pStyle w:val="2"/>
        <w:snapToGrid w:val="0"/>
        <w:spacing w:beforeLines="0" w:afterLines="0" w:line="360" w:lineRule="auto"/>
        <w:ind w:firstLineChars="0" w:firstLine="420"/>
        <w:rPr>
          <w:rFonts w:asciiTheme="minorEastAsia" w:eastAsiaTheme="minorEastAsia" w:hAnsiTheme="minorEastAsia"/>
          <w:b w:val="0"/>
        </w:rPr>
      </w:pPr>
      <w:bookmarkStart w:id="70" w:name="_Toc86315890"/>
      <w:r w:rsidRPr="00D6191E">
        <w:rPr>
          <w:rFonts w:asciiTheme="minorEastAsia" w:eastAsiaTheme="minorEastAsia" w:hAnsiTheme="minorEastAsia"/>
          <w:b w:val="0"/>
        </w:rPr>
        <w:t>(四)基金财产的处分</w:t>
      </w:r>
      <w:bookmarkEnd w:id="70"/>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基金财产独立于基金管理人、基金托管人和</w:t>
      </w:r>
      <w:r w:rsidR="00AE5F53" w:rsidRPr="00D6191E">
        <w:rPr>
          <w:rFonts w:asciiTheme="minorEastAsia" w:eastAsiaTheme="minorEastAsia" w:hAnsiTheme="minorEastAsia" w:hint="eastAsia"/>
          <w:szCs w:val="21"/>
        </w:rPr>
        <w:t>销售</w:t>
      </w:r>
      <w:r w:rsidRPr="00D6191E">
        <w:rPr>
          <w:rFonts w:asciiTheme="minorEastAsia" w:eastAsiaTheme="minorEastAsia" w:hAnsiTheme="minorEastAsia" w:hint="eastAsia"/>
          <w:szCs w:val="21"/>
        </w:rPr>
        <w:t>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w:t>
      </w:r>
      <w:r w:rsidRPr="00D6191E">
        <w:rPr>
          <w:rFonts w:asciiTheme="minorEastAsia" w:eastAsiaTheme="minorEastAsia" w:hAnsiTheme="minorEastAsia"/>
          <w:szCs w:val="21"/>
        </w:rPr>
        <w:t>基金管理人、基金托管人以其自有资产承担法律责任，其债权人不得对基金</w:t>
      </w:r>
      <w:r w:rsidRPr="00D6191E">
        <w:rPr>
          <w:rFonts w:asciiTheme="minorEastAsia" w:eastAsiaTheme="minorEastAsia" w:hAnsiTheme="minorEastAsia" w:hint="eastAsia"/>
          <w:szCs w:val="21"/>
        </w:rPr>
        <w:t>财产</w:t>
      </w:r>
      <w:r w:rsidRPr="00D6191E">
        <w:rPr>
          <w:rFonts w:asciiTheme="minorEastAsia" w:eastAsiaTheme="minorEastAsia" w:hAnsiTheme="minorEastAsia"/>
          <w:szCs w:val="21"/>
        </w:rPr>
        <w:t>行使请求冻结、扣押和其他权利。</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基金管理人、基金托管人因依法解散、被依法撤销或者被依法宣告破产等原因进行清算的，基金财产不属于其清算财产。</w:t>
      </w:r>
    </w:p>
    <w:p w:rsidR="00BA4B87" w:rsidRPr="00D6191E" w:rsidRDefault="00BA4B87" w:rsidP="000449FE">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szCs w:val="21"/>
        </w:rPr>
        <w:t>除依据《基金法》、基金合同及其他有关规定处分外，基金</w:t>
      </w:r>
      <w:r w:rsidRPr="00D6191E">
        <w:rPr>
          <w:rFonts w:asciiTheme="minorEastAsia" w:eastAsiaTheme="minorEastAsia" w:hAnsiTheme="minorEastAsia" w:hint="eastAsia"/>
          <w:szCs w:val="21"/>
        </w:rPr>
        <w:t>财产</w:t>
      </w:r>
      <w:r w:rsidRPr="00D6191E">
        <w:rPr>
          <w:rFonts w:asciiTheme="minorEastAsia" w:eastAsiaTheme="minorEastAsia" w:hAnsiTheme="minorEastAsia"/>
          <w:szCs w:val="21"/>
        </w:rPr>
        <w:t>不得被处分。</w:t>
      </w:r>
      <w:r w:rsidRPr="00D6191E">
        <w:rPr>
          <w:rFonts w:asciiTheme="minorEastAsia" w:eastAsiaTheme="minorEastAsia" w:hAnsiTheme="minorEastAsia" w:hint="eastAsia"/>
          <w:szCs w:val="21"/>
        </w:rPr>
        <w:t>非因基金财产本身承担的债务，不得对基金财产强制执行。</w:t>
      </w:r>
      <w:bookmarkEnd w:id="66"/>
      <w:bookmarkEnd w:id="67"/>
    </w:p>
    <w:p w:rsidR="00BA4B87" w:rsidRPr="00D6191E" w:rsidRDefault="00BA4B87" w:rsidP="004D6C82">
      <w:pPr>
        <w:pStyle w:val="1"/>
        <w:snapToGrid w:val="0"/>
        <w:spacing w:beforeLines="0" w:afterLines="0" w:line="360" w:lineRule="auto"/>
        <w:ind w:firstLine="600"/>
        <w:rPr>
          <w:rFonts w:asciiTheme="minorEastAsia" w:eastAsiaTheme="minorEastAsia" w:hAnsiTheme="minorEastAsia"/>
          <w:bCs/>
        </w:rPr>
      </w:pPr>
      <w:r w:rsidRPr="00D6191E">
        <w:rPr>
          <w:rFonts w:asciiTheme="minorEastAsia" w:eastAsiaTheme="minorEastAsia" w:hAnsiTheme="minorEastAsia" w:hint="eastAsia"/>
          <w:sz w:val="30"/>
        </w:rPr>
        <w:br w:type="column"/>
      </w:r>
      <w:bookmarkStart w:id="71" w:name="_Toc86315891"/>
      <w:r w:rsidR="009C0CEE" w:rsidRPr="00D6191E">
        <w:rPr>
          <w:rFonts w:asciiTheme="minorEastAsia" w:eastAsiaTheme="minorEastAsia" w:hAnsiTheme="minorEastAsia" w:hint="eastAsia"/>
          <w:sz w:val="30"/>
        </w:rPr>
        <w:lastRenderedPageBreak/>
        <w:t>十四</w:t>
      </w:r>
      <w:r w:rsidRPr="00D6191E">
        <w:rPr>
          <w:rFonts w:asciiTheme="minorEastAsia" w:eastAsiaTheme="minorEastAsia" w:hAnsiTheme="minorEastAsia" w:hint="eastAsia"/>
          <w:sz w:val="30"/>
        </w:rPr>
        <w:t>、基金资产的估值</w:t>
      </w:r>
      <w:bookmarkEnd w:id="71"/>
    </w:p>
    <w:p w:rsidR="00BA4B87" w:rsidRPr="00D6191E" w:rsidRDefault="00BA4B87" w:rsidP="004D6C82">
      <w:pPr>
        <w:pStyle w:val="2"/>
        <w:snapToGrid w:val="0"/>
        <w:spacing w:beforeLines="0" w:afterLines="0" w:line="360" w:lineRule="auto"/>
        <w:ind w:firstLineChars="0" w:firstLine="420"/>
        <w:rPr>
          <w:rFonts w:asciiTheme="minorEastAsia" w:eastAsiaTheme="minorEastAsia" w:hAnsiTheme="minorEastAsia"/>
          <w:b w:val="0"/>
        </w:rPr>
      </w:pPr>
      <w:bookmarkStart w:id="72" w:name="_Toc86315892"/>
      <w:r w:rsidRPr="00D6191E">
        <w:rPr>
          <w:rFonts w:asciiTheme="minorEastAsia" w:eastAsiaTheme="minorEastAsia" w:hAnsiTheme="minorEastAsia" w:hint="eastAsia"/>
          <w:b w:val="0"/>
        </w:rPr>
        <w:t>(一)估值目的</w:t>
      </w:r>
      <w:bookmarkEnd w:id="72"/>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基金资产估值的目的是客观、准确地反映基金资产是否保值、增值，依据经基金资产估值后确定的基金资产净值而计算出的基金份额净值，是计算基金申购与赎回价格的基础。</w:t>
      </w:r>
    </w:p>
    <w:p w:rsidR="00BA4B87" w:rsidRPr="00D6191E" w:rsidRDefault="00BA4B87" w:rsidP="004D6C82">
      <w:pPr>
        <w:pStyle w:val="2"/>
        <w:snapToGrid w:val="0"/>
        <w:spacing w:beforeLines="0" w:afterLines="0" w:line="360" w:lineRule="auto"/>
        <w:ind w:firstLineChars="0" w:firstLine="420"/>
        <w:rPr>
          <w:rFonts w:asciiTheme="minorEastAsia" w:eastAsiaTheme="minorEastAsia" w:hAnsiTheme="minorEastAsia"/>
          <w:b w:val="0"/>
        </w:rPr>
      </w:pPr>
      <w:bookmarkStart w:id="73" w:name="_Toc86315893"/>
      <w:r w:rsidRPr="00D6191E">
        <w:rPr>
          <w:rFonts w:asciiTheme="minorEastAsia" w:eastAsiaTheme="minorEastAsia" w:hAnsiTheme="minorEastAsia" w:hint="eastAsia"/>
          <w:b w:val="0"/>
        </w:rPr>
        <w:t>(二)</w:t>
      </w:r>
      <w:r w:rsidRPr="00D6191E">
        <w:rPr>
          <w:rFonts w:asciiTheme="minorEastAsia" w:eastAsiaTheme="minorEastAsia" w:hAnsiTheme="minorEastAsia"/>
          <w:b w:val="0"/>
        </w:rPr>
        <w:t>估值日</w:t>
      </w:r>
      <w:bookmarkEnd w:id="73"/>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本基金的估值日为本基金相关的证券交易场所的正常营业日以及国家法律法规规定需要对外披露基金净值的非营业日。</w:t>
      </w:r>
    </w:p>
    <w:p w:rsidR="00BA4B87" w:rsidRPr="00D6191E" w:rsidRDefault="00BA4B87" w:rsidP="004D6C82">
      <w:pPr>
        <w:pStyle w:val="2"/>
        <w:snapToGrid w:val="0"/>
        <w:spacing w:beforeLines="0" w:afterLines="0" w:line="360" w:lineRule="auto"/>
        <w:ind w:firstLineChars="0" w:firstLine="420"/>
        <w:rPr>
          <w:rFonts w:asciiTheme="minorEastAsia" w:eastAsiaTheme="minorEastAsia" w:hAnsiTheme="minorEastAsia"/>
          <w:b w:val="0"/>
        </w:rPr>
      </w:pPr>
      <w:bookmarkStart w:id="74" w:name="_Toc86315894"/>
      <w:r w:rsidRPr="00D6191E">
        <w:rPr>
          <w:rFonts w:asciiTheme="minorEastAsia" w:eastAsiaTheme="minorEastAsia" w:hAnsiTheme="minorEastAsia" w:hint="eastAsia"/>
          <w:b w:val="0"/>
        </w:rPr>
        <w:t>(三)</w:t>
      </w:r>
      <w:r w:rsidRPr="00D6191E">
        <w:rPr>
          <w:rFonts w:asciiTheme="minorEastAsia" w:eastAsiaTheme="minorEastAsia" w:hAnsiTheme="minorEastAsia"/>
          <w:b w:val="0"/>
        </w:rPr>
        <w:t>估值方法</w:t>
      </w:r>
      <w:bookmarkEnd w:id="74"/>
    </w:p>
    <w:p w:rsidR="00BA4B87" w:rsidRPr="00D6191E" w:rsidRDefault="00200D60" w:rsidP="00200D60">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hint="eastAsia"/>
          <w:szCs w:val="21"/>
        </w:rPr>
        <w:t>证券交易所上市的有价证券的估值</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日所采用的净价，确定公允价格。</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(4)交易所上市不存在活跃市场的有价证券，采用估值技术确定公允价值。交易所上市的资产支持证券，采用估值技术确定公允价值，在估值技术难以可靠计量公允价值的情况下，按成本估值。</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BA4B87" w:rsidRPr="00D6191E">
        <w:rPr>
          <w:rFonts w:asciiTheme="minorEastAsia" w:eastAsiaTheme="minorEastAsia" w:hAnsiTheme="minorEastAsia" w:hint="eastAsia"/>
          <w:szCs w:val="21"/>
        </w:rPr>
        <w:t>处于未上市期间的有价证券应区分如下情况处理：</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(1)送股、转增股、配股和公开增发的新股，按估值日在证券交易所挂牌的同一股票的市价(收盘价)估值；该日无交易的，以最近一日的市价(收盘价)估值；</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(2)首次公开发行未上市的股票、债券和权证，采用估值技术确定公允价值，在估值技术难以可靠计量公允价值的情况下，按成本估值。</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(3)首次公开发行有明确锁定期的股票，同一股票在交易所上市后，按交易所上市的同一股票的市价(收盘价)估值；非公开发行有明确锁定期的股票，按监管机构或行业协会有关规定确定公允价值。</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lastRenderedPageBreak/>
        <w:t>3、</w:t>
      </w:r>
      <w:r w:rsidR="00BA4B87" w:rsidRPr="00D6191E">
        <w:rPr>
          <w:rFonts w:asciiTheme="minorEastAsia" w:eastAsiaTheme="minorEastAsia" w:hAnsiTheme="minorEastAsia" w:hint="eastAsia"/>
          <w:szCs w:val="21"/>
        </w:rPr>
        <w:t>因持有股票而享有的配股权，以及停止交易、但未行权的权证，采用估值技术确定公允价值。</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w:t>
      </w:r>
      <w:r w:rsidR="00BA4B87" w:rsidRPr="00D6191E">
        <w:rPr>
          <w:rFonts w:asciiTheme="minorEastAsia" w:eastAsiaTheme="minorEastAsia" w:hAnsiTheme="minorEastAsia" w:hint="eastAsia"/>
          <w:szCs w:val="21"/>
        </w:rPr>
        <w:t>全国银行间债券市场交易的债券、资产支持证券等固定收益品种，采用估值技术确定公允价值。</w:t>
      </w:r>
    </w:p>
    <w:p w:rsidR="00BA4B87" w:rsidRDefault="0085353A"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w:t>
      </w:r>
      <w:r w:rsidR="00200D60" w:rsidRPr="00D6191E">
        <w:rPr>
          <w:rFonts w:asciiTheme="minorEastAsia" w:eastAsiaTheme="minorEastAsia" w:hAnsiTheme="minorEastAsia" w:hint="eastAsia"/>
          <w:szCs w:val="21"/>
        </w:rPr>
        <w:t>、</w:t>
      </w:r>
      <w:r w:rsidR="00BA4B87" w:rsidRPr="00D6191E">
        <w:rPr>
          <w:rFonts w:asciiTheme="minorEastAsia" w:eastAsiaTheme="minorEastAsia" w:hAnsiTheme="minorEastAsia" w:hint="eastAsia"/>
          <w:szCs w:val="21"/>
        </w:rPr>
        <w:t>同一债券同时在两个或两个以上市场交易的，按债券所处的市场分别估值。</w:t>
      </w:r>
    </w:p>
    <w:p w:rsidR="009A06F7" w:rsidRPr="00401C0B" w:rsidRDefault="009A06F7" w:rsidP="009A06F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bCs/>
          <w:szCs w:val="21"/>
        </w:rPr>
        <w:t>6</w:t>
      </w:r>
      <w:r w:rsidRPr="00401C0B">
        <w:rPr>
          <w:rFonts w:asciiTheme="minorEastAsia" w:eastAsiaTheme="minorEastAsia" w:hAnsiTheme="minorEastAsia"/>
          <w:bCs/>
          <w:szCs w:val="21"/>
        </w:rPr>
        <w:t xml:space="preserve">. </w:t>
      </w:r>
      <w:r w:rsidRPr="00401C0B">
        <w:rPr>
          <w:rFonts w:asciiTheme="minorEastAsia" w:eastAsiaTheme="minorEastAsia" w:hAnsiTheme="minorEastAsia" w:hint="eastAsia"/>
          <w:bCs/>
          <w:szCs w:val="21"/>
        </w:rPr>
        <w:t>本基金投资存托凭证的估值核算，依照境内上市交易的股票执行。</w:t>
      </w:r>
    </w:p>
    <w:p w:rsidR="00BA4B87" w:rsidRPr="00D6191E" w:rsidRDefault="009A06F7" w:rsidP="000449FE">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7</w:t>
      </w:r>
      <w:r w:rsidR="00200D60" w:rsidRPr="00D6191E">
        <w:rPr>
          <w:rFonts w:asciiTheme="minorEastAsia" w:eastAsiaTheme="minorEastAsia" w:hAnsiTheme="minorEastAsia" w:hint="eastAsia"/>
          <w:szCs w:val="21"/>
        </w:rPr>
        <w:t>、</w:t>
      </w:r>
      <w:r w:rsidR="00BA4B87" w:rsidRPr="00D6191E">
        <w:rPr>
          <w:rFonts w:asciiTheme="minorEastAsia" w:eastAsiaTheme="minorEastAsia" w:hAnsiTheme="minorEastAsia" w:hint="eastAsia"/>
          <w:szCs w:val="21"/>
        </w:rPr>
        <w:t>如有确凿证据表明按上述方法进行估值不能客观反映其公允价值的，基金管理人可根据具体情况与基金托管人商定后，按最能反映公允价值的价格估值。</w:t>
      </w:r>
    </w:p>
    <w:p w:rsidR="00BA4B87" w:rsidRPr="00D6191E" w:rsidRDefault="009A06F7" w:rsidP="000449FE">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8</w:t>
      </w:r>
      <w:r w:rsidR="00200D60" w:rsidRPr="00D6191E">
        <w:rPr>
          <w:rFonts w:asciiTheme="minorEastAsia" w:eastAsiaTheme="minorEastAsia" w:hAnsiTheme="minorEastAsia" w:hint="eastAsia"/>
          <w:szCs w:val="21"/>
        </w:rPr>
        <w:t>、</w:t>
      </w:r>
      <w:r w:rsidR="00BA4B87" w:rsidRPr="00D6191E">
        <w:rPr>
          <w:rFonts w:asciiTheme="minorEastAsia" w:eastAsiaTheme="minorEastAsia" w:hAnsiTheme="minorEastAsia" w:hint="eastAsia"/>
          <w:szCs w:val="21"/>
        </w:rPr>
        <w:t>相关法律法规以及监管部门有强制规定的，从其规定。如有新增事项，按国家最新规定估值。</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A4B87" w:rsidRPr="00D6191E" w:rsidRDefault="00BA4B87" w:rsidP="004D6C82">
      <w:pPr>
        <w:pStyle w:val="2"/>
        <w:snapToGrid w:val="0"/>
        <w:spacing w:beforeLines="0" w:afterLines="0" w:line="360" w:lineRule="auto"/>
        <w:ind w:firstLineChars="0" w:firstLine="420"/>
        <w:rPr>
          <w:rFonts w:asciiTheme="minorEastAsia" w:eastAsiaTheme="minorEastAsia" w:hAnsiTheme="minorEastAsia"/>
          <w:b w:val="0"/>
        </w:rPr>
      </w:pPr>
      <w:bookmarkStart w:id="75" w:name="_Toc86315895"/>
      <w:r w:rsidRPr="00D6191E">
        <w:rPr>
          <w:rFonts w:asciiTheme="minorEastAsia" w:eastAsiaTheme="minorEastAsia" w:hAnsiTheme="minorEastAsia" w:hint="eastAsia"/>
          <w:b w:val="0"/>
        </w:rPr>
        <w:t>(四)</w:t>
      </w:r>
      <w:r w:rsidRPr="00D6191E">
        <w:rPr>
          <w:rFonts w:asciiTheme="minorEastAsia" w:eastAsiaTheme="minorEastAsia" w:hAnsiTheme="minorEastAsia"/>
          <w:b w:val="0"/>
        </w:rPr>
        <w:t>估值对象</w:t>
      </w:r>
      <w:bookmarkEnd w:id="75"/>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基金所拥有的股票、</w:t>
      </w:r>
      <w:r w:rsidRPr="00D6191E">
        <w:rPr>
          <w:rFonts w:asciiTheme="minorEastAsia" w:eastAsiaTheme="minorEastAsia" w:hAnsiTheme="minorEastAsia" w:hint="eastAsia"/>
          <w:szCs w:val="21"/>
        </w:rPr>
        <w:t>权证、</w:t>
      </w:r>
      <w:r w:rsidRPr="00D6191E">
        <w:rPr>
          <w:rFonts w:asciiTheme="minorEastAsia" w:eastAsiaTheme="minorEastAsia" w:hAnsiTheme="minorEastAsia"/>
          <w:szCs w:val="21"/>
        </w:rPr>
        <w:t>债券和银行存款本息、应收款项、其它投资等资产</w:t>
      </w:r>
      <w:r w:rsidRPr="00D6191E">
        <w:rPr>
          <w:rFonts w:asciiTheme="minorEastAsia" w:eastAsiaTheme="minorEastAsia" w:hAnsiTheme="minorEastAsia" w:hint="eastAsia"/>
          <w:szCs w:val="21"/>
        </w:rPr>
        <w:t>和负债</w:t>
      </w:r>
      <w:r w:rsidRPr="00D6191E">
        <w:rPr>
          <w:rFonts w:asciiTheme="minorEastAsia" w:eastAsiaTheme="minorEastAsia" w:hAnsiTheme="minorEastAsia"/>
          <w:szCs w:val="21"/>
        </w:rPr>
        <w:t>。</w:t>
      </w:r>
    </w:p>
    <w:p w:rsidR="00BA4B87" w:rsidRPr="00D6191E" w:rsidRDefault="00BA4B87" w:rsidP="004D6C82">
      <w:pPr>
        <w:pStyle w:val="2"/>
        <w:snapToGrid w:val="0"/>
        <w:spacing w:beforeLines="0" w:afterLines="0" w:line="360" w:lineRule="auto"/>
        <w:ind w:firstLineChars="0" w:firstLine="420"/>
        <w:rPr>
          <w:rFonts w:asciiTheme="minorEastAsia" w:eastAsiaTheme="minorEastAsia" w:hAnsiTheme="minorEastAsia"/>
          <w:b w:val="0"/>
        </w:rPr>
      </w:pPr>
      <w:bookmarkStart w:id="76" w:name="_Toc86315896"/>
      <w:r w:rsidRPr="00D6191E">
        <w:rPr>
          <w:rFonts w:asciiTheme="minorEastAsia" w:eastAsiaTheme="minorEastAsia" w:hAnsiTheme="minorEastAsia" w:hint="eastAsia"/>
          <w:b w:val="0"/>
        </w:rPr>
        <w:t>(五)</w:t>
      </w:r>
      <w:r w:rsidRPr="00D6191E">
        <w:rPr>
          <w:rFonts w:asciiTheme="minorEastAsia" w:eastAsiaTheme="minorEastAsia" w:hAnsiTheme="minorEastAsia"/>
          <w:b w:val="0"/>
        </w:rPr>
        <w:t>估值程序</w:t>
      </w:r>
      <w:bookmarkEnd w:id="76"/>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1</w:t>
      </w:r>
      <w:r w:rsidR="00200D60"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基金份额净值是按照每个</w:t>
      </w:r>
      <w:r w:rsidRPr="00D6191E">
        <w:rPr>
          <w:rFonts w:asciiTheme="minorEastAsia" w:eastAsiaTheme="minorEastAsia" w:hAnsiTheme="minorEastAsia" w:hint="eastAsia"/>
          <w:szCs w:val="21"/>
        </w:rPr>
        <w:t>工作</w:t>
      </w:r>
      <w:r w:rsidRPr="00D6191E">
        <w:rPr>
          <w:rFonts w:asciiTheme="minorEastAsia" w:eastAsiaTheme="minorEastAsia" w:hAnsiTheme="minorEastAsia"/>
          <w:szCs w:val="21"/>
        </w:rPr>
        <w:t>日闭市后，基金资产净值除以当日基金份额的余额数量计算，精确到0.001元，小数点后第</w:t>
      </w:r>
      <w:r w:rsidRPr="00D6191E">
        <w:rPr>
          <w:rFonts w:asciiTheme="minorEastAsia" w:eastAsiaTheme="minorEastAsia" w:hAnsiTheme="minorEastAsia" w:hint="eastAsia"/>
          <w:szCs w:val="21"/>
        </w:rPr>
        <w:t>四</w:t>
      </w:r>
      <w:r w:rsidRPr="00D6191E">
        <w:rPr>
          <w:rFonts w:asciiTheme="minorEastAsia" w:eastAsiaTheme="minorEastAsia" w:hAnsiTheme="minorEastAsia"/>
          <w:szCs w:val="21"/>
        </w:rPr>
        <w:t>位四舍五入。国家另有规定的，从其规定。</w:t>
      </w:r>
    </w:p>
    <w:p w:rsidR="00BA4B87" w:rsidRPr="00D6191E" w:rsidRDefault="00BA4B87" w:rsidP="000449FE">
      <w:pPr>
        <w:snapToGrid w:val="0"/>
        <w:spacing w:line="360" w:lineRule="auto"/>
        <w:ind w:firstLineChars="200" w:firstLine="420"/>
        <w:rPr>
          <w:rFonts w:asciiTheme="minorEastAsia" w:eastAsiaTheme="minorEastAsia" w:hAnsiTheme="minorEastAsia"/>
          <w:sz w:val="24"/>
        </w:rPr>
      </w:pPr>
      <w:r w:rsidRPr="00D6191E">
        <w:rPr>
          <w:rFonts w:asciiTheme="minorEastAsia" w:eastAsiaTheme="minorEastAsia" w:hAnsiTheme="minorEastAsia"/>
          <w:szCs w:val="21"/>
        </w:rPr>
        <w:t>每个工作日计算基金资产净值及基金份额净值，并按规定公告</w:t>
      </w:r>
      <w:r w:rsidRPr="00D6191E">
        <w:rPr>
          <w:rFonts w:asciiTheme="minorEastAsia" w:eastAsiaTheme="minorEastAsia" w:hAnsiTheme="minorEastAsia" w:hint="eastAsia"/>
          <w:szCs w:val="21"/>
        </w:rPr>
        <w:t>。</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2</w:t>
      </w:r>
      <w:r w:rsidR="00200D60" w:rsidRPr="00D6191E">
        <w:rPr>
          <w:rFonts w:asciiTheme="minorEastAsia" w:eastAsiaTheme="minorEastAsia" w:hAnsiTheme="minorEastAsia" w:hint="eastAsia"/>
          <w:szCs w:val="21"/>
        </w:rPr>
        <w:t>、</w:t>
      </w:r>
      <w:r w:rsidRPr="00D6191E">
        <w:rPr>
          <w:rFonts w:asciiTheme="minorEastAsia" w:eastAsiaTheme="minorEastAsia" w:hAnsiTheme="minorEastAsia" w:hint="eastAsia"/>
          <w:szCs w:val="21"/>
        </w:rPr>
        <w:t>基金管理人应每个工作</w:t>
      </w:r>
      <w:r w:rsidRPr="00D6191E">
        <w:rPr>
          <w:rFonts w:asciiTheme="minorEastAsia" w:eastAsiaTheme="minorEastAsia" w:hAnsiTheme="minorEastAsia"/>
          <w:szCs w:val="21"/>
        </w:rPr>
        <w:t>日</w:t>
      </w:r>
      <w:r w:rsidRPr="00D6191E">
        <w:rPr>
          <w:rFonts w:asciiTheme="minorEastAsia" w:eastAsiaTheme="minorEastAsia" w:hAnsiTheme="minorEastAsia" w:hint="eastAsia"/>
          <w:szCs w:val="21"/>
        </w:rPr>
        <w:t>对基金资产估值。</w:t>
      </w:r>
      <w:r w:rsidRPr="00D6191E">
        <w:rPr>
          <w:rFonts w:asciiTheme="minorEastAsia" w:eastAsiaTheme="minorEastAsia" w:hAnsiTheme="minorEastAsia"/>
          <w:szCs w:val="21"/>
        </w:rPr>
        <w:t>基金管理人每个</w:t>
      </w:r>
      <w:r w:rsidRPr="00D6191E">
        <w:rPr>
          <w:rFonts w:asciiTheme="minorEastAsia" w:eastAsiaTheme="minorEastAsia" w:hAnsiTheme="minorEastAsia" w:hint="eastAsia"/>
          <w:szCs w:val="21"/>
        </w:rPr>
        <w:t>工作</w:t>
      </w:r>
      <w:r w:rsidRPr="00D6191E">
        <w:rPr>
          <w:rFonts w:asciiTheme="minorEastAsia" w:eastAsiaTheme="minorEastAsia" w:hAnsiTheme="minorEastAsia"/>
          <w:szCs w:val="21"/>
        </w:rPr>
        <w:t>日对基金资产估值后，将基金份额净值结果发送基金托管人，经基金托管人复核无误后，由基金管理人对外公布。</w:t>
      </w:r>
      <w:r w:rsidRPr="00D6191E">
        <w:rPr>
          <w:rFonts w:asciiTheme="minorEastAsia" w:eastAsiaTheme="minorEastAsia" w:hAnsiTheme="minorEastAsia" w:hint="eastAsia"/>
          <w:szCs w:val="21"/>
        </w:rPr>
        <w:t>月末、年中和年末估值复核与基金会计账目的核对同时进行。</w:t>
      </w:r>
    </w:p>
    <w:p w:rsidR="00BA4B87" w:rsidRPr="00D6191E" w:rsidRDefault="00BA4B87" w:rsidP="004D6C82">
      <w:pPr>
        <w:pStyle w:val="2"/>
        <w:snapToGrid w:val="0"/>
        <w:spacing w:beforeLines="0" w:afterLines="0" w:line="360" w:lineRule="auto"/>
        <w:ind w:firstLineChars="0" w:firstLine="420"/>
        <w:rPr>
          <w:rFonts w:asciiTheme="minorEastAsia" w:eastAsiaTheme="minorEastAsia" w:hAnsiTheme="minorEastAsia"/>
          <w:b w:val="0"/>
        </w:rPr>
      </w:pPr>
      <w:bookmarkStart w:id="77" w:name="_Toc86315897"/>
      <w:r w:rsidRPr="00D6191E">
        <w:rPr>
          <w:rFonts w:asciiTheme="minorEastAsia" w:eastAsiaTheme="minorEastAsia" w:hAnsiTheme="minorEastAsia" w:hint="eastAsia"/>
          <w:b w:val="0"/>
        </w:rPr>
        <w:t>(六)</w:t>
      </w:r>
      <w:r w:rsidRPr="00D6191E">
        <w:rPr>
          <w:rFonts w:asciiTheme="minorEastAsia" w:eastAsiaTheme="minorEastAsia" w:hAnsiTheme="minorEastAsia"/>
          <w:b w:val="0"/>
        </w:rPr>
        <w:t>估值错误的处理</w:t>
      </w:r>
      <w:bookmarkEnd w:id="77"/>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基金管理人和基金托管人将采取必要、适当、合理的措施确保基金资产估值的准确性、及时性。</w:t>
      </w:r>
      <w:r w:rsidRPr="00D6191E">
        <w:rPr>
          <w:rFonts w:asciiTheme="minorEastAsia" w:eastAsiaTheme="minorEastAsia" w:hAnsiTheme="minorEastAsia" w:hint="eastAsia"/>
          <w:szCs w:val="21"/>
        </w:rPr>
        <w:t>当基金份额净值小数点后3位以内(含第3位)发生差错时，视为基金份额净值错误。</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本基金合同的当事人应按照以下约定处理：</w:t>
      </w:r>
    </w:p>
    <w:p w:rsidR="00BA4B87" w:rsidRPr="00D6191E" w:rsidRDefault="00200D60" w:rsidP="003B4E4D">
      <w:pPr>
        <w:ind w:firstLineChars="200" w:firstLine="420"/>
        <w:rPr>
          <w:rFonts w:asciiTheme="minorEastAsia" w:eastAsiaTheme="minorEastAsia" w:hAnsiTheme="minorEastAsia"/>
        </w:rPr>
      </w:pPr>
      <w:r w:rsidRPr="00D6191E">
        <w:rPr>
          <w:rFonts w:asciiTheme="minorEastAsia" w:eastAsiaTheme="minorEastAsia" w:hAnsiTheme="minorEastAsia" w:hint="eastAsia"/>
        </w:rPr>
        <w:t>1、</w:t>
      </w:r>
      <w:r w:rsidR="00BA4B87" w:rsidRPr="00D6191E">
        <w:rPr>
          <w:rFonts w:asciiTheme="minorEastAsia" w:eastAsiaTheme="minorEastAsia" w:hAnsiTheme="minorEastAsia" w:hint="eastAsia"/>
        </w:rPr>
        <w:t>差错类型</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本基金运作过程中，如果由于基金管理人或基金托管人、或注册登记机构、或</w:t>
      </w:r>
      <w:r w:rsidR="00AE5F53" w:rsidRPr="00D6191E">
        <w:rPr>
          <w:rFonts w:asciiTheme="minorEastAsia" w:eastAsiaTheme="minorEastAsia" w:hAnsiTheme="minorEastAsia" w:hint="eastAsia"/>
          <w:szCs w:val="21"/>
        </w:rPr>
        <w:t>销售</w:t>
      </w:r>
      <w:r w:rsidRPr="00D6191E">
        <w:rPr>
          <w:rFonts w:asciiTheme="minorEastAsia" w:eastAsiaTheme="minorEastAsia" w:hAnsiTheme="minorEastAsia" w:hint="eastAsia"/>
          <w:szCs w:val="21"/>
        </w:rPr>
        <w:t>机构、或投资人自身的过错造成差错，导致其他当事人遭受损失的，过错的责任人应当对由于该差</w:t>
      </w:r>
      <w:r w:rsidRPr="00D6191E">
        <w:rPr>
          <w:rFonts w:asciiTheme="minorEastAsia" w:eastAsiaTheme="minorEastAsia" w:hAnsiTheme="minorEastAsia" w:hint="eastAsia"/>
          <w:szCs w:val="21"/>
        </w:rPr>
        <w:lastRenderedPageBreak/>
        <w:t>错遭受损失当事人(“受损方”)的直接损失按下述“差错处理原则”给予赔偿。</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A4B87" w:rsidRPr="00D6191E" w:rsidRDefault="00200D60" w:rsidP="003B4E4D">
      <w:pPr>
        <w:ind w:firstLineChars="200" w:firstLine="420"/>
        <w:rPr>
          <w:rFonts w:asciiTheme="minorEastAsia" w:eastAsiaTheme="minorEastAsia" w:hAnsiTheme="minorEastAsia"/>
        </w:rPr>
      </w:pPr>
      <w:r w:rsidRPr="00D6191E">
        <w:rPr>
          <w:rFonts w:asciiTheme="minorEastAsia" w:eastAsiaTheme="minorEastAsia" w:hAnsiTheme="minorEastAsia" w:hint="eastAsia"/>
        </w:rPr>
        <w:t>2、</w:t>
      </w:r>
      <w:r w:rsidR="00BA4B87" w:rsidRPr="00D6191E">
        <w:rPr>
          <w:rFonts w:asciiTheme="minorEastAsia" w:eastAsiaTheme="minorEastAsia" w:hAnsiTheme="minorEastAsia" w:hint="eastAsia"/>
        </w:rPr>
        <w:t>差错处理原则</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该当事人应当承担相应赔偿责任。差错责任方应对更正的情况向有关当事人进行确认，确保差错已得到更正。</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(2)差错的责任方对有关当事人的直接损失负责，不对间接损失负责，并且仅对差错的有关直接当事人负责，不对第三方负责。</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(4)差错调整采用尽量恢复至假设未发生差错的正确情形的方式。</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(7)按法律法规规定的其他原则处理差错。</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00BA4B87" w:rsidRPr="00D6191E">
        <w:rPr>
          <w:rFonts w:asciiTheme="minorEastAsia" w:eastAsiaTheme="minorEastAsia" w:hAnsiTheme="minorEastAsia" w:hint="eastAsia"/>
          <w:szCs w:val="21"/>
        </w:rPr>
        <w:t>差错处理程序</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差错被发现后，有关的当事人应当及时进行处理，处理的程序如下：</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lastRenderedPageBreak/>
        <w:t>(1)查明差错发生的原因，列明所有的当事人，并根据差错发生的原因确定差错的责任方；</w:t>
      </w:r>
    </w:p>
    <w:p w:rsidR="00BA4B87" w:rsidRPr="00D6191E" w:rsidRDefault="00BA4B87" w:rsidP="003B4E4D">
      <w:pPr>
        <w:ind w:firstLineChars="200" w:firstLine="420"/>
        <w:rPr>
          <w:rFonts w:asciiTheme="minorEastAsia" w:eastAsiaTheme="minorEastAsia" w:hAnsiTheme="minorEastAsia"/>
        </w:rPr>
      </w:pPr>
      <w:r w:rsidRPr="00D6191E">
        <w:rPr>
          <w:rFonts w:asciiTheme="minorEastAsia" w:eastAsiaTheme="minorEastAsia" w:hAnsiTheme="minorEastAsia" w:hint="eastAsia"/>
        </w:rPr>
        <w:t>(2)根据差错处理原则或当事人协商的方法对因差错造成的损失进行评估；</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(3)根据差错处理原则或当事人协商的方法由差错的责任方进行更正和赔偿损失；</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(4)根据差错处理的方法，需要修改基金注册登记机构交易数据的，由基金注册登记机构进行更正，并就差错的更正向有关当事人进行确认。</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w:t>
      </w:r>
      <w:r w:rsidR="00BA4B87" w:rsidRPr="00D6191E">
        <w:rPr>
          <w:rFonts w:asciiTheme="minorEastAsia" w:eastAsiaTheme="minorEastAsia" w:hAnsiTheme="minorEastAsia" w:hint="eastAsia"/>
          <w:szCs w:val="21"/>
        </w:rPr>
        <w:t>基金份额净值差错处理的原则和方法如下：</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(1)基金份额净值计算出现错误时，基金管理人应当立即予以纠正，通报基金托管人，并采取合理的措施防止损失进一步扩大。</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(2)错误偏差达到基金份额净值的0.25%时，基金管理人应当通报基金托管人并报中国证监会备案；错误偏差达到基金份额净值的0.5%时，基金管理人应当公告。</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(3)因基金份额净值计算错误，给基金或基金份额持有人造成损失的，应由基金管理人先行赔付，基金管理人按差错情形，有权向其他当事人追偿。</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(4)基金管理人和基金托管人由于各自技术系统设置而产生的净值计算尾差，以基金管理人计算结果为准。</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(5)前述内容如法律法规或监管机关另有规定的，从其规定处理。如果行业有通行做法，双方当事人应本着平等和保护基金份额持有人利益的原则进行协商。</w:t>
      </w:r>
    </w:p>
    <w:p w:rsidR="00BA4B87" w:rsidRPr="00D6191E" w:rsidRDefault="00BA4B87" w:rsidP="004D6C82">
      <w:pPr>
        <w:pStyle w:val="2"/>
        <w:snapToGrid w:val="0"/>
        <w:spacing w:beforeLines="0" w:afterLines="0" w:line="360" w:lineRule="auto"/>
        <w:ind w:firstLineChars="0" w:firstLine="420"/>
        <w:rPr>
          <w:rFonts w:asciiTheme="minorEastAsia" w:eastAsiaTheme="minorEastAsia" w:hAnsiTheme="minorEastAsia"/>
          <w:b w:val="0"/>
        </w:rPr>
      </w:pPr>
      <w:bookmarkStart w:id="78" w:name="_Toc86315898"/>
      <w:r w:rsidRPr="00D6191E">
        <w:rPr>
          <w:rFonts w:asciiTheme="minorEastAsia" w:eastAsiaTheme="minorEastAsia" w:hAnsiTheme="minorEastAsia" w:hint="eastAsia"/>
          <w:b w:val="0"/>
        </w:rPr>
        <w:t>(七)</w:t>
      </w:r>
      <w:r w:rsidRPr="00D6191E">
        <w:rPr>
          <w:rFonts w:asciiTheme="minorEastAsia" w:eastAsiaTheme="minorEastAsia" w:hAnsiTheme="minorEastAsia"/>
          <w:b w:val="0"/>
        </w:rPr>
        <w:t>暂停估值的情形</w:t>
      </w:r>
      <w:bookmarkEnd w:id="78"/>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szCs w:val="21"/>
        </w:rPr>
        <w:t>基金投资所涉及的证券交易</w:t>
      </w:r>
      <w:r w:rsidR="00BA4B87" w:rsidRPr="00D6191E">
        <w:rPr>
          <w:rFonts w:asciiTheme="minorEastAsia" w:eastAsiaTheme="minorEastAsia" w:hAnsiTheme="minorEastAsia" w:hint="eastAsia"/>
          <w:szCs w:val="21"/>
        </w:rPr>
        <w:t>市场</w:t>
      </w:r>
      <w:r w:rsidR="00BA4B87" w:rsidRPr="00D6191E">
        <w:rPr>
          <w:rFonts w:asciiTheme="minorEastAsia" w:eastAsiaTheme="minorEastAsia" w:hAnsiTheme="minorEastAsia"/>
          <w:szCs w:val="21"/>
        </w:rPr>
        <w:t>遇法定节假日或因其他原因暂停</w:t>
      </w:r>
      <w:r w:rsidR="00BA4B87" w:rsidRPr="00D6191E">
        <w:rPr>
          <w:rFonts w:asciiTheme="minorEastAsia" w:eastAsiaTheme="minorEastAsia" w:hAnsiTheme="minorEastAsia" w:hint="eastAsia"/>
          <w:szCs w:val="21"/>
        </w:rPr>
        <w:t>交易</w:t>
      </w:r>
      <w:r w:rsidR="00BA4B87" w:rsidRPr="00D6191E">
        <w:rPr>
          <w:rFonts w:asciiTheme="minorEastAsia" w:eastAsiaTheme="minorEastAsia" w:hAnsiTheme="minorEastAsia"/>
          <w:szCs w:val="21"/>
        </w:rPr>
        <w:t>时；</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2</w:t>
      </w:r>
      <w:r w:rsidR="00200D60"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因不可抗力或其它情形致使基金管理人、基金托管人无法准确评估基金资产价值时；</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3</w:t>
      </w:r>
      <w:r w:rsidR="00200D60" w:rsidRPr="00D6191E">
        <w:rPr>
          <w:rFonts w:asciiTheme="minorEastAsia" w:eastAsiaTheme="minorEastAsia" w:hAnsiTheme="minorEastAsia" w:hint="eastAsia"/>
          <w:szCs w:val="21"/>
        </w:rPr>
        <w:t>、</w:t>
      </w:r>
      <w:r w:rsidRPr="00D6191E">
        <w:rPr>
          <w:rFonts w:asciiTheme="minorEastAsia" w:eastAsiaTheme="minorEastAsia" w:hAnsiTheme="minorEastAsia" w:hint="eastAsia"/>
          <w:szCs w:val="21"/>
        </w:rPr>
        <w:t>占基金相当比例的投资品种的估值出现重大转变，而基金管理人为保障投资人的利益，决定延迟估值；</w:t>
      </w:r>
    </w:p>
    <w:p w:rsidR="00BA7A94"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w:t>
      </w:r>
      <w:r w:rsidR="009A06F7" w:rsidRPr="009A06F7">
        <w:rPr>
          <w:rFonts w:asciiTheme="minorEastAsia" w:eastAsiaTheme="minorEastAsia" w:hAnsiTheme="minorEastAsia" w:hint="eastAsia"/>
          <w:szCs w:val="21"/>
        </w:rPr>
        <w:t>当特定资产占前一估值日基金资产净值50%以上的，经与基金托管人协商确认后，基金管理人应当暂停估值；</w:t>
      </w:r>
    </w:p>
    <w:p w:rsidR="00BA4B87" w:rsidRPr="00D6191E" w:rsidRDefault="00BA7A94"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w:t>
      </w:r>
      <w:r w:rsidRPr="00D6191E">
        <w:rPr>
          <w:rFonts w:asciiTheme="minorEastAsia" w:eastAsiaTheme="minorEastAsia" w:hAnsiTheme="minorEastAsia"/>
          <w:szCs w:val="21"/>
        </w:rPr>
        <w:t>、</w:t>
      </w:r>
      <w:r w:rsidR="00BA4B87" w:rsidRPr="00D6191E">
        <w:rPr>
          <w:rFonts w:asciiTheme="minorEastAsia" w:eastAsiaTheme="minorEastAsia" w:hAnsiTheme="minorEastAsia"/>
          <w:szCs w:val="21"/>
        </w:rPr>
        <w:t>中国证监会和基金合同认定的其它情形。</w:t>
      </w:r>
    </w:p>
    <w:p w:rsidR="00BA4B87" w:rsidRPr="00D6191E" w:rsidRDefault="00BA4B87" w:rsidP="004D6C82">
      <w:pPr>
        <w:pStyle w:val="2"/>
        <w:snapToGrid w:val="0"/>
        <w:spacing w:beforeLines="0" w:afterLines="0" w:line="360" w:lineRule="auto"/>
        <w:ind w:firstLineChars="0" w:firstLine="420"/>
        <w:rPr>
          <w:rFonts w:asciiTheme="minorEastAsia" w:eastAsiaTheme="minorEastAsia" w:hAnsiTheme="minorEastAsia"/>
          <w:b w:val="0"/>
        </w:rPr>
      </w:pPr>
      <w:bookmarkStart w:id="79" w:name="_Toc86315899"/>
      <w:r w:rsidRPr="00D6191E">
        <w:rPr>
          <w:rFonts w:asciiTheme="minorEastAsia" w:eastAsiaTheme="minorEastAsia" w:hAnsiTheme="minorEastAsia" w:hint="eastAsia"/>
          <w:b w:val="0"/>
        </w:rPr>
        <w:t>(八)</w:t>
      </w:r>
      <w:r w:rsidRPr="00D6191E">
        <w:rPr>
          <w:rFonts w:asciiTheme="minorEastAsia" w:eastAsiaTheme="minorEastAsia" w:hAnsiTheme="minorEastAsia"/>
          <w:b w:val="0"/>
        </w:rPr>
        <w:t>基金净值的确认</w:t>
      </w:r>
      <w:bookmarkEnd w:id="79"/>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rsidR="00BA4B87" w:rsidRPr="00D6191E" w:rsidRDefault="00BA4B87" w:rsidP="004D6C82">
      <w:pPr>
        <w:pStyle w:val="2"/>
        <w:snapToGrid w:val="0"/>
        <w:spacing w:beforeLines="0" w:afterLines="0" w:line="360" w:lineRule="auto"/>
        <w:ind w:firstLineChars="0" w:firstLine="420"/>
        <w:rPr>
          <w:rFonts w:asciiTheme="minorEastAsia" w:eastAsiaTheme="minorEastAsia" w:hAnsiTheme="minorEastAsia"/>
          <w:b w:val="0"/>
        </w:rPr>
      </w:pPr>
      <w:bookmarkStart w:id="80" w:name="_Toc86315900"/>
      <w:r w:rsidRPr="00D6191E">
        <w:rPr>
          <w:rFonts w:asciiTheme="minorEastAsia" w:eastAsiaTheme="minorEastAsia" w:hAnsiTheme="minorEastAsia" w:hint="eastAsia"/>
          <w:b w:val="0"/>
        </w:rPr>
        <w:t>(九)</w:t>
      </w:r>
      <w:r w:rsidRPr="00D6191E">
        <w:rPr>
          <w:rFonts w:asciiTheme="minorEastAsia" w:eastAsiaTheme="minorEastAsia" w:hAnsiTheme="minorEastAsia"/>
          <w:b w:val="0"/>
        </w:rPr>
        <w:t>特殊情况的处理</w:t>
      </w:r>
      <w:bookmarkEnd w:id="80"/>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szCs w:val="21"/>
        </w:rPr>
        <w:t>基金管理人或基金托管人按估值方法的第</w:t>
      </w:r>
      <w:r w:rsidR="00F56C78">
        <w:rPr>
          <w:rFonts w:asciiTheme="minorEastAsia" w:eastAsiaTheme="minorEastAsia" w:hAnsiTheme="minorEastAsia"/>
          <w:szCs w:val="21"/>
        </w:rPr>
        <w:t>7</w:t>
      </w:r>
      <w:r w:rsidR="00BA4B87" w:rsidRPr="00D6191E">
        <w:rPr>
          <w:rFonts w:asciiTheme="minorEastAsia" w:eastAsiaTheme="minorEastAsia" w:hAnsiTheme="minorEastAsia"/>
          <w:szCs w:val="21"/>
        </w:rPr>
        <w:t>项进行估值时，所造成的误差不作为</w:t>
      </w:r>
      <w:r w:rsidR="00BA4B87" w:rsidRPr="00D6191E">
        <w:rPr>
          <w:rFonts w:asciiTheme="minorEastAsia" w:eastAsiaTheme="minorEastAsia" w:hAnsiTheme="minorEastAsia" w:hint="eastAsia"/>
          <w:szCs w:val="21"/>
        </w:rPr>
        <w:t>基金资产估值</w:t>
      </w:r>
      <w:r w:rsidR="00BA4B87" w:rsidRPr="00D6191E">
        <w:rPr>
          <w:rFonts w:asciiTheme="minorEastAsia" w:eastAsiaTheme="minorEastAsia" w:hAnsiTheme="minorEastAsia"/>
          <w:szCs w:val="21"/>
        </w:rPr>
        <w:t>错误处理。</w:t>
      </w:r>
    </w:p>
    <w:p w:rsidR="00BA4B87"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lastRenderedPageBreak/>
        <w:t>2、</w:t>
      </w:r>
      <w:r w:rsidR="00BA4B87" w:rsidRPr="00D6191E">
        <w:rPr>
          <w:rFonts w:asciiTheme="minorEastAsia" w:eastAsiaTheme="minorEastAsia" w:hAnsiTheme="minorEastAsia"/>
          <w:szCs w:val="21"/>
        </w:rPr>
        <w:t>由于不可抗力原因，或由于证券交易所</w:t>
      </w:r>
      <w:r w:rsidR="00BA4B87" w:rsidRPr="00D6191E">
        <w:rPr>
          <w:rFonts w:asciiTheme="minorEastAsia" w:eastAsiaTheme="minorEastAsia" w:hAnsiTheme="minorEastAsia" w:hint="eastAsia"/>
          <w:szCs w:val="21"/>
        </w:rPr>
        <w:t>或</w:t>
      </w:r>
      <w:r w:rsidR="00BA4B87" w:rsidRPr="00D6191E">
        <w:rPr>
          <w:rFonts w:asciiTheme="minorEastAsia" w:eastAsiaTheme="minorEastAsia" w:hAnsiTheme="minorEastAsia"/>
          <w:szCs w:val="21"/>
        </w:rPr>
        <w:t>登记</w:t>
      </w:r>
      <w:r w:rsidR="00BA4B87" w:rsidRPr="00D6191E">
        <w:rPr>
          <w:rFonts w:asciiTheme="minorEastAsia" w:eastAsiaTheme="minorEastAsia" w:hAnsiTheme="minorEastAsia" w:hint="eastAsia"/>
          <w:szCs w:val="21"/>
        </w:rPr>
        <w:t>结算</w:t>
      </w:r>
      <w:r w:rsidR="00BA4B87" w:rsidRPr="00D6191E">
        <w:rPr>
          <w:rFonts w:asciiTheme="minorEastAsia" w:eastAsiaTheme="minorEastAsia" w:hAnsiTheme="minorEastAsia"/>
          <w:szCs w:val="21"/>
        </w:rPr>
        <w:t>公司发送的数据错误，</w:t>
      </w:r>
      <w:r w:rsidR="00BA4B87" w:rsidRPr="00D6191E">
        <w:rPr>
          <w:rFonts w:asciiTheme="minorEastAsia" w:eastAsiaTheme="minorEastAsia" w:hAnsiTheme="minorEastAsia" w:hint="eastAsia"/>
          <w:szCs w:val="21"/>
        </w:rPr>
        <w:t>或国家会计政策变更、市场规则变更等，</w:t>
      </w:r>
      <w:r w:rsidR="00BA4B87" w:rsidRPr="00D6191E">
        <w:rPr>
          <w:rFonts w:asciiTheme="minorEastAsia" w:eastAsiaTheme="minorEastAsia" w:hAnsiTheme="minorEastAsia"/>
          <w:szCs w:val="21"/>
        </w:rPr>
        <w:t>基金管理人和基金托管人虽然已经采取必要、适当、合理的措施进行检查，但未能发现错误的，由此造成的基金资产估值错误，基金管理人和基金托管人免除赔偿责任。但基金管理人</w:t>
      </w:r>
      <w:r w:rsidR="00BA4B87" w:rsidRPr="00D6191E">
        <w:rPr>
          <w:rFonts w:asciiTheme="minorEastAsia" w:eastAsiaTheme="minorEastAsia" w:hAnsiTheme="minorEastAsia" w:hint="eastAsia"/>
          <w:szCs w:val="21"/>
        </w:rPr>
        <w:t>、基金托管人</w:t>
      </w:r>
      <w:r w:rsidR="00BA4B87" w:rsidRPr="00D6191E">
        <w:rPr>
          <w:rFonts w:asciiTheme="minorEastAsia" w:eastAsiaTheme="minorEastAsia" w:hAnsiTheme="minorEastAsia"/>
          <w:szCs w:val="21"/>
        </w:rPr>
        <w:t>应当积极采取必要的措施消除由此造成的影响。</w:t>
      </w:r>
    </w:p>
    <w:p w:rsidR="009A06F7" w:rsidRPr="009A06F7" w:rsidRDefault="009A06F7" w:rsidP="009A06F7">
      <w:pPr>
        <w:snapToGrid w:val="0"/>
        <w:spacing w:line="360" w:lineRule="auto"/>
        <w:ind w:firstLineChars="200" w:firstLine="420"/>
        <w:rPr>
          <w:rFonts w:asciiTheme="minorEastAsia" w:eastAsiaTheme="minorEastAsia" w:hAnsiTheme="minorEastAsia"/>
        </w:rPr>
      </w:pPr>
      <w:r w:rsidRPr="009A06F7">
        <w:rPr>
          <w:rFonts w:asciiTheme="minorEastAsia" w:eastAsiaTheme="minorEastAsia" w:hAnsiTheme="minorEastAsia" w:hint="eastAsia"/>
        </w:rPr>
        <w:t>（十）实施侧袋机制期间的基金资产估值</w:t>
      </w:r>
    </w:p>
    <w:p w:rsidR="009A06F7" w:rsidRPr="00D6191E" w:rsidRDefault="009A06F7" w:rsidP="009A06F7">
      <w:pPr>
        <w:snapToGrid w:val="0"/>
        <w:spacing w:line="360" w:lineRule="auto"/>
        <w:ind w:firstLineChars="200" w:firstLine="420"/>
        <w:rPr>
          <w:rFonts w:asciiTheme="minorEastAsia" w:eastAsiaTheme="minorEastAsia" w:hAnsiTheme="minorEastAsia"/>
        </w:rPr>
      </w:pPr>
      <w:r w:rsidRPr="009A06F7">
        <w:rPr>
          <w:rFonts w:asciiTheme="minorEastAsia" w:eastAsiaTheme="minorEastAsia" w:hAnsiTheme="minorEastAsia" w:hint="eastAsia"/>
        </w:rPr>
        <w:t>本基金实施侧袋机制的，应根据本部分的约定对主袋账户资产进行估值并披露主袋账户的基金资产净值和份额净值，暂停披露侧袋账户份额净值。</w:t>
      </w:r>
    </w:p>
    <w:p w:rsidR="00BA4B87" w:rsidRPr="00D6191E" w:rsidRDefault="00BA4B87" w:rsidP="004D6C82">
      <w:pPr>
        <w:pStyle w:val="1"/>
        <w:snapToGrid w:val="0"/>
        <w:spacing w:beforeLines="0" w:afterLines="0" w:line="360" w:lineRule="auto"/>
        <w:ind w:firstLine="600"/>
        <w:rPr>
          <w:rFonts w:asciiTheme="minorEastAsia" w:eastAsiaTheme="minorEastAsia" w:hAnsiTheme="minorEastAsia"/>
          <w:bCs/>
        </w:rPr>
      </w:pPr>
      <w:r w:rsidRPr="00D6191E">
        <w:rPr>
          <w:rFonts w:asciiTheme="minorEastAsia" w:eastAsiaTheme="minorEastAsia" w:hAnsiTheme="minorEastAsia" w:hint="eastAsia"/>
          <w:sz w:val="30"/>
        </w:rPr>
        <w:br w:type="column"/>
      </w:r>
      <w:bookmarkStart w:id="81" w:name="_Toc86315901"/>
      <w:r w:rsidR="009C0CEE" w:rsidRPr="00D6191E">
        <w:rPr>
          <w:rFonts w:asciiTheme="minorEastAsia" w:eastAsiaTheme="minorEastAsia" w:hAnsiTheme="minorEastAsia" w:hint="eastAsia"/>
          <w:sz w:val="30"/>
        </w:rPr>
        <w:lastRenderedPageBreak/>
        <w:t>十五</w:t>
      </w:r>
      <w:r w:rsidRPr="00D6191E">
        <w:rPr>
          <w:rFonts w:asciiTheme="minorEastAsia" w:eastAsiaTheme="minorEastAsia" w:hAnsiTheme="minorEastAsia" w:hint="eastAsia"/>
          <w:sz w:val="30"/>
        </w:rPr>
        <w:t>、基金的收益分配</w:t>
      </w:r>
      <w:bookmarkEnd w:id="81"/>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rPr>
      </w:pPr>
      <w:bookmarkStart w:id="82" w:name="_Toc86315902"/>
      <w:r w:rsidRPr="00D6191E">
        <w:rPr>
          <w:rFonts w:asciiTheme="minorEastAsia" w:eastAsiaTheme="minorEastAsia" w:hAnsiTheme="minorEastAsia" w:hint="eastAsia"/>
          <w:b w:val="0"/>
        </w:rPr>
        <w:t>(一)基金利润的构成</w:t>
      </w:r>
      <w:bookmarkEnd w:id="82"/>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基金利润指基金利息收入、投资收益、公允价值变动收益和其他收入扣除相关费用后的余额；基金已实现收益指基金利润减去公允价值变动收益后的余额。</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rPr>
      </w:pPr>
      <w:bookmarkStart w:id="83" w:name="_Toc86315903"/>
      <w:r w:rsidRPr="00D6191E">
        <w:rPr>
          <w:rFonts w:asciiTheme="minorEastAsia" w:eastAsiaTheme="minorEastAsia" w:hAnsiTheme="minorEastAsia" w:hint="eastAsia"/>
          <w:b w:val="0"/>
        </w:rPr>
        <w:t>(二)基金可供分配利润</w:t>
      </w:r>
      <w:bookmarkEnd w:id="83"/>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基金可供分配利润指截至收益分配基准日基金未分配利润与未分配利润中已实现收益的孰低数。</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rPr>
      </w:pPr>
      <w:bookmarkStart w:id="84" w:name="_Toc86315904"/>
      <w:r w:rsidRPr="00D6191E">
        <w:rPr>
          <w:rFonts w:asciiTheme="minorEastAsia" w:eastAsiaTheme="minorEastAsia" w:hAnsiTheme="minorEastAsia" w:hint="eastAsia"/>
          <w:b w:val="0"/>
        </w:rPr>
        <w:t>(三)收益分配原则</w:t>
      </w:r>
      <w:bookmarkEnd w:id="84"/>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w:t>
      </w:r>
      <w:r w:rsidRPr="00D6191E">
        <w:rPr>
          <w:rFonts w:asciiTheme="minorEastAsia" w:eastAsiaTheme="minorEastAsia" w:hAnsiTheme="minorEastAsia"/>
          <w:szCs w:val="21"/>
        </w:rPr>
        <w:t>基金收益分配应遵循下列原则：</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hint="eastAsia"/>
          <w:szCs w:val="21"/>
        </w:rPr>
        <w:t>由于本基金A类基金份额不收取销售服务费，而C类基金份额收取销售服务费，各基金份额类别对应的可供分配利润将有所不同。本基金同一类别的每一基金份额享有同等分配权</w:t>
      </w:r>
      <w:r w:rsidR="00BA4B87" w:rsidRPr="00D6191E">
        <w:rPr>
          <w:rFonts w:asciiTheme="minorEastAsia" w:eastAsiaTheme="minorEastAsia" w:hAnsiTheme="minorEastAsia"/>
          <w:szCs w:val="21"/>
        </w:rPr>
        <w:t>；</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BA4B87" w:rsidRPr="00D6191E">
        <w:rPr>
          <w:rFonts w:asciiTheme="minorEastAsia" w:eastAsiaTheme="minorEastAsia" w:hAnsiTheme="minorEastAsia"/>
          <w:szCs w:val="21"/>
        </w:rPr>
        <w:t>本基金收益每年最多分配</w:t>
      </w:r>
      <w:r w:rsidR="00BA4B87" w:rsidRPr="00D6191E">
        <w:rPr>
          <w:rFonts w:asciiTheme="minorEastAsia" w:eastAsiaTheme="minorEastAsia" w:hAnsiTheme="minorEastAsia" w:hint="eastAsia"/>
          <w:szCs w:val="21"/>
        </w:rPr>
        <w:t>12</w:t>
      </w:r>
      <w:r w:rsidR="00BA4B87" w:rsidRPr="00D6191E">
        <w:rPr>
          <w:rFonts w:asciiTheme="minorEastAsia" w:eastAsiaTheme="minorEastAsia" w:hAnsiTheme="minorEastAsia"/>
          <w:szCs w:val="21"/>
        </w:rPr>
        <w:t>次，</w:t>
      </w:r>
      <w:r w:rsidR="00BA4B87" w:rsidRPr="00D6191E">
        <w:rPr>
          <w:rFonts w:asciiTheme="minorEastAsia" w:eastAsiaTheme="minorEastAsia" w:hAnsiTheme="minorEastAsia" w:hint="eastAsia"/>
          <w:szCs w:val="21"/>
        </w:rPr>
        <w:t>每份基金份额</w:t>
      </w:r>
      <w:r w:rsidR="00BA4B87" w:rsidRPr="00D6191E">
        <w:rPr>
          <w:rFonts w:asciiTheme="minorEastAsia" w:eastAsiaTheme="minorEastAsia" w:hAnsiTheme="minorEastAsia"/>
          <w:szCs w:val="21"/>
        </w:rPr>
        <w:t>每次基金收益分配比例不低于</w:t>
      </w:r>
      <w:r w:rsidR="00BA4B87" w:rsidRPr="00D6191E">
        <w:rPr>
          <w:rFonts w:asciiTheme="minorEastAsia" w:eastAsiaTheme="minorEastAsia" w:hAnsiTheme="minorEastAsia" w:hint="eastAsia"/>
          <w:szCs w:val="21"/>
        </w:rPr>
        <w:t>收益分配基准日每份基金份额可供分配利润</w:t>
      </w:r>
      <w:r w:rsidR="00BA4B87" w:rsidRPr="00D6191E">
        <w:rPr>
          <w:rFonts w:asciiTheme="minorEastAsia" w:eastAsiaTheme="minorEastAsia" w:hAnsiTheme="minorEastAsia"/>
          <w:szCs w:val="21"/>
        </w:rPr>
        <w:t>的</w:t>
      </w:r>
      <w:r w:rsidR="00BA4B87" w:rsidRPr="00D6191E">
        <w:rPr>
          <w:rFonts w:asciiTheme="minorEastAsia" w:eastAsiaTheme="minorEastAsia" w:hAnsiTheme="minorEastAsia" w:hint="eastAsia"/>
          <w:szCs w:val="21"/>
        </w:rPr>
        <w:t>60</w:t>
      </w:r>
      <w:r w:rsidR="00BA4B87" w:rsidRPr="00D6191E">
        <w:rPr>
          <w:rFonts w:asciiTheme="minorEastAsia" w:eastAsiaTheme="minorEastAsia" w:hAnsiTheme="minorEastAsia"/>
          <w:szCs w:val="21"/>
        </w:rPr>
        <w:t>%；</w:t>
      </w:r>
    </w:p>
    <w:p w:rsidR="00BA4B87" w:rsidRPr="00D6191E" w:rsidRDefault="00200D60" w:rsidP="006F18BB">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00BA4B87" w:rsidRPr="00D6191E">
        <w:rPr>
          <w:rFonts w:asciiTheme="minorEastAsia" w:eastAsiaTheme="minorEastAsia" w:hAnsiTheme="minorEastAsia" w:hint="eastAsia"/>
          <w:szCs w:val="21"/>
        </w:rPr>
        <w:t>若基金合同生效不满3个月则可不进行收益分配；</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w:t>
      </w:r>
      <w:r w:rsidR="00BA4B87" w:rsidRPr="00D6191E">
        <w:rPr>
          <w:rFonts w:asciiTheme="minorEastAsia" w:eastAsiaTheme="minorEastAsia" w:hAnsiTheme="minorEastAsia" w:hint="eastAsia"/>
          <w:szCs w:val="21"/>
        </w:rPr>
        <w:t>本基金收益分配方式分为两种：现金分红与红利再投资，投资人可选择现金红利或将现金红利自动转为基金份额进行再投资；若投资人不选择，本基金默认的收益分配方式是现金分红；</w:t>
      </w:r>
    </w:p>
    <w:p w:rsidR="00BA4B87" w:rsidRPr="00D6191E" w:rsidRDefault="00200D60" w:rsidP="006F18BB">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w:t>
      </w:r>
      <w:r w:rsidR="00BA4B87" w:rsidRPr="00D6191E">
        <w:rPr>
          <w:rFonts w:asciiTheme="minorEastAsia" w:eastAsiaTheme="minorEastAsia" w:hAnsiTheme="minorEastAsia" w:hint="eastAsia"/>
          <w:szCs w:val="21"/>
        </w:rPr>
        <w:t>基金红利发放日距离收益分配基准日的时间不得超过15个工作日；</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6、</w:t>
      </w:r>
      <w:r w:rsidR="00BA4B87" w:rsidRPr="00D6191E">
        <w:rPr>
          <w:rFonts w:asciiTheme="minorEastAsia" w:eastAsiaTheme="minorEastAsia" w:hAnsiTheme="minorEastAsia" w:hint="eastAsia"/>
          <w:szCs w:val="21"/>
        </w:rPr>
        <w:t>基金收益分配后每一基金份额净值不能低于面值，即基金收益分配基准日的基金份额净值减去每单位基金份额收益分配金额后不能低于面值；</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7、</w:t>
      </w:r>
      <w:r w:rsidR="00BA4B87" w:rsidRPr="00D6191E">
        <w:rPr>
          <w:rFonts w:asciiTheme="minorEastAsia" w:eastAsiaTheme="minorEastAsia" w:hAnsiTheme="minorEastAsia"/>
          <w:szCs w:val="21"/>
        </w:rPr>
        <w:t>法律法规或监管机构另有规定的从其规定。</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在不影响基金份额持有人利益的情况下，基金管理人与托管人协商一致后，可在法律法规允许的前提下酌情调整以上基金收益分配原则，此项调整不需要召开基金份额持有人大会，但应于变更实施日前在</w:t>
      </w:r>
      <w:r w:rsidR="00F44B20" w:rsidRPr="00D6191E">
        <w:rPr>
          <w:rFonts w:asciiTheme="minorEastAsia" w:eastAsiaTheme="minorEastAsia" w:hAnsiTheme="minorEastAsia" w:hint="eastAsia"/>
          <w:szCs w:val="21"/>
        </w:rPr>
        <w:t>指定媒介</w:t>
      </w:r>
      <w:r w:rsidRPr="00D6191E">
        <w:rPr>
          <w:rFonts w:asciiTheme="minorEastAsia" w:eastAsiaTheme="minorEastAsia" w:hAnsiTheme="minorEastAsia" w:hint="eastAsia"/>
          <w:szCs w:val="21"/>
        </w:rPr>
        <w:t>上公告并报证监会备案。</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rPr>
      </w:pPr>
      <w:bookmarkStart w:id="85" w:name="_Toc86315905"/>
      <w:r w:rsidRPr="00D6191E">
        <w:rPr>
          <w:rFonts w:asciiTheme="minorEastAsia" w:eastAsiaTheme="minorEastAsia" w:hAnsiTheme="minorEastAsia" w:hint="eastAsia"/>
          <w:b w:val="0"/>
        </w:rPr>
        <w:t>(四)收益分配方案</w:t>
      </w:r>
      <w:bookmarkEnd w:id="85"/>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基金收益分配方案中应载明</w:t>
      </w:r>
      <w:r w:rsidRPr="00D6191E">
        <w:rPr>
          <w:rFonts w:asciiTheme="minorEastAsia" w:eastAsiaTheme="minorEastAsia" w:hAnsiTheme="minorEastAsia" w:hint="eastAsia"/>
          <w:szCs w:val="21"/>
        </w:rPr>
        <w:t>收益分配基准日以及该日的可供分配利润、</w:t>
      </w:r>
      <w:r w:rsidRPr="00D6191E">
        <w:rPr>
          <w:rFonts w:asciiTheme="minorEastAsia" w:eastAsiaTheme="minorEastAsia" w:hAnsiTheme="minorEastAsia"/>
          <w:szCs w:val="21"/>
        </w:rPr>
        <w:t>基金收益分配对象、分配时间、分配数额及比例、支付方式等内容。</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rPr>
      </w:pPr>
      <w:bookmarkStart w:id="86" w:name="_Toc86315906"/>
      <w:r w:rsidRPr="00D6191E">
        <w:rPr>
          <w:rFonts w:asciiTheme="minorEastAsia" w:eastAsiaTheme="minorEastAsia" w:hAnsiTheme="minorEastAsia" w:hint="eastAsia"/>
          <w:b w:val="0"/>
        </w:rPr>
        <w:t>(五)收益分配方案的确定、公告与实施</w:t>
      </w:r>
      <w:bookmarkEnd w:id="86"/>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1</w:t>
      </w:r>
      <w:r w:rsidR="00200D60"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基金收益分配方案由基金管理人拟订，由基金托管人</w:t>
      </w:r>
      <w:r w:rsidRPr="00D6191E">
        <w:rPr>
          <w:rFonts w:asciiTheme="minorEastAsia" w:eastAsiaTheme="minorEastAsia" w:hAnsiTheme="minorEastAsia" w:hint="eastAsia"/>
          <w:szCs w:val="21"/>
        </w:rPr>
        <w:t>复核</w:t>
      </w:r>
      <w:r w:rsidRPr="00D6191E">
        <w:rPr>
          <w:rFonts w:asciiTheme="minorEastAsia" w:eastAsiaTheme="minorEastAsia" w:hAnsiTheme="minorEastAsia"/>
          <w:szCs w:val="21"/>
        </w:rPr>
        <w:t>，</w:t>
      </w:r>
      <w:r w:rsidRPr="00D6191E">
        <w:rPr>
          <w:rFonts w:asciiTheme="minorEastAsia" w:eastAsiaTheme="minorEastAsia" w:hAnsiTheme="minorEastAsia" w:hint="eastAsia"/>
          <w:szCs w:val="21"/>
        </w:rPr>
        <w:t>依照《信息披露办法》的有关规定在</w:t>
      </w:r>
      <w:r w:rsidR="00F44B20" w:rsidRPr="00D6191E">
        <w:rPr>
          <w:rFonts w:asciiTheme="minorEastAsia" w:eastAsiaTheme="minorEastAsia" w:hAnsiTheme="minorEastAsia" w:hint="eastAsia"/>
          <w:szCs w:val="21"/>
        </w:rPr>
        <w:t>指定媒介</w:t>
      </w:r>
      <w:r w:rsidRPr="00D6191E">
        <w:rPr>
          <w:rFonts w:asciiTheme="minorEastAsia" w:eastAsiaTheme="minorEastAsia" w:hAnsiTheme="minorEastAsia" w:hint="eastAsia"/>
          <w:szCs w:val="21"/>
        </w:rPr>
        <w:t>上公告</w:t>
      </w:r>
      <w:r w:rsidRPr="00D6191E">
        <w:rPr>
          <w:rFonts w:asciiTheme="minorEastAsia" w:eastAsiaTheme="minorEastAsia" w:hAnsiTheme="minorEastAsia"/>
          <w:szCs w:val="21"/>
        </w:rPr>
        <w:t>；</w:t>
      </w:r>
    </w:p>
    <w:p w:rsidR="00BA4B87" w:rsidRPr="00D6191E" w:rsidRDefault="00BA4B87" w:rsidP="000449FE">
      <w:pPr>
        <w:snapToGrid w:val="0"/>
        <w:spacing w:line="360" w:lineRule="auto"/>
        <w:ind w:firstLine="480"/>
        <w:rPr>
          <w:rFonts w:asciiTheme="minorEastAsia" w:eastAsiaTheme="minorEastAsia" w:hAnsiTheme="minorEastAsia"/>
          <w:szCs w:val="21"/>
        </w:rPr>
      </w:pPr>
      <w:r w:rsidRPr="00D6191E">
        <w:rPr>
          <w:rFonts w:asciiTheme="minorEastAsia" w:eastAsiaTheme="minorEastAsia" w:hAnsiTheme="minorEastAsia"/>
          <w:szCs w:val="21"/>
        </w:rPr>
        <w:t>2</w:t>
      </w:r>
      <w:r w:rsidR="00200D60"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在</w:t>
      </w:r>
      <w:r w:rsidRPr="00D6191E">
        <w:rPr>
          <w:rFonts w:asciiTheme="minorEastAsia" w:eastAsiaTheme="minorEastAsia" w:hAnsiTheme="minorEastAsia" w:hint="eastAsia"/>
          <w:szCs w:val="21"/>
        </w:rPr>
        <w:t>收益</w:t>
      </w:r>
      <w:r w:rsidRPr="00D6191E">
        <w:rPr>
          <w:rFonts w:asciiTheme="minorEastAsia" w:eastAsiaTheme="minorEastAsia" w:hAnsiTheme="minorEastAsia"/>
          <w:szCs w:val="21"/>
        </w:rPr>
        <w:t>分配方案公布后，基金管理人</w:t>
      </w:r>
      <w:r w:rsidRPr="00D6191E">
        <w:rPr>
          <w:rFonts w:asciiTheme="minorEastAsia" w:eastAsiaTheme="minorEastAsia" w:hAnsiTheme="minorEastAsia" w:hint="eastAsia"/>
          <w:szCs w:val="21"/>
        </w:rPr>
        <w:t>依据具体方案的规定</w:t>
      </w:r>
      <w:r w:rsidRPr="00D6191E">
        <w:rPr>
          <w:rFonts w:asciiTheme="minorEastAsia" w:eastAsiaTheme="minorEastAsia" w:hAnsiTheme="minorEastAsia"/>
          <w:szCs w:val="21"/>
        </w:rPr>
        <w:t>就支付的现金红利向基金</w:t>
      </w:r>
      <w:r w:rsidRPr="00D6191E">
        <w:rPr>
          <w:rFonts w:asciiTheme="minorEastAsia" w:eastAsiaTheme="minorEastAsia" w:hAnsiTheme="minorEastAsia"/>
          <w:szCs w:val="21"/>
        </w:rPr>
        <w:lastRenderedPageBreak/>
        <w:t>托管人发送划款指令，基金托管人按照基金管理人的指令及时进行分红资金的划付。</w:t>
      </w:r>
    </w:p>
    <w:p w:rsidR="00BA4B87" w:rsidRPr="00D6191E" w:rsidRDefault="00200D60" w:rsidP="000449FE">
      <w:pPr>
        <w:snapToGrid w:val="0"/>
        <w:spacing w:line="360" w:lineRule="auto"/>
        <w:ind w:firstLine="480"/>
        <w:rPr>
          <w:rFonts w:asciiTheme="minorEastAsia" w:eastAsiaTheme="minorEastAsia" w:hAnsiTheme="minorEastAsia"/>
          <w:szCs w:val="21"/>
        </w:rPr>
      </w:pPr>
      <w:r w:rsidRPr="00D6191E">
        <w:rPr>
          <w:rFonts w:asciiTheme="minorEastAsia" w:eastAsiaTheme="minorEastAsia" w:hAnsiTheme="minorEastAsia" w:hint="eastAsia"/>
          <w:szCs w:val="21"/>
        </w:rPr>
        <w:t>3、</w:t>
      </w:r>
      <w:r w:rsidR="00BA4B87" w:rsidRPr="00D6191E">
        <w:rPr>
          <w:rFonts w:asciiTheme="minorEastAsia" w:eastAsiaTheme="minorEastAsia" w:hAnsiTheme="minorEastAsia" w:hint="eastAsia"/>
          <w:szCs w:val="21"/>
        </w:rPr>
        <w:t>法律法规或监管机关另有规定的，从其规定。</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rPr>
      </w:pPr>
      <w:bookmarkStart w:id="87" w:name="_Toc86315907"/>
      <w:r w:rsidRPr="00D6191E">
        <w:rPr>
          <w:rFonts w:asciiTheme="minorEastAsia" w:eastAsiaTheme="minorEastAsia" w:hAnsiTheme="minorEastAsia" w:hint="eastAsia"/>
          <w:b w:val="0"/>
        </w:rPr>
        <w:t>(六)收益分配中发生的费用</w:t>
      </w:r>
      <w:bookmarkEnd w:id="87"/>
    </w:p>
    <w:p w:rsidR="00BA4B87" w:rsidRDefault="00BA4B87"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hint="eastAsia"/>
          <w:szCs w:val="21"/>
        </w:rPr>
        <w:t>基金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执行。</w:t>
      </w:r>
    </w:p>
    <w:p w:rsidR="009A06F7" w:rsidRPr="001B2C8B" w:rsidRDefault="009A06F7" w:rsidP="001B2C8B">
      <w:pPr>
        <w:pStyle w:val="2"/>
        <w:snapToGrid w:val="0"/>
        <w:spacing w:beforeLines="0" w:afterLines="0" w:line="360" w:lineRule="auto"/>
        <w:ind w:firstLineChars="0" w:firstLine="0"/>
        <w:rPr>
          <w:rFonts w:asciiTheme="minorEastAsia" w:eastAsiaTheme="minorEastAsia" w:hAnsiTheme="minorEastAsia"/>
        </w:rPr>
      </w:pPr>
      <w:bookmarkStart w:id="88" w:name="_Toc86315908"/>
      <w:r w:rsidRPr="009A06F7">
        <w:rPr>
          <w:rFonts w:asciiTheme="minorEastAsia" w:eastAsiaTheme="minorEastAsia" w:hAnsiTheme="minorEastAsia" w:hint="eastAsia"/>
          <w:b w:val="0"/>
        </w:rPr>
        <w:t>（</w:t>
      </w:r>
      <w:r>
        <w:rPr>
          <w:rFonts w:asciiTheme="minorEastAsia" w:eastAsiaTheme="minorEastAsia" w:hAnsiTheme="minorEastAsia" w:hint="eastAsia"/>
          <w:b w:val="0"/>
        </w:rPr>
        <w:t>七</w:t>
      </w:r>
      <w:r w:rsidRPr="001B2C8B">
        <w:rPr>
          <w:rFonts w:asciiTheme="minorEastAsia" w:eastAsiaTheme="minorEastAsia" w:hAnsiTheme="minorEastAsia" w:hint="eastAsia"/>
          <w:b w:val="0"/>
        </w:rPr>
        <w:t>）实施侧袋机制期间的收益分配</w:t>
      </w:r>
      <w:bookmarkEnd w:id="88"/>
    </w:p>
    <w:p w:rsidR="009A06F7" w:rsidRPr="00D6191E" w:rsidRDefault="009A06F7" w:rsidP="009A06F7">
      <w:pPr>
        <w:snapToGrid w:val="0"/>
        <w:spacing w:line="360" w:lineRule="auto"/>
        <w:ind w:firstLineChars="225" w:firstLine="473"/>
        <w:rPr>
          <w:rFonts w:asciiTheme="minorEastAsia" w:eastAsiaTheme="minorEastAsia" w:hAnsiTheme="minorEastAsia"/>
          <w:szCs w:val="21"/>
        </w:rPr>
      </w:pPr>
      <w:r w:rsidRPr="007D27C7">
        <w:rPr>
          <w:rFonts w:hint="eastAsia"/>
          <w:szCs w:val="21"/>
        </w:rPr>
        <w:t>本基金实施侧袋机制的，侧袋账户不进行收益分配。</w:t>
      </w:r>
    </w:p>
    <w:p w:rsidR="00BA4B87" w:rsidRPr="00D6191E" w:rsidRDefault="00BA4B87" w:rsidP="004D6C82">
      <w:pPr>
        <w:pStyle w:val="1"/>
        <w:snapToGrid w:val="0"/>
        <w:spacing w:beforeLines="0" w:afterLines="0" w:line="360" w:lineRule="auto"/>
        <w:ind w:firstLine="640"/>
        <w:rPr>
          <w:rFonts w:asciiTheme="minorEastAsia" w:eastAsiaTheme="minorEastAsia" w:hAnsiTheme="minorEastAsia"/>
          <w:bCs/>
        </w:rPr>
      </w:pPr>
      <w:r w:rsidRPr="00D6191E">
        <w:rPr>
          <w:rFonts w:asciiTheme="minorEastAsia" w:eastAsiaTheme="minorEastAsia" w:hAnsiTheme="minorEastAsia" w:hint="eastAsia"/>
          <w:szCs w:val="21"/>
        </w:rPr>
        <w:br w:type="column"/>
      </w:r>
      <w:bookmarkStart w:id="89" w:name="_Toc86315909"/>
      <w:r w:rsidR="009C0CEE" w:rsidRPr="00D6191E">
        <w:rPr>
          <w:rFonts w:asciiTheme="minorEastAsia" w:eastAsiaTheme="minorEastAsia" w:hAnsiTheme="minorEastAsia" w:hint="eastAsia"/>
          <w:sz w:val="30"/>
        </w:rPr>
        <w:lastRenderedPageBreak/>
        <w:t>十六</w:t>
      </w:r>
      <w:r w:rsidRPr="00D6191E">
        <w:rPr>
          <w:rFonts w:asciiTheme="minorEastAsia" w:eastAsiaTheme="minorEastAsia" w:hAnsiTheme="minorEastAsia" w:hint="eastAsia"/>
          <w:sz w:val="30"/>
        </w:rPr>
        <w:t>、基金的费用与税收</w:t>
      </w:r>
      <w:bookmarkEnd w:id="89"/>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rPr>
      </w:pPr>
      <w:bookmarkStart w:id="90" w:name="_Toc86315910"/>
      <w:r w:rsidRPr="00D6191E">
        <w:rPr>
          <w:rFonts w:asciiTheme="minorEastAsia" w:eastAsiaTheme="minorEastAsia" w:hAnsiTheme="minorEastAsia" w:hint="eastAsia"/>
          <w:b w:val="0"/>
        </w:rPr>
        <w:t>(一)</w:t>
      </w:r>
      <w:r w:rsidR="009C0CEE" w:rsidRPr="00D6191E">
        <w:rPr>
          <w:rFonts w:asciiTheme="minorEastAsia" w:eastAsiaTheme="minorEastAsia" w:hAnsiTheme="minorEastAsia" w:hint="eastAsia"/>
          <w:b w:val="0"/>
        </w:rPr>
        <w:t>与基金运作相关的费用</w:t>
      </w:r>
      <w:bookmarkEnd w:id="90"/>
    </w:p>
    <w:p w:rsidR="009C0CEE" w:rsidRPr="00D6191E" w:rsidRDefault="00200D60"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hint="eastAsia"/>
          <w:szCs w:val="21"/>
        </w:rPr>
        <w:t>1、</w:t>
      </w:r>
      <w:r w:rsidR="009C0CEE" w:rsidRPr="00D6191E">
        <w:rPr>
          <w:rFonts w:asciiTheme="minorEastAsia" w:eastAsiaTheme="minorEastAsia" w:hAnsiTheme="minorEastAsia" w:hint="eastAsia"/>
          <w:szCs w:val="21"/>
        </w:rPr>
        <w:t>基金费用的种类</w:t>
      </w:r>
    </w:p>
    <w:p w:rsidR="00BA4B87" w:rsidRPr="00D6191E" w:rsidRDefault="009C0CEE"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hint="eastAsia"/>
        </w:rPr>
        <w:t>(</w:t>
      </w:r>
      <w:r w:rsidRPr="00D6191E">
        <w:rPr>
          <w:rFonts w:asciiTheme="minorEastAsia" w:eastAsiaTheme="minorEastAsia" w:hAnsiTheme="minorEastAsia"/>
        </w:rPr>
        <w:t>1</w:t>
      </w:r>
      <w:r w:rsidRPr="00D6191E">
        <w:rPr>
          <w:rFonts w:asciiTheme="minorEastAsia" w:eastAsiaTheme="minorEastAsia" w:hAnsiTheme="minorEastAsia" w:hint="eastAsia"/>
        </w:rPr>
        <w:t>)</w:t>
      </w:r>
      <w:r w:rsidR="00BA4B87" w:rsidRPr="00D6191E">
        <w:rPr>
          <w:rFonts w:asciiTheme="minorEastAsia" w:eastAsiaTheme="minorEastAsia" w:hAnsiTheme="minorEastAsia" w:hint="eastAsia"/>
          <w:szCs w:val="21"/>
        </w:rPr>
        <w:t>基金管理人的管理费；</w:t>
      </w:r>
    </w:p>
    <w:p w:rsidR="00BA4B87" w:rsidRPr="00D6191E" w:rsidRDefault="009C0CEE" w:rsidP="000449FE">
      <w:pPr>
        <w:snapToGrid w:val="0"/>
        <w:spacing w:line="360" w:lineRule="auto"/>
        <w:ind w:firstLineChars="225" w:firstLine="473"/>
        <w:rPr>
          <w:rFonts w:asciiTheme="minorEastAsia" w:eastAsiaTheme="minorEastAsia" w:hAnsiTheme="minorEastAsia"/>
        </w:rPr>
      </w:pPr>
      <w:r w:rsidRPr="00D6191E">
        <w:rPr>
          <w:rFonts w:asciiTheme="minorEastAsia" w:eastAsiaTheme="minorEastAsia" w:hAnsiTheme="minorEastAsia" w:hint="eastAsia"/>
        </w:rPr>
        <w:t>(2)</w:t>
      </w:r>
      <w:r w:rsidR="00BA4B87" w:rsidRPr="00D6191E">
        <w:rPr>
          <w:rFonts w:asciiTheme="minorEastAsia" w:eastAsiaTheme="minorEastAsia" w:hAnsiTheme="minorEastAsia" w:hint="eastAsia"/>
        </w:rPr>
        <w:t>基金托管人的托管费；</w:t>
      </w:r>
    </w:p>
    <w:p w:rsidR="00BA4B87" w:rsidRPr="00D6191E" w:rsidRDefault="009C0CEE"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hint="eastAsia"/>
        </w:rPr>
        <w:t>(3)</w:t>
      </w:r>
      <w:r w:rsidR="00BA4B87" w:rsidRPr="00D6191E">
        <w:rPr>
          <w:rFonts w:asciiTheme="minorEastAsia" w:eastAsiaTheme="minorEastAsia" w:hAnsiTheme="minorEastAsia" w:hint="eastAsia"/>
          <w:szCs w:val="21"/>
        </w:rPr>
        <w:t>从C类基金份额的基金财产中计提的销售服务费；</w:t>
      </w:r>
    </w:p>
    <w:p w:rsidR="00BA4B87" w:rsidRPr="00D6191E" w:rsidRDefault="009C0CEE"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hint="eastAsia"/>
        </w:rPr>
        <w:t>(4)</w:t>
      </w:r>
      <w:r w:rsidR="00BA4B87" w:rsidRPr="00D6191E">
        <w:rPr>
          <w:rFonts w:asciiTheme="minorEastAsia" w:eastAsiaTheme="minorEastAsia" w:hAnsiTheme="minorEastAsia"/>
          <w:szCs w:val="21"/>
        </w:rPr>
        <w:t>基金财产拨划支付的银行费用；</w:t>
      </w:r>
    </w:p>
    <w:p w:rsidR="00BA4B87" w:rsidRPr="00D6191E" w:rsidRDefault="009C0CEE"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hint="eastAsia"/>
        </w:rPr>
        <w:t>(5)</w:t>
      </w:r>
      <w:r w:rsidR="00BA4B87" w:rsidRPr="00D6191E">
        <w:rPr>
          <w:rFonts w:asciiTheme="minorEastAsia" w:eastAsiaTheme="minorEastAsia" w:hAnsiTheme="minorEastAsia" w:hint="eastAsia"/>
          <w:szCs w:val="21"/>
        </w:rPr>
        <w:t>基金合同生效后的基金信息披露费用；</w:t>
      </w:r>
    </w:p>
    <w:p w:rsidR="00BA4B87" w:rsidRPr="00D6191E" w:rsidRDefault="009C0CEE"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hint="eastAsia"/>
        </w:rPr>
        <w:t>(6)</w:t>
      </w:r>
      <w:r w:rsidR="00BA4B87" w:rsidRPr="00D6191E">
        <w:rPr>
          <w:rFonts w:asciiTheme="minorEastAsia" w:eastAsiaTheme="minorEastAsia" w:hAnsiTheme="minorEastAsia" w:hint="eastAsia"/>
          <w:szCs w:val="21"/>
        </w:rPr>
        <w:t>基金份额持有人大会费用；</w:t>
      </w:r>
    </w:p>
    <w:p w:rsidR="00BA4B87" w:rsidRPr="00D6191E" w:rsidRDefault="009C0CEE"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hint="eastAsia"/>
        </w:rPr>
        <w:t>(7)</w:t>
      </w:r>
      <w:r w:rsidR="00BA4B87" w:rsidRPr="00D6191E">
        <w:rPr>
          <w:rFonts w:asciiTheme="minorEastAsia" w:eastAsiaTheme="minorEastAsia" w:hAnsiTheme="minorEastAsia" w:hint="eastAsia"/>
          <w:szCs w:val="21"/>
        </w:rPr>
        <w:t>基金合同生效后与基金有关的会计师费和律师费；</w:t>
      </w:r>
    </w:p>
    <w:p w:rsidR="00BA4B87" w:rsidRPr="00D6191E" w:rsidRDefault="009C0CEE"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hint="eastAsia"/>
        </w:rPr>
        <w:t>(8)</w:t>
      </w:r>
      <w:r w:rsidR="00BA4B87" w:rsidRPr="00D6191E">
        <w:rPr>
          <w:rFonts w:asciiTheme="minorEastAsia" w:eastAsiaTheme="minorEastAsia" w:hAnsiTheme="minorEastAsia" w:hint="eastAsia"/>
          <w:szCs w:val="21"/>
        </w:rPr>
        <w:t>基金的证券交易费用；</w:t>
      </w:r>
    </w:p>
    <w:p w:rsidR="00BA4B87" w:rsidRPr="00D6191E" w:rsidRDefault="009C0CEE"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hint="eastAsia"/>
        </w:rPr>
        <w:t>(9)</w:t>
      </w:r>
      <w:r w:rsidR="00BA4B87" w:rsidRPr="00D6191E">
        <w:rPr>
          <w:rFonts w:asciiTheme="minorEastAsia" w:eastAsiaTheme="minorEastAsia" w:hAnsiTheme="minorEastAsia" w:hint="eastAsia"/>
          <w:szCs w:val="21"/>
        </w:rPr>
        <w:t>证券账户开户费用、银行账户维护费用</w:t>
      </w:r>
    </w:p>
    <w:p w:rsidR="00BA4B87" w:rsidRPr="00D6191E" w:rsidRDefault="009C0CEE"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hint="eastAsia"/>
        </w:rPr>
        <w:t>(10)</w:t>
      </w:r>
      <w:r w:rsidR="00BA4B87" w:rsidRPr="00D6191E">
        <w:rPr>
          <w:rFonts w:asciiTheme="minorEastAsia" w:eastAsiaTheme="minorEastAsia" w:hAnsiTheme="minorEastAsia" w:hint="eastAsia"/>
          <w:szCs w:val="21"/>
        </w:rPr>
        <w:t>依法可以</w:t>
      </w:r>
      <w:r w:rsidR="00BA4B87" w:rsidRPr="00D6191E">
        <w:rPr>
          <w:rFonts w:asciiTheme="minorEastAsia" w:eastAsiaTheme="minorEastAsia" w:hAnsiTheme="minorEastAsia"/>
          <w:szCs w:val="21"/>
        </w:rPr>
        <w:t>在基金财产中列支的</w:t>
      </w:r>
      <w:r w:rsidR="00BA4B87" w:rsidRPr="00D6191E">
        <w:rPr>
          <w:rFonts w:asciiTheme="minorEastAsia" w:eastAsiaTheme="minorEastAsia" w:hAnsiTheme="minorEastAsia" w:hint="eastAsia"/>
          <w:szCs w:val="21"/>
        </w:rPr>
        <w:t>其他费用。</w:t>
      </w:r>
    </w:p>
    <w:p w:rsidR="00BA4B87" w:rsidRPr="00D6191E" w:rsidRDefault="00BA4B87"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hint="eastAsia"/>
          <w:szCs w:val="21"/>
        </w:rPr>
        <w:t>上述基金费用由基金管理人在法律规定的范围内参照公允的市场价格确定，法律法规另有规定时从其规定。</w:t>
      </w:r>
    </w:p>
    <w:p w:rsidR="009C0CEE" w:rsidRPr="00D6191E" w:rsidRDefault="00200D60"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hint="eastAsia"/>
          <w:szCs w:val="21"/>
        </w:rPr>
        <w:t>2、</w:t>
      </w:r>
      <w:r w:rsidR="009C0CEE" w:rsidRPr="00D6191E">
        <w:rPr>
          <w:rFonts w:asciiTheme="minorEastAsia" w:eastAsiaTheme="minorEastAsia" w:hAnsiTheme="minorEastAsia" w:hint="eastAsia"/>
        </w:rPr>
        <w:t>基金费用计提方法、计提标准和支付方式</w:t>
      </w:r>
    </w:p>
    <w:p w:rsidR="00BA4B87" w:rsidRPr="00D6191E" w:rsidRDefault="009C0CEE"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hint="eastAsia"/>
        </w:rPr>
        <w:t>（1）</w:t>
      </w:r>
      <w:r w:rsidR="00BA4B87" w:rsidRPr="00D6191E">
        <w:rPr>
          <w:rFonts w:asciiTheme="minorEastAsia" w:eastAsiaTheme="minorEastAsia" w:hAnsiTheme="minorEastAsia" w:hint="eastAsia"/>
          <w:szCs w:val="21"/>
        </w:rPr>
        <w:t>基金管理人的管理费</w:t>
      </w:r>
    </w:p>
    <w:p w:rsidR="00BA4B87" w:rsidRPr="00D6191E" w:rsidRDefault="00BA4B87"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hint="eastAsia"/>
          <w:szCs w:val="21"/>
        </w:rPr>
        <w:t>在通常情况下，基金管理费按前一日基金资产净值的0.7%年费率计提。计算方法如下：</w:t>
      </w:r>
    </w:p>
    <w:p w:rsidR="00BA4B87" w:rsidRPr="00D6191E" w:rsidRDefault="00BA4B87"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szCs w:val="21"/>
        </w:rPr>
        <w:t>H</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E</w:t>
      </w:r>
      <w:r w:rsidRPr="00D6191E">
        <w:rPr>
          <w:rFonts w:asciiTheme="minorEastAsia" w:eastAsiaTheme="minorEastAsia" w:hAnsiTheme="minorEastAsia" w:hint="eastAsia"/>
          <w:szCs w:val="21"/>
        </w:rPr>
        <w:t>×年管理费率÷当年天数</w:t>
      </w:r>
    </w:p>
    <w:p w:rsidR="00BA4B87" w:rsidRPr="00D6191E" w:rsidRDefault="00BA4B87"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szCs w:val="21"/>
        </w:rPr>
        <w:t>H</w:t>
      </w:r>
      <w:r w:rsidRPr="00D6191E">
        <w:rPr>
          <w:rFonts w:asciiTheme="minorEastAsia" w:eastAsiaTheme="minorEastAsia" w:hAnsiTheme="minorEastAsia" w:hint="eastAsia"/>
          <w:szCs w:val="21"/>
        </w:rPr>
        <w:t>为每日应计提的基金管理费</w:t>
      </w:r>
    </w:p>
    <w:p w:rsidR="00BA4B87" w:rsidRPr="00D6191E" w:rsidRDefault="00BA4B87"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szCs w:val="21"/>
        </w:rPr>
        <w:t>E</w:t>
      </w:r>
      <w:r w:rsidRPr="00D6191E">
        <w:rPr>
          <w:rFonts w:asciiTheme="minorEastAsia" w:eastAsiaTheme="minorEastAsia" w:hAnsiTheme="minorEastAsia" w:hint="eastAsia"/>
          <w:szCs w:val="21"/>
        </w:rPr>
        <w:t>为前一日基金资产净值</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基金管理费每日计提，按月支付。经基金管理人与基金托管人核对一致后，由基金托管人于次月首日起3个工作日内从基金财产中一次性支付给基金管理人，若遇法定节假日、休息日，支付日期顺延。</w:t>
      </w:r>
    </w:p>
    <w:p w:rsidR="00BA4B87" w:rsidRPr="00D6191E" w:rsidRDefault="000150E6" w:rsidP="003B4E4D">
      <w:pPr>
        <w:snapToGrid w:val="0"/>
        <w:spacing w:line="360" w:lineRule="auto"/>
        <w:ind w:firstLineChars="225" w:firstLine="473"/>
        <w:rPr>
          <w:rFonts w:asciiTheme="minorEastAsia" w:eastAsiaTheme="minorEastAsia" w:hAnsiTheme="minorEastAsia"/>
        </w:rPr>
      </w:pPr>
      <w:r w:rsidRPr="00D6191E">
        <w:rPr>
          <w:rFonts w:asciiTheme="minorEastAsia" w:eastAsiaTheme="minorEastAsia" w:hAnsiTheme="minorEastAsia" w:hint="eastAsia"/>
        </w:rPr>
        <w:t>（2）</w:t>
      </w:r>
      <w:r w:rsidR="00BA4B87" w:rsidRPr="00D6191E">
        <w:rPr>
          <w:rFonts w:asciiTheme="minorEastAsia" w:eastAsiaTheme="minorEastAsia" w:hAnsiTheme="minorEastAsia" w:hint="eastAsia"/>
        </w:rPr>
        <w:t>基金托管人的托管费</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在通常情况下，基金托管费按前一日基金资产净值的0.2%年费率计提。计算方法如下：</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H</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E</w:t>
      </w:r>
      <w:r w:rsidRPr="00D6191E">
        <w:rPr>
          <w:rFonts w:asciiTheme="minorEastAsia" w:eastAsiaTheme="minorEastAsia" w:hAnsiTheme="minorEastAsia" w:hint="eastAsia"/>
          <w:szCs w:val="21"/>
        </w:rPr>
        <w:t>×年托管费率÷当年天数</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H</w:t>
      </w:r>
      <w:r w:rsidRPr="00D6191E">
        <w:rPr>
          <w:rFonts w:asciiTheme="minorEastAsia" w:eastAsiaTheme="minorEastAsia" w:hAnsiTheme="minorEastAsia" w:hint="eastAsia"/>
          <w:szCs w:val="21"/>
        </w:rPr>
        <w:t>为每日应计提的基金托管费</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E</w:t>
      </w:r>
      <w:r w:rsidRPr="00D6191E">
        <w:rPr>
          <w:rFonts w:asciiTheme="minorEastAsia" w:eastAsiaTheme="minorEastAsia" w:hAnsiTheme="minorEastAsia" w:hint="eastAsia"/>
          <w:szCs w:val="21"/>
        </w:rPr>
        <w:t>为前一日基金资产净值</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基金托管费每日计提，按月支付。经基金</w:t>
      </w:r>
      <w:r w:rsidRPr="00D6191E">
        <w:rPr>
          <w:rFonts w:asciiTheme="minorEastAsia" w:eastAsiaTheme="minorEastAsia" w:hAnsiTheme="minorEastAsia"/>
          <w:szCs w:val="21"/>
        </w:rPr>
        <w:t>管理人与</w:t>
      </w:r>
      <w:r w:rsidRPr="00D6191E">
        <w:rPr>
          <w:rFonts w:asciiTheme="minorEastAsia" w:eastAsiaTheme="minorEastAsia" w:hAnsiTheme="minorEastAsia" w:hint="eastAsia"/>
          <w:szCs w:val="21"/>
        </w:rPr>
        <w:t>基金</w:t>
      </w:r>
      <w:r w:rsidRPr="00D6191E">
        <w:rPr>
          <w:rFonts w:asciiTheme="minorEastAsia" w:eastAsiaTheme="minorEastAsia" w:hAnsiTheme="minorEastAsia"/>
          <w:szCs w:val="21"/>
        </w:rPr>
        <w:t>托管人</w:t>
      </w:r>
      <w:r w:rsidRPr="00D6191E">
        <w:rPr>
          <w:rFonts w:asciiTheme="minorEastAsia" w:eastAsiaTheme="minorEastAsia" w:hAnsiTheme="minorEastAsia" w:hint="eastAsia"/>
          <w:szCs w:val="21"/>
        </w:rPr>
        <w:t>核对一致后</w:t>
      </w:r>
      <w:r w:rsidRPr="00D6191E">
        <w:rPr>
          <w:rFonts w:asciiTheme="minorEastAsia" w:eastAsiaTheme="minorEastAsia" w:hAnsiTheme="minorEastAsia"/>
          <w:szCs w:val="21"/>
        </w:rPr>
        <w:t>，</w:t>
      </w:r>
      <w:r w:rsidRPr="00D6191E">
        <w:rPr>
          <w:rFonts w:asciiTheme="minorEastAsia" w:eastAsiaTheme="minorEastAsia" w:hAnsiTheme="minorEastAsia" w:hint="eastAsia"/>
          <w:szCs w:val="21"/>
        </w:rPr>
        <w:t>由基金托管人于次月首日起3个工作日内从基金财产中一次性支付给基金托管人，若遇法定节假日、休息日，支付日期顺延。</w:t>
      </w:r>
    </w:p>
    <w:p w:rsidR="00BA4B87" w:rsidRPr="00D6191E" w:rsidRDefault="000150E6" w:rsidP="003B4E4D">
      <w:pPr>
        <w:snapToGrid w:val="0"/>
        <w:spacing w:line="360" w:lineRule="auto"/>
        <w:ind w:firstLineChars="225" w:firstLine="473"/>
        <w:rPr>
          <w:rFonts w:asciiTheme="minorEastAsia" w:eastAsiaTheme="minorEastAsia" w:hAnsiTheme="minorEastAsia"/>
        </w:rPr>
      </w:pPr>
      <w:r w:rsidRPr="00D6191E">
        <w:rPr>
          <w:rFonts w:asciiTheme="minorEastAsia" w:eastAsiaTheme="minorEastAsia" w:hAnsiTheme="minorEastAsia" w:hint="eastAsia"/>
        </w:rPr>
        <w:t>（3）</w:t>
      </w:r>
      <w:r w:rsidR="00BA4B87" w:rsidRPr="00D6191E">
        <w:rPr>
          <w:rFonts w:asciiTheme="minorEastAsia" w:eastAsiaTheme="minorEastAsia" w:hAnsiTheme="minorEastAsia" w:hint="eastAsia"/>
        </w:rPr>
        <w:t>销售服务费</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lastRenderedPageBreak/>
        <w:t>本基金A类基金份额不收取销售服务费，C类基金份额的销售服务费年费率为0.4%。</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本基金销售服务费按前一日C类基金资产净值的0.4%年费率计提。</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销售服务费的计算方法如下：</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H＝E×年销售服务费率÷当年天数</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H为C类基金份额每日应计提的销售服务费</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E为C类基金份额前一日基金资产净值</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基金销售服务费每日计提，按月支付。经基金</w:t>
      </w:r>
      <w:r w:rsidRPr="00D6191E">
        <w:rPr>
          <w:rFonts w:asciiTheme="minorEastAsia" w:eastAsiaTheme="minorEastAsia" w:hAnsiTheme="minorEastAsia"/>
          <w:szCs w:val="21"/>
        </w:rPr>
        <w:t>管理人与</w:t>
      </w:r>
      <w:r w:rsidRPr="00D6191E">
        <w:rPr>
          <w:rFonts w:asciiTheme="minorEastAsia" w:eastAsiaTheme="minorEastAsia" w:hAnsiTheme="minorEastAsia" w:hint="eastAsia"/>
          <w:szCs w:val="21"/>
        </w:rPr>
        <w:t>基金</w:t>
      </w:r>
      <w:r w:rsidRPr="00D6191E">
        <w:rPr>
          <w:rFonts w:asciiTheme="minorEastAsia" w:eastAsiaTheme="minorEastAsia" w:hAnsiTheme="minorEastAsia"/>
          <w:szCs w:val="21"/>
        </w:rPr>
        <w:t>托管人</w:t>
      </w:r>
      <w:r w:rsidRPr="00D6191E">
        <w:rPr>
          <w:rFonts w:asciiTheme="minorEastAsia" w:eastAsiaTheme="minorEastAsia" w:hAnsiTheme="minorEastAsia" w:hint="eastAsia"/>
          <w:szCs w:val="21"/>
        </w:rPr>
        <w:t>核对一致后</w:t>
      </w:r>
      <w:r w:rsidRPr="00D6191E">
        <w:rPr>
          <w:rFonts w:asciiTheme="minorEastAsia" w:eastAsiaTheme="minorEastAsia" w:hAnsiTheme="minorEastAsia"/>
          <w:szCs w:val="21"/>
        </w:rPr>
        <w:t>，</w:t>
      </w:r>
      <w:r w:rsidRPr="00D6191E">
        <w:rPr>
          <w:rFonts w:asciiTheme="minorEastAsia" w:eastAsiaTheme="minorEastAsia" w:hAnsiTheme="minorEastAsia" w:hint="eastAsia"/>
          <w:szCs w:val="21"/>
        </w:rPr>
        <w:t>由基金托管人于次月首日起3个工作日内从基金财产中一次性划出，由注册登记机构代收，注册登记机构收到后按相关合同规定支付给基金销售机构等。若遇法定节假日、公休日等,支付日期顺延。</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销售服务费主要用于支付销售机构佣金、以及基金管理人的基金行销广告费、促销活动费、基金份额持有人服务费等。</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销售服务费使用范围不包括基金募集期间的上述费用。</w:t>
      </w:r>
    </w:p>
    <w:p w:rsidR="00BA4B87" w:rsidRPr="00D6191E" w:rsidRDefault="000150E6"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rPr>
        <w:t>（4）</w:t>
      </w:r>
      <w:r w:rsidR="00BA4B87" w:rsidRPr="00D6191E">
        <w:rPr>
          <w:rFonts w:asciiTheme="minorEastAsia" w:eastAsiaTheme="minorEastAsia" w:hAnsiTheme="minorEastAsia" w:hint="eastAsia"/>
          <w:szCs w:val="21"/>
        </w:rPr>
        <w:t>除管理费、托管费以及销售服务费之外的基金费用，由基金托管人根据其他有关法规及相应协议的规定，按费用支出金额支付，列入或摊入当期基金费用。</w:t>
      </w:r>
    </w:p>
    <w:p w:rsidR="00BA4B87" w:rsidRPr="00D6191E" w:rsidRDefault="00200D60" w:rsidP="006F18BB">
      <w:pPr>
        <w:rPr>
          <w:rFonts w:asciiTheme="minorEastAsia" w:eastAsiaTheme="minorEastAsia" w:hAnsiTheme="minorEastAsia"/>
          <w:szCs w:val="21"/>
        </w:rPr>
      </w:pPr>
      <w:r w:rsidRPr="00D6191E">
        <w:rPr>
          <w:rFonts w:asciiTheme="minorEastAsia" w:eastAsiaTheme="minorEastAsia" w:hAnsiTheme="minorEastAsia" w:hint="eastAsia"/>
          <w:szCs w:val="21"/>
        </w:rPr>
        <w:t>3、</w:t>
      </w:r>
      <w:r w:rsidR="00BA4B87" w:rsidRPr="00D6191E">
        <w:rPr>
          <w:rFonts w:asciiTheme="minorEastAsia" w:eastAsiaTheme="minorEastAsia" w:hAnsiTheme="minorEastAsia" w:hint="eastAsia"/>
          <w:szCs w:val="21"/>
        </w:rPr>
        <w:t>不列入基金费用的项目</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基金管理人和基金托管人因未履行或未完全履行义务导致的费用支出或基金财产的损失，以及处理与基金运作无关的事项发生的费用等不列入基金费用。</w:t>
      </w:r>
      <w:r w:rsidRPr="00D6191E">
        <w:rPr>
          <w:rFonts w:asciiTheme="minorEastAsia" w:eastAsiaTheme="minorEastAsia" w:hAnsiTheme="minorEastAsia"/>
          <w:szCs w:val="21"/>
        </w:rPr>
        <w:t>基金</w:t>
      </w:r>
      <w:r w:rsidRPr="00D6191E">
        <w:rPr>
          <w:rFonts w:asciiTheme="minorEastAsia" w:eastAsiaTheme="minorEastAsia" w:hAnsiTheme="minorEastAsia" w:hint="eastAsia"/>
          <w:szCs w:val="21"/>
        </w:rPr>
        <w:t>合同生效前</w:t>
      </w:r>
      <w:r w:rsidRPr="00D6191E">
        <w:rPr>
          <w:rFonts w:asciiTheme="minorEastAsia" w:eastAsiaTheme="minorEastAsia" w:hAnsiTheme="minorEastAsia"/>
          <w:szCs w:val="21"/>
        </w:rPr>
        <w:t>所发生的信息披露费、律师费和会计师费以及其他费用不从基金财产中支付。</w:t>
      </w:r>
    </w:p>
    <w:p w:rsidR="00BA4B87" w:rsidRPr="00D6191E" w:rsidRDefault="00200D60" w:rsidP="006F18BB">
      <w:pPr>
        <w:rPr>
          <w:rFonts w:asciiTheme="minorEastAsia" w:eastAsiaTheme="minorEastAsia" w:hAnsiTheme="minorEastAsia"/>
          <w:szCs w:val="21"/>
        </w:rPr>
      </w:pPr>
      <w:r w:rsidRPr="00D6191E">
        <w:rPr>
          <w:rFonts w:asciiTheme="minorEastAsia" w:eastAsiaTheme="minorEastAsia" w:hAnsiTheme="minorEastAsia" w:hint="eastAsia"/>
          <w:szCs w:val="21"/>
        </w:rPr>
        <w:t>4、</w:t>
      </w:r>
      <w:r w:rsidR="00BA4B87" w:rsidRPr="00D6191E">
        <w:rPr>
          <w:rFonts w:asciiTheme="minorEastAsia" w:eastAsiaTheme="minorEastAsia" w:hAnsiTheme="minorEastAsia" w:hint="eastAsia"/>
          <w:szCs w:val="21"/>
        </w:rPr>
        <w:t>费用调整</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基金管理人和基金托管人可根据基金发展情况调整基金管理费率、基金托管费率和销售服务费率。</w:t>
      </w:r>
      <w:r w:rsidRPr="00D6191E">
        <w:rPr>
          <w:rFonts w:asciiTheme="minorEastAsia" w:eastAsiaTheme="minorEastAsia" w:hAnsiTheme="minorEastAsia"/>
          <w:szCs w:val="21"/>
        </w:rPr>
        <w:t>基金管理人必须最迟于新的费率实施日</w:t>
      </w:r>
      <w:r w:rsidRPr="00D6191E">
        <w:rPr>
          <w:rFonts w:asciiTheme="minorEastAsia" w:eastAsiaTheme="minorEastAsia" w:hAnsiTheme="minorEastAsia" w:hint="eastAsia"/>
          <w:szCs w:val="21"/>
        </w:rPr>
        <w:t>前按照《信息披露办法》的规定</w:t>
      </w:r>
      <w:r w:rsidRPr="00D6191E">
        <w:rPr>
          <w:rFonts w:asciiTheme="minorEastAsia" w:eastAsiaTheme="minorEastAsia" w:hAnsiTheme="minorEastAsia"/>
          <w:szCs w:val="21"/>
        </w:rPr>
        <w:t>在</w:t>
      </w:r>
      <w:r w:rsidR="00F44B20" w:rsidRPr="00D6191E">
        <w:rPr>
          <w:rFonts w:asciiTheme="minorEastAsia" w:eastAsiaTheme="minorEastAsia" w:hAnsiTheme="minorEastAsia"/>
          <w:szCs w:val="21"/>
        </w:rPr>
        <w:t>指定媒介</w:t>
      </w:r>
      <w:r w:rsidRPr="00D6191E">
        <w:rPr>
          <w:rFonts w:asciiTheme="minorEastAsia" w:eastAsiaTheme="minorEastAsia" w:hAnsiTheme="minorEastAsia"/>
          <w:szCs w:val="21"/>
        </w:rPr>
        <w:t>上刊登公告。</w:t>
      </w:r>
    </w:p>
    <w:p w:rsidR="000150E6" w:rsidRPr="00D6191E" w:rsidRDefault="000150E6" w:rsidP="004D6C82">
      <w:pPr>
        <w:pStyle w:val="2"/>
        <w:snapToGrid w:val="0"/>
        <w:spacing w:beforeLines="0" w:afterLines="0" w:line="360" w:lineRule="auto"/>
        <w:ind w:firstLineChars="0" w:firstLine="0"/>
        <w:rPr>
          <w:rFonts w:asciiTheme="minorEastAsia" w:eastAsiaTheme="minorEastAsia" w:hAnsiTheme="minorEastAsia"/>
          <w:b w:val="0"/>
        </w:rPr>
      </w:pPr>
      <w:bookmarkStart w:id="91" w:name="_Toc86315911"/>
      <w:r w:rsidRPr="00D6191E">
        <w:rPr>
          <w:rFonts w:asciiTheme="minorEastAsia" w:eastAsiaTheme="minorEastAsia" w:hAnsiTheme="minorEastAsia" w:hint="eastAsia"/>
          <w:b w:val="0"/>
        </w:rPr>
        <w:t>(</w:t>
      </w:r>
      <w:r w:rsidR="002C4134" w:rsidRPr="00D6191E">
        <w:rPr>
          <w:rFonts w:asciiTheme="minorEastAsia" w:eastAsiaTheme="minorEastAsia" w:hAnsiTheme="minorEastAsia" w:hint="eastAsia"/>
          <w:b w:val="0"/>
        </w:rPr>
        <w:t>二</w:t>
      </w:r>
      <w:r w:rsidRPr="00D6191E">
        <w:rPr>
          <w:rFonts w:asciiTheme="minorEastAsia" w:eastAsiaTheme="minorEastAsia" w:hAnsiTheme="minorEastAsia" w:hint="eastAsia"/>
          <w:b w:val="0"/>
        </w:rPr>
        <w:t>)与基金销售相关的费用</w:t>
      </w:r>
      <w:bookmarkEnd w:id="91"/>
    </w:p>
    <w:p w:rsidR="00886117" w:rsidRPr="00D6191E" w:rsidRDefault="000150E6" w:rsidP="000449FE">
      <w:pPr>
        <w:snapToGrid w:val="0"/>
        <w:spacing w:line="360" w:lineRule="auto"/>
        <w:ind w:firstLineChars="200" w:firstLine="420"/>
        <w:jc w:val="left"/>
        <w:rPr>
          <w:rFonts w:asciiTheme="minorEastAsia" w:eastAsiaTheme="minorEastAsia" w:hAnsiTheme="minorEastAsia" w:cs="宋体"/>
          <w:bCs/>
          <w:kern w:val="0"/>
          <w:szCs w:val="21"/>
        </w:rPr>
      </w:pPr>
      <w:r w:rsidRPr="00D6191E">
        <w:rPr>
          <w:rFonts w:asciiTheme="minorEastAsia" w:eastAsiaTheme="minorEastAsia" w:hAnsiTheme="minorEastAsia" w:hint="eastAsia"/>
          <w:szCs w:val="21"/>
        </w:rPr>
        <w:t>1</w:t>
      </w:r>
      <w:r w:rsidR="00200D60" w:rsidRPr="00D6191E">
        <w:rPr>
          <w:rFonts w:asciiTheme="minorEastAsia" w:eastAsiaTheme="minorEastAsia" w:hAnsiTheme="minorEastAsia" w:hint="eastAsia"/>
          <w:szCs w:val="21"/>
        </w:rPr>
        <w:t>、</w:t>
      </w:r>
      <w:r w:rsidR="00083C25" w:rsidRPr="00D6191E">
        <w:rPr>
          <w:rFonts w:asciiTheme="minorEastAsia" w:eastAsiaTheme="minorEastAsia" w:hAnsiTheme="minorEastAsia" w:hint="eastAsia"/>
          <w:szCs w:val="21"/>
        </w:rPr>
        <w:t>本基金的申购费、赎回费的费率水平、计算公式</w:t>
      </w:r>
      <w:r w:rsidR="00886117" w:rsidRPr="00D6191E">
        <w:rPr>
          <w:rFonts w:asciiTheme="minorEastAsia" w:eastAsiaTheme="minorEastAsia" w:hAnsiTheme="minorEastAsia" w:hint="eastAsia"/>
          <w:szCs w:val="21"/>
        </w:rPr>
        <w:t>、</w:t>
      </w:r>
      <w:r w:rsidR="00083C25" w:rsidRPr="00D6191E">
        <w:rPr>
          <w:rFonts w:asciiTheme="minorEastAsia" w:eastAsiaTheme="minorEastAsia" w:hAnsiTheme="minorEastAsia" w:hint="eastAsia"/>
          <w:szCs w:val="21"/>
        </w:rPr>
        <w:t>收取方式</w:t>
      </w:r>
      <w:r w:rsidR="00886117" w:rsidRPr="00D6191E">
        <w:rPr>
          <w:rFonts w:asciiTheme="minorEastAsia" w:eastAsiaTheme="minorEastAsia" w:hAnsiTheme="minorEastAsia" w:hint="eastAsia"/>
          <w:szCs w:val="21"/>
        </w:rPr>
        <w:t>和使用方式</w:t>
      </w:r>
      <w:r w:rsidR="00083C25" w:rsidRPr="00D6191E">
        <w:rPr>
          <w:rFonts w:asciiTheme="minorEastAsia" w:eastAsiaTheme="minorEastAsia" w:hAnsiTheme="minorEastAsia" w:hint="eastAsia"/>
          <w:szCs w:val="21"/>
        </w:rPr>
        <w:t>详见本招募说明书</w:t>
      </w:r>
      <w:r w:rsidR="00886117" w:rsidRPr="00D6191E">
        <w:rPr>
          <w:rFonts w:asciiTheme="minorEastAsia" w:eastAsiaTheme="minorEastAsia" w:hAnsiTheme="minorEastAsia" w:hint="eastAsia"/>
          <w:szCs w:val="21"/>
        </w:rPr>
        <w:t>“八、基金份额的申购、赎回”中的</w:t>
      </w:r>
      <w:r w:rsidR="00083C25" w:rsidRPr="00D6191E">
        <w:rPr>
          <w:rFonts w:asciiTheme="minorEastAsia" w:eastAsiaTheme="minorEastAsia" w:hAnsiTheme="minorEastAsia" w:hint="eastAsia"/>
          <w:szCs w:val="21"/>
        </w:rPr>
        <w:t>“（七）基金的申购费和赎回费”和“（八）申购和赎回的数额和价格”的相关规定。</w:t>
      </w:r>
    </w:p>
    <w:p w:rsidR="000150E6" w:rsidRPr="00D6191E" w:rsidRDefault="00083C25" w:rsidP="0033250C">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2</w:t>
      </w:r>
      <w:r w:rsidR="00200D60" w:rsidRPr="00D6191E">
        <w:rPr>
          <w:rFonts w:asciiTheme="minorEastAsia" w:eastAsiaTheme="minorEastAsia" w:hAnsiTheme="minorEastAsia" w:hint="eastAsia"/>
          <w:szCs w:val="21"/>
        </w:rPr>
        <w:t>、</w:t>
      </w:r>
      <w:r w:rsidR="000150E6" w:rsidRPr="00D6191E">
        <w:rPr>
          <w:rFonts w:asciiTheme="minorEastAsia" w:eastAsiaTheme="minorEastAsia" w:hAnsiTheme="minorEastAsia"/>
          <w:szCs w:val="21"/>
        </w:rPr>
        <w:t>转换费率</w:t>
      </w:r>
    </w:p>
    <w:p w:rsidR="00F65987" w:rsidRPr="00D6191E" w:rsidRDefault="00F65987" w:rsidP="000449FE">
      <w:pPr>
        <w:widowControl/>
        <w:snapToGrid w:val="0"/>
        <w:spacing w:line="360" w:lineRule="auto"/>
        <w:ind w:firstLineChars="200" w:firstLine="420"/>
        <w:jc w:val="left"/>
        <w:rPr>
          <w:rFonts w:asciiTheme="minorEastAsia" w:eastAsiaTheme="minorEastAsia" w:hAnsiTheme="minorEastAsia"/>
          <w:szCs w:val="21"/>
        </w:rPr>
      </w:pPr>
      <w:r w:rsidRPr="00D6191E">
        <w:rPr>
          <w:rFonts w:asciiTheme="minorEastAsia" w:eastAsiaTheme="minorEastAsia" w:hAnsiTheme="minorEastAsia" w:hint="eastAsia"/>
          <w:szCs w:val="21"/>
        </w:rPr>
        <w:t>目前，基金管理人已开通了本基金与旗下部分开放式基金之间的转换业务，具体实施办法和转换费率详见相关公告。</w:t>
      </w:r>
      <w:r w:rsidRPr="00D6191E">
        <w:rPr>
          <w:rFonts w:asciiTheme="minorEastAsia" w:eastAsiaTheme="minorEastAsia" w:hAnsiTheme="minorEastAsia" w:hint="eastAsia"/>
          <w:kern w:val="0"/>
          <w:szCs w:val="21"/>
        </w:rPr>
        <w:t>基金转换费用由投资者承担，</w:t>
      </w:r>
      <w:r w:rsidR="00145E4F" w:rsidRPr="00D6191E">
        <w:rPr>
          <w:rFonts w:asciiTheme="minorEastAsia" w:eastAsiaTheme="minorEastAsia" w:hAnsiTheme="minorEastAsia" w:hint="eastAsia"/>
          <w:szCs w:val="21"/>
        </w:rPr>
        <w:t>基金转换费</w:t>
      </w:r>
      <w:r w:rsidRPr="00D6191E">
        <w:rPr>
          <w:rFonts w:asciiTheme="minorEastAsia" w:eastAsiaTheme="minorEastAsia" w:hAnsiTheme="minorEastAsia" w:hint="eastAsia"/>
          <w:szCs w:val="21"/>
        </w:rPr>
        <w:t>用</w:t>
      </w:r>
      <w:r w:rsidR="00145E4F" w:rsidRPr="00D6191E">
        <w:rPr>
          <w:rFonts w:asciiTheme="minorEastAsia" w:eastAsiaTheme="minorEastAsia" w:hAnsiTheme="minorEastAsia" w:hint="eastAsia"/>
          <w:szCs w:val="21"/>
        </w:rPr>
        <w:t>由转出基金赎回费用及基金申购补差费用两部分构成，其中</w:t>
      </w:r>
      <w:r w:rsidRPr="00D6191E">
        <w:rPr>
          <w:rFonts w:asciiTheme="minorEastAsia" w:eastAsiaTheme="minorEastAsia" w:hAnsiTheme="minorEastAsia" w:hint="eastAsia"/>
          <w:szCs w:val="21"/>
        </w:rPr>
        <w:t>转出基金</w:t>
      </w:r>
      <w:r w:rsidR="00145E4F" w:rsidRPr="00D6191E">
        <w:rPr>
          <w:rFonts w:asciiTheme="minorEastAsia" w:eastAsiaTheme="minorEastAsia" w:hAnsiTheme="minorEastAsia" w:hint="eastAsia"/>
          <w:szCs w:val="21"/>
        </w:rPr>
        <w:t>赎回费按照</w:t>
      </w:r>
      <w:r w:rsidR="00B14939" w:rsidRPr="00D6191E">
        <w:rPr>
          <w:rFonts w:asciiTheme="minorEastAsia" w:eastAsiaTheme="minorEastAsia" w:hAnsiTheme="minorEastAsia" w:hint="eastAsia"/>
          <w:szCs w:val="21"/>
        </w:rPr>
        <w:t>各基金的</w:t>
      </w:r>
      <w:r w:rsidR="00145E4F" w:rsidRPr="00D6191E">
        <w:rPr>
          <w:rFonts w:asciiTheme="minorEastAsia" w:eastAsiaTheme="minorEastAsia" w:hAnsiTheme="minorEastAsia" w:hint="eastAsia"/>
          <w:szCs w:val="21"/>
        </w:rPr>
        <w:t>基金合同、更新的招募说明书及最新的相关公告约定的比例归入基金财产，其余部分用于支付注册登记费等相关手续费。转换费用以人民币元为单位，计算结果按照四舍五入方法，保留小数点后两位。</w:t>
      </w:r>
    </w:p>
    <w:p w:rsidR="000150E6" w:rsidRPr="00D6191E" w:rsidRDefault="00083C25"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hint="eastAsia"/>
          <w:szCs w:val="21"/>
        </w:rPr>
        <w:t>3</w:t>
      </w:r>
      <w:r w:rsidR="00200D60" w:rsidRPr="00D6191E">
        <w:rPr>
          <w:rFonts w:asciiTheme="minorEastAsia" w:eastAsiaTheme="minorEastAsia" w:hAnsiTheme="minorEastAsia" w:hint="eastAsia"/>
          <w:szCs w:val="21"/>
        </w:rPr>
        <w:t>、</w:t>
      </w:r>
      <w:r w:rsidR="000150E6" w:rsidRPr="00D6191E">
        <w:rPr>
          <w:rFonts w:asciiTheme="minorEastAsia" w:eastAsiaTheme="minorEastAsia" w:hAnsiTheme="minorEastAsia" w:hint="eastAsia"/>
          <w:szCs w:val="21"/>
        </w:rPr>
        <w:t>投资者通过本公司网上交易系统（www.efunds.com.cn）进行申购、赎回和转换的</w:t>
      </w:r>
      <w:r w:rsidR="000150E6" w:rsidRPr="00D6191E">
        <w:rPr>
          <w:rFonts w:asciiTheme="minorEastAsia" w:eastAsiaTheme="minorEastAsia" w:hAnsiTheme="minorEastAsia" w:hint="eastAsia"/>
          <w:szCs w:val="21"/>
        </w:rPr>
        <w:lastRenderedPageBreak/>
        <w:t>交易费率，请具体参照</w:t>
      </w:r>
      <w:r w:rsidR="00C940E4" w:rsidRPr="00D6191E">
        <w:rPr>
          <w:rFonts w:asciiTheme="minorEastAsia" w:eastAsiaTheme="minorEastAsia" w:hAnsiTheme="minorEastAsia" w:hint="eastAsia"/>
          <w:szCs w:val="21"/>
        </w:rPr>
        <w:t>本</w:t>
      </w:r>
      <w:r w:rsidR="000150E6" w:rsidRPr="00D6191E">
        <w:rPr>
          <w:rFonts w:asciiTheme="minorEastAsia" w:eastAsiaTheme="minorEastAsia" w:hAnsiTheme="minorEastAsia" w:hint="eastAsia"/>
          <w:szCs w:val="21"/>
        </w:rPr>
        <w:t>公司网站上的相关说明。</w:t>
      </w:r>
    </w:p>
    <w:p w:rsidR="003003F0" w:rsidRPr="00D6191E" w:rsidRDefault="00083C25"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hint="eastAsia"/>
          <w:szCs w:val="21"/>
        </w:rPr>
        <w:t>4</w:t>
      </w:r>
      <w:r w:rsidR="00200D60" w:rsidRPr="00D6191E">
        <w:rPr>
          <w:rFonts w:asciiTheme="minorEastAsia" w:eastAsiaTheme="minorEastAsia" w:hAnsiTheme="minorEastAsia" w:hint="eastAsia"/>
          <w:szCs w:val="21"/>
        </w:rPr>
        <w:t>、</w:t>
      </w:r>
      <w:r w:rsidR="003003F0" w:rsidRPr="00D6191E">
        <w:rPr>
          <w:rFonts w:asciiTheme="minorEastAsia" w:eastAsiaTheme="minorEastAsia" w:hAnsiTheme="minorEastAsia" w:hint="eastAsia"/>
          <w:szCs w:val="21"/>
        </w:rPr>
        <w:t>基金管理人可以在基金合同规定的范围内调整上述费率，上述费率如发生变更，基金管理人最迟应于新的费率或收费方式实施日前依照《信息披露办法》的有关规定在</w:t>
      </w:r>
      <w:r w:rsidR="00F44B20" w:rsidRPr="00D6191E">
        <w:rPr>
          <w:rFonts w:asciiTheme="minorEastAsia" w:eastAsiaTheme="minorEastAsia" w:hAnsiTheme="minorEastAsia" w:hint="eastAsia"/>
          <w:szCs w:val="21"/>
        </w:rPr>
        <w:t>指定媒介</w:t>
      </w:r>
      <w:r w:rsidR="003003F0" w:rsidRPr="00D6191E">
        <w:rPr>
          <w:rFonts w:asciiTheme="minorEastAsia" w:eastAsiaTheme="minorEastAsia" w:hAnsiTheme="minorEastAsia" w:hint="eastAsia"/>
          <w:szCs w:val="21"/>
        </w:rPr>
        <w:t>上公告。</w:t>
      </w:r>
    </w:p>
    <w:p w:rsidR="000150E6" w:rsidRDefault="00083C25"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hint="eastAsia"/>
          <w:szCs w:val="21"/>
        </w:rPr>
        <w:t>5</w:t>
      </w:r>
      <w:r w:rsidR="00200D60" w:rsidRPr="00D6191E">
        <w:rPr>
          <w:rFonts w:asciiTheme="minorEastAsia" w:eastAsiaTheme="minorEastAsia" w:hAnsiTheme="minorEastAsia" w:hint="eastAsia"/>
          <w:szCs w:val="21"/>
        </w:rPr>
        <w:t>、</w:t>
      </w:r>
      <w:r w:rsidR="0036702D" w:rsidRPr="00D6191E">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9A06F7" w:rsidRPr="001B2C8B" w:rsidRDefault="009A06F7" w:rsidP="001B2C8B">
      <w:pPr>
        <w:pStyle w:val="2"/>
        <w:snapToGrid w:val="0"/>
        <w:spacing w:beforeLines="0" w:afterLines="0" w:line="360" w:lineRule="auto"/>
        <w:ind w:firstLineChars="0" w:firstLine="0"/>
        <w:rPr>
          <w:rFonts w:asciiTheme="minorEastAsia" w:eastAsiaTheme="minorEastAsia" w:hAnsiTheme="minorEastAsia"/>
        </w:rPr>
      </w:pPr>
      <w:bookmarkStart w:id="92" w:name="_Toc86315912"/>
      <w:r w:rsidRPr="001B2C8B">
        <w:rPr>
          <w:rFonts w:asciiTheme="minorEastAsia" w:eastAsiaTheme="minorEastAsia" w:hAnsiTheme="minorEastAsia" w:hint="eastAsia"/>
        </w:rPr>
        <w:t>（三）实施侧袋机制期间的基金费用</w:t>
      </w:r>
      <w:bookmarkEnd w:id="92"/>
    </w:p>
    <w:p w:rsidR="009A06F7" w:rsidRPr="00D6191E" w:rsidRDefault="009A06F7" w:rsidP="009A06F7">
      <w:pPr>
        <w:snapToGrid w:val="0"/>
        <w:spacing w:line="360" w:lineRule="auto"/>
        <w:ind w:firstLineChars="225" w:firstLine="473"/>
        <w:rPr>
          <w:rFonts w:asciiTheme="minorEastAsia" w:eastAsiaTheme="minorEastAsia" w:hAnsiTheme="minorEastAsia"/>
          <w:szCs w:val="21"/>
        </w:rPr>
      </w:pPr>
      <w:r w:rsidRPr="007D27C7">
        <w:rPr>
          <w:rStyle w:val="da"/>
          <w:rFonts w:hint="eastAsia"/>
        </w:rPr>
        <w:t>本基金实施侧袋机制的，与侧袋账户有关的费用可以从侧袋账户中列支，但应待侧袋账户资产变现后方可列支，有关费用可酌情收取或减免，但不得收取管理费。</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rPr>
      </w:pPr>
      <w:bookmarkStart w:id="93" w:name="_Toc86315913"/>
      <w:r w:rsidRPr="00D6191E">
        <w:rPr>
          <w:rFonts w:asciiTheme="minorEastAsia" w:eastAsiaTheme="minorEastAsia" w:hAnsiTheme="minorEastAsia" w:hint="eastAsia"/>
          <w:b w:val="0"/>
        </w:rPr>
        <w:t>(</w:t>
      </w:r>
      <w:r w:rsidR="009A06F7">
        <w:rPr>
          <w:rFonts w:asciiTheme="minorEastAsia" w:eastAsiaTheme="minorEastAsia" w:hAnsiTheme="minorEastAsia"/>
          <w:b w:val="0"/>
        </w:rPr>
        <w:t>四</w:t>
      </w:r>
      <w:r w:rsidRPr="00D6191E">
        <w:rPr>
          <w:rFonts w:asciiTheme="minorEastAsia" w:eastAsiaTheme="minorEastAsia" w:hAnsiTheme="minorEastAsia" w:hint="eastAsia"/>
          <w:b w:val="0"/>
        </w:rPr>
        <w:t>)税收</w:t>
      </w:r>
      <w:bookmarkEnd w:id="93"/>
    </w:p>
    <w:p w:rsidR="00BA4B87" w:rsidRPr="00D6191E" w:rsidRDefault="00BA4B87" w:rsidP="000449FE">
      <w:pPr>
        <w:snapToGrid w:val="0"/>
        <w:spacing w:line="360" w:lineRule="auto"/>
        <w:ind w:firstLineChars="225" w:firstLine="473"/>
        <w:rPr>
          <w:rFonts w:asciiTheme="minorEastAsia" w:eastAsiaTheme="minorEastAsia" w:hAnsiTheme="minorEastAsia"/>
          <w:szCs w:val="21"/>
        </w:rPr>
      </w:pPr>
      <w:r w:rsidRPr="00D6191E">
        <w:rPr>
          <w:rFonts w:asciiTheme="minorEastAsia" w:eastAsiaTheme="minorEastAsia" w:hAnsiTheme="minorEastAsia"/>
          <w:szCs w:val="21"/>
        </w:rPr>
        <w:t>基金</w:t>
      </w:r>
      <w:r w:rsidRPr="00D6191E">
        <w:rPr>
          <w:rFonts w:asciiTheme="minorEastAsia" w:eastAsiaTheme="minorEastAsia" w:hAnsiTheme="minorEastAsia" w:hint="eastAsia"/>
          <w:szCs w:val="21"/>
        </w:rPr>
        <w:t>和</w:t>
      </w:r>
      <w:r w:rsidRPr="00D6191E">
        <w:rPr>
          <w:rFonts w:asciiTheme="minorEastAsia" w:eastAsiaTheme="minorEastAsia" w:hAnsiTheme="minorEastAsia"/>
          <w:szCs w:val="21"/>
        </w:rPr>
        <w:t>基金份额持有人根据</w:t>
      </w:r>
      <w:r w:rsidRPr="00D6191E">
        <w:rPr>
          <w:rFonts w:asciiTheme="minorEastAsia" w:eastAsiaTheme="minorEastAsia" w:hAnsiTheme="minorEastAsia" w:hint="eastAsia"/>
          <w:szCs w:val="21"/>
        </w:rPr>
        <w:t>国家法律法规的规定，履行纳税义务。</w:t>
      </w:r>
    </w:p>
    <w:p w:rsidR="00BA4B87" w:rsidRPr="00D6191E" w:rsidRDefault="00BA4B87" w:rsidP="004D6C82">
      <w:pPr>
        <w:pStyle w:val="1"/>
        <w:snapToGrid w:val="0"/>
        <w:spacing w:beforeLines="0" w:afterLines="0" w:line="360" w:lineRule="auto"/>
        <w:ind w:firstLine="600"/>
        <w:rPr>
          <w:rFonts w:asciiTheme="minorEastAsia" w:eastAsiaTheme="minorEastAsia" w:hAnsiTheme="minorEastAsia"/>
          <w:bCs/>
        </w:rPr>
      </w:pPr>
      <w:r w:rsidRPr="00D6191E">
        <w:rPr>
          <w:rFonts w:asciiTheme="minorEastAsia" w:eastAsiaTheme="minorEastAsia" w:hAnsiTheme="minorEastAsia" w:hint="eastAsia"/>
          <w:sz w:val="30"/>
        </w:rPr>
        <w:br w:type="page"/>
      </w:r>
      <w:bookmarkStart w:id="94" w:name="_Toc86315914"/>
      <w:r w:rsidR="009C0CEE" w:rsidRPr="00D6191E">
        <w:rPr>
          <w:rFonts w:asciiTheme="minorEastAsia" w:eastAsiaTheme="minorEastAsia" w:hAnsiTheme="minorEastAsia" w:hint="eastAsia"/>
          <w:sz w:val="30"/>
        </w:rPr>
        <w:lastRenderedPageBreak/>
        <w:t>十七</w:t>
      </w:r>
      <w:r w:rsidRPr="00D6191E">
        <w:rPr>
          <w:rFonts w:asciiTheme="minorEastAsia" w:eastAsiaTheme="minorEastAsia" w:hAnsiTheme="minorEastAsia" w:hint="eastAsia"/>
          <w:sz w:val="30"/>
        </w:rPr>
        <w:t>、基金的会计与审计</w:t>
      </w:r>
      <w:bookmarkEnd w:id="94"/>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rPr>
      </w:pPr>
      <w:bookmarkStart w:id="95" w:name="_Toc86315915"/>
      <w:r w:rsidRPr="00D6191E">
        <w:rPr>
          <w:rFonts w:asciiTheme="minorEastAsia" w:eastAsiaTheme="minorEastAsia" w:hAnsiTheme="minorEastAsia" w:hint="eastAsia"/>
          <w:b w:val="0"/>
        </w:rPr>
        <w:t>(一)基金会计政策</w:t>
      </w:r>
      <w:bookmarkEnd w:id="95"/>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hint="eastAsia"/>
          <w:szCs w:val="21"/>
        </w:rPr>
        <w:t>基金管理人为本基金的会计责任方；</w:t>
      </w:r>
    </w:p>
    <w:p w:rsidR="00BA4B87" w:rsidRPr="00D6191E" w:rsidRDefault="00200D60" w:rsidP="006B39C3">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BA4B87" w:rsidRPr="00D6191E">
        <w:rPr>
          <w:rFonts w:asciiTheme="minorEastAsia" w:eastAsiaTheme="minorEastAsia" w:hAnsiTheme="minorEastAsia" w:hint="eastAsia"/>
          <w:szCs w:val="21"/>
        </w:rPr>
        <w:t>本基金的会计年度为公历每年的</w:t>
      </w:r>
      <w:r w:rsidR="00BA4B87" w:rsidRPr="00D6191E">
        <w:rPr>
          <w:rFonts w:asciiTheme="minorEastAsia" w:eastAsiaTheme="minorEastAsia" w:hAnsiTheme="minorEastAsia"/>
          <w:szCs w:val="21"/>
        </w:rPr>
        <w:t>1</w:t>
      </w:r>
      <w:r w:rsidR="00BA4B87" w:rsidRPr="00D6191E">
        <w:rPr>
          <w:rFonts w:asciiTheme="minorEastAsia" w:eastAsiaTheme="minorEastAsia" w:hAnsiTheme="minorEastAsia" w:hint="eastAsia"/>
          <w:szCs w:val="21"/>
        </w:rPr>
        <w:t>月</w:t>
      </w:r>
      <w:r w:rsidR="00BA4B87" w:rsidRPr="00D6191E">
        <w:rPr>
          <w:rFonts w:asciiTheme="minorEastAsia" w:eastAsiaTheme="minorEastAsia" w:hAnsiTheme="minorEastAsia"/>
          <w:szCs w:val="21"/>
        </w:rPr>
        <w:t>1</w:t>
      </w:r>
      <w:r w:rsidR="00BA4B87" w:rsidRPr="00D6191E">
        <w:rPr>
          <w:rFonts w:asciiTheme="minorEastAsia" w:eastAsiaTheme="minorEastAsia" w:hAnsiTheme="minorEastAsia" w:hint="eastAsia"/>
          <w:szCs w:val="21"/>
        </w:rPr>
        <w:t>日至</w:t>
      </w:r>
      <w:r w:rsidR="00BA4B87" w:rsidRPr="00D6191E">
        <w:rPr>
          <w:rFonts w:asciiTheme="minorEastAsia" w:eastAsiaTheme="minorEastAsia" w:hAnsiTheme="minorEastAsia"/>
          <w:szCs w:val="21"/>
        </w:rPr>
        <w:t>12</w:t>
      </w:r>
      <w:r w:rsidR="00BA4B87" w:rsidRPr="00D6191E">
        <w:rPr>
          <w:rFonts w:asciiTheme="minorEastAsia" w:eastAsiaTheme="minorEastAsia" w:hAnsiTheme="minorEastAsia" w:hint="eastAsia"/>
          <w:szCs w:val="21"/>
        </w:rPr>
        <w:t>月</w:t>
      </w:r>
      <w:r w:rsidR="00BA4B87" w:rsidRPr="00D6191E">
        <w:rPr>
          <w:rFonts w:asciiTheme="minorEastAsia" w:eastAsiaTheme="minorEastAsia" w:hAnsiTheme="minorEastAsia"/>
          <w:szCs w:val="21"/>
        </w:rPr>
        <w:t>31</w:t>
      </w:r>
      <w:r w:rsidR="00BA4B87" w:rsidRPr="00D6191E">
        <w:rPr>
          <w:rFonts w:asciiTheme="minorEastAsia" w:eastAsiaTheme="minorEastAsia" w:hAnsiTheme="minorEastAsia" w:hint="eastAsia"/>
          <w:szCs w:val="21"/>
        </w:rPr>
        <w:t>日；</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00BA4B87" w:rsidRPr="00D6191E">
        <w:rPr>
          <w:rFonts w:asciiTheme="minorEastAsia" w:eastAsiaTheme="minorEastAsia" w:hAnsiTheme="minorEastAsia" w:hint="eastAsia"/>
          <w:szCs w:val="21"/>
        </w:rPr>
        <w:t>本基金的会计核算以人民币为记账本位币，以人民币元为记账单位；</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w:t>
      </w:r>
      <w:r w:rsidR="00BA4B87" w:rsidRPr="00D6191E">
        <w:rPr>
          <w:rFonts w:asciiTheme="minorEastAsia" w:eastAsiaTheme="minorEastAsia" w:hAnsiTheme="minorEastAsia" w:hint="eastAsia"/>
          <w:szCs w:val="21"/>
        </w:rPr>
        <w:t>会计制度执行国家有关的会计制度；</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w:t>
      </w:r>
      <w:r w:rsidR="00BA4B87" w:rsidRPr="00D6191E">
        <w:rPr>
          <w:rFonts w:asciiTheme="minorEastAsia" w:eastAsiaTheme="minorEastAsia" w:hAnsiTheme="minorEastAsia" w:hint="eastAsia"/>
          <w:szCs w:val="21"/>
        </w:rPr>
        <w:t>本基金独立建账、独立核算；</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6、</w:t>
      </w:r>
      <w:r w:rsidR="00BA4B87" w:rsidRPr="00D6191E">
        <w:rPr>
          <w:rFonts w:asciiTheme="minorEastAsia" w:eastAsiaTheme="minorEastAsia" w:hAnsiTheme="minorEastAsia"/>
          <w:szCs w:val="21"/>
        </w:rPr>
        <w:t>基金管理人保留完整的会计</w:t>
      </w:r>
      <w:r w:rsidR="00BA4B87" w:rsidRPr="00D6191E">
        <w:rPr>
          <w:rFonts w:asciiTheme="minorEastAsia" w:eastAsiaTheme="minorEastAsia" w:hAnsiTheme="minorEastAsia" w:hint="eastAsia"/>
          <w:szCs w:val="21"/>
        </w:rPr>
        <w:t>账</w:t>
      </w:r>
      <w:r w:rsidR="00BA4B87" w:rsidRPr="00D6191E">
        <w:rPr>
          <w:rFonts w:asciiTheme="minorEastAsia" w:eastAsiaTheme="minorEastAsia" w:hAnsiTheme="minorEastAsia"/>
          <w:szCs w:val="21"/>
        </w:rPr>
        <w:t>目、凭证并进行日常的会计核算，按照有关规定编制基金会计报表</w:t>
      </w:r>
      <w:r w:rsidR="00BA4B87" w:rsidRPr="00D6191E">
        <w:rPr>
          <w:rFonts w:asciiTheme="minorEastAsia" w:eastAsiaTheme="minorEastAsia" w:hAnsiTheme="minorEastAsia" w:hint="eastAsia"/>
          <w:szCs w:val="21"/>
        </w:rPr>
        <w:t>；</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7、</w:t>
      </w:r>
      <w:r w:rsidR="00BA4B87" w:rsidRPr="00D6191E">
        <w:rPr>
          <w:rFonts w:asciiTheme="minorEastAsia" w:eastAsiaTheme="minorEastAsia" w:hAnsiTheme="minorEastAsia"/>
          <w:szCs w:val="21"/>
        </w:rPr>
        <w:t>基金托管人定期与基金管理人就基金的会计核算、报表编制等进行核对</w:t>
      </w:r>
      <w:r w:rsidR="00BA4B87" w:rsidRPr="00D6191E">
        <w:rPr>
          <w:rFonts w:asciiTheme="minorEastAsia" w:eastAsiaTheme="minorEastAsia" w:hAnsiTheme="minorEastAsia" w:hint="eastAsia"/>
          <w:szCs w:val="21"/>
        </w:rPr>
        <w:t>并书面确认。</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rPr>
      </w:pPr>
      <w:bookmarkStart w:id="96" w:name="_Toc86315916"/>
      <w:r w:rsidRPr="00D6191E">
        <w:rPr>
          <w:rFonts w:asciiTheme="minorEastAsia" w:eastAsiaTheme="minorEastAsia" w:hAnsiTheme="minorEastAsia" w:hint="eastAsia"/>
          <w:b w:val="0"/>
        </w:rPr>
        <w:t>(二)基金审计</w:t>
      </w:r>
      <w:bookmarkEnd w:id="96"/>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hint="eastAsia"/>
          <w:szCs w:val="21"/>
        </w:rPr>
        <w:t>基金管理人聘请具有</w:t>
      </w:r>
      <w:r w:rsidR="00291C9F" w:rsidRPr="00D6191E">
        <w:rPr>
          <w:rFonts w:asciiTheme="minorEastAsia" w:eastAsiaTheme="minorEastAsia" w:hAnsiTheme="minorEastAsia" w:hint="eastAsia"/>
          <w:szCs w:val="21"/>
        </w:rPr>
        <w:t>证券、期货相关业务资格</w:t>
      </w:r>
      <w:r w:rsidR="00BA4B87" w:rsidRPr="00D6191E">
        <w:rPr>
          <w:rFonts w:asciiTheme="minorEastAsia" w:eastAsiaTheme="minorEastAsia" w:hAnsiTheme="minorEastAsia" w:hint="eastAsia"/>
          <w:szCs w:val="21"/>
        </w:rPr>
        <w:t>的会计师事务所及其注册会计师对本基金年度财务报表</w:t>
      </w:r>
      <w:r w:rsidR="00BA4B87" w:rsidRPr="00D6191E">
        <w:rPr>
          <w:rFonts w:asciiTheme="minorEastAsia" w:eastAsiaTheme="minorEastAsia" w:hAnsiTheme="minorEastAsia"/>
          <w:szCs w:val="21"/>
        </w:rPr>
        <w:t>及其他规定事项</w:t>
      </w:r>
      <w:r w:rsidR="00BA4B87" w:rsidRPr="00D6191E">
        <w:rPr>
          <w:rFonts w:asciiTheme="minorEastAsia" w:eastAsiaTheme="minorEastAsia" w:hAnsiTheme="minorEastAsia" w:hint="eastAsia"/>
          <w:szCs w:val="21"/>
        </w:rPr>
        <w:t>进行审计。会计师事务所及其注册会计师与基金管理人、基金托管人相互独立。</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BA4B87" w:rsidRPr="00D6191E">
        <w:rPr>
          <w:rFonts w:asciiTheme="minorEastAsia" w:eastAsiaTheme="minorEastAsia" w:hAnsiTheme="minorEastAsia" w:hint="eastAsia"/>
          <w:szCs w:val="21"/>
        </w:rPr>
        <w:t>会计师事务所更换经办注册会计师时，应事先征得基金管理人同意。</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00BA4B87" w:rsidRPr="00D6191E">
        <w:rPr>
          <w:rFonts w:asciiTheme="minorEastAsia" w:eastAsiaTheme="minorEastAsia" w:hAnsiTheme="minorEastAsia" w:hint="eastAsia"/>
          <w:szCs w:val="21"/>
        </w:rPr>
        <w:t>基金管理人认为有充足理由更换会计师事务所，经通报基金托管人并依照《信息披露办法》的有关规定在</w:t>
      </w:r>
      <w:r w:rsidR="00F44B20" w:rsidRPr="00D6191E">
        <w:rPr>
          <w:rFonts w:asciiTheme="minorEastAsia" w:eastAsiaTheme="minorEastAsia" w:hAnsiTheme="minorEastAsia" w:hint="eastAsia"/>
          <w:szCs w:val="21"/>
        </w:rPr>
        <w:t>指定媒介</w:t>
      </w:r>
      <w:r w:rsidR="00BA4B87" w:rsidRPr="00D6191E">
        <w:rPr>
          <w:rFonts w:asciiTheme="minorEastAsia" w:eastAsiaTheme="minorEastAsia" w:hAnsiTheme="minorEastAsia" w:hint="eastAsia"/>
          <w:szCs w:val="21"/>
        </w:rPr>
        <w:t>上公告。</w:t>
      </w:r>
    </w:p>
    <w:p w:rsidR="00BA4B87" w:rsidRPr="00D6191E" w:rsidRDefault="00BA4B87" w:rsidP="000449FE">
      <w:pPr>
        <w:snapToGrid w:val="0"/>
        <w:spacing w:line="360" w:lineRule="auto"/>
        <w:ind w:firstLine="480"/>
        <w:rPr>
          <w:rFonts w:asciiTheme="minorEastAsia" w:eastAsiaTheme="minorEastAsia" w:hAnsiTheme="minorEastAsia"/>
        </w:rPr>
      </w:pPr>
    </w:p>
    <w:p w:rsidR="00BA4B87" w:rsidRPr="00D6191E" w:rsidRDefault="00BA4B87" w:rsidP="004D6C82">
      <w:pPr>
        <w:pStyle w:val="1"/>
        <w:snapToGrid w:val="0"/>
        <w:spacing w:beforeLines="0" w:afterLines="0" w:line="360" w:lineRule="auto"/>
        <w:ind w:firstLine="600"/>
        <w:rPr>
          <w:rFonts w:asciiTheme="minorEastAsia" w:eastAsiaTheme="minorEastAsia" w:hAnsiTheme="minorEastAsia"/>
          <w:b/>
        </w:rPr>
      </w:pPr>
      <w:r w:rsidRPr="00D6191E">
        <w:rPr>
          <w:rFonts w:asciiTheme="minorEastAsia" w:eastAsiaTheme="minorEastAsia" w:hAnsiTheme="minorEastAsia" w:hint="eastAsia"/>
          <w:sz w:val="30"/>
        </w:rPr>
        <w:br w:type="column"/>
      </w:r>
      <w:bookmarkStart w:id="97" w:name="_Toc86315917"/>
      <w:r w:rsidR="009C0CEE" w:rsidRPr="00D6191E">
        <w:rPr>
          <w:rFonts w:asciiTheme="minorEastAsia" w:eastAsiaTheme="minorEastAsia" w:hAnsiTheme="minorEastAsia" w:hint="eastAsia"/>
          <w:sz w:val="30"/>
        </w:rPr>
        <w:lastRenderedPageBreak/>
        <w:t>十八</w:t>
      </w:r>
      <w:r w:rsidRPr="00D6191E">
        <w:rPr>
          <w:rFonts w:asciiTheme="minorEastAsia" w:eastAsiaTheme="minorEastAsia" w:hAnsiTheme="minorEastAsia" w:hint="eastAsia"/>
          <w:sz w:val="30"/>
        </w:rPr>
        <w:t>、基金的信息披露</w:t>
      </w:r>
      <w:bookmarkEnd w:id="97"/>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rPr>
      </w:pPr>
      <w:bookmarkStart w:id="98" w:name="_Toc86315918"/>
      <w:r w:rsidRPr="00D6191E">
        <w:rPr>
          <w:rFonts w:asciiTheme="minorEastAsia" w:eastAsiaTheme="minorEastAsia" w:hAnsiTheme="minorEastAsia" w:hint="eastAsia"/>
          <w:b w:val="0"/>
        </w:rPr>
        <w:t>(一)信息披露的形式</w:t>
      </w:r>
      <w:bookmarkEnd w:id="98"/>
    </w:p>
    <w:p w:rsidR="00291C9F" w:rsidRPr="00D6191E" w:rsidRDefault="00BA4B87" w:rsidP="00291C9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基金的信息披露应符合《基金法》、《运作办法》、《信息披露办法》、基金合同及其他有关规定。</w:t>
      </w:r>
      <w:r w:rsidRPr="00D6191E">
        <w:rPr>
          <w:rFonts w:asciiTheme="minorEastAsia" w:eastAsiaTheme="minorEastAsia" w:hAnsiTheme="minorEastAsia" w:hint="eastAsia"/>
          <w:szCs w:val="21"/>
        </w:rPr>
        <w:t>基金管理人、基金托管人和其他基金信息披露义务人应当</w:t>
      </w:r>
      <w:r w:rsidR="00291C9F" w:rsidRPr="00D6191E">
        <w:rPr>
          <w:rFonts w:asciiTheme="minorEastAsia" w:eastAsiaTheme="minorEastAsia" w:hAnsiTheme="minorEastAsia" w:hint="eastAsia"/>
          <w:szCs w:val="21"/>
        </w:rPr>
        <w:t>以保护基金份额持有人利益为根本出发点，按照法律法规和中国证监会的规定披露基金信息，并保证所披露信息的真实性、准确性、完整性、及时性、简明性和易得性。</w:t>
      </w:r>
    </w:p>
    <w:p w:rsidR="00BA4B87" w:rsidRPr="00D6191E" w:rsidRDefault="00291C9F" w:rsidP="00291C9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信息披露义务人包括基金管理人、基金托管人、召集基金份额持有人大会的基金份额持有人等法律、行政法规和中国证监会规定的自然人、法人和非法人组织。基金管理人、基金托管人和其他基金信息披露义务人应按规定将应予披露的基金信息披露事项在规定时间内通过中国证监会指定媒介披露。</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本基金信息披露义务人承诺公开披露的基金信息，不得有下列行为：</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hint="eastAsia"/>
          <w:szCs w:val="21"/>
        </w:rPr>
        <w:t>虚假记载、误导性陈述或者重大遗漏；</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BA4B87" w:rsidRPr="00D6191E">
        <w:rPr>
          <w:rFonts w:asciiTheme="minorEastAsia" w:eastAsiaTheme="minorEastAsia" w:hAnsiTheme="minorEastAsia" w:hint="eastAsia"/>
          <w:szCs w:val="21"/>
        </w:rPr>
        <w:t>对证券投资业绩进行预测；</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00BA4B87" w:rsidRPr="00D6191E">
        <w:rPr>
          <w:rFonts w:asciiTheme="minorEastAsia" w:eastAsiaTheme="minorEastAsia" w:hAnsiTheme="minorEastAsia" w:hint="eastAsia"/>
          <w:szCs w:val="21"/>
        </w:rPr>
        <w:t>违规承诺收益或者承担损失；</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w:t>
      </w:r>
      <w:r w:rsidR="00BA4B87" w:rsidRPr="00D6191E">
        <w:rPr>
          <w:rFonts w:asciiTheme="minorEastAsia" w:eastAsiaTheme="minorEastAsia" w:hAnsiTheme="minorEastAsia" w:hint="eastAsia"/>
          <w:szCs w:val="21"/>
        </w:rPr>
        <w:t>诋毁其他基金管理人、基金托管人或者基金销售机构；</w:t>
      </w:r>
    </w:p>
    <w:p w:rsidR="00BA4B87" w:rsidRPr="00D6191E" w:rsidRDefault="00291C9F"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5.登载任何自然人、法人和非法人组织的祝贺性、恭维性或推荐性的文字；</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6、</w:t>
      </w:r>
      <w:r w:rsidR="00BA4B87" w:rsidRPr="00D6191E">
        <w:rPr>
          <w:rFonts w:asciiTheme="minorEastAsia" w:eastAsiaTheme="minorEastAsia" w:hAnsiTheme="minorEastAsia" w:hint="eastAsia"/>
          <w:szCs w:val="21"/>
        </w:rPr>
        <w:t>中国证监会禁止的其他行为。</w:t>
      </w:r>
    </w:p>
    <w:p w:rsidR="00BA4B87" w:rsidRPr="00D6191E" w:rsidRDefault="00291C9F"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本基金公开披露的信息应采用中文文本。如同时采用外文文本的，基金信息披露义务人应保证不同文本的内容一致。不同文本之间发生歧义的，以中文文本为准</w:t>
      </w:r>
      <w:r w:rsidR="00BA4B87" w:rsidRPr="00D6191E">
        <w:rPr>
          <w:rFonts w:asciiTheme="minorEastAsia" w:eastAsiaTheme="minorEastAsia" w:hAnsiTheme="minorEastAsia" w:hint="eastAsia"/>
          <w:szCs w:val="21"/>
        </w:rPr>
        <w:t>。</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本基金公开披露的信息采用阿拉伯数字；除特别说明外，货币单位为人民币元。</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rPr>
      </w:pPr>
      <w:bookmarkStart w:id="99" w:name="_Toc86315919"/>
      <w:r w:rsidRPr="00D6191E">
        <w:rPr>
          <w:rFonts w:asciiTheme="minorEastAsia" w:eastAsiaTheme="minorEastAsia" w:hAnsiTheme="minorEastAsia" w:hint="eastAsia"/>
          <w:b w:val="0"/>
        </w:rPr>
        <w:t>(二)信息披露的种类、披露时间和披露形式</w:t>
      </w:r>
      <w:bookmarkEnd w:id="99"/>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szCs w:val="21"/>
        </w:rPr>
        <w:t>招募说明书</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招募说明书是基金向社会公开发售时对基金情况进行说明的法律文件。</w:t>
      </w:r>
    </w:p>
    <w:p w:rsidR="00291C9F" w:rsidRPr="00D6191E" w:rsidRDefault="00291C9F" w:rsidP="00291C9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BA4B87" w:rsidRPr="00D6191E" w:rsidRDefault="00291C9F" w:rsidP="00291C9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基金管理人按照《基金法》、《信息披露办法》、基金合同编制并在基金份额发售的3日前，将基金招募说明书登载在指定报刊和网站上。</w:t>
      </w:r>
    </w:p>
    <w:p w:rsidR="00BA4B87" w:rsidRPr="00D6191E" w:rsidRDefault="00200D60" w:rsidP="006B39C3">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BA4B87" w:rsidRPr="00D6191E">
        <w:rPr>
          <w:rFonts w:asciiTheme="minorEastAsia" w:eastAsiaTheme="minorEastAsia" w:hAnsiTheme="minorEastAsia"/>
          <w:szCs w:val="21"/>
        </w:rPr>
        <w:t>基金合同、托管协议</w:t>
      </w:r>
    </w:p>
    <w:p w:rsidR="00291C9F" w:rsidRPr="00D6191E" w:rsidRDefault="00291C9F" w:rsidP="00291C9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基金管理人应在基金份额发售的3日前，将基金合同摘要登载在指定报刊和网站上；基金管理人、基金托管人应将基金合同、托管协议登载在各自网站上。</w:t>
      </w:r>
    </w:p>
    <w:p w:rsidR="00291C9F" w:rsidRPr="00D6191E" w:rsidRDefault="00291C9F" w:rsidP="00291C9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lastRenderedPageBreak/>
        <w:t>3、基金产品资料概要</w:t>
      </w:r>
    </w:p>
    <w:p w:rsidR="00BA4B87" w:rsidRPr="00D6191E" w:rsidRDefault="00291C9F" w:rsidP="00291C9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A4B87" w:rsidRPr="00D6191E" w:rsidRDefault="00291C9F" w:rsidP="006B39C3">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w:t>
      </w:r>
      <w:r w:rsidR="00200D60" w:rsidRPr="00D6191E">
        <w:rPr>
          <w:rFonts w:asciiTheme="minorEastAsia" w:eastAsiaTheme="minorEastAsia" w:hAnsiTheme="minorEastAsia" w:hint="eastAsia"/>
          <w:szCs w:val="21"/>
        </w:rPr>
        <w:t>、</w:t>
      </w:r>
      <w:r w:rsidR="00BA4B87" w:rsidRPr="00D6191E">
        <w:rPr>
          <w:rFonts w:asciiTheme="minorEastAsia" w:eastAsiaTheme="minorEastAsia" w:hAnsiTheme="minorEastAsia"/>
          <w:szCs w:val="21"/>
        </w:rPr>
        <w:t>基金份额发售公告</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基金管理人将按照《基金法》、《信息披露办法》的有关规定，就基金份额发售的具体事宜编制基金份额发售公告，并在披露招募说明书的当日登载于指定报刊和网站上。</w:t>
      </w:r>
    </w:p>
    <w:p w:rsidR="00BA4B87" w:rsidRPr="00D6191E" w:rsidRDefault="00291C9F" w:rsidP="006B39C3">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w:t>
      </w:r>
      <w:r w:rsidR="00200D60" w:rsidRPr="00D6191E">
        <w:rPr>
          <w:rFonts w:asciiTheme="minorEastAsia" w:eastAsiaTheme="minorEastAsia" w:hAnsiTheme="minorEastAsia" w:hint="eastAsia"/>
          <w:szCs w:val="21"/>
        </w:rPr>
        <w:t>、</w:t>
      </w:r>
      <w:r w:rsidR="00BA4B87" w:rsidRPr="00D6191E">
        <w:rPr>
          <w:rFonts w:asciiTheme="minorEastAsia" w:eastAsiaTheme="minorEastAsia" w:hAnsiTheme="minorEastAsia"/>
          <w:szCs w:val="21"/>
        </w:rPr>
        <w:t>基金合同生效公告</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基金管理人将在基金合同生效的次日在指定报刊和网站上登载基金合同生效公告。</w:t>
      </w:r>
      <w:r w:rsidRPr="00D6191E">
        <w:rPr>
          <w:rFonts w:asciiTheme="minorEastAsia" w:eastAsiaTheme="minorEastAsia" w:hAnsiTheme="minorEastAsia" w:hint="eastAsia"/>
          <w:szCs w:val="21"/>
        </w:rPr>
        <w:t>基金合同生效公告中将说明基金募集情况。</w:t>
      </w:r>
    </w:p>
    <w:p w:rsidR="00291C9F" w:rsidRPr="00D6191E" w:rsidRDefault="00291C9F" w:rsidP="00291C9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6</w:t>
      </w:r>
      <w:r w:rsidR="00200D60" w:rsidRPr="00D6191E">
        <w:rPr>
          <w:rFonts w:asciiTheme="minorEastAsia" w:eastAsiaTheme="minorEastAsia" w:hAnsiTheme="minorEastAsia" w:hint="eastAsia"/>
          <w:szCs w:val="21"/>
        </w:rPr>
        <w:t>、</w:t>
      </w:r>
      <w:r w:rsidRPr="00D6191E">
        <w:rPr>
          <w:rFonts w:asciiTheme="minorEastAsia" w:eastAsiaTheme="minorEastAsia" w:hAnsiTheme="minorEastAsia" w:hint="eastAsia"/>
          <w:szCs w:val="21"/>
        </w:rPr>
        <w:t>基金净值信息</w:t>
      </w:r>
    </w:p>
    <w:p w:rsidR="00291C9F" w:rsidRPr="00D6191E" w:rsidRDefault="00291C9F" w:rsidP="00291C9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（1）基金合同生效后，在开始办理基金份额申购或者赎回前，基金管理人应当至少每周在指定网站披露一次基金份额净值和基金份额累计净值；</w:t>
      </w:r>
    </w:p>
    <w:p w:rsidR="00291C9F" w:rsidRPr="00D6191E" w:rsidRDefault="00291C9F" w:rsidP="00291C9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（2）在开始办理基金份额申购或者赎回后，基金管理人应当在不晚于每个开放日的次日，通过指定网站、基金销售机构网站或者营业网点，披露开放日的基金份额净值和基金份额累计净值；</w:t>
      </w:r>
    </w:p>
    <w:p w:rsidR="00BA4B87" w:rsidRPr="00D6191E" w:rsidRDefault="00291C9F" w:rsidP="00291C9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（3）基金管理人应当在不晚于半年度和年度最后一日的次日，在指定网站披露半年度和年度最后一日的基金份额净值和基金份额累计净值。</w:t>
      </w:r>
    </w:p>
    <w:p w:rsidR="00BA4B87" w:rsidRPr="00D6191E" w:rsidRDefault="00291C9F" w:rsidP="006B39C3">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7</w:t>
      </w:r>
      <w:r w:rsidR="00200D60" w:rsidRPr="00D6191E">
        <w:rPr>
          <w:rFonts w:asciiTheme="minorEastAsia" w:eastAsiaTheme="minorEastAsia" w:hAnsiTheme="minorEastAsia" w:hint="eastAsia"/>
          <w:szCs w:val="21"/>
        </w:rPr>
        <w:t>、</w:t>
      </w:r>
      <w:r w:rsidR="00BA4B87" w:rsidRPr="00D6191E">
        <w:rPr>
          <w:rFonts w:asciiTheme="minorEastAsia" w:eastAsiaTheme="minorEastAsia" w:hAnsiTheme="minorEastAsia"/>
          <w:szCs w:val="21"/>
        </w:rPr>
        <w:t>基金份额申购、赎回价格公告</w:t>
      </w:r>
    </w:p>
    <w:p w:rsidR="00BA4B87" w:rsidRPr="00D6191E" w:rsidRDefault="00291C9F"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管理人应当在本基金的基金合同、招募说明书等信息披露文件上载明基金份额申购、赎回价格的计算方式及有关申购、赎回费率，并保证投资人能够在基金销售机构网站或营业网点查阅或者复制前述信息资料。</w:t>
      </w:r>
    </w:p>
    <w:p w:rsidR="00BA4B87" w:rsidRPr="00D6191E" w:rsidRDefault="00291C9F" w:rsidP="006B39C3">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8</w:t>
      </w:r>
      <w:r w:rsidR="00200D60" w:rsidRPr="00D6191E">
        <w:rPr>
          <w:rFonts w:asciiTheme="minorEastAsia" w:eastAsiaTheme="minorEastAsia" w:hAnsiTheme="minorEastAsia" w:hint="eastAsia"/>
          <w:szCs w:val="21"/>
        </w:rPr>
        <w:t>、</w:t>
      </w:r>
      <w:r w:rsidR="00BA4B87" w:rsidRPr="00D6191E">
        <w:rPr>
          <w:rFonts w:asciiTheme="minorEastAsia" w:eastAsiaTheme="minorEastAsia" w:hAnsiTheme="minorEastAsia"/>
          <w:szCs w:val="21"/>
        </w:rPr>
        <w:t>基金年度报告、基金</w:t>
      </w:r>
      <w:r w:rsidRPr="00D6191E">
        <w:rPr>
          <w:rFonts w:asciiTheme="minorEastAsia" w:eastAsiaTheme="minorEastAsia" w:hAnsiTheme="minorEastAsia"/>
          <w:szCs w:val="21"/>
        </w:rPr>
        <w:t>中期</w:t>
      </w:r>
      <w:r w:rsidR="00BA4B87" w:rsidRPr="00D6191E">
        <w:rPr>
          <w:rFonts w:asciiTheme="minorEastAsia" w:eastAsiaTheme="minorEastAsia" w:hAnsiTheme="minorEastAsia"/>
          <w:szCs w:val="21"/>
        </w:rPr>
        <w:t>报告、基金季度报告</w:t>
      </w:r>
    </w:p>
    <w:p w:rsidR="00291C9F" w:rsidRPr="00D6191E" w:rsidRDefault="00291C9F" w:rsidP="00291C9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基金管理人应当在每年结束之日起三个月内，编制完成基金年度报告，并将年度报告登载在指定网站上，并将年度报告提示性公告登载在指定报刊上。基金年度报告中的财务会计报告应当经过具有证券、期货相关业务资格的会计师事务所审计后，方可披露；</w:t>
      </w:r>
    </w:p>
    <w:p w:rsidR="00291C9F" w:rsidRPr="00D6191E" w:rsidRDefault="00291C9F" w:rsidP="00291C9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（2）基金管理人应当在上半年结束之日起两个月内，编制完成基金中期报告，将中期报告登载在指定网站上，并将中期报告提示性公告登载在指定报刊上；</w:t>
      </w:r>
    </w:p>
    <w:p w:rsidR="00291C9F" w:rsidRPr="00D6191E" w:rsidRDefault="00291C9F" w:rsidP="00291C9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（3）基金管理人应当在季度结束之日起15个工作日内，编制完成基金季度报告，将季度报告登载在指定网站上，并将季度报告提示性公告登载在指定报刊上；</w:t>
      </w:r>
    </w:p>
    <w:p w:rsidR="00291C9F" w:rsidRPr="00D6191E" w:rsidRDefault="00291C9F" w:rsidP="00291C9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（4）基金合同生效不足2个月的，基金管理人可以不编制当期季度报告、中期报告或者年度报告。</w:t>
      </w:r>
    </w:p>
    <w:p w:rsidR="00291C9F" w:rsidRPr="00D6191E" w:rsidRDefault="00291C9F" w:rsidP="00291C9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lastRenderedPageBreak/>
        <w:t>报告期内出现单一投资者持有基金份额比例达到或超过20%的情形，基金管理人应当在季度报告、中期报告、年度报告等定期报告文件中披露该投资者的类别、报告期末持有份额及占比、报告期内持有份额变化情况及产品的特有风险，中国证监会认定的特殊情形除外。</w:t>
      </w:r>
    </w:p>
    <w:p w:rsidR="00BA7A94" w:rsidRPr="00D6191E" w:rsidRDefault="00291C9F" w:rsidP="00BA7A94">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基金持续运作过程中，基金管理人应当在基金年度报告和中期报告中披露基金组合资产情况及其流动性风险分析等。</w:t>
      </w:r>
    </w:p>
    <w:p w:rsidR="00BA4B87" w:rsidRPr="00D6191E" w:rsidRDefault="00291C9F" w:rsidP="006B39C3">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9</w:t>
      </w:r>
      <w:r w:rsidR="00200D60" w:rsidRPr="00D6191E">
        <w:rPr>
          <w:rFonts w:asciiTheme="minorEastAsia" w:eastAsiaTheme="minorEastAsia" w:hAnsiTheme="minorEastAsia" w:hint="eastAsia"/>
          <w:szCs w:val="21"/>
        </w:rPr>
        <w:t>、</w:t>
      </w:r>
      <w:r w:rsidR="00BA4B87" w:rsidRPr="00D6191E">
        <w:rPr>
          <w:rFonts w:asciiTheme="minorEastAsia" w:eastAsiaTheme="minorEastAsia" w:hAnsiTheme="minorEastAsia"/>
          <w:szCs w:val="21"/>
        </w:rPr>
        <w:t>临时报告</w:t>
      </w:r>
    </w:p>
    <w:p w:rsidR="001E7E16" w:rsidRPr="00D6191E" w:rsidRDefault="001E7E16"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在基金运作过程中发生如下可能对基金份额持有人权益或者基金份额的价格产生重大影响的事件时，有关信息披露义务人应当在2日内编制临时报告书，并登载在指定报刊和指定网站上：</w:t>
      </w:r>
    </w:p>
    <w:p w:rsidR="001E7E16" w:rsidRPr="00D6191E" w:rsidRDefault="00BB0C72"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1</w:t>
      </w: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基金份额持有人大会的召开及决定的事项；</w:t>
      </w:r>
    </w:p>
    <w:p w:rsidR="001E7E16" w:rsidRPr="00D6191E" w:rsidRDefault="00BB0C72"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2</w:t>
      </w: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基金合同终止、基金清算；</w:t>
      </w:r>
    </w:p>
    <w:p w:rsidR="001E7E16" w:rsidRPr="00D6191E" w:rsidRDefault="00BB0C72"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3</w:t>
      </w: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转换基金运作方式、基金合并；</w:t>
      </w:r>
    </w:p>
    <w:p w:rsidR="001E7E16" w:rsidRPr="00D6191E" w:rsidRDefault="00BB0C72"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4</w:t>
      </w: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更换基金管理人、基金托管人、基金份额登记机构，基金改聘会计师事务所；</w:t>
      </w:r>
    </w:p>
    <w:p w:rsidR="001E7E16" w:rsidRPr="00D6191E" w:rsidRDefault="00BB0C72"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5</w:t>
      </w: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基金管理人委托基金服务机构代为办理基金的份额登记、核算、估值等事项，基金托管人委托基金服务机构代为办理基金的核算、估值、复核等事项；</w:t>
      </w:r>
    </w:p>
    <w:p w:rsidR="001E7E16" w:rsidRPr="00D6191E" w:rsidRDefault="00BB0C72"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6</w:t>
      </w: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基金管理人、基金托管人的法定名称、住所发生变更；</w:t>
      </w:r>
    </w:p>
    <w:p w:rsidR="001E7E16" w:rsidRPr="00D6191E" w:rsidRDefault="00BB0C72"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7</w:t>
      </w: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基金管理公司变更持有百分之五以上股权的股东、基金管理人的实际控制人变更；</w:t>
      </w:r>
    </w:p>
    <w:p w:rsidR="001E7E16" w:rsidRPr="00D6191E" w:rsidRDefault="00BB0C72"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8</w:t>
      </w: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基金募集期延长或提前结束募集；</w:t>
      </w:r>
    </w:p>
    <w:p w:rsidR="001E7E16" w:rsidRPr="00D6191E" w:rsidRDefault="00BB0C72"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9</w:t>
      </w: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基金管理人的高级管理人员、基金经理和基金托管人专门基金托管部门负责人发生变动；</w:t>
      </w:r>
    </w:p>
    <w:p w:rsidR="001E7E16" w:rsidRPr="00D6191E" w:rsidRDefault="00BB0C72"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10</w:t>
      </w:r>
      <w:r w:rsidRPr="00D6191E">
        <w:rPr>
          <w:rFonts w:asciiTheme="minorEastAsia" w:eastAsiaTheme="minorEastAsia" w:hAnsiTheme="minorEastAsia" w:hint="eastAsia"/>
          <w:szCs w:val="21"/>
        </w:rPr>
        <w:t>）</w:t>
      </w:r>
      <w:r w:rsidR="001E7E16" w:rsidRPr="00D6191E">
        <w:rPr>
          <w:rFonts w:asciiTheme="minorEastAsia" w:eastAsiaTheme="minorEastAsia" w:hAnsiTheme="minorEastAsia" w:hint="eastAsia"/>
          <w:szCs w:val="21"/>
        </w:rPr>
        <w:t>基金管理人的董事在最近12个月内变更超过百分之五十，基金管理人、基金托管人专门基金托管部门的主要业务人员在最近12个月内变动超过百分之三十；</w:t>
      </w:r>
    </w:p>
    <w:p w:rsidR="001E7E16" w:rsidRPr="00D6191E" w:rsidRDefault="001E7E16"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（11）涉及基金财产、基金管理业务、基金托管业务的诉讼或仲裁；</w:t>
      </w:r>
    </w:p>
    <w:p w:rsidR="001E7E16" w:rsidRPr="00D6191E" w:rsidRDefault="001E7E16"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（12）基金管理人或其高级管理人员、基金经理因基金管理业务相关行为受到重大行政处罚、刑事处罚，基金托管人或其专门基金托管部门负责人因基金托管业务相关行为受到重大行政处罚、刑事处罚；</w:t>
      </w:r>
    </w:p>
    <w:p w:rsidR="001E7E16" w:rsidRPr="00D6191E" w:rsidRDefault="001E7E16"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1E7E16" w:rsidRPr="00D6191E" w:rsidRDefault="001E7E16"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（14）基金收益分配事项；</w:t>
      </w:r>
    </w:p>
    <w:p w:rsidR="001E7E16" w:rsidRPr="00D6191E" w:rsidRDefault="001E7E16"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（15）管理费、托管费、销售服务费、申购费、赎回费等费用计提标准、计提方式和费率发生变更；</w:t>
      </w:r>
    </w:p>
    <w:p w:rsidR="001E7E16" w:rsidRPr="00D6191E" w:rsidRDefault="001E7E16"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（16）基金份额净值计价错误达基金份额净值百分之零点五；</w:t>
      </w:r>
    </w:p>
    <w:p w:rsidR="001E7E16" w:rsidRPr="00D6191E" w:rsidRDefault="001E7E16"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（17）本基金开始办理申购、赎回；</w:t>
      </w:r>
    </w:p>
    <w:p w:rsidR="001E7E16" w:rsidRPr="00D6191E" w:rsidRDefault="001E7E16"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lastRenderedPageBreak/>
        <w:t>（18）本基金暂停接受申购、赎回申请或重新接受申购、赎回申请；</w:t>
      </w:r>
    </w:p>
    <w:p w:rsidR="001E7E16" w:rsidRPr="00D6191E" w:rsidRDefault="001E7E16"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（19）调整基金份额类别的设置；</w:t>
      </w:r>
    </w:p>
    <w:p w:rsidR="001E7E16" w:rsidRPr="00D6191E" w:rsidRDefault="001E7E16" w:rsidP="001E7E16">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（20</w:t>
      </w:r>
      <w:r w:rsidRPr="00D6191E">
        <w:rPr>
          <w:rFonts w:asciiTheme="minorEastAsia" w:eastAsiaTheme="minorEastAsia" w:hAnsiTheme="minorEastAsia"/>
          <w:szCs w:val="21"/>
        </w:rPr>
        <w:t>）</w:t>
      </w:r>
      <w:r w:rsidRPr="00D6191E">
        <w:rPr>
          <w:rFonts w:asciiTheme="minorEastAsia" w:eastAsiaTheme="minorEastAsia" w:hAnsiTheme="minorEastAsia" w:hint="eastAsia"/>
          <w:szCs w:val="21"/>
        </w:rPr>
        <w:t>基金推出新业务或服务；</w:t>
      </w:r>
    </w:p>
    <w:p w:rsidR="00BA4B87" w:rsidRPr="00D6191E" w:rsidRDefault="001E7E16"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（21）基金信息披露义务人认为可能对基金份额持有人权益或者基金份额的价格产生重大影响的其他事项或中国证监会规定的其他事项。</w:t>
      </w:r>
    </w:p>
    <w:p w:rsidR="00BA4B87" w:rsidRPr="00D6191E" w:rsidRDefault="00BB0C72"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10</w:t>
      </w:r>
      <w:r w:rsidR="00200D60" w:rsidRPr="00D6191E">
        <w:rPr>
          <w:rFonts w:asciiTheme="minorEastAsia" w:eastAsiaTheme="minorEastAsia" w:hAnsiTheme="minorEastAsia" w:hint="eastAsia"/>
          <w:szCs w:val="21"/>
        </w:rPr>
        <w:t>、</w:t>
      </w:r>
      <w:r w:rsidR="00BA4B87" w:rsidRPr="00D6191E">
        <w:rPr>
          <w:rFonts w:asciiTheme="minorEastAsia" w:eastAsiaTheme="minorEastAsia" w:hAnsiTheme="minorEastAsia" w:hint="eastAsia"/>
          <w:szCs w:val="21"/>
        </w:rPr>
        <w:t>澄清公告</w:t>
      </w:r>
    </w:p>
    <w:p w:rsidR="00BB0C72" w:rsidRPr="00D6191E" w:rsidRDefault="00BB0C72"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BB0C72" w:rsidRPr="00D6191E" w:rsidRDefault="00BB0C72" w:rsidP="00BB0C7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11、清算报告</w:t>
      </w:r>
    </w:p>
    <w:p w:rsidR="00BA4B87" w:rsidRPr="00D6191E" w:rsidRDefault="00BB0C72" w:rsidP="00BB0C7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BA4B87" w:rsidRPr="00D6191E" w:rsidRDefault="00200D60" w:rsidP="00D1431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B0C72" w:rsidRPr="00D6191E">
        <w:rPr>
          <w:rFonts w:asciiTheme="minorEastAsia" w:eastAsiaTheme="minorEastAsia" w:hAnsiTheme="minorEastAsia" w:hint="eastAsia"/>
          <w:szCs w:val="21"/>
        </w:rPr>
        <w:t>2</w:t>
      </w:r>
      <w:r w:rsidRPr="00D6191E">
        <w:rPr>
          <w:rFonts w:asciiTheme="minorEastAsia" w:eastAsiaTheme="minorEastAsia" w:hAnsiTheme="minorEastAsia" w:hint="eastAsia"/>
          <w:szCs w:val="21"/>
        </w:rPr>
        <w:t>、</w:t>
      </w:r>
      <w:r w:rsidR="00BA4B87" w:rsidRPr="00D6191E">
        <w:rPr>
          <w:rFonts w:asciiTheme="minorEastAsia" w:eastAsiaTheme="minorEastAsia" w:hAnsiTheme="minorEastAsia"/>
          <w:szCs w:val="21"/>
        </w:rPr>
        <w:t>基金份额持有人大会决议</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份额持有人大会决定的事项，应当依法报中国证监会核准或者备案，并予以公告。召开基金份额持有人大会的，召集人应当至少提前30日公告基金份额持有人大会的召开时间、会议形式、审议事项、议事程序和表决方式等事项。</w:t>
      </w:r>
    </w:p>
    <w:p w:rsidR="00BA4B87"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基金份额持有人依法自行召集基金份额持有人大会，基金管理人、基金托管人对基金份额持有人大会决定的事项不依法履行信息披露义务的，召集人应当履行相关信息披露义务。</w:t>
      </w:r>
    </w:p>
    <w:p w:rsidR="009A06F7" w:rsidRPr="009A06F7" w:rsidRDefault="009A06F7" w:rsidP="001B2C8B">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w:t>
      </w:r>
      <w:r w:rsidRPr="009A06F7">
        <w:rPr>
          <w:rFonts w:asciiTheme="minorEastAsia" w:eastAsiaTheme="minorEastAsia" w:hAnsiTheme="minorEastAsia" w:hint="eastAsia"/>
          <w:szCs w:val="21"/>
        </w:rPr>
        <w:t>实施侧袋机制期间的信息披露</w:t>
      </w:r>
    </w:p>
    <w:p w:rsidR="009A06F7" w:rsidRPr="00D6191E" w:rsidRDefault="009A06F7" w:rsidP="009A06F7">
      <w:pPr>
        <w:snapToGrid w:val="0"/>
        <w:spacing w:line="360" w:lineRule="auto"/>
        <w:ind w:firstLineChars="200" w:firstLine="420"/>
        <w:rPr>
          <w:rFonts w:asciiTheme="minorEastAsia" w:eastAsiaTheme="minorEastAsia" w:hAnsiTheme="minorEastAsia"/>
          <w:szCs w:val="21"/>
        </w:rPr>
      </w:pPr>
      <w:r w:rsidRPr="001B2C8B">
        <w:rPr>
          <w:rFonts w:asciiTheme="minorEastAsia" w:eastAsiaTheme="minorEastAsia" w:hAnsiTheme="minorEastAsia" w:hint="eastAsia"/>
          <w:szCs w:val="21"/>
        </w:rPr>
        <w:t>本基金实施侧袋机制的，相关信息披露义务人应当根据法律法规、基金合同和招募说明书的规定进行信息披露，详见本招募说明书“侧袋机制”部分的规定。</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9A06F7">
        <w:rPr>
          <w:rFonts w:asciiTheme="minorEastAsia" w:eastAsiaTheme="minorEastAsia" w:hAnsiTheme="minorEastAsia"/>
          <w:szCs w:val="21"/>
        </w:rPr>
        <w:t>4</w:t>
      </w:r>
      <w:r w:rsidRPr="00D6191E">
        <w:rPr>
          <w:rFonts w:asciiTheme="minorEastAsia" w:eastAsiaTheme="minorEastAsia" w:hAnsiTheme="minorEastAsia" w:hint="eastAsia"/>
          <w:szCs w:val="21"/>
        </w:rPr>
        <w:t>、</w:t>
      </w:r>
      <w:r w:rsidR="00BA4B87" w:rsidRPr="00D6191E">
        <w:rPr>
          <w:rFonts w:asciiTheme="minorEastAsia" w:eastAsiaTheme="minorEastAsia" w:hAnsiTheme="minorEastAsia"/>
          <w:szCs w:val="21"/>
        </w:rPr>
        <w:t>中国证监会规定的其他信息</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00" w:name="_Toc86315920"/>
      <w:r w:rsidRPr="00D6191E">
        <w:rPr>
          <w:rFonts w:asciiTheme="minorEastAsia" w:eastAsiaTheme="minorEastAsia" w:hAnsiTheme="minorEastAsia" w:hint="eastAsia"/>
          <w:b w:val="0"/>
        </w:rPr>
        <w:t>(三)信息披露文件的存放与查阅</w:t>
      </w:r>
      <w:bookmarkEnd w:id="100"/>
    </w:p>
    <w:p w:rsidR="00BB0C72" w:rsidRPr="00D6191E" w:rsidRDefault="00BB0C72" w:rsidP="00BB0C7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合同、托管协议、招募说明书或更新后的招募说明书、年度报告、中期报告、季度报告和基金份额净值公告等文本文件在编制完成后，将存放于基金管理人所在地、基金托管人办公场所，供公众查阅。投资人在支付工本费后，可在合理时间内取得上述文件复制件或复印件。</w:t>
      </w:r>
    </w:p>
    <w:p w:rsidR="00BB0C72" w:rsidRPr="00D6191E" w:rsidRDefault="00BB0C72" w:rsidP="00BB0C7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投资人也可在基金管理人指定的网站上进行查阅。本基金的信息披露事项将在指定媒介上公告。</w:t>
      </w:r>
    </w:p>
    <w:p w:rsidR="00BB0C72" w:rsidRPr="00D6191E" w:rsidRDefault="00BB0C72" w:rsidP="00BB0C7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本基金的信息披露将严格按照法律法规和基金合同的规定进行。</w:t>
      </w:r>
    </w:p>
    <w:p w:rsidR="00BB0C72" w:rsidRPr="00D6191E" w:rsidRDefault="00BB0C72" w:rsidP="00245F77">
      <w:pPr>
        <w:pStyle w:val="2"/>
        <w:snapToGrid w:val="0"/>
        <w:spacing w:beforeLines="0" w:afterLines="0" w:line="360" w:lineRule="auto"/>
        <w:ind w:firstLineChars="0" w:firstLine="0"/>
        <w:rPr>
          <w:rFonts w:asciiTheme="minorEastAsia" w:eastAsiaTheme="minorEastAsia" w:hAnsiTheme="minorEastAsia"/>
        </w:rPr>
      </w:pPr>
      <w:bookmarkStart w:id="101" w:name="_Toc86315921"/>
      <w:r w:rsidRPr="00D6191E">
        <w:rPr>
          <w:rFonts w:asciiTheme="minorEastAsia" w:eastAsiaTheme="minorEastAsia" w:hAnsiTheme="minorEastAsia"/>
          <w:b w:val="0"/>
        </w:rPr>
        <w:t>(</w:t>
      </w:r>
      <w:r w:rsidRPr="00D6191E">
        <w:rPr>
          <w:rFonts w:asciiTheme="minorEastAsia" w:eastAsiaTheme="minorEastAsia" w:hAnsiTheme="minorEastAsia" w:hint="eastAsia"/>
          <w:b w:val="0"/>
        </w:rPr>
        <w:t>四</w:t>
      </w:r>
      <w:r w:rsidRPr="00D6191E">
        <w:rPr>
          <w:rFonts w:asciiTheme="minorEastAsia" w:eastAsiaTheme="minorEastAsia" w:hAnsiTheme="minorEastAsia"/>
          <w:b w:val="0"/>
        </w:rPr>
        <w:t>)信息披露事务管理</w:t>
      </w:r>
      <w:bookmarkEnd w:id="101"/>
    </w:p>
    <w:p w:rsidR="00BB0C72" w:rsidRPr="00D6191E" w:rsidRDefault="00BB0C72" w:rsidP="00BB0C7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基金管理人、基金托管人应当建立健全信息披露管理制度，指定专门部门及高级管理人</w:t>
      </w:r>
      <w:r w:rsidRPr="00D6191E">
        <w:rPr>
          <w:rFonts w:asciiTheme="minorEastAsia" w:eastAsiaTheme="minorEastAsia" w:hAnsiTheme="minorEastAsia" w:hint="eastAsia"/>
          <w:szCs w:val="21"/>
        </w:rPr>
        <w:lastRenderedPageBreak/>
        <w:t>员负责管理信息披露事务。</w:t>
      </w:r>
    </w:p>
    <w:p w:rsidR="009A06F7" w:rsidRDefault="00BB0C72" w:rsidP="00BB0C7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基金信息披露义务人公开披露基金信息，应当符合中国证监会相关基金信息披露内容与格式准则等法规的规定。</w:t>
      </w:r>
    </w:p>
    <w:p w:rsidR="009A06F7" w:rsidRDefault="009A06F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9A06F7" w:rsidRPr="001B2C8B" w:rsidRDefault="009A06F7" w:rsidP="001B2C8B">
      <w:pPr>
        <w:pStyle w:val="1"/>
        <w:snapToGrid w:val="0"/>
        <w:spacing w:beforeLines="0" w:afterLines="0" w:line="360" w:lineRule="auto"/>
        <w:ind w:firstLine="600"/>
        <w:rPr>
          <w:rFonts w:asciiTheme="minorEastAsia" w:eastAsiaTheme="minorEastAsia" w:hAnsiTheme="minorEastAsia"/>
          <w:sz w:val="30"/>
        </w:rPr>
      </w:pPr>
      <w:bookmarkStart w:id="102" w:name="_Toc46676683"/>
      <w:bookmarkStart w:id="103" w:name="_Toc46737675"/>
      <w:bookmarkStart w:id="104" w:name="_Toc47535981"/>
      <w:bookmarkStart w:id="105" w:name="_Toc86315922"/>
      <w:r>
        <w:rPr>
          <w:rFonts w:asciiTheme="minorEastAsia" w:eastAsiaTheme="minorEastAsia" w:hAnsiTheme="minorEastAsia" w:hint="eastAsia"/>
          <w:sz w:val="30"/>
        </w:rPr>
        <w:lastRenderedPageBreak/>
        <w:t>十九、</w:t>
      </w:r>
      <w:r w:rsidRPr="001B2C8B">
        <w:rPr>
          <w:rFonts w:asciiTheme="minorEastAsia" w:eastAsiaTheme="minorEastAsia" w:hAnsiTheme="minorEastAsia" w:hint="eastAsia"/>
          <w:sz w:val="30"/>
        </w:rPr>
        <w:t>侧袋机制</w:t>
      </w:r>
      <w:bookmarkEnd w:id="102"/>
      <w:bookmarkEnd w:id="103"/>
      <w:bookmarkEnd w:id="104"/>
      <w:bookmarkEnd w:id="105"/>
    </w:p>
    <w:p w:rsidR="009A06F7" w:rsidRPr="00507D41" w:rsidRDefault="009A06F7" w:rsidP="009A06F7"/>
    <w:p w:rsidR="009A06F7" w:rsidRPr="00507D41" w:rsidRDefault="009A06F7" w:rsidP="009A06F7">
      <w:pPr>
        <w:spacing w:line="360" w:lineRule="auto"/>
        <w:ind w:firstLineChars="200" w:firstLine="420"/>
        <w:rPr>
          <w:bCs/>
          <w:szCs w:val="21"/>
        </w:rPr>
      </w:pPr>
      <w:r w:rsidRPr="00507D41">
        <w:rPr>
          <w:rFonts w:hint="eastAsia"/>
          <w:bCs/>
          <w:szCs w:val="21"/>
        </w:rPr>
        <w:t>（一）侧袋机制的实施条件和程序</w:t>
      </w:r>
    </w:p>
    <w:p w:rsidR="009A06F7" w:rsidRPr="00507D41" w:rsidRDefault="009A06F7" w:rsidP="009A06F7">
      <w:pPr>
        <w:spacing w:line="360" w:lineRule="auto"/>
        <w:ind w:firstLineChars="200" w:firstLine="420"/>
        <w:rPr>
          <w:bCs/>
          <w:szCs w:val="21"/>
        </w:rPr>
      </w:pPr>
      <w:r w:rsidRPr="00507D41">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9A06F7" w:rsidRPr="00507D41" w:rsidRDefault="009A06F7" w:rsidP="009A06F7">
      <w:pPr>
        <w:spacing w:line="360" w:lineRule="auto"/>
        <w:ind w:firstLineChars="200" w:firstLine="420"/>
        <w:rPr>
          <w:bCs/>
          <w:szCs w:val="21"/>
        </w:rPr>
      </w:pPr>
      <w:r w:rsidRPr="00507D41">
        <w:rPr>
          <w:rFonts w:hint="eastAsia"/>
          <w:bCs/>
          <w:szCs w:val="21"/>
        </w:rPr>
        <w:t>基金管理人应当在启用侧袋机制后及时发布临时公告，并及时聘请符合《证券法》规定的会计师事务所进行审计并披露专项审计意见。</w:t>
      </w:r>
    </w:p>
    <w:p w:rsidR="009A06F7" w:rsidRPr="00507D41" w:rsidRDefault="009A06F7" w:rsidP="009A06F7">
      <w:pPr>
        <w:spacing w:line="360" w:lineRule="auto"/>
        <w:ind w:firstLineChars="200" w:firstLine="420"/>
        <w:rPr>
          <w:bCs/>
          <w:szCs w:val="21"/>
        </w:rPr>
      </w:pPr>
      <w:r w:rsidRPr="00507D41">
        <w:rPr>
          <w:rFonts w:hint="eastAsia"/>
          <w:bCs/>
          <w:szCs w:val="21"/>
        </w:rPr>
        <w:t>（二）实施侧袋机制期间基金份额的申购与赎回</w:t>
      </w:r>
    </w:p>
    <w:p w:rsidR="009A06F7" w:rsidRPr="00507D41" w:rsidRDefault="009A06F7" w:rsidP="009A06F7">
      <w:pPr>
        <w:spacing w:line="360" w:lineRule="auto"/>
        <w:ind w:firstLineChars="200" w:firstLine="420"/>
        <w:rPr>
          <w:bCs/>
          <w:szCs w:val="21"/>
        </w:rPr>
      </w:pPr>
      <w:r w:rsidRPr="00507D41">
        <w:rPr>
          <w:bCs/>
          <w:szCs w:val="21"/>
        </w:rPr>
        <w:t>1</w:t>
      </w:r>
      <w:r w:rsidRPr="00507D41">
        <w:rPr>
          <w:rFonts w:hint="eastAsia"/>
          <w:bCs/>
          <w:szCs w:val="21"/>
        </w:rPr>
        <w:t>、启用侧袋机制当日，本基金登记机构以基金份额持有人的原有账户份额为基础，确认</w:t>
      </w:r>
      <w:r w:rsidRPr="008963E0">
        <w:rPr>
          <w:rFonts w:hint="eastAsia"/>
          <w:bCs/>
          <w:szCs w:val="21"/>
        </w:rPr>
        <w:t>基金份额持有人</w:t>
      </w:r>
      <w:r>
        <w:rPr>
          <w:rFonts w:hint="eastAsia"/>
          <w:bCs/>
          <w:szCs w:val="21"/>
        </w:rPr>
        <w:t>的相应侧袋账户份额</w:t>
      </w:r>
      <w:r w:rsidRPr="008963E0">
        <w:rPr>
          <w:rFonts w:hint="eastAsia"/>
          <w:bCs/>
          <w:szCs w:val="21"/>
        </w:rPr>
        <w:t>；当日收到的申购申请，按照启用侧袋机制后的主袋账户份额办理；当日收到的赎回申请，仅办理主袋账户份额的赎回申请并支付赎回款项。</w:t>
      </w:r>
    </w:p>
    <w:p w:rsidR="009A06F7" w:rsidRPr="00507D41" w:rsidRDefault="009A06F7" w:rsidP="009A06F7">
      <w:pPr>
        <w:spacing w:line="360" w:lineRule="auto"/>
        <w:ind w:firstLineChars="200" w:firstLine="420"/>
        <w:rPr>
          <w:bCs/>
          <w:szCs w:val="21"/>
        </w:rPr>
      </w:pPr>
      <w:r w:rsidRPr="00507D41">
        <w:rPr>
          <w:bCs/>
          <w:szCs w:val="21"/>
        </w:rPr>
        <w:t>2</w:t>
      </w:r>
      <w:r w:rsidRPr="00507D41">
        <w:rPr>
          <w:rFonts w:hint="eastAsia"/>
          <w:bCs/>
          <w:szCs w:val="21"/>
        </w:rPr>
        <w:t>、实施侧袋机制期间，基金管理人不办理侧袋账户份额的申购、赎回和转换；同时，基金管理人按照基金合同和招募说明书约定的政策办理主袋账户份额的赎回，并根据主袋账户运作情况确定是否暂停申购。</w:t>
      </w:r>
      <w:r w:rsidRPr="00085E3A">
        <w:rPr>
          <w:rFonts w:hint="eastAsia"/>
          <w:bCs/>
          <w:szCs w:val="21"/>
        </w:rPr>
        <w:t>本招募说明书“基金份额的申购、赎回”部分的申购、赎回规定适用于主袋账户份额。</w:t>
      </w:r>
    </w:p>
    <w:p w:rsidR="009A06F7" w:rsidRPr="00507D41" w:rsidRDefault="009A06F7" w:rsidP="009A06F7">
      <w:pPr>
        <w:spacing w:line="360" w:lineRule="auto"/>
        <w:ind w:firstLineChars="200" w:firstLine="420"/>
        <w:rPr>
          <w:bCs/>
          <w:szCs w:val="21"/>
        </w:rPr>
      </w:pPr>
      <w:r w:rsidRPr="00507D41">
        <w:rPr>
          <w:bCs/>
          <w:szCs w:val="21"/>
        </w:rPr>
        <w:t>3</w:t>
      </w:r>
      <w:r w:rsidRPr="00507D41">
        <w:rPr>
          <w:rFonts w:hint="eastAsia"/>
          <w:bCs/>
          <w:szCs w:val="21"/>
        </w:rPr>
        <w:t>、基金管理人应按照主袋账户的份额净值办理主袋账户份额的申购和赎回。巨额赎回按照单个开放日内主袋账户份额净赎回申请超过前一开放日主袋账户总份额的</w:t>
      </w:r>
      <w:r w:rsidRPr="00507D41">
        <w:rPr>
          <w:bCs/>
          <w:szCs w:val="21"/>
        </w:rPr>
        <w:t>10%</w:t>
      </w:r>
      <w:r w:rsidRPr="00507D41">
        <w:rPr>
          <w:rFonts w:hint="eastAsia"/>
          <w:bCs/>
          <w:szCs w:val="21"/>
        </w:rPr>
        <w:t>认定。</w:t>
      </w:r>
    </w:p>
    <w:p w:rsidR="009A06F7" w:rsidRPr="00507D41" w:rsidRDefault="009A06F7" w:rsidP="009A06F7">
      <w:pPr>
        <w:spacing w:line="360" w:lineRule="auto"/>
        <w:ind w:firstLineChars="200" w:firstLine="420"/>
        <w:rPr>
          <w:bCs/>
          <w:szCs w:val="21"/>
        </w:rPr>
      </w:pPr>
      <w:r w:rsidRPr="00507D41">
        <w:rPr>
          <w:rFonts w:hint="eastAsia"/>
          <w:bCs/>
          <w:szCs w:val="21"/>
        </w:rPr>
        <w:t>（三）实施侧袋机制期间的基金投资</w:t>
      </w:r>
    </w:p>
    <w:p w:rsidR="009A06F7" w:rsidRPr="00507D41" w:rsidRDefault="009A06F7" w:rsidP="009A06F7">
      <w:pPr>
        <w:spacing w:line="360" w:lineRule="auto"/>
        <w:ind w:firstLineChars="200" w:firstLine="420"/>
        <w:rPr>
          <w:bCs/>
          <w:szCs w:val="21"/>
        </w:rPr>
      </w:pPr>
      <w:r w:rsidRPr="00507D41">
        <w:rPr>
          <w:rFonts w:hint="eastAsia"/>
          <w:bCs/>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507D41">
        <w:rPr>
          <w:bCs/>
          <w:szCs w:val="21"/>
        </w:rPr>
        <w:t>为基准</w:t>
      </w:r>
      <w:r w:rsidRPr="00507D41">
        <w:rPr>
          <w:rFonts w:hint="eastAsia"/>
          <w:bCs/>
          <w:szCs w:val="21"/>
        </w:rPr>
        <w:t>。</w:t>
      </w:r>
    </w:p>
    <w:p w:rsidR="009A06F7" w:rsidRPr="00507D41" w:rsidRDefault="009A06F7" w:rsidP="009A06F7">
      <w:pPr>
        <w:spacing w:line="360" w:lineRule="auto"/>
        <w:ind w:firstLineChars="200" w:firstLine="420"/>
        <w:rPr>
          <w:bCs/>
          <w:szCs w:val="21"/>
        </w:rPr>
      </w:pPr>
      <w:r w:rsidRPr="00507D41">
        <w:rPr>
          <w:rFonts w:hint="eastAsia"/>
          <w:bCs/>
          <w:szCs w:val="21"/>
        </w:rPr>
        <w:t>基金管理人原则上应当在侧袋机制启动后</w:t>
      </w:r>
      <w:r w:rsidRPr="00507D41">
        <w:rPr>
          <w:bCs/>
          <w:szCs w:val="21"/>
        </w:rPr>
        <w:t>20</w:t>
      </w:r>
      <w:r w:rsidRPr="00507D41">
        <w:rPr>
          <w:rFonts w:hint="eastAsia"/>
          <w:bCs/>
          <w:szCs w:val="21"/>
        </w:rPr>
        <w:t>个交易日内完成对主袋账户投资组合的调整，因资产流动性受限等中国证监会规定的情形除外。</w:t>
      </w:r>
    </w:p>
    <w:p w:rsidR="009A06F7" w:rsidRPr="00507D41" w:rsidRDefault="009A06F7" w:rsidP="009A06F7">
      <w:pPr>
        <w:spacing w:line="360" w:lineRule="auto"/>
        <w:ind w:firstLineChars="200" w:firstLine="420"/>
        <w:rPr>
          <w:bCs/>
          <w:szCs w:val="21"/>
        </w:rPr>
      </w:pPr>
      <w:r w:rsidRPr="00085E3A">
        <w:rPr>
          <w:rFonts w:hint="eastAsia"/>
          <w:bCs/>
          <w:szCs w:val="21"/>
        </w:rPr>
        <w:t>基金管理人不得在侧袋账户中进行除特定资产处置变现以外的其他投资操作。</w:t>
      </w:r>
    </w:p>
    <w:p w:rsidR="009A06F7" w:rsidRPr="00507D41" w:rsidRDefault="009A06F7" w:rsidP="009A06F7">
      <w:pPr>
        <w:spacing w:line="360" w:lineRule="auto"/>
        <w:ind w:firstLineChars="200" w:firstLine="420"/>
        <w:rPr>
          <w:bCs/>
          <w:szCs w:val="21"/>
        </w:rPr>
      </w:pPr>
      <w:r w:rsidRPr="00507D41">
        <w:rPr>
          <w:rFonts w:hint="eastAsia"/>
          <w:bCs/>
          <w:szCs w:val="21"/>
        </w:rPr>
        <w:t>（四）侧袋账户中特定资产的处置变现和支付</w:t>
      </w:r>
    </w:p>
    <w:p w:rsidR="009A06F7" w:rsidRPr="00507D41" w:rsidRDefault="009A06F7" w:rsidP="009A06F7">
      <w:pPr>
        <w:spacing w:line="360" w:lineRule="auto"/>
        <w:ind w:firstLineChars="200" w:firstLine="420"/>
        <w:rPr>
          <w:bCs/>
          <w:szCs w:val="21"/>
        </w:rPr>
      </w:pPr>
      <w:r w:rsidRPr="00507D41">
        <w:rPr>
          <w:rFonts w:hint="eastAsia"/>
          <w:bCs/>
          <w:szCs w:val="21"/>
        </w:rPr>
        <w:t>特定资产以可出售、可转让、恢复交易等方式恢复流动性后，基金管理人应当按照基金份额持有人利益最大化原则，采取将特定资产予以处置变现等方式，及时向侧袋账户份额持有人支付对应款项。</w:t>
      </w:r>
    </w:p>
    <w:p w:rsidR="009A06F7" w:rsidRPr="00507D41" w:rsidRDefault="009A06F7" w:rsidP="009A06F7">
      <w:pPr>
        <w:spacing w:line="360" w:lineRule="auto"/>
        <w:ind w:firstLineChars="200" w:firstLine="420"/>
        <w:rPr>
          <w:bCs/>
          <w:szCs w:val="21"/>
        </w:rPr>
      </w:pPr>
      <w:r w:rsidRPr="00507D41">
        <w:rPr>
          <w:rFonts w:hint="eastAsia"/>
          <w:bCs/>
          <w:szCs w:val="21"/>
        </w:rPr>
        <w:t>终止侧袋机制后，基金管理人及时聘请符合《证券法》规定的会计师事务所进行审计并</w:t>
      </w:r>
      <w:r w:rsidRPr="00507D41">
        <w:rPr>
          <w:rFonts w:hint="eastAsia"/>
          <w:bCs/>
          <w:szCs w:val="21"/>
        </w:rPr>
        <w:lastRenderedPageBreak/>
        <w:t>披露专项审计意见。</w:t>
      </w:r>
    </w:p>
    <w:p w:rsidR="009A06F7" w:rsidRPr="00507D41" w:rsidRDefault="009A06F7" w:rsidP="009A06F7">
      <w:pPr>
        <w:spacing w:line="360" w:lineRule="auto"/>
        <w:ind w:firstLineChars="200" w:firstLine="420"/>
        <w:rPr>
          <w:bCs/>
          <w:szCs w:val="21"/>
        </w:rPr>
      </w:pPr>
      <w:r w:rsidRPr="00507D41">
        <w:rPr>
          <w:rFonts w:hint="eastAsia"/>
          <w:bCs/>
          <w:szCs w:val="21"/>
        </w:rPr>
        <w:t>（</w:t>
      </w:r>
      <w:r>
        <w:rPr>
          <w:rFonts w:hint="eastAsia"/>
          <w:bCs/>
          <w:szCs w:val="21"/>
        </w:rPr>
        <w:t>五</w:t>
      </w:r>
      <w:r w:rsidRPr="00507D41">
        <w:rPr>
          <w:rFonts w:hint="eastAsia"/>
          <w:bCs/>
          <w:szCs w:val="21"/>
        </w:rPr>
        <w:t>）侧袋机制的信息披露</w:t>
      </w:r>
    </w:p>
    <w:p w:rsidR="009A06F7" w:rsidRPr="00507D41" w:rsidRDefault="009A06F7" w:rsidP="009A06F7">
      <w:pPr>
        <w:spacing w:line="360" w:lineRule="auto"/>
        <w:ind w:firstLineChars="200" w:firstLine="420"/>
        <w:rPr>
          <w:bCs/>
          <w:szCs w:val="21"/>
        </w:rPr>
      </w:pPr>
      <w:r w:rsidRPr="00507D41">
        <w:rPr>
          <w:bCs/>
          <w:szCs w:val="21"/>
        </w:rPr>
        <w:t>1</w:t>
      </w:r>
      <w:r w:rsidRPr="00507D41">
        <w:rPr>
          <w:rFonts w:hint="eastAsia"/>
          <w:bCs/>
          <w:szCs w:val="21"/>
        </w:rPr>
        <w:t>、临时公告</w:t>
      </w:r>
    </w:p>
    <w:p w:rsidR="009A06F7" w:rsidRPr="00507D41" w:rsidRDefault="009A06F7" w:rsidP="009A06F7">
      <w:pPr>
        <w:spacing w:line="360" w:lineRule="auto"/>
        <w:ind w:firstLineChars="200" w:firstLine="420"/>
        <w:rPr>
          <w:bCs/>
          <w:szCs w:val="21"/>
        </w:rPr>
      </w:pPr>
      <w:r w:rsidRPr="00507D41">
        <w:rPr>
          <w:rFonts w:hint="eastAsia"/>
          <w:bCs/>
          <w:szCs w:val="21"/>
        </w:rPr>
        <w:t>在启用侧袋机制、处置特定资产、终止侧袋机制以及发生其他可能对投资者利益产生重大影响的事项后</w:t>
      </w:r>
      <w:r>
        <w:rPr>
          <w:rFonts w:hint="eastAsia"/>
          <w:bCs/>
          <w:szCs w:val="21"/>
        </w:rPr>
        <w:t>，</w:t>
      </w:r>
      <w:r w:rsidRPr="00507D41">
        <w:rPr>
          <w:rFonts w:hint="eastAsia"/>
          <w:bCs/>
          <w:szCs w:val="21"/>
        </w:rPr>
        <w:t>基金管理人应及时发布临时公告。</w:t>
      </w:r>
    </w:p>
    <w:p w:rsidR="009A06F7" w:rsidRPr="00507D41" w:rsidRDefault="009A06F7" w:rsidP="009A06F7">
      <w:pPr>
        <w:spacing w:line="360" w:lineRule="auto"/>
        <w:ind w:firstLineChars="200" w:firstLine="420"/>
        <w:rPr>
          <w:bCs/>
          <w:szCs w:val="21"/>
        </w:rPr>
      </w:pPr>
      <w:r w:rsidRPr="00507D41">
        <w:rPr>
          <w:bCs/>
          <w:szCs w:val="21"/>
        </w:rPr>
        <w:t>2</w:t>
      </w:r>
      <w:r w:rsidRPr="00507D41">
        <w:rPr>
          <w:rFonts w:hint="eastAsia"/>
          <w:bCs/>
          <w:szCs w:val="21"/>
        </w:rPr>
        <w:t>、基金净值信息</w:t>
      </w:r>
    </w:p>
    <w:p w:rsidR="009A06F7" w:rsidRPr="00507D41" w:rsidRDefault="009A06F7" w:rsidP="009A06F7">
      <w:pPr>
        <w:spacing w:line="360" w:lineRule="auto"/>
        <w:ind w:firstLineChars="200" w:firstLine="420"/>
        <w:rPr>
          <w:bCs/>
          <w:szCs w:val="21"/>
        </w:rPr>
      </w:pPr>
      <w:r w:rsidRPr="00507D41">
        <w:rPr>
          <w:rFonts w:hint="eastAsia"/>
          <w:bCs/>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9A06F7" w:rsidRPr="00507D41" w:rsidRDefault="009A06F7" w:rsidP="009A06F7">
      <w:pPr>
        <w:spacing w:line="360" w:lineRule="auto"/>
        <w:ind w:firstLineChars="200" w:firstLine="420"/>
        <w:rPr>
          <w:bCs/>
          <w:szCs w:val="21"/>
        </w:rPr>
      </w:pPr>
      <w:r w:rsidRPr="00507D41">
        <w:rPr>
          <w:bCs/>
          <w:szCs w:val="21"/>
        </w:rPr>
        <w:t>3</w:t>
      </w:r>
      <w:r w:rsidRPr="00507D41">
        <w:rPr>
          <w:rFonts w:hint="eastAsia"/>
          <w:bCs/>
          <w:szCs w:val="21"/>
        </w:rPr>
        <w:t>、定期报告</w:t>
      </w:r>
    </w:p>
    <w:p w:rsidR="009A06F7" w:rsidRDefault="009A06F7" w:rsidP="009A06F7">
      <w:pPr>
        <w:spacing w:line="360" w:lineRule="auto"/>
        <w:ind w:firstLineChars="200" w:firstLine="420"/>
        <w:rPr>
          <w:rFonts w:ascii="宋体" w:hAnsi="宋体"/>
          <w:kern w:val="0"/>
          <w:szCs w:val="21"/>
        </w:rPr>
      </w:pPr>
      <w:r w:rsidRPr="00507D41">
        <w:rPr>
          <w:rFonts w:hint="eastAsia"/>
          <w:bCs/>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9A06F7" w:rsidRPr="00401C0B" w:rsidRDefault="009A06F7" w:rsidP="009A06F7">
      <w:pPr>
        <w:snapToGrid w:val="0"/>
        <w:spacing w:line="360" w:lineRule="auto"/>
        <w:ind w:firstLineChars="200" w:firstLine="420"/>
        <w:rPr>
          <w:rFonts w:asciiTheme="minorEastAsia" w:eastAsiaTheme="minorEastAsia" w:hAnsiTheme="minorEastAsia"/>
          <w:szCs w:val="21"/>
        </w:rPr>
      </w:pPr>
    </w:p>
    <w:p w:rsidR="009A06F7" w:rsidRPr="00F17515" w:rsidRDefault="009A06F7" w:rsidP="009A06F7">
      <w:pPr>
        <w:snapToGrid w:val="0"/>
        <w:spacing w:line="360" w:lineRule="auto"/>
        <w:rPr>
          <w:rFonts w:asciiTheme="minorEastAsia" w:eastAsiaTheme="minorEastAsia" w:hAnsiTheme="minorEastAsia"/>
        </w:rPr>
      </w:pPr>
    </w:p>
    <w:p w:rsidR="00BA4B87" w:rsidRPr="009A06F7" w:rsidRDefault="00BA4B87" w:rsidP="00BB0C72">
      <w:pPr>
        <w:snapToGrid w:val="0"/>
        <w:spacing w:line="360" w:lineRule="auto"/>
        <w:ind w:firstLineChars="200" w:firstLine="420"/>
        <w:rPr>
          <w:rFonts w:asciiTheme="minorEastAsia" w:eastAsiaTheme="minorEastAsia" w:hAnsiTheme="minorEastAsia"/>
        </w:rPr>
      </w:pPr>
    </w:p>
    <w:p w:rsidR="00BA4B87" w:rsidRPr="00D6191E" w:rsidRDefault="00BA4B87" w:rsidP="004D6C82">
      <w:pPr>
        <w:pStyle w:val="1"/>
        <w:snapToGrid w:val="0"/>
        <w:spacing w:beforeLines="0" w:afterLines="0" w:line="360" w:lineRule="auto"/>
        <w:ind w:firstLine="600"/>
        <w:rPr>
          <w:rFonts w:asciiTheme="minorEastAsia" w:eastAsiaTheme="minorEastAsia" w:hAnsiTheme="minorEastAsia"/>
        </w:rPr>
      </w:pPr>
      <w:r w:rsidRPr="00D6191E">
        <w:rPr>
          <w:rFonts w:asciiTheme="minorEastAsia" w:eastAsiaTheme="minorEastAsia" w:hAnsiTheme="minorEastAsia" w:hint="eastAsia"/>
          <w:sz w:val="30"/>
        </w:rPr>
        <w:br w:type="column"/>
      </w:r>
      <w:bookmarkStart w:id="106" w:name="_Toc86315923"/>
      <w:r w:rsidR="009A06F7">
        <w:rPr>
          <w:rFonts w:asciiTheme="minorEastAsia" w:eastAsiaTheme="minorEastAsia" w:hAnsiTheme="minorEastAsia"/>
          <w:sz w:val="30"/>
        </w:rPr>
        <w:lastRenderedPageBreak/>
        <w:t>二十</w:t>
      </w:r>
      <w:r w:rsidRPr="00D6191E">
        <w:rPr>
          <w:rFonts w:asciiTheme="minorEastAsia" w:eastAsiaTheme="minorEastAsia" w:hAnsiTheme="minorEastAsia" w:hint="eastAsia"/>
          <w:sz w:val="30"/>
        </w:rPr>
        <w:t>、风险揭示</w:t>
      </w:r>
      <w:bookmarkEnd w:id="106"/>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cs="TT54AB0ED3tCID-WinCharSetFFFF-H"/>
          <w:kern w:val="0"/>
        </w:rPr>
      </w:pPr>
      <w:bookmarkStart w:id="107" w:name="_Toc86315924"/>
      <w:r w:rsidRPr="00D6191E">
        <w:rPr>
          <w:rFonts w:asciiTheme="minorEastAsia" w:eastAsiaTheme="minorEastAsia" w:hAnsiTheme="minorEastAsia" w:hint="eastAsia"/>
          <w:b w:val="0"/>
        </w:rPr>
        <w:t>(一)市场风险</w:t>
      </w:r>
      <w:bookmarkEnd w:id="107"/>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本基金主要投资于证券市场，而证券市场价格因受到经济因素、政治因素、投资者心理和交易制度等各种因素的影响而产生波动，从而导致基金收益水平发生变化，产生风险。主要的风险因素包括：</w:t>
      </w:r>
    </w:p>
    <w:p w:rsidR="00BA4B87" w:rsidRPr="00D6191E" w:rsidRDefault="00BA4B87" w:rsidP="00D1431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200D60" w:rsidRPr="00D6191E">
        <w:rPr>
          <w:rFonts w:asciiTheme="minorEastAsia" w:eastAsiaTheme="minorEastAsia" w:hAnsiTheme="minorEastAsia" w:hint="eastAsia"/>
          <w:szCs w:val="21"/>
        </w:rPr>
        <w:t>、</w:t>
      </w:r>
      <w:r w:rsidRPr="00D6191E">
        <w:rPr>
          <w:rFonts w:asciiTheme="minorEastAsia" w:eastAsiaTheme="minorEastAsia" w:hAnsiTheme="minorEastAsia" w:hint="eastAsia"/>
          <w:szCs w:val="21"/>
        </w:rPr>
        <w:t>政策风险</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因国家宏观政策(如货币政策、财政政策、行业政策、地区发展政策等)发生变化，导致市场价格波动而产生风险。</w:t>
      </w:r>
    </w:p>
    <w:p w:rsidR="00BA4B87" w:rsidRPr="00D6191E" w:rsidRDefault="00BA4B87" w:rsidP="00D1431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200D60" w:rsidRPr="00D6191E">
        <w:rPr>
          <w:rFonts w:asciiTheme="minorEastAsia" w:eastAsiaTheme="minorEastAsia" w:hAnsiTheme="minorEastAsia" w:hint="eastAsia"/>
          <w:szCs w:val="21"/>
        </w:rPr>
        <w:t>、</w:t>
      </w:r>
      <w:r w:rsidRPr="00D6191E">
        <w:rPr>
          <w:rFonts w:asciiTheme="minorEastAsia" w:eastAsiaTheme="minorEastAsia" w:hAnsiTheme="minorEastAsia" w:hint="eastAsia"/>
          <w:szCs w:val="21"/>
        </w:rPr>
        <w:t>利率风险</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利率风险主要是指因金融市场利率的波动而导致证券市场价格和收益率变动的风险。利率直接影响着债券的价格和收益率，影响着企业的融资成本和利润。本基金主要投资方向包括债券、票据和银行存款，其收益水平直接受到利率变化的影响。</w:t>
      </w:r>
    </w:p>
    <w:p w:rsidR="00BA4B87" w:rsidRPr="00D6191E" w:rsidRDefault="00BA4B87" w:rsidP="00D1431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00200D60" w:rsidRPr="00D6191E">
        <w:rPr>
          <w:rFonts w:asciiTheme="minorEastAsia" w:eastAsiaTheme="minorEastAsia" w:hAnsiTheme="minorEastAsia" w:hint="eastAsia"/>
          <w:szCs w:val="21"/>
        </w:rPr>
        <w:t>、</w:t>
      </w:r>
      <w:r w:rsidRPr="00D6191E">
        <w:rPr>
          <w:rFonts w:asciiTheme="minorEastAsia" w:eastAsiaTheme="minorEastAsia" w:hAnsiTheme="minorEastAsia" w:hint="eastAsia"/>
          <w:szCs w:val="21"/>
        </w:rPr>
        <w:t>再投资风险</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债券、票据偿付本息后以及回购到期后可能由于市场利率的下降面临资金再投资的收益率低于原来利率，由此本基金面临再投资风险。</w:t>
      </w:r>
    </w:p>
    <w:p w:rsidR="00BA4B87" w:rsidRPr="00D6191E" w:rsidRDefault="00BA4B87" w:rsidP="00D1431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w:t>
      </w:r>
      <w:r w:rsidR="00200D60" w:rsidRPr="00D6191E">
        <w:rPr>
          <w:rFonts w:asciiTheme="minorEastAsia" w:eastAsiaTheme="minorEastAsia" w:hAnsiTheme="minorEastAsia" w:hint="eastAsia"/>
          <w:szCs w:val="21"/>
        </w:rPr>
        <w:t>、</w:t>
      </w:r>
      <w:r w:rsidRPr="00D6191E">
        <w:rPr>
          <w:rFonts w:asciiTheme="minorEastAsia" w:eastAsiaTheme="minorEastAsia" w:hAnsiTheme="minorEastAsia" w:hint="eastAsia"/>
          <w:szCs w:val="21"/>
        </w:rPr>
        <w:t>信用风险</w:t>
      </w:r>
    </w:p>
    <w:p w:rsidR="00BA4B87" w:rsidRPr="00D6191E" w:rsidRDefault="00322CAF"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债券发行人不能按期还本付息或回购交易中交易对手在回购到期履行交割责任时，不能偿还全部或部分证券或价款，都可能使本基金面临信用风险。</w:t>
      </w:r>
    </w:p>
    <w:p w:rsidR="00BA4B87" w:rsidRPr="00D6191E" w:rsidRDefault="00200D60" w:rsidP="00D1431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w:t>
      </w:r>
      <w:r w:rsidR="00BA4B87" w:rsidRPr="00D6191E">
        <w:rPr>
          <w:rFonts w:asciiTheme="minorEastAsia" w:eastAsiaTheme="minorEastAsia" w:hAnsiTheme="minorEastAsia" w:hint="eastAsia"/>
          <w:szCs w:val="21"/>
        </w:rPr>
        <w:t>股票市场风险</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如果股票市场下跌，本基金持有股票部分将面临下跌风险。另外，如果新股发行数量减少或新股申购收益率降低，</w:t>
      </w:r>
      <w:r w:rsidR="00F5314B" w:rsidRPr="00D6191E">
        <w:rPr>
          <w:rFonts w:asciiTheme="minorEastAsia" w:eastAsiaTheme="minorEastAsia" w:hAnsiTheme="minorEastAsia" w:hint="eastAsia"/>
          <w:szCs w:val="21"/>
        </w:rPr>
        <w:t>或政策发生变化导致本基金无法参与新股申购，</w:t>
      </w:r>
      <w:r w:rsidRPr="00D6191E">
        <w:rPr>
          <w:rFonts w:asciiTheme="minorEastAsia" w:eastAsiaTheme="minorEastAsia" w:hAnsiTheme="minorEastAsia" w:hint="eastAsia"/>
          <w:szCs w:val="21"/>
        </w:rPr>
        <w:t>本基金将面临收益率降低的风险。尤其当新股上市价格跌破发行价格时，新股申购将可能出现亏损。</w:t>
      </w:r>
    </w:p>
    <w:p w:rsidR="00BA4B87" w:rsidRPr="00D6191E" w:rsidRDefault="00200D60" w:rsidP="00D1431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6、</w:t>
      </w:r>
      <w:r w:rsidR="00BA4B87" w:rsidRPr="00D6191E">
        <w:rPr>
          <w:rFonts w:asciiTheme="minorEastAsia" w:eastAsiaTheme="minorEastAsia" w:hAnsiTheme="minorEastAsia" w:hint="eastAsia"/>
          <w:szCs w:val="21"/>
        </w:rPr>
        <w:t>经营风险</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公司的经营活动受多种因素影响。</w:t>
      </w:r>
      <w:r w:rsidR="00322CAF" w:rsidRPr="00D6191E">
        <w:rPr>
          <w:rFonts w:asciiTheme="minorEastAsia" w:eastAsiaTheme="minorEastAsia" w:hAnsiTheme="minorEastAsia" w:hint="eastAsia"/>
          <w:szCs w:val="21"/>
        </w:rPr>
        <w:t>如管理能力、行业竞争、市场前景、技术更新、新产品研究开发等都会导致公司盈利发生变化。如果基金所投资的上市公司经营不善，其债券价格可能下跌；同时，其偿债能力也会受到影响</w:t>
      </w:r>
      <w:r w:rsidR="00AE5F53" w:rsidRPr="00D6191E">
        <w:rPr>
          <w:rFonts w:asciiTheme="minorEastAsia" w:eastAsiaTheme="minorEastAsia" w:hAnsiTheme="minorEastAsia" w:hint="eastAsia"/>
          <w:szCs w:val="21"/>
        </w:rPr>
        <w:t>，基金投资收益将受到不良影响。虽然基金可以通过投资多样化来分散这种非系统风险，但不能完全避免</w:t>
      </w:r>
      <w:r w:rsidR="00322CAF" w:rsidRPr="00D6191E">
        <w:rPr>
          <w:rFonts w:asciiTheme="minorEastAsia" w:eastAsiaTheme="minorEastAsia" w:hAnsiTheme="minorEastAsia" w:hint="eastAsia"/>
          <w:szCs w:val="21"/>
        </w:rPr>
        <w:t>。</w:t>
      </w:r>
    </w:p>
    <w:p w:rsidR="00D316DE" w:rsidRPr="00D6191E" w:rsidRDefault="00D316DE" w:rsidP="00D1431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7</w:t>
      </w:r>
      <w:r w:rsidRPr="00D6191E">
        <w:rPr>
          <w:rFonts w:asciiTheme="minorEastAsia" w:eastAsiaTheme="minorEastAsia" w:hAnsiTheme="minorEastAsia" w:hint="eastAsia"/>
          <w:szCs w:val="21"/>
        </w:rPr>
        <w:t>、购买力风险</w:t>
      </w:r>
    </w:p>
    <w:p w:rsidR="00D316DE" w:rsidRPr="00D6191E" w:rsidRDefault="00D316DE"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如果发生通货膨胀，基金投资于证券所获得的收益可能会被通货膨胀抵消，从而影响基金资产的实际收益率。</w:t>
      </w:r>
    </w:p>
    <w:p w:rsidR="00D316DE" w:rsidRPr="00D6191E" w:rsidRDefault="00D316DE" w:rsidP="00D1431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8</w:t>
      </w:r>
      <w:r w:rsidRPr="00D6191E">
        <w:rPr>
          <w:rFonts w:asciiTheme="minorEastAsia" w:eastAsiaTheme="minorEastAsia" w:hAnsiTheme="minorEastAsia"/>
          <w:szCs w:val="21"/>
        </w:rPr>
        <w:t>、</w:t>
      </w:r>
      <w:r w:rsidRPr="00D6191E">
        <w:rPr>
          <w:rFonts w:asciiTheme="minorEastAsia" w:eastAsiaTheme="minorEastAsia" w:hAnsiTheme="minorEastAsia" w:hint="eastAsia"/>
          <w:szCs w:val="21"/>
        </w:rPr>
        <w:t>经济周期风险</w:t>
      </w:r>
    </w:p>
    <w:p w:rsidR="00D316DE" w:rsidRPr="00D6191E" w:rsidRDefault="00D316DE"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随着经济运行的周期性变化，证券市场的收益水平也呈周期性变化，基金投资的收益水平也会随之变化，从而产生风险。</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rPr>
      </w:pPr>
      <w:bookmarkStart w:id="108" w:name="_Toc86315925"/>
      <w:r w:rsidRPr="00D6191E">
        <w:rPr>
          <w:rFonts w:asciiTheme="minorEastAsia" w:eastAsiaTheme="minorEastAsia" w:hAnsiTheme="minorEastAsia" w:hint="eastAsia"/>
          <w:b w:val="0"/>
        </w:rPr>
        <w:lastRenderedPageBreak/>
        <w:t>(二)管理风险</w:t>
      </w:r>
      <w:bookmarkEnd w:id="108"/>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w:t>
      </w:r>
      <w:r w:rsidR="00200D60" w:rsidRPr="00D6191E">
        <w:rPr>
          <w:rFonts w:asciiTheme="minorEastAsia" w:eastAsiaTheme="minorEastAsia" w:hAnsiTheme="minorEastAsia" w:hint="eastAsia"/>
          <w:kern w:val="0"/>
          <w:szCs w:val="21"/>
        </w:rPr>
        <w:t>、</w:t>
      </w:r>
      <w:r w:rsidRPr="00D6191E">
        <w:rPr>
          <w:rFonts w:asciiTheme="minorEastAsia" w:eastAsiaTheme="minorEastAsia" w:hAnsiTheme="minorEastAsia" w:hint="eastAsia"/>
          <w:kern w:val="0"/>
          <w:szCs w:val="21"/>
        </w:rPr>
        <w:t>在基金管理运作过程中，基金管理人的知识、经验、判断、决策、技能等，会影响其对信息的占有以及对经济形势、证券价格走势的判断，从而影响基金收益水平；</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w:t>
      </w:r>
      <w:r w:rsidR="00200D60" w:rsidRPr="00D6191E">
        <w:rPr>
          <w:rFonts w:asciiTheme="minorEastAsia" w:eastAsiaTheme="minorEastAsia" w:hAnsiTheme="minorEastAsia" w:hint="eastAsia"/>
          <w:kern w:val="0"/>
          <w:szCs w:val="21"/>
        </w:rPr>
        <w:t>、</w:t>
      </w:r>
      <w:r w:rsidRPr="00D6191E">
        <w:rPr>
          <w:rFonts w:asciiTheme="minorEastAsia" w:eastAsiaTheme="minorEastAsia" w:hAnsiTheme="minorEastAsia" w:hint="eastAsia"/>
          <w:kern w:val="0"/>
          <w:szCs w:val="21"/>
        </w:rPr>
        <w:t>基金管理人</w:t>
      </w:r>
      <w:r w:rsidR="00322CAF" w:rsidRPr="00D6191E">
        <w:rPr>
          <w:rFonts w:asciiTheme="minorEastAsia" w:eastAsiaTheme="minorEastAsia" w:hAnsiTheme="minorEastAsia" w:hint="eastAsia"/>
          <w:kern w:val="0"/>
          <w:szCs w:val="21"/>
        </w:rPr>
        <w:t>和基金托管人</w:t>
      </w:r>
      <w:r w:rsidRPr="00D6191E">
        <w:rPr>
          <w:rFonts w:asciiTheme="minorEastAsia" w:eastAsiaTheme="minorEastAsia" w:hAnsiTheme="minorEastAsia" w:hint="eastAsia"/>
          <w:kern w:val="0"/>
          <w:szCs w:val="21"/>
        </w:rPr>
        <w:t>的管理手段和管理技术等因素的变化也会影响基金收益水平。</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rPr>
      </w:pPr>
      <w:bookmarkStart w:id="109" w:name="_Toc86315926"/>
      <w:r w:rsidRPr="00D6191E">
        <w:rPr>
          <w:rFonts w:asciiTheme="minorEastAsia" w:eastAsiaTheme="minorEastAsia" w:hAnsiTheme="minorEastAsia" w:hint="eastAsia"/>
          <w:b w:val="0"/>
        </w:rPr>
        <w:t>(三)流动性风险</w:t>
      </w:r>
      <w:bookmarkEnd w:id="109"/>
    </w:p>
    <w:p w:rsidR="00BA7A94" w:rsidRPr="00D6191E" w:rsidRDefault="00BA7A94" w:rsidP="00BA7A94">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rPr>
        <w:t>1</w:t>
      </w:r>
      <w:r w:rsidRPr="00D6191E">
        <w:rPr>
          <w:rFonts w:asciiTheme="minorEastAsia" w:eastAsiaTheme="minorEastAsia" w:hAnsiTheme="minorEastAsia" w:hint="eastAsia"/>
        </w:rPr>
        <w:t>、流动性风险评估</w:t>
      </w:r>
    </w:p>
    <w:p w:rsidR="00BA7A94" w:rsidRPr="00D6191E" w:rsidRDefault="00BA7A94" w:rsidP="00BA7A94">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本基金为债券型基金，主要投资于债券、新股</w:t>
      </w:r>
      <w:r w:rsidRPr="00D6191E">
        <w:rPr>
          <w:rFonts w:asciiTheme="minorEastAsia" w:eastAsiaTheme="minorEastAsia" w:hAnsiTheme="minorEastAsia"/>
        </w:rPr>
        <w:t>、资产</w:t>
      </w:r>
      <w:r w:rsidRPr="00D6191E">
        <w:rPr>
          <w:rFonts w:asciiTheme="minorEastAsia" w:eastAsiaTheme="minorEastAsia" w:hAnsiTheme="minorEastAsia" w:hint="eastAsia"/>
        </w:rPr>
        <w:t>支持</w:t>
      </w:r>
      <w:r w:rsidRPr="00D6191E">
        <w:rPr>
          <w:rFonts w:asciiTheme="minorEastAsia" w:eastAsiaTheme="minorEastAsia" w:hAnsiTheme="minorEastAsia"/>
        </w:rPr>
        <w:t>证券、银行存款</w:t>
      </w:r>
      <w:r w:rsidRPr="00D6191E">
        <w:rPr>
          <w:rFonts w:asciiTheme="minorEastAsia" w:eastAsiaTheme="minorEastAsia" w:hAnsiTheme="minorEastAsia" w:hint="eastAsia"/>
        </w:rPr>
        <w:t>，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rsidR="00BA7A94" w:rsidRPr="00D6191E" w:rsidRDefault="00BA7A94" w:rsidP="00BA7A94">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rPr>
        <w:t>2</w:t>
      </w:r>
      <w:r w:rsidRPr="00D6191E">
        <w:rPr>
          <w:rFonts w:asciiTheme="minorEastAsia" w:eastAsiaTheme="minorEastAsia" w:hAnsiTheme="minorEastAsia" w:hint="eastAsia"/>
        </w:rPr>
        <w:t>、巨额赎回情形下的流动性风险管理措施</w:t>
      </w:r>
    </w:p>
    <w:p w:rsidR="00BA7A94" w:rsidRPr="00D6191E" w:rsidRDefault="00BA7A94" w:rsidP="00BA7A94">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当本基金出现巨额赎回时，基金管理人可以根据基金当时的资产组合状况决定全额赎回或部分延期赎回；此外，如连续2日以上(含本数)发生巨额赎回，如基金管理人认为有必要，可暂停接受基金的赎回申请；已经接受的赎回申请可以延缓支付赎回款项，但不得超过20个工作日；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之“</w:t>
      </w:r>
      <w:r w:rsidRPr="00D6191E">
        <w:rPr>
          <w:rFonts w:asciiTheme="minorEastAsia" w:eastAsiaTheme="minorEastAsia" w:hAnsiTheme="minorEastAsia" w:hint="eastAsia"/>
          <w:szCs w:val="21"/>
        </w:rPr>
        <w:t>(十)巨额赎回的认定及处理方式</w:t>
      </w:r>
      <w:r w:rsidRPr="00D6191E">
        <w:rPr>
          <w:rFonts w:asciiTheme="minorEastAsia" w:eastAsiaTheme="minorEastAsia" w:hAnsiTheme="minorEastAsia" w:hint="eastAsia"/>
        </w:rPr>
        <w:t>”</w:t>
      </w:r>
    </w:p>
    <w:p w:rsidR="00BA7A94" w:rsidRPr="00D6191E" w:rsidRDefault="00BA7A94" w:rsidP="00BA7A94">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BA7A94" w:rsidRPr="00D6191E" w:rsidRDefault="00BA7A94" w:rsidP="00BA7A94">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rPr>
        <w:t>3</w:t>
      </w:r>
      <w:r w:rsidRPr="00D6191E">
        <w:rPr>
          <w:rFonts w:asciiTheme="minorEastAsia" w:eastAsiaTheme="minorEastAsia" w:hAnsiTheme="minorEastAsia" w:hint="eastAsia"/>
        </w:rPr>
        <w:t>、除巨额赎回情形外实施备用的流动性风险管理工具的情形、程序及对投资者的潜在影响</w:t>
      </w:r>
    </w:p>
    <w:p w:rsidR="00BA7A94" w:rsidRPr="00D6191E" w:rsidRDefault="00BA7A94" w:rsidP="00BA7A94">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除巨额赎回情形外，本基金备用流动性风险管理工具包括但不限于暂停接受赎回申请、延缓支付赎回款项、收取短期赎回费、暂停基金估值以及证监会认定的其他措施。</w:t>
      </w:r>
    </w:p>
    <w:p w:rsidR="00BA7A94" w:rsidRPr="00D6191E" w:rsidRDefault="00BA7A94" w:rsidP="00BA7A94">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暂停接受赎回申请、延缓支付赎回款项等工具的情形、程序见招募说明书“八、基金份额的申购、赎回”之“</w:t>
      </w:r>
      <w:r w:rsidRPr="00D6191E">
        <w:rPr>
          <w:rFonts w:asciiTheme="minorEastAsia" w:eastAsiaTheme="minorEastAsia" w:hAnsiTheme="minorEastAsia" w:hint="eastAsia"/>
          <w:szCs w:val="21"/>
        </w:rPr>
        <w:t>(十一)拒绝或暂停申购、暂停赎回的情形及处理</w:t>
      </w:r>
      <w:r w:rsidRPr="00D6191E">
        <w:rPr>
          <w:rFonts w:asciiTheme="minorEastAsia" w:eastAsiaTheme="minorEastAsia" w:hAnsiTheme="minorEastAsia" w:hint="eastAsia"/>
        </w:rPr>
        <w:t>”的相关规定。若本基金暂停赎回申请，投资者在暂停赎回期间将无法赎回其持有的基金份额。若本基金延缓支付赎回款项，赎回款支付时间将后延，可能对投资者的资金安排带来不利影响。</w:t>
      </w:r>
    </w:p>
    <w:p w:rsidR="00BA7A94" w:rsidRPr="00D6191E" w:rsidRDefault="00BA7A94" w:rsidP="00BA7A94">
      <w:pPr>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短期赎回费适用于持续持有期少于7日的投资者，费率为1.5%。短期赎回费由赎回基</w:t>
      </w:r>
      <w:r w:rsidRPr="00D6191E">
        <w:rPr>
          <w:rFonts w:asciiTheme="minorEastAsia" w:eastAsiaTheme="minorEastAsia" w:hAnsiTheme="minorEastAsia" w:hint="eastAsia"/>
        </w:rPr>
        <w:lastRenderedPageBreak/>
        <w:t>金份额的基金份额持有人承担，在基金份额持有人赎回基金份额时收取，并全额计入基金财产。短期赎回费的收取将使得投资者在持续持有期限少于7日时会承担较高的赎回费。</w:t>
      </w:r>
    </w:p>
    <w:p w:rsidR="00BA4B87" w:rsidRDefault="00BA7A94" w:rsidP="000449FE">
      <w:pPr>
        <w:snapToGrid w:val="0"/>
        <w:spacing w:line="360" w:lineRule="auto"/>
        <w:ind w:firstLine="420"/>
        <w:rPr>
          <w:rFonts w:asciiTheme="minorEastAsia" w:eastAsiaTheme="minorEastAsia" w:hAnsiTheme="minorEastAsia"/>
        </w:rPr>
      </w:pPr>
      <w:r w:rsidRPr="00D6191E">
        <w:rPr>
          <w:rFonts w:asciiTheme="minorEastAsia" w:eastAsiaTheme="minorEastAsia" w:hAnsiTheme="minorEastAsia" w:hint="eastAsia"/>
        </w:rPr>
        <w:t>暂停基金估值的情形、程序见招募说明书“十四、基金资产的估值”之“</w:t>
      </w:r>
      <w:r w:rsidRPr="00D6191E">
        <w:rPr>
          <w:rFonts w:asciiTheme="minorEastAsia" w:eastAsiaTheme="minorEastAsia" w:hAnsiTheme="minorEastAsia" w:hint="eastAsia"/>
          <w:szCs w:val="21"/>
        </w:rPr>
        <w:t>(七)暂停估值的情形</w:t>
      </w:r>
      <w:r w:rsidRPr="00D6191E">
        <w:rPr>
          <w:rFonts w:asciiTheme="minorEastAsia" w:eastAsiaTheme="minorEastAsia" w:hAnsiTheme="minorEastAsia" w:hint="eastAsia"/>
        </w:rPr>
        <w:t>”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9A06F7" w:rsidRDefault="009A06F7" w:rsidP="009A06F7">
      <w:pPr>
        <w:spacing w:line="360" w:lineRule="auto"/>
        <w:ind w:firstLineChars="200" w:firstLine="420"/>
      </w:pPr>
      <w:r>
        <w:rPr>
          <w:rFonts w:hint="eastAsia"/>
        </w:rPr>
        <w:t>4</w:t>
      </w:r>
      <w:r>
        <w:rPr>
          <w:rFonts w:hint="eastAsia"/>
        </w:rPr>
        <w:t>、实施侧袋机制对投资者的影响</w:t>
      </w:r>
    </w:p>
    <w:p w:rsidR="009A06F7" w:rsidRDefault="009A06F7" w:rsidP="009A06F7">
      <w:pPr>
        <w:spacing w:line="360" w:lineRule="auto"/>
        <w:ind w:firstLineChars="200" w:firstLine="420"/>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9A06F7" w:rsidRDefault="009A06F7" w:rsidP="009A06F7">
      <w:pPr>
        <w:spacing w:line="360" w:lineRule="auto"/>
        <w:ind w:firstLineChars="200" w:firstLine="420"/>
      </w:pPr>
      <w:r>
        <w:rPr>
          <w:rFonts w:hint="eastAsia"/>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9A06F7" w:rsidRPr="00D6191E" w:rsidRDefault="009A06F7" w:rsidP="009A06F7">
      <w:pPr>
        <w:snapToGrid w:val="0"/>
        <w:spacing w:line="360" w:lineRule="auto"/>
        <w:ind w:firstLine="420"/>
        <w:rPr>
          <w:rFonts w:asciiTheme="minorEastAsia" w:eastAsiaTheme="minorEastAsia" w:hAnsiTheme="minorEastAsia"/>
        </w:rPr>
      </w:pPr>
      <w:r>
        <w:rPr>
          <w:rFonts w:hint="eastAsia"/>
        </w:rPr>
        <w:t>基金管理人将根据主袋账户运作情况合理确定申购政策，因此实施侧袋机制后主袋账户份额存在暂停申购的可能。</w:t>
      </w:r>
    </w:p>
    <w:p w:rsidR="00F44B20" w:rsidRPr="00D6191E" w:rsidRDefault="00F44B20" w:rsidP="00245F77">
      <w:pPr>
        <w:pStyle w:val="2"/>
        <w:snapToGrid w:val="0"/>
        <w:spacing w:beforeLines="0" w:afterLines="0" w:line="360" w:lineRule="auto"/>
        <w:ind w:firstLineChars="0" w:firstLine="0"/>
        <w:rPr>
          <w:rFonts w:asciiTheme="minorEastAsia" w:eastAsiaTheme="minorEastAsia" w:hAnsiTheme="minorEastAsia"/>
          <w:b w:val="0"/>
        </w:rPr>
      </w:pPr>
      <w:bookmarkStart w:id="110" w:name="_Toc86315927"/>
      <w:r w:rsidRPr="00D6191E">
        <w:rPr>
          <w:rFonts w:asciiTheme="minorEastAsia" w:eastAsiaTheme="minorEastAsia" w:hAnsiTheme="minorEastAsia" w:hint="eastAsia"/>
          <w:b w:val="0"/>
        </w:rPr>
        <w:t>（四）本基金法律文件中涉及基金风险特征的表述与销售机构对基金的风险评级可能不一致的风险</w:t>
      </w:r>
      <w:bookmarkEnd w:id="110"/>
    </w:p>
    <w:p w:rsidR="00F44B20" w:rsidRPr="00D6191E" w:rsidRDefault="00F44B20" w:rsidP="00F44B20">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w:t>
      </w:r>
      <w:r w:rsidRPr="00D6191E">
        <w:rPr>
          <w:rFonts w:asciiTheme="minorEastAsia" w:eastAsiaTheme="minorEastAsia" w:hAnsiTheme="minorEastAsia" w:hint="eastAsia"/>
          <w:kern w:val="0"/>
          <w:szCs w:val="21"/>
        </w:rPr>
        <w:lastRenderedPageBreak/>
        <w:t>求完成风险承受能力与产品风险之间的匹配检验，并须及时关注销售机构对于本基金风险评级的调整情况，谨慎作出投资决策。</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rPr>
      </w:pPr>
      <w:bookmarkStart w:id="111" w:name="_Toc86315928"/>
      <w:r w:rsidRPr="00D6191E">
        <w:rPr>
          <w:rFonts w:asciiTheme="minorEastAsia" w:eastAsiaTheme="minorEastAsia" w:hAnsiTheme="minorEastAsia" w:hint="eastAsia"/>
          <w:b w:val="0"/>
        </w:rPr>
        <w:t>(</w:t>
      </w:r>
      <w:r w:rsidR="00F44B20" w:rsidRPr="00D6191E">
        <w:rPr>
          <w:rFonts w:asciiTheme="minorEastAsia" w:eastAsiaTheme="minorEastAsia" w:hAnsiTheme="minorEastAsia" w:hint="eastAsia"/>
          <w:b w:val="0"/>
        </w:rPr>
        <w:t>五</w:t>
      </w:r>
      <w:r w:rsidRPr="00D6191E">
        <w:rPr>
          <w:rFonts w:asciiTheme="minorEastAsia" w:eastAsiaTheme="minorEastAsia" w:hAnsiTheme="minorEastAsia" w:hint="eastAsia"/>
          <w:b w:val="0"/>
        </w:rPr>
        <w:t>)特有风险</w:t>
      </w:r>
      <w:bookmarkEnd w:id="111"/>
    </w:p>
    <w:p w:rsidR="008338E3" w:rsidRPr="00D6191E" w:rsidRDefault="008338E3"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1、债券</w:t>
      </w:r>
      <w:r w:rsidRPr="00D6191E">
        <w:rPr>
          <w:rFonts w:asciiTheme="minorEastAsia" w:eastAsiaTheme="minorEastAsia" w:hAnsiTheme="minorEastAsia"/>
          <w:kern w:val="0"/>
          <w:szCs w:val="21"/>
        </w:rPr>
        <w:t>市场系统性风险</w:t>
      </w:r>
    </w:p>
    <w:p w:rsidR="008338E3"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本基金对固定收益类资产的投资比例不低于基金资产的80%，其中，信用债和可转债合计投资比例不低于债券资产的80%。因此，本基金需要承担如果债券市场出现整体下跌，本基金将无法完全避免债券市场系统性风险。</w:t>
      </w:r>
    </w:p>
    <w:p w:rsidR="008338E3" w:rsidRPr="00D6191E" w:rsidRDefault="008338E3" w:rsidP="00D1431F">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kern w:val="0"/>
          <w:szCs w:val="21"/>
        </w:rPr>
        <w:t>2、</w:t>
      </w:r>
      <w:r w:rsidRPr="00D6191E">
        <w:rPr>
          <w:rFonts w:asciiTheme="minorEastAsia" w:eastAsiaTheme="minorEastAsia" w:hAnsiTheme="minorEastAsia" w:hint="eastAsia"/>
          <w:kern w:val="0"/>
          <w:szCs w:val="21"/>
        </w:rPr>
        <w:t>信用债</w:t>
      </w:r>
      <w:r w:rsidRPr="00D6191E">
        <w:rPr>
          <w:rFonts w:asciiTheme="minorEastAsia" w:eastAsiaTheme="minorEastAsia" w:hAnsiTheme="minorEastAsia"/>
          <w:kern w:val="0"/>
          <w:szCs w:val="21"/>
        </w:rPr>
        <w:t>违约风险</w:t>
      </w:r>
    </w:p>
    <w:p w:rsidR="008338E3" w:rsidRPr="00D6191E" w:rsidRDefault="00BA4B87" w:rsidP="00D1431F">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本基金需要承担如企业债、公司债等信用品种的发债主体信用恶化造成的信用风险；</w:t>
      </w:r>
      <w:r w:rsidR="008338E3" w:rsidRPr="00D6191E">
        <w:rPr>
          <w:rFonts w:asciiTheme="minorEastAsia" w:eastAsiaTheme="minorEastAsia" w:hAnsiTheme="minorEastAsia" w:hint="eastAsia"/>
          <w:kern w:val="0"/>
          <w:szCs w:val="21"/>
        </w:rPr>
        <w:t>如果</w:t>
      </w:r>
      <w:r w:rsidR="008338E3" w:rsidRPr="00D6191E">
        <w:rPr>
          <w:rFonts w:asciiTheme="minorEastAsia" w:eastAsiaTheme="minorEastAsia" w:hAnsiTheme="minorEastAsia"/>
          <w:kern w:val="0"/>
          <w:szCs w:val="21"/>
        </w:rPr>
        <w:t>持有的信用债出现信用违约风险，将给基金净值带来较大的负面影响</w:t>
      </w:r>
      <w:r w:rsidR="008338E3" w:rsidRPr="00D6191E">
        <w:rPr>
          <w:rFonts w:asciiTheme="minorEastAsia" w:eastAsiaTheme="minorEastAsia" w:hAnsiTheme="minorEastAsia" w:hint="eastAsia"/>
          <w:kern w:val="0"/>
          <w:szCs w:val="21"/>
        </w:rPr>
        <w:t>。</w:t>
      </w:r>
    </w:p>
    <w:p w:rsidR="008338E3" w:rsidRPr="00D6191E" w:rsidRDefault="008338E3" w:rsidP="00D1431F">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kern w:val="0"/>
          <w:szCs w:val="21"/>
        </w:rPr>
        <w:t>3、</w:t>
      </w:r>
      <w:r w:rsidRPr="00D6191E">
        <w:rPr>
          <w:rFonts w:asciiTheme="minorEastAsia" w:eastAsiaTheme="minorEastAsia" w:hAnsiTheme="minorEastAsia" w:hint="eastAsia"/>
          <w:kern w:val="0"/>
          <w:szCs w:val="21"/>
        </w:rPr>
        <w:t>可转债投资</w:t>
      </w:r>
      <w:r w:rsidRPr="00D6191E">
        <w:rPr>
          <w:rFonts w:asciiTheme="minorEastAsia" w:eastAsiaTheme="minorEastAsia" w:hAnsiTheme="minorEastAsia"/>
          <w:kern w:val="0"/>
          <w:szCs w:val="21"/>
        </w:rPr>
        <w:t>风险</w:t>
      </w:r>
    </w:p>
    <w:p w:rsidR="00BA4B87" w:rsidRPr="00D6191E" w:rsidRDefault="008338E3" w:rsidP="00D1431F">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与</w:t>
      </w:r>
      <w:r w:rsidRPr="00D6191E">
        <w:rPr>
          <w:rFonts w:asciiTheme="minorEastAsia" w:eastAsiaTheme="minorEastAsia" w:hAnsiTheme="minorEastAsia"/>
          <w:kern w:val="0"/>
          <w:szCs w:val="21"/>
        </w:rPr>
        <w:t>其他更为成熟的债券品种相比，可转债市场交易活跃程度不高，专注于可转债投资将带来更高的流动性风险。此外</w:t>
      </w:r>
      <w:r w:rsidRPr="00D6191E">
        <w:rPr>
          <w:rFonts w:asciiTheme="minorEastAsia" w:eastAsiaTheme="minorEastAsia" w:hAnsiTheme="minorEastAsia" w:hint="eastAsia"/>
          <w:kern w:val="0"/>
          <w:szCs w:val="21"/>
        </w:rPr>
        <w:t>，</w:t>
      </w:r>
      <w:r w:rsidRPr="00D6191E">
        <w:rPr>
          <w:rFonts w:asciiTheme="minorEastAsia" w:eastAsiaTheme="minorEastAsia" w:hAnsiTheme="minorEastAsia"/>
          <w:kern w:val="0"/>
          <w:szCs w:val="21"/>
        </w:rPr>
        <w:t>本基金还</w:t>
      </w:r>
      <w:r w:rsidRPr="00D6191E">
        <w:rPr>
          <w:rFonts w:asciiTheme="minorEastAsia" w:eastAsiaTheme="minorEastAsia" w:hAnsiTheme="minorEastAsia" w:hint="eastAsia"/>
          <w:kern w:val="0"/>
          <w:szCs w:val="21"/>
        </w:rPr>
        <w:t>需要</w:t>
      </w:r>
      <w:r w:rsidRPr="00D6191E">
        <w:rPr>
          <w:rFonts w:asciiTheme="minorEastAsia" w:eastAsiaTheme="minorEastAsia" w:hAnsiTheme="minorEastAsia"/>
          <w:kern w:val="0"/>
          <w:szCs w:val="21"/>
        </w:rPr>
        <w:t>承担</w:t>
      </w:r>
      <w:r w:rsidR="00BA4B87" w:rsidRPr="00D6191E">
        <w:rPr>
          <w:rFonts w:asciiTheme="minorEastAsia" w:eastAsiaTheme="minorEastAsia" w:hAnsiTheme="minorEastAsia" w:hint="eastAsia"/>
          <w:kern w:val="0"/>
          <w:szCs w:val="21"/>
        </w:rPr>
        <w:t>由可转债对应</w:t>
      </w:r>
      <w:r w:rsidRPr="00D6191E">
        <w:rPr>
          <w:rFonts w:asciiTheme="minorEastAsia" w:eastAsiaTheme="minorEastAsia" w:hAnsiTheme="minorEastAsia" w:hint="eastAsia"/>
          <w:kern w:val="0"/>
          <w:szCs w:val="21"/>
        </w:rPr>
        <w:t>正</w:t>
      </w:r>
      <w:r w:rsidRPr="00D6191E">
        <w:rPr>
          <w:rFonts w:asciiTheme="minorEastAsia" w:eastAsiaTheme="minorEastAsia" w:hAnsiTheme="minorEastAsia"/>
          <w:kern w:val="0"/>
          <w:szCs w:val="21"/>
        </w:rPr>
        <w:t>股</w:t>
      </w:r>
      <w:r w:rsidR="00BA4B87" w:rsidRPr="00D6191E">
        <w:rPr>
          <w:rFonts w:asciiTheme="minorEastAsia" w:eastAsiaTheme="minorEastAsia" w:hAnsiTheme="minorEastAsia" w:hint="eastAsia"/>
          <w:kern w:val="0"/>
          <w:szCs w:val="21"/>
        </w:rPr>
        <w:t>股票价格波动带来的可转债价格波动的风险以及</w:t>
      </w:r>
      <w:r w:rsidR="00BA4B87" w:rsidRPr="00D6191E">
        <w:rPr>
          <w:rFonts w:asciiTheme="minorEastAsia" w:eastAsiaTheme="minorEastAsia" w:hAnsiTheme="minorEastAsia"/>
          <w:kern w:val="0"/>
          <w:szCs w:val="21"/>
        </w:rPr>
        <w:t>在转股期内</w:t>
      </w:r>
      <w:r w:rsidR="00BA4B87" w:rsidRPr="00D6191E">
        <w:rPr>
          <w:rFonts w:asciiTheme="minorEastAsia" w:eastAsiaTheme="minorEastAsia" w:hAnsiTheme="minorEastAsia" w:hint="eastAsia"/>
          <w:kern w:val="0"/>
          <w:szCs w:val="21"/>
        </w:rPr>
        <w:t>由于</w:t>
      </w:r>
      <w:r w:rsidR="00BA4B87" w:rsidRPr="00D6191E">
        <w:rPr>
          <w:rFonts w:asciiTheme="minorEastAsia" w:eastAsiaTheme="minorEastAsia" w:hAnsiTheme="minorEastAsia"/>
          <w:kern w:val="0"/>
          <w:szCs w:val="21"/>
        </w:rPr>
        <w:t>可转债</w:t>
      </w:r>
      <w:r w:rsidR="00BA4B87" w:rsidRPr="00D6191E">
        <w:rPr>
          <w:rFonts w:asciiTheme="minorEastAsia" w:eastAsiaTheme="minorEastAsia" w:hAnsiTheme="minorEastAsia" w:hint="eastAsia"/>
          <w:kern w:val="0"/>
          <w:szCs w:val="21"/>
        </w:rPr>
        <w:t>正股</w:t>
      </w:r>
      <w:r w:rsidR="00BA4B87" w:rsidRPr="00D6191E">
        <w:rPr>
          <w:rFonts w:asciiTheme="minorEastAsia" w:eastAsiaTheme="minorEastAsia" w:hAnsiTheme="minorEastAsia"/>
          <w:kern w:val="0"/>
          <w:szCs w:val="21"/>
        </w:rPr>
        <w:t>价格低于转股价</w:t>
      </w:r>
      <w:r w:rsidR="00BA4B87" w:rsidRPr="00D6191E">
        <w:rPr>
          <w:rFonts w:asciiTheme="minorEastAsia" w:eastAsiaTheme="minorEastAsia" w:hAnsiTheme="minorEastAsia" w:hint="eastAsia"/>
          <w:kern w:val="0"/>
          <w:szCs w:val="21"/>
        </w:rPr>
        <w:t>而</w:t>
      </w:r>
      <w:r w:rsidR="00BA4B87" w:rsidRPr="00D6191E">
        <w:rPr>
          <w:rFonts w:asciiTheme="minorEastAsia" w:eastAsiaTheme="minorEastAsia" w:hAnsiTheme="minorEastAsia"/>
          <w:kern w:val="0"/>
          <w:szCs w:val="21"/>
        </w:rPr>
        <w:t>导致不能获得转股收益</w:t>
      </w:r>
      <w:r w:rsidR="00BA4B87" w:rsidRPr="00D6191E">
        <w:rPr>
          <w:rFonts w:asciiTheme="minorEastAsia" w:eastAsiaTheme="minorEastAsia" w:hAnsiTheme="minorEastAsia" w:hint="eastAsia"/>
          <w:kern w:val="0"/>
          <w:szCs w:val="21"/>
        </w:rPr>
        <w:t>的风险</w:t>
      </w:r>
      <w:r w:rsidR="00BA4B87" w:rsidRPr="00D6191E">
        <w:rPr>
          <w:rFonts w:asciiTheme="minorEastAsia" w:eastAsiaTheme="minorEastAsia" w:hAnsiTheme="minorEastAsia"/>
          <w:kern w:val="0"/>
          <w:szCs w:val="21"/>
        </w:rPr>
        <w:t>。</w:t>
      </w:r>
    </w:p>
    <w:p w:rsidR="004A115D" w:rsidRPr="00D6191E" w:rsidRDefault="004A115D" w:rsidP="00D1431F">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4</w:t>
      </w:r>
      <w:r w:rsidR="005C4450" w:rsidRPr="00D6191E">
        <w:rPr>
          <w:rFonts w:asciiTheme="minorEastAsia" w:eastAsiaTheme="minorEastAsia" w:hAnsiTheme="minorEastAsia"/>
          <w:kern w:val="0"/>
          <w:szCs w:val="21"/>
        </w:rPr>
        <w:t>、</w:t>
      </w:r>
      <w:r w:rsidR="005C4450" w:rsidRPr="00D6191E">
        <w:rPr>
          <w:rFonts w:asciiTheme="minorEastAsia" w:eastAsiaTheme="minorEastAsia" w:hAnsiTheme="minorEastAsia" w:hint="eastAsia"/>
          <w:kern w:val="0"/>
          <w:szCs w:val="21"/>
        </w:rPr>
        <w:t>新股投资</w:t>
      </w:r>
      <w:r w:rsidRPr="00D6191E">
        <w:rPr>
          <w:rFonts w:asciiTheme="minorEastAsia" w:eastAsiaTheme="minorEastAsia" w:hAnsiTheme="minorEastAsia"/>
          <w:kern w:val="0"/>
          <w:szCs w:val="21"/>
        </w:rPr>
        <w:t>风险</w:t>
      </w:r>
    </w:p>
    <w:p w:rsidR="00BA4B87" w:rsidRPr="00D6191E" w:rsidRDefault="00BA4B87" w:rsidP="00D1431F">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本基金还可参与一级市场新股申购(含增发)、持有可转债转股所得的股票等权益类品种，但上述权益类品种的投资比例不高于基金资产净值的20%。因此，本基金也将面临股票市场下跌、新股发行数量减少或新股申购收益率降低甚至出现亏损的风险</w:t>
      </w:r>
      <w:r w:rsidR="00D56697" w:rsidRPr="00D6191E">
        <w:rPr>
          <w:rFonts w:asciiTheme="minorEastAsia" w:eastAsiaTheme="minorEastAsia" w:hAnsiTheme="minorEastAsia" w:hint="eastAsia"/>
          <w:kern w:val="0"/>
          <w:szCs w:val="21"/>
        </w:rPr>
        <w:t>，或政策发生变化导致本基金无法参与新股认购，将使本基金面临收益率降低的风险</w:t>
      </w:r>
      <w:r w:rsidRPr="00D6191E">
        <w:rPr>
          <w:rFonts w:asciiTheme="minorEastAsia" w:eastAsiaTheme="minorEastAsia" w:hAnsiTheme="minorEastAsia" w:hint="eastAsia"/>
          <w:kern w:val="0"/>
          <w:szCs w:val="21"/>
        </w:rPr>
        <w:t>。</w:t>
      </w:r>
    </w:p>
    <w:p w:rsidR="00044BDA" w:rsidRPr="00D6191E" w:rsidRDefault="00044BDA" w:rsidP="00D1431F">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kern w:val="0"/>
          <w:szCs w:val="21"/>
        </w:rPr>
        <w:t>5</w:t>
      </w:r>
      <w:r w:rsidRPr="00D6191E">
        <w:rPr>
          <w:rFonts w:asciiTheme="minorEastAsia" w:eastAsiaTheme="minorEastAsia" w:hAnsiTheme="minorEastAsia" w:hint="eastAsia"/>
          <w:kern w:val="0"/>
          <w:szCs w:val="21"/>
        </w:rPr>
        <w:t>、资产</w:t>
      </w:r>
      <w:r w:rsidRPr="00D6191E">
        <w:rPr>
          <w:rFonts w:asciiTheme="minorEastAsia" w:eastAsiaTheme="minorEastAsia" w:hAnsiTheme="minorEastAsia"/>
          <w:kern w:val="0"/>
          <w:szCs w:val="21"/>
        </w:rPr>
        <w:t>支持证券投资风险</w:t>
      </w:r>
    </w:p>
    <w:p w:rsidR="00044BDA" w:rsidRDefault="00044BDA"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本</w:t>
      </w:r>
      <w:r w:rsidRPr="00D6191E">
        <w:rPr>
          <w:rFonts w:asciiTheme="minorEastAsia" w:eastAsiaTheme="minorEastAsia" w:hAnsiTheme="minorEastAsia"/>
          <w:szCs w:val="21"/>
        </w:rPr>
        <w:t>基金投资范围包括资产支持证券，投资该</w:t>
      </w:r>
      <w:r w:rsidRPr="00D6191E">
        <w:rPr>
          <w:rFonts w:asciiTheme="minorEastAsia" w:eastAsiaTheme="minorEastAsia" w:hAnsiTheme="minorEastAsia" w:hint="eastAsia"/>
          <w:szCs w:val="21"/>
        </w:rPr>
        <w:t>类型</w:t>
      </w:r>
      <w:r w:rsidRPr="00D6191E">
        <w:rPr>
          <w:rFonts w:asciiTheme="minorEastAsia" w:eastAsiaTheme="minorEastAsia" w:hAnsiTheme="minorEastAsia"/>
          <w:szCs w:val="21"/>
        </w:rPr>
        <w:t>债券除了面临信用风险、利率风险、</w:t>
      </w:r>
      <w:r w:rsidRPr="00D6191E">
        <w:rPr>
          <w:rFonts w:asciiTheme="minorEastAsia" w:eastAsiaTheme="minorEastAsia" w:hAnsiTheme="minorEastAsia" w:hint="eastAsia"/>
          <w:szCs w:val="21"/>
        </w:rPr>
        <w:t>流动性</w:t>
      </w:r>
      <w:r w:rsidRPr="00D6191E">
        <w:rPr>
          <w:rFonts w:asciiTheme="minorEastAsia" w:eastAsiaTheme="minorEastAsia" w:hAnsiTheme="minorEastAsia"/>
          <w:szCs w:val="21"/>
        </w:rPr>
        <w:t>风险</w:t>
      </w:r>
      <w:r w:rsidRPr="00D6191E">
        <w:rPr>
          <w:rFonts w:asciiTheme="minorEastAsia" w:eastAsiaTheme="minorEastAsia" w:hAnsiTheme="minorEastAsia" w:hint="eastAsia"/>
          <w:szCs w:val="21"/>
        </w:rPr>
        <w:t>以外</w:t>
      </w:r>
      <w:r w:rsidRPr="00D6191E">
        <w:rPr>
          <w:rFonts w:asciiTheme="minorEastAsia" w:eastAsiaTheme="minorEastAsia" w:hAnsiTheme="minorEastAsia"/>
          <w:szCs w:val="21"/>
        </w:rPr>
        <w:t>，还要面临债务人可能由于利率变化等原因进行提前偿付，从而使基金资产面临再投资的风险。</w:t>
      </w:r>
    </w:p>
    <w:p w:rsidR="00D759D4" w:rsidRDefault="00D759D4" w:rsidP="00893C52">
      <w:pPr>
        <w:snapToGri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6、存托凭证投资风险</w:t>
      </w:r>
    </w:p>
    <w:p w:rsidR="00D759D4" w:rsidRPr="00D759D4" w:rsidRDefault="00D759D4" w:rsidP="00893C52">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kern w:val="0"/>
          <w:szCs w:val="2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rPr>
      </w:pPr>
      <w:bookmarkStart w:id="112" w:name="_Toc86315929"/>
      <w:r w:rsidRPr="00D6191E">
        <w:rPr>
          <w:rFonts w:asciiTheme="minorEastAsia" w:eastAsiaTheme="minorEastAsia" w:hAnsiTheme="minorEastAsia" w:hint="eastAsia"/>
          <w:b w:val="0"/>
        </w:rPr>
        <w:lastRenderedPageBreak/>
        <w:t>(</w:t>
      </w:r>
      <w:r w:rsidR="00F44B20" w:rsidRPr="00D6191E">
        <w:rPr>
          <w:rFonts w:asciiTheme="minorEastAsia" w:eastAsiaTheme="minorEastAsia" w:hAnsiTheme="minorEastAsia" w:hint="eastAsia"/>
          <w:b w:val="0"/>
        </w:rPr>
        <w:t>六</w:t>
      </w:r>
      <w:r w:rsidRPr="00D6191E">
        <w:rPr>
          <w:rFonts w:asciiTheme="minorEastAsia" w:eastAsiaTheme="minorEastAsia" w:hAnsiTheme="minorEastAsia" w:hint="eastAsia"/>
          <w:b w:val="0"/>
        </w:rPr>
        <w:t>)其他风险</w:t>
      </w:r>
      <w:bookmarkEnd w:id="112"/>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w:t>
      </w:r>
      <w:r w:rsidR="00200D60" w:rsidRPr="00D6191E">
        <w:rPr>
          <w:rFonts w:asciiTheme="minorEastAsia" w:eastAsiaTheme="minorEastAsia" w:hAnsiTheme="minorEastAsia" w:hint="eastAsia"/>
          <w:kern w:val="0"/>
          <w:szCs w:val="21"/>
        </w:rPr>
        <w:t>、</w:t>
      </w:r>
      <w:r w:rsidRPr="00D6191E">
        <w:rPr>
          <w:rFonts w:asciiTheme="minorEastAsia" w:eastAsiaTheme="minorEastAsia" w:hAnsiTheme="minorEastAsia" w:hint="eastAsia"/>
          <w:kern w:val="0"/>
          <w:szCs w:val="21"/>
        </w:rPr>
        <w:t>因技术因素而产生的风险，如电脑系统不可靠产生的风险；</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200D60" w:rsidRPr="00D6191E">
        <w:rPr>
          <w:rFonts w:asciiTheme="minorEastAsia" w:eastAsiaTheme="minorEastAsia" w:hAnsiTheme="minorEastAsia" w:hint="eastAsia"/>
          <w:szCs w:val="21"/>
        </w:rPr>
        <w:t>、</w:t>
      </w:r>
      <w:r w:rsidRPr="00D6191E">
        <w:rPr>
          <w:rFonts w:asciiTheme="minorEastAsia" w:eastAsiaTheme="minorEastAsia" w:hAnsiTheme="minorEastAsia" w:hint="eastAsia"/>
          <w:szCs w:val="21"/>
        </w:rPr>
        <w:t>因战争、自然灾害等不可抗力导致的基金管理人、</w:t>
      </w:r>
      <w:r w:rsidR="00884CDC" w:rsidRPr="00D6191E">
        <w:rPr>
          <w:rFonts w:asciiTheme="minorEastAsia" w:eastAsiaTheme="minorEastAsia" w:hAnsiTheme="minorEastAsia" w:hint="eastAsia"/>
          <w:szCs w:val="21"/>
        </w:rPr>
        <w:t>基金托管人、</w:t>
      </w:r>
      <w:r w:rsidRPr="00D6191E">
        <w:rPr>
          <w:rFonts w:asciiTheme="minorEastAsia" w:eastAsiaTheme="minorEastAsia" w:hAnsiTheme="minorEastAsia" w:hint="eastAsia"/>
          <w:szCs w:val="21"/>
        </w:rPr>
        <w:t>基金</w:t>
      </w:r>
      <w:r w:rsidR="00AE5F53" w:rsidRPr="00D6191E">
        <w:rPr>
          <w:rFonts w:asciiTheme="minorEastAsia" w:eastAsiaTheme="minorEastAsia" w:hAnsiTheme="minorEastAsia" w:hint="eastAsia"/>
          <w:szCs w:val="21"/>
        </w:rPr>
        <w:t>服务</w:t>
      </w:r>
      <w:r w:rsidRPr="00D6191E">
        <w:rPr>
          <w:rFonts w:asciiTheme="minorEastAsia" w:eastAsiaTheme="minorEastAsia" w:hAnsiTheme="minorEastAsia" w:hint="eastAsia"/>
          <w:szCs w:val="21"/>
        </w:rPr>
        <w:t>机构等机构无法正常工作，从而影响基金</w:t>
      </w:r>
      <w:r w:rsidR="00884CDC" w:rsidRPr="00D6191E">
        <w:rPr>
          <w:rFonts w:asciiTheme="minorEastAsia" w:eastAsiaTheme="minorEastAsia" w:hAnsiTheme="minorEastAsia" w:hint="eastAsia"/>
          <w:szCs w:val="21"/>
        </w:rPr>
        <w:t>运作</w:t>
      </w:r>
      <w:r w:rsidRPr="00D6191E">
        <w:rPr>
          <w:rFonts w:asciiTheme="minorEastAsia" w:eastAsiaTheme="minorEastAsia" w:hAnsiTheme="minorEastAsia" w:hint="eastAsia"/>
          <w:szCs w:val="21"/>
        </w:rPr>
        <w:t>的风险；</w:t>
      </w:r>
    </w:p>
    <w:p w:rsidR="006A7ADF" w:rsidRPr="00D6191E" w:rsidRDefault="00884CDC"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3</w:t>
      </w:r>
      <w:r w:rsidR="00200D60" w:rsidRPr="00D6191E">
        <w:rPr>
          <w:rFonts w:asciiTheme="minorEastAsia" w:eastAsiaTheme="minorEastAsia" w:hAnsiTheme="minorEastAsia" w:hint="eastAsia"/>
          <w:kern w:val="0"/>
          <w:szCs w:val="21"/>
        </w:rPr>
        <w:t>、</w:t>
      </w:r>
      <w:r w:rsidR="006A7ADF" w:rsidRPr="00D6191E">
        <w:rPr>
          <w:rFonts w:asciiTheme="minorEastAsia" w:eastAsiaTheme="minorEastAsia" w:hAnsiTheme="minorEastAsia" w:hint="eastAsia"/>
          <w:kern w:val="0"/>
          <w:szCs w:val="21"/>
        </w:rPr>
        <w:t>因金融市场危机、代理商违约、基金托管人违约等超出基金管理人自身控制能力的因素出现，可能导致基金或者基金份额持有人利益受损的风险；</w:t>
      </w:r>
    </w:p>
    <w:p w:rsidR="00A47DDD" w:rsidRPr="00D6191E" w:rsidRDefault="00200D60"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4、</w:t>
      </w:r>
      <w:r w:rsidR="00BA4B87" w:rsidRPr="00D6191E">
        <w:rPr>
          <w:rFonts w:asciiTheme="minorEastAsia" w:eastAsiaTheme="minorEastAsia" w:hAnsiTheme="minorEastAsia" w:hint="eastAsia"/>
          <w:kern w:val="0"/>
          <w:szCs w:val="21"/>
        </w:rPr>
        <w:t>本基金力争战胜通货膨胀和银行定期存款利率，但本基金的收益水平有可能不能达到或超过同期的目标收益率水平，投资者面临获得低于目标收益率甚至亏损的风险</w:t>
      </w:r>
      <w:r w:rsidR="00A47DDD" w:rsidRPr="00D6191E">
        <w:rPr>
          <w:rFonts w:asciiTheme="minorEastAsia" w:eastAsiaTheme="minorEastAsia" w:hAnsiTheme="minorEastAsia" w:hint="eastAsia"/>
          <w:kern w:val="0"/>
          <w:szCs w:val="21"/>
        </w:rPr>
        <w:t>；</w:t>
      </w:r>
    </w:p>
    <w:p w:rsidR="00BA4B87" w:rsidRPr="00D6191E" w:rsidRDefault="00A47DDD"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kern w:val="0"/>
          <w:szCs w:val="21"/>
        </w:rPr>
        <w:t>5、</w:t>
      </w:r>
      <w:r w:rsidRPr="00D6191E">
        <w:rPr>
          <w:rFonts w:asciiTheme="minorEastAsia" w:eastAsiaTheme="minorEastAsia" w:hAnsiTheme="minorEastAsia" w:hint="eastAsia"/>
          <w:kern w:val="0"/>
          <w:szCs w:val="21"/>
        </w:rPr>
        <w:t>因固定收益类金融工具主要在场外市场进行交易，场外市场交易现阶段自动化程度较场内市场低，本基金在投资运作过程中可能面临操作风险。</w:t>
      </w:r>
    </w:p>
    <w:p w:rsidR="00E82623" w:rsidRPr="00D6191E" w:rsidRDefault="00BA4B87" w:rsidP="004D6C82">
      <w:pPr>
        <w:pStyle w:val="1"/>
        <w:snapToGrid w:val="0"/>
        <w:spacing w:beforeLines="0" w:afterLines="0" w:line="360" w:lineRule="auto"/>
        <w:ind w:firstLineChars="0" w:firstLine="0"/>
        <w:rPr>
          <w:rFonts w:asciiTheme="minorEastAsia" w:eastAsiaTheme="minorEastAsia" w:hAnsiTheme="minorEastAsia"/>
        </w:rPr>
      </w:pPr>
      <w:r w:rsidRPr="00D6191E">
        <w:rPr>
          <w:rFonts w:asciiTheme="minorEastAsia" w:eastAsiaTheme="minorEastAsia" w:hAnsiTheme="minorEastAsia" w:hint="eastAsia"/>
          <w:sz w:val="30"/>
        </w:rPr>
        <w:br w:type="column"/>
      </w:r>
      <w:bookmarkStart w:id="113" w:name="_Toc86315930"/>
      <w:r w:rsidR="009C0CEE" w:rsidRPr="00D6191E">
        <w:rPr>
          <w:rFonts w:asciiTheme="minorEastAsia" w:eastAsiaTheme="minorEastAsia" w:hAnsiTheme="minorEastAsia" w:hint="eastAsia"/>
          <w:sz w:val="30"/>
        </w:rPr>
        <w:lastRenderedPageBreak/>
        <w:t>二十</w:t>
      </w:r>
      <w:r w:rsidR="009A06F7">
        <w:rPr>
          <w:rFonts w:asciiTheme="minorEastAsia" w:eastAsiaTheme="minorEastAsia" w:hAnsiTheme="minorEastAsia" w:hint="eastAsia"/>
          <w:sz w:val="30"/>
        </w:rPr>
        <w:t>一</w:t>
      </w:r>
      <w:r w:rsidRPr="00D6191E">
        <w:rPr>
          <w:rFonts w:asciiTheme="minorEastAsia" w:eastAsiaTheme="minorEastAsia" w:hAnsiTheme="minorEastAsia" w:hint="eastAsia"/>
          <w:sz w:val="30"/>
        </w:rPr>
        <w:t>、基金合同的变更、终止与基金财产的清算</w:t>
      </w:r>
      <w:bookmarkEnd w:id="113"/>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14" w:name="_Toc86315931"/>
      <w:r w:rsidRPr="00D6191E">
        <w:rPr>
          <w:rFonts w:asciiTheme="minorEastAsia" w:eastAsiaTheme="minorEastAsia" w:hAnsiTheme="minorEastAsia" w:hint="eastAsia"/>
          <w:b w:val="0"/>
        </w:rPr>
        <w:t>(一)基金合同的变更</w:t>
      </w:r>
      <w:bookmarkEnd w:id="114"/>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szCs w:val="21"/>
        </w:rPr>
        <w:t>基金合同</w:t>
      </w:r>
      <w:r w:rsidR="00BA4B87" w:rsidRPr="00D6191E">
        <w:rPr>
          <w:rFonts w:asciiTheme="minorEastAsia" w:eastAsiaTheme="minorEastAsia" w:hAnsiTheme="minorEastAsia" w:hint="eastAsia"/>
          <w:szCs w:val="21"/>
        </w:rPr>
        <w:t>变更内容对基金合同当事人权利、义务产生重大影响的，</w:t>
      </w:r>
      <w:r w:rsidR="00BA4B87" w:rsidRPr="00D6191E">
        <w:rPr>
          <w:rFonts w:asciiTheme="minorEastAsia" w:eastAsiaTheme="minorEastAsia" w:hAnsiTheme="minorEastAsia"/>
          <w:szCs w:val="21"/>
        </w:rPr>
        <w:t>应召开基金份额持有人大会，基金合同变更的内容应经基金份额持有人大会决议同意。</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Pr="00D6191E">
        <w:rPr>
          <w:rFonts w:asciiTheme="minorEastAsia" w:eastAsiaTheme="minorEastAsia" w:hAnsiTheme="minorEastAsia"/>
          <w:szCs w:val="21"/>
        </w:rPr>
        <w:t>转换基金运作方式；</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Pr="00D6191E">
        <w:rPr>
          <w:rFonts w:asciiTheme="minorEastAsia" w:eastAsiaTheme="minorEastAsia" w:hAnsiTheme="minorEastAsia"/>
          <w:szCs w:val="21"/>
        </w:rPr>
        <w:t>变更基金类别；</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Pr="00D6191E">
        <w:rPr>
          <w:rFonts w:asciiTheme="minorEastAsia" w:eastAsiaTheme="minorEastAsia" w:hAnsiTheme="minorEastAsia"/>
          <w:szCs w:val="21"/>
        </w:rPr>
        <w:t>变更基金投资目标、</w:t>
      </w:r>
      <w:r w:rsidRPr="00D6191E">
        <w:rPr>
          <w:rFonts w:asciiTheme="minorEastAsia" w:eastAsiaTheme="minorEastAsia" w:hAnsiTheme="minorEastAsia" w:hint="eastAsia"/>
          <w:szCs w:val="21"/>
        </w:rPr>
        <w:t>投资</w:t>
      </w:r>
      <w:r w:rsidRPr="00D6191E">
        <w:rPr>
          <w:rFonts w:asciiTheme="minorEastAsia" w:eastAsiaTheme="minorEastAsia" w:hAnsiTheme="minorEastAsia"/>
          <w:szCs w:val="21"/>
        </w:rPr>
        <w:t>范围或</w:t>
      </w:r>
      <w:r w:rsidRPr="00D6191E">
        <w:rPr>
          <w:rFonts w:asciiTheme="minorEastAsia" w:eastAsiaTheme="minorEastAsia" w:hAnsiTheme="minorEastAsia" w:hint="eastAsia"/>
          <w:szCs w:val="21"/>
        </w:rPr>
        <w:t>投资</w:t>
      </w:r>
      <w:r w:rsidRPr="00D6191E">
        <w:rPr>
          <w:rFonts w:asciiTheme="minorEastAsia" w:eastAsiaTheme="minorEastAsia" w:hAnsiTheme="minorEastAsia"/>
          <w:szCs w:val="21"/>
        </w:rPr>
        <w:t>策略</w:t>
      </w:r>
      <w:r w:rsidRPr="00D6191E">
        <w:rPr>
          <w:rFonts w:asciiTheme="minorEastAsia" w:eastAsiaTheme="minorEastAsia" w:hAnsiTheme="minorEastAsia" w:hint="eastAsia"/>
          <w:szCs w:val="21"/>
        </w:rPr>
        <w:t>(法律法规和中国证监会另有规定的除外)</w:t>
      </w:r>
      <w:r w:rsidRPr="00D6191E">
        <w:rPr>
          <w:rFonts w:asciiTheme="minorEastAsia" w:eastAsiaTheme="minorEastAsia" w:hAnsiTheme="minorEastAsia"/>
          <w:szCs w:val="21"/>
        </w:rPr>
        <w:t>；</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w:t>
      </w:r>
      <w:r w:rsidRPr="00D6191E">
        <w:rPr>
          <w:rFonts w:asciiTheme="minorEastAsia" w:eastAsiaTheme="minorEastAsia" w:hAnsiTheme="minorEastAsia"/>
          <w:szCs w:val="21"/>
        </w:rPr>
        <w:t>变更基金份额持有人大会程序；</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w:t>
      </w:r>
      <w:r w:rsidRPr="00D6191E">
        <w:rPr>
          <w:rFonts w:asciiTheme="minorEastAsia" w:eastAsiaTheme="minorEastAsia" w:hAnsiTheme="minorEastAsia"/>
          <w:szCs w:val="21"/>
        </w:rPr>
        <w:t>更换基金管理人</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基金托管人；</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(6)</w:t>
      </w:r>
      <w:r w:rsidRPr="00D6191E">
        <w:rPr>
          <w:rFonts w:asciiTheme="minorEastAsia" w:eastAsiaTheme="minorEastAsia" w:hAnsiTheme="minorEastAsia"/>
          <w:szCs w:val="21"/>
        </w:rPr>
        <w:t>提高基金管理人、基金托管人的报酬标准。但根据</w:t>
      </w:r>
      <w:r w:rsidRPr="00D6191E">
        <w:rPr>
          <w:rFonts w:asciiTheme="minorEastAsia" w:eastAsiaTheme="minorEastAsia" w:hAnsiTheme="minorEastAsia" w:hint="eastAsia"/>
          <w:szCs w:val="21"/>
        </w:rPr>
        <w:t>适用</w:t>
      </w:r>
      <w:r w:rsidRPr="00D6191E">
        <w:rPr>
          <w:rFonts w:asciiTheme="minorEastAsia" w:eastAsiaTheme="minorEastAsia" w:hAnsiTheme="minorEastAsia"/>
          <w:szCs w:val="21"/>
        </w:rPr>
        <w:t>的</w:t>
      </w:r>
      <w:r w:rsidRPr="00D6191E">
        <w:rPr>
          <w:rFonts w:asciiTheme="minorEastAsia" w:eastAsiaTheme="minorEastAsia" w:hAnsiTheme="minorEastAsia" w:hint="eastAsia"/>
          <w:szCs w:val="21"/>
        </w:rPr>
        <w:t>相关规定</w:t>
      </w:r>
      <w:r w:rsidRPr="00D6191E">
        <w:rPr>
          <w:rFonts w:asciiTheme="minorEastAsia" w:eastAsiaTheme="minorEastAsia" w:hAnsiTheme="minorEastAsia"/>
          <w:szCs w:val="21"/>
        </w:rPr>
        <w:t>提高该等报酬标准的除外</w:t>
      </w:r>
      <w:r w:rsidRPr="00D6191E">
        <w:rPr>
          <w:rFonts w:asciiTheme="minorEastAsia" w:eastAsiaTheme="minorEastAsia" w:hAnsiTheme="minorEastAsia" w:hint="eastAsia"/>
          <w:szCs w:val="21"/>
        </w:rPr>
        <w:t>；</w:t>
      </w:r>
    </w:p>
    <w:p w:rsidR="00BA4B87" w:rsidRPr="00D6191E" w:rsidRDefault="00BA4B87" w:rsidP="00245F77">
      <w:pPr>
        <w:ind w:firstLine="420"/>
        <w:rPr>
          <w:rFonts w:asciiTheme="minorEastAsia" w:eastAsiaTheme="minorEastAsia" w:hAnsiTheme="minorEastAsia"/>
          <w:szCs w:val="21"/>
        </w:rPr>
      </w:pPr>
      <w:r w:rsidRPr="00D6191E">
        <w:rPr>
          <w:rFonts w:asciiTheme="minorEastAsia" w:eastAsiaTheme="minorEastAsia" w:hAnsiTheme="minorEastAsia" w:hint="eastAsia"/>
          <w:szCs w:val="21"/>
        </w:rPr>
        <w:t>(7)</w:t>
      </w:r>
      <w:r w:rsidRPr="00D6191E">
        <w:rPr>
          <w:rFonts w:asciiTheme="minorEastAsia" w:eastAsiaTheme="minorEastAsia" w:hAnsiTheme="minorEastAsia"/>
          <w:szCs w:val="21"/>
        </w:rPr>
        <w:t>本基金与其他基金的合并</w:t>
      </w:r>
      <w:r w:rsidRPr="00D6191E">
        <w:rPr>
          <w:rFonts w:asciiTheme="minorEastAsia" w:eastAsiaTheme="minorEastAsia" w:hAnsiTheme="minorEastAsia" w:hint="eastAsia"/>
          <w:szCs w:val="21"/>
        </w:rPr>
        <w:t>；</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(8)对基金合同当事人权利、义务产生重大影响的其他事项；</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(9)</w:t>
      </w:r>
      <w:r w:rsidRPr="00D6191E">
        <w:rPr>
          <w:rFonts w:asciiTheme="minorEastAsia" w:eastAsiaTheme="minorEastAsia" w:hAnsiTheme="minorEastAsia"/>
          <w:szCs w:val="21"/>
        </w:rPr>
        <w:t>法律法规</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基金合同或中国证监会规定的其他情形。</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但出现下列情况时，可不经基金份额持有人大会决议，由基金管理人和基金托管人同意变更后公布，并报中国证监会备案：</w:t>
      </w:r>
    </w:p>
    <w:p w:rsidR="00BA4B87" w:rsidRPr="00D6191E" w:rsidRDefault="00BA4B87" w:rsidP="00D1431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(1)调低基金管理费、基金托管费和其他应由基金承担的费用；</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(2)在</w:t>
      </w:r>
      <w:r w:rsidRPr="00D6191E">
        <w:rPr>
          <w:rFonts w:asciiTheme="minorEastAsia" w:eastAsiaTheme="minorEastAsia" w:hAnsiTheme="minorEastAsia"/>
          <w:szCs w:val="21"/>
        </w:rPr>
        <w:t>法律法规和</w:t>
      </w:r>
      <w:r w:rsidRPr="00D6191E">
        <w:rPr>
          <w:rFonts w:asciiTheme="minorEastAsia" w:eastAsiaTheme="minorEastAsia" w:hAnsiTheme="minorEastAsia" w:hint="eastAsia"/>
          <w:szCs w:val="21"/>
        </w:rPr>
        <w:t>本基金合同规定的范围内变更基金的申购费率、降低赎回费率或变更收费方式；</w:t>
      </w:r>
    </w:p>
    <w:p w:rsidR="00BA4B87" w:rsidRPr="00D6191E" w:rsidRDefault="00BA4B87" w:rsidP="00D1431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w:t>
      </w:r>
      <w:r w:rsidRPr="00D6191E">
        <w:rPr>
          <w:rFonts w:asciiTheme="minorEastAsia" w:eastAsiaTheme="minorEastAsia" w:hAnsiTheme="minorEastAsia" w:hint="eastAsia"/>
          <w:szCs w:val="21"/>
        </w:rPr>
        <w:t>3</w:t>
      </w:r>
      <w:r w:rsidRPr="00D6191E">
        <w:rPr>
          <w:rFonts w:asciiTheme="minorEastAsia" w:eastAsiaTheme="minorEastAsia" w:hAnsiTheme="minorEastAsia"/>
          <w:szCs w:val="21"/>
        </w:rPr>
        <w:t>)因相应的法律法规发生变动</w:t>
      </w:r>
      <w:r w:rsidRPr="00D6191E">
        <w:rPr>
          <w:rFonts w:asciiTheme="minorEastAsia" w:eastAsiaTheme="minorEastAsia" w:hAnsiTheme="minorEastAsia" w:hint="eastAsia"/>
          <w:szCs w:val="21"/>
        </w:rPr>
        <w:t>必须对</w:t>
      </w:r>
      <w:r w:rsidRPr="00D6191E">
        <w:rPr>
          <w:rFonts w:asciiTheme="minorEastAsia" w:eastAsiaTheme="minorEastAsia" w:hAnsiTheme="minorEastAsia"/>
          <w:szCs w:val="21"/>
        </w:rPr>
        <w:t>基金合同进行</w:t>
      </w:r>
      <w:r w:rsidRPr="00D6191E">
        <w:rPr>
          <w:rFonts w:asciiTheme="minorEastAsia" w:eastAsiaTheme="minorEastAsia" w:hAnsiTheme="minorEastAsia" w:hint="eastAsia"/>
          <w:szCs w:val="21"/>
        </w:rPr>
        <w:t>修改</w:t>
      </w:r>
      <w:r w:rsidRPr="00D6191E">
        <w:rPr>
          <w:rFonts w:asciiTheme="minorEastAsia" w:eastAsiaTheme="minorEastAsia" w:hAnsiTheme="minorEastAsia"/>
          <w:szCs w:val="21"/>
        </w:rPr>
        <w:t>；</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w:t>
      </w:r>
      <w:r w:rsidRPr="00D6191E">
        <w:rPr>
          <w:rFonts w:asciiTheme="minorEastAsia" w:eastAsiaTheme="minorEastAsia" w:hAnsiTheme="minorEastAsia" w:hint="eastAsia"/>
          <w:szCs w:val="21"/>
        </w:rPr>
        <w:t>4</w:t>
      </w:r>
      <w:r w:rsidRPr="00D6191E">
        <w:rPr>
          <w:rFonts w:asciiTheme="minorEastAsia" w:eastAsiaTheme="minorEastAsia" w:hAnsiTheme="minorEastAsia"/>
          <w:szCs w:val="21"/>
        </w:rPr>
        <w:t>)</w:t>
      </w:r>
      <w:r w:rsidRPr="00D6191E">
        <w:rPr>
          <w:rFonts w:asciiTheme="minorEastAsia" w:eastAsiaTheme="minorEastAsia" w:hAnsiTheme="minorEastAsia" w:hint="eastAsia"/>
          <w:szCs w:val="21"/>
        </w:rPr>
        <w:t>对</w:t>
      </w:r>
      <w:r w:rsidRPr="00D6191E">
        <w:rPr>
          <w:rFonts w:asciiTheme="minorEastAsia" w:eastAsiaTheme="minorEastAsia" w:hAnsiTheme="minorEastAsia"/>
          <w:szCs w:val="21"/>
        </w:rPr>
        <w:t>基金合同的</w:t>
      </w:r>
      <w:r w:rsidRPr="00D6191E">
        <w:rPr>
          <w:rFonts w:asciiTheme="minorEastAsia" w:eastAsiaTheme="minorEastAsia" w:hAnsiTheme="minorEastAsia" w:hint="eastAsia"/>
          <w:szCs w:val="21"/>
        </w:rPr>
        <w:t>修改</w:t>
      </w:r>
      <w:r w:rsidRPr="00D6191E">
        <w:rPr>
          <w:rFonts w:asciiTheme="minorEastAsia" w:eastAsiaTheme="minorEastAsia" w:hAnsiTheme="minorEastAsia"/>
          <w:szCs w:val="21"/>
        </w:rPr>
        <w:t>不涉及本基金合同当事人权利义务关系发生</w:t>
      </w:r>
      <w:r w:rsidRPr="00D6191E">
        <w:rPr>
          <w:rFonts w:asciiTheme="minorEastAsia" w:eastAsiaTheme="minorEastAsia" w:hAnsiTheme="minorEastAsia" w:hint="eastAsia"/>
          <w:szCs w:val="21"/>
        </w:rPr>
        <w:t>重大</w:t>
      </w:r>
      <w:r w:rsidRPr="00D6191E">
        <w:rPr>
          <w:rFonts w:asciiTheme="minorEastAsia" w:eastAsiaTheme="minorEastAsia" w:hAnsiTheme="minorEastAsia"/>
          <w:szCs w:val="21"/>
        </w:rPr>
        <w:t>变化；</w:t>
      </w:r>
    </w:p>
    <w:p w:rsidR="00BA4B87" w:rsidRPr="00D6191E" w:rsidRDefault="00BA4B87" w:rsidP="00D1431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(5)基金合同的修改对基金份额持有人利益无实质性不利影响；</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(6)按照法律法规或本基金合同规定不需召开基金份额持有人大会的其他情形。</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2</w:t>
      </w:r>
      <w:r w:rsidR="00200D60" w:rsidRPr="00D6191E">
        <w:rPr>
          <w:rFonts w:asciiTheme="minorEastAsia" w:eastAsiaTheme="minorEastAsia" w:hAnsiTheme="minorEastAsia" w:hint="eastAsia"/>
          <w:szCs w:val="21"/>
        </w:rPr>
        <w:t>、</w:t>
      </w:r>
      <w:r w:rsidRPr="00D6191E">
        <w:rPr>
          <w:rFonts w:asciiTheme="minorEastAsia" w:eastAsiaTheme="minorEastAsia" w:hAnsiTheme="minorEastAsia" w:hint="eastAsia"/>
          <w:szCs w:val="21"/>
        </w:rPr>
        <w:t>关于变更</w:t>
      </w:r>
      <w:r w:rsidRPr="00D6191E">
        <w:rPr>
          <w:rFonts w:asciiTheme="minorEastAsia" w:eastAsiaTheme="minorEastAsia" w:hAnsiTheme="minorEastAsia"/>
          <w:szCs w:val="21"/>
        </w:rPr>
        <w:t>基金合同</w:t>
      </w:r>
      <w:r w:rsidRPr="00D6191E">
        <w:rPr>
          <w:rFonts w:asciiTheme="minorEastAsia" w:eastAsiaTheme="minorEastAsia" w:hAnsiTheme="minorEastAsia" w:hint="eastAsia"/>
          <w:szCs w:val="21"/>
        </w:rPr>
        <w:t>的基金份额持有人大会决议应报</w:t>
      </w:r>
      <w:r w:rsidRPr="00D6191E">
        <w:rPr>
          <w:rFonts w:asciiTheme="minorEastAsia" w:eastAsiaTheme="minorEastAsia" w:hAnsiTheme="minorEastAsia"/>
          <w:szCs w:val="21"/>
        </w:rPr>
        <w:t>中国证监会</w:t>
      </w:r>
      <w:r w:rsidRPr="00D6191E">
        <w:rPr>
          <w:rFonts w:asciiTheme="minorEastAsia" w:eastAsiaTheme="minorEastAsia" w:hAnsiTheme="minorEastAsia" w:hint="eastAsia"/>
          <w:szCs w:val="21"/>
        </w:rPr>
        <w:t>核准或备案，并于中国证监会核准或出具无异议意见后生效执行，</w:t>
      </w:r>
      <w:r w:rsidRPr="00D6191E">
        <w:rPr>
          <w:rFonts w:asciiTheme="minorEastAsia" w:eastAsiaTheme="minorEastAsia" w:hAnsiTheme="minorEastAsia"/>
          <w:szCs w:val="21"/>
        </w:rPr>
        <w:t>并</w:t>
      </w:r>
      <w:r w:rsidRPr="00D6191E">
        <w:rPr>
          <w:rFonts w:asciiTheme="minorEastAsia" w:eastAsiaTheme="minorEastAsia" w:hAnsiTheme="minorEastAsia" w:hint="eastAsia"/>
          <w:szCs w:val="21"/>
        </w:rPr>
        <w:t>自生效之日起2日</w:t>
      </w:r>
      <w:r w:rsidRPr="00D6191E">
        <w:rPr>
          <w:rFonts w:asciiTheme="minorEastAsia" w:eastAsiaTheme="minorEastAsia" w:hAnsiTheme="minorEastAsia"/>
          <w:szCs w:val="21"/>
        </w:rPr>
        <w:t>内</w:t>
      </w:r>
      <w:r w:rsidRPr="00D6191E">
        <w:rPr>
          <w:rFonts w:asciiTheme="minorEastAsia" w:eastAsiaTheme="minorEastAsia" w:hAnsiTheme="minorEastAsia" w:hint="eastAsia"/>
          <w:szCs w:val="21"/>
        </w:rPr>
        <w:t>在</w:t>
      </w:r>
      <w:r w:rsidR="00F44B20" w:rsidRPr="00D6191E">
        <w:rPr>
          <w:rFonts w:asciiTheme="minorEastAsia" w:eastAsiaTheme="minorEastAsia" w:hAnsiTheme="minorEastAsia" w:hint="eastAsia"/>
          <w:szCs w:val="21"/>
        </w:rPr>
        <w:t>指定媒介</w:t>
      </w:r>
      <w:r w:rsidRPr="00D6191E">
        <w:rPr>
          <w:rFonts w:asciiTheme="minorEastAsia" w:eastAsiaTheme="minorEastAsia" w:hAnsiTheme="minorEastAsia"/>
          <w:szCs w:val="21"/>
        </w:rPr>
        <w:t>公告。</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rPr>
      </w:pPr>
      <w:bookmarkStart w:id="115" w:name="_Toc86315932"/>
      <w:r w:rsidRPr="00D6191E">
        <w:rPr>
          <w:rFonts w:asciiTheme="minorEastAsia" w:eastAsiaTheme="minorEastAsia" w:hAnsiTheme="minorEastAsia" w:hint="eastAsia"/>
          <w:b w:val="0"/>
        </w:rPr>
        <w:t>(二)基金合同的终止</w:t>
      </w:r>
      <w:bookmarkEnd w:id="115"/>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有下列情形之一的，本基金合同经中国证监会核准后将终止：</w:t>
      </w:r>
    </w:p>
    <w:p w:rsidR="00BA4B87" w:rsidRPr="00D6191E" w:rsidRDefault="00200D60" w:rsidP="00245F77">
      <w:pPr>
        <w:ind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hint="eastAsia"/>
          <w:szCs w:val="21"/>
        </w:rPr>
        <w:t>基金份额持有人大会决定终止的；</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BA4B87" w:rsidRPr="00D6191E">
        <w:rPr>
          <w:rFonts w:asciiTheme="minorEastAsia" w:eastAsiaTheme="minorEastAsia" w:hAnsiTheme="minorEastAsia"/>
          <w:szCs w:val="21"/>
        </w:rPr>
        <w:t>基金管理人因解散、破产、撤销等事由，不能继续担任基金管理人的职务，而</w:t>
      </w:r>
      <w:r w:rsidR="00BA4B87" w:rsidRPr="00D6191E">
        <w:rPr>
          <w:rFonts w:asciiTheme="minorEastAsia" w:eastAsiaTheme="minorEastAsia" w:hAnsiTheme="minorEastAsia" w:hint="eastAsia"/>
          <w:szCs w:val="21"/>
        </w:rPr>
        <w:t>在6个月内</w:t>
      </w:r>
      <w:r w:rsidR="00BA4B87" w:rsidRPr="00D6191E">
        <w:rPr>
          <w:rFonts w:asciiTheme="minorEastAsia" w:eastAsiaTheme="minorEastAsia" w:hAnsiTheme="minorEastAsia"/>
          <w:szCs w:val="21"/>
        </w:rPr>
        <w:t>无其他适当的基金管理公司承</w:t>
      </w:r>
      <w:r w:rsidR="00BA4B87" w:rsidRPr="00D6191E">
        <w:rPr>
          <w:rFonts w:asciiTheme="minorEastAsia" w:eastAsiaTheme="minorEastAsia" w:hAnsiTheme="minorEastAsia" w:hint="eastAsia"/>
          <w:szCs w:val="21"/>
        </w:rPr>
        <w:t>接</w:t>
      </w:r>
      <w:r w:rsidR="00BA4B87" w:rsidRPr="00D6191E">
        <w:rPr>
          <w:rFonts w:asciiTheme="minorEastAsia" w:eastAsiaTheme="minorEastAsia" w:hAnsiTheme="minorEastAsia"/>
          <w:szCs w:val="21"/>
        </w:rPr>
        <w:t>其原有权利义务；</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00BA4B87" w:rsidRPr="00D6191E">
        <w:rPr>
          <w:rFonts w:asciiTheme="minorEastAsia" w:eastAsiaTheme="minorEastAsia" w:hAnsiTheme="minorEastAsia" w:hint="eastAsia"/>
          <w:szCs w:val="21"/>
        </w:rPr>
        <w:t>基金托管人因解散、破产、撤销等事由，不能继续担任基金托管人的职务，而在6个月内无其他适当的托管机构承接其原有权利义务；</w:t>
      </w:r>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w:t>
      </w:r>
      <w:r w:rsidR="00BA4B87" w:rsidRPr="00D6191E">
        <w:rPr>
          <w:rFonts w:asciiTheme="minorEastAsia" w:eastAsiaTheme="minorEastAsia" w:hAnsiTheme="minorEastAsia" w:hint="eastAsia"/>
          <w:szCs w:val="21"/>
        </w:rPr>
        <w:t>法律法规、中国证监会规定的其他情况。</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16" w:name="_Toc86315933"/>
      <w:r w:rsidRPr="00D6191E">
        <w:rPr>
          <w:rFonts w:asciiTheme="minorEastAsia" w:eastAsiaTheme="minorEastAsia" w:hAnsiTheme="minorEastAsia" w:hint="eastAsia"/>
          <w:b w:val="0"/>
        </w:rPr>
        <w:lastRenderedPageBreak/>
        <w:t>(三)基金财产的清算</w:t>
      </w:r>
      <w:bookmarkEnd w:id="116"/>
    </w:p>
    <w:p w:rsidR="00BA4B87" w:rsidRPr="00D6191E" w:rsidRDefault="00200D60"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hint="eastAsia"/>
          <w:szCs w:val="21"/>
        </w:rPr>
        <w:t>基金财产清算组</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(1)自出现基金合同终止事由之日起30个工作日内成立基金财产清算组，基金管理人组织基金财产清算组并在中国证监会的监督下进行基金财产清算。</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(2)基金财产清算组成员由基金管理人、基金托管人、具有从事证券相关业务资格的注册会计师、律师以及中国证监会指定的人员组成。基金财产清算组可以聘用必要的工作人员。</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(3)基金财产清算组负责基金财产的保管、清理、估价、变现和分配。基金财产清算组可以依法进行必要的民事活动。</w:t>
      </w:r>
    </w:p>
    <w:p w:rsidR="00BA4B87" w:rsidRPr="00D6191E" w:rsidRDefault="00234286" w:rsidP="00D1431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BA4B87" w:rsidRPr="00D6191E">
        <w:rPr>
          <w:rFonts w:asciiTheme="minorEastAsia" w:eastAsiaTheme="minorEastAsia" w:hAnsiTheme="minorEastAsia" w:hint="eastAsia"/>
          <w:szCs w:val="21"/>
        </w:rPr>
        <w:t>基金财产清算程序</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基金合同终止，应当按法律法规和本基金合同的有关规定对基金财产进行清算。基金财产清算程序主要包括：</w:t>
      </w:r>
    </w:p>
    <w:p w:rsidR="00BA4B87" w:rsidRPr="00D6191E" w:rsidRDefault="00BA4B87" w:rsidP="00D1431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Pr="00D6191E">
        <w:rPr>
          <w:rFonts w:asciiTheme="minorEastAsia" w:eastAsiaTheme="minorEastAsia" w:hAnsiTheme="minorEastAsia"/>
          <w:szCs w:val="21"/>
        </w:rPr>
        <w:t>基金合同终止后，发布基金</w:t>
      </w:r>
      <w:r w:rsidRPr="00D6191E">
        <w:rPr>
          <w:rFonts w:asciiTheme="minorEastAsia" w:eastAsiaTheme="minorEastAsia" w:hAnsiTheme="minorEastAsia" w:hint="eastAsia"/>
          <w:szCs w:val="21"/>
        </w:rPr>
        <w:t>财产</w:t>
      </w:r>
      <w:r w:rsidRPr="00D6191E">
        <w:rPr>
          <w:rFonts w:asciiTheme="minorEastAsia" w:eastAsiaTheme="minorEastAsia" w:hAnsiTheme="minorEastAsia"/>
          <w:szCs w:val="21"/>
        </w:rPr>
        <w:t>清算公告；</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(2)基金合同终止时，由基金财产清算组统一接管基金财产；</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(3)对基金财产进行清理和确认；</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(4)对基金财产进行估价和变现；</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w:t>
      </w:r>
      <w:r w:rsidRPr="00D6191E">
        <w:rPr>
          <w:rFonts w:asciiTheme="minorEastAsia" w:eastAsiaTheme="minorEastAsia" w:hAnsiTheme="minorEastAsia"/>
          <w:szCs w:val="21"/>
        </w:rPr>
        <w:t>聘请会计师事务所对清算报告进行审计；</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(6)</w:t>
      </w:r>
      <w:r w:rsidRPr="00D6191E">
        <w:rPr>
          <w:rFonts w:asciiTheme="minorEastAsia" w:eastAsiaTheme="minorEastAsia" w:hAnsiTheme="minorEastAsia"/>
          <w:szCs w:val="21"/>
        </w:rPr>
        <w:t>聘请律师事务所出具法律意见书；</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(7)将基金财产清算结果报告中国证监会；</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(8)</w:t>
      </w:r>
      <w:r w:rsidRPr="00D6191E">
        <w:rPr>
          <w:rFonts w:asciiTheme="minorEastAsia" w:eastAsiaTheme="minorEastAsia" w:hAnsiTheme="minorEastAsia"/>
          <w:szCs w:val="21"/>
        </w:rPr>
        <w:t>参加与基金</w:t>
      </w:r>
      <w:r w:rsidRPr="00D6191E">
        <w:rPr>
          <w:rFonts w:asciiTheme="minorEastAsia" w:eastAsiaTheme="minorEastAsia" w:hAnsiTheme="minorEastAsia" w:hint="eastAsia"/>
          <w:szCs w:val="21"/>
        </w:rPr>
        <w:t>财产</w:t>
      </w:r>
      <w:r w:rsidRPr="00D6191E">
        <w:rPr>
          <w:rFonts w:asciiTheme="minorEastAsia" w:eastAsiaTheme="minorEastAsia" w:hAnsiTheme="minorEastAsia"/>
          <w:szCs w:val="21"/>
        </w:rPr>
        <w:t>有关的民事诉讼</w:t>
      </w:r>
      <w:r w:rsidRPr="00D6191E">
        <w:rPr>
          <w:rFonts w:asciiTheme="minorEastAsia" w:eastAsiaTheme="minorEastAsia" w:hAnsiTheme="minorEastAsia" w:hint="eastAsia"/>
          <w:szCs w:val="21"/>
        </w:rPr>
        <w:t>；</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(9)公布基金财产清算结果；</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(10)对基金剩余财产进行分配。</w:t>
      </w:r>
    </w:p>
    <w:p w:rsidR="00BA4B87" w:rsidRPr="00D6191E" w:rsidRDefault="00234286"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00BA4B87" w:rsidRPr="00D6191E">
        <w:rPr>
          <w:rFonts w:asciiTheme="minorEastAsia" w:eastAsiaTheme="minorEastAsia" w:hAnsiTheme="minorEastAsia" w:hint="eastAsia"/>
          <w:szCs w:val="21"/>
        </w:rPr>
        <w:t>清算费用</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清算费用是指基金财产清算组在进行基金财产清算过程中发生的所有合理费用，清算费用由基金财产清算组优先从基金财产中支付。</w:t>
      </w:r>
    </w:p>
    <w:p w:rsidR="00BA4B87" w:rsidRPr="00D6191E" w:rsidRDefault="00234286"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w:t>
      </w:r>
      <w:r w:rsidR="00BA4B87" w:rsidRPr="00D6191E">
        <w:rPr>
          <w:rFonts w:asciiTheme="minorEastAsia" w:eastAsiaTheme="minorEastAsia" w:hAnsiTheme="minorEastAsia" w:hint="eastAsia"/>
          <w:szCs w:val="21"/>
        </w:rPr>
        <w:t>基金财产按下列顺序清偿：</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(1)支付清算费用；</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(2)交纳所欠税款；</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(3)清偿基金债务；</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(4)按基金份额持有人持有的基金份额比例进行分配。</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基金财产未按前款(1)－(</w:t>
      </w:r>
      <w:r w:rsidRPr="00D6191E">
        <w:rPr>
          <w:rFonts w:asciiTheme="minorEastAsia" w:eastAsiaTheme="minorEastAsia" w:hAnsiTheme="minorEastAsia"/>
          <w:szCs w:val="21"/>
        </w:rPr>
        <w:t>3</w:t>
      </w:r>
      <w:r w:rsidRPr="00D6191E">
        <w:rPr>
          <w:rFonts w:asciiTheme="minorEastAsia" w:eastAsiaTheme="minorEastAsia" w:hAnsiTheme="minorEastAsia" w:hint="eastAsia"/>
          <w:szCs w:val="21"/>
        </w:rPr>
        <w:t>)项规定清偿前，不分配给基金份额持有人。</w:t>
      </w:r>
    </w:p>
    <w:p w:rsidR="00BA4B87" w:rsidRPr="00D6191E" w:rsidRDefault="00234286" w:rsidP="00D1431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w:t>
      </w:r>
      <w:r w:rsidR="00BA4B87" w:rsidRPr="00D6191E">
        <w:rPr>
          <w:rFonts w:asciiTheme="minorEastAsia" w:eastAsiaTheme="minorEastAsia" w:hAnsiTheme="minorEastAsia" w:hint="eastAsia"/>
          <w:szCs w:val="21"/>
        </w:rPr>
        <w:t>基金财产清算的公告</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基金财产清算公告</w:t>
      </w:r>
      <w:r w:rsidRPr="00D6191E">
        <w:rPr>
          <w:rFonts w:asciiTheme="minorEastAsia" w:eastAsiaTheme="minorEastAsia" w:hAnsiTheme="minorEastAsia" w:hint="eastAsia"/>
          <w:szCs w:val="21"/>
        </w:rPr>
        <w:t>在报中国证监会备案后</w:t>
      </w:r>
      <w:r w:rsidRPr="00D6191E">
        <w:rPr>
          <w:rFonts w:asciiTheme="minorEastAsia" w:eastAsiaTheme="minorEastAsia" w:hAnsiTheme="minorEastAsia"/>
          <w:szCs w:val="21"/>
        </w:rPr>
        <w:t>5</w:t>
      </w:r>
      <w:r w:rsidRPr="00D6191E">
        <w:rPr>
          <w:rFonts w:asciiTheme="minorEastAsia" w:eastAsiaTheme="minorEastAsia" w:hAnsiTheme="minorEastAsia" w:hint="eastAsia"/>
          <w:szCs w:val="21"/>
        </w:rPr>
        <w:t>个工作日内由基金财产清算组公告；清算过程中的有关重大事项须及时公告；基金财产清算结果经会计师事务所审计，律师事务所出具法律意见书后，由基金财产清算组报中国证监会备案并公告。</w:t>
      </w:r>
    </w:p>
    <w:p w:rsidR="00BA4B87" w:rsidRPr="00D6191E" w:rsidRDefault="00234286" w:rsidP="00D1431F">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lastRenderedPageBreak/>
        <w:t>6、</w:t>
      </w:r>
      <w:r w:rsidR="00BA4B87" w:rsidRPr="00D6191E">
        <w:rPr>
          <w:rFonts w:asciiTheme="minorEastAsia" w:eastAsiaTheme="minorEastAsia" w:hAnsiTheme="minorEastAsia" w:hint="eastAsia"/>
          <w:szCs w:val="21"/>
        </w:rPr>
        <w:t>基金财产清算账册及文件的保存</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基金财产清算账册及有关文件由基金托管人保存</w:t>
      </w:r>
      <w:r w:rsidRPr="00D6191E">
        <w:rPr>
          <w:rFonts w:asciiTheme="minorEastAsia" w:eastAsiaTheme="minorEastAsia" w:hAnsiTheme="minorEastAsia"/>
          <w:szCs w:val="21"/>
        </w:rPr>
        <w:t>15</w:t>
      </w:r>
      <w:r w:rsidRPr="00D6191E">
        <w:rPr>
          <w:rFonts w:asciiTheme="minorEastAsia" w:eastAsiaTheme="minorEastAsia" w:hAnsiTheme="minorEastAsia" w:hint="eastAsia"/>
          <w:szCs w:val="21"/>
        </w:rPr>
        <w:t>年以上。</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p>
    <w:p w:rsidR="00BA4B87" w:rsidRPr="00D6191E" w:rsidRDefault="00BA4B87" w:rsidP="000449FE">
      <w:pPr>
        <w:snapToGrid w:val="0"/>
        <w:spacing w:line="360" w:lineRule="auto"/>
        <w:rPr>
          <w:rFonts w:asciiTheme="minorEastAsia" w:eastAsiaTheme="minorEastAsia" w:hAnsiTheme="minorEastAsia"/>
        </w:rPr>
      </w:pPr>
    </w:p>
    <w:p w:rsidR="00BA4B87" w:rsidRPr="00D6191E" w:rsidRDefault="00BA4B87" w:rsidP="000449FE">
      <w:pPr>
        <w:snapToGrid w:val="0"/>
        <w:spacing w:line="360" w:lineRule="auto"/>
        <w:rPr>
          <w:rFonts w:asciiTheme="minorEastAsia" w:eastAsiaTheme="minorEastAsia" w:hAnsiTheme="minorEastAsia"/>
        </w:rPr>
      </w:pPr>
    </w:p>
    <w:p w:rsidR="00BA4B87" w:rsidRPr="00D6191E" w:rsidRDefault="00BA4B87" w:rsidP="004D6C82">
      <w:pPr>
        <w:pStyle w:val="1"/>
        <w:snapToGrid w:val="0"/>
        <w:spacing w:beforeLines="0" w:afterLines="0" w:line="360" w:lineRule="auto"/>
        <w:ind w:firstLine="600"/>
        <w:rPr>
          <w:rFonts w:asciiTheme="minorEastAsia" w:eastAsiaTheme="minorEastAsia" w:hAnsiTheme="minorEastAsia"/>
          <w:kern w:val="44"/>
          <w:sz w:val="28"/>
          <w:szCs w:val="44"/>
        </w:rPr>
      </w:pPr>
      <w:r w:rsidRPr="00D6191E">
        <w:rPr>
          <w:rFonts w:asciiTheme="minorEastAsia" w:eastAsiaTheme="minorEastAsia" w:hAnsiTheme="minorEastAsia" w:hint="eastAsia"/>
          <w:sz w:val="30"/>
        </w:rPr>
        <w:br w:type="column"/>
      </w:r>
      <w:bookmarkStart w:id="117" w:name="_Toc86315934"/>
      <w:r w:rsidRPr="00D6191E">
        <w:rPr>
          <w:rFonts w:asciiTheme="minorEastAsia" w:eastAsiaTheme="minorEastAsia" w:hAnsiTheme="minorEastAsia" w:hint="eastAsia"/>
          <w:sz w:val="30"/>
        </w:rPr>
        <w:lastRenderedPageBreak/>
        <w:t>二十</w:t>
      </w:r>
      <w:r w:rsidR="007B3CFB">
        <w:rPr>
          <w:rFonts w:asciiTheme="minorEastAsia" w:eastAsiaTheme="minorEastAsia" w:hAnsiTheme="minorEastAsia" w:hint="eastAsia"/>
          <w:sz w:val="30"/>
        </w:rPr>
        <w:t>二</w:t>
      </w:r>
      <w:r w:rsidRPr="00D6191E">
        <w:rPr>
          <w:rFonts w:asciiTheme="minorEastAsia" w:eastAsiaTheme="minorEastAsia" w:hAnsiTheme="minorEastAsia" w:hint="eastAsia"/>
          <w:sz w:val="30"/>
        </w:rPr>
        <w:t>、基金合同的内容摘要</w:t>
      </w:r>
      <w:bookmarkEnd w:id="117"/>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18" w:name="_Toc86315935"/>
      <w:r w:rsidRPr="00D6191E">
        <w:rPr>
          <w:rFonts w:asciiTheme="minorEastAsia" w:eastAsiaTheme="minorEastAsia" w:hAnsiTheme="minorEastAsia" w:hint="eastAsia"/>
          <w:b w:val="0"/>
          <w:bCs/>
        </w:rPr>
        <w:t>(一)基金管理人的权利和义务</w:t>
      </w:r>
      <w:bookmarkEnd w:id="118"/>
    </w:p>
    <w:p w:rsidR="00BA4B87" w:rsidRPr="00D6191E" w:rsidRDefault="00234286" w:rsidP="00234286">
      <w:pPr>
        <w:pStyle w:val="a4"/>
        <w:tabs>
          <w:tab w:val="left" w:pos="735"/>
        </w:tabs>
        <w:snapToGrid w:val="0"/>
        <w:spacing w:line="360" w:lineRule="auto"/>
        <w:ind w:left="420" w:firstLine="0"/>
        <w:rPr>
          <w:rFonts w:asciiTheme="minorEastAsia" w:eastAsiaTheme="minorEastAsia" w:hAnsiTheme="minorEastAsia"/>
          <w:b/>
          <w:bCs/>
        </w:rPr>
      </w:pPr>
      <w:r w:rsidRPr="00D6191E">
        <w:rPr>
          <w:rFonts w:asciiTheme="minorEastAsia" w:eastAsiaTheme="minorEastAsia" w:hAnsiTheme="minorEastAsia" w:hint="eastAsia"/>
          <w:b/>
          <w:bCs/>
        </w:rPr>
        <w:t>1、</w:t>
      </w:r>
      <w:r w:rsidR="00BA4B87" w:rsidRPr="00D6191E">
        <w:rPr>
          <w:rFonts w:asciiTheme="minorEastAsia" w:eastAsiaTheme="minorEastAsia" w:hAnsiTheme="minorEastAsia" w:hint="eastAsia"/>
          <w:b/>
          <w:bCs/>
        </w:rPr>
        <w:t>基金管理人的权利</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根据《基金法》及其他有关法律法规，基金管理人的权利为：</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w:t>
      </w:r>
      <w:r w:rsidRPr="00D6191E">
        <w:rPr>
          <w:rFonts w:asciiTheme="minorEastAsia" w:eastAsiaTheme="minorEastAsia" w:hAnsiTheme="minorEastAsia" w:hint="eastAsia"/>
          <w:szCs w:val="21"/>
        </w:rPr>
        <w:t>自本基金合同生效之日起，依照有关法律法规和本基金合同的规定独立运用</w:t>
      </w:r>
      <w:r w:rsidRPr="00D6191E">
        <w:rPr>
          <w:rFonts w:asciiTheme="minorEastAsia" w:eastAsiaTheme="minorEastAsia" w:hAnsiTheme="minorEastAsia"/>
          <w:szCs w:val="21"/>
        </w:rPr>
        <w:t>基金</w:t>
      </w:r>
      <w:r w:rsidRPr="00D6191E">
        <w:rPr>
          <w:rFonts w:asciiTheme="minorEastAsia" w:eastAsiaTheme="minorEastAsia" w:hAnsiTheme="minorEastAsia" w:hint="eastAsia"/>
          <w:szCs w:val="21"/>
        </w:rPr>
        <w:t>财产</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w:t>
      </w:r>
      <w:r w:rsidRPr="00D6191E">
        <w:rPr>
          <w:rFonts w:asciiTheme="minorEastAsia" w:eastAsiaTheme="minorEastAsia" w:hAnsiTheme="minorEastAsia" w:hint="eastAsia"/>
          <w:szCs w:val="21"/>
        </w:rPr>
        <w:t>依照基金合同获得基金管理费以及法律法规规定或监管部门批准的其他收入</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(3)</w:t>
      </w:r>
      <w:r w:rsidRPr="00D6191E">
        <w:rPr>
          <w:rFonts w:asciiTheme="minorEastAsia" w:eastAsiaTheme="minorEastAsia" w:hAnsiTheme="minorEastAsia" w:hint="eastAsia"/>
          <w:szCs w:val="21"/>
        </w:rPr>
        <w:t>发售基金份额</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(4)</w:t>
      </w:r>
      <w:r w:rsidRPr="00D6191E">
        <w:rPr>
          <w:rFonts w:asciiTheme="minorEastAsia" w:eastAsiaTheme="minorEastAsia" w:hAnsiTheme="minorEastAsia" w:hint="eastAsia"/>
          <w:szCs w:val="21"/>
        </w:rPr>
        <w:t>依照有关规定行使因基金财产投资于证券所产生的权利</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(5)</w:t>
      </w:r>
      <w:r w:rsidRPr="00D6191E">
        <w:rPr>
          <w:rFonts w:asciiTheme="minorEastAsia" w:eastAsiaTheme="minorEastAsia" w:hAnsiTheme="minorEastAsia" w:hint="eastAsia"/>
          <w:szCs w:val="21"/>
        </w:rPr>
        <w:t>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(6)</w:t>
      </w:r>
      <w:r w:rsidRPr="00D6191E">
        <w:rPr>
          <w:rFonts w:asciiTheme="minorEastAsia" w:eastAsiaTheme="minorEastAsia" w:hAnsiTheme="minorEastAsia" w:hint="eastAsia"/>
          <w:szCs w:val="21"/>
        </w:rPr>
        <w:t>根据本基金合同及有关规定监督基金托管人</w:t>
      </w:r>
      <w:r w:rsidRPr="00D6191E">
        <w:rPr>
          <w:rFonts w:asciiTheme="minorEastAsia" w:eastAsiaTheme="minorEastAsia" w:hAnsiTheme="minorEastAsia"/>
          <w:szCs w:val="21"/>
        </w:rPr>
        <w:t>，</w:t>
      </w:r>
      <w:r w:rsidRPr="00D6191E">
        <w:rPr>
          <w:rFonts w:asciiTheme="minorEastAsia" w:eastAsiaTheme="minorEastAsia" w:hAnsiTheme="minorEastAsia" w:hint="eastAsia"/>
          <w:szCs w:val="21"/>
        </w:rPr>
        <w:t>对于基金托管人违反了本基金合同或有关法律法规规定的行为，对基金财产、其他当事人的利益造成重大损失的情形</w:t>
      </w:r>
      <w:r w:rsidRPr="00D6191E">
        <w:rPr>
          <w:rFonts w:asciiTheme="minorEastAsia" w:eastAsiaTheme="minorEastAsia" w:hAnsiTheme="minorEastAsia"/>
          <w:szCs w:val="21"/>
        </w:rPr>
        <w:t>，</w:t>
      </w:r>
      <w:r w:rsidRPr="00D6191E">
        <w:rPr>
          <w:rFonts w:asciiTheme="minorEastAsia" w:eastAsiaTheme="minorEastAsia" w:hAnsiTheme="minorEastAsia" w:hint="eastAsia"/>
          <w:szCs w:val="21"/>
        </w:rPr>
        <w:t>应及时呈报中国证监会</w:t>
      </w:r>
      <w:r w:rsidRPr="00D6191E">
        <w:rPr>
          <w:rFonts w:asciiTheme="minorEastAsia" w:eastAsiaTheme="minorEastAsia" w:hAnsiTheme="minorEastAsia"/>
          <w:szCs w:val="21"/>
        </w:rPr>
        <w:t>，</w:t>
      </w:r>
      <w:r w:rsidRPr="00D6191E">
        <w:rPr>
          <w:rFonts w:asciiTheme="minorEastAsia" w:eastAsiaTheme="minorEastAsia" w:hAnsiTheme="minorEastAsia" w:hint="eastAsia"/>
          <w:szCs w:val="21"/>
        </w:rPr>
        <w:t>并采取必要措施保护基金及相关当事人的利益</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(7)</w:t>
      </w:r>
      <w:r w:rsidRPr="00D6191E">
        <w:rPr>
          <w:rFonts w:asciiTheme="minorEastAsia" w:eastAsiaTheme="minorEastAsia" w:hAnsiTheme="minorEastAsia" w:hint="eastAsia"/>
          <w:szCs w:val="21"/>
        </w:rPr>
        <w:t>在基金合同约定的范围内，拒绝或暂停受理申购和赎回申请</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(8)</w:t>
      </w:r>
      <w:r w:rsidRPr="00D6191E">
        <w:rPr>
          <w:rFonts w:asciiTheme="minorEastAsia" w:eastAsiaTheme="minorEastAsia" w:hAnsiTheme="minorEastAsia" w:hint="eastAsia"/>
          <w:szCs w:val="21"/>
        </w:rPr>
        <w:t>在法律法规允许的前提下，为基金的利益依法为基金进行融资、融券</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(9)</w:t>
      </w:r>
      <w:r w:rsidRPr="00D6191E">
        <w:rPr>
          <w:rFonts w:asciiTheme="minorEastAsia" w:eastAsiaTheme="minorEastAsia" w:hAnsiTheme="minorEastAsia" w:hint="eastAsia"/>
          <w:szCs w:val="21"/>
        </w:rPr>
        <w:t>自行担任或选择、更换注册登记机构，获取基金份额持有人名册，并对注册登记机构的代理行为进行必要的监督和检查</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(10)</w:t>
      </w:r>
      <w:r w:rsidRPr="00D6191E">
        <w:rPr>
          <w:rFonts w:asciiTheme="minorEastAsia" w:eastAsiaTheme="minorEastAsia" w:hAnsiTheme="minorEastAsia" w:hint="eastAsia"/>
          <w:szCs w:val="21"/>
        </w:rPr>
        <w:t>选择、更换</w:t>
      </w:r>
      <w:r w:rsidR="00886117" w:rsidRPr="00D6191E">
        <w:rPr>
          <w:rFonts w:asciiTheme="minorEastAsia" w:eastAsiaTheme="minorEastAsia" w:hAnsiTheme="minorEastAsia" w:hint="eastAsia"/>
          <w:szCs w:val="21"/>
        </w:rPr>
        <w:t>代销</w:t>
      </w:r>
      <w:r w:rsidRPr="00D6191E">
        <w:rPr>
          <w:rFonts w:asciiTheme="minorEastAsia" w:eastAsiaTheme="minorEastAsia" w:hAnsiTheme="minorEastAsia" w:hint="eastAsia"/>
          <w:szCs w:val="21"/>
        </w:rPr>
        <w:t>机构，并依据基金销售服务代理协议和有关法律法规，对其行为进行必要的监督和检查</w:t>
      </w:r>
      <w:r w:rsidRPr="00D6191E">
        <w:rPr>
          <w:rFonts w:asciiTheme="minorEastAsia" w:eastAsiaTheme="minorEastAsia" w:hAnsiTheme="minorEastAsia" w:hint="eastAsia"/>
          <w:kern w:val="0"/>
          <w:szCs w:val="21"/>
        </w:rPr>
        <w:t>；</w:t>
      </w:r>
      <w:r w:rsidRPr="00D6191E">
        <w:rPr>
          <w:rFonts w:asciiTheme="minorEastAsia" w:eastAsiaTheme="minorEastAsia" w:hAnsiTheme="minorEastAsia" w:hint="eastAsia"/>
          <w:kern w:val="0"/>
          <w:szCs w:val="21"/>
        </w:rPr>
        <w:tab/>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(11)</w:t>
      </w:r>
      <w:r w:rsidRPr="00D6191E">
        <w:rPr>
          <w:rFonts w:asciiTheme="minorEastAsia" w:eastAsiaTheme="minorEastAsia" w:hAnsiTheme="minorEastAsia" w:hint="eastAsia"/>
          <w:szCs w:val="21"/>
        </w:rPr>
        <w:t>选择、更换律师事务所、会计师事务所、证券经纪商或其他为基金提供服务的外部机构</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(12)</w:t>
      </w:r>
      <w:r w:rsidRPr="00D6191E">
        <w:rPr>
          <w:rFonts w:asciiTheme="minorEastAsia" w:eastAsiaTheme="minorEastAsia" w:hAnsiTheme="minorEastAsia" w:hint="eastAsia"/>
          <w:szCs w:val="21"/>
        </w:rPr>
        <w:t>在基金托管人更换时，</w:t>
      </w:r>
      <w:r w:rsidRPr="00D6191E">
        <w:rPr>
          <w:rFonts w:asciiTheme="minorEastAsia" w:eastAsiaTheme="minorEastAsia" w:hAnsiTheme="minorEastAsia"/>
          <w:szCs w:val="21"/>
        </w:rPr>
        <w:t>提名新的基金托管人</w:t>
      </w:r>
      <w:r w:rsidRPr="00D6191E">
        <w:rPr>
          <w:rFonts w:asciiTheme="minorEastAsia" w:eastAsiaTheme="minorEastAsia" w:hAnsiTheme="minorEastAsia" w:hint="eastAsia"/>
          <w:kern w:val="0"/>
          <w:szCs w:val="21"/>
        </w:rPr>
        <w:t>；</w:t>
      </w:r>
      <w:r w:rsidRPr="00D6191E">
        <w:rPr>
          <w:rFonts w:asciiTheme="minorEastAsia" w:eastAsiaTheme="minorEastAsia" w:hAnsiTheme="minorEastAsia" w:hint="eastAsia"/>
          <w:kern w:val="0"/>
          <w:szCs w:val="21"/>
        </w:rPr>
        <w:tab/>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(13)</w:t>
      </w:r>
      <w:r w:rsidRPr="00D6191E">
        <w:rPr>
          <w:rFonts w:asciiTheme="minorEastAsia" w:eastAsiaTheme="minorEastAsia" w:hAnsiTheme="minorEastAsia" w:hint="eastAsia"/>
          <w:szCs w:val="21"/>
        </w:rPr>
        <w:t>依法召集基金份额持有人大会</w:t>
      </w:r>
      <w:r w:rsidRPr="00D6191E">
        <w:rPr>
          <w:rFonts w:asciiTheme="minorEastAsia" w:eastAsiaTheme="minorEastAsia" w:hAnsiTheme="minorEastAsia" w:hint="eastAsia"/>
          <w:kern w:val="0"/>
          <w:szCs w:val="21"/>
        </w:rPr>
        <w:t>；</w:t>
      </w:r>
      <w:r w:rsidRPr="00D6191E">
        <w:rPr>
          <w:rFonts w:asciiTheme="minorEastAsia" w:eastAsiaTheme="minorEastAsia" w:hAnsiTheme="minorEastAsia" w:hint="eastAsia"/>
          <w:kern w:val="0"/>
          <w:szCs w:val="21"/>
        </w:rPr>
        <w:tab/>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(14)</w:t>
      </w:r>
      <w:r w:rsidRPr="00D6191E">
        <w:rPr>
          <w:rFonts w:asciiTheme="minorEastAsia" w:eastAsiaTheme="minorEastAsia" w:hAnsiTheme="minorEastAsia"/>
          <w:szCs w:val="21"/>
        </w:rPr>
        <w:t>法律法规</w:t>
      </w:r>
      <w:r w:rsidRPr="00D6191E">
        <w:rPr>
          <w:rFonts w:asciiTheme="minorEastAsia" w:eastAsiaTheme="minorEastAsia" w:hAnsiTheme="minorEastAsia" w:hint="eastAsia"/>
          <w:szCs w:val="21"/>
        </w:rPr>
        <w:t>和基金合同</w:t>
      </w:r>
      <w:r w:rsidRPr="00D6191E">
        <w:rPr>
          <w:rFonts w:asciiTheme="minorEastAsia" w:eastAsiaTheme="minorEastAsia" w:hAnsiTheme="minorEastAsia"/>
          <w:szCs w:val="21"/>
        </w:rPr>
        <w:t>规定的其他权利</w:t>
      </w:r>
      <w:r w:rsidRPr="00D6191E">
        <w:rPr>
          <w:rFonts w:asciiTheme="minorEastAsia" w:eastAsiaTheme="minorEastAsia" w:hAnsiTheme="minorEastAsia" w:hint="eastAsia"/>
          <w:kern w:val="0"/>
          <w:szCs w:val="21"/>
        </w:rPr>
        <w:t>。</w:t>
      </w:r>
    </w:p>
    <w:p w:rsidR="00BA4B87" w:rsidRPr="00D6191E" w:rsidRDefault="00234286" w:rsidP="00234286">
      <w:pPr>
        <w:pStyle w:val="a4"/>
        <w:tabs>
          <w:tab w:val="left" w:pos="735"/>
        </w:tabs>
        <w:snapToGrid w:val="0"/>
        <w:spacing w:line="360" w:lineRule="auto"/>
        <w:ind w:left="420" w:firstLine="0"/>
        <w:rPr>
          <w:rFonts w:asciiTheme="minorEastAsia" w:eastAsiaTheme="minorEastAsia" w:hAnsiTheme="minorEastAsia"/>
          <w:b/>
          <w:bCs/>
        </w:rPr>
      </w:pPr>
      <w:r w:rsidRPr="00D6191E">
        <w:rPr>
          <w:rFonts w:asciiTheme="minorEastAsia" w:eastAsiaTheme="minorEastAsia" w:hAnsiTheme="minorEastAsia" w:hint="eastAsia"/>
          <w:b/>
          <w:bCs/>
        </w:rPr>
        <w:t>2、</w:t>
      </w:r>
      <w:r w:rsidR="00BA4B87" w:rsidRPr="00D6191E">
        <w:rPr>
          <w:rFonts w:asciiTheme="minorEastAsia" w:eastAsiaTheme="minorEastAsia" w:hAnsiTheme="minorEastAsia" w:hint="eastAsia"/>
          <w:b/>
          <w:bCs/>
        </w:rPr>
        <w:t>基金管理人的义务</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根据《基金法》及其他有关法律法规，基金管理人的义务为：</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w:t>
      </w:r>
      <w:r w:rsidRPr="00D6191E">
        <w:rPr>
          <w:rFonts w:asciiTheme="minorEastAsia" w:eastAsiaTheme="minorEastAsia" w:hAnsiTheme="minorEastAsia" w:hint="eastAsia"/>
          <w:szCs w:val="21"/>
        </w:rPr>
        <w:t>依法募集基金，办理或者委托经中国证监会认定的其他机构代为办理基金份额的发售、申购、赎回和登记事宜</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(2)办理基金备案手续；</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(3)</w:t>
      </w:r>
      <w:r w:rsidRPr="00D6191E">
        <w:rPr>
          <w:rFonts w:asciiTheme="minorEastAsia" w:eastAsiaTheme="minorEastAsia" w:hAnsiTheme="minorEastAsia"/>
          <w:szCs w:val="21"/>
        </w:rPr>
        <w:t>自基金合同生效之日起，以诚实信用、勤勉尽责的原则管理和运用基金财产</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(4)</w:t>
      </w:r>
      <w:r w:rsidRPr="00D6191E">
        <w:rPr>
          <w:rFonts w:asciiTheme="minorEastAsia" w:eastAsiaTheme="minorEastAsia" w:hAnsiTheme="minorEastAsia"/>
          <w:szCs w:val="21"/>
        </w:rPr>
        <w:t>配备足够的具有专业资格的人员进行基金投资分析、决策，以专业化的经营方式管</w:t>
      </w:r>
      <w:r w:rsidRPr="00D6191E">
        <w:rPr>
          <w:rFonts w:asciiTheme="minorEastAsia" w:eastAsiaTheme="minorEastAsia" w:hAnsiTheme="minorEastAsia"/>
          <w:szCs w:val="21"/>
        </w:rPr>
        <w:lastRenderedPageBreak/>
        <w:t>理和运作基金财产</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(5)</w:t>
      </w:r>
      <w:r w:rsidRPr="00D6191E">
        <w:rPr>
          <w:rFonts w:asciiTheme="minorEastAsia" w:eastAsiaTheme="minorEastAsia" w:hAnsiTheme="minorEastAsia"/>
          <w:szCs w:val="21"/>
        </w:rPr>
        <w:t>建立健全内部风险控制、监察与稽核、财务管理及人事管理等制度，保证所管理的基金财产和管理人的财产相互独立，对所管理的不同基金分别管理，分别记账，进行证券投资</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(6)</w:t>
      </w:r>
      <w:r w:rsidRPr="00D6191E">
        <w:rPr>
          <w:rFonts w:asciiTheme="minorEastAsia" w:eastAsiaTheme="minorEastAsia" w:hAnsiTheme="minorEastAsia"/>
          <w:szCs w:val="21"/>
        </w:rPr>
        <w:t>除依据《基金法》、基金合同及其他有关规定外，不得为自己及任何第三人谋取利益，不得委托第三人运作基金财产</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(7)依法接受基金托管人的监督；</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(8)</w:t>
      </w:r>
      <w:r w:rsidRPr="00D6191E">
        <w:rPr>
          <w:rFonts w:asciiTheme="minorEastAsia" w:eastAsiaTheme="minorEastAsia" w:hAnsiTheme="minorEastAsia" w:hint="eastAsia"/>
          <w:szCs w:val="21"/>
        </w:rPr>
        <w:t>计算并公告基金净值</w:t>
      </w:r>
      <w:r w:rsidR="00BB0C72" w:rsidRPr="00D6191E">
        <w:rPr>
          <w:rFonts w:asciiTheme="minorEastAsia" w:eastAsiaTheme="minorEastAsia" w:hAnsiTheme="minorEastAsia" w:hint="eastAsia"/>
          <w:szCs w:val="21"/>
        </w:rPr>
        <w:t>信息</w:t>
      </w:r>
      <w:r w:rsidRPr="00D6191E">
        <w:rPr>
          <w:rFonts w:asciiTheme="minorEastAsia" w:eastAsiaTheme="minorEastAsia" w:hAnsiTheme="minorEastAsia" w:hint="eastAsia"/>
          <w:szCs w:val="21"/>
        </w:rPr>
        <w:t>，确定基金份额申购、赎回价格</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(9)</w:t>
      </w:r>
      <w:r w:rsidRPr="00D6191E">
        <w:rPr>
          <w:rFonts w:asciiTheme="minorEastAsia" w:eastAsiaTheme="minorEastAsia" w:hAnsiTheme="minorEastAsia"/>
          <w:szCs w:val="21"/>
        </w:rPr>
        <w:t>采取适当合理的措施使计算基金份额认购、申购、赎回和注销</w:t>
      </w:r>
      <w:r w:rsidRPr="00D6191E">
        <w:rPr>
          <w:rFonts w:asciiTheme="minorEastAsia" w:eastAsiaTheme="minorEastAsia" w:hAnsiTheme="minorEastAsia" w:hint="eastAsia"/>
          <w:szCs w:val="21"/>
        </w:rPr>
        <w:t>价格</w:t>
      </w:r>
      <w:r w:rsidRPr="00D6191E">
        <w:rPr>
          <w:rFonts w:asciiTheme="minorEastAsia" w:eastAsiaTheme="minorEastAsia" w:hAnsiTheme="minorEastAsia"/>
          <w:szCs w:val="21"/>
        </w:rPr>
        <w:t>的方法符合基金合同等法律文件的规定</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(10)</w:t>
      </w:r>
      <w:r w:rsidRPr="00D6191E">
        <w:rPr>
          <w:rFonts w:asciiTheme="minorEastAsia" w:eastAsiaTheme="minorEastAsia" w:hAnsiTheme="minorEastAsia"/>
          <w:szCs w:val="21"/>
        </w:rPr>
        <w:t>按规定受理申购和赎回申请，及时、足额支付</w:t>
      </w:r>
      <w:r w:rsidRPr="00D6191E">
        <w:rPr>
          <w:rFonts w:asciiTheme="minorEastAsia" w:eastAsiaTheme="minorEastAsia" w:hAnsiTheme="minorEastAsia" w:hint="eastAsia"/>
          <w:szCs w:val="21"/>
        </w:rPr>
        <w:t>赎回款项</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(11)</w:t>
      </w:r>
      <w:r w:rsidRPr="00D6191E">
        <w:rPr>
          <w:rFonts w:asciiTheme="minorEastAsia" w:eastAsiaTheme="minorEastAsia" w:hAnsiTheme="minorEastAsia" w:hint="eastAsia"/>
          <w:szCs w:val="21"/>
        </w:rPr>
        <w:t>进行基金会计核算并编制基金财务会计报告</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(12)</w:t>
      </w:r>
      <w:r w:rsidRPr="00D6191E">
        <w:rPr>
          <w:rFonts w:asciiTheme="minorEastAsia" w:eastAsiaTheme="minorEastAsia" w:hAnsiTheme="minorEastAsia" w:hint="eastAsia"/>
          <w:szCs w:val="21"/>
        </w:rPr>
        <w:t>编制中期</w:t>
      </w:r>
      <w:r w:rsidR="00BB0C72" w:rsidRPr="00D6191E">
        <w:rPr>
          <w:rFonts w:asciiTheme="minorEastAsia" w:eastAsiaTheme="minorEastAsia" w:hAnsiTheme="minorEastAsia" w:hint="eastAsia"/>
          <w:szCs w:val="21"/>
        </w:rPr>
        <w:t>报告</w:t>
      </w:r>
      <w:r w:rsidRPr="00D6191E">
        <w:rPr>
          <w:rFonts w:asciiTheme="minorEastAsia" w:eastAsiaTheme="minorEastAsia" w:hAnsiTheme="minorEastAsia" w:hint="eastAsia"/>
          <w:szCs w:val="21"/>
        </w:rPr>
        <w:t>和年度报告</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(13)</w:t>
      </w:r>
      <w:r w:rsidRPr="00D6191E">
        <w:rPr>
          <w:rFonts w:asciiTheme="minorEastAsia" w:eastAsiaTheme="minorEastAsia" w:hAnsiTheme="minorEastAsia"/>
          <w:szCs w:val="21"/>
        </w:rPr>
        <w:t>严格按照《基金法》、基金合同及其他有关规定，履行信息披露及报告义务</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(14)</w:t>
      </w:r>
      <w:r w:rsidRPr="00D6191E">
        <w:rPr>
          <w:rFonts w:asciiTheme="minorEastAsia" w:eastAsiaTheme="minorEastAsia" w:hAnsiTheme="minorEastAsia"/>
          <w:szCs w:val="21"/>
        </w:rPr>
        <w:t>保守基金商业秘密，不得泄露基金投资计划、投资意向等</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除《基金法》、基金合同及其他有关规定另有规定外，在基金信息公开披露前应予保密，不得向他人泄露</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(15)</w:t>
      </w:r>
      <w:r w:rsidRPr="00D6191E">
        <w:rPr>
          <w:rFonts w:asciiTheme="minorEastAsia" w:eastAsiaTheme="minorEastAsia" w:hAnsiTheme="minorEastAsia" w:hint="eastAsia"/>
          <w:szCs w:val="21"/>
        </w:rPr>
        <w:t>按照基金合同的约定确定基金收益分配方案，及时向基金份额持有人分配收益</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(16)</w:t>
      </w:r>
      <w:r w:rsidRPr="00D6191E">
        <w:rPr>
          <w:rFonts w:asciiTheme="minorEastAsia" w:eastAsiaTheme="minorEastAsia" w:hAnsiTheme="minorEastAsia"/>
          <w:szCs w:val="21"/>
        </w:rPr>
        <w:t>依据《基金法》、基金合同及其他有关规定召集基金份额持有人大会或配合基金托管人、基金份额持有人依法召集基金份额持有人大会</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(17)</w:t>
      </w:r>
      <w:r w:rsidRPr="00D6191E">
        <w:rPr>
          <w:rFonts w:asciiTheme="minorEastAsia" w:eastAsiaTheme="minorEastAsia" w:hAnsiTheme="minorEastAsia" w:hint="eastAsia"/>
          <w:szCs w:val="21"/>
        </w:rPr>
        <w:t>保存基金财产管理业务活动的记录、账册、报表和其他相关资料</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(18)</w:t>
      </w:r>
      <w:r w:rsidRPr="00D6191E">
        <w:rPr>
          <w:rFonts w:asciiTheme="minorEastAsia" w:eastAsiaTheme="minorEastAsia" w:hAnsiTheme="minorEastAsia" w:hint="eastAsia"/>
          <w:szCs w:val="21"/>
        </w:rPr>
        <w:t>以基金管理人名义，代表基金份额持有人利益行使诉讼权利或者实施其他法律行为</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(19)</w:t>
      </w:r>
      <w:r w:rsidRPr="00D6191E">
        <w:rPr>
          <w:rFonts w:asciiTheme="minorEastAsia" w:eastAsiaTheme="minorEastAsia" w:hAnsiTheme="minorEastAsia"/>
          <w:szCs w:val="21"/>
        </w:rPr>
        <w:t>组织并参加基金财产清算小组，参与基金财产的保管、清理、估价、变现和分配</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(20)</w:t>
      </w:r>
      <w:r w:rsidRPr="00D6191E">
        <w:rPr>
          <w:rFonts w:asciiTheme="minorEastAsia" w:eastAsiaTheme="minorEastAsia" w:hAnsiTheme="minorEastAsia"/>
          <w:szCs w:val="21"/>
        </w:rPr>
        <w:t>因违反基金合同导致基金财产的损失或损害基金份额持有人合法权益，应当承担赔偿责任，其赔偿责任不因其退任而免除</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(21)</w:t>
      </w:r>
      <w:r w:rsidRPr="00D6191E">
        <w:rPr>
          <w:rFonts w:asciiTheme="minorEastAsia" w:eastAsiaTheme="minorEastAsia" w:hAnsiTheme="minorEastAsia"/>
          <w:szCs w:val="21"/>
        </w:rPr>
        <w:t>基金托管人违反基金合同造成基金财产损失时，应为基金份额持有人利益向基金托管人追偿</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(22)</w:t>
      </w:r>
      <w:r w:rsidRPr="00D6191E">
        <w:rPr>
          <w:rFonts w:asciiTheme="minorEastAsia" w:eastAsiaTheme="minorEastAsia" w:hAnsiTheme="minorEastAsia" w:hint="eastAsia"/>
          <w:szCs w:val="21"/>
        </w:rPr>
        <w:t>按规定向基金托管人提供基金份额持有人名册资料</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(23)</w:t>
      </w:r>
      <w:r w:rsidRPr="00D6191E">
        <w:rPr>
          <w:rFonts w:asciiTheme="minorEastAsia" w:eastAsiaTheme="minorEastAsia" w:hAnsiTheme="minorEastAsia" w:hint="eastAsia"/>
          <w:szCs w:val="21"/>
        </w:rPr>
        <w:t>面临解散、依法被撤销或者被依法宣告破产时，及时报告中国证监会并通知基金托管人</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(24)</w:t>
      </w:r>
      <w:r w:rsidRPr="00D6191E">
        <w:rPr>
          <w:rFonts w:asciiTheme="minorEastAsia" w:eastAsiaTheme="minorEastAsia" w:hAnsiTheme="minorEastAsia" w:hint="eastAsia"/>
          <w:szCs w:val="21"/>
        </w:rPr>
        <w:t>执行生效的基金份额持有人大会决议</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(25)</w:t>
      </w:r>
      <w:r w:rsidRPr="00D6191E">
        <w:rPr>
          <w:rFonts w:asciiTheme="minorEastAsia" w:eastAsiaTheme="minorEastAsia" w:hAnsiTheme="minorEastAsia" w:hint="eastAsia"/>
          <w:szCs w:val="21"/>
        </w:rPr>
        <w:t>不从事任何有损基金及其他基金当事人利益的活动</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(26)</w:t>
      </w:r>
      <w:r w:rsidRPr="00D6191E">
        <w:rPr>
          <w:rFonts w:asciiTheme="minorEastAsia" w:eastAsiaTheme="minorEastAsia" w:hAnsiTheme="minorEastAsia" w:hint="eastAsia"/>
          <w:szCs w:val="21"/>
        </w:rPr>
        <w:t>依照法律法规为基金的利益对被投资公司行使股东权利，为基金的利益行使因基金财产投资于证券所产生的权利，不谋求对上市公司的控股和直接管理</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(27)</w:t>
      </w:r>
      <w:r w:rsidRPr="00D6191E">
        <w:rPr>
          <w:rFonts w:asciiTheme="minorEastAsia" w:eastAsiaTheme="minorEastAsia" w:hAnsiTheme="minorEastAsia" w:hint="eastAsia"/>
          <w:szCs w:val="21"/>
        </w:rPr>
        <w:t>法律法规、中国证监会和基金合同规定的其他义务</w:t>
      </w:r>
      <w:r w:rsidRPr="00D6191E">
        <w:rPr>
          <w:rFonts w:asciiTheme="minorEastAsia" w:eastAsiaTheme="minorEastAsia" w:hAnsiTheme="minorEastAsia" w:hint="eastAsia"/>
          <w:kern w:val="0"/>
          <w:szCs w:val="21"/>
        </w:rPr>
        <w:t>。</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19" w:name="_Toc86315936"/>
      <w:r w:rsidRPr="00D6191E">
        <w:rPr>
          <w:rFonts w:asciiTheme="minorEastAsia" w:eastAsiaTheme="minorEastAsia" w:hAnsiTheme="minorEastAsia" w:hint="eastAsia"/>
          <w:b w:val="0"/>
          <w:bCs/>
        </w:rPr>
        <w:lastRenderedPageBreak/>
        <w:t>(二)基金托管人的权利和义务</w:t>
      </w:r>
      <w:bookmarkEnd w:id="119"/>
    </w:p>
    <w:p w:rsidR="00BA4B87" w:rsidRPr="00D6191E" w:rsidRDefault="00BA4B87" w:rsidP="000449FE">
      <w:pPr>
        <w:pStyle w:val="a4"/>
        <w:tabs>
          <w:tab w:val="left" w:pos="735"/>
        </w:tabs>
        <w:snapToGrid w:val="0"/>
        <w:spacing w:line="360" w:lineRule="auto"/>
        <w:ind w:firstLineChars="200" w:firstLine="422"/>
        <w:rPr>
          <w:rFonts w:asciiTheme="minorEastAsia" w:eastAsiaTheme="minorEastAsia" w:hAnsiTheme="minorEastAsia"/>
          <w:b/>
          <w:bCs/>
        </w:rPr>
      </w:pPr>
      <w:r w:rsidRPr="00D6191E">
        <w:rPr>
          <w:rFonts w:asciiTheme="minorEastAsia" w:eastAsiaTheme="minorEastAsia" w:hAnsiTheme="minorEastAsia" w:hint="eastAsia"/>
          <w:b/>
          <w:bCs/>
        </w:rPr>
        <w:t>1</w:t>
      </w:r>
      <w:r w:rsidR="00234286" w:rsidRPr="00D6191E">
        <w:rPr>
          <w:rFonts w:asciiTheme="minorEastAsia" w:eastAsiaTheme="minorEastAsia" w:hAnsiTheme="minorEastAsia" w:hint="eastAsia"/>
          <w:b/>
          <w:bCs/>
        </w:rPr>
        <w:t>、</w:t>
      </w:r>
      <w:r w:rsidRPr="00D6191E">
        <w:rPr>
          <w:rFonts w:asciiTheme="minorEastAsia" w:eastAsiaTheme="minorEastAsia" w:hAnsiTheme="minorEastAsia" w:hint="eastAsia"/>
          <w:b/>
          <w:bCs/>
        </w:rPr>
        <w:t>基金托管人的权利</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根据《基金法》及其他有关法律法规，基金托管人的权利为：</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w:t>
      </w:r>
      <w:r w:rsidRPr="00D6191E">
        <w:rPr>
          <w:rFonts w:asciiTheme="minorEastAsia" w:eastAsiaTheme="minorEastAsia" w:hAnsiTheme="minorEastAsia" w:hint="eastAsia"/>
          <w:szCs w:val="21"/>
        </w:rPr>
        <w:t>依基金合同约定</w:t>
      </w:r>
      <w:r w:rsidRPr="00D6191E">
        <w:rPr>
          <w:rFonts w:asciiTheme="minorEastAsia" w:eastAsiaTheme="minorEastAsia" w:hAnsiTheme="minorEastAsia"/>
          <w:szCs w:val="21"/>
        </w:rPr>
        <w:t>获得基金托管费</w:t>
      </w:r>
      <w:r w:rsidRPr="00D6191E">
        <w:rPr>
          <w:rFonts w:asciiTheme="minorEastAsia" w:eastAsiaTheme="minorEastAsia" w:hAnsiTheme="minorEastAsia" w:hint="eastAsia"/>
          <w:szCs w:val="21"/>
        </w:rPr>
        <w:t>以及法律法规规定或监管部门批准的其他收入</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w:t>
      </w:r>
      <w:r w:rsidRPr="00D6191E">
        <w:rPr>
          <w:rFonts w:asciiTheme="minorEastAsia" w:eastAsiaTheme="minorEastAsia" w:hAnsiTheme="minorEastAsia"/>
          <w:szCs w:val="21"/>
        </w:rPr>
        <w:t>监督基金管理人对本基金的投资运作</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(3)</w:t>
      </w:r>
      <w:r w:rsidRPr="00D6191E">
        <w:rPr>
          <w:rFonts w:asciiTheme="minorEastAsia" w:eastAsiaTheme="minorEastAsia" w:hAnsiTheme="minorEastAsia" w:hint="eastAsia"/>
          <w:szCs w:val="21"/>
        </w:rPr>
        <w:t>自本基金合同生效之日起，</w:t>
      </w:r>
      <w:r w:rsidRPr="00D6191E">
        <w:rPr>
          <w:rFonts w:asciiTheme="minorEastAsia" w:eastAsiaTheme="minorEastAsia" w:hAnsiTheme="minorEastAsia"/>
          <w:szCs w:val="21"/>
        </w:rPr>
        <w:t>依法保管基金资产</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(4)</w:t>
      </w:r>
      <w:r w:rsidRPr="00D6191E">
        <w:rPr>
          <w:rFonts w:asciiTheme="minorEastAsia" w:eastAsiaTheme="minorEastAsia" w:hAnsiTheme="minorEastAsia"/>
          <w:szCs w:val="21"/>
        </w:rPr>
        <w:t>在基金管理人更换时，提名</w:t>
      </w:r>
      <w:r w:rsidRPr="00D6191E">
        <w:rPr>
          <w:rFonts w:asciiTheme="minorEastAsia" w:eastAsiaTheme="minorEastAsia" w:hAnsiTheme="minorEastAsia" w:hint="eastAsia"/>
          <w:szCs w:val="21"/>
        </w:rPr>
        <w:t>新任</w:t>
      </w:r>
      <w:r w:rsidRPr="00D6191E">
        <w:rPr>
          <w:rFonts w:asciiTheme="minorEastAsia" w:eastAsiaTheme="minorEastAsia" w:hAnsiTheme="minorEastAsia"/>
          <w:szCs w:val="21"/>
        </w:rPr>
        <w:t>基金管理人</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(5)</w:t>
      </w:r>
      <w:r w:rsidRPr="00D6191E">
        <w:rPr>
          <w:rFonts w:asciiTheme="minorEastAsia" w:eastAsiaTheme="minorEastAsia" w:hAnsiTheme="minorEastAsia" w:hint="eastAsia"/>
          <w:szCs w:val="21"/>
        </w:rPr>
        <w:t>根</w:t>
      </w:r>
      <w:r w:rsidRPr="00D6191E">
        <w:rPr>
          <w:rFonts w:asciiTheme="minorEastAsia" w:eastAsiaTheme="minorEastAsia" w:hAnsiTheme="minorEastAsia"/>
          <w:szCs w:val="21"/>
        </w:rPr>
        <w:t>据本基金合同及有关规定监督基金</w:t>
      </w:r>
      <w:r w:rsidRPr="00D6191E">
        <w:rPr>
          <w:rFonts w:asciiTheme="minorEastAsia" w:eastAsiaTheme="minorEastAsia" w:hAnsiTheme="minorEastAsia" w:hint="eastAsia"/>
          <w:szCs w:val="21"/>
        </w:rPr>
        <w:t>管理人</w:t>
      </w:r>
      <w:r w:rsidRPr="00D6191E">
        <w:rPr>
          <w:rFonts w:asciiTheme="minorEastAsia" w:eastAsiaTheme="minorEastAsia" w:hAnsiTheme="minorEastAsia"/>
          <w:szCs w:val="21"/>
        </w:rPr>
        <w:t>，</w:t>
      </w:r>
      <w:r w:rsidRPr="00D6191E">
        <w:rPr>
          <w:rFonts w:asciiTheme="minorEastAsia" w:eastAsiaTheme="minorEastAsia" w:hAnsiTheme="minorEastAsia" w:hint="eastAsia"/>
          <w:szCs w:val="21"/>
        </w:rPr>
        <w:t>对于</w:t>
      </w:r>
      <w:r w:rsidRPr="00D6191E">
        <w:rPr>
          <w:rFonts w:asciiTheme="minorEastAsia" w:eastAsiaTheme="minorEastAsia" w:hAnsiTheme="minorEastAsia"/>
          <w:szCs w:val="21"/>
        </w:rPr>
        <w:t>基金</w:t>
      </w:r>
      <w:r w:rsidRPr="00D6191E">
        <w:rPr>
          <w:rFonts w:asciiTheme="minorEastAsia" w:eastAsiaTheme="minorEastAsia" w:hAnsiTheme="minorEastAsia" w:hint="eastAsia"/>
          <w:szCs w:val="21"/>
        </w:rPr>
        <w:t>管理</w:t>
      </w:r>
      <w:r w:rsidRPr="00D6191E">
        <w:rPr>
          <w:rFonts w:asciiTheme="minorEastAsia" w:eastAsiaTheme="minorEastAsia" w:hAnsiTheme="minorEastAsia"/>
          <w:szCs w:val="21"/>
        </w:rPr>
        <w:t>人违反本基金合同或有关</w:t>
      </w:r>
      <w:r w:rsidRPr="00D6191E">
        <w:rPr>
          <w:rFonts w:asciiTheme="minorEastAsia" w:eastAsiaTheme="minorEastAsia" w:hAnsiTheme="minorEastAsia" w:hint="eastAsia"/>
          <w:szCs w:val="21"/>
        </w:rPr>
        <w:t>法律法规</w:t>
      </w:r>
      <w:r w:rsidRPr="00D6191E">
        <w:rPr>
          <w:rFonts w:asciiTheme="minorEastAsia" w:eastAsiaTheme="minorEastAsia" w:hAnsiTheme="minorEastAsia"/>
          <w:szCs w:val="21"/>
        </w:rPr>
        <w:t>规定</w:t>
      </w:r>
      <w:r w:rsidRPr="00D6191E">
        <w:rPr>
          <w:rFonts w:asciiTheme="minorEastAsia" w:eastAsiaTheme="minorEastAsia" w:hAnsiTheme="minorEastAsia" w:hint="eastAsia"/>
          <w:szCs w:val="21"/>
        </w:rPr>
        <w:t>的行为，</w:t>
      </w:r>
      <w:r w:rsidRPr="00D6191E">
        <w:rPr>
          <w:rFonts w:asciiTheme="minorEastAsia" w:eastAsiaTheme="minorEastAsia" w:hAnsiTheme="minorEastAsia"/>
          <w:szCs w:val="21"/>
        </w:rPr>
        <w:t>对基金资产、其他当事人的利益造成重大损失的</w:t>
      </w:r>
      <w:r w:rsidRPr="00D6191E">
        <w:rPr>
          <w:rFonts w:asciiTheme="minorEastAsia" w:eastAsiaTheme="minorEastAsia" w:hAnsiTheme="minorEastAsia" w:hint="eastAsia"/>
          <w:szCs w:val="21"/>
        </w:rPr>
        <w:t>情形</w:t>
      </w:r>
      <w:r w:rsidRPr="00D6191E">
        <w:rPr>
          <w:rFonts w:asciiTheme="minorEastAsia" w:eastAsiaTheme="minorEastAsia" w:hAnsiTheme="minorEastAsia"/>
          <w:szCs w:val="21"/>
        </w:rPr>
        <w:t>，应及时呈报中国证监会，并采取必要措施保护基金及相关当事人的利益</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(6)</w:t>
      </w:r>
      <w:r w:rsidRPr="00D6191E">
        <w:rPr>
          <w:rFonts w:asciiTheme="minorEastAsia" w:eastAsiaTheme="minorEastAsia" w:hAnsiTheme="minorEastAsia" w:hint="eastAsia"/>
          <w:szCs w:val="21"/>
        </w:rPr>
        <w:t>依法召集基金份额持有人大会</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(7)</w:t>
      </w:r>
      <w:r w:rsidRPr="00D6191E">
        <w:rPr>
          <w:rFonts w:asciiTheme="minorEastAsia" w:eastAsiaTheme="minorEastAsia" w:hAnsiTheme="minorEastAsia" w:hint="eastAsia"/>
          <w:szCs w:val="21"/>
        </w:rPr>
        <w:t>按规定取得基金份额持有人名册资料</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(8)</w:t>
      </w:r>
      <w:r w:rsidRPr="00D6191E">
        <w:rPr>
          <w:rFonts w:asciiTheme="minorEastAsia" w:eastAsiaTheme="minorEastAsia" w:hAnsiTheme="minorEastAsia"/>
          <w:szCs w:val="21"/>
        </w:rPr>
        <w:t>法律法规</w:t>
      </w:r>
      <w:r w:rsidRPr="00D6191E">
        <w:rPr>
          <w:rFonts w:asciiTheme="minorEastAsia" w:eastAsiaTheme="minorEastAsia" w:hAnsiTheme="minorEastAsia" w:hint="eastAsia"/>
          <w:szCs w:val="21"/>
        </w:rPr>
        <w:t>和基金合同</w:t>
      </w:r>
      <w:r w:rsidRPr="00D6191E">
        <w:rPr>
          <w:rFonts w:asciiTheme="minorEastAsia" w:eastAsiaTheme="minorEastAsia" w:hAnsiTheme="minorEastAsia"/>
          <w:szCs w:val="21"/>
        </w:rPr>
        <w:t>规定的其他权利</w:t>
      </w:r>
      <w:r w:rsidRPr="00D6191E">
        <w:rPr>
          <w:rFonts w:asciiTheme="minorEastAsia" w:eastAsiaTheme="minorEastAsia" w:hAnsiTheme="minorEastAsia" w:hint="eastAsia"/>
          <w:kern w:val="0"/>
          <w:szCs w:val="21"/>
        </w:rPr>
        <w:t>。</w:t>
      </w:r>
    </w:p>
    <w:p w:rsidR="00BA4B87" w:rsidRPr="00D6191E" w:rsidRDefault="00BA4B87" w:rsidP="000449FE">
      <w:pPr>
        <w:pStyle w:val="a4"/>
        <w:tabs>
          <w:tab w:val="left" w:pos="735"/>
        </w:tabs>
        <w:snapToGrid w:val="0"/>
        <w:spacing w:line="360" w:lineRule="auto"/>
        <w:ind w:firstLineChars="200" w:firstLine="422"/>
        <w:rPr>
          <w:rFonts w:asciiTheme="minorEastAsia" w:eastAsiaTheme="minorEastAsia" w:hAnsiTheme="minorEastAsia"/>
          <w:b/>
          <w:bCs/>
        </w:rPr>
      </w:pPr>
      <w:r w:rsidRPr="00D6191E">
        <w:rPr>
          <w:rFonts w:asciiTheme="minorEastAsia" w:eastAsiaTheme="minorEastAsia" w:hAnsiTheme="minorEastAsia" w:hint="eastAsia"/>
          <w:b/>
          <w:bCs/>
        </w:rPr>
        <w:t>2</w:t>
      </w:r>
      <w:r w:rsidR="00234286" w:rsidRPr="00D6191E">
        <w:rPr>
          <w:rFonts w:asciiTheme="minorEastAsia" w:eastAsiaTheme="minorEastAsia" w:hAnsiTheme="minorEastAsia" w:hint="eastAsia"/>
          <w:b/>
          <w:bCs/>
        </w:rPr>
        <w:t>、</w:t>
      </w:r>
      <w:r w:rsidRPr="00D6191E">
        <w:rPr>
          <w:rFonts w:asciiTheme="minorEastAsia" w:eastAsiaTheme="minorEastAsia" w:hAnsiTheme="minorEastAsia" w:hint="eastAsia"/>
          <w:b/>
          <w:bCs/>
        </w:rPr>
        <w:t>基金托管人的义务</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根据《基金法》及其他有关法律法规，基金托管人的义务为：</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(1)安全保管基金财产；</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w:t>
      </w:r>
      <w:r w:rsidRPr="00D6191E">
        <w:rPr>
          <w:rFonts w:asciiTheme="minorEastAsia" w:eastAsiaTheme="minorEastAsia" w:hAnsiTheme="minorEastAsia"/>
          <w:szCs w:val="21"/>
        </w:rPr>
        <w:t>设立专门的基金托管部，具有符合要求的营业场所，配备足够的、合格的熟悉基金托管业务的专职人员，负责基金财产托管事宜</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(3)</w:t>
      </w:r>
      <w:r w:rsidRPr="00D6191E">
        <w:rPr>
          <w:rFonts w:asciiTheme="minorEastAsia" w:eastAsiaTheme="minorEastAsia" w:hAnsiTheme="minorEastAsia" w:hint="eastAsia"/>
          <w:szCs w:val="21"/>
        </w:rPr>
        <w:t>对所托管的不同基金财产分别设置账户，确保基金财产的完整与独立</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(4)</w:t>
      </w:r>
      <w:r w:rsidRPr="00D6191E">
        <w:rPr>
          <w:rFonts w:asciiTheme="minorEastAsia" w:eastAsiaTheme="minorEastAsia" w:hAnsiTheme="minorEastAsia"/>
          <w:szCs w:val="21"/>
        </w:rPr>
        <w:t>除依据《基金法》、基金合同及其他有关规定外，不得为自己及任何第三人谋取利益，不得委托第三人托管基金财产</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(5)</w:t>
      </w:r>
      <w:r w:rsidRPr="00D6191E">
        <w:rPr>
          <w:rFonts w:asciiTheme="minorEastAsia" w:eastAsiaTheme="minorEastAsia" w:hAnsiTheme="minorEastAsia"/>
          <w:szCs w:val="21"/>
        </w:rPr>
        <w:t>保管由基金管理人代表基金签订的与基金有关的重大合同及有关凭证</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(6)</w:t>
      </w:r>
      <w:r w:rsidRPr="00D6191E">
        <w:rPr>
          <w:rFonts w:asciiTheme="minorEastAsia" w:eastAsiaTheme="minorEastAsia" w:hAnsiTheme="minorEastAsia"/>
          <w:szCs w:val="21"/>
        </w:rPr>
        <w:t>按规定开设基金财产的资金账户和证券账户</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(7)</w:t>
      </w:r>
      <w:r w:rsidRPr="00D6191E">
        <w:rPr>
          <w:rFonts w:asciiTheme="minorEastAsia" w:eastAsiaTheme="minorEastAsia" w:hAnsiTheme="minorEastAsia"/>
          <w:szCs w:val="21"/>
        </w:rPr>
        <w:t>保守基金商业秘密</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除《基金法》、基金合同及其他有关规定另有规定外，在基金信息公开披露前应予保密，不得向他人泄露</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(8)</w:t>
      </w:r>
      <w:r w:rsidRPr="00D6191E">
        <w:rPr>
          <w:rFonts w:asciiTheme="minorEastAsia" w:eastAsiaTheme="minorEastAsia" w:hAnsiTheme="minorEastAsia"/>
          <w:szCs w:val="21"/>
        </w:rPr>
        <w:t>对基金财务会计报告、</w:t>
      </w:r>
      <w:r w:rsidRPr="00D6191E">
        <w:rPr>
          <w:rFonts w:asciiTheme="minorEastAsia" w:eastAsiaTheme="minorEastAsia" w:hAnsiTheme="minorEastAsia" w:hint="eastAsia"/>
          <w:szCs w:val="21"/>
        </w:rPr>
        <w:t>中期</w:t>
      </w:r>
      <w:r w:rsidRPr="00D6191E">
        <w:rPr>
          <w:rFonts w:asciiTheme="minorEastAsia" w:eastAsiaTheme="minorEastAsia" w:hAnsiTheme="minorEastAsia"/>
          <w:szCs w:val="21"/>
        </w:rPr>
        <w:t>和</w:t>
      </w:r>
      <w:r w:rsidR="00BB0C72" w:rsidRPr="00D6191E">
        <w:rPr>
          <w:rFonts w:asciiTheme="minorEastAsia" w:eastAsiaTheme="minorEastAsia" w:hAnsiTheme="minorEastAsia"/>
          <w:szCs w:val="21"/>
        </w:rPr>
        <w:t>报告</w:t>
      </w:r>
      <w:r w:rsidRPr="00D6191E">
        <w:rPr>
          <w:rFonts w:asciiTheme="minorEastAsia" w:eastAsiaTheme="minorEastAsia" w:hAnsiTheme="minorEastAsia"/>
          <w:szCs w:val="21"/>
        </w:rPr>
        <w:t>年度报告出具意见，说明基金管理人在各重要方面的运作是否严格按照基金合同的规定进行；如果基金管理人有未执行基金合同规定的行为，还应当说明基金托管人是否采取了适当的措施</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(9)</w:t>
      </w:r>
      <w:r w:rsidRPr="00D6191E">
        <w:rPr>
          <w:rFonts w:asciiTheme="minorEastAsia" w:eastAsiaTheme="minorEastAsia" w:hAnsiTheme="minorEastAsia" w:hint="eastAsia"/>
          <w:szCs w:val="21"/>
        </w:rPr>
        <w:t>保存基金托管业务活动的记录、账册、报表和其他相关资料</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(10)</w:t>
      </w:r>
      <w:r w:rsidRPr="00D6191E">
        <w:rPr>
          <w:rFonts w:asciiTheme="minorEastAsia" w:eastAsiaTheme="minorEastAsia" w:hAnsiTheme="minorEastAsia" w:hint="eastAsia"/>
          <w:szCs w:val="21"/>
        </w:rPr>
        <w:t>按照基金合同的约定，根据基金管理人的投资指令，及时办理清算、交割事宜</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(11)</w:t>
      </w:r>
      <w:r w:rsidRPr="00D6191E">
        <w:rPr>
          <w:rFonts w:asciiTheme="minorEastAsia" w:eastAsiaTheme="minorEastAsia" w:hAnsiTheme="minorEastAsia" w:hint="eastAsia"/>
          <w:szCs w:val="21"/>
        </w:rPr>
        <w:t>办理与基金托管业务活动有关的信息披露事项</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(12)</w:t>
      </w:r>
      <w:r w:rsidRPr="00D6191E">
        <w:rPr>
          <w:rFonts w:asciiTheme="minorEastAsia" w:eastAsiaTheme="minorEastAsia" w:hAnsiTheme="minorEastAsia" w:hint="eastAsia"/>
          <w:szCs w:val="21"/>
        </w:rPr>
        <w:t>复核、审查基金管理人计算的基金资产净值</w:t>
      </w:r>
      <w:r w:rsidR="00BB0C72" w:rsidRPr="00D6191E">
        <w:rPr>
          <w:rFonts w:asciiTheme="minorEastAsia" w:eastAsiaTheme="minorEastAsia" w:hAnsiTheme="minorEastAsia" w:hint="eastAsia"/>
          <w:szCs w:val="21"/>
        </w:rPr>
        <w:t>、基金份额净值</w:t>
      </w:r>
      <w:r w:rsidRPr="00D6191E">
        <w:rPr>
          <w:rFonts w:asciiTheme="minorEastAsia" w:eastAsiaTheme="minorEastAsia" w:hAnsiTheme="minorEastAsia" w:hint="eastAsia"/>
          <w:szCs w:val="21"/>
        </w:rPr>
        <w:t>和基金份额申购、赎回价格</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(13)</w:t>
      </w:r>
      <w:r w:rsidRPr="00D6191E">
        <w:rPr>
          <w:rFonts w:asciiTheme="minorEastAsia" w:eastAsiaTheme="minorEastAsia" w:hAnsiTheme="minorEastAsia" w:hint="eastAsia"/>
          <w:szCs w:val="21"/>
        </w:rPr>
        <w:t>按照规定监督基金管理人的投资运作</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lastRenderedPageBreak/>
        <w:t>(14)</w:t>
      </w:r>
      <w:r w:rsidRPr="00D6191E">
        <w:rPr>
          <w:rFonts w:asciiTheme="minorEastAsia" w:eastAsiaTheme="minorEastAsia" w:hAnsiTheme="minorEastAsia"/>
          <w:szCs w:val="21"/>
        </w:rPr>
        <w:t>按规定制作相关账册并与基金管理人核对</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(15)</w:t>
      </w:r>
      <w:r w:rsidRPr="00D6191E">
        <w:rPr>
          <w:rFonts w:asciiTheme="minorEastAsia" w:eastAsiaTheme="minorEastAsia" w:hAnsiTheme="minorEastAsia"/>
          <w:szCs w:val="21"/>
        </w:rPr>
        <w:t>依据基金管理人的指令或有关规定向基金份额持有人支付基金收益和赎回</w:t>
      </w:r>
      <w:r w:rsidRPr="00D6191E">
        <w:rPr>
          <w:rFonts w:asciiTheme="minorEastAsia" w:eastAsiaTheme="minorEastAsia" w:hAnsiTheme="minorEastAsia" w:hint="eastAsia"/>
          <w:szCs w:val="21"/>
        </w:rPr>
        <w:t>款项</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(16)</w:t>
      </w:r>
      <w:r w:rsidRPr="00D6191E">
        <w:rPr>
          <w:rFonts w:asciiTheme="minorEastAsia" w:eastAsiaTheme="minorEastAsia" w:hAnsiTheme="minorEastAsia"/>
          <w:szCs w:val="21"/>
        </w:rPr>
        <w:t>按照规定召集基金份额持有人大会或配合基金</w:t>
      </w:r>
      <w:r w:rsidRPr="00D6191E">
        <w:rPr>
          <w:rFonts w:asciiTheme="minorEastAsia" w:eastAsiaTheme="minorEastAsia" w:hAnsiTheme="minorEastAsia" w:hint="eastAsia"/>
          <w:szCs w:val="21"/>
        </w:rPr>
        <w:t>管理人、</w:t>
      </w:r>
      <w:r w:rsidRPr="00D6191E">
        <w:rPr>
          <w:rFonts w:asciiTheme="minorEastAsia" w:eastAsiaTheme="minorEastAsia" w:hAnsiTheme="minorEastAsia"/>
          <w:szCs w:val="21"/>
        </w:rPr>
        <w:t>基金份额持有人依法召集基金份额持有人大会</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(17)</w:t>
      </w:r>
      <w:r w:rsidRPr="00D6191E">
        <w:rPr>
          <w:rFonts w:asciiTheme="minorEastAsia" w:eastAsiaTheme="minorEastAsia" w:hAnsiTheme="minorEastAsia"/>
          <w:szCs w:val="21"/>
        </w:rPr>
        <w:t>因违反基金合同导致基金财产损失，应承担赔偿责任，其赔偿责任不因其退任而免除</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(18)</w:t>
      </w:r>
      <w:r w:rsidRPr="00D6191E">
        <w:rPr>
          <w:rFonts w:asciiTheme="minorEastAsia" w:eastAsiaTheme="minorEastAsia" w:hAnsiTheme="minorEastAsia"/>
          <w:szCs w:val="21"/>
        </w:rPr>
        <w:t>基金管理人因违反基金合同造成基金财产损失时，应为基金向基金管理人追偿</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(19)</w:t>
      </w:r>
      <w:r w:rsidRPr="00D6191E">
        <w:rPr>
          <w:rFonts w:asciiTheme="minorEastAsia" w:eastAsiaTheme="minorEastAsia" w:hAnsiTheme="minorEastAsia" w:hint="eastAsia"/>
          <w:szCs w:val="21"/>
        </w:rPr>
        <w:t>参加基金财产清算小组，参与基金财产的保管、清理、估价、变现和分配</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(20)</w:t>
      </w:r>
      <w:r w:rsidRPr="00D6191E">
        <w:rPr>
          <w:rFonts w:asciiTheme="minorEastAsia" w:eastAsiaTheme="minorEastAsia" w:hAnsiTheme="minorEastAsia" w:hint="eastAsia"/>
          <w:szCs w:val="21"/>
        </w:rPr>
        <w:t>面临解散、依法被撤销或者被依法宣告破产时，及时报告中国证监会和银行业监督管理机构，并通知基金管理人</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(21)</w:t>
      </w:r>
      <w:r w:rsidRPr="00D6191E">
        <w:rPr>
          <w:rFonts w:asciiTheme="minorEastAsia" w:eastAsiaTheme="minorEastAsia" w:hAnsiTheme="minorEastAsia" w:hint="eastAsia"/>
          <w:szCs w:val="21"/>
        </w:rPr>
        <w:t>执行生效的基金份额持有人大会决议</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(22)</w:t>
      </w:r>
      <w:r w:rsidRPr="00D6191E">
        <w:rPr>
          <w:rFonts w:asciiTheme="minorEastAsia" w:eastAsiaTheme="minorEastAsia" w:hAnsiTheme="minorEastAsia" w:hint="eastAsia"/>
          <w:szCs w:val="21"/>
        </w:rPr>
        <w:t>不从事任何有损基金及其他基金当事人利益的活动</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szCs w:val="21"/>
        </w:rPr>
      </w:pPr>
      <w:r w:rsidRPr="00D6191E">
        <w:rPr>
          <w:rFonts w:asciiTheme="minorEastAsia" w:eastAsiaTheme="minorEastAsia" w:hAnsiTheme="minorEastAsia" w:hint="eastAsia"/>
          <w:kern w:val="0"/>
          <w:szCs w:val="21"/>
        </w:rPr>
        <w:t>(23)</w:t>
      </w:r>
      <w:r w:rsidRPr="00D6191E">
        <w:rPr>
          <w:rFonts w:asciiTheme="minorEastAsia" w:eastAsiaTheme="minorEastAsia" w:hAnsiTheme="minorEastAsia" w:hint="eastAsia"/>
          <w:szCs w:val="21"/>
        </w:rPr>
        <w:t>建立并保存基金份额持有人名册；</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(24)</w:t>
      </w:r>
      <w:r w:rsidRPr="00D6191E">
        <w:rPr>
          <w:rFonts w:asciiTheme="minorEastAsia" w:eastAsiaTheme="minorEastAsia" w:hAnsiTheme="minorEastAsia" w:hint="eastAsia"/>
          <w:szCs w:val="21"/>
        </w:rPr>
        <w:t>法律法规、中国证监会和基金合同规定的</w:t>
      </w:r>
      <w:r w:rsidRPr="00D6191E">
        <w:rPr>
          <w:rFonts w:asciiTheme="minorEastAsia" w:eastAsiaTheme="minorEastAsia" w:hAnsiTheme="minorEastAsia"/>
          <w:szCs w:val="21"/>
        </w:rPr>
        <w:t>其他义务</w:t>
      </w:r>
      <w:r w:rsidRPr="00D6191E">
        <w:rPr>
          <w:rFonts w:asciiTheme="minorEastAsia" w:eastAsiaTheme="minorEastAsia" w:hAnsiTheme="minorEastAsia" w:hint="eastAsia"/>
          <w:sz w:val="24"/>
        </w:rPr>
        <w:t>。</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20" w:name="_Toc86315937"/>
      <w:r w:rsidRPr="00D6191E">
        <w:rPr>
          <w:rFonts w:asciiTheme="minorEastAsia" w:eastAsiaTheme="minorEastAsia" w:hAnsiTheme="minorEastAsia" w:hint="eastAsia"/>
          <w:b w:val="0"/>
          <w:bCs/>
        </w:rPr>
        <w:t>(三)基金份额持有人的权利和义务</w:t>
      </w:r>
      <w:bookmarkEnd w:id="120"/>
    </w:p>
    <w:p w:rsidR="00BA4B87" w:rsidRPr="00D6191E" w:rsidRDefault="00234286" w:rsidP="00234286">
      <w:pPr>
        <w:pStyle w:val="a4"/>
        <w:tabs>
          <w:tab w:val="left" w:pos="735"/>
        </w:tabs>
        <w:snapToGrid w:val="0"/>
        <w:spacing w:line="360" w:lineRule="auto"/>
        <w:ind w:left="420" w:firstLine="0"/>
        <w:rPr>
          <w:rFonts w:asciiTheme="minorEastAsia" w:eastAsiaTheme="minorEastAsia" w:hAnsiTheme="minorEastAsia"/>
          <w:b/>
          <w:bCs/>
        </w:rPr>
      </w:pPr>
      <w:r w:rsidRPr="00D6191E">
        <w:rPr>
          <w:rFonts w:asciiTheme="minorEastAsia" w:eastAsiaTheme="minorEastAsia" w:hAnsiTheme="minorEastAsia" w:hint="eastAsia"/>
          <w:b/>
          <w:bCs/>
        </w:rPr>
        <w:t>1、</w:t>
      </w:r>
      <w:r w:rsidR="00BA4B87" w:rsidRPr="00D6191E">
        <w:rPr>
          <w:rFonts w:asciiTheme="minorEastAsia" w:eastAsiaTheme="minorEastAsia" w:hAnsiTheme="minorEastAsia" w:hint="eastAsia"/>
          <w:b/>
          <w:bCs/>
        </w:rPr>
        <w:t>基金份额持有人权利</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根据《基金法》及其他有关法律法规，基金份额持有人的权利为：</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(1)分享基金财产收益；</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(2)参与分配清算后的剩余基金财产；</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(3)依法申请赎回其持有的基金份额；</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(4)按照规定要求召开基金份额持有人大会；</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(5)出席或者委派代表出席基金份额持有人大会，对基金份额持有人大会审议事项行使表决权；</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(6)查阅或者复制公开披露的基金信息资料；</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(7)监督基金管理人的投资运作；</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(8)对基金管理人、基金托管人、基金销售机构损害其合法权益的行为依法提起诉讼；</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(9)法律法规和基金合同规定的其他权利。</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本基金同一类别的每一基金份额享有同等的合法权益。</w:t>
      </w:r>
    </w:p>
    <w:p w:rsidR="00BA4B87" w:rsidRPr="00D6191E" w:rsidRDefault="00234286" w:rsidP="00234286">
      <w:pPr>
        <w:pStyle w:val="a4"/>
        <w:tabs>
          <w:tab w:val="left" w:pos="735"/>
        </w:tabs>
        <w:snapToGrid w:val="0"/>
        <w:spacing w:line="360" w:lineRule="auto"/>
        <w:ind w:left="420" w:firstLine="0"/>
        <w:rPr>
          <w:rFonts w:asciiTheme="minorEastAsia" w:eastAsiaTheme="minorEastAsia" w:hAnsiTheme="minorEastAsia"/>
          <w:b/>
          <w:bCs/>
        </w:rPr>
      </w:pPr>
      <w:r w:rsidRPr="00D6191E">
        <w:rPr>
          <w:rFonts w:asciiTheme="minorEastAsia" w:eastAsiaTheme="minorEastAsia" w:hAnsiTheme="minorEastAsia" w:hint="eastAsia"/>
          <w:b/>
          <w:bCs/>
        </w:rPr>
        <w:t>2、</w:t>
      </w:r>
      <w:r w:rsidR="00BA4B87" w:rsidRPr="00D6191E">
        <w:rPr>
          <w:rFonts w:asciiTheme="minorEastAsia" w:eastAsiaTheme="minorEastAsia" w:hAnsiTheme="minorEastAsia" w:hint="eastAsia"/>
          <w:b/>
          <w:bCs/>
        </w:rPr>
        <w:t>基金份额持有人义务</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根据《基金法》及其他有关法律法规，基金份额持有人的义务为：</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w:t>
      </w:r>
      <w:r w:rsidRPr="00D6191E">
        <w:rPr>
          <w:rFonts w:asciiTheme="minorEastAsia" w:eastAsiaTheme="minorEastAsia" w:hAnsiTheme="minorEastAsia"/>
          <w:szCs w:val="21"/>
        </w:rPr>
        <w:t>遵守</w:t>
      </w:r>
      <w:r w:rsidRPr="00D6191E">
        <w:rPr>
          <w:rFonts w:asciiTheme="minorEastAsia" w:eastAsiaTheme="minorEastAsia" w:hAnsiTheme="minorEastAsia" w:hint="eastAsia"/>
          <w:szCs w:val="21"/>
        </w:rPr>
        <w:t>法律法规、</w:t>
      </w:r>
      <w:r w:rsidRPr="00D6191E">
        <w:rPr>
          <w:rFonts w:asciiTheme="minorEastAsia" w:eastAsiaTheme="minorEastAsia" w:hAnsiTheme="minorEastAsia"/>
          <w:szCs w:val="21"/>
        </w:rPr>
        <w:t>基金合同</w:t>
      </w:r>
      <w:r w:rsidRPr="00D6191E">
        <w:rPr>
          <w:rFonts w:asciiTheme="minorEastAsia" w:eastAsiaTheme="minorEastAsia" w:hAnsiTheme="minorEastAsia" w:hint="eastAsia"/>
          <w:szCs w:val="21"/>
        </w:rPr>
        <w:t>及其他有关规定</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w:t>
      </w:r>
      <w:r w:rsidRPr="00D6191E">
        <w:rPr>
          <w:rFonts w:asciiTheme="minorEastAsia" w:eastAsiaTheme="minorEastAsia" w:hAnsiTheme="minorEastAsia"/>
          <w:szCs w:val="21"/>
        </w:rPr>
        <w:t>交纳基金认购、申购款项及</w:t>
      </w:r>
      <w:r w:rsidRPr="00D6191E">
        <w:rPr>
          <w:rFonts w:asciiTheme="minorEastAsia" w:eastAsiaTheme="minorEastAsia" w:hAnsiTheme="minorEastAsia" w:hint="eastAsia"/>
          <w:szCs w:val="21"/>
        </w:rPr>
        <w:t>法律法规和基金合同所</w:t>
      </w:r>
      <w:r w:rsidRPr="00D6191E">
        <w:rPr>
          <w:rFonts w:asciiTheme="minorEastAsia" w:eastAsiaTheme="minorEastAsia" w:hAnsiTheme="minorEastAsia"/>
          <w:szCs w:val="21"/>
        </w:rPr>
        <w:t>规定的费用</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(3)</w:t>
      </w:r>
      <w:r w:rsidRPr="00D6191E">
        <w:rPr>
          <w:rFonts w:asciiTheme="minorEastAsia" w:eastAsiaTheme="minorEastAsia" w:hAnsiTheme="minorEastAsia"/>
          <w:szCs w:val="21"/>
        </w:rPr>
        <w:t>在持有的基金份额范围内，承担基金亏损或者基金合同终止的有限责任</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(4)</w:t>
      </w:r>
      <w:r w:rsidRPr="00D6191E">
        <w:rPr>
          <w:rFonts w:asciiTheme="minorEastAsia" w:eastAsiaTheme="minorEastAsia" w:hAnsiTheme="minorEastAsia"/>
          <w:szCs w:val="21"/>
        </w:rPr>
        <w:t>不从事任何有损基金及</w:t>
      </w:r>
      <w:r w:rsidRPr="00D6191E">
        <w:rPr>
          <w:rFonts w:asciiTheme="minorEastAsia" w:eastAsiaTheme="minorEastAsia" w:hAnsiTheme="minorEastAsia" w:hint="eastAsia"/>
          <w:szCs w:val="21"/>
        </w:rPr>
        <w:t>其他</w:t>
      </w:r>
      <w:r w:rsidRPr="00D6191E">
        <w:rPr>
          <w:rFonts w:asciiTheme="minorEastAsia" w:eastAsiaTheme="minorEastAsia" w:hAnsiTheme="minorEastAsia"/>
          <w:szCs w:val="21"/>
        </w:rPr>
        <w:t>基金份额持有人合法权益的活动</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lastRenderedPageBreak/>
        <w:t>(5)</w:t>
      </w:r>
      <w:r w:rsidRPr="00D6191E">
        <w:rPr>
          <w:rFonts w:asciiTheme="minorEastAsia" w:eastAsiaTheme="minorEastAsia" w:hAnsiTheme="minorEastAsia"/>
          <w:szCs w:val="21"/>
        </w:rPr>
        <w:t>执行生效的基金份额持有人大会</w:t>
      </w:r>
      <w:r w:rsidRPr="00D6191E">
        <w:rPr>
          <w:rFonts w:asciiTheme="minorEastAsia" w:eastAsiaTheme="minorEastAsia" w:hAnsiTheme="minorEastAsia" w:hint="eastAsia"/>
          <w:szCs w:val="21"/>
        </w:rPr>
        <w:t>决议</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(6)</w:t>
      </w:r>
      <w:r w:rsidRPr="00D6191E">
        <w:rPr>
          <w:rFonts w:asciiTheme="minorEastAsia" w:eastAsiaTheme="minorEastAsia" w:hAnsiTheme="minorEastAsia" w:hint="eastAsia"/>
          <w:szCs w:val="21"/>
        </w:rPr>
        <w:t>返还在基金交易过程中因任何原因，自基金管理人及基金管理人的代理人、基金托管人、</w:t>
      </w:r>
      <w:r w:rsidR="00886117" w:rsidRPr="00D6191E">
        <w:rPr>
          <w:rFonts w:asciiTheme="minorEastAsia" w:eastAsiaTheme="minorEastAsia" w:hAnsiTheme="minorEastAsia" w:hint="eastAsia"/>
          <w:szCs w:val="21"/>
        </w:rPr>
        <w:t>代销</w:t>
      </w:r>
      <w:r w:rsidRPr="00D6191E">
        <w:rPr>
          <w:rFonts w:asciiTheme="minorEastAsia" w:eastAsiaTheme="minorEastAsia" w:hAnsiTheme="minorEastAsia" w:hint="eastAsia"/>
          <w:szCs w:val="21"/>
        </w:rPr>
        <w:t>机构、其他基金份额持有人处获得的不当得利</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(7)</w:t>
      </w:r>
      <w:r w:rsidRPr="00D6191E">
        <w:rPr>
          <w:rFonts w:asciiTheme="minorEastAsia" w:eastAsiaTheme="minorEastAsia" w:hAnsiTheme="minorEastAsia"/>
          <w:szCs w:val="21"/>
        </w:rPr>
        <w:t>法律法规和基金合同规定的其他义务</w:t>
      </w:r>
      <w:r w:rsidRPr="00D6191E">
        <w:rPr>
          <w:rFonts w:asciiTheme="minorEastAsia" w:eastAsiaTheme="minorEastAsia" w:hAnsiTheme="minorEastAsia" w:hint="eastAsia"/>
          <w:kern w:val="0"/>
          <w:szCs w:val="21"/>
        </w:rPr>
        <w:t>。</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21" w:name="_Toc86315938"/>
      <w:r w:rsidRPr="00D6191E">
        <w:rPr>
          <w:rFonts w:asciiTheme="minorEastAsia" w:eastAsiaTheme="minorEastAsia" w:hAnsiTheme="minorEastAsia" w:hint="eastAsia"/>
          <w:b w:val="0"/>
          <w:bCs/>
        </w:rPr>
        <w:t>(四)基金份额持有人大会</w:t>
      </w:r>
      <w:bookmarkEnd w:id="121"/>
    </w:p>
    <w:p w:rsidR="00BA4B87" w:rsidRPr="00D6191E" w:rsidRDefault="0085353A"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w:t>
      </w:r>
      <w:r w:rsidR="00234286" w:rsidRPr="00D6191E">
        <w:rPr>
          <w:rFonts w:asciiTheme="minorEastAsia" w:eastAsiaTheme="minorEastAsia" w:hAnsiTheme="minorEastAsia" w:hint="eastAsia"/>
          <w:kern w:val="0"/>
          <w:szCs w:val="21"/>
        </w:rPr>
        <w:t>、</w:t>
      </w:r>
      <w:r w:rsidR="00BA4B87" w:rsidRPr="00D6191E">
        <w:rPr>
          <w:rFonts w:asciiTheme="minorEastAsia" w:eastAsiaTheme="minorEastAsia" w:hAnsiTheme="minorEastAsia"/>
          <w:szCs w:val="21"/>
        </w:rPr>
        <w:t>基金份额持有人大会由基金份额持有人组成</w:t>
      </w:r>
      <w:r w:rsidR="00BA4B87" w:rsidRPr="00D6191E">
        <w:rPr>
          <w:rFonts w:asciiTheme="minorEastAsia" w:eastAsiaTheme="minorEastAsia" w:hAnsiTheme="minorEastAsia" w:hint="eastAsia"/>
          <w:szCs w:val="21"/>
        </w:rPr>
        <w:t>，基金份额持有人的合法授权代表有权代表基金份额持有人出席会议并表决</w:t>
      </w:r>
      <w:r w:rsidR="00BA4B87" w:rsidRPr="00D6191E">
        <w:rPr>
          <w:rFonts w:asciiTheme="minorEastAsia" w:eastAsiaTheme="minorEastAsia" w:hAnsiTheme="minorEastAsia"/>
          <w:szCs w:val="21"/>
        </w:rPr>
        <w:t>。</w:t>
      </w:r>
      <w:r w:rsidR="00BA4B87" w:rsidRPr="00D6191E">
        <w:rPr>
          <w:rFonts w:asciiTheme="minorEastAsia" w:eastAsiaTheme="minorEastAsia" w:hAnsiTheme="minorEastAsia" w:hint="eastAsia"/>
          <w:szCs w:val="21"/>
        </w:rPr>
        <w:t>基金份额持有人持有的每一基金份额具有同等的投票权</w:t>
      </w:r>
      <w:r w:rsidR="00BA4B87" w:rsidRPr="00D6191E">
        <w:rPr>
          <w:rFonts w:asciiTheme="minorEastAsia" w:eastAsiaTheme="minorEastAsia" w:hAnsiTheme="minorEastAsia" w:hint="eastAsia"/>
          <w:kern w:val="0"/>
          <w:szCs w:val="21"/>
        </w:rPr>
        <w:t>。</w:t>
      </w:r>
    </w:p>
    <w:p w:rsidR="00BA4B87" w:rsidRPr="00D6191E" w:rsidRDefault="00234286"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BA4B87" w:rsidRPr="00D6191E">
        <w:rPr>
          <w:rFonts w:asciiTheme="minorEastAsia" w:eastAsiaTheme="minorEastAsia" w:hAnsiTheme="minorEastAsia" w:hint="eastAsia"/>
          <w:szCs w:val="21"/>
        </w:rPr>
        <w:t>召开事由</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Pr="00D6191E">
        <w:rPr>
          <w:rFonts w:asciiTheme="minorEastAsia" w:eastAsiaTheme="minorEastAsia" w:hAnsiTheme="minorEastAsia"/>
          <w:szCs w:val="21"/>
        </w:rPr>
        <w:t>当出现或需要决定下列事由之一的，经基金管理人</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基金托管人或持有基金份额10%以上</w:t>
      </w:r>
      <w:r w:rsidRPr="00D6191E">
        <w:rPr>
          <w:rFonts w:asciiTheme="minorEastAsia" w:eastAsiaTheme="minorEastAsia" w:hAnsiTheme="minorEastAsia" w:hint="eastAsia"/>
          <w:szCs w:val="21"/>
        </w:rPr>
        <w:t>(含10%，下同)</w:t>
      </w:r>
      <w:r w:rsidRPr="00D6191E">
        <w:rPr>
          <w:rFonts w:asciiTheme="minorEastAsia" w:eastAsiaTheme="minorEastAsia" w:hAnsiTheme="minorEastAsia"/>
          <w:szCs w:val="21"/>
        </w:rPr>
        <w:t>的基金份额持有人(以基金管理人收到提议当日的基金份额计算，下同)提议时，应当召开基金份额持有人大会</w:t>
      </w:r>
      <w:r w:rsidRPr="00D6191E">
        <w:rPr>
          <w:rFonts w:asciiTheme="minorEastAsia" w:eastAsiaTheme="minorEastAsia" w:hAnsiTheme="minorEastAsia" w:hint="eastAsia"/>
          <w:szCs w:val="21"/>
        </w:rPr>
        <w:t>：</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a.终止基金合同；</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b.</w:t>
      </w:r>
      <w:r w:rsidRPr="00D6191E">
        <w:rPr>
          <w:rFonts w:asciiTheme="minorEastAsia" w:eastAsiaTheme="minorEastAsia" w:hAnsiTheme="minorEastAsia"/>
          <w:szCs w:val="21"/>
        </w:rPr>
        <w:t>转换基金运作方式</w:t>
      </w:r>
      <w:r w:rsidRPr="00D6191E">
        <w:rPr>
          <w:rFonts w:asciiTheme="minorEastAsia" w:eastAsiaTheme="minorEastAsia" w:hAnsiTheme="minorEastAsia" w:hint="eastAsia"/>
          <w:szCs w:val="21"/>
        </w:rPr>
        <w:t>；</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c.</w:t>
      </w:r>
      <w:r w:rsidRPr="00D6191E">
        <w:rPr>
          <w:rFonts w:asciiTheme="minorEastAsia" w:eastAsiaTheme="minorEastAsia" w:hAnsiTheme="minorEastAsia"/>
          <w:szCs w:val="21"/>
        </w:rPr>
        <w:t>变更基金类别</w:t>
      </w:r>
      <w:r w:rsidRPr="00D6191E">
        <w:rPr>
          <w:rFonts w:asciiTheme="minorEastAsia" w:eastAsiaTheme="minorEastAsia" w:hAnsiTheme="minorEastAsia" w:hint="eastAsia"/>
          <w:szCs w:val="21"/>
        </w:rPr>
        <w:t>；</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d.</w:t>
      </w:r>
      <w:r w:rsidRPr="00D6191E">
        <w:rPr>
          <w:rFonts w:asciiTheme="minorEastAsia" w:eastAsiaTheme="minorEastAsia" w:hAnsiTheme="minorEastAsia"/>
          <w:szCs w:val="21"/>
        </w:rPr>
        <w:t>变更基金投资目标、</w:t>
      </w:r>
      <w:r w:rsidRPr="00D6191E">
        <w:rPr>
          <w:rFonts w:asciiTheme="minorEastAsia" w:eastAsiaTheme="minorEastAsia" w:hAnsiTheme="minorEastAsia" w:hint="eastAsia"/>
          <w:szCs w:val="21"/>
        </w:rPr>
        <w:t>投资</w:t>
      </w:r>
      <w:r w:rsidRPr="00D6191E">
        <w:rPr>
          <w:rFonts w:asciiTheme="minorEastAsia" w:eastAsiaTheme="minorEastAsia" w:hAnsiTheme="minorEastAsia"/>
          <w:szCs w:val="21"/>
        </w:rPr>
        <w:t>范围或</w:t>
      </w:r>
      <w:r w:rsidRPr="00D6191E">
        <w:rPr>
          <w:rFonts w:asciiTheme="minorEastAsia" w:eastAsiaTheme="minorEastAsia" w:hAnsiTheme="minorEastAsia" w:hint="eastAsia"/>
          <w:szCs w:val="21"/>
        </w:rPr>
        <w:t>投资</w:t>
      </w:r>
      <w:r w:rsidRPr="00D6191E">
        <w:rPr>
          <w:rFonts w:asciiTheme="minorEastAsia" w:eastAsiaTheme="minorEastAsia" w:hAnsiTheme="minorEastAsia"/>
          <w:szCs w:val="21"/>
        </w:rPr>
        <w:t>策略</w:t>
      </w:r>
      <w:r w:rsidRPr="00D6191E">
        <w:rPr>
          <w:rFonts w:asciiTheme="minorEastAsia" w:eastAsiaTheme="minorEastAsia" w:hAnsiTheme="minorEastAsia" w:hint="eastAsia"/>
          <w:szCs w:val="21"/>
        </w:rPr>
        <w:t>（法律法规和中国证监会另有规定的除外）；</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e.</w:t>
      </w:r>
      <w:r w:rsidRPr="00D6191E">
        <w:rPr>
          <w:rFonts w:asciiTheme="minorEastAsia" w:eastAsiaTheme="minorEastAsia" w:hAnsiTheme="minorEastAsia"/>
          <w:szCs w:val="21"/>
        </w:rPr>
        <w:t>变更基金份额持有人大会程序</w:t>
      </w:r>
      <w:r w:rsidRPr="00D6191E">
        <w:rPr>
          <w:rFonts w:asciiTheme="minorEastAsia" w:eastAsiaTheme="minorEastAsia" w:hAnsiTheme="minorEastAsia" w:hint="eastAsia"/>
          <w:szCs w:val="21"/>
        </w:rPr>
        <w:t>；</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f.</w:t>
      </w:r>
      <w:r w:rsidRPr="00D6191E">
        <w:rPr>
          <w:rFonts w:asciiTheme="minorEastAsia" w:eastAsiaTheme="minorEastAsia" w:hAnsiTheme="minorEastAsia"/>
          <w:szCs w:val="21"/>
        </w:rPr>
        <w:t>更换基金管理人</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基金托管人</w:t>
      </w:r>
      <w:r w:rsidRPr="00D6191E">
        <w:rPr>
          <w:rFonts w:asciiTheme="minorEastAsia" w:eastAsiaTheme="minorEastAsia" w:hAnsiTheme="minorEastAsia" w:hint="eastAsia"/>
          <w:szCs w:val="21"/>
        </w:rPr>
        <w:t>；</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g.</w:t>
      </w:r>
      <w:r w:rsidRPr="00D6191E">
        <w:rPr>
          <w:rFonts w:asciiTheme="minorEastAsia" w:eastAsiaTheme="minorEastAsia" w:hAnsiTheme="minorEastAsia"/>
          <w:szCs w:val="21"/>
        </w:rPr>
        <w:t>提高基金管理人、基金托管人的报酬标准</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但法律法规要求提高该等报酬标准的除外</w:t>
      </w:r>
      <w:r w:rsidRPr="00D6191E">
        <w:rPr>
          <w:rFonts w:asciiTheme="minorEastAsia" w:eastAsiaTheme="minorEastAsia" w:hAnsiTheme="minorEastAsia" w:hint="eastAsia"/>
          <w:szCs w:val="21"/>
        </w:rPr>
        <w:t>；</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h.</w:t>
      </w:r>
      <w:r w:rsidRPr="00D6191E">
        <w:rPr>
          <w:rFonts w:asciiTheme="minorEastAsia" w:eastAsiaTheme="minorEastAsia" w:hAnsiTheme="minorEastAsia"/>
          <w:szCs w:val="21"/>
        </w:rPr>
        <w:t>本基金与其他基金的合并</w:t>
      </w:r>
      <w:r w:rsidRPr="00D6191E">
        <w:rPr>
          <w:rFonts w:asciiTheme="minorEastAsia" w:eastAsiaTheme="minorEastAsia" w:hAnsiTheme="minorEastAsia" w:hint="eastAsia"/>
          <w:szCs w:val="21"/>
        </w:rPr>
        <w:t>；</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i.对基金合同当事人权利、义务产生重大影响的其他事项；</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j.</w:t>
      </w:r>
      <w:r w:rsidRPr="00D6191E">
        <w:rPr>
          <w:rFonts w:asciiTheme="minorEastAsia" w:eastAsiaTheme="minorEastAsia" w:hAnsiTheme="minorEastAsia"/>
          <w:szCs w:val="21"/>
        </w:rPr>
        <w:t>法律法规</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基金合同或中国证监会规定的其他情形</w:t>
      </w:r>
      <w:r w:rsidRPr="00D6191E">
        <w:rPr>
          <w:rFonts w:asciiTheme="minorEastAsia" w:eastAsiaTheme="minorEastAsia" w:hAnsiTheme="minorEastAsia" w:hint="eastAsia"/>
          <w:szCs w:val="21"/>
        </w:rPr>
        <w:t>.</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Pr="00D6191E">
        <w:rPr>
          <w:rFonts w:asciiTheme="minorEastAsia" w:eastAsiaTheme="minorEastAsia" w:hAnsiTheme="minorEastAsia"/>
          <w:szCs w:val="21"/>
        </w:rPr>
        <w:t>出现以下情形之一的，可由基金管理人和基金托管人协商后修改</w:t>
      </w:r>
      <w:r w:rsidRPr="00D6191E">
        <w:rPr>
          <w:rFonts w:asciiTheme="minorEastAsia" w:eastAsiaTheme="minorEastAsia" w:hAnsiTheme="minorEastAsia" w:hint="eastAsia"/>
          <w:szCs w:val="21"/>
        </w:rPr>
        <w:t>基金合同</w:t>
      </w:r>
      <w:r w:rsidRPr="00D6191E">
        <w:rPr>
          <w:rFonts w:asciiTheme="minorEastAsia" w:eastAsiaTheme="minorEastAsia" w:hAnsiTheme="minorEastAsia"/>
          <w:szCs w:val="21"/>
        </w:rPr>
        <w:t>，不需召开基金份额持有人大会</w:t>
      </w:r>
      <w:r w:rsidRPr="00D6191E">
        <w:rPr>
          <w:rFonts w:asciiTheme="minorEastAsia" w:eastAsiaTheme="minorEastAsia" w:hAnsiTheme="minorEastAsia" w:hint="eastAsia"/>
          <w:szCs w:val="21"/>
        </w:rPr>
        <w:t>：</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a.调低基金管理费、基金托管费和其他应由基金承担的费用；</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b.在</w:t>
      </w:r>
      <w:r w:rsidRPr="00D6191E">
        <w:rPr>
          <w:rFonts w:asciiTheme="minorEastAsia" w:eastAsiaTheme="minorEastAsia" w:hAnsiTheme="minorEastAsia"/>
          <w:szCs w:val="21"/>
        </w:rPr>
        <w:t>法律法规和</w:t>
      </w:r>
      <w:r w:rsidRPr="00D6191E">
        <w:rPr>
          <w:rFonts w:asciiTheme="minorEastAsia" w:eastAsiaTheme="minorEastAsia" w:hAnsiTheme="minorEastAsia" w:hint="eastAsia"/>
          <w:szCs w:val="21"/>
        </w:rPr>
        <w:t>本基金合同规定的范围内变更基金的申购费率、降低赎回费率或变更收费方式；</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c.因相应的法律法规发生变动必须对基金合同进行修改；</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d.对基金合同的修改不涉及本基金合同当事人权利义务关系发生重大变化；</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e.基金合同的修改对基金份额持有人利益无实质性不利影响；</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f.按照法律法规或本基金合同规定不需召开基金份额持有人大会的其他情形。</w:t>
      </w:r>
    </w:p>
    <w:p w:rsidR="00BA4B87" w:rsidRPr="00D6191E" w:rsidRDefault="00234286"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00BA4B87" w:rsidRPr="00D6191E">
        <w:rPr>
          <w:rFonts w:asciiTheme="minorEastAsia" w:eastAsiaTheme="minorEastAsia" w:hAnsiTheme="minorEastAsia" w:hint="eastAsia"/>
          <w:szCs w:val="21"/>
        </w:rPr>
        <w:t>召集人及召集方式</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(1)除法律法规或本基金合同另有约定外，基金份额持有人大会由基金管理人召集。基金管理人未按规定召集或者不能召集时，由基金托管人召集。</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lastRenderedPageBreak/>
        <w:t>(2)</w:t>
      </w:r>
      <w:r w:rsidRPr="00D6191E">
        <w:rPr>
          <w:rFonts w:asciiTheme="minorEastAsia" w:eastAsiaTheme="minorEastAsia" w:hAnsiTheme="minorEastAsia"/>
          <w:kern w:val="0"/>
          <w:szCs w:val="21"/>
        </w:rPr>
        <w:t>基金托管人认为有必要召开基金份额持有人大会的，应当向基金管理人提出书面提议。基金管理人应当自收到书面提议之日起</w:t>
      </w:r>
      <w:r w:rsidRPr="00D6191E">
        <w:rPr>
          <w:rFonts w:asciiTheme="minorEastAsia" w:eastAsiaTheme="minorEastAsia" w:hAnsiTheme="minorEastAsia" w:hint="eastAsia"/>
          <w:kern w:val="0"/>
          <w:szCs w:val="21"/>
        </w:rPr>
        <w:t>10</w:t>
      </w:r>
      <w:r w:rsidRPr="00D6191E">
        <w:rPr>
          <w:rFonts w:asciiTheme="minorEastAsia" w:eastAsiaTheme="minorEastAsia" w:hAnsiTheme="minorEastAsia"/>
          <w:kern w:val="0"/>
          <w:szCs w:val="21"/>
        </w:rPr>
        <w:t>日内决定是否召集，并书面告知基金托管人。基金管理人决定召集的，应当自出具书面决定之日起</w:t>
      </w:r>
      <w:r w:rsidRPr="00D6191E">
        <w:rPr>
          <w:rFonts w:asciiTheme="minorEastAsia" w:eastAsiaTheme="minorEastAsia" w:hAnsiTheme="minorEastAsia" w:hint="eastAsia"/>
          <w:kern w:val="0"/>
          <w:szCs w:val="21"/>
        </w:rPr>
        <w:t>60</w:t>
      </w:r>
      <w:r w:rsidRPr="00D6191E">
        <w:rPr>
          <w:rFonts w:asciiTheme="minorEastAsia" w:eastAsiaTheme="minorEastAsia" w:hAnsiTheme="minorEastAsia"/>
          <w:kern w:val="0"/>
          <w:szCs w:val="21"/>
        </w:rPr>
        <w:t>日内召开；基金管理人决定不召集，基金托管人仍认为有必要召开的，应当自行召集</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(3)</w:t>
      </w:r>
      <w:r w:rsidRPr="00D6191E">
        <w:rPr>
          <w:rFonts w:asciiTheme="minorEastAsia" w:eastAsiaTheme="minorEastAsia" w:hAnsiTheme="minorEastAsia"/>
          <w:szCs w:val="21"/>
        </w:rPr>
        <w:t>代表基金份额10%以上的基金份额持有人认为有必要召开基金份额持有人大会的，应当向基金管理人提出书面提议。基金管理人应当自收到书面提议之日起</w:t>
      </w:r>
      <w:r w:rsidRPr="00D6191E">
        <w:rPr>
          <w:rFonts w:asciiTheme="minorEastAsia" w:eastAsiaTheme="minorEastAsia" w:hAnsiTheme="minorEastAsia" w:hint="eastAsia"/>
          <w:szCs w:val="21"/>
        </w:rPr>
        <w:t>10</w:t>
      </w:r>
      <w:r w:rsidRPr="00D6191E">
        <w:rPr>
          <w:rFonts w:asciiTheme="minorEastAsia" w:eastAsiaTheme="minorEastAsia" w:hAnsiTheme="minorEastAsia"/>
          <w:szCs w:val="21"/>
        </w:rPr>
        <w:t>日内决定是否召集，并书面告知提出提议的基金份额持有人代表和基金托管人。基金管理人决定召集的，应当自出具书面决定之日起</w:t>
      </w:r>
      <w:r w:rsidRPr="00D6191E">
        <w:rPr>
          <w:rFonts w:asciiTheme="minorEastAsia" w:eastAsiaTheme="minorEastAsia" w:hAnsiTheme="minorEastAsia" w:hint="eastAsia"/>
          <w:szCs w:val="21"/>
        </w:rPr>
        <w:t>60</w:t>
      </w:r>
      <w:r w:rsidRPr="00D6191E">
        <w:rPr>
          <w:rFonts w:asciiTheme="minorEastAsia" w:eastAsiaTheme="minorEastAsia" w:hAnsiTheme="minorEastAsia"/>
          <w:szCs w:val="21"/>
        </w:rPr>
        <w:t>日内召开；基金管理人决定不召集，代表基金份额10%以上的基金份额持有人仍认为有必要召开的，应当向基金托管人提出书面提议。基金托管人应当自收到书面提议之日起</w:t>
      </w:r>
      <w:r w:rsidRPr="00D6191E">
        <w:rPr>
          <w:rFonts w:asciiTheme="minorEastAsia" w:eastAsiaTheme="minorEastAsia" w:hAnsiTheme="minorEastAsia" w:hint="eastAsia"/>
          <w:szCs w:val="21"/>
        </w:rPr>
        <w:t>10</w:t>
      </w:r>
      <w:r w:rsidRPr="00D6191E">
        <w:rPr>
          <w:rFonts w:asciiTheme="minorEastAsia" w:eastAsiaTheme="minorEastAsia" w:hAnsiTheme="minorEastAsia"/>
          <w:szCs w:val="21"/>
        </w:rPr>
        <w:t>日内决定是否召集，并书面告知提出提议的基金份额持有人代表和基金管理人；基金托管人决定召集的，应当自出具书面决定之日起</w:t>
      </w:r>
      <w:r w:rsidRPr="00D6191E">
        <w:rPr>
          <w:rFonts w:asciiTheme="minorEastAsia" w:eastAsiaTheme="minorEastAsia" w:hAnsiTheme="minorEastAsia" w:hint="eastAsia"/>
          <w:szCs w:val="21"/>
        </w:rPr>
        <w:t>60</w:t>
      </w:r>
      <w:r w:rsidRPr="00D6191E">
        <w:rPr>
          <w:rFonts w:asciiTheme="minorEastAsia" w:eastAsiaTheme="minorEastAsia" w:hAnsiTheme="minorEastAsia"/>
          <w:szCs w:val="21"/>
        </w:rPr>
        <w:t>日内召开</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(4)</w:t>
      </w:r>
      <w:r w:rsidRPr="00D6191E">
        <w:rPr>
          <w:rFonts w:asciiTheme="minorEastAsia" w:eastAsiaTheme="minorEastAsia" w:hAnsiTheme="minorEastAsia"/>
          <w:szCs w:val="21"/>
        </w:rPr>
        <w:t>代表基金份额10%以上的基金份额持有人就同一事项要求召开基金份额持有人大会，而基金管理人、基金托管人都不召集的，代表基金份额10%以上的基金份额持有人有权自行召集基金份额持有人大会，但应当至少提前</w:t>
      </w:r>
      <w:r w:rsidRPr="00D6191E">
        <w:rPr>
          <w:rFonts w:asciiTheme="minorEastAsia" w:eastAsiaTheme="minorEastAsia" w:hAnsiTheme="minorEastAsia" w:hint="eastAsia"/>
          <w:szCs w:val="21"/>
        </w:rPr>
        <w:t>30</w:t>
      </w:r>
      <w:r w:rsidRPr="00D6191E">
        <w:rPr>
          <w:rFonts w:asciiTheme="minorEastAsia" w:eastAsiaTheme="minorEastAsia" w:hAnsiTheme="minorEastAsia"/>
          <w:szCs w:val="21"/>
        </w:rPr>
        <w:t>日向中国证监会备案</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(5)</w:t>
      </w:r>
      <w:r w:rsidRPr="00D6191E">
        <w:rPr>
          <w:rFonts w:asciiTheme="minorEastAsia" w:eastAsiaTheme="minorEastAsia" w:hAnsiTheme="minorEastAsia"/>
          <w:szCs w:val="21"/>
        </w:rPr>
        <w:t>基金份额持有人依法自行召集基金份额持有人大会的，基金管理人、基金托管人应当配合，不得阻碍、干扰</w:t>
      </w:r>
      <w:r w:rsidRPr="00D6191E">
        <w:rPr>
          <w:rFonts w:asciiTheme="minorEastAsia" w:eastAsiaTheme="minorEastAsia" w:hAnsiTheme="minorEastAsia" w:hint="eastAsia"/>
          <w:kern w:val="0"/>
          <w:szCs w:val="21"/>
        </w:rPr>
        <w:t>。</w:t>
      </w:r>
    </w:p>
    <w:p w:rsidR="00BA4B87" w:rsidRPr="00D6191E" w:rsidRDefault="0085353A"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4</w:t>
      </w:r>
      <w:r w:rsidR="00234286" w:rsidRPr="00D6191E">
        <w:rPr>
          <w:rFonts w:asciiTheme="minorEastAsia" w:eastAsiaTheme="minorEastAsia" w:hAnsiTheme="minorEastAsia" w:hint="eastAsia"/>
          <w:kern w:val="0"/>
          <w:szCs w:val="21"/>
        </w:rPr>
        <w:t>、</w:t>
      </w:r>
      <w:r w:rsidR="00BA4B87" w:rsidRPr="00D6191E">
        <w:rPr>
          <w:rFonts w:asciiTheme="minorEastAsia" w:eastAsiaTheme="minorEastAsia" w:hAnsiTheme="minorEastAsia"/>
          <w:szCs w:val="21"/>
        </w:rPr>
        <w:t>召开基金份额持有人大会的通知时间、通知内容、通知方式</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w:t>
      </w:r>
      <w:r w:rsidRPr="00D6191E">
        <w:rPr>
          <w:rFonts w:asciiTheme="minorEastAsia" w:eastAsiaTheme="minorEastAsia" w:hAnsiTheme="minorEastAsia" w:hint="eastAsia"/>
          <w:szCs w:val="21"/>
        </w:rPr>
        <w:t>基金份额持有人大会的召集人(以下简称“召集人”)负责</w:t>
      </w:r>
      <w:r w:rsidRPr="00D6191E">
        <w:rPr>
          <w:rStyle w:val="read"/>
          <w:rFonts w:asciiTheme="minorEastAsia" w:eastAsiaTheme="minorEastAsia" w:hAnsiTheme="minorEastAsia" w:hint="eastAsia"/>
          <w:szCs w:val="21"/>
        </w:rPr>
        <w:t>选择确定开会时间、地点、方式和权益登记日。</w:t>
      </w:r>
      <w:r w:rsidRPr="00D6191E">
        <w:rPr>
          <w:rFonts w:asciiTheme="minorEastAsia" w:eastAsiaTheme="minorEastAsia" w:hAnsiTheme="minorEastAsia" w:hint="eastAsia"/>
          <w:szCs w:val="21"/>
        </w:rPr>
        <w:t>召开基金份额持有人大会，召集人必须于会议召开日前30日在</w:t>
      </w:r>
      <w:r w:rsidR="00F44B20" w:rsidRPr="00D6191E">
        <w:rPr>
          <w:rFonts w:asciiTheme="minorEastAsia" w:eastAsiaTheme="minorEastAsia" w:hAnsiTheme="minorEastAsia" w:hint="eastAsia"/>
          <w:szCs w:val="21"/>
        </w:rPr>
        <w:t>指定媒介</w:t>
      </w:r>
      <w:r w:rsidRPr="00D6191E">
        <w:rPr>
          <w:rFonts w:asciiTheme="minorEastAsia" w:eastAsiaTheme="minorEastAsia" w:hAnsiTheme="minorEastAsia" w:hint="eastAsia"/>
          <w:szCs w:val="21"/>
        </w:rPr>
        <w:t>公告。基金份额持有人大会通知须至少载明以下内容</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a.</w:t>
      </w:r>
      <w:r w:rsidRPr="00D6191E">
        <w:rPr>
          <w:rFonts w:asciiTheme="minorEastAsia" w:eastAsiaTheme="minorEastAsia" w:hAnsiTheme="minorEastAsia" w:hint="eastAsia"/>
          <w:szCs w:val="21"/>
        </w:rPr>
        <w:t>会议召开的时间、地点和出席方式</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b.</w:t>
      </w:r>
      <w:r w:rsidRPr="00D6191E">
        <w:rPr>
          <w:rFonts w:asciiTheme="minorEastAsia" w:eastAsiaTheme="minorEastAsia" w:hAnsiTheme="minorEastAsia" w:hint="eastAsia"/>
          <w:szCs w:val="21"/>
        </w:rPr>
        <w:t>会议拟审议的主要事项</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c.</w:t>
      </w:r>
      <w:r w:rsidRPr="00D6191E">
        <w:rPr>
          <w:rFonts w:asciiTheme="minorEastAsia" w:eastAsiaTheme="minorEastAsia" w:hAnsiTheme="minorEastAsia"/>
          <w:szCs w:val="21"/>
        </w:rPr>
        <w:t>会议形式</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d.</w:t>
      </w:r>
      <w:r w:rsidRPr="00D6191E">
        <w:rPr>
          <w:rFonts w:asciiTheme="minorEastAsia" w:eastAsiaTheme="minorEastAsia" w:hAnsiTheme="minorEastAsia"/>
          <w:szCs w:val="21"/>
        </w:rPr>
        <w:t>议事程序</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e.</w:t>
      </w:r>
      <w:r w:rsidRPr="00D6191E">
        <w:rPr>
          <w:rFonts w:asciiTheme="minorEastAsia" w:eastAsiaTheme="minorEastAsia" w:hAnsiTheme="minorEastAsia" w:hint="eastAsia"/>
          <w:szCs w:val="21"/>
        </w:rPr>
        <w:t>有权出席基金份额持有人大会的基金份额持有人权益登记日</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f.</w:t>
      </w:r>
      <w:r w:rsidRPr="00D6191E">
        <w:rPr>
          <w:rFonts w:asciiTheme="minorEastAsia" w:eastAsiaTheme="minorEastAsia" w:hAnsiTheme="minorEastAsia" w:hint="eastAsia"/>
          <w:szCs w:val="21"/>
        </w:rPr>
        <w:t>代理投票的授权委托书的内容要求</w:t>
      </w:r>
      <w:r w:rsidRPr="00D6191E">
        <w:rPr>
          <w:rFonts w:asciiTheme="minorEastAsia" w:eastAsiaTheme="minorEastAsia" w:hAnsiTheme="minorEastAsia"/>
          <w:szCs w:val="21"/>
        </w:rPr>
        <w:t>(包括但不限于代理人身份、代理权限和代理有效期限等)、</w:t>
      </w:r>
      <w:r w:rsidRPr="00D6191E">
        <w:rPr>
          <w:rFonts w:asciiTheme="minorEastAsia" w:eastAsiaTheme="minorEastAsia" w:hAnsiTheme="minorEastAsia" w:hint="eastAsia"/>
          <w:szCs w:val="21"/>
        </w:rPr>
        <w:t>送达时间和地点</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g.</w:t>
      </w:r>
      <w:r w:rsidRPr="00D6191E">
        <w:rPr>
          <w:rFonts w:asciiTheme="minorEastAsia" w:eastAsiaTheme="minorEastAsia" w:hAnsiTheme="minorEastAsia"/>
          <w:szCs w:val="21"/>
        </w:rPr>
        <w:t>表决方式</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szCs w:val="21"/>
        </w:rPr>
      </w:pPr>
      <w:r w:rsidRPr="00D6191E">
        <w:rPr>
          <w:rFonts w:asciiTheme="minorEastAsia" w:eastAsiaTheme="minorEastAsia" w:hAnsiTheme="minorEastAsia" w:hint="eastAsia"/>
          <w:kern w:val="0"/>
          <w:szCs w:val="21"/>
        </w:rPr>
        <w:t>h.</w:t>
      </w:r>
      <w:r w:rsidRPr="00D6191E">
        <w:rPr>
          <w:rFonts w:asciiTheme="minorEastAsia" w:eastAsiaTheme="minorEastAsia" w:hAnsiTheme="minorEastAsia" w:hint="eastAsia"/>
          <w:szCs w:val="21"/>
        </w:rPr>
        <w:t>会务常设联系人姓名、电话；</w:t>
      </w:r>
    </w:p>
    <w:p w:rsidR="00BA4B87" w:rsidRPr="00D6191E" w:rsidRDefault="00BA4B87" w:rsidP="000449FE">
      <w:pPr>
        <w:snapToGrid w:val="0"/>
        <w:spacing w:line="360" w:lineRule="auto"/>
        <w:ind w:firstLine="420"/>
        <w:rPr>
          <w:rFonts w:asciiTheme="minorEastAsia" w:eastAsiaTheme="minorEastAsia" w:hAnsiTheme="minorEastAsia"/>
          <w:szCs w:val="21"/>
        </w:rPr>
      </w:pPr>
      <w:r w:rsidRPr="00D6191E">
        <w:rPr>
          <w:rFonts w:asciiTheme="minorEastAsia" w:eastAsiaTheme="minorEastAsia" w:hAnsiTheme="minorEastAsia" w:hint="eastAsia"/>
          <w:szCs w:val="21"/>
        </w:rPr>
        <w:t>i.</w:t>
      </w:r>
      <w:r w:rsidRPr="00D6191E">
        <w:rPr>
          <w:rFonts w:asciiTheme="minorEastAsia" w:eastAsiaTheme="minorEastAsia" w:hAnsiTheme="minorEastAsia"/>
          <w:szCs w:val="21"/>
        </w:rPr>
        <w:t>出席会议者必须准备的文件和必须履行的手续</w:t>
      </w:r>
      <w:r w:rsidRPr="00D6191E">
        <w:rPr>
          <w:rFonts w:asciiTheme="minorEastAsia" w:eastAsiaTheme="minorEastAsia" w:hAnsiTheme="minorEastAsia" w:hint="eastAsia"/>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szCs w:val="21"/>
        </w:rPr>
        <w:t>j.</w:t>
      </w:r>
      <w:r w:rsidRPr="00D6191E">
        <w:rPr>
          <w:rFonts w:asciiTheme="minorEastAsia" w:eastAsiaTheme="minorEastAsia" w:hAnsiTheme="minorEastAsia"/>
          <w:szCs w:val="21"/>
        </w:rPr>
        <w:t>召集人需要通知的其他事项</w:t>
      </w:r>
      <w:r w:rsidRPr="00D6191E">
        <w:rPr>
          <w:rFonts w:asciiTheme="minorEastAsia" w:eastAsiaTheme="minorEastAsia" w:hAnsiTheme="minorEastAsia" w:hint="eastAsia"/>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w:t>
      </w:r>
      <w:r w:rsidRPr="00D6191E">
        <w:rPr>
          <w:rFonts w:asciiTheme="minorEastAsia" w:eastAsiaTheme="minorEastAsia" w:hAnsiTheme="minorEastAsia" w:hint="eastAsia"/>
          <w:szCs w:val="21"/>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lastRenderedPageBreak/>
        <w:t>(3)</w:t>
      </w:r>
      <w:r w:rsidRPr="00D6191E">
        <w:rPr>
          <w:rFonts w:asciiTheme="minorEastAsia" w:eastAsiaTheme="minorEastAsia" w:hAnsiTheme="minorEastAsia"/>
          <w:szCs w:val="21"/>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r w:rsidRPr="00D6191E">
        <w:rPr>
          <w:rFonts w:asciiTheme="minorEastAsia" w:eastAsiaTheme="minorEastAsia" w:hAnsiTheme="minorEastAsia" w:hint="eastAsia"/>
          <w:szCs w:val="21"/>
        </w:rPr>
        <w:t>。基金管理人或基金托管人拒不派代表对书面表决意见的计票进行监督的，不影响计票和表决结果</w:t>
      </w:r>
      <w:r w:rsidRPr="00D6191E">
        <w:rPr>
          <w:rFonts w:asciiTheme="minorEastAsia" w:eastAsiaTheme="minorEastAsia" w:hAnsiTheme="minorEastAsia" w:hint="eastAsia"/>
          <w:kern w:val="0"/>
          <w:szCs w:val="21"/>
        </w:rPr>
        <w:t>。</w:t>
      </w:r>
    </w:p>
    <w:p w:rsidR="00BA4B87" w:rsidRPr="00D6191E" w:rsidRDefault="00234286"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5、</w:t>
      </w:r>
      <w:r w:rsidR="00BA4B87" w:rsidRPr="00D6191E">
        <w:rPr>
          <w:rFonts w:asciiTheme="minorEastAsia" w:eastAsiaTheme="minorEastAsia" w:hAnsiTheme="minorEastAsia" w:hint="eastAsia"/>
          <w:kern w:val="0"/>
          <w:szCs w:val="21"/>
        </w:rPr>
        <w:t>基金份额持有人出席会议的方式</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(1).会议方式</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a.</w:t>
      </w:r>
      <w:r w:rsidRPr="00D6191E">
        <w:rPr>
          <w:rFonts w:asciiTheme="minorEastAsia" w:eastAsiaTheme="minorEastAsia" w:hAnsiTheme="minorEastAsia" w:cs="Arial"/>
          <w:szCs w:val="21"/>
        </w:rPr>
        <w:t>基金份额持有人大会的召开方式包括现场开会</w:t>
      </w:r>
      <w:r w:rsidRPr="00D6191E">
        <w:rPr>
          <w:rFonts w:asciiTheme="minorEastAsia" w:eastAsiaTheme="minorEastAsia" w:hAnsiTheme="minorEastAsia" w:cs="Arial" w:hint="eastAsia"/>
          <w:szCs w:val="21"/>
        </w:rPr>
        <w:t>、</w:t>
      </w:r>
      <w:r w:rsidRPr="00D6191E">
        <w:rPr>
          <w:rFonts w:asciiTheme="minorEastAsia" w:eastAsiaTheme="minorEastAsia" w:hAnsiTheme="minorEastAsia" w:cs="Arial"/>
          <w:szCs w:val="21"/>
        </w:rPr>
        <w:t>通讯方式开会</w:t>
      </w:r>
      <w:r w:rsidRPr="00D6191E">
        <w:rPr>
          <w:rFonts w:asciiTheme="minorEastAsia" w:eastAsiaTheme="minorEastAsia" w:hAnsiTheme="minorEastAsia" w:cs="Arial" w:hint="eastAsia"/>
          <w:szCs w:val="21"/>
        </w:rPr>
        <w:t>或法律法规和监管机关允许的其他方式。</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b.</w:t>
      </w:r>
      <w:r w:rsidRPr="00D6191E">
        <w:rPr>
          <w:rFonts w:asciiTheme="minorEastAsia" w:eastAsiaTheme="minorEastAsia" w:hAnsiTheme="minorEastAsia" w:cs="Arial"/>
          <w:szCs w:val="21"/>
        </w:rPr>
        <w:t>现场开会由基金份额持有人本人出席或通过授权委托书委派其代理人出席，现场开会时基金管理人和基金托管人的授权代表应当出席</w:t>
      </w:r>
      <w:r w:rsidRPr="00D6191E">
        <w:rPr>
          <w:rFonts w:asciiTheme="minorEastAsia" w:eastAsiaTheme="minorEastAsia" w:hAnsiTheme="minorEastAsia" w:cs="Arial" w:hint="eastAsia"/>
          <w:szCs w:val="21"/>
        </w:rPr>
        <w:t>，如基金</w:t>
      </w:r>
      <w:r w:rsidRPr="00D6191E">
        <w:rPr>
          <w:rFonts w:asciiTheme="minorEastAsia" w:eastAsiaTheme="minorEastAsia" w:hAnsiTheme="minorEastAsia" w:cs="Arial"/>
          <w:szCs w:val="21"/>
        </w:rPr>
        <w:t>管理人</w:t>
      </w:r>
      <w:r w:rsidRPr="00D6191E">
        <w:rPr>
          <w:rFonts w:asciiTheme="minorEastAsia" w:eastAsiaTheme="minorEastAsia" w:hAnsiTheme="minorEastAsia" w:cs="Arial" w:hint="eastAsia"/>
          <w:szCs w:val="21"/>
        </w:rPr>
        <w:t>或</w:t>
      </w:r>
      <w:r w:rsidRPr="00D6191E">
        <w:rPr>
          <w:rFonts w:asciiTheme="minorEastAsia" w:eastAsiaTheme="minorEastAsia" w:hAnsiTheme="minorEastAsia" w:cs="Arial"/>
          <w:szCs w:val="21"/>
        </w:rPr>
        <w:t>基金托管人</w:t>
      </w:r>
      <w:r w:rsidRPr="00D6191E">
        <w:rPr>
          <w:rFonts w:asciiTheme="minorEastAsia" w:eastAsiaTheme="minorEastAsia" w:hAnsiTheme="minorEastAsia" w:cs="Arial" w:hint="eastAsia"/>
          <w:szCs w:val="21"/>
        </w:rPr>
        <w:t>拒不派代表</w:t>
      </w:r>
      <w:r w:rsidRPr="00D6191E">
        <w:rPr>
          <w:rFonts w:asciiTheme="minorEastAsia" w:eastAsiaTheme="minorEastAsia" w:hAnsiTheme="minorEastAsia" w:cs="Arial"/>
          <w:szCs w:val="21"/>
        </w:rPr>
        <w:t>出席</w:t>
      </w:r>
      <w:r w:rsidRPr="00D6191E">
        <w:rPr>
          <w:rFonts w:asciiTheme="minorEastAsia" w:eastAsiaTheme="minorEastAsia" w:hAnsiTheme="minorEastAsia" w:cs="Arial" w:hint="eastAsia"/>
          <w:szCs w:val="21"/>
        </w:rPr>
        <w:t>的，不影响表决效力。</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c.</w:t>
      </w:r>
      <w:r w:rsidRPr="00D6191E">
        <w:rPr>
          <w:rFonts w:asciiTheme="minorEastAsia" w:eastAsiaTheme="minorEastAsia" w:hAnsiTheme="minorEastAsia" w:cs="Arial"/>
          <w:szCs w:val="21"/>
        </w:rPr>
        <w:t>通讯方式开会指按照本基金合同的</w:t>
      </w:r>
      <w:r w:rsidRPr="00D6191E">
        <w:rPr>
          <w:rFonts w:asciiTheme="minorEastAsia" w:eastAsiaTheme="minorEastAsia" w:hAnsiTheme="minorEastAsia" w:cs="Arial" w:hint="eastAsia"/>
          <w:szCs w:val="21"/>
        </w:rPr>
        <w:t>相关规定以通讯的书面方式进行表决。</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d.</w:t>
      </w:r>
      <w:r w:rsidRPr="00D6191E">
        <w:rPr>
          <w:rFonts w:asciiTheme="minorEastAsia" w:eastAsiaTheme="minorEastAsia" w:hAnsiTheme="minorEastAsia" w:cs="Arial"/>
          <w:szCs w:val="21"/>
        </w:rPr>
        <w:t>会议的召开方式由召集人确定。</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(2)召开基金份额持有人大会的条件</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a.现场开会方式</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在同时符合以下条件时，现场</w:t>
      </w:r>
      <w:r w:rsidRPr="00D6191E">
        <w:rPr>
          <w:rFonts w:asciiTheme="minorEastAsia" w:eastAsiaTheme="minorEastAsia" w:hAnsiTheme="minorEastAsia" w:cs="Arial"/>
          <w:szCs w:val="21"/>
        </w:rPr>
        <w:t>会议方可举行</w:t>
      </w:r>
      <w:r w:rsidRPr="00D6191E">
        <w:rPr>
          <w:rFonts w:asciiTheme="minorEastAsia" w:eastAsiaTheme="minorEastAsia" w:hAnsiTheme="minorEastAsia" w:cs="Arial" w:hint="eastAsia"/>
          <w:szCs w:val="21"/>
        </w:rPr>
        <w:t>：</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w:t>
      </w:r>
      <w:r w:rsidRPr="00D6191E">
        <w:rPr>
          <w:rFonts w:asciiTheme="minorEastAsia" w:eastAsiaTheme="minorEastAsia" w:hAnsiTheme="minorEastAsia" w:cs="Arial"/>
          <w:szCs w:val="21"/>
        </w:rPr>
        <w:t>对到会者在权益登记日持有基金份额的统计显示，</w:t>
      </w:r>
      <w:r w:rsidRPr="00D6191E">
        <w:rPr>
          <w:rFonts w:asciiTheme="minorEastAsia" w:eastAsiaTheme="minorEastAsia" w:hAnsiTheme="minorEastAsia" w:cs="Arial" w:hint="eastAsia"/>
          <w:szCs w:val="21"/>
        </w:rPr>
        <w:t>全部</w:t>
      </w:r>
      <w:r w:rsidRPr="00D6191E">
        <w:rPr>
          <w:rFonts w:asciiTheme="minorEastAsia" w:eastAsiaTheme="minorEastAsia" w:hAnsiTheme="minorEastAsia" w:cs="Arial"/>
          <w:szCs w:val="21"/>
        </w:rPr>
        <w:t>有效</w:t>
      </w:r>
      <w:r w:rsidRPr="00D6191E">
        <w:rPr>
          <w:rFonts w:asciiTheme="minorEastAsia" w:eastAsiaTheme="minorEastAsia" w:hAnsiTheme="minorEastAsia" w:cs="Arial" w:hint="eastAsia"/>
          <w:szCs w:val="21"/>
        </w:rPr>
        <w:t>凭证所对应</w:t>
      </w:r>
      <w:r w:rsidRPr="00D6191E">
        <w:rPr>
          <w:rFonts w:asciiTheme="minorEastAsia" w:eastAsiaTheme="minorEastAsia" w:hAnsiTheme="minorEastAsia" w:cs="Arial"/>
          <w:szCs w:val="21"/>
        </w:rPr>
        <w:t>的基金份额应占权益登记日基金总份额的50%以上</w:t>
      </w:r>
      <w:r w:rsidRPr="00D6191E">
        <w:rPr>
          <w:rFonts w:asciiTheme="minorEastAsia" w:eastAsiaTheme="minorEastAsia" w:hAnsiTheme="minorEastAsia" w:cs="Arial" w:hint="eastAsia"/>
          <w:szCs w:val="21"/>
        </w:rPr>
        <w:t>(含</w:t>
      </w:r>
      <w:r w:rsidRPr="00D6191E">
        <w:rPr>
          <w:rFonts w:asciiTheme="minorEastAsia" w:eastAsiaTheme="minorEastAsia" w:hAnsiTheme="minorEastAsia" w:cs="Arial"/>
          <w:szCs w:val="21"/>
        </w:rPr>
        <w:t>50%</w:t>
      </w:r>
      <w:r w:rsidRPr="00D6191E">
        <w:rPr>
          <w:rFonts w:asciiTheme="minorEastAsia" w:eastAsiaTheme="minorEastAsia" w:hAnsiTheme="minorEastAsia" w:cs="Arial" w:hint="eastAsia"/>
          <w:szCs w:val="21"/>
        </w:rPr>
        <w:t>，下同)</w:t>
      </w:r>
      <w:r w:rsidRPr="00D6191E">
        <w:rPr>
          <w:rFonts w:asciiTheme="minorEastAsia" w:eastAsiaTheme="minorEastAsia" w:hAnsiTheme="minorEastAsia" w:cs="Arial"/>
          <w:szCs w:val="21"/>
        </w:rPr>
        <w:t>；</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w:t>
      </w:r>
      <w:r w:rsidRPr="00D6191E">
        <w:rPr>
          <w:rFonts w:asciiTheme="minorEastAsia" w:eastAsiaTheme="minorEastAsia" w:hAnsiTheme="minorEastAsia" w:cs="Arial"/>
          <w:szCs w:val="21"/>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sidRPr="00D6191E">
        <w:rPr>
          <w:rFonts w:asciiTheme="minorEastAsia" w:eastAsiaTheme="minorEastAsia" w:hAnsiTheme="minorEastAsia" w:cs="Arial" w:hint="eastAsia"/>
          <w:szCs w:val="21"/>
        </w:rPr>
        <w:t>注册</w:t>
      </w:r>
      <w:r w:rsidRPr="00D6191E">
        <w:rPr>
          <w:rFonts w:asciiTheme="minorEastAsia" w:eastAsiaTheme="minorEastAsia" w:hAnsiTheme="minorEastAsia" w:cs="Arial"/>
          <w:szCs w:val="21"/>
        </w:rPr>
        <w:t>登记资料相符。</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未能满足上述条件的情况下，则召集人可另行确定并公告重新开会的时间</w:t>
      </w:r>
      <w:r w:rsidRPr="00D6191E">
        <w:rPr>
          <w:rFonts w:asciiTheme="minorEastAsia" w:eastAsiaTheme="minorEastAsia" w:hAnsiTheme="minorEastAsia" w:cs="Arial"/>
          <w:szCs w:val="21"/>
        </w:rPr>
        <w:t>(</w:t>
      </w:r>
      <w:r w:rsidRPr="00D6191E">
        <w:rPr>
          <w:rFonts w:asciiTheme="minorEastAsia" w:eastAsiaTheme="minorEastAsia" w:hAnsiTheme="minorEastAsia" w:cs="Arial" w:hint="eastAsia"/>
          <w:szCs w:val="21"/>
        </w:rPr>
        <w:t>至少应在</w:t>
      </w:r>
      <w:r w:rsidRPr="00D6191E">
        <w:rPr>
          <w:rFonts w:asciiTheme="minorEastAsia" w:eastAsiaTheme="minorEastAsia" w:hAnsiTheme="minorEastAsia" w:cs="Arial"/>
          <w:szCs w:val="21"/>
        </w:rPr>
        <w:t>25</w:t>
      </w:r>
      <w:r w:rsidRPr="00D6191E">
        <w:rPr>
          <w:rFonts w:asciiTheme="minorEastAsia" w:eastAsiaTheme="minorEastAsia" w:hAnsiTheme="minorEastAsia" w:cs="Arial" w:hint="eastAsia"/>
          <w:szCs w:val="21"/>
        </w:rPr>
        <w:t>个工作日后</w:t>
      </w:r>
      <w:r w:rsidRPr="00D6191E">
        <w:rPr>
          <w:rFonts w:asciiTheme="minorEastAsia" w:eastAsiaTheme="minorEastAsia" w:hAnsiTheme="minorEastAsia" w:cs="Arial"/>
          <w:szCs w:val="21"/>
        </w:rPr>
        <w:t>)</w:t>
      </w:r>
      <w:r w:rsidRPr="00D6191E">
        <w:rPr>
          <w:rFonts w:asciiTheme="minorEastAsia" w:eastAsiaTheme="minorEastAsia" w:hAnsiTheme="minorEastAsia" w:cs="Arial" w:hint="eastAsia"/>
          <w:szCs w:val="21"/>
        </w:rPr>
        <w:t>和地点，但确定有权出席会议的基金份额持有人资格的权益登记日不变。</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b.通讯开会方式</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在同时符合以下条件时，</w:t>
      </w:r>
      <w:r w:rsidRPr="00D6191E">
        <w:rPr>
          <w:rFonts w:asciiTheme="minorEastAsia" w:eastAsiaTheme="minorEastAsia" w:hAnsiTheme="minorEastAsia" w:cs="Arial"/>
          <w:szCs w:val="21"/>
        </w:rPr>
        <w:t>通讯会议方可举行</w:t>
      </w:r>
      <w:r w:rsidRPr="00D6191E">
        <w:rPr>
          <w:rFonts w:asciiTheme="minorEastAsia" w:eastAsiaTheme="minorEastAsia" w:hAnsiTheme="minorEastAsia" w:cs="Arial" w:hint="eastAsia"/>
          <w:szCs w:val="21"/>
        </w:rPr>
        <w:t>：</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1)召集人按本基金合同规定公布会议通知后，在2个工作日内连续公布相关提示性公告；</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2)召集人按基金合同规定通知基金托管人或/和基金管理人(分别或共同称为“监督人”)到指定地点对书面表决意见的计票进行监督；</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3)召集人在监督人和公证机关的监督下按照会议通知规定的方式收取和统计基金份额持有人的书面表决意见，监督</w:t>
      </w:r>
      <w:r w:rsidRPr="00D6191E">
        <w:rPr>
          <w:rFonts w:asciiTheme="minorEastAsia" w:eastAsiaTheme="minorEastAsia" w:hAnsiTheme="minorEastAsia" w:cs="Arial"/>
          <w:szCs w:val="21"/>
        </w:rPr>
        <w:t>人</w:t>
      </w:r>
      <w:r w:rsidRPr="00D6191E">
        <w:rPr>
          <w:rFonts w:asciiTheme="minorEastAsia" w:eastAsiaTheme="minorEastAsia" w:hAnsiTheme="minorEastAsia" w:cs="Arial" w:hint="eastAsia"/>
          <w:szCs w:val="21"/>
        </w:rPr>
        <w:t>经通知拒不到场监督的，不影响表决效力；</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4)本人直接出具书面意见和授权他人代表出具书面意见的基金份额持有人</w:t>
      </w:r>
      <w:r w:rsidRPr="00D6191E">
        <w:rPr>
          <w:rFonts w:asciiTheme="minorEastAsia" w:eastAsiaTheme="minorEastAsia" w:hAnsiTheme="minorEastAsia" w:cs="Arial"/>
          <w:szCs w:val="21"/>
        </w:rPr>
        <w:t>所代表的基金份额占权益登记日基金总份额的50%以上</w:t>
      </w:r>
      <w:r w:rsidRPr="00D6191E">
        <w:rPr>
          <w:rFonts w:asciiTheme="minorEastAsia" w:eastAsiaTheme="minorEastAsia" w:hAnsiTheme="minorEastAsia" w:cs="Arial" w:hint="eastAsia"/>
          <w:szCs w:val="21"/>
        </w:rPr>
        <w:t>；</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5)直接出具书面意见的基金份额持有人或受托代表他人出具书面意见的代理人提交的</w:t>
      </w:r>
      <w:r w:rsidRPr="00D6191E">
        <w:rPr>
          <w:rFonts w:asciiTheme="minorEastAsia" w:eastAsiaTheme="minorEastAsia" w:hAnsiTheme="minorEastAsia" w:cs="Arial" w:hint="eastAsia"/>
          <w:szCs w:val="21"/>
        </w:rPr>
        <w:lastRenderedPageBreak/>
        <w:t>持有基金份额的凭证、授权委托书等文件符合法律法规、基金合同和会议通知的规定，并与注册登记机构记录相符。</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如果开会条件达不到上述的条件，则召集人可另行确定并公告重新表决的时间</w:t>
      </w:r>
      <w:r w:rsidRPr="00D6191E">
        <w:rPr>
          <w:rFonts w:asciiTheme="minorEastAsia" w:eastAsiaTheme="minorEastAsia" w:hAnsiTheme="minorEastAsia" w:cs="Arial"/>
          <w:szCs w:val="21"/>
        </w:rPr>
        <w:t>(</w:t>
      </w:r>
      <w:r w:rsidRPr="00D6191E">
        <w:rPr>
          <w:rFonts w:asciiTheme="minorEastAsia" w:eastAsiaTheme="minorEastAsia" w:hAnsiTheme="minorEastAsia" w:cs="Arial" w:hint="eastAsia"/>
          <w:szCs w:val="21"/>
        </w:rPr>
        <w:t>至少应在25个工作日后</w:t>
      </w:r>
      <w:r w:rsidRPr="00D6191E">
        <w:rPr>
          <w:rFonts w:asciiTheme="minorEastAsia" w:eastAsiaTheme="minorEastAsia" w:hAnsiTheme="minorEastAsia" w:cs="Arial"/>
          <w:szCs w:val="21"/>
        </w:rPr>
        <w:t>)</w:t>
      </w:r>
      <w:r w:rsidRPr="00D6191E">
        <w:rPr>
          <w:rFonts w:asciiTheme="minorEastAsia" w:eastAsiaTheme="minorEastAsia" w:hAnsiTheme="minorEastAsia" w:cs="Arial" w:hint="eastAsia"/>
          <w:szCs w:val="21"/>
        </w:rPr>
        <w:t>，且确定有权出席会议的基金份额持有人资格的权益登记日不变。</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6）在法律法规或监管机构允许的情况下，经会议通知载明，基金份额持有人也可以采用网络、电话或其他方式进行表决，或者采用网络、电话或其他方式授权他人代为出席会议并表决。</w:t>
      </w:r>
    </w:p>
    <w:p w:rsidR="00BA4B87" w:rsidRPr="00D6191E" w:rsidRDefault="00234286"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6、</w:t>
      </w:r>
      <w:r w:rsidR="00BA4B87" w:rsidRPr="00D6191E">
        <w:rPr>
          <w:rFonts w:asciiTheme="minorEastAsia" w:eastAsiaTheme="minorEastAsia" w:hAnsiTheme="minorEastAsia" w:hint="eastAsia"/>
          <w:kern w:val="0"/>
          <w:szCs w:val="21"/>
        </w:rPr>
        <w:t>议事内容与程序</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(1)议事内容及提案权</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szCs w:val="21"/>
        </w:rPr>
        <w:t>a.议事内容为本基金合同规定的召开基金份额持有人大会事由所涉及的内容以及会议召集人认为需提交基金份额持有人大会讨论的其他事项</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szCs w:val="21"/>
        </w:rPr>
        <w:t>b.基金管理人、基金托管人、单独或合并持有权益登记日本基金总份额</w:t>
      </w:r>
      <w:r w:rsidRPr="00D6191E">
        <w:rPr>
          <w:rFonts w:asciiTheme="minorEastAsia" w:eastAsiaTheme="minorEastAsia" w:hAnsiTheme="minorEastAsia"/>
          <w:szCs w:val="21"/>
        </w:rPr>
        <w:t>10%</w:t>
      </w:r>
      <w:r w:rsidRPr="00D6191E">
        <w:rPr>
          <w:rFonts w:asciiTheme="minorEastAsia" w:eastAsiaTheme="minorEastAsia" w:hAnsiTheme="minorEastAsia" w:hint="eastAsia"/>
          <w:szCs w:val="21"/>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35日提交召集人。召集人对于临时提案应当在大会召开日前30日公告。否则，会议的召开日期应当顺延并保证至少与临时提案公告日期有30日的间隔期</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szCs w:val="21"/>
        </w:rPr>
        <w:t>c.对于基金份额持有人提交的提案，大会召集人应当按照以下原则对提案进行审核</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BA4B87" w:rsidRPr="00D6191E" w:rsidRDefault="00BA4B87" w:rsidP="000449FE">
      <w:pPr>
        <w:snapToGrid w:val="0"/>
        <w:spacing w:line="360" w:lineRule="auto"/>
        <w:ind w:firstLine="420"/>
        <w:rPr>
          <w:rFonts w:asciiTheme="minorEastAsia" w:eastAsiaTheme="minorEastAsia" w:hAnsiTheme="minorEastAsia"/>
          <w:szCs w:val="21"/>
        </w:rPr>
      </w:pPr>
      <w:r w:rsidRPr="00D6191E">
        <w:rPr>
          <w:rFonts w:asciiTheme="minorEastAsia" w:eastAsiaTheme="minorEastAsia" w:hAnsiTheme="minorEastAsia" w:hint="eastAsia"/>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BA4B87" w:rsidRPr="00D6191E" w:rsidRDefault="00BA4B87" w:rsidP="000449FE">
      <w:pPr>
        <w:snapToGrid w:val="0"/>
        <w:spacing w:line="360" w:lineRule="auto"/>
        <w:ind w:firstLine="420"/>
        <w:rPr>
          <w:rFonts w:asciiTheme="minorEastAsia" w:eastAsiaTheme="minorEastAsia" w:hAnsiTheme="minorEastAsia"/>
          <w:szCs w:val="21"/>
        </w:rPr>
      </w:pPr>
      <w:r w:rsidRPr="00D6191E">
        <w:rPr>
          <w:rFonts w:asciiTheme="minorEastAsia" w:eastAsiaTheme="minorEastAsia" w:hAnsiTheme="minorEastAsia" w:hint="eastAsia"/>
          <w:szCs w:val="21"/>
        </w:rPr>
        <w:t>d.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e.</w:t>
      </w:r>
      <w:r w:rsidRPr="00D6191E">
        <w:rPr>
          <w:rFonts w:asciiTheme="minorEastAsia" w:eastAsiaTheme="minorEastAsia" w:hAnsiTheme="minorEastAsia"/>
          <w:szCs w:val="21"/>
        </w:rPr>
        <w:t>基金份额持有人大会的召集人发出召</w:t>
      </w:r>
      <w:r w:rsidRPr="00D6191E">
        <w:rPr>
          <w:rFonts w:asciiTheme="minorEastAsia" w:eastAsiaTheme="minorEastAsia" w:hAnsiTheme="minorEastAsia" w:hint="eastAsia"/>
          <w:szCs w:val="21"/>
        </w:rPr>
        <w:t>开</w:t>
      </w:r>
      <w:r w:rsidRPr="00D6191E">
        <w:rPr>
          <w:rFonts w:asciiTheme="minorEastAsia" w:eastAsiaTheme="minorEastAsia" w:hAnsiTheme="minorEastAsia"/>
          <w:szCs w:val="21"/>
        </w:rPr>
        <w:t>会议的通知后，如果需要对原有提案进行修改，应当在基金份额持有人大会召开前</w:t>
      </w:r>
      <w:r w:rsidRPr="00D6191E">
        <w:rPr>
          <w:rFonts w:asciiTheme="minorEastAsia" w:eastAsiaTheme="minorEastAsia" w:hAnsiTheme="minorEastAsia" w:hint="eastAsia"/>
          <w:szCs w:val="21"/>
        </w:rPr>
        <w:t>30日及时</w:t>
      </w:r>
      <w:r w:rsidRPr="00D6191E">
        <w:rPr>
          <w:rFonts w:asciiTheme="minorEastAsia" w:eastAsiaTheme="minorEastAsia" w:hAnsiTheme="minorEastAsia"/>
          <w:szCs w:val="21"/>
        </w:rPr>
        <w:t>公告。否则，会议的召开日期应当顺延并保证至少与公告日期有30日的间隔期</w:t>
      </w:r>
      <w:r w:rsidRPr="00D6191E">
        <w:rPr>
          <w:rFonts w:asciiTheme="minorEastAsia" w:eastAsiaTheme="minorEastAsia" w:hAnsiTheme="minorEastAsia" w:hint="eastAsia"/>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(2)议事程序</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a.现场开会</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lastRenderedPageBreak/>
        <w:t>在现场开会的方式下，首先由大会主持人按照规定程序宣布会议议事程序及注意事项，确定和公布监票人，然后由大会主持人宣读提案，经讨论后进行表决，经合法执业的律师见证后形成大会决议。</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大会由</w:t>
      </w:r>
      <w:r w:rsidRPr="00D6191E">
        <w:rPr>
          <w:rFonts w:asciiTheme="minorEastAsia" w:eastAsiaTheme="minorEastAsia" w:hAnsiTheme="minorEastAsia" w:hint="eastAsia"/>
          <w:szCs w:val="21"/>
        </w:rPr>
        <w:t>召集</w:t>
      </w:r>
      <w:r w:rsidRPr="00D6191E">
        <w:rPr>
          <w:rFonts w:asciiTheme="minorEastAsia" w:eastAsiaTheme="minorEastAsia" w:hAnsiTheme="minorEastAsia"/>
          <w:szCs w:val="21"/>
        </w:rPr>
        <w:t>人授权代表主持。基金管理人</w:t>
      </w:r>
      <w:r w:rsidRPr="00D6191E">
        <w:rPr>
          <w:rFonts w:asciiTheme="minorEastAsia" w:eastAsiaTheme="minorEastAsia" w:hAnsiTheme="minorEastAsia" w:hint="eastAsia"/>
          <w:szCs w:val="21"/>
        </w:rPr>
        <w:t>为召集人的，其</w:t>
      </w:r>
      <w:r w:rsidRPr="00D6191E">
        <w:rPr>
          <w:rFonts w:asciiTheme="minorEastAsia" w:eastAsiaTheme="minorEastAsia" w:hAnsiTheme="minorEastAsia"/>
          <w:szCs w:val="21"/>
        </w:rPr>
        <w:t>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r w:rsidRPr="00D6191E">
        <w:rPr>
          <w:rFonts w:asciiTheme="minorEastAsia" w:eastAsiaTheme="minorEastAsia" w:hAnsiTheme="minorEastAsia" w:hint="eastAsia"/>
          <w:szCs w:val="21"/>
        </w:rPr>
        <w:t>基金管理人和基金托管人不出席或主持基金份额持有人大会，不影响基金份额持有人大会做出的决议的效力。</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szCs w:val="21"/>
        </w:rPr>
        <w:t>召集人应当制作出席会议人员的签名册。签名册载明参加会议人员姓名(或单位名称)、身份证号码、持有或代表有表决权的基金份额</w:t>
      </w:r>
      <w:r w:rsidRPr="00D6191E">
        <w:rPr>
          <w:rFonts w:asciiTheme="minorEastAsia" w:eastAsiaTheme="minorEastAsia" w:hAnsiTheme="minorEastAsia" w:hint="eastAsia"/>
          <w:szCs w:val="21"/>
        </w:rPr>
        <w:t>数量</w:t>
      </w:r>
      <w:r w:rsidRPr="00D6191E">
        <w:rPr>
          <w:rFonts w:asciiTheme="minorEastAsia" w:eastAsiaTheme="minorEastAsia" w:hAnsiTheme="minorEastAsia"/>
          <w:szCs w:val="21"/>
        </w:rPr>
        <w:t>、委托人姓名(或单位名称)等事项。</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b.通讯方式开会</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szCs w:val="21"/>
        </w:rPr>
        <w:t>在通讯表决开会的方式下，首先由召集人提前3</w:t>
      </w:r>
      <w:r w:rsidRPr="00D6191E">
        <w:rPr>
          <w:rFonts w:asciiTheme="minorEastAsia" w:eastAsiaTheme="minorEastAsia" w:hAnsiTheme="minorEastAsia"/>
          <w:szCs w:val="21"/>
        </w:rPr>
        <w:t>0</w:t>
      </w:r>
      <w:r w:rsidRPr="00D6191E">
        <w:rPr>
          <w:rFonts w:asciiTheme="minorEastAsia" w:eastAsiaTheme="minorEastAsia" w:hAnsiTheme="minorEastAsia" w:hint="eastAsia"/>
          <w:szCs w:val="21"/>
        </w:rPr>
        <w:t>日公布提案，在所通知的表决截止日期后第2个工作日在公证机关及监督人的监督下由召集人统计全部有效表决并形成决议。如监督人经通知但拒绝到场监督，则在公证机关监督下形成的决议有效</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(3)基金份额持有人大会不得对未事先公告的议事内容进行表决。</w:t>
      </w:r>
    </w:p>
    <w:p w:rsidR="00BA4B87" w:rsidRPr="00D6191E" w:rsidRDefault="00234286"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7、</w:t>
      </w:r>
      <w:r w:rsidR="00BA4B87" w:rsidRPr="00D6191E">
        <w:rPr>
          <w:rFonts w:asciiTheme="minorEastAsia" w:eastAsiaTheme="minorEastAsia" w:hAnsiTheme="minorEastAsia"/>
          <w:szCs w:val="21"/>
        </w:rPr>
        <w:t>决议形成的条件</w:t>
      </w:r>
      <w:r w:rsidR="00BA4B87" w:rsidRPr="00D6191E">
        <w:rPr>
          <w:rFonts w:asciiTheme="minorEastAsia" w:eastAsiaTheme="minorEastAsia" w:hAnsiTheme="minorEastAsia" w:hint="eastAsia"/>
          <w:szCs w:val="21"/>
        </w:rPr>
        <w:t>、</w:t>
      </w:r>
      <w:r w:rsidR="00BA4B87" w:rsidRPr="00D6191E">
        <w:rPr>
          <w:rFonts w:asciiTheme="minorEastAsia" w:eastAsiaTheme="minorEastAsia" w:hAnsiTheme="minorEastAsia"/>
          <w:szCs w:val="21"/>
        </w:rPr>
        <w:t>表决方式、程序</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(1)基金份额持有人所持每一基金份额享有平等的表决权。</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(2)基金份额持有人大会决议分为一般决议和特别决议：</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a．一般决议</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一般决议须经出席会议的基金份额持有人(或其代理人)所持表决权的</w:t>
      </w:r>
      <w:r w:rsidRPr="00D6191E">
        <w:rPr>
          <w:rFonts w:asciiTheme="minorEastAsia" w:eastAsiaTheme="minorEastAsia" w:hAnsiTheme="minorEastAsia"/>
          <w:szCs w:val="21"/>
        </w:rPr>
        <w:t>50%</w:t>
      </w:r>
      <w:r w:rsidRPr="00D6191E">
        <w:rPr>
          <w:rFonts w:asciiTheme="minorEastAsia" w:eastAsiaTheme="minorEastAsia" w:hAnsiTheme="minorEastAsia" w:hint="eastAsia"/>
          <w:szCs w:val="21"/>
        </w:rPr>
        <w:t>（含本数）</w:t>
      </w:r>
      <w:r w:rsidRPr="00D6191E">
        <w:rPr>
          <w:rFonts w:asciiTheme="minorEastAsia" w:eastAsiaTheme="minorEastAsia" w:hAnsiTheme="minorEastAsia"/>
          <w:szCs w:val="21"/>
        </w:rPr>
        <w:t>以上</w:t>
      </w:r>
      <w:r w:rsidRPr="00D6191E">
        <w:rPr>
          <w:rFonts w:asciiTheme="minorEastAsia" w:eastAsiaTheme="minorEastAsia" w:hAnsiTheme="minorEastAsia" w:hint="eastAsia"/>
          <w:szCs w:val="21"/>
        </w:rPr>
        <w:t>通过方为有效，除下列(2)所规定的须以特别决议通过事项以外的其他事项均以一般决议的方式通过。</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b．特别决议</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特别决议须经出席会议的基金份额持有人</w:t>
      </w:r>
      <w:r w:rsidRPr="00D6191E">
        <w:rPr>
          <w:rFonts w:asciiTheme="minorEastAsia" w:eastAsiaTheme="minorEastAsia" w:hAnsiTheme="minorEastAsia" w:hint="eastAsia"/>
          <w:szCs w:val="21"/>
        </w:rPr>
        <w:t>(或其</w:t>
      </w:r>
      <w:r w:rsidRPr="00D6191E">
        <w:rPr>
          <w:rFonts w:asciiTheme="minorEastAsia" w:eastAsiaTheme="minorEastAsia" w:hAnsiTheme="minorEastAsia"/>
          <w:szCs w:val="21"/>
        </w:rPr>
        <w:t>代理人</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所持表决权的三分之二以上</w:t>
      </w:r>
      <w:r w:rsidRPr="00D6191E">
        <w:rPr>
          <w:rFonts w:asciiTheme="minorEastAsia" w:eastAsiaTheme="minorEastAsia" w:hAnsiTheme="minorEastAsia" w:hint="eastAsia"/>
          <w:szCs w:val="21"/>
        </w:rPr>
        <w:t>(含三分之二)</w:t>
      </w:r>
      <w:r w:rsidRPr="00D6191E">
        <w:rPr>
          <w:rFonts w:asciiTheme="minorEastAsia" w:eastAsiaTheme="minorEastAsia" w:hAnsiTheme="minorEastAsia"/>
          <w:szCs w:val="21"/>
        </w:rPr>
        <w:t>通过方</w:t>
      </w:r>
      <w:r w:rsidRPr="00D6191E">
        <w:rPr>
          <w:rFonts w:asciiTheme="minorEastAsia" w:eastAsiaTheme="minorEastAsia" w:hAnsiTheme="minorEastAsia" w:hint="eastAsia"/>
          <w:szCs w:val="21"/>
        </w:rPr>
        <w:t>为有效；涉及更换基金管理人、更换基金托管人、</w:t>
      </w:r>
      <w:r w:rsidRPr="00D6191E">
        <w:rPr>
          <w:rFonts w:asciiTheme="minorEastAsia" w:eastAsiaTheme="minorEastAsia" w:hAnsiTheme="minorEastAsia"/>
          <w:szCs w:val="21"/>
        </w:rPr>
        <w:t>转换基金运作方式</w:t>
      </w:r>
      <w:r w:rsidRPr="00D6191E">
        <w:rPr>
          <w:rFonts w:asciiTheme="minorEastAsia" w:eastAsiaTheme="minorEastAsia" w:hAnsiTheme="minorEastAsia" w:hint="eastAsia"/>
          <w:szCs w:val="21"/>
        </w:rPr>
        <w:t>、终止基金合同必须以特别决议通过方为有效。</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Pr="00D6191E">
        <w:rPr>
          <w:rFonts w:asciiTheme="minorEastAsia" w:eastAsiaTheme="minorEastAsia" w:hAnsiTheme="minorEastAsia"/>
          <w:szCs w:val="21"/>
        </w:rPr>
        <w:t>基金份额持有人大会决定的事项，应当依法报中国证监会核准或者备案，并予以公告</w:t>
      </w:r>
      <w:r w:rsidRPr="00D6191E">
        <w:rPr>
          <w:rFonts w:asciiTheme="minorEastAsia" w:eastAsiaTheme="minorEastAsia" w:hAnsiTheme="minorEastAsia" w:hint="eastAsia"/>
          <w:szCs w:val="21"/>
        </w:rPr>
        <w:t>。</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(4)采取通讯方式进行表决时，除非在计票时有充分的相反证据证明，否则表面符合法律法规和会议通知规定的书面表决意见即视为有效的表决，表决意见模糊不清或相互矛盾的视为弃权表决，</w:t>
      </w:r>
      <w:r w:rsidRPr="00D6191E">
        <w:rPr>
          <w:rFonts w:asciiTheme="minorEastAsia" w:eastAsiaTheme="minorEastAsia" w:hAnsiTheme="minorEastAsia" w:hint="eastAsia"/>
        </w:rPr>
        <w:t>但应当计入出具书面意见的基金份额持有人所代表的基金份额总数</w:t>
      </w:r>
      <w:r w:rsidRPr="00D6191E">
        <w:rPr>
          <w:rFonts w:asciiTheme="minorEastAsia" w:eastAsiaTheme="minorEastAsia" w:hAnsiTheme="minorEastAsia" w:hint="eastAsia"/>
          <w:szCs w:val="21"/>
        </w:rPr>
        <w:t>。</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(5)基金份额持有人大会采取记名方式进行投票表决。</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(6)基金份额持有人大会的各项提案或同一项提案内并列的各项议题应当分开审议、逐项表决。</w:t>
      </w:r>
    </w:p>
    <w:p w:rsidR="00BA4B87" w:rsidRPr="00D6191E" w:rsidRDefault="00234286"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lastRenderedPageBreak/>
        <w:t>8、</w:t>
      </w:r>
      <w:r w:rsidR="00BA4B87" w:rsidRPr="00D6191E">
        <w:rPr>
          <w:rFonts w:asciiTheme="minorEastAsia" w:eastAsiaTheme="minorEastAsia" w:hAnsiTheme="minorEastAsia" w:hint="eastAsia"/>
          <w:kern w:val="0"/>
          <w:szCs w:val="21"/>
        </w:rPr>
        <w:t>计票</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(1)现场开会</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a.</w:t>
      </w:r>
      <w:r w:rsidRPr="00D6191E">
        <w:rPr>
          <w:rFonts w:asciiTheme="minorEastAsia" w:eastAsiaTheme="minorEastAsia" w:hAnsiTheme="minorEastAsia" w:hint="eastAsia"/>
          <w:szCs w:val="21"/>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b.</w:t>
      </w:r>
      <w:r w:rsidRPr="00D6191E">
        <w:rPr>
          <w:rFonts w:asciiTheme="minorEastAsia" w:eastAsiaTheme="minorEastAsia" w:hAnsiTheme="minorEastAsia" w:hint="eastAsia"/>
          <w:szCs w:val="21"/>
        </w:rPr>
        <w:t>监票人应当在基金份额持有人表决后立即进行清点，由大会主持人当场公布计票结果</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c.</w:t>
      </w:r>
      <w:r w:rsidRPr="00D6191E">
        <w:rPr>
          <w:rFonts w:asciiTheme="minorEastAsia" w:eastAsiaTheme="minorEastAsia" w:hAnsiTheme="minorEastAsia" w:hint="eastAsia"/>
          <w:szCs w:val="21"/>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r w:rsidRPr="00D6191E">
        <w:rPr>
          <w:rFonts w:asciiTheme="minorEastAsia" w:eastAsiaTheme="minorEastAsia" w:hAnsiTheme="minorEastAsia" w:hint="eastAsia"/>
          <w:kern w:val="0"/>
          <w:szCs w:val="21"/>
        </w:rPr>
        <w:t>。</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(2)通讯方式开会</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在通讯方式开会的情况下，计票方式为：由大会召集人授权的两名监票员在监督人派出的授权代表的监督下进行计票，并由公证机关对其计票过程予以公证；如监督人经通知但拒绝到场监督，则大会召集人可自行授权3名监票员进行计票，并由公证机关对其计票过程予以公证。</w:t>
      </w:r>
    </w:p>
    <w:p w:rsidR="00BA4B87" w:rsidRPr="00D6191E" w:rsidRDefault="00234286"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9、</w:t>
      </w:r>
      <w:r w:rsidR="00BA4B87" w:rsidRPr="00D6191E">
        <w:rPr>
          <w:rFonts w:asciiTheme="minorEastAsia" w:eastAsiaTheme="minorEastAsia" w:hAnsiTheme="minorEastAsia" w:hint="eastAsia"/>
          <w:szCs w:val="21"/>
        </w:rPr>
        <w:t>基金份额持有人大会决议报中国证监会核准或备案后的公告时间、方式</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Pr="00D6191E">
        <w:rPr>
          <w:rFonts w:asciiTheme="minorEastAsia" w:eastAsiaTheme="minorEastAsia" w:hAnsiTheme="minorEastAsia"/>
          <w:szCs w:val="21"/>
        </w:rPr>
        <w:t>基金份额持有人大会通过的一般决议和特别决议，召集人应当自通过之日起</w:t>
      </w:r>
      <w:r w:rsidRPr="00D6191E">
        <w:rPr>
          <w:rFonts w:asciiTheme="minorEastAsia" w:eastAsiaTheme="minorEastAsia" w:hAnsiTheme="minorEastAsia" w:hint="eastAsia"/>
          <w:szCs w:val="21"/>
        </w:rPr>
        <w:t>5</w:t>
      </w:r>
      <w:r w:rsidRPr="00D6191E">
        <w:rPr>
          <w:rFonts w:asciiTheme="minorEastAsia" w:eastAsiaTheme="minorEastAsia" w:hAnsiTheme="minorEastAsia"/>
          <w:szCs w:val="21"/>
        </w:rPr>
        <w:t>日内报中国证监会核准或者备案。基金份额持有人大会</w:t>
      </w:r>
      <w:r w:rsidRPr="00D6191E">
        <w:rPr>
          <w:rFonts w:asciiTheme="minorEastAsia" w:eastAsiaTheme="minorEastAsia" w:hAnsiTheme="minorEastAsia" w:hint="eastAsia"/>
          <w:szCs w:val="21"/>
        </w:rPr>
        <w:t>决定的事项</w:t>
      </w:r>
      <w:r w:rsidRPr="00D6191E">
        <w:rPr>
          <w:rFonts w:asciiTheme="minorEastAsia" w:eastAsiaTheme="minorEastAsia" w:hAnsiTheme="minorEastAsia"/>
          <w:szCs w:val="21"/>
        </w:rPr>
        <w:t>自中国证监会依法核准或者</w:t>
      </w:r>
      <w:r w:rsidRPr="00D6191E">
        <w:rPr>
          <w:rFonts w:asciiTheme="minorEastAsia" w:eastAsiaTheme="minorEastAsia" w:hAnsiTheme="minorEastAsia" w:hint="eastAsia"/>
          <w:szCs w:val="21"/>
        </w:rPr>
        <w:t>出具无异议意见</w:t>
      </w:r>
      <w:r w:rsidRPr="00D6191E">
        <w:rPr>
          <w:rFonts w:asciiTheme="minorEastAsia" w:eastAsiaTheme="minorEastAsia" w:hAnsiTheme="minorEastAsia"/>
          <w:szCs w:val="21"/>
        </w:rPr>
        <w:t>之日起生效。</w:t>
      </w:r>
      <w:r w:rsidRPr="00D6191E">
        <w:rPr>
          <w:rFonts w:asciiTheme="minorEastAsia" w:eastAsiaTheme="minorEastAsia" w:hAnsiTheme="minorEastAsia" w:hint="eastAsia"/>
          <w:szCs w:val="21"/>
        </w:rPr>
        <w:t>关于本章第(二)条所规定的第(1)-(8)项召开事由的基金份额</w:t>
      </w:r>
      <w:r w:rsidRPr="00D6191E">
        <w:rPr>
          <w:rFonts w:asciiTheme="minorEastAsia" w:eastAsiaTheme="minorEastAsia" w:hAnsiTheme="minorEastAsia"/>
          <w:szCs w:val="21"/>
        </w:rPr>
        <w:t>持有人大会决议</w:t>
      </w:r>
      <w:r w:rsidRPr="00D6191E">
        <w:rPr>
          <w:rFonts w:asciiTheme="minorEastAsia" w:eastAsiaTheme="minorEastAsia" w:hAnsiTheme="minorEastAsia" w:hint="eastAsia"/>
          <w:szCs w:val="21"/>
        </w:rPr>
        <w:t>经</w:t>
      </w:r>
      <w:r w:rsidRPr="00D6191E">
        <w:rPr>
          <w:rFonts w:asciiTheme="minorEastAsia" w:eastAsiaTheme="minorEastAsia" w:hAnsiTheme="minorEastAsia"/>
          <w:szCs w:val="21"/>
        </w:rPr>
        <w:t>中国证监会核准</w:t>
      </w:r>
      <w:r w:rsidRPr="00D6191E">
        <w:rPr>
          <w:rFonts w:asciiTheme="minorEastAsia" w:eastAsiaTheme="minorEastAsia" w:hAnsiTheme="minorEastAsia" w:hint="eastAsia"/>
          <w:szCs w:val="21"/>
        </w:rPr>
        <w:t>生效后方可执行，关于本章第(二)条所规定的第(9)、(10)项召开事由的基金份额</w:t>
      </w:r>
      <w:r w:rsidRPr="00D6191E">
        <w:rPr>
          <w:rFonts w:asciiTheme="minorEastAsia" w:eastAsiaTheme="minorEastAsia" w:hAnsiTheme="minorEastAsia"/>
          <w:szCs w:val="21"/>
        </w:rPr>
        <w:t>持有人大会决议</w:t>
      </w:r>
      <w:r w:rsidRPr="00D6191E">
        <w:rPr>
          <w:rFonts w:asciiTheme="minorEastAsia" w:eastAsiaTheme="minorEastAsia" w:hAnsiTheme="minorEastAsia" w:hint="eastAsia"/>
          <w:szCs w:val="21"/>
        </w:rPr>
        <w:t>经</w:t>
      </w:r>
      <w:r w:rsidRPr="00D6191E">
        <w:rPr>
          <w:rFonts w:asciiTheme="minorEastAsia" w:eastAsiaTheme="minorEastAsia" w:hAnsiTheme="minorEastAsia"/>
          <w:szCs w:val="21"/>
        </w:rPr>
        <w:t>中国证监会核准</w:t>
      </w:r>
      <w:r w:rsidRPr="00D6191E">
        <w:rPr>
          <w:rFonts w:asciiTheme="minorEastAsia" w:eastAsiaTheme="minorEastAsia" w:hAnsiTheme="minorEastAsia" w:hint="eastAsia"/>
          <w:szCs w:val="21"/>
        </w:rPr>
        <w:t>或出具无异议意见后方可执行。</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(2)生效的基金份额持有人大会决议对全体基金份额持有人、基金管理人、基金托管人均有约束力。</w:t>
      </w:r>
      <w:r w:rsidRPr="00D6191E">
        <w:rPr>
          <w:rFonts w:asciiTheme="minorEastAsia" w:eastAsiaTheme="minorEastAsia" w:hAnsiTheme="minorEastAsia"/>
          <w:szCs w:val="21"/>
        </w:rPr>
        <w:t>基金管理人、基金托管人和基金份额持有人应当执行生效的基金份额持有人大会决</w:t>
      </w:r>
      <w:r w:rsidRPr="00D6191E">
        <w:rPr>
          <w:rFonts w:asciiTheme="minorEastAsia" w:eastAsiaTheme="minorEastAsia" w:hAnsiTheme="minorEastAsia" w:hint="eastAsia"/>
          <w:szCs w:val="21"/>
        </w:rPr>
        <w:t>议。</w:t>
      </w:r>
    </w:p>
    <w:p w:rsidR="00BA4B87" w:rsidRDefault="00BA4B87" w:rsidP="000449FE">
      <w:pPr>
        <w:snapToGrid w:val="0"/>
        <w:spacing w:line="360" w:lineRule="auto"/>
        <w:ind w:firstLine="420"/>
        <w:rPr>
          <w:rFonts w:asciiTheme="minorEastAsia" w:eastAsiaTheme="minorEastAsia" w:hAnsiTheme="minorEastAsia"/>
          <w:szCs w:val="21"/>
        </w:rPr>
      </w:pPr>
      <w:r w:rsidRPr="00D6191E">
        <w:rPr>
          <w:rFonts w:asciiTheme="minorEastAsia" w:eastAsiaTheme="minorEastAsia" w:hAnsiTheme="minorEastAsia" w:hint="eastAsia"/>
          <w:szCs w:val="21"/>
        </w:rPr>
        <w:t>(3)基金份额持有人大会决议应自生效之日起2日内在</w:t>
      </w:r>
      <w:r w:rsidR="00F44B20" w:rsidRPr="00D6191E">
        <w:rPr>
          <w:rFonts w:asciiTheme="minorEastAsia" w:eastAsiaTheme="minorEastAsia" w:hAnsiTheme="minorEastAsia" w:hint="eastAsia"/>
          <w:szCs w:val="21"/>
        </w:rPr>
        <w:t>指定媒介</w:t>
      </w:r>
      <w:r w:rsidRPr="00D6191E">
        <w:rPr>
          <w:rFonts w:asciiTheme="minorEastAsia" w:eastAsiaTheme="minorEastAsia" w:hAnsiTheme="minorEastAsia" w:hint="eastAsia"/>
          <w:szCs w:val="21"/>
        </w:rPr>
        <w:t>公告。如果采用通讯方式进行表决，在公告基金份额持有人大会决议时，必须将公证书全文、公证机构、公证员姓名等一同公告。</w:t>
      </w:r>
    </w:p>
    <w:p w:rsidR="009A06F7" w:rsidRPr="00401C0B" w:rsidRDefault="009A06F7" w:rsidP="009A06F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Pr>
          <w:rFonts w:asciiTheme="minorEastAsia" w:eastAsiaTheme="minorEastAsia" w:hAnsiTheme="minorEastAsia" w:hint="eastAsia"/>
          <w:szCs w:val="21"/>
        </w:rPr>
        <w:t>、</w:t>
      </w:r>
      <w:r w:rsidRPr="00401C0B">
        <w:rPr>
          <w:rFonts w:asciiTheme="minorEastAsia" w:eastAsiaTheme="minorEastAsia" w:hAnsiTheme="minorEastAsia" w:hint="eastAsia"/>
          <w:szCs w:val="21"/>
        </w:rPr>
        <w:t>实施侧袋机制期间基金份额持有人大会的特殊约定</w:t>
      </w:r>
    </w:p>
    <w:p w:rsidR="009A06F7" w:rsidRPr="00401C0B" w:rsidRDefault="009A06F7" w:rsidP="009A06F7">
      <w:pPr>
        <w:snapToGrid w:val="0"/>
        <w:spacing w:line="360" w:lineRule="auto"/>
        <w:ind w:firstLineChars="200" w:firstLine="420"/>
        <w:rPr>
          <w:rFonts w:asciiTheme="minorEastAsia" w:eastAsiaTheme="minorEastAsia" w:hAnsiTheme="minorEastAsia"/>
          <w:szCs w:val="21"/>
        </w:rPr>
      </w:pPr>
      <w:r w:rsidRPr="00401C0B">
        <w:rPr>
          <w:rFonts w:asciiTheme="minorEastAsia" w:eastAsiaTheme="minorEastAsia" w:hAnsiTheme="minorEastAsia" w:hint="eastAsia"/>
          <w:szCs w:val="21"/>
        </w:rPr>
        <w:t>若本基金实施侧袋机制，则相关基金份额或表决权的比例指主袋份额持有人和侧袋份额</w:t>
      </w:r>
      <w:r w:rsidRPr="00401C0B">
        <w:rPr>
          <w:rFonts w:asciiTheme="minorEastAsia" w:eastAsiaTheme="minorEastAsia" w:hAnsiTheme="minorEastAsia" w:hint="eastAsia"/>
          <w:szCs w:val="21"/>
        </w:rPr>
        <w:lastRenderedPageBreak/>
        <w:t>持有人分别持有或代表的基金份额或表决权符合该等比例，但若相关基金份额持有人大会召集和审议事项不涉及侧袋账户的，则仅指主袋份额持有人持有或代表的基金份额或表决权符合该等比例：</w:t>
      </w:r>
    </w:p>
    <w:p w:rsidR="009A06F7" w:rsidRPr="00401C0B" w:rsidRDefault="009A06F7" w:rsidP="009A06F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401C0B">
        <w:rPr>
          <w:rFonts w:asciiTheme="minorEastAsia" w:eastAsiaTheme="minorEastAsia" w:hAnsiTheme="minorEastAsia" w:hint="eastAsia"/>
          <w:szCs w:val="21"/>
        </w:rPr>
        <w:t>基金份额持有人行使提议权、召集权、提名权所需单独或合计代表相关基金份额10%以上（含10%）；</w:t>
      </w:r>
    </w:p>
    <w:p w:rsidR="009A06F7" w:rsidRPr="00401C0B" w:rsidRDefault="009A06F7" w:rsidP="009A06F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401C0B">
        <w:rPr>
          <w:rFonts w:asciiTheme="minorEastAsia" w:eastAsiaTheme="minorEastAsia" w:hAnsiTheme="minorEastAsia" w:hint="eastAsia"/>
          <w:szCs w:val="21"/>
        </w:rPr>
        <w:t>现场开会的到会者在权益登记日代表的基金份额不少于本基金在权益登记日相关基金份额的二分之一（含二分之一）；</w:t>
      </w:r>
    </w:p>
    <w:p w:rsidR="009A06F7" w:rsidRPr="00401C0B" w:rsidRDefault="009A06F7" w:rsidP="009A06F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401C0B">
        <w:rPr>
          <w:rFonts w:asciiTheme="minorEastAsia" w:eastAsiaTheme="minorEastAsia" w:hAnsiTheme="minorEastAsia" w:hint="eastAsia"/>
          <w:szCs w:val="21"/>
        </w:rPr>
        <w:t>通讯开会的直接出具书面意见或授权他人代表出具书面意见的基金份额持有人所持有的基金份额不小于在权益登记日相关基金份额的二分之一（含二分之一）；</w:t>
      </w:r>
    </w:p>
    <w:p w:rsidR="009A06F7" w:rsidRPr="00401C0B" w:rsidRDefault="009A06F7" w:rsidP="009A06F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Pr="00401C0B">
        <w:rPr>
          <w:rFonts w:asciiTheme="minorEastAsia" w:eastAsiaTheme="minorEastAsia" w:hAnsiTheme="minorEastAsia" w:hint="eastAsia"/>
          <w:szCs w:val="21"/>
        </w:rPr>
        <w:t>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9A06F7" w:rsidRPr="00401C0B" w:rsidRDefault="009A06F7" w:rsidP="009A06F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Pr="00401C0B">
        <w:rPr>
          <w:rFonts w:asciiTheme="minorEastAsia" w:eastAsiaTheme="minorEastAsia" w:hAnsiTheme="minorEastAsia" w:hint="eastAsia"/>
          <w:szCs w:val="21"/>
        </w:rPr>
        <w:t>现场开会由出席大会的基金份额持有人和代理人所持表决权的50%以上（含50%）选举产生一名基金份额持有人作为该次基金份额持有人大会的主持人；</w:t>
      </w:r>
    </w:p>
    <w:p w:rsidR="009A06F7" w:rsidRPr="00401C0B" w:rsidRDefault="009A06F7" w:rsidP="009A06F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sidRPr="00401C0B">
        <w:rPr>
          <w:rFonts w:asciiTheme="minorEastAsia" w:eastAsiaTheme="minorEastAsia" w:hAnsiTheme="minorEastAsia" w:hint="eastAsia"/>
          <w:szCs w:val="21"/>
        </w:rPr>
        <w:t>一般决议须经参加大会的基金份额持有人或其代理人所持表决权的二分之一以上（含二分之一）通过；</w:t>
      </w:r>
    </w:p>
    <w:p w:rsidR="009A06F7" w:rsidRPr="00401C0B" w:rsidRDefault="009A06F7" w:rsidP="009A06F7">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sidRPr="00401C0B">
        <w:rPr>
          <w:rFonts w:asciiTheme="minorEastAsia" w:eastAsiaTheme="minorEastAsia" w:hAnsiTheme="minorEastAsia" w:hint="eastAsia"/>
          <w:szCs w:val="21"/>
        </w:rPr>
        <w:t>特别决议应当经参加大会的基金份额持有人或其代理人所持表决权的三分之二以上（含三分之二）通过。</w:t>
      </w:r>
    </w:p>
    <w:p w:rsidR="009A06F7" w:rsidRPr="00D6191E" w:rsidRDefault="009A06F7" w:rsidP="009A06F7">
      <w:pPr>
        <w:snapToGrid w:val="0"/>
        <w:spacing w:line="360" w:lineRule="auto"/>
        <w:ind w:firstLine="420"/>
        <w:rPr>
          <w:rFonts w:asciiTheme="minorEastAsia" w:eastAsiaTheme="minorEastAsia" w:hAnsiTheme="minorEastAsia"/>
          <w:kern w:val="0"/>
          <w:szCs w:val="21"/>
        </w:rPr>
      </w:pPr>
      <w:r w:rsidRPr="00401C0B">
        <w:rPr>
          <w:rFonts w:asciiTheme="minorEastAsia" w:eastAsiaTheme="minorEastAsia" w:hAnsiTheme="minorEastAsia" w:hint="eastAsia"/>
          <w:szCs w:val="21"/>
        </w:rPr>
        <w:t>同一主侧袋账户内的每份基金份额具有平等的表决权。</w:t>
      </w:r>
    </w:p>
    <w:p w:rsidR="00BA4B87" w:rsidRPr="00D6191E" w:rsidRDefault="00234286"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w:t>
      </w:r>
      <w:r w:rsidR="009A06F7">
        <w:rPr>
          <w:rFonts w:asciiTheme="minorEastAsia" w:eastAsiaTheme="minorEastAsia" w:hAnsiTheme="minorEastAsia"/>
          <w:kern w:val="0"/>
          <w:szCs w:val="21"/>
        </w:rPr>
        <w:t>1</w:t>
      </w:r>
      <w:r w:rsidRPr="00D6191E">
        <w:rPr>
          <w:rFonts w:asciiTheme="minorEastAsia" w:eastAsiaTheme="minorEastAsia" w:hAnsiTheme="minorEastAsia" w:hint="eastAsia"/>
          <w:kern w:val="0"/>
          <w:szCs w:val="21"/>
        </w:rPr>
        <w:t>、</w:t>
      </w:r>
      <w:r w:rsidR="00BA4B87" w:rsidRPr="00D6191E">
        <w:rPr>
          <w:rFonts w:asciiTheme="minorEastAsia" w:eastAsiaTheme="minorEastAsia" w:hAnsiTheme="minorEastAsia" w:hint="eastAsia"/>
          <w:kern w:val="0"/>
          <w:szCs w:val="21"/>
        </w:rPr>
        <w:t>法律法规或监管机关对基金份额持有人大会另有规定的，从其规定。</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22" w:name="_Toc86315939"/>
      <w:r w:rsidRPr="00D6191E">
        <w:rPr>
          <w:rFonts w:asciiTheme="minorEastAsia" w:eastAsiaTheme="minorEastAsia" w:hAnsiTheme="minorEastAsia" w:hint="eastAsia"/>
          <w:b w:val="0"/>
          <w:bCs/>
        </w:rPr>
        <w:t>(五)基金合同的变更、终止与基金财产的清算</w:t>
      </w:r>
      <w:bookmarkEnd w:id="122"/>
    </w:p>
    <w:p w:rsidR="00BA4B87" w:rsidRPr="00D6191E" w:rsidRDefault="00234286" w:rsidP="000449FE">
      <w:pPr>
        <w:snapToGrid w:val="0"/>
        <w:spacing w:line="360" w:lineRule="auto"/>
        <w:ind w:firstLine="420"/>
        <w:rPr>
          <w:rFonts w:asciiTheme="minorEastAsia" w:eastAsiaTheme="minorEastAsia" w:hAnsiTheme="minorEastAsia"/>
          <w:kern w:val="0"/>
          <w:szCs w:val="21"/>
        </w:rPr>
      </w:pPr>
      <w:bookmarkStart w:id="123" w:name="_Toc79392639"/>
      <w:r w:rsidRPr="00D6191E">
        <w:rPr>
          <w:rFonts w:asciiTheme="minorEastAsia" w:eastAsiaTheme="minorEastAsia" w:hAnsiTheme="minorEastAsia" w:hint="eastAsia"/>
          <w:kern w:val="0"/>
          <w:szCs w:val="21"/>
        </w:rPr>
        <w:t>1、</w:t>
      </w:r>
      <w:r w:rsidR="00BA4B87" w:rsidRPr="00D6191E">
        <w:rPr>
          <w:rFonts w:asciiTheme="minorEastAsia" w:eastAsiaTheme="minorEastAsia" w:hAnsiTheme="minorEastAsia" w:hint="eastAsia"/>
          <w:kern w:val="0"/>
          <w:szCs w:val="21"/>
        </w:rPr>
        <w:t>《基金合同》的变更</w:t>
      </w:r>
      <w:bookmarkEnd w:id="123"/>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(1)</w:t>
      </w:r>
      <w:r w:rsidRPr="00D6191E">
        <w:rPr>
          <w:rFonts w:asciiTheme="minorEastAsia" w:eastAsiaTheme="minorEastAsia" w:hAnsiTheme="minorEastAsia"/>
          <w:szCs w:val="21"/>
        </w:rPr>
        <w:t>基金合同</w:t>
      </w:r>
      <w:r w:rsidRPr="00D6191E">
        <w:rPr>
          <w:rFonts w:asciiTheme="minorEastAsia" w:eastAsiaTheme="minorEastAsia" w:hAnsiTheme="minorEastAsia" w:hint="eastAsia"/>
          <w:szCs w:val="21"/>
        </w:rPr>
        <w:t>变更内容对基金合同当事人权利、义务产生重大影响的，</w:t>
      </w:r>
      <w:r w:rsidRPr="00D6191E">
        <w:rPr>
          <w:rFonts w:asciiTheme="minorEastAsia" w:eastAsiaTheme="minorEastAsia" w:hAnsiTheme="minorEastAsia"/>
          <w:szCs w:val="21"/>
        </w:rPr>
        <w:t>应召开基金份额持有人大会，基金合同变更的内容应经基金份额持有人大会决议同意</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a.</w:t>
      </w:r>
      <w:r w:rsidRPr="00D6191E">
        <w:rPr>
          <w:rFonts w:asciiTheme="minorEastAsia" w:eastAsiaTheme="minorEastAsia" w:hAnsiTheme="minorEastAsia"/>
          <w:szCs w:val="21"/>
        </w:rPr>
        <w:t>转换基金运作方式</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b.更换基金托管人；</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c.</w:t>
      </w:r>
      <w:r w:rsidRPr="00D6191E">
        <w:rPr>
          <w:rFonts w:asciiTheme="minorEastAsia" w:eastAsiaTheme="minorEastAsia" w:hAnsiTheme="minorEastAsia"/>
          <w:szCs w:val="21"/>
        </w:rPr>
        <w:t>变更基金投资目标、</w:t>
      </w:r>
      <w:r w:rsidRPr="00D6191E">
        <w:rPr>
          <w:rFonts w:asciiTheme="minorEastAsia" w:eastAsiaTheme="minorEastAsia" w:hAnsiTheme="minorEastAsia" w:hint="eastAsia"/>
          <w:szCs w:val="21"/>
        </w:rPr>
        <w:t>投资</w:t>
      </w:r>
      <w:r w:rsidRPr="00D6191E">
        <w:rPr>
          <w:rFonts w:asciiTheme="minorEastAsia" w:eastAsiaTheme="minorEastAsia" w:hAnsiTheme="minorEastAsia"/>
          <w:szCs w:val="21"/>
        </w:rPr>
        <w:t>范围或</w:t>
      </w:r>
      <w:r w:rsidRPr="00D6191E">
        <w:rPr>
          <w:rFonts w:asciiTheme="minorEastAsia" w:eastAsiaTheme="minorEastAsia" w:hAnsiTheme="minorEastAsia" w:hint="eastAsia"/>
          <w:szCs w:val="21"/>
        </w:rPr>
        <w:t>投资</w:t>
      </w:r>
      <w:r w:rsidRPr="00D6191E">
        <w:rPr>
          <w:rFonts w:asciiTheme="minorEastAsia" w:eastAsiaTheme="minorEastAsia" w:hAnsiTheme="minorEastAsia"/>
          <w:szCs w:val="21"/>
        </w:rPr>
        <w:t>策略</w:t>
      </w:r>
      <w:r w:rsidRPr="00D6191E">
        <w:rPr>
          <w:rFonts w:asciiTheme="minorEastAsia" w:eastAsiaTheme="minorEastAsia" w:hAnsiTheme="minorEastAsia" w:hint="eastAsia"/>
          <w:szCs w:val="21"/>
        </w:rPr>
        <w:t>（法律法规和中国证监会另有规定的除外）</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d.</w:t>
      </w:r>
      <w:r w:rsidRPr="00D6191E">
        <w:rPr>
          <w:rFonts w:asciiTheme="minorEastAsia" w:eastAsiaTheme="minorEastAsia" w:hAnsiTheme="minorEastAsia"/>
          <w:szCs w:val="21"/>
        </w:rPr>
        <w:t>变更基金份额持有人大会程序</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e.</w:t>
      </w:r>
      <w:r w:rsidRPr="00D6191E">
        <w:rPr>
          <w:rFonts w:asciiTheme="minorEastAsia" w:eastAsiaTheme="minorEastAsia" w:hAnsiTheme="minorEastAsia"/>
          <w:szCs w:val="21"/>
        </w:rPr>
        <w:t>更换基金管理人</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基金托管人</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f.</w:t>
      </w:r>
      <w:r w:rsidRPr="00D6191E">
        <w:rPr>
          <w:rFonts w:asciiTheme="minorEastAsia" w:eastAsiaTheme="minorEastAsia" w:hAnsiTheme="minorEastAsia"/>
          <w:szCs w:val="21"/>
        </w:rPr>
        <w:t>提高基金管理人、基金托管人的报酬标准。但根据</w:t>
      </w:r>
      <w:r w:rsidRPr="00D6191E">
        <w:rPr>
          <w:rFonts w:asciiTheme="minorEastAsia" w:eastAsiaTheme="minorEastAsia" w:hAnsiTheme="minorEastAsia" w:hint="eastAsia"/>
          <w:szCs w:val="21"/>
        </w:rPr>
        <w:t>适用</w:t>
      </w:r>
      <w:r w:rsidRPr="00D6191E">
        <w:rPr>
          <w:rFonts w:asciiTheme="minorEastAsia" w:eastAsiaTheme="minorEastAsia" w:hAnsiTheme="minorEastAsia"/>
          <w:szCs w:val="21"/>
        </w:rPr>
        <w:t>的</w:t>
      </w:r>
      <w:r w:rsidRPr="00D6191E">
        <w:rPr>
          <w:rFonts w:asciiTheme="minorEastAsia" w:eastAsiaTheme="minorEastAsia" w:hAnsiTheme="minorEastAsia" w:hint="eastAsia"/>
          <w:szCs w:val="21"/>
        </w:rPr>
        <w:t>相关规定</w:t>
      </w:r>
      <w:r w:rsidRPr="00D6191E">
        <w:rPr>
          <w:rFonts w:asciiTheme="minorEastAsia" w:eastAsiaTheme="minorEastAsia" w:hAnsiTheme="minorEastAsia"/>
          <w:szCs w:val="21"/>
        </w:rPr>
        <w:t>提高该等报酬标准的除外</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g.</w:t>
      </w:r>
      <w:r w:rsidRPr="00D6191E">
        <w:rPr>
          <w:rFonts w:asciiTheme="minorEastAsia" w:eastAsiaTheme="minorEastAsia" w:hAnsiTheme="minorEastAsia"/>
          <w:szCs w:val="21"/>
        </w:rPr>
        <w:t>本基金与其他基金的合并</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t>h.</w:t>
      </w:r>
      <w:r w:rsidRPr="00D6191E">
        <w:rPr>
          <w:rFonts w:asciiTheme="minorEastAsia" w:eastAsiaTheme="minorEastAsia" w:hAnsiTheme="minorEastAsia" w:hint="eastAsia"/>
          <w:szCs w:val="21"/>
        </w:rPr>
        <w:t>对基金合同当事人权利、义务产生重大影响的其他事项</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kern w:val="0"/>
          <w:szCs w:val="21"/>
        </w:rPr>
        <w:lastRenderedPageBreak/>
        <w:t>i.</w:t>
      </w:r>
      <w:r w:rsidRPr="00D6191E">
        <w:rPr>
          <w:rFonts w:asciiTheme="minorEastAsia" w:eastAsiaTheme="minorEastAsia" w:hAnsiTheme="minorEastAsia"/>
          <w:szCs w:val="21"/>
        </w:rPr>
        <w:t>法律法规</w:t>
      </w: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基金合同或中国证监会规定的其他情形</w:t>
      </w:r>
      <w:r w:rsidRPr="00D6191E">
        <w:rPr>
          <w:rFonts w:asciiTheme="minorEastAsia" w:eastAsiaTheme="minorEastAsia" w:hAnsiTheme="minorEastAsia" w:hint="eastAsia"/>
          <w:kern w:val="0"/>
          <w:szCs w:val="21"/>
        </w:rPr>
        <w:t>；</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但出现下列情况时，可不经基金份额持有人大会决议，由基金管理人和基金托管人同意变更后公布，并报中国证监会备案：</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a调低基金管理费、基金托管费和其他应由基金承担的费用；</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b在</w:t>
      </w:r>
      <w:r w:rsidRPr="00D6191E">
        <w:rPr>
          <w:rFonts w:asciiTheme="minorEastAsia" w:eastAsiaTheme="minorEastAsia" w:hAnsiTheme="minorEastAsia"/>
          <w:szCs w:val="21"/>
        </w:rPr>
        <w:t>法律法规和</w:t>
      </w:r>
      <w:r w:rsidRPr="00D6191E">
        <w:rPr>
          <w:rFonts w:asciiTheme="minorEastAsia" w:eastAsiaTheme="minorEastAsia" w:hAnsiTheme="minorEastAsia" w:hint="eastAsia"/>
          <w:szCs w:val="21"/>
        </w:rPr>
        <w:t>本基金合同规定的范围内变更基金的申购费率、降低赎回费率或变更收费方式；</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c</w:t>
      </w:r>
      <w:r w:rsidRPr="00D6191E">
        <w:rPr>
          <w:rFonts w:asciiTheme="minorEastAsia" w:eastAsiaTheme="minorEastAsia" w:hAnsiTheme="minorEastAsia"/>
          <w:szCs w:val="21"/>
        </w:rPr>
        <w:t>因相应的法律法规发生变动</w:t>
      </w:r>
      <w:r w:rsidRPr="00D6191E">
        <w:rPr>
          <w:rFonts w:asciiTheme="minorEastAsia" w:eastAsiaTheme="minorEastAsia" w:hAnsiTheme="minorEastAsia" w:hint="eastAsia"/>
          <w:szCs w:val="21"/>
        </w:rPr>
        <w:t>必须对</w:t>
      </w:r>
      <w:r w:rsidRPr="00D6191E">
        <w:rPr>
          <w:rFonts w:asciiTheme="minorEastAsia" w:eastAsiaTheme="minorEastAsia" w:hAnsiTheme="minorEastAsia"/>
          <w:szCs w:val="21"/>
        </w:rPr>
        <w:t>基金合同进行</w:t>
      </w:r>
      <w:r w:rsidRPr="00D6191E">
        <w:rPr>
          <w:rFonts w:asciiTheme="minorEastAsia" w:eastAsiaTheme="minorEastAsia" w:hAnsiTheme="minorEastAsia" w:hint="eastAsia"/>
          <w:szCs w:val="21"/>
        </w:rPr>
        <w:t>修改</w:t>
      </w:r>
      <w:r w:rsidRPr="00D6191E">
        <w:rPr>
          <w:rFonts w:asciiTheme="minorEastAsia" w:eastAsiaTheme="minorEastAsia" w:hAnsiTheme="minorEastAsia"/>
          <w:szCs w:val="21"/>
        </w:rPr>
        <w:t>；</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d对</w:t>
      </w:r>
      <w:r w:rsidRPr="00D6191E">
        <w:rPr>
          <w:rFonts w:asciiTheme="minorEastAsia" w:eastAsiaTheme="minorEastAsia" w:hAnsiTheme="minorEastAsia"/>
          <w:szCs w:val="21"/>
        </w:rPr>
        <w:t>基金合同的</w:t>
      </w:r>
      <w:r w:rsidRPr="00D6191E">
        <w:rPr>
          <w:rFonts w:asciiTheme="minorEastAsia" w:eastAsiaTheme="minorEastAsia" w:hAnsiTheme="minorEastAsia" w:hint="eastAsia"/>
          <w:szCs w:val="21"/>
        </w:rPr>
        <w:t>修改</w:t>
      </w:r>
      <w:r w:rsidRPr="00D6191E">
        <w:rPr>
          <w:rFonts w:asciiTheme="minorEastAsia" w:eastAsiaTheme="minorEastAsia" w:hAnsiTheme="minorEastAsia"/>
          <w:szCs w:val="21"/>
        </w:rPr>
        <w:t>不涉及本基金合同当事人权利义务关系发生</w:t>
      </w:r>
      <w:r w:rsidRPr="00D6191E">
        <w:rPr>
          <w:rFonts w:asciiTheme="minorEastAsia" w:eastAsiaTheme="minorEastAsia" w:hAnsiTheme="minorEastAsia" w:hint="eastAsia"/>
          <w:szCs w:val="21"/>
        </w:rPr>
        <w:t>重大</w:t>
      </w:r>
      <w:r w:rsidRPr="00D6191E">
        <w:rPr>
          <w:rFonts w:asciiTheme="minorEastAsia" w:eastAsiaTheme="minorEastAsia" w:hAnsiTheme="minorEastAsia"/>
          <w:szCs w:val="21"/>
        </w:rPr>
        <w:t>变化；</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e基金合同的修改对基金份额持有人利益无实质性不利影响；</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f按照法律法规或本基金合同规定不需召开基金份额持有人大会的其他情形。</w:t>
      </w:r>
    </w:p>
    <w:p w:rsidR="00BA4B87" w:rsidRPr="00D6191E" w:rsidRDefault="00BA4B87" w:rsidP="000449FE">
      <w:pPr>
        <w:snapToGrid w:val="0"/>
        <w:spacing w:line="360" w:lineRule="auto"/>
        <w:ind w:firstLine="420"/>
        <w:rPr>
          <w:rFonts w:asciiTheme="minorEastAsia" w:eastAsiaTheme="minorEastAsia" w:hAnsiTheme="minorEastAsia"/>
          <w:szCs w:val="21"/>
        </w:rPr>
      </w:pPr>
      <w:r w:rsidRPr="00D6191E">
        <w:rPr>
          <w:rFonts w:asciiTheme="minorEastAsia" w:eastAsiaTheme="minorEastAsia" w:hAnsiTheme="minorEastAsia" w:hint="eastAsia"/>
          <w:szCs w:val="21"/>
        </w:rPr>
        <w:t>(</w:t>
      </w:r>
      <w:r w:rsidRPr="00D6191E">
        <w:rPr>
          <w:rFonts w:asciiTheme="minorEastAsia" w:eastAsiaTheme="minorEastAsia" w:hAnsiTheme="minorEastAsia"/>
          <w:szCs w:val="21"/>
        </w:rPr>
        <w:t>2</w:t>
      </w:r>
      <w:r w:rsidRPr="00D6191E">
        <w:rPr>
          <w:rFonts w:asciiTheme="minorEastAsia" w:eastAsiaTheme="minorEastAsia" w:hAnsiTheme="minorEastAsia" w:hint="eastAsia"/>
          <w:szCs w:val="21"/>
        </w:rPr>
        <w:t>)关于变更</w:t>
      </w:r>
      <w:r w:rsidRPr="00D6191E">
        <w:rPr>
          <w:rFonts w:asciiTheme="minorEastAsia" w:eastAsiaTheme="minorEastAsia" w:hAnsiTheme="minorEastAsia"/>
          <w:szCs w:val="21"/>
        </w:rPr>
        <w:t>基金合同</w:t>
      </w:r>
      <w:r w:rsidRPr="00D6191E">
        <w:rPr>
          <w:rFonts w:asciiTheme="minorEastAsia" w:eastAsiaTheme="minorEastAsia" w:hAnsiTheme="minorEastAsia" w:hint="eastAsia"/>
          <w:szCs w:val="21"/>
        </w:rPr>
        <w:t>的基金份额持有人大会决议应报</w:t>
      </w:r>
      <w:r w:rsidRPr="00D6191E">
        <w:rPr>
          <w:rFonts w:asciiTheme="minorEastAsia" w:eastAsiaTheme="minorEastAsia" w:hAnsiTheme="minorEastAsia"/>
          <w:szCs w:val="21"/>
        </w:rPr>
        <w:t>中国证监会</w:t>
      </w:r>
      <w:r w:rsidRPr="00D6191E">
        <w:rPr>
          <w:rFonts w:asciiTheme="minorEastAsia" w:eastAsiaTheme="minorEastAsia" w:hAnsiTheme="minorEastAsia" w:hint="eastAsia"/>
          <w:szCs w:val="21"/>
        </w:rPr>
        <w:t>核准或备案，并于中国证监会核准或出具无异议意见后生效执行，</w:t>
      </w:r>
      <w:r w:rsidRPr="00D6191E">
        <w:rPr>
          <w:rFonts w:asciiTheme="minorEastAsia" w:eastAsiaTheme="minorEastAsia" w:hAnsiTheme="minorEastAsia"/>
          <w:szCs w:val="21"/>
        </w:rPr>
        <w:t>并</w:t>
      </w:r>
      <w:r w:rsidRPr="00D6191E">
        <w:rPr>
          <w:rFonts w:asciiTheme="minorEastAsia" w:eastAsiaTheme="minorEastAsia" w:hAnsiTheme="minorEastAsia" w:hint="eastAsia"/>
          <w:szCs w:val="21"/>
        </w:rPr>
        <w:t>自生效之日起2日</w:t>
      </w:r>
      <w:r w:rsidRPr="00D6191E">
        <w:rPr>
          <w:rFonts w:asciiTheme="minorEastAsia" w:eastAsiaTheme="minorEastAsia" w:hAnsiTheme="minorEastAsia"/>
          <w:szCs w:val="21"/>
        </w:rPr>
        <w:t>内</w:t>
      </w:r>
      <w:r w:rsidRPr="00D6191E">
        <w:rPr>
          <w:rFonts w:asciiTheme="minorEastAsia" w:eastAsiaTheme="minorEastAsia" w:hAnsiTheme="minorEastAsia" w:hint="eastAsia"/>
          <w:szCs w:val="21"/>
        </w:rPr>
        <w:t>在</w:t>
      </w:r>
      <w:r w:rsidR="00F44B20" w:rsidRPr="00D6191E">
        <w:rPr>
          <w:rFonts w:asciiTheme="minorEastAsia" w:eastAsiaTheme="minorEastAsia" w:hAnsiTheme="minorEastAsia" w:hint="eastAsia"/>
          <w:szCs w:val="21"/>
        </w:rPr>
        <w:t>指定媒介</w:t>
      </w:r>
      <w:r w:rsidRPr="00D6191E">
        <w:rPr>
          <w:rFonts w:asciiTheme="minorEastAsia" w:eastAsiaTheme="minorEastAsia" w:hAnsiTheme="minorEastAsia"/>
          <w:szCs w:val="21"/>
        </w:rPr>
        <w:t>公告。</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234286" w:rsidRPr="00D6191E">
        <w:rPr>
          <w:rFonts w:asciiTheme="minorEastAsia" w:eastAsiaTheme="minorEastAsia" w:hAnsiTheme="minorEastAsia" w:hint="eastAsia"/>
          <w:szCs w:val="21"/>
        </w:rPr>
        <w:t>、</w:t>
      </w:r>
      <w:r w:rsidRPr="00D6191E">
        <w:rPr>
          <w:rFonts w:asciiTheme="minorEastAsia" w:eastAsiaTheme="minorEastAsia" w:hAnsiTheme="minorEastAsia" w:hint="eastAsia"/>
          <w:szCs w:val="21"/>
        </w:rPr>
        <w:t>本基金合同的终止</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有下列情形之一的，本基金合同经中国证监会核准后将终止：</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(1)基金份额持有人大会决定终止的；</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Pr="00D6191E">
        <w:rPr>
          <w:rFonts w:asciiTheme="minorEastAsia" w:eastAsiaTheme="minorEastAsia" w:hAnsiTheme="minorEastAsia"/>
          <w:szCs w:val="21"/>
        </w:rPr>
        <w:t>基金管理人因解散、破产、撤销等事由，不能继续担任基金管理人的职务，而</w:t>
      </w:r>
      <w:r w:rsidRPr="00D6191E">
        <w:rPr>
          <w:rFonts w:asciiTheme="minorEastAsia" w:eastAsiaTheme="minorEastAsia" w:hAnsiTheme="minorEastAsia" w:hint="eastAsia"/>
          <w:szCs w:val="21"/>
        </w:rPr>
        <w:t>在6个月内</w:t>
      </w:r>
      <w:r w:rsidRPr="00D6191E">
        <w:rPr>
          <w:rFonts w:asciiTheme="minorEastAsia" w:eastAsiaTheme="minorEastAsia" w:hAnsiTheme="minorEastAsia"/>
          <w:szCs w:val="21"/>
        </w:rPr>
        <w:t>无其他适当的基金管理公司承</w:t>
      </w:r>
      <w:r w:rsidRPr="00D6191E">
        <w:rPr>
          <w:rFonts w:asciiTheme="minorEastAsia" w:eastAsiaTheme="minorEastAsia" w:hAnsiTheme="minorEastAsia" w:hint="eastAsia"/>
          <w:szCs w:val="21"/>
        </w:rPr>
        <w:t>接</w:t>
      </w:r>
      <w:r w:rsidRPr="00D6191E">
        <w:rPr>
          <w:rFonts w:asciiTheme="minorEastAsia" w:eastAsiaTheme="minorEastAsia" w:hAnsiTheme="minorEastAsia"/>
          <w:szCs w:val="21"/>
        </w:rPr>
        <w:t>其原有权利义务；</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(3)基金托管人因解散、破产、撤销等事由，不能继续担任基金托管人的职务，而在6个月内无其他适当的托管机构承接其原有权利义务；</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(4)法律法规、中国证监会规定的其他情况。</w:t>
      </w:r>
    </w:p>
    <w:p w:rsidR="00BA4B87" w:rsidRPr="00D6191E" w:rsidRDefault="00234286"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00BA4B87" w:rsidRPr="00D6191E">
        <w:rPr>
          <w:rFonts w:asciiTheme="minorEastAsia" w:eastAsiaTheme="minorEastAsia" w:hAnsiTheme="minorEastAsia" w:hint="eastAsia"/>
          <w:szCs w:val="21"/>
        </w:rPr>
        <w:t>基金财产的清算</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(1)基金财产清算组</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a．自出现基金合同终止事由之日起30个工作日内成立基金财产清算组，基金管理人组织基金财产清算组并在中国证监会的监督下进行基金财产清算。</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b．基金财产清算组成员由基金管理人、基金托管人、具有从事证券相关业务资格的注册会计师、律师以及中国证监会指定的人员组成。基金财产清算组可以聘用必要的工作人员。</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c．基金财产清算组负责基金财产的保管、清理、估价、变现和分配。基金财产清算组可以依法进行必要的民事活动。</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(2)基金财产清算程序</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基金合同终止，应当按法律法规和本基金合同的有关规定对基金财产进行清算。基金财产清算程序主要包括：</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a.</w:t>
      </w:r>
      <w:r w:rsidRPr="00D6191E">
        <w:rPr>
          <w:rFonts w:asciiTheme="minorEastAsia" w:eastAsiaTheme="minorEastAsia" w:hAnsiTheme="minorEastAsia"/>
          <w:szCs w:val="21"/>
        </w:rPr>
        <w:t>基金合同终止后，发布基金</w:t>
      </w:r>
      <w:r w:rsidRPr="00D6191E">
        <w:rPr>
          <w:rFonts w:asciiTheme="minorEastAsia" w:eastAsiaTheme="minorEastAsia" w:hAnsiTheme="minorEastAsia" w:hint="eastAsia"/>
          <w:szCs w:val="21"/>
        </w:rPr>
        <w:t>财产</w:t>
      </w:r>
      <w:r w:rsidRPr="00D6191E">
        <w:rPr>
          <w:rFonts w:asciiTheme="minorEastAsia" w:eastAsiaTheme="minorEastAsia" w:hAnsiTheme="minorEastAsia"/>
          <w:szCs w:val="21"/>
        </w:rPr>
        <w:t>清算公告；</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b.基金合同终止时，由基金财产清算组统一接管基金财产；</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c.对基金财产进行清理和确认；</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lastRenderedPageBreak/>
        <w:t>d.对基金财产进行估价和变现；</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e.</w:t>
      </w:r>
      <w:r w:rsidRPr="00D6191E">
        <w:rPr>
          <w:rFonts w:asciiTheme="minorEastAsia" w:eastAsiaTheme="minorEastAsia" w:hAnsiTheme="minorEastAsia"/>
          <w:szCs w:val="21"/>
        </w:rPr>
        <w:t>聘请会计师事务所对清算报告进行审计；</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f.</w:t>
      </w:r>
      <w:r w:rsidRPr="00D6191E">
        <w:rPr>
          <w:rFonts w:asciiTheme="minorEastAsia" w:eastAsiaTheme="minorEastAsia" w:hAnsiTheme="minorEastAsia"/>
          <w:szCs w:val="21"/>
        </w:rPr>
        <w:t>聘请律师事务所出具法律意见书；</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g.将基金财产清算结果报告中国证监会；</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h.</w:t>
      </w:r>
      <w:r w:rsidRPr="00D6191E">
        <w:rPr>
          <w:rFonts w:asciiTheme="minorEastAsia" w:eastAsiaTheme="minorEastAsia" w:hAnsiTheme="minorEastAsia"/>
          <w:szCs w:val="21"/>
        </w:rPr>
        <w:t>参加与基金</w:t>
      </w:r>
      <w:r w:rsidRPr="00D6191E">
        <w:rPr>
          <w:rFonts w:asciiTheme="minorEastAsia" w:eastAsiaTheme="minorEastAsia" w:hAnsiTheme="minorEastAsia" w:hint="eastAsia"/>
          <w:szCs w:val="21"/>
        </w:rPr>
        <w:t>财产</w:t>
      </w:r>
      <w:r w:rsidRPr="00D6191E">
        <w:rPr>
          <w:rFonts w:asciiTheme="minorEastAsia" w:eastAsiaTheme="minorEastAsia" w:hAnsiTheme="minorEastAsia"/>
          <w:szCs w:val="21"/>
        </w:rPr>
        <w:t>有关的民事诉讼</w:t>
      </w:r>
      <w:r w:rsidRPr="00D6191E">
        <w:rPr>
          <w:rFonts w:asciiTheme="minorEastAsia" w:eastAsiaTheme="minorEastAsia" w:hAnsiTheme="minorEastAsia" w:hint="eastAsia"/>
          <w:szCs w:val="21"/>
        </w:rPr>
        <w:t>；</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i.公布基金财产清算结果；</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j.对基金剩余财产进行分配。</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(3)清算费用</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清算费用是指基金财产清算组在进行基金财产清算过程中发生的所有合理费用，清算费用由基金财产清算组优先从基金财产中支付。</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(4)基金财产按下列顺序清偿：</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a.支付清算费用；</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b.交纳所欠税款；</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c.清偿基金债务；</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d.按基金份额持有人持有的基金份额比例进行分配。</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基金财产未按前款(1)－(</w:t>
      </w:r>
      <w:r w:rsidRPr="00D6191E">
        <w:rPr>
          <w:rFonts w:asciiTheme="minorEastAsia" w:eastAsiaTheme="minorEastAsia" w:hAnsiTheme="minorEastAsia"/>
          <w:szCs w:val="21"/>
        </w:rPr>
        <w:t>3</w:t>
      </w:r>
      <w:r w:rsidRPr="00D6191E">
        <w:rPr>
          <w:rFonts w:asciiTheme="minorEastAsia" w:eastAsiaTheme="minorEastAsia" w:hAnsiTheme="minorEastAsia" w:hint="eastAsia"/>
          <w:szCs w:val="21"/>
        </w:rPr>
        <w:t>)项规定清偿前，不分配给基金份额持有人。</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(5)基金财产清算的公告</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基金财产清算公告</w:t>
      </w:r>
      <w:r w:rsidRPr="00D6191E">
        <w:rPr>
          <w:rFonts w:asciiTheme="minorEastAsia" w:eastAsiaTheme="minorEastAsia" w:hAnsiTheme="minorEastAsia" w:hint="eastAsia"/>
          <w:szCs w:val="21"/>
        </w:rPr>
        <w:t>在报中国证监会备案后</w:t>
      </w:r>
      <w:r w:rsidRPr="00D6191E">
        <w:rPr>
          <w:rFonts w:asciiTheme="minorEastAsia" w:eastAsiaTheme="minorEastAsia" w:hAnsiTheme="minorEastAsia"/>
          <w:szCs w:val="21"/>
        </w:rPr>
        <w:t>5</w:t>
      </w:r>
      <w:r w:rsidRPr="00D6191E">
        <w:rPr>
          <w:rFonts w:asciiTheme="minorEastAsia" w:eastAsiaTheme="minorEastAsia" w:hAnsiTheme="minorEastAsia" w:hint="eastAsia"/>
          <w:szCs w:val="21"/>
        </w:rPr>
        <w:t>个工作日内由基金财产清算组公告；清算过程中的有关重大事项须及时公告；基金财产清算结果经会计师事务所审计，律师事务所出具法律意见书后，由基金财产清算组报中国证监会备案并公告。</w:t>
      </w:r>
    </w:p>
    <w:p w:rsidR="00BA4B87" w:rsidRPr="00D6191E" w:rsidRDefault="00BA4B87" w:rsidP="00893C52">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(6)基金财产清算账册及文件的保存</w:t>
      </w:r>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基金财产清算账册及有关文件由基金托管人保存</w:t>
      </w:r>
      <w:r w:rsidRPr="00D6191E">
        <w:rPr>
          <w:rFonts w:asciiTheme="minorEastAsia" w:eastAsiaTheme="minorEastAsia" w:hAnsiTheme="minorEastAsia"/>
          <w:szCs w:val="21"/>
        </w:rPr>
        <w:t>15</w:t>
      </w:r>
      <w:r w:rsidRPr="00D6191E">
        <w:rPr>
          <w:rFonts w:asciiTheme="minorEastAsia" w:eastAsiaTheme="minorEastAsia" w:hAnsiTheme="minorEastAsia" w:hint="eastAsia"/>
          <w:szCs w:val="21"/>
        </w:rPr>
        <w:t>年以上。</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24" w:name="_Toc86315940"/>
      <w:r w:rsidRPr="00D6191E">
        <w:rPr>
          <w:rFonts w:asciiTheme="minorEastAsia" w:eastAsiaTheme="minorEastAsia" w:hAnsiTheme="minorEastAsia" w:hint="eastAsia"/>
          <w:b w:val="0"/>
          <w:bCs/>
        </w:rPr>
        <w:t>(六)争议的处理</w:t>
      </w:r>
      <w:bookmarkEnd w:id="124"/>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szCs w:val="21"/>
        </w:rPr>
        <w:t>对于因</w:t>
      </w:r>
      <w:r w:rsidRPr="00D6191E">
        <w:rPr>
          <w:rFonts w:asciiTheme="minorEastAsia" w:eastAsiaTheme="minorEastAsia" w:hAnsiTheme="minorEastAsia" w:hint="eastAsia"/>
          <w:szCs w:val="21"/>
        </w:rPr>
        <w:t>本</w:t>
      </w:r>
      <w:r w:rsidRPr="00D6191E">
        <w:rPr>
          <w:rFonts w:asciiTheme="minorEastAsia" w:eastAsiaTheme="minorEastAsia" w:hAnsiTheme="minorEastAsia"/>
          <w:szCs w:val="21"/>
        </w:rPr>
        <w:t>基金合同</w:t>
      </w:r>
      <w:r w:rsidRPr="00D6191E">
        <w:rPr>
          <w:rFonts w:asciiTheme="minorEastAsia" w:eastAsiaTheme="minorEastAsia" w:hAnsiTheme="minorEastAsia" w:hint="eastAsia"/>
          <w:szCs w:val="21"/>
        </w:rPr>
        <w:t>产生</w:t>
      </w:r>
      <w:r w:rsidRPr="00D6191E">
        <w:rPr>
          <w:rFonts w:asciiTheme="minorEastAsia" w:eastAsiaTheme="minorEastAsia" w:hAnsiTheme="minorEastAsia"/>
          <w:szCs w:val="21"/>
        </w:rPr>
        <w:t>或与</w:t>
      </w:r>
      <w:r w:rsidRPr="00D6191E">
        <w:rPr>
          <w:rFonts w:asciiTheme="minorEastAsia" w:eastAsiaTheme="minorEastAsia" w:hAnsiTheme="minorEastAsia" w:hint="eastAsia"/>
          <w:szCs w:val="21"/>
        </w:rPr>
        <w:t>本</w:t>
      </w:r>
      <w:r w:rsidRPr="00D6191E">
        <w:rPr>
          <w:rFonts w:asciiTheme="minorEastAsia" w:eastAsiaTheme="minorEastAsia" w:hAnsiTheme="minorEastAsia"/>
          <w:szCs w:val="21"/>
        </w:rPr>
        <w:t>基金合同有关的争议，基金合同当事人应尽量通过协商、调解途径解决。不愿或者不能通过协商、调解解决的</w:t>
      </w:r>
      <w:r w:rsidRPr="00D6191E">
        <w:rPr>
          <w:rFonts w:asciiTheme="minorEastAsia" w:eastAsiaTheme="minorEastAsia" w:hAnsiTheme="minorEastAsia" w:hint="eastAsia"/>
          <w:szCs w:val="21"/>
        </w:rPr>
        <w:t>，任何一方均有权将争议提交中国国际经济贸易仲裁委员会，按照中国国际经济贸易仲裁委员会届时有效的仲裁规则进行仲裁。</w:t>
      </w:r>
      <w:r w:rsidRPr="00D6191E">
        <w:rPr>
          <w:rFonts w:asciiTheme="minorEastAsia" w:eastAsiaTheme="minorEastAsia" w:hAnsiTheme="minorEastAsia"/>
          <w:szCs w:val="21"/>
        </w:rPr>
        <w:t>仲裁地点为</w:t>
      </w:r>
      <w:r w:rsidRPr="00D6191E">
        <w:rPr>
          <w:rFonts w:asciiTheme="minorEastAsia" w:eastAsiaTheme="minorEastAsia" w:hAnsiTheme="minorEastAsia" w:hint="eastAsia"/>
          <w:szCs w:val="21"/>
        </w:rPr>
        <w:t>北京</w:t>
      </w:r>
      <w:r w:rsidRPr="00D6191E">
        <w:rPr>
          <w:rFonts w:asciiTheme="minorEastAsia" w:eastAsiaTheme="minorEastAsia" w:hAnsiTheme="minorEastAsia"/>
          <w:szCs w:val="21"/>
        </w:rPr>
        <w:t>市</w:t>
      </w:r>
      <w:r w:rsidRPr="00D6191E">
        <w:rPr>
          <w:rFonts w:asciiTheme="minorEastAsia" w:eastAsiaTheme="minorEastAsia" w:hAnsiTheme="minorEastAsia" w:hint="eastAsia"/>
          <w:szCs w:val="21"/>
        </w:rPr>
        <w:t>。仲裁裁决是终局的，对各方当事人均有约束力，仲裁费用由败诉方承担。</w:t>
      </w:r>
    </w:p>
    <w:p w:rsidR="00BA4B87" w:rsidRPr="00D6191E" w:rsidRDefault="00BA4B87" w:rsidP="000449FE">
      <w:pPr>
        <w:snapToGrid w:val="0"/>
        <w:spacing w:line="360" w:lineRule="auto"/>
        <w:ind w:firstLineChars="200" w:firstLine="420"/>
        <w:rPr>
          <w:rFonts w:asciiTheme="minorEastAsia" w:eastAsiaTheme="minorEastAsia" w:hAnsiTheme="minorEastAsia"/>
          <w:sz w:val="24"/>
        </w:rPr>
      </w:pPr>
      <w:r w:rsidRPr="00D6191E">
        <w:rPr>
          <w:rFonts w:asciiTheme="minorEastAsia" w:eastAsiaTheme="minorEastAsia" w:hAnsiTheme="minorEastAsia" w:hint="eastAsia"/>
          <w:szCs w:val="21"/>
        </w:rPr>
        <w:t>争议处理期间，基金合同当事人应恪守各自的职责，继续忠实、勤勉、尽责地履行基金合同规定的义务，维护基金份额持有人的合法权益。</w:t>
      </w:r>
    </w:p>
    <w:p w:rsidR="00BA4B87" w:rsidRPr="00D6191E" w:rsidRDefault="00BA4B87"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szCs w:val="21"/>
        </w:rPr>
        <w:t>本基金合同受中国法律管辖</w:t>
      </w:r>
      <w:r w:rsidRPr="00D6191E">
        <w:rPr>
          <w:rFonts w:asciiTheme="minorEastAsia" w:eastAsiaTheme="minorEastAsia" w:hAnsiTheme="minorEastAsia" w:hint="eastAsia"/>
          <w:kern w:val="0"/>
          <w:szCs w:val="21"/>
        </w:rPr>
        <w:t>。</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25" w:name="_Toc86315941"/>
      <w:r w:rsidRPr="00D6191E">
        <w:rPr>
          <w:rFonts w:asciiTheme="minorEastAsia" w:eastAsiaTheme="minorEastAsia" w:hAnsiTheme="minorEastAsia" w:hint="eastAsia"/>
          <w:b w:val="0"/>
          <w:bCs/>
        </w:rPr>
        <w:t>(七)基金合同的效力</w:t>
      </w:r>
      <w:bookmarkEnd w:id="125"/>
    </w:p>
    <w:p w:rsidR="00BA4B87" w:rsidRPr="00D6191E" w:rsidRDefault="00BA4B87"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基金合同是约定基金当事人之间权利义务关系的法律文件。</w:t>
      </w:r>
    </w:p>
    <w:p w:rsidR="00BA4B87" w:rsidRPr="00D6191E" w:rsidRDefault="00234286"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1、</w:t>
      </w:r>
      <w:r w:rsidR="00BA4B87" w:rsidRPr="00D6191E">
        <w:rPr>
          <w:rFonts w:asciiTheme="minorEastAsia" w:eastAsiaTheme="minorEastAsia" w:hAnsiTheme="minorEastAsia" w:hint="eastAsia"/>
          <w:szCs w:val="21"/>
        </w:rPr>
        <w:t>本基金合同经基金管理人和基金托管人加盖公章以及双方法定代表人或授权代表签</w:t>
      </w:r>
      <w:r w:rsidR="00BA4B87" w:rsidRPr="00D6191E">
        <w:rPr>
          <w:rFonts w:asciiTheme="minorEastAsia" w:eastAsiaTheme="minorEastAsia" w:hAnsiTheme="minorEastAsia" w:hint="eastAsia"/>
          <w:szCs w:val="21"/>
        </w:rPr>
        <w:lastRenderedPageBreak/>
        <w:t>章，</w:t>
      </w:r>
      <w:r w:rsidR="00BA4B87" w:rsidRPr="00D6191E">
        <w:rPr>
          <w:rFonts w:asciiTheme="minorEastAsia" w:eastAsiaTheme="minorEastAsia" w:hAnsiTheme="minorEastAsia"/>
          <w:szCs w:val="21"/>
        </w:rPr>
        <w:t>在基金募集结束，基金备案手续办理完毕，并获中国证监会书面确认后生效。基金合同的有效期自其生效之日起至该基金财产清算结果报中国证监会</w:t>
      </w:r>
      <w:r w:rsidR="00BA4B87" w:rsidRPr="00D6191E">
        <w:rPr>
          <w:rFonts w:asciiTheme="minorEastAsia" w:eastAsiaTheme="minorEastAsia" w:hAnsiTheme="minorEastAsia" w:hint="eastAsia"/>
          <w:szCs w:val="21"/>
        </w:rPr>
        <w:t>备案</w:t>
      </w:r>
      <w:r w:rsidR="00BA4B87" w:rsidRPr="00D6191E">
        <w:rPr>
          <w:rFonts w:asciiTheme="minorEastAsia" w:eastAsiaTheme="minorEastAsia" w:hAnsiTheme="minorEastAsia"/>
          <w:szCs w:val="21"/>
        </w:rPr>
        <w:t>并公告之日止。</w:t>
      </w:r>
    </w:p>
    <w:p w:rsidR="00BA4B87" w:rsidRPr="00D6191E" w:rsidRDefault="00234286"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2、</w:t>
      </w:r>
      <w:r w:rsidR="00BA4B87" w:rsidRPr="00D6191E">
        <w:rPr>
          <w:rFonts w:asciiTheme="minorEastAsia" w:eastAsiaTheme="minorEastAsia" w:hAnsiTheme="minorEastAsia" w:hint="eastAsia"/>
          <w:szCs w:val="21"/>
        </w:rPr>
        <w:t>本基金合同自生效之日起对包括基金管理人、基金托管人和基金份额持有人在内的基金合同各方当事人具有同等的法律约束力。</w:t>
      </w:r>
    </w:p>
    <w:p w:rsidR="00BA4B87" w:rsidRPr="00D6191E" w:rsidRDefault="00234286"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3、</w:t>
      </w:r>
      <w:r w:rsidR="00BA4B87" w:rsidRPr="00D6191E">
        <w:rPr>
          <w:rFonts w:asciiTheme="minorEastAsia" w:eastAsiaTheme="minorEastAsia" w:hAnsiTheme="minorEastAsia" w:hint="eastAsia"/>
          <w:szCs w:val="21"/>
        </w:rPr>
        <w:t>本基金合同正本一式八份，除中国证监会和银行业监督管理机构各持两份外，基金管理人和基金托管人各持有两份。每份均具有同等的法律效力。</w:t>
      </w:r>
    </w:p>
    <w:p w:rsidR="00BA4B87" w:rsidRPr="00D6191E" w:rsidRDefault="00234286" w:rsidP="000449FE">
      <w:pPr>
        <w:snapToGrid w:val="0"/>
        <w:spacing w:line="360" w:lineRule="auto"/>
        <w:ind w:firstLine="420"/>
        <w:rPr>
          <w:rFonts w:asciiTheme="minorEastAsia" w:eastAsiaTheme="minorEastAsia" w:hAnsiTheme="minorEastAsia"/>
          <w:kern w:val="0"/>
          <w:szCs w:val="21"/>
        </w:rPr>
      </w:pPr>
      <w:r w:rsidRPr="00D6191E">
        <w:rPr>
          <w:rFonts w:asciiTheme="minorEastAsia" w:eastAsiaTheme="minorEastAsia" w:hAnsiTheme="minorEastAsia" w:hint="eastAsia"/>
          <w:szCs w:val="21"/>
        </w:rPr>
        <w:t>4、</w:t>
      </w:r>
      <w:r w:rsidR="00BA4B87" w:rsidRPr="00D6191E">
        <w:rPr>
          <w:rFonts w:asciiTheme="minorEastAsia" w:eastAsiaTheme="minorEastAsia" w:hAnsiTheme="minorEastAsia" w:hint="eastAsia"/>
          <w:szCs w:val="21"/>
        </w:rPr>
        <w:t>本基金合同可印制成册，供投资人在基金管理人、基金托管人、</w:t>
      </w:r>
      <w:r w:rsidR="009B4F74" w:rsidRPr="00D6191E">
        <w:rPr>
          <w:rFonts w:asciiTheme="minorEastAsia" w:eastAsiaTheme="minorEastAsia" w:hAnsiTheme="minorEastAsia" w:hint="eastAsia"/>
          <w:szCs w:val="21"/>
        </w:rPr>
        <w:t>代销</w:t>
      </w:r>
      <w:r w:rsidR="00BA4B87" w:rsidRPr="00D6191E">
        <w:rPr>
          <w:rFonts w:asciiTheme="minorEastAsia" w:eastAsiaTheme="minorEastAsia" w:hAnsiTheme="minorEastAsia" w:hint="eastAsia"/>
          <w:szCs w:val="21"/>
        </w:rPr>
        <w:t>机构和注册登记机构办公场所查阅，但其效力应以基金合同正本为准</w:t>
      </w:r>
      <w:r w:rsidR="00BA4B87" w:rsidRPr="00D6191E">
        <w:rPr>
          <w:rFonts w:asciiTheme="minorEastAsia" w:eastAsiaTheme="minorEastAsia" w:hAnsiTheme="minorEastAsia" w:hint="eastAsia"/>
          <w:sz w:val="24"/>
        </w:rPr>
        <w:t>。</w:t>
      </w:r>
      <w:bookmarkStart w:id="126" w:name="_Toc523711689"/>
    </w:p>
    <w:bookmarkEnd w:id="126"/>
    <w:p w:rsidR="00BA4B87" w:rsidRPr="00D6191E" w:rsidRDefault="00BA4B87" w:rsidP="000449FE">
      <w:pPr>
        <w:pStyle w:val="a4"/>
        <w:snapToGrid w:val="0"/>
        <w:spacing w:line="360" w:lineRule="auto"/>
        <w:rPr>
          <w:rFonts w:asciiTheme="minorEastAsia" w:eastAsiaTheme="minorEastAsia" w:hAnsiTheme="minorEastAsia"/>
          <w:szCs w:val="24"/>
        </w:rPr>
      </w:pPr>
    </w:p>
    <w:p w:rsidR="00BA4B87" w:rsidRPr="00D6191E" w:rsidRDefault="00BA4B87" w:rsidP="004D6C82">
      <w:pPr>
        <w:pStyle w:val="1"/>
        <w:snapToGrid w:val="0"/>
        <w:spacing w:beforeLines="0" w:afterLines="0" w:line="360" w:lineRule="auto"/>
        <w:ind w:firstLine="600"/>
        <w:rPr>
          <w:rFonts w:asciiTheme="minorEastAsia" w:eastAsiaTheme="minorEastAsia" w:hAnsiTheme="minorEastAsia"/>
          <w:bCs/>
          <w:szCs w:val="20"/>
        </w:rPr>
      </w:pPr>
      <w:r w:rsidRPr="00D6191E">
        <w:rPr>
          <w:rFonts w:asciiTheme="minorEastAsia" w:eastAsiaTheme="minorEastAsia" w:hAnsiTheme="minorEastAsia" w:hint="eastAsia"/>
          <w:sz w:val="30"/>
        </w:rPr>
        <w:br w:type="page"/>
      </w:r>
      <w:bookmarkStart w:id="127" w:name="_Toc86315942"/>
      <w:r w:rsidR="009C0CEE" w:rsidRPr="00D6191E">
        <w:rPr>
          <w:rFonts w:asciiTheme="minorEastAsia" w:eastAsiaTheme="minorEastAsia" w:hAnsiTheme="minorEastAsia" w:hint="eastAsia"/>
          <w:sz w:val="30"/>
        </w:rPr>
        <w:lastRenderedPageBreak/>
        <w:t>二十</w:t>
      </w:r>
      <w:r w:rsidR="007B3CFB">
        <w:rPr>
          <w:rFonts w:asciiTheme="minorEastAsia" w:eastAsiaTheme="minorEastAsia" w:hAnsiTheme="minorEastAsia" w:hint="eastAsia"/>
          <w:sz w:val="30"/>
        </w:rPr>
        <w:t>三</w:t>
      </w:r>
      <w:r w:rsidRPr="00D6191E">
        <w:rPr>
          <w:rFonts w:asciiTheme="minorEastAsia" w:eastAsiaTheme="minorEastAsia" w:hAnsiTheme="minorEastAsia" w:hint="eastAsia"/>
          <w:sz w:val="30"/>
        </w:rPr>
        <w:t>、基金托管协议的内容摘要</w:t>
      </w:r>
      <w:bookmarkEnd w:id="127"/>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28" w:name="_Toc86315943"/>
      <w:r w:rsidRPr="00D6191E">
        <w:rPr>
          <w:rFonts w:asciiTheme="minorEastAsia" w:eastAsiaTheme="minorEastAsia" w:hAnsiTheme="minorEastAsia" w:hint="eastAsia"/>
          <w:b w:val="0"/>
          <w:bCs/>
        </w:rPr>
        <w:t>(一)托管协议当事人</w:t>
      </w:r>
      <w:bookmarkEnd w:id="128"/>
    </w:p>
    <w:p w:rsidR="00BA4B87" w:rsidRPr="00D6191E" w:rsidRDefault="00234286" w:rsidP="00234286">
      <w:pPr>
        <w:snapToGrid w:val="0"/>
        <w:spacing w:line="360" w:lineRule="auto"/>
        <w:ind w:left="420" w:right="26"/>
        <w:rPr>
          <w:rFonts w:asciiTheme="minorEastAsia" w:eastAsiaTheme="minorEastAsia" w:hAnsiTheme="minorEastAsia"/>
          <w:b/>
          <w:kern w:val="0"/>
          <w:szCs w:val="21"/>
        </w:rPr>
      </w:pPr>
      <w:r w:rsidRPr="00D6191E">
        <w:rPr>
          <w:rFonts w:asciiTheme="minorEastAsia" w:eastAsiaTheme="minorEastAsia" w:hAnsiTheme="minorEastAsia" w:hint="eastAsia"/>
          <w:b/>
          <w:kern w:val="0"/>
          <w:szCs w:val="21"/>
        </w:rPr>
        <w:t>1、</w:t>
      </w:r>
      <w:r w:rsidR="00BA4B87" w:rsidRPr="00D6191E">
        <w:rPr>
          <w:rFonts w:asciiTheme="minorEastAsia" w:eastAsiaTheme="minorEastAsia" w:hAnsiTheme="minorEastAsia" w:hint="eastAsia"/>
          <w:b/>
          <w:kern w:val="0"/>
          <w:szCs w:val="21"/>
        </w:rPr>
        <w:t>基金管理人(或简称“管理人”)</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bookmarkStart w:id="129" w:name="_Toc15118236"/>
      <w:r w:rsidRPr="00D6191E">
        <w:rPr>
          <w:rFonts w:asciiTheme="minorEastAsia" w:eastAsiaTheme="minorEastAsia" w:hAnsiTheme="minorEastAsia" w:cs="Arial" w:hint="eastAsia"/>
          <w:szCs w:val="21"/>
        </w:rPr>
        <w:t>名称：易方达基金管理有限公司</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注册地址：</w:t>
      </w:r>
      <w:r w:rsidR="00EE79AD" w:rsidRPr="00D6191E">
        <w:rPr>
          <w:rFonts w:asciiTheme="minorEastAsia" w:eastAsiaTheme="minorEastAsia" w:hAnsiTheme="minorEastAsia"/>
        </w:rPr>
        <w:t>广东省珠海市横琴新区宝华路6号105室－42891（集中办公区）</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办公地址：广州市</w:t>
      </w:r>
      <w:r w:rsidR="00293FCD" w:rsidRPr="00D6191E">
        <w:rPr>
          <w:rFonts w:asciiTheme="minorEastAsia" w:eastAsiaTheme="minorEastAsia" w:hAnsiTheme="minorEastAsia" w:cs="Arial" w:hint="eastAsia"/>
          <w:szCs w:val="21"/>
        </w:rPr>
        <w:t>天河区珠江新城珠江东路30号广州银行大厦40-43楼</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邮政编码：510620</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法定代表人：</w:t>
      </w:r>
      <w:r w:rsidR="008A5AD9" w:rsidRPr="00D6191E">
        <w:rPr>
          <w:rFonts w:asciiTheme="minorEastAsia" w:eastAsiaTheme="minorEastAsia" w:hAnsiTheme="minorEastAsia" w:cs="Arial" w:hint="eastAsia"/>
          <w:szCs w:val="21"/>
        </w:rPr>
        <w:t>刘晓艳</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成立日期：2001</w:t>
      </w:r>
      <w:r w:rsidRPr="00D6191E">
        <w:rPr>
          <w:rStyle w:val="read"/>
          <w:rFonts w:asciiTheme="minorEastAsia" w:eastAsiaTheme="minorEastAsia" w:hAnsiTheme="minorEastAsia" w:cs="Arial" w:hint="eastAsia"/>
          <w:szCs w:val="21"/>
        </w:rPr>
        <w:t>年4月17日</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批准设立机关及批准设立文号：</w:t>
      </w:r>
      <w:r w:rsidR="00D5260E" w:rsidRPr="00D6191E">
        <w:rPr>
          <w:rFonts w:asciiTheme="minorEastAsia" w:eastAsiaTheme="minorEastAsia" w:hAnsiTheme="minorEastAsia" w:hint="eastAsia"/>
        </w:rPr>
        <w:t>中国证券监督管理委员会</w:t>
      </w:r>
      <w:r w:rsidR="00D31624"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证监基金字</w:t>
      </w:r>
      <w:r w:rsidRPr="00D6191E">
        <w:rPr>
          <w:rStyle w:val="read"/>
          <w:rFonts w:asciiTheme="minorEastAsia" w:eastAsiaTheme="minorEastAsia" w:hAnsiTheme="minorEastAsia" w:cs="Arial" w:hint="eastAsia"/>
          <w:szCs w:val="21"/>
        </w:rPr>
        <w:t>[2001]4</w:t>
      </w:r>
      <w:r w:rsidRPr="00D6191E">
        <w:rPr>
          <w:rFonts w:asciiTheme="minorEastAsia" w:eastAsiaTheme="minorEastAsia" w:hAnsiTheme="minorEastAsia" w:cs="Arial" w:hint="eastAsia"/>
          <w:szCs w:val="21"/>
        </w:rPr>
        <w:t>号</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组织形式：有限责任公司</w:t>
      </w:r>
    </w:p>
    <w:p w:rsidR="00BA4B87" w:rsidRPr="00D6191E" w:rsidRDefault="00C2573F"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注册资本：13,244.2万元人民币</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存续期间：持续经营</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经营范围：</w:t>
      </w:r>
      <w:bookmarkEnd w:id="129"/>
      <w:r w:rsidR="00EE79AD" w:rsidRPr="00D6191E">
        <w:rPr>
          <w:rFonts w:asciiTheme="minorEastAsia" w:eastAsiaTheme="minorEastAsia" w:hAnsiTheme="minorEastAsia" w:hint="eastAsia"/>
          <w:szCs w:val="21"/>
        </w:rPr>
        <w:t>公开募集证券投资基金管理、基金销售、特定客户资产</w:t>
      </w:r>
      <w:r w:rsidR="00EE79AD" w:rsidRPr="00D6191E">
        <w:rPr>
          <w:rFonts w:asciiTheme="minorEastAsia" w:eastAsiaTheme="minorEastAsia" w:hAnsiTheme="minorEastAsia" w:hint="eastAsia"/>
        </w:rPr>
        <w:t>管理</w:t>
      </w:r>
    </w:p>
    <w:p w:rsidR="00BA4B87" w:rsidRPr="00D6191E" w:rsidRDefault="00234286" w:rsidP="00234286">
      <w:pPr>
        <w:snapToGrid w:val="0"/>
        <w:spacing w:line="360" w:lineRule="auto"/>
        <w:ind w:left="420" w:right="26"/>
        <w:rPr>
          <w:rFonts w:asciiTheme="minorEastAsia" w:eastAsiaTheme="minorEastAsia" w:hAnsiTheme="minorEastAsia"/>
          <w:b/>
          <w:bCs/>
        </w:rPr>
      </w:pPr>
      <w:r w:rsidRPr="00D6191E">
        <w:rPr>
          <w:rFonts w:asciiTheme="minorEastAsia" w:eastAsiaTheme="minorEastAsia" w:hAnsiTheme="minorEastAsia" w:hint="eastAsia"/>
          <w:b/>
          <w:bCs/>
        </w:rPr>
        <w:t>2、</w:t>
      </w:r>
      <w:r w:rsidR="00BA4B87" w:rsidRPr="00D6191E">
        <w:rPr>
          <w:rFonts w:asciiTheme="minorEastAsia" w:eastAsiaTheme="minorEastAsia" w:hAnsiTheme="minorEastAsia" w:hint="eastAsia"/>
          <w:b/>
          <w:bCs/>
        </w:rPr>
        <w:t>基金托管人(或简称“托管人”)</w:t>
      </w:r>
    </w:p>
    <w:p w:rsidR="00BA4B87" w:rsidRPr="00D6191E" w:rsidRDefault="00BA4B87" w:rsidP="000449FE">
      <w:pPr>
        <w:adjustRightInd w:val="0"/>
        <w:snapToGrid w:val="0"/>
        <w:spacing w:line="360" w:lineRule="auto"/>
        <w:ind w:left="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名称：中国建设银行股份有限公司(简称：中国建设银行)</w:t>
      </w:r>
    </w:p>
    <w:p w:rsidR="00BA4B87" w:rsidRPr="00D6191E" w:rsidRDefault="00BA4B87" w:rsidP="000449FE">
      <w:pPr>
        <w:adjustRightInd w:val="0"/>
        <w:snapToGrid w:val="0"/>
        <w:spacing w:line="360" w:lineRule="auto"/>
        <w:ind w:left="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住所：北京市西城区金融大街25号</w:t>
      </w:r>
    </w:p>
    <w:p w:rsidR="00BA4B87" w:rsidRPr="00D6191E" w:rsidRDefault="00BA4B87" w:rsidP="000449FE">
      <w:pPr>
        <w:adjustRightInd w:val="0"/>
        <w:snapToGrid w:val="0"/>
        <w:spacing w:line="360" w:lineRule="auto"/>
        <w:ind w:left="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办公地址：北京市西城区闹市口大街1号院1号楼</w:t>
      </w:r>
    </w:p>
    <w:p w:rsidR="00BA4B87" w:rsidRPr="00D6191E" w:rsidRDefault="00BA4B87" w:rsidP="000449FE">
      <w:pPr>
        <w:adjustRightInd w:val="0"/>
        <w:snapToGrid w:val="0"/>
        <w:spacing w:line="360" w:lineRule="auto"/>
        <w:ind w:left="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邮政编码：100033</w:t>
      </w:r>
    </w:p>
    <w:p w:rsidR="00BA4B87" w:rsidRPr="00D6191E" w:rsidRDefault="00BA4B87" w:rsidP="000449FE">
      <w:pPr>
        <w:adjustRightInd w:val="0"/>
        <w:snapToGrid w:val="0"/>
        <w:spacing w:line="360" w:lineRule="auto"/>
        <w:ind w:left="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法定代表人：</w:t>
      </w:r>
      <w:r w:rsidR="00371355" w:rsidRPr="00D6191E">
        <w:rPr>
          <w:rFonts w:asciiTheme="minorEastAsia" w:eastAsiaTheme="minorEastAsia" w:hAnsiTheme="minorEastAsia" w:cs="Arial" w:hint="eastAsia"/>
          <w:szCs w:val="21"/>
        </w:rPr>
        <w:t>田国立</w:t>
      </w:r>
    </w:p>
    <w:p w:rsidR="00BA4B87" w:rsidRPr="00D6191E" w:rsidRDefault="00BA4B87" w:rsidP="000449FE">
      <w:pPr>
        <w:adjustRightInd w:val="0"/>
        <w:snapToGrid w:val="0"/>
        <w:spacing w:line="360" w:lineRule="auto"/>
        <w:ind w:left="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成立日期：2004年09月17日</w:t>
      </w:r>
    </w:p>
    <w:p w:rsidR="00BA4B87" w:rsidRPr="00D6191E" w:rsidRDefault="00BA4B87" w:rsidP="000449FE">
      <w:pPr>
        <w:adjustRightInd w:val="0"/>
        <w:snapToGrid w:val="0"/>
        <w:spacing w:line="360" w:lineRule="auto"/>
        <w:ind w:left="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基金托管业务批准文号：中国证监会证监基字[1998</w:t>
      </w:r>
      <w:bookmarkStart w:id="130" w:name="OLE_LINK3"/>
      <w:r w:rsidRPr="00D6191E">
        <w:rPr>
          <w:rFonts w:asciiTheme="minorEastAsia" w:eastAsiaTheme="minorEastAsia" w:hAnsiTheme="minorEastAsia" w:cs="Arial" w:hint="eastAsia"/>
          <w:szCs w:val="21"/>
        </w:rPr>
        <w:t>]</w:t>
      </w:r>
      <w:bookmarkEnd w:id="130"/>
      <w:r w:rsidRPr="00D6191E">
        <w:rPr>
          <w:rFonts w:asciiTheme="minorEastAsia" w:eastAsiaTheme="minorEastAsia" w:hAnsiTheme="minorEastAsia" w:cs="Arial" w:hint="eastAsia"/>
          <w:szCs w:val="21"/>
        </w:rPr>
        <w:t>12号</w:t>
      </w:r>
    </w:p>
    <w:p w:rsidR="00BA4B87" w:rsidRPr="00D6191E" w:rsidRDefault="00BA4B87" w:rsidP="000449FE">
      <w:pPr>
        <w:adjustRightInd w:val="0"/>
        <w:snapToGrid w:val="0"/>
        <w:spacing w:line="360" w:lineRule="auto"/>
        <w:ind w:left="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组织形式：股份有限公司</w:t>
      </w:r>
    </w:p>
    <w:p w:rsidR="00BA4B87" w:rsidRPr="00D6191E" w:rsidRDefault="00BA4B87" w:rsidP="000449FE">
      <w:pPr>
        <w:adjustRightInd w:val="0"/>
        <w:snapToGrid w:val="0"/>
        <w:spacing w:line="360" w:lineRule="auto"/>
        <w:ind w:left="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注册资本：</w:t>
      </w:r>
      <w:r w:rsidR="006776C8" w:rsidRPr="00D6191E">
        <w:rPr>
          <w:rFonts w:asciiTheme="minorEastAsia" w:eastAsiaTheme="minorEastAsia" w:hAnsiTheme="minorEastAsia" w:hint="eastAsia"/>
          <w:szCs w:val="21"/>
        </w:rPr>
        <w:t>贰仟伍佰亿壹仟零玖拾柒万柒仟肆佰捌拾陆元整</w:t>
      </w:r>
    </w:p>
    <w:p w:rsidR="00BA4B87" w:rsidRPr="00D6191E" w:rsidRDefault="00BA4B87" w:rsidP="000449FE">
      <w:pPr>
        <w:adjustRightInd w:val="0"/>
        <w:snapToGrid w:val="0"/>
        <w:spacing w:line="360" w:lineRule="auto"/>
        <w:ind w:left="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存续期间：持续经营</w:t>
      </w:r>
    </w:p>
    <w:p w:rsidR="00BA4B87" w:rsidRPr="00D6191E" w:rsidRDefault="00BA4B87" w:rsidP="000449FE">
      <w:pPr>
        <w:pStyle w:val="ac"/>
        <w:autoSpaceDE w:val="0"/>
        <w:autoSpaceDN w:val="0"/>
        <w:adjustRightInd w:val="0"/>
        <w:snapToGrid w:val="0"/>
        <w:spacing w:after="0" w:line="360" w:lineRule="auto"/>
        <w:ind w:firstLineChars="200"/>
        <w:rPr>
          <w:rFonts w:asciiTheme="minorEastAsia" w:eastAsiaTheme="minorEastAsia" w:hAnsiTheme="minorEastAsia"/>
        </w:rPr>
      </w:pPr>
      <w:r w:rsidRPr="00D6191E">
        <w:rPr>
          <w:rFonts w:asciiTheme="minorEastAsia" w:eastAsiaTheme="minorEastAsia" w:hAnsiTheme="minorEastAsia"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31" w:name="_Toc86315944"/>
      <w:r w:rsidRPr="00D6191E">
        <w:rPr>
          <w:rFonts w:asciiTheme="minorEastAsia" w:eastAsiaTheme="minorEastAsia" w:hAnsiTheme="minorEastAsia" w:hint="eastAsia"/>
          <w:b w:val="0"/>
          <w:bCs/>
        </w:rPr>
        <w:t>(二)基金托管人对基金管理人的业务监督、核查</w:t>
      </w:r>
      <w:bookmarkEnd w:id="131"/>
    </w:p>
    <w:p w:rsidR="00BA4B87" w:rsidRPr="00D6191E" w:rsidRDefault="00234286"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w:t>
      </w:r>
      <w:r w:rsidR="00BA4B87" w:rsidRPr="00D6191E">
        <w:rPr>
          <w:rFonts w:asciiTheme="minorEastAsia" w:eastAsiaTheme="minorEastAsia" w:hAnsiTheme="minorEastAsia" w:cs="Arial" w:hint="eastAsia"/>
          <w:szCs w:val="21"/>
        </w:rPr>
        <w:t>基金托管人根据有关法律法规的规定及基金合同的约定，对基金投资范围、投资对象进行监督。基金合同明确约定基金投资风格或证券选择标准的，基金管理人应按照基金托</w:t>
      </w:r>
      <w:r w:rsidR="00BA4B87" w:rsidRPr="00D6191E">
        <w:rPr>
          <w:rFonts w:asciiTheme="minorEastAsia" w:eastAsiaTheme="minorEastAsia" w:hAnsiTheme="minorEastAsia" w:cs="Arial" w:hint="eastAsia"/>
          <w:szCs w:val="21"/>
        </w:rPr>
        <w:lastRenderedPageBreak/>
        <w:t>管人要求的格式提供投资品种池，以便基金托管人运用相关技术系统，对基金实际投资是否符合基金合同关于证券选择标准的约定进行监督，对存在疑义的事项进行核查。</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本基金的投资范围为具有良好流动性的金融工具，包括国债、央行票据、地方政府债、金融债、企业债、短期融资券、公司债、可转债（含分离交易可转债）、资产支持证券、债券回购、银行存款等固定收益类资产、股票（包含中小板、创业板及其他经中国证监会</w:t>
      </w:r>
      <w:r w:rsidR="00545636" w:rsidRPr="00545636">
        <w:rPr>
          <w:rFonts w:asciiTheme="minorEastAsia" w:eastAsiaTheme="minorEastAsia" w:hAnsiTheme="minorEastAsia" w:cs="Arial" w:hint="eastAsia"/>
          <w:szCs w:val="21"/>
        </w:rPr>
        <w:t>批准或注册上市的股票、存托凭证</w:t>
      </w:r>
      <w:r w:rsidRPr="00D6191E">
        <w:rPr>
          <w:rFonts w:asciiTheme="minorEastAsia" w:eastAsiaTheme="minorEastAsia" w:hAnsiTheme="minorEastAsia" w:cs="Arial" w:hint="eastAsia"/>
          <w:szCs w:val="21"/>
        </w:rPr>
        <w:t>）、权证等权益类资产以及法律法规或中国证监会允许基金投资的其他金融工具，但须符合中国证监会相关规定。</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本基金不直接从二级市场买入股票、权证等权益类资产，但可以参与一级市场新股申购（含增发），并可持有因可转债转股所形成的股票、因所持股票所派发的权证以及因投资分离交易可转债而产生的权证等。</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如法律法规或监管机构以后允许基金投资其他品种，基金管理人提前公告后，可以将其纳入投资范围，其投资比例遵循届时有效法律法规或相关规定。</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本基金各类资产的投资比例范围为：固定收益类资产的比例不低于基金资产的80%，其中，信用债、可转债合计投资比例不低于债券资产的</w:t>
      </w:r>
      <w:r w:rsidRPr="00D6191E">
        <w:rPr>
          <w:rFonts w:asciiTheme="minorEastAsia" w:eastAsiaTheme="minorEastAsia" w:hAnsiTheme="minorEastAsia" w:cs="Arial"/>
          <w:szCs w:val="21"/>
        </w:rPr>
        <w:t>80%</w:t>
      </w:r>
      <w:r w:rsidRPr="00D6191E">
        <w:rPr>
          <w:rFonts w:asciiTheme="minorEastAsia" w:eastAsiaTheme="minorEastAsia" w:hAnsiTheme="minorEastAsia" w:cs="Arial" w:hint="eastAsia"/>
          <w:szCs w:val="21"/>
        </w:rPr>
        <w:t>；权益类资产的比例不高于基金资产的20%；现金或者到期日在一年以内的政府债券的比例合计不低于基金资产净值的5%</w:t>
      </w:r>
      <w:r w:rsidR="005B2C48" w:rsidRPr="00D6191E">
        <w:rPr>
          <w:rFonts w:asciiTheme="minorEastAsia" w:eastAsiaTheme="minorEastAsia" w:hAnsiTheme="minorEastAsia" w:cs="Arial" w:hint="eastAsia"/>
          <w:szCs w:val="21"/>
        </w:rPr>
        <w:t>，现金不包括结算备付金、存出保证金、应收申购款等</w:t>
      </w:r>
      <w:r w:rsidRPr="00D6191E">
        <w:rPr>
          <w:rFonts w:asciiTheme="minorEastAsia" w:eastAsiaTheme="minorEastAsia" w:hAnsiTheme="minorEastAsia" w:cs="Arial" w:hint="eastAsia"/>
          <w:szCs w:val="21"/>
        </w:rPr>
        <w:t>。</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本基金所指的信用债为除国债、央行票据和政策性金融债之外的、非由国家信用担保的固定收益证券品种，包括企业债、公司债、短期融资券、资产支持证券和非政策性金融债等。</w:t>
      </w:r>
    </w:p>
    <w:p w:rsidR="00BA4B87" w:rsidRPr="00D6191E" w:rsidRDefault="00234286"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w:t>
      </w:r>
      <w:r w:rsidR="00BA4B87" w:rsidRPr="00D6191E">
        <w:rPr>
          <w:rFonts w:asciiTheme="minorEastAsia" w:eastAsiaTheme="minorEastAsia" w:hAnsiTheme="minorEastAsia" w:cs="Arial" w:hint="eastAsia"/>
          <w:szCs w:val="21"/>
        </w:rPr>
        <w:t>基金托管人根据有关法律法规的规定及基金合同的约定，对基金投资、融资比例进行监督。基金托管人按下述比例和调整期限进行监督：</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w:t>
      </w:r>
      <w:r w:rsidRPr="00D6191E">
        <w:rPr>
          <w:rFonts w:asciiTheme="minorEastAsia" w:eastAsiaTheme="minorEastAsia" w:hAnsiTheme="minorEastAsia" w:cs="Arial"/>
          <w:szCs w:val="21"/>
        </w:rPr>
        <w:t>本基金持有一家上市公司的股票，其市值不超过基金资产净值的</w:t>
      </w:r>
      <w:r w:rsidRPr="00D6191E">
        <w:rPr>
          <w:rFonts w:asciiTheme="minorEastAsia" w:eastAsiaTheme="minorEastAsia" w:hAnsiTheme="minorEastAsia" w:cs="Arial" w:hint="eastAsia"/>
          <w:szCs w:val="21"/>
        </w:rPr>
        <w:t>10％</w:t>
      </w:r>
      <w:r w:rsidRPr="00D6191E">
        <w:rPr>
          <w:rFonts w:asciiTheme="minorEastAsia" w:eastAsiaTheme="minorEastAsia" w:hAnsiTheme="minorEastAsia" w:cs="Arial"/>
          <w:szCs w:val="21"/>
        </w:rPr>
        <w:t>；</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(2)本基金持有的全部权证，其市值不得超过基金资产净值的3％；</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(3)本基金进入全国银行间同业市场进行债券回购的资金余额不得超过基金资产净值的40％；</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(4)本基金投资固定收益类资产的比例不低于基金资产的80%，其中，信用债、可转债合计投资比例不低于债券资产的80%；本基金投资权益类资产的比例不高于基金资产的20%；</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(5)本基金投资于同一原始权益人的各类资产支持证券的比例，不得超过基金资产净值的10％；</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(6)本基金持有的全部资产支持证券，其市值不得超过基金资产净值的20％；</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(7)本基金持有的同一(指同一信用级别)资产支持证券的比例，不得超过该资产支持证券规模的10％；</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(8)本基金应投资于信用级别评级为BBB以上(含BBB)的资产支持证券。基金持有资产支持证券期间，如果其信用等级下降、不再符合投资标准，应在评级报告发布之日起3个月内予以全部卖出；</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lastRenderedPageBreak/>
        <w:t>(9)</w:t>
      </w:r>
      <w:r w:rsidRPr="00D6191E">
        <w:rPr>
          <w:rFonts w:asciiTheme="minorEastAsia" w:eastAsiaTheme="minorEastAsia" w:hAnsiTheme="minorEastAsia" w:cs="Arial"/>
          <w:szCs w:val="21"/>
        </w:rPr>
        <w:t>基金财产参与股票发行申购，本基金所申报的金额不超过本基金的总资产，本基金所申报的股票数量不超过拟发行股票公司本次发行股票的总量；</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(10)保持不低于基金资产净值5％的现金或者到期日在一年以内的政府债券</w:t>
      </w:r>
      <w:r w:rsidR="005B2C48" w:rsidRPr="00D6191E">
        <w:rPr>
          <w:rFonts w:asciiTheme="minorEastAsia" w:eastAsiaTheme="minorEastAsia" w:hAnsiTheme="minorEastAsia" w:cs="Arial" w:hint="eastAsia"/>
          <w:szCs w:val="21"/>
        </w:rPr>
        <w:t>，现金不包括结算备付金、存出保证金、应收申购款等</w:t>
      </w:r>
      <w:r w:rsidRPr="00D6191E">
        <w:rPr>
          <w:rFonts w:asciiTheme="minorEastAsia" w:eastAsiaTheme="minorEastAsia" w:hAnsiTheme="minorEastAsia" w:cs="Arial" w:hint="eastAsia"/>
          <w:szCs w:val="21"/>
        </w:rPr>
        <w:t>；</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(11)本基金持有的所有流通受限证券，其公允价值不得超过本基金资产净值的10%；本基金持有的同一流通受限证券，其公允价值不得超过本基金资产净值的3%；因流通受限证券价格波动、基金规模变动、新股申购等基金管理人无法控制的因素导致上述比例被动超标的，基金管理人应当停止主动买入流通受限证券并在流通受限期结束后卖出流通受限证券;</w:t>
      </w:r>
    </w:p>
    <w:p w:rsidR="005B2C48" w:rsidRPr="00D6191E" w:rsidRDefault="005B2C48" w:rsidP="005B2C48">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5B2C48" w:rsidRPr="00D6191E" w:rsidRDefault="005B2C48" w:rsidP="005B2C48">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（13）本基金主动投资于流动性受限资产的市值合计不得超过该基金资产净值的15%。</w:t>
      </w:r>
    </w:p>
    <w:p w:rsidR="005B2C48" w:rsidRPr="00D6191E" w:rsidRDefault="005B2C48" w:rsidP="005B2C48">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因证券市场波动、上市公司股票停牌、基金规模变动等基金管理人之外的因素致使基金不符合前款所规定比例限制的，基金管理人不得主动新增流动性受限资产的投资。</w:t>
      </w:r>
    </w:p>
    <w:p w:rsidR="005B2C48" w:rsidRDefault="005B2C48" w:rsidP="005B2C48">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（14）本基金与私募类证券资管产品及中国证监会认定的其他主体为交易对手开展逆回购交易的，可接受质押品的资质要求应当与基金合同约定的投资范围保持一致。</w:t>
      </w:r>
    </w:p>
    <w:p w:rsidR="00545636" w:rsidRPr="00D6191E" w:rsidRDefault="00545636" w:rsidP="005B2C48">
      <w:pPr>
        <w:adjustRightInd w:val="0"/>
        <w:snapToGrid w:val="0"/>
        <w:spacing w:line="360" w:lineRule="auto"/>
        <w:ind w:firstLineChars="200" w:firstLine="420"/>
        <w:rPr>
          <w:rFonts w:asciiTheme="minorEastAsia" w:eastAsiaTheme="minorEastAsia" w:hAnsiTheme="minorEastAsia" w:cs="Arial"/>
          <w:szCs w:val="21"/>
        </w:rPr>
      </w:pPr>
      <w:r w:rsidRPr="00545636">
        <w:rPr>
          <w:rFonts w:asciiTheme="minorEastAsia" w:eastAsiaTheme="minorEastAsia" w:hAnsiTheme="minorEastAsia" w:cs="Arial" w:hint="eastAsia"/>
          <w:szCs w:val="21"/>
        </w:rPr>
        <w:t>（15）本基金投资存托凭证的比例限制依照境内上市交易的股票执行，与境内上市交易的股票合并计算；</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如果法律法规对上述投资组合比例限制进行变更的，以变更后的规定为准。</w:t>
      </w:r>
      <w:r w:rsidRPr="00D6191E">
        <w:rPr>
          <w:rFonts w:asciiTheme="minorEastAsia" w:eastAsiaTheme="minorEastAsia" w:hAnsiTheme="minorEastAsia" w:cs="Arial"/>
          <w:szCs w:val="21"/>
        </w:rPr>
        <w:t>法律法规或</w:t>
      </w:r>
      <w:r w:rsidRPr="00D6191E">
        <w:rPr>
          <w:rFonts w:asciiTheme="minorEastAsia" w:eastAsiaTheme="minorEastAsia" w:hAnsiTheme="minorEastAsia" w:cs="Arial" w:hint="eastAsia"/>
          <w:szCs w:val="21"/>
        </w:rPr>
        <w:t>监管部门取消</w:t>
      </w:r>
      <w:r w:rsidRPr="00D6191E">
        <w:rPr>
          <w:rFonts w:asciiTheme="minorEastAsia" w:eastAsiaTheme="minorEastAsia" w:hAnsiTheme="minorEastAsia" w:cs="Arial"/>
          <w:szCs w:val="21"/>
        </w:rPr>
        <w:t>上述限制，</w:t>
      </w:r>
      <w:r w:rsidRPr="00D6191E">
        <w:rPr>
          <w:rFonts w:asciiTheme="minorEastAsia" w:eastAsiaTheme="minorEastAsia" w:hAnsiTheme="minorEastAsia" w:cs="Arial" w:hint="eastAsia"/>
          <w:szCs w:val="21"/>
        </w:rPr>
        <w:t>如适用于本基金，则本基金投资不再受相关限制</w:t>
      </w:r>
      <w:r w:rsidRPr="00D6191E">
        <w:rPr>
          <w:rFonts w:asciiTheme="minorEastAsia" w:eastAsiaTheme="minorEastAsia" w:hAnsiTheme="minorEastAsia" w:cs="Arial"/>
          <w:szCs w:val="21"/>
        </w:rPr>
        <w:t>。</w:t>
      </w:r>
    </w:p>
    <w:p w:rsidR="00BA4B87" w:rsidRPr="00D6191E" w:rsidRDefault="005B2C48"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除上述（8）、（9）、（10）、（13）、（14）以外，</w:t>
      </w:r>
      <w:r w:rsidR="00BA4B87" w:rsidRPr="00D6191E">
        <w:rPr>
          <w:rFonts w:asciiTheme="minorEastAsia" w:eastAsiaTheme="minorEastAsia" w:hAnsiTheme="minorEastAsia" w:cs="Arial"/>
          <w:szCs w:val="21"/>
        </w:rPr>
        <w:t>因证券市场波动、上市公司合并、基金规模变动</w:t>
      </w:r>
      <w:r w:rsidR="00BA4B87" w:rsidRPr="00D6191E">
        <w:rPr>
          <w:rFonts w:asciiTheme="minorEastAsia" w:eastAsiaTheme="minorEastAsia" w:hAnsiTheme="minorEastAsia" w:cs="Arial" w:hint="eastAsia"/>
          <w:szCs w:val="21"/>
        </w:rPr>
        <w:t>、股权分置改革中支付对价</w:t>
      </w:r>
      <w:r w:rsidR="00BA4B87" w:rsidRPr="00D6191E">
        <w:rPr>
          <w:rFonts w:asciiTheme="minorEastAsia" w:eastAsiaTheme="minorEastAsia" w:hAnsiTheme="minorEastAsia" w:cs="Arial"/>
          <w:szCs w:val="21"/>
        </w:rPr>
        <w:t>等基金管理人之外的因素致使基金投资比例不符合上述</w:t>
      </w:r>
      <w:r w:rsidR="00BA4B87" w:rsidRPr="00D6191E">
        <w:rPr>
          <w:rFonts w:asciiTheme="minorEastAsia" w:eastAsiaTheme="minorEastAsia" w:hAnsiTheme="minorEastAsia" w:cs="Arial" w:hint="eastAsia"/>
          <w:szCs w:val="21"/>
        </w:rPr>
        <w:t>规定</w:t>
      </w:r>
      <w:r w:rsidR="00BA4B87" w:rsidRPr="00D6191E">
        <w:rPr>
          <w:rFonts w:asciiTheme="minorEastAsia" w:eastAsiaTheme="minorEastAsia" w:hAnsiTheme="minorEastAsia" w:cs="Arial"/>
          <w:szCs w:val="21"/>
        </w:rPr>
        <w:t>投资比例的，基金管理人应当在10个交易日内进行调整。</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基金管理人应当自基金合同生效之日起6个月内使基金的投资组合比例符合基金合同的有关约定。基金托管人对基金的投资的监督与检查自本基金合同生效之日起开始。</w:t>
      </w:r>
    </w:p>
    <w:p w:rsidR="00BA4B87" w:rsidRPr="00D6191E" w:rsidRDefault="00234286"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3、</w:t>
      </w:r>
      <w:r w:rsidR="00BA4B87" w:rsidRPr="00D6191E">
        <w:rPr>
          <w:rFonts w:asciiTheme="minorEastAsia" w:eastAsiaTheme="minorEastAsia" w:hAnsiTheme="minorEastAsia" w:cs="Arial" w:hint="eastAsia"/>
          <w:szCs w:val="21"/>
        </w:rPr>
        <w:t>基金托管人</w:t>
      </w:r>
      <w:bookmarkStart w:id="132" w:name="OLE_LINK1"/>
      <w:r w:rsidR="00BA4B87" w:rsidRPr="00D6191E">
        <w:rPr>
          <w:rFonts w:asciiTheme="minorEastAsia" w:eastAsiaTheme="minorEastAsia" w:hAnsiTheme="minorEastAsia" w:cs="Arial" w:hint="eastAsia"/>
          <w:szCs w:val="21"/>
        </w:rPr>
        <w:t>根据有关法律法规的规定及基金合同的约定，</w:t>
      </w:r>
      <w:bookmarkEnd w:id="132"/>
      <w:r w:rsidR="00BA4B87" w:rsidRPr="00D6191E">
        <w:rPr>
          <w:rFonts w:asciiTheme="minorEastAsia" w:eastAsiaTheme="minorEastAsia" w:hAnsiTheme="minorEastAsia" w:cs="Arial" w:hint="eastAsia"/>
          <w:szCs w:val="21"/>
        </w:rPr>
        <w:t>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w:t>
      </w:r>
      <w:r w:rsidRPr="00D6191E">
        <w:rPr>
          <w:rFonts w:asciiTheme="minorEastAsia" w:eastAsiaTheme="minorEastAsia" w:hAnsiTheme="minorEastAsia" w:cs="Arial" w:hint="eastAsia"/>
          <w:szCs w:val="21"/>
        </w:rPr>
        <w:lastRenderedPageBreak/>
        <w:t>告。对于基金管理人已成交的关联交易，基金托管人事前无法阻止该关联交易的发生，只能进行事后结算，基金托管人不承担由此造成的损失，并向中国证监会报告。</w:t>
      </w:r>
    </w:p>
    <w:p w:rsidR="00BA4B87" w:rsidRPr="00D6191E" w:rsidRDefault="00234286"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4、</w:t>
      </w:r>
      <w:r w:rsidR="00BA4B87" w:rsidRPr="00D6191E">
        <w:rPr>
          <w:rFonts w:asciiTheme="minorEastAsia" w:eastAsiaTheme="minorEastAsia" w:hAnsiTheme="minorEastAsia" w:cs="Arial" w:hint="eastAsia"/>
          <w:szCs w:val="21"/>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如基金管理人根据市场情况需要临时调整银行间债券市场交易对手名单及结算方式的，应向基金托管人说明理由，并在与交易对手发生交易前3工作日内与基金托管人协商解决。基金管理人与基金托管人完成确认后，被确认调整的名单开始生效，新名单生效前已与本次剔除的交易对手所进行但尚未结算的交易，仍应按照协议进行结算。</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BA4B87" w:rsidRPr="00D6191E" w:rsidRDefault="00234286"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5、</w:t>
      </w:r>
      <w:r w:rsidR="00BA4B87" w:rsidRPr="00D6191E">
        <w:rPr>
          <w:rFonts w:asciiTheme="minorEastAsia" w:eastAsiaTheme="minorEastAsia" w:hAnsiTheme="minorEastAsia" w:cs="Arial" w:hint="eastAsia"/>
          <w:szCs w:val="21"/>
        </w:rPr>
        <w:t>基金托管人根据有关法律法规的规定及基金合同的约定，对基金管理人投资流通受限证券进行监督。</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本基金投资的受限证券限于可由中国证券登记结算有限责任公司或中央国债登记结算有限责任公司负责登记和存管，并可在证券交易所或全国银行间债券市场交易的证券。</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w:t>
      </w:r>
      <w:r w:rsidRPr="00D6191E">
        <w:rPr>
          <w:rFonts w:asciiTheme="minorEastAsia" w:eastAsiaTheme="minorEastAsia" w:hAnsiTheme="minorEastAsia" w:cs="Arial" w:hint="eastAsia"/>
          <w:szCs w:val="21"/>
        </w:rPr>
        <w:lastRenderedPageBreak/>
        <w:t>安全的责任及损失，由基金管理人承担。</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本基金投资受限证券，不得预付任何形式的保证金。</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a.中国证监会批准发行非公开发行股票的批准文件。</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b.非公开发行股票有关发行数量、发行价格、锁定期等发行资料。</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c.非公开发行股票发行人与中国证券登记结算有限责任公司或中央国债登记结算有限责任公司签订的证券登记及服务协议。</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d.基金拟认购的数量、价格、总成本、账面价值。</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(4)基金管理人应在本基金投资非公开发行股票后两个交易日内，在中国证监会</w:t>
      </w:r>
      <w:r w:rsidR="00F44B20" w:rsidRPr="00D6191E">
        <w:rPr>
          <w:rFonts w:asciiTheme="minorEastAsia" w:eastAsiaTheme="minorEastAsia" w:hAnsiTheme="minorEastAsia" w:cs="Arial" w:hint="eastAsia"/>
          <w:szCs w:val="21"/>
        </w:rPr>
        <w:t>指定媒介</w:t>
      </w:r>
      <w:r w:rsidRPr="00D6191E">
        <w:rPr>
          <w:rFonts w:asciiTheme="minorEastAsia" w:eastAsiaTheme="minorEastAsia" w:hAnsiTheme="minorEastAsia" w:cs="Arial" w:hint="eastAsia"/>
          <w:szCs w:val="21"/>
        </w:rPr>
        <w:t>披露所投资非公开发行股票的名称、数量、总成本、账面价值，以及总成本和账面价值占基金资产净值的比例、锁定期等信息。</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本基金有关投资受限证券比例如违反有关限制规定，在合理期限内未能进行及时调整，基金管理人应在两个工作日内编制临时报告书，予以公告。</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(5)基金托管人根据有关规定有权对基金管理人进行以下事项监督：</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a.本基金投资受限证券时的法律法规遵守情况。</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b.在基金投资受限证券管理工作方面有关制度、流动性风险处置预案的建立与完善情况。</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c.有关比例限制的执行情况。</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d.信息披露情况。</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(6)相关法律法规对基金投资受限证券有新规定的，从其规定。</w:t>
      </w:r>
    </w:p>
    <w:p w:rsidR="00BA4B87" w:rsidRPr="00D6191E" w:rsidRDefault="00234286"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6、</w:t>
      </w:r>
      <w:r w:rsidR="00BA4B87" w:rsidRPr="00D6191E">
        <w:rPr>
          <w:rFonts w:asciiTheme="minorEastAsia" w:eastAsiaTheme="minorEastAsia" w:hAnsiTheme="minorEastAsia" w:cs="Arial" w:hint="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A4B87" w:rsidRPr="00D6191E" w:rsidRDefault="00234286"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lastRenderedPageBreak/>
        <w:t>7、</w:t>
      </w:r>
      <w:r w:rsidR="00BA4B87" w:rsidRPr="00D6191E">
        <w:rPr>
          <w:rFonts w:asciiTheme="minorEastAsia" w:eastAsiaTheme="minorEastAsia" w:hAnsiTheme="minorEastAsia" w:cs="Arial" w:hint="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A4B87" w:rsidRPr="00D6191E" w:rsidRDefault="00234286"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8、</w:t>
      </w:r>
      <w:r w:rsidR="00BA4B87" w:rsidRPr="00D6191E">
        <w:rPr>
          <w:rFonts w:asciiTheme="minorEastAsia" w:eastAsiaTheme="minorEastAsia" w:hAnsiTheme="minorEastAsia" w:cs="Arial" w:hint="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BA4B87" w:rsidRPr="00D6191E" w:rsidRDefault="00234286"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9、</w:t>
      </w:r>
      <w:r w:rsidR="00BA4B87" w:rsidRPr="00D6191E">
        <w:rPr>
          <w:rFonts w:asciiTheme="minorEastAsia" w:eastAsiaTheme="minorEastAsia" w:hAnsiTheme="minorEastAsia" w:cs="Arial" w:hint="eastAsia"/>
          <w:szCs w:val="21"/>
        </w:rPr>
        <w:t>若基金托管人发现基金管理人依据交易程序已经生效的指令违反法律、行政法规和其他有关规定，或者违反基金合同约定的，应当立即通知基金管理人，由此造成的损失由基金管理人承担。</w:t>
      </w:r>
    </w:p>
    <w:p w:rsidR="00BA4B87" w:rsidRPr="00D6191E" w:rsidRDefault="00234286"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10、</w:t>
      </w:r>
      <w:r w:rsidR="00BA4B87" w:rsidRPr="00D6191E">
        <w:rPr>
          <w:rFonts w:asciiTheme="minorEastAsia" w:eastAsiaTheme="minorEastAsia" w:hAnsiTheme="minorEastAsia" w:cs="Arial" w:hint="eastAsia"/>
          <w:szCs w:val="21"/>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33" w:name="_Toc86315945"/>
      <w:r w:rsidRPr="00D6191E">
        <w:rPr>
          <w:rFonts w:asciiTheme="minorEastAsia" w:eastAsiaTheme="minorEastAsia" w:hAnsiTheme="minorEastAsia" w:hint="eastAsia"/>
          <w:b w:val="0"/>
          <w:bCs/>
        </w:rPr>
        <w:t>(三)基金管理人对基金托管人的业务核查</w:t>
      </w:r>
      <w:bookmarkEnd w:id="133"/>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个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3</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基金管理人发现基金托管人有重大违规行为，应及时报告中国证监会，同时通知基金托管人限期纠正，并将纠正结果报告中国证监会。基金托管人无正当理由，拒绝、阻挠对</w:t>
      </w:r>
      <w:r w:rsidRPr="00D6191E">
        <w:rPr>
          <w:rFonts w:asciiTheme="minorEastAsia" w:eastAsiaTheme="minorEastAsia" w:hAnsiTheme="minorEastAsia" w:cs="Arial" w:hint="eastAsia"/>
          <w:szCs w:val="21"/>
        </w:rPr>
        <w:lastRenderedPageBreak/>
        <w:t>方根据本协议规定行使监督权，或采取拖延、欺诈等手段妨碍对方进行有效监督，情节严重或经基金管理人提出警告仍不改正的，基金管理人应报告中国证监会。</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34" w:name="_Toc86315946"/>
      <w:r w:rsidRPr="00D6191E">
        <w:rPr>
          <w:rFonts w:asciiTheme="minorEastAsia" w:eastAsiaTheme="minorEastAsia" w:hAnsiTheme="minorEastAsia" w:hint="eastAsia"/>
          <w:b w:val="0"/>
          <w:bCs/>
        </w:rPr>
        <w:t>(四)基金财产的保管</w:t>
      </w:r>
      <w:bookmarkEnd w:id="134"/>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bookmarkStart w:id="135" w:name="_Toc37159173"/>
      <w:r w:rsidRPr="00D6191E">
        <w:rPr>
          <w:rFonts w:asciiTheme="minorEastAsia" w:eastAsiaTheme="minorEastAsia" w:hAnsiTheme="minorEastAsia" w:cs="Arial" w:hint="eastAsia"/>
          <w:szCs w:val="21"/>
        </w:rPr>
        <w:t>1</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基金财产保管的原则</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(1)基金财产应独立于基金管理人、基金托管人的固有财产。</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(2)基金托管人应安全保管基金财产。</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(3)基金托管人按照规定开设基金财产的资金账户和证券账户。</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(4)基金托管人对所托管的不同基金财产分别设置账户，确保基金财产的完整与独立。</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(5)基金托管人根据基金管理人的指令，按照基金合同和本协议的约定保管基金财产，如有特殊情况双方可另行协商解决。基金</w:t>
      </w:r>
      <w:r w:rsidRPr="00D6191E">
        <w:rPr>
          <w:rFonts w:asciiTheme="minorEastAsia" w:eastAsiaTheme="minorEastAsia" w:hAnsiTheme="minorEastAsia" w:hint="eastAsia"/>
          <w:szCs w:val="21"/>
        </w:rPr>
        <w:t>托管人未经基金管理人的指令，不得自行运用、处分、分配本基金的任何资产（不包含基金托管人依据中国结算公司结算数据完成场内交易交收、托管资产开户银行扣收结算费和账户维护费等费用）。</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(6)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(7)除依据法律法规和基金合同的规定外，基金托管人不得委托第三人托管基金财产。</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基金募集期间及募集资金的验资</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(1)基金募集期间募集的资金应存于基金管理人在基金托管人的营业机构开立的“基金募集专户”。该账户由基金管理人开立并管理。</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基金募集期满或基金停止募集时，募集的基金份额总额、基金募集金额、基金份额持有人人数符合《基金法》、《运作办法》等有关规定后，基金管理人应将募集到的基金财产的全部资金划入基金托管人为基金开立的基金托管资金账户，同时在规定时间内，聘请具有从事证券相关业务资格的会计师事务所进行验资，出具验资报告。出具的验资报告由参加验资的2名或2名以上中国注册会计师签字方为有效。</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(3)若基金募集期限届满，未能达到基金合同生效的条件，由基金管理人按规定办理退款等事宜。</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3</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基金银行账户的开立和管理</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(1)基金托管人可以本基金的名义在其营业机构开立基金的银行账户，并根据基金管理人合法合规的指令办理资金收付。本基金的银行预留印鉴由基金托管人保管和使用。</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lastRenderedPageBreak/>
        <w:t>(3)基金银行账户的开立和管理应符合银行业监督管理机构的有关规定。</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(4)在符合法律法规规定的条件下，基金托管人可以通过基金托管人专用账户办理基金资产的支付。</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4</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基金证券账户和结算备付金账户的开立和管理</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(1)基金托管人在中国证券登记结算有限责任公司上海分公司、深圳分公司为基金开立基金托管人与基金联名的证券账户。</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(3)基金证券账户的开立和证券账户卡的保管由基金托管人负责，账户资产的管理和运用由基金管理人负责。</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5</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债券托管专户的开设和管理</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合同生效后，基金托管人根据中国人民银行、中央国债登记结算有限责任公司的有关规定，以基金的名义在中央国债登记结算有限责任公司开立债券托管账户，并代表基金进行银行间市场债券的结算。基金管理人和基金托管人共同代表基金签订全国银行间债券市场债券回购主协议。</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6</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其他账户的开立和管理</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(1)因业务发展需要而开立的其他账户，可以根据法律法规和基金合同的规定，由基金托管人负责开立。新账户按有关规定使用并管理。</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(2)法律法规等有关规定对相关账户的开立和管理另有规定的，从其规定办理。</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7</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基金财产投资的有关有价凭证等的保管</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8</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与基金财产有关的重大合同的保管</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bookmarkEnd w:id="135"/>
      <w:r w:rsidRPr="00D6191E">
        <w:rPr>
          <w:rFonts w:asciiTheme="minorEastAsia" w:eastAsiaTheme="minorEastAsia" w:hAnsiTheme="minorEastAsia" w:cs="Arial" w:hint="eastAsia"/>
          <w:szCs w:val="21"/>
        </w:rPr>
        <w:t>。</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36" w:name="_Toc86315947"/>
      <w:r w:rsidRPr="00D6191E">
        <w:rPr>
          <w:rFonts w:asciiTheme="minorEastAsia" w:eastAsiaTheme="minorEastAsia" w:hAnsiTheme="minorEastAsia" w:hint="eastAsia"/>
          <w:b w:val="0"/>
          <w:bCs/>
        </w:rPr>
        <w:t>(五)基金资产净值计算与复核</w:t>
      </w:r>
      <w:bookmarkEnd w:id="136"/>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基金资产净值的计算、复核与完成的时间及程序</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(1)基金资产净值</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基金资产净值是指基金资产总值减去负债后的价值。</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基金份额净值是指基金资产净值除以基金份额总数，基金份额净值的计算，精确到0.001元，小数点后第四位四舍五入，国家另有规定的，从其规定。</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基金管理人每个工作日计算基金资产净值及基金份额净值，经基金托管人复核，按规定公告。</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(2)复核程序</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基金管理人每工作日对基金资产进行估值后，将基金份额净值结果发送基金托管人，经基金托管人复核无误后，由基金管理人对外公布。</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基金资产估值方法和特殊情形的处理</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(1)估值对象</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基金所拥有的股票、权证、债券和银行存款本息、应收款项、其它投资等资产和负债。</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(2)估值方法</w:t>
      </w:r>
    </w:p>
    <w:p w:rsidR="00BA4B87" w:rsidRPr="00D6191E" w:rsidRDefault="00234286"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a.</w:t>
      </w:r>
      <w:r w:rsidR="00BA4B87" w:rsidRPr="00D6191E">
        <w:rPr>
          <w:rFonts w:asciiTheme="minorEastAsia" w:eastAsiaTheme="minorEastAsia" w:hAnsiTheme="minorEastAsia" w:cs="Arial" w:hint="eastAsia"/>
          <w:szCs w:val="21"/>
        </w:rPr>
        <w:t>证券交易所上市的有价证券的估值</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w:t>
      </w:r>
      <w:r w:rsidRPr="00D6191E">
        <w:rPr>
          <w:rFonts w:asciiTheme="minorEastAsia" w:eastAsiaTheme="minorEastAsia" w:hAnsiTheme="minorEastAsia" w:cs="Arial" w:hint="eastAsia"/>
          <w:szCs w:val="21"/>
        </w:rPr>
        <w:lastRenderedPageBreak/>
        <w:t>确定公允价格。</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日所采用的净价，确定公允价格；</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4）交易所上市不存在活跃市场的有价证券，采用估值技术确定公允价值。交易所上市的资产支持证券，采用估值技术确定公允价值，在估值技术难以可靠计量公允价值的情况下，按成本估值。</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b</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处于未上市期间的有价证券应区分如下情况处理：</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1）送股、转增股、配股和公开增发的新股，按估值日在证券交易所挂牌的同一股票的市价（收盘价）估值；该日无交易的，以最近一日的市价（收盘价）估值；</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2）首次公开发行未上市的股票、债券和权证，采用估值技术确定公允价值，在估值技术难以可靠计量公允价值的情况下，按成本估值。</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3）首次公开发行有明确锁定期的股票，同一股票在交易所上市后，按交易所上市的同一股票的市价（收盘价）估值；非公开发行有明确锁定期的股票，按监管机构或行业协会有关规定确定公允价值。</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c</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因持有股票而享有的配股权，以及停止交易、但未行权的权证，采用估值技术确定公允价值。</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d</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全国银行间债券市场交易的债券、资产支持证券等固定收益品种，采用估值技术确定公允价值。</w:t>
      </w:r>
    </w:p>
    <w:p w:rsidR="00BA4B87"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e</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同一债券同时在两个或两个以上市场交易的，按债券所处的市场分别估值。</w:t>
      </w:r>
    </w:p>
    <w:p w:rsidR="00545636" w:rsidRPr="007C3270" w:rsidRDefault="00545636" w:rsidP="00545636">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f</w:t>
      </w:r>
      <w:r w:rsidRPr="007C3270">
        <w:rPr>
          <w:rFonts w:ascii="仿宋_GB2312" w:eastAsia="仿宋_GB2312" w:hAnsi="宋体" w:cs="Arial" w:hint="eastAsia"/>
          <w:sz w:val="24"/>
        </w:rPr>
        <w:t>、本基金投资存托凭证的估值核算，依照境内上市交易的股票执行。</w:t>
      </w:r>
    </w:p>
    <w:p w:rsidR="00BA4B87" w:rsidRPr="00D6191E" w:rsidRDefault="00545636" w:rsidP="000449FE">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szCs w:val="21"/>
        </w:rPr>
        <w:t>g</w:t>
      </w:r>
      <w:r w:rsidR="00234286" w:rsidRPr="00D6191E">
        <w:rPr>
          <w:rFonts w:asciiTheme="minorEastAsia" w:eastAsiaTheme="minorEastAsia" w:hAnsiTheme="minorEastAsia" w:cs="Arial" w:hint="eastAsia"/>
          <w:szCs w:val="21"/>
        </w:rPr>
        <w:t>.</w:t>
      </w:r>
      <w:r w:rsidR="00BA4B87" w:rsidRPr="00D6191E">
        <w:rPr>
          <w:rFonts w:asciiTheme="minorEastAsia" w:eastAsiaTheme="minorEastAsia" w:hAnsiTheme="minorEastAsia" w:cs="Arial" w:hint="eastAsia"/>
          <w:szCs w:val="21"/>
        </w:rPr>
        <w:t>如有确凿证据表明按上述方法进行估值不能客观反映其公允价值的，基金管理人可根据具体情况与基金托管人商定后，按最能反映公允价值的价格估值。</w:t>
      </w:r>
    </w:p>
    <w:p w:rsidR="00BA4B87" w:rsidRPr="00D6191E" w:rsidRDefault="00545636" w:rsidP="000449FE">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szCs w:val="21"/>
        </w:rPr>
        <w:t>h</w:t>
      </w:r>
      <w:r w:rsidR="00234286" w:rsidRPr="00D6191E">
        <w:rPr>
          <w:rFonts w:asciiTheme="minorEastAsia" w:eastAsiaTheme="minorEastAsia" w:hAnsiTheme="minorEastAsia" w:cs="Arial" w:hint="eastAsia"/>
          <w:szCs w:val="21"/>
        </w:rPr>
        <w:t>.</w:t>
      </w:r>
      <w:r w:rsidR="00BA4B87" w:rsidRPr="00D6191E">
        <w:rPr>
          <w:rFonts w:asciiTheme="minorEastAsia" w:eastAsiaTheme="minorEastAsia" w:hAnsiTheme="minorEastAsia" w:cs="Arial" w:hint="eastAsia"/>
          <w:szCs w:val="21"/>
        </w:rPr>
        <w:t>相关法律法规以及监管部门有强制规定的，从其规定。如有新增事项，按国家最新规定估值。</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(3)特殊情形的处理</w:t>
      </w:r>
    </w:p>
    <w:p w:rsidR="00BA4B87" w:rsidRPr="00545636" w:rsidRDefault="00BA4B87" w:rsidP="00545636">
      <w:pPr>
        <w:adjustRightInd w:val="0"/>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基金管理人、基金托管人按估值方法的第</w:t>
      </w:r>
      <w:r w:rsidR="00545636">
        <w:rPr>
          <w:rFonts w:asciiTheme="minorEastAsia" w:eastAsiaTheme="minorEastAsia" w:hAnsiTheme="minorEastAsia"/>
        </w:rPr>
        <w:t>g</w:t>
      </w:r>
      <w:r w:rsidRPr="00D6191E">
        <w:rPr>
          <w:rFonts w:asciiTheme="minorEastAsia" w:eastAsiaTheme="minorEastAsia" w:hAnsiTheme="minorEastAsia" w:hint="eastAsia"/>
        </w:rPr>
        <w:t>项进行估值时，所造成的误差不作为基金份</w:t>
      </w:r>
      <w:r w:rsidRPr="00D6191E">
        <w:rPr>
          <w:rFonts w:asciiTheme="minorEastAsia" w:eastAsiaTheme="minorEastAsia" w:hAnsiTheme="minorEastAsia" w:cs="Arial" w:hint="eastAsia"/>
        </w:rPr>
        <w:t>额净值错误处理。</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3</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基金份额净值错误的处理方式</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rPr>
      </w:pPr>
      <w:r w:rsidRPr="00D6191E">
        <w:rPr>
          <w:rFonts w:asciiTheme="minorEastAsia" w:eastAsiaTheme="minorEastAsia" w:hAnsiTheme="minorEastAsia" w:cs="Arial" w:hint="eastAsia"/>
        </w:rPr>
        <w:lastRenderedPageBreak/>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D6191E">
        <w:rPr>
          <w:rFonts w:asciiTheme="minorEastAsia" w:eastAsiaTheme="minorEastAsia" w:hAnsiTheme="minorEastAsia" w:cs="Arial" w:hint="eastAsia"/>
          <w:szCs w:val="21"/>
        </w:rPr>
        <w:t>；错误偏差达到基金份额净值的0.5%时，基金管理人应当公告、通告基金托管人并报中国证监会备案</w:t>
      </w:r>
      <w:r w:rsidRPr="00D6191E">
        <w:rPr>
          <w:rFonts w:asciiTheme="minorEastAsia" w:eastAsiaTheme="minorEastAsia" w:hAnsiTheme="minorEastAsia" w:cs="Arial" w:hint="eastAsia"/>
        </w:rPr>
        <w:t>；当发生净值计算错误时，由基金管理人负责处理，由此给基金份额持有人和基金造成损失的，应由基金管理人先行赔付，基金管理人按差错情形，有权向其他当事人追偿。</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rPr>
      </w:pPr>
      <w:r w:rsidRPr="00D6191E">
        <w:rPr>
          <w:rFonts w:asciiTheme="minorEastAsia" w:eastAsiaTheme="minorEastAsia" w:hAnsiTheme="minorEastAsia" w:cs="Arial" w:hint="eastAsia"/>
        </w:rPr>
        <w:t>（2）当基金份额净值计算差错给基金和基金份额持有人造成损失需要进行赔偿时，基金管理人和基金托管人应根据实际情况界定双方承担的责任，经确认后按以下条款进行赔偿：</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rPr>
        <w:t>a.</w:t>
      </w:r>
      <w:r w:rsidRPr="00D6191E">
        <w:rPr>
          <w:rFonts w:asciiTheme="minorEastAsia" w:eastAsiaTheme="minorEastAsia" w:hAnsiTheme="minorEastAsia" w:cs="Arial"/>
        </w:rPr>
        <w:t>本基金的基金会计责任方由基金管理人担任</w:t>
      </w:r>
      <w:r w:rsidRPr="00D6191E">
        <w:rPr>
          <w:rFonts w:asciiTheme="minorEastAsia" w:eastAsiaTheme="minorEastAsia" w:hAnsiTheme="minorEastAsia" w:cs="Arial" w:hint="eastAsia"/>
        </w:rPr>
        <w:t>，</w:t>
      </w:r>
      <w:r w:rsidRPr="00D6191E">
        <w:rPr>
          <w:rFonts w:asciiTheme="minorEastAsia" w:eastAsiaTheme="minorEastAsia" w:hAnsiTheme="minorEastAsia" w:cs="Arial"/>
        </w:rPr>
        <w:t>与本基金有关的会计问题，如经双方在平等基础上充分讨论后，</w:t>
      </w:r>
      <w:r w:rsidRPr="00D6191E">
        <w:rPr>
          <w:rFonts w:asciiTheme="minorEastAsia" w:eastAsiaTheme="minorEastAsia" w:hAnsiTheme="minorEastAsia" w:cs="Arial" w:hint="eastAsia"/>
        </w:rPr>
        <w:t>尚不能达成一致时，</w:t>
      </w:r>
      <w:r w:rsidRPr="00D6191E">
        <w:rPr>
          <w:rFonts w:asciiTheme="minorEastAsia" w:eastAsiaTheme="minorEastAsia" w:hAnsiTheme="minorEastAsia" w:cs="Arial"/>
        </w:rPr>
        <w:t>按基金</w:t>
      </w:r>
      <w:r w:rsidRPr="00D6191E">
        <w:rPr>
          <w:rFonts w:asciiTheme="minorEastAsia" w:eastAsiaTheme="minorEastAsia" w:hAnsiTheme="minorEastAsia" w:cs="Arial" w:hint="eastAsia"/>
        </w:rPr>
        <w:t>管理人</w:t>
      </w:r>
      <w:r w:rsidRPr="00D6191E">
        <w:rPr>
          <w:rFonts w:asciiTheme="minorEastAsia" w:eastAsiaTheme="minorEastAsia" w:hAnsiTheme="minorEastAsia" w:cs="Arial"/>
        </w:rPr>
        <w:t>的建议执行</w:t>
      </w:r>
      <w:r w:rsidRPr="00D6191E">
        <w:rPr>
          <w:rFonts w:asciiTheme="minorEastAsia" w:eastAsiaTheme="minorEastAsia" w:hAnsiTheme="minorEastAsia" w:cs="Arial" w:hint="eastAsia"/>
        </w:rPr>
        <w:t>，由此给基金份额持有人和基金财产造成的</w:t>
      </w:r>
      <w:r w:rsidRPr="00D6191E">
        <w:rPr>
          <w:rFonts w:asciiTheme="minorEastAsia" w:eastAsiaTheme="minorEastAsia" w:hAnsiTheme="minorEastAsia" w:cs="Arial" w:hint="eastAsia"/>
          <w:szCs w:val="21"/>
        </w:rPr>
        <w:t>损失，由基金管理人负责赔付。</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b.若基金管理人计算的基金份额净值已由基金托管人复核确认后公告，而且基金托管人未对计算过程提出书面或电话疑义或要求基金管理人出具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c.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d.由于基金管理人提供的信息错误（包括但不限于基金申购或赎回金额等），进而导致基金份额净值计算错误而引起的基金份额持有人和基金财产的损失，由基金管理人负责赔付。</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（3）由于</w:t>
      </w:r>
      <w:r w:rsidRPr="00D6191E">
        <w:rPr>
          <w:rFonts w:asciiTheme="minorEastAsia" w:eastAsiaTheme="minorEastAsia" w:hAnsiTheme="minorEastAsia" w:cs="Arial"/>
          <w:szCs w:val="21"/>
        </w:rPr>
        <w:t>不可抗力原因，或由于证券交易所</w:t>
      </w:r>
      <w:r w:rsidRPr="00D6191E">
        <w:rPr>
          <w:rFonts w:asciiTheme="minorEastAsia" w:eastAsiaTheme="minorEastAsia" w:hAnsiTheme="minorEastAsia" w:cs="Arial" w:hint="eastAsia"/>
          <w:szCs w:val="21"/>
        </w:rPr>
        <w:t>或</w:t>
      </w:r>
      <w:r w:rsidRPr="00D6191E">
        <w:rPr>
          <w:rFonts w:asciiTheme="minorEastAsia" w:eastAsiaTheme="minorEastAsia" w:hAnsiTheme="minorEastAsia" w:cs="Arial"/>
          <w:szCs w:val="21"/>
        </w:rPr>
        <w:t>登记</w:t>
      </w:r>
      <w:r w:rsidRPr="00D6191E">
        <w:rPr>
          <w:rFonts w:asciiTheme="minorEastAsia" w:eastAsiaTheme="minorEastAsia" w:hAnsiTheme="minorEastAsia" w:cs="Arial" w:hint="eastAsia"/>
          <w:szCs w:val="21"/>
        </w:rPr>
        <w:t>结算</w:t>
      </w:r>
      <w:r w:rsidRPr="00D6191E">
        <w:rPr>
          <w:rFonts w:asciiTheme="minorEastAsia" w:eastAsiaTheme="minorEastAsia" w:hAnsiTheme="minorEastAsia" w:cs="Arial"/>
          <w:szCs w:val="21"/>
        </w:rPr>
        <w:t>公司发送的数据错误，</w:t>
      </w:r>
      <w:r w:rsidRPr="00D6191E">
        <w:rPr>
          <w:rFonts w:asciiTheme="minorEastAsia" w:eastAsiaTheme="minorEastAsia" w:hAnsiTheme="minorEastAsia" w:cs="Arial" w:hint="eastAsia"/>
          <w:szCs w:val="21"/>
        </w:rPr>
        <w:t>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（4）基金管理人和基金托管人由于各自技术系统设置而产生的净值计算尾差，以基金管理人计算结果为准。</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（5）前述内容如法律法规或者监管部门另有规定的，从其规定。如果行业另有通行做法，双方当事人应本着平等和保护基金份额持有人利益的原则进行协商。</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4</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暂停估值与公告基金份额净值的情形</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（1）基金投资所涉及的证券交易所遇法定节假日或因其他原因暂停交易时；</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（2）因不可抗力或其他情形致使基金管理人、基金托管人无法准确评估基金资产价值</w:t>
      </w:r>
      <w:r w:rsidRPr="00D6191E">
        <w:rPr>
          <w:rFonts w:asciiTheme="minorEastAsia" w:eastAsiaTheme="minorEastAsia" w:hAnsiTheme="minorEastAsia" w:cs="Arial" w:hint="eastAsia"/>
          <w:szCs w:val="21"/>
        </w:rPr>
        <w:lastRenderedPageBreak/>
        <w:t>时；</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（3）占基金相当比例的投资品种的估值出现重大转变，而基金管理人为保障投资人的利益，决定延迟估值；</w:t>
      </w:r>
    </w:p>
    <w:p w:rsidR="005B2C48"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（4）</w:t>
      </w:r>
      <w:r w:rsidR="00545636" w:rsidRPr="00545636">
        <w:rPr>
          <w:rFonts w:asciiTheme="minorEastAsia" w:eastAsiaTheme="minorEastAsia" w:hAnsiTheme="minorEastAsia" w:cs="Arial" w:hint="eastAsia"/>
          <w:szCs w:val="21"/>
        </w:rPr>
        <w:t>当特定资产占前一估值日基金资产净值50%以上的，经与基金托管人协商确认后，基金管理人应当暂停估值；</w:t>
      </w:r>
    </w:p>
    <w:p w:rsidR="00BA4B87" w:rsidRPr="00D6191E" w:rsidRDefault="005B2C48"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（5</w:t>
      </w:r>
      <w:r w:rsidRPr="00D6191E">
        <w:rPr>
          <w:rFonts w:asciiTheme="minorEastAsia" w:eastAsiaTheme="minorEastAsia" w:hAnsiTheme="minorEastAsia" w:cs="Arial"/>
          <w:szCs w:val="21"/>
        </w:rPr>
        <w:t>）</w:t>
      </w:r>
      <w:r w:rsidR="00BA4B87" w:rsidRPr="00D6191E">
        <w:rPr>
          <w:rFonts w:asciiTheme="minorEastAsia" w:eastAsiaTheme="minorEastAsia" w:hAnsiTheme="minorEastAsia" w:cs="Arial" w:hint="eastAsia"/>
          <w:szCs w:val="21"/>
        </w:rPr>
        <w:t>中国证监会和基金合同认定的其他情形。</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5</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基金会计制度</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按国家有关部门规定的会计制度执行。</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6</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基金账册的建立</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7</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基金财务报表与报告的编制和复核</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(1)财务报表的编制</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基金财务报表由基金管理人编制，基金托管人复核。</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(2)报表复核</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基金托管人在收到基金管理人编制的基金财务报表后，进行独立的复核。核对不符时，应及时通知基金管理人共同查出原因，进行调整，直至双方数据完全一致。</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(3)财务报表的编制与复核时间安排</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a.报表的编制</w:t>
      </w:r>
    </w:p>
    <w:p w:rsidR="00BA4B87" w:rsidRPr="00D6191E" w:rsidRDefault="00BB0C72"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中的财务会计报告应当经过具有证券、期货相关业务资格的会计师事务所审计。基金合同生效不足两个月的，基金管理人可以不编制当期季度报告、中期报告或者年度报告。</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b.报表的复核</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基金管理人应留足充分的时间，便于基金托管人复核相关报表及报告。</w:t>
      </w:r>
    </w:p>
    <w:p w:rsidR="00BA4B87"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8</w:t>
      </w:r>
      <w:r w:rsidR="00234286" w:rsidRPr="00D6191E">
        <w:rPr>
          <w:rFonts w:asciiTheme="minorEastAsia" w:eastAsiaTheme="minorEastAsia" w:hAnsiTheme="minorEastAsia" w:cs="Arial" w:hint="eastAsia"/>
          <w:szCs w:val="21"/>
        </w:rPr>
        <w:t>、</w:t>
      </w:r>
      <w:r w:rsidR="00BB0C72" w:rsidRPr="00D6191E">
        <w:rPr>
          <w:rFonts w:asciiTheme="minorEastAsia" w:eastAsiaTheme="minorEastAsia" w:hAnsiTheme="minorEastAsia" w:cs="Arial" w:hint="eastAsia"/>
          <w:szCs w:val="21"/>
        </w:rPr>
        <w:t>基金管理人应在编制季度报告、中期报告或者年度报告之前及时向基金托管人提供基金业绩比较基准的基础数据和编制结果</w:t>
      </w:r>
      <w:r w:rsidRPr="00D6191E">
        <w:rPr>
          <w:rFonts w:asciiTheme="minorEastAsia" w:eastAsiaTheme="minorEastAsia" w:hAnsiTheme="minorEastAsia" w:cs="Arial" w:hint="eastAsia"/>
          <w:szCs w:val="21"/>
        </w:rPr>
        <w:t>。</w:t>
      </w:r>
    </w:p>
    <w:p w:rsidR="00545636" w:rsidRPr="00275871" w:rsidRDefault="00545636" w:rsidP="00545636">
      <w:pPr>
        <w:pStyle w:val="a4"/>
        <w:adjustRightInd w:val="0"/>
        <w:snapToGrid w:val="0"/>
        <w:spacing w:before="312" w:after="312"/>
        <w:ind w:firstLine="480"/>
        <w:rPr>
          <w:rFonts w:ascii="仿宋_GB2312" w:eastAsia="仿宋_GB2312" w:hAnsi="宋体" w:cs="Arial"/>
          <w:sz w:val="24"/>
        </w:rPr>
      </w:pPr>
      <w:r>
        <w:rPr>
          <w:rFonts w:ascii="仿宋_GB2312" w:eastAsia="仿宋_GB2312" w:hAnsi="宋体" w:cs="Arial" w:hint="eastAsia"/>
          <w:sz w:val="24"/>
        </w:rPr>
        <w:lastRenderedPageBreak/>
        <w:t>9</w:t>
      </w:r>
      <w:r>
        <w:rPr>
          <w:rFonts w:ascii="仿宋_GB2312" w:eastAsia="仿宋_GB2312" w:hAnsi="宋体" w:cs="Arial"/>
          <w:sz w:val="24"/>
        </w:rPr>
        <w:t>.</w:t>
      </w:r>
      <w:r w:rsidRPr="00275871">
        <w:rPr>
          <w:rFonts w:ascii="仿宋_GB2312" w:eastAsia="仿宋_GB2312" w:hAnsi="宋体" w:cs="Arial" w:hint="eastAsia"/>
          <w:sz w:val="24"/>
        </w:rPr>
        <w:t>实施侧袋机制期间的基金资产估值</w:t>
      </w:r>
      <w:r w:rsidRPr="00275871">
        <w:rPr>
          <w:rFonts w:ascii="仿宋_GB2312" w:eastAsia="仿宋_GB2312" w:hAnsi="宋体" w:cs="Arial" w:hint="eastAsia"/>
          <w:sz w:val="24"/>
        </w:rPr>
        <w:tab/>
      </w:r>
    </w:p>
    <w:p w:rsidR="00545636" w:rsidRPr="00D6191E" w:rsidRDefault="00545636" w:rsidP="00545636">
      <w:pPr>
        <w:adjustRightInd w:val="0"/>
        <w:snapToGrid w:val="0"/>
        <w:spacing w:line="360" w:lineRule="auto"/>
        <w:ind w:firstLineChars="200" w:firstLine="480"/>
        <w:rPr>
          <w:rFonts w:asciiTheme="minorEastAsia" w:eastAsiaTheme="minorEastAsia" w:hAnsiTheme="minorEastAsia" w:cs="Arial"/>
          <w:szCs w:val="21"/>
        </w:rPr>
      </w:pPr>
      <w:r w:rsidRPr="00275871">
        <w:rPr>
          <w:rFonts w:ascii="仿宋_GB2312" w:eastAsia="仿宋_GB2312" w:hAnsi="宋体" w:cs="Arial" w:hint="eastAsia"/>
          <w:sz w:val="24"/>
        </w:rPr>
        <w:t>本基金实施侧袋机制的，应根据本部分的约定对主袋账户资产进行估值并披露主袋账户的基金资产净值和份额净值，暂停披露侧袋账户份额净值。</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37" w:name="_Toc86315948"/>
      <w:r w:rsidRPr="00D6191E">
        <w:rPr>
          <w:rFonts w:asciiTheme="minorEastAsia" w:eastAsiaTheme="minorEastAsia" w:hAnsiTheme="minorEastAsia" w:hint="eastAsia"/>
          <w:b w:val="0"/>
          <w:bCs/>
        </w:rPr>
        <w:t>(六)基金份额持有人名册的保管</w:t>
      </w:r>
      <w:bookmarkEnd w:id="137"/>
    </w:p>
    <w:p w:rsidR="00BB0C72" w:rsidRPr="00D6191E" w:rsidRDefault="00BB0C72" w:rsidP="00BB0C72">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BA4B87" w:rsidRPr="00D6191E" w:rsidRDefault="00BB0C72" w:rsidP="00BB0C72">
      <w:pPr>
        <w:adjustRightInd w:val="0"/>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cs="Arial" w:hint="eastAsia"/>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sz w:val="21"/>
        </w:rPr>
      </w:pPr>
      <w:bookmarkStart w:id="138" w:name="_Toc86315949"/>
      <w:r w:rsidRPr="00D6191E">
        <w:rPr>
          <w:rFonts w:asciiTheme="minorEastAsia" w:eastAsiaTheme="minorEastAsia" w:hAnsiTheme="minorEastAsia" w:hint="eastAsia"/>
          <w:b w:val="0"/>
          <w:bCs/>
        </w:rPr>
        <w:t>(七)适用法律与争议解决方式</w:t>
      </w:r>
      <w:bookmarkEnd w:id="138"/>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争议处理期间，双方当事人应恪守基金管理人和基金托管人职责，各自继续忠实、勤勉、尽责地履行基金合同和本托管协议规定的义务，维护基金份额持有人的合法权益。</w:t>
      </w:r>
    </w:p>
    <w:p w:rsidR="00BA4B87" w:rsidRPr="00D6191E" w:rsidRDefault="00BA4B87" w:rsidP="000449FE">
      <w:pPr>
        <w:pStyle w:val="ac"/>
        <w:autoSpaceDE w:val="0"/>
        <w:autoSpaceDN w:val="0"/>
        <w:adjustRightInd w:val="0"/>
        <w:snapToGrid w:val="0"/>
        <w:spacing w:after="0" w:line="360" w:lineRule="auto"/>
        <w:ind w:firstLineChars="200"/>
        <w:rPr>
          <w:rFonts w:asciiTheme="minorEastAsia" w:eastAsiaTheme="minorEastAsia" w:hAnsiTheme="minorEastAsia"/>
        </w:rPr>
      </w:pPr>
      <w:r w:rsidRPr="00D6191E">
        <w:rPr>
          <w:rFonts w:asciiTheme="minorEastAsia" w:eastAsiaTheme="minorEastAsia" w:hAnsiTheme="minorEastAsia" w:cs="Arial" w:hint="eastAsia"/>
          <w:szCs w:val="21"/>
        </w:rPr>
        <w:t>本协议受中国法律管辖</w:t>
      </w:r>
      <w:r w:rsidRPr="00D6191E">
        <w:rPr>
          <w:rFonts w:asciiTheme="minorEastAsia" w:eastAsiaTheme="minorEastAsia" w:hAnsiTheme="minorEastAsia" w:hint="eastAsia"/>
        </w:rPr>
        <w:t>。</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39" w:name="_Toc86315950"/>
      <w:r w:rsidRPr="00D6191E">
        <w:rPr>
          <w:rFonts w:asciiTheme="minorEastAsia" w:eastAsiaTheme="minorEastAsia" w:hAnsiTheme="minorEastAsia" w:hint="eastAsia"/>
          <w:b w:val="0"/>
          <w:bCs/>
        </w:rPr>
        <w:t>(八)托管协议的变更与终止</w:t>
      </w:r>
      <w:bookmarkEnd w:id="139"/>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托管协议的变更程序</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rPr>
      </w:pPr>
      <w:r w:rsidRPr="00D6191E">
        <w:rPr>
          <w:rFonts w:asciiTheme="minorEastAsia" w:eastAsiaTheme="minorEastAsia" w:hAnsiTheme="minorEastAsia" w:hint="eastAsia"/>
        </w:rPr>
        <w:t>本协议双方当事人经协商一致，可以对协议进行修改。修改后的新协议，其内容不得与基金合同的规定有任何冲突。基金托管协议的变更报中国证监会核准或备案后生效。</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w:t>
      </w:r>
      <w:r w:rsidR="00234286" w:rsidRPr="00D6191E">
        <w:rPr>
          <w:rFonts w:asciiTheme="minorEastAsia" w:eastAsiaTheme="minorEastAsia" w:hAnsiTheme="minorEastAsia" w:cs="Arial" w:hint="eastAsia"/>
          <w:szCs w:val="21"/>
        </w:rPr>
        <w:t>、</w:t>
      </w:r>
      <w:r w:rsidRPr="00D6191E">
        <w:rPr>
          <w:rFonts w:asciiTheme="minorEastAsia" w:eastAsiaTheme="minorEastAsia" w:hAnsiTheme="minorEastAsia" w:cs="Arial" w:hint="eastAsia"/>
          <w:szCs w:val="21"/>
        </w:rPr>
        <w:t>基金托管协议终止出现的情形</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(1)基金合同终止；</w:t>
      </w:r>
    </w:p>
    <w:p w:rsidR="00BA4B87"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(2)基金托管人解散、依法被撤销、破产或由其他基金托管人接管基金资产；</w:t>
      </w:r>
    </w:p>
    <w:p w:rsidR="00AF72BD" w:rsidRPr="00D6191E" w:rsidRDefault="00BA4B87"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(3)基金管理人解散、依法被撤销、破产或由其他基金管理人接管基金管理权；</w:t>
      </w:r>
    </w:p>
    <w:p w:rsidR="003E7024" w:rsidRPr="00D6191E" w:rsidRDefault="003E7024" w:rsidP="000449FE">
      <w:pPr>
        <w:adjustRightInd w:val="0"/>
        <w:snapToGrid w:val="0"/>
        <w:spacing w:line="360" w:lineRule="auto"/>
        <w:ind w:firstLineChars="200" w:firstLine="420"/>
        <w:rPr>
          <w:rFonts w:asciiTheme="minorEastAsia" w:eastAsiaTheme="minorEastAsia" w:hAnsiTheme="minorEastAsia" w:cs="Arial"/>
          <w:szCs w:val="21"/>
        </w:rPr>
      </w:pPr>
      <w:r w:rsidRPr="00D6191E">
        <w:rPr>
          <w:rFonts w:asciiTheme="minorEastAsia" w:eastAsiaTheme="minorEastAsia" w:hAnsiTheme="minorEastAsia" w:cs="Arial" w:hint="eastAsia"/>
          <w:szCs w:val="21"/>
        </w:rPr>
        <w:t>(4)发生法律法规或基金合同规定的终止事项。</w:t>
      </w:r>
    </w:p>
    <w:p w:rsidR="00BA4B87" w:rsidRPr="00D6191E" w:rsidRDefault="009C0CEE" w:rsidP="004D6C82">
      <w:pPr>
        <w:pStyle w:val="1"/>
        <w:pageBreakBefore/>
        <w:snapToGrid w:val="0"/>
        <w:spacing w:beforeLines="0" w:afterLines="0" w:line="360" w:lineRule="auto"/>
        <w:ind w:firstLine="600"/>
        <w:rPr>
          <w:rFonts w:asciiTheme="minorEastAsia" w:eastAsiaTheme="minorEastAsia" w:hAnsiTheme="minorEastAsia"/>
          <w:bCs/>
        </w:rPr>
      </w:pPr>
      <w:bookmarkStart w:id="140" w:name="_Toc86315951"/>
      <w:r w:rsidRPr="00D6191E">
        <w:rPr>
          <w:rFonts w:asciiTheme="minorEastAsia" w:eastAsiaTheme="minorEastAsia" w:hAnsiTheme="minorEastAsia" w:hint="eastAsia"/>
          <w:sz w:val="30"/>
        </w:rPr>
        <w:lastRenderedPageBreak/>
        <w:t>二十</w:t>
      </w:r>
      <w:r w:rsidR="007B3CFB">
        <w:rPr>
          <w:rFonts w:asciiTheme="minorEastAsia" w:eastAsiaTheme="minorEastAsia" w:hAnsiTheme="minorEastAsia" w:hint="eastAsia"/>
          <w:sz w:val="30"/>
        </w:rPr>
        <w:t>四</w:t>
      </w:r>
      <w:r w:rsidR="00BA4B87" w:rsidRPr="00D6191E">
        <w:rPr>
          <w:rFonts w:asciiTheme="minorEastAsia" w:eastAsiaTheme="minorEastAsia" w:hAnsiTheme="minorEastAsia" w:hint="eastAsia"/>
          <w:sz w:val="30"/>
        </w:rPr>
        <w:t>、对基金份额持有人的服务</w:t>
      </w:r>
      <w:bookmarkEnd w:id="140"/>
    </w:p>
    <w:p w:rsidR="00BA4B87" w:rsidRPr="00D6191E" w:rsidRDefault="00BA4B87" w:rsidP="000449FE">
      <w:pPr>
        <w:pStyle w:val="ac"/>
        <w:autoSpaceDE w:val="0"/>
        <w:autoSpaceDN w:val="0"/>
        <w:adjustRightInd w:val="0"/>
        <w:snapToGrid w:val="0"/>
        <w:spacing w:after="0" w:line="360" w:lineRule="auto"/>
        <w:ind w:firstLineChars="200"/>
        <w:rPr>
          <w:rFonts w:asciiTheme="minorEastAsia" w:eastAsiaTheme="minorEastAsia" w:hAnsiTheme="minorEastAsia"/>
        </w:rPr>
      </w:pPr>
      <w:r w:rsidRPr="00D6191E">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41" w:name="_Toc86315952"/>
      <w:r w:rsidRPr="00D6191E">
        <w:rPr>
          <w:rFonts w:asciiTheme="minorEastAsia" w:eastAsiaTheme="minorEastAsia" w:hAnsiTheme="minorEastAsia" w:hint="eastAsia"/>
          <w:b w:val="0"/>
          <w:bCs/>
        </w:rPr>
        <w:t>(一)基金份额持有人投资交易确认服务</w:t>
      </w:r>
      <w:bookmarkEnd w:id="141"/>
    </w:p>
    <w:p w:rsidR="00DF00DA" w:rsidRPr="00D6191E" w:rsidRDefault="00BA4B87" w:rsidP="000449FE">
      <w:pPr>
        <w:pStyle w:val="ac"/>
        <w:autoSpaceDE w:val="0"/>
        <w:autoSpaceDN w:val="0"/>
        <w:adjustRightInd w:val="0"/>
        <w:snapToGrid w:val="0"/>
        <w:spacing w:after="0" w:line="360" w:lineRule="auto"/>
        <w:ind w:firstLineChars="0"/>
        <w:rPr>
          <w:rFonts w:asciiTheme="minorEastAsia" w:eastAsiaTheme="minorEastAsia" w:hAnsiTheme="minorEastAsia"/>
        </w:rPr>
      </w:pPr>
      <w:r w:rsidRPr="00D6191E">
        <w:rPr>
          <w:rFonts w:asciiTheme="minorEastAsia" w:eastAsiaTheme="minorEastAsia" w:hAnsiTheme="minorEastAsia" w:hint="eastAsia"/>
        </w:rPr>
        <w:t>基金注册登记机构保留基金份额持有人名册上列明的所有基金份额持有人的基金交易记录。</w:t>
      </w:r>
    </w:p>
    <w:p w:rsidR="00BA4B87" w:rsidRPr="00D6191E" w:rsidRDefault="00BA4B87" w:rsidP="000449FE">
      <w:pPr>
        <w:pStyle w:val="ac"/>
        <w:autoSpaceDE w:val="0"/>
        <w:autoSpaceDN w:val="0"/>
        <w:adjustRightInd w:val="0"/>
        <w:snapToGrid w:val="0"/>
        <w:spacing w:after="0" w:line="360" w:lineRule="auto"/>
        <w:ind w:firstLineChars="0"/>
        <w:rPr>
          <w:rFonts w:asciiTheme="minorEastAsia" w:eastAsiaTheme="minorEastAsia" w:hAnsiTheme="minorEastAsia"/>
        </w:rPr>
      </w:pPr>
      <w:r w:rsidRPr="00D6191E">
        <w:rPr>
          <w:rFonts w:asciiTheme="minorEastAsia" w:eastAsiaTheme="minorEastAsia" w:hAnsiTheme="minorEastAsia" w:hint="eastAsia"/>
        </w:rPr>
        <w:t>基金管理人直销</w:t>
      </w:r>
      <w:r w:rsidR="00700F8D" w:rsidRPr="00D6191E">
        <w:rPr>
          <w:rFonts w:asciiTheme="minorEastAsia" w:eastAsiaTheme="minorEastAsia" w:hAnsiTheme="minorEastAsia" w:hint="eastAsia"/>
        </w:rPr>
        <w:t>网点</w:t>
      </w:r>
      <w:r w:rsidRPr="00D6191E">
        <w:rPr>
          <w:rFonts w:asciiTheme="minorEastAsia" w:eastAsiaTheme="minorEastAsia" w:hAnsiTheme="minorEastAsia" w:hint="eastAsia"/>
        </w:rPr>
        <w:t>应根据在基金管理人直销</w:t>
      </w:r>
      <w:r w:rsidR="00700F8D" w:rsidRPr="00D6191E">
        <w:rPr>
          <w:rFonts w:asciiTheme="minorEastAsia" w:eastAsiaTheme="minorEastAsia" w:hAnsiTheme="minorEastAsia" w:hint="eastAsia"/>
        </w:rPr>
        <w:t>网点</w:t>
      </w:r>
      <w:r w:rsidRPr="00D6191E">
        <w:rPr>
          <w:rFonts w:asciiTheme="minorEastAsia" w:eastAsiaTheme="minorEastAsia" w:hAnsiTheme="minorEastAsia" w:hint="eastAsia"/>
        </w:rPr>
        <w:t>进行交易的投资者的要求提</w:t>
      </w:r>
      <w:r w:rsidR="00700F8D" w:rsidRPr="00D6191E">
        <w:rPr>
          <w:rFonts w:asciiTheme="minorEastAsia" w:eastAsiaTheme="minorEastAsia" w:hAnsiTheme="minorEastAsia" w:hint="eastAsia"/>
        </w:rPr>
        <w:t>供</w:t>
      </w:r>
      <w:r w:rsidRPr="00D6191E">
        <w:rPr>
          <w:rFonts w:asciiTheme="minorEastAsia" w:eastAsiaTheme="minorEastAsia" w:hAnsiTheme="minorEastAsia" w:hint="eastAsia"/>
        </w:rPr>
        <w:t>成交确认单。基金</w:t>
      </w:r>
      <w:r w:rsidR="00AE5F53" w:rsidRPr="00D6191E">
        <w:rPr>
          <w:rFonts w:asciiTheme="minorEastAsia" w:eastAsiaTheme="minorEastAsia" w:hAnsiTheme="minorEastAsia" w:hint="eastAsia"/>
        </w:rPr>
        <w:t>非直销销售</w:t>
      </w:r>
      <w:r w:rsidRPr="00D6191E">
        <w:rPr>
          <w:rFonts w:asciiTheme="minorEastAsia" w:eastAsiaTheme="minorEastAsia" w:hAnsiTheme="minorEastAsia" w:hint="eastAsia"/>
        </w:rPr>
        <w:t>机构应根据在</w:t>
      </w:r>
      <w:r w:rsidR="00AE5F53" w:rsidRPr="00D6191E">
        <w:rPr>
          <w:rFonts w:asciiTheme="minorEastAsia" w:eastAsiaTheme="minorEastAsia" w:hAnsiTheme="minorEastAsia" w:hint="eastAsia"/>
        </w:rPr>
        <w:t>销售</w:t>
      </w:r>
      <w:r w:rsidRPr="00D6191E">
        <w:rPr>
          <w:rFonts w:asciiTheme="minorEastAsia" w:eastAsiaTheme="minorEastAsia" w:hAnsiTheme="minorEastAsia" w:hint="eastAsia"/>
        </w:rPr>
        <w:t>网点进行交易的投资者的要求提</w:t>
      </w:r>
      <w:r w:rsidR="00700F8D" w:rsidRPr="00D6191E">
        <w:rPr>
          <w:rFonts w:asciiTheme="minorEastAsia" w:eastAsiaTheme="minorEastAsia" w:hAnsiTheme="minorEastAsia" w:hint="eastAsia"/>
        </w:rPr>
        <w:t>供</w:t>
      </w:r>
      <w:r w:rsidRPr="00D6191E">
        <w:rPr>
          <w:rFonts w:asciiTheme="minorEastAsia" w:eastAsiaTheme="minorEastAsia" w:hAnsiTheme="minorEastAsia" w:hint="eastAsia"/>
        </w:rPr>
        <w:t>成交确认单。</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42" w:name="_Toc86315953"/>
      <w:r w:rsidRPr="00D6191E">
        <w:rPr>
          <w:rFonts w:asciiTheme="minorEastAsia" w:eastAsiaTheme="minorEastAsia" w:hAnsiTheme="minorEastAsia" w:hint="eastAsia"/>
          <w:b w:val="0"/>
          <w:bCs/>
        </w:rPr>
        <w:t>(二)基金份额持有人交易记录查询服务</w:t>
      </w:r>
      <w:bookmarkEnd w:id="142"/>
    </w:p>
    <w:p w:rsidR="00BA4B87" w:rsidRPr="00D6191E" w:rsidRDefault="00BA4B87" w:rsidP="000449FE">
      <w:pPr>
        <w:pStyle w:val="ac"/>
        <w:autoSpaceDE w:val="0"/>
        <w:autoSpaceDN w:val="0"/>
        <w:adjustRightInd w:val="0"/>
        <w:snapToGrid w:val="0"/>
        <w:spacing w:after="0" w:line="360" w:lineRule="auto"/>
        <w:ind w:firstLineChars="200"/>
        <w:rPr>
          <w:rFonts w:asciiTheme="minorEastAsia" w:eastAsiaTheme="minorEastAsia" w:hAnsiTheme="minorEastAsia"/>
        </w:rPr>
      </w:pPr>
      <w:r w:rsidRPr="00D6191E">
        <w:rPr>
          <w:rFonts w:asciiTheme="minorEastAsia" w:eastAsiaTheme="minorEastAsia" w:hAnsiTheme="minorEastAsia" w:hint="eastAsia"/>
        </w:rPr>
        <w:t>本基金份额持有人可通过基金管理人的客户服务中心查询历史交易记录。</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43" w:name="_Toc86315954"/>
      <w:r w:rsidRPr="00D6191E">
        <w:rPr>
          <w:rFonts w:asciiTheme="minorEastAsia" w:eastAsiaTheme="minorEastAsia" w:hAnsiTheme="minorEastAsia" w:hint="eastAsia"/>
          <w:b w:val="0"/>
          <w:bCs/>
        </w:rPr>
        <w:t>(三)基金管理人的对账单服务形式</w:t>
      </w:r>
      <w:bookmarkEnd w:id="143"/>
    </w:p>
    <w:p w:rsidR="00BA4B87" w:rsidRPr="00D6191E" w:rsidRDefault="0085353A" w:rsidP="000449FE">
      <w:pPr>
        <w:pStyle w:val="ac"/>
        <w:autoSpaceDE w:val="0"/>
        <w:autoSpaceDN w:val="0"/>
        <w:adjustRightInd w:val="0"/>
        <w:snapToGrid w:val="0"/>
        <w:spacing w:after="0" w:line="360" w:lineRule="auto"/>
        <w:ind w:firstLineChars="200"/>
        <w:rPr>
          <w:rFonts w:asciiTheme="minorEastAsia" w:eastAsiaTheme="minorEastAsia" w:hAnsiTheme="minorEastAsia"/>
        </w:rPr>
      </w:pPr>
      <w:r w:rsidRPr="00D6191E">
        <w:rPr>
          <w:rFonts w:asciiTheme="minorEastAsia" w:eastAsiaTheme="minorEastAsia" w:hAnsiTheme="minorEastAsia" w:hint="eastAsia"/>
        </w:rPr>
        <w:t>1</w:t>
      </w:r>
      <w:r w:rsidR="00234286" w:rsidRPr="00D6191E">
        <w:rPr>
          <w:rFonts w:asciiTheme="minorEastAsia" w:eastAsiaTheme="minorEastAsia" w:hAnsiTheme="minorEastAsia" w:hint="eastAsia"/>
        </w:rPr>
        <w:t>、</w:t>
      </w:r>
      <w:r w:rsidR="00BA4B87" w:rsidRPr="00D6191E">
        <w:rPr>
          <w:rFonts w:asciiTheme="minorEastAsia" w:eastAsiaTheme="minorEastAsia" w:hAnsiTheme="minorEastAsia" w:hint="eastAsia"/>
        </w:rPr>
        <w:t>基金份额持有人可登录本公司网站(</w:t>
      </w:r>
      <w:hyperlink r:id="rId18" w:history="1">
        <w:r w:rsidR="00BA4B87" w:rsidRPr="00D6191E">
          <w:rPr>
            <w:rFonts w:asciiTheme="minorEastAsia" w:eastAsiaTheme="minorEastAsia" w:hAnsiTheme="minorEastAsia" w:hint="eastAsia"/>
          </w:rPr>
          <w:t>http://www.efunds.com.cn</w:t>
        </w:r>
      </w:hyperlink>
      <w:r w:rsidR="00BA4B87" w:rsidRPr="00D6191E">
        <w:rPr>
          <w:rFonts w:asciiTheme="minorEastAsia" w:eastAsiaTheme="minorEastAsia" w:hAnsiTheme="minorEastAsia" w:hint="eastAsia"/>
        </w:rPr>
        <w:t>)查阅对账单。</w:t>
      </w:r>
    </w:p>
    <w:p w:rsidR="004D69C8" w:rsidRDefault="0085353A" w:rsidP="004D69C8">
      <w:pPr>
        <w:pStyle w:val="ac"/>
        <w:autoSpaceDE w:val="0"/>
        <w:autoSpaceDN w:val="0"/>
        <w:adjustRightInd w:val="0"/>
        <w:snapToGrid w:val="0"/>
        <w:spacing w:after="0" w:line="360" w:lineRule="auto"/>
        <w:ind w:firstLineChars="0" w:firstLine="400"/>
        <w:rPr>
          <w:rFonts w:asciiTheme="minorEastAsia" w:eastAsiaTheme="minorEastAsia" w:hAnsiTheme="minorEastAsia"/>
        </w:rPr>
      </w:pPr>
      <w:r w:rsidRPr="00D6191E">
        <w:rPr>
          <w:rFonts w:asciiTheme="minorEastAsia" w:eastAsiaTheme="minorEastAsia" w:hAnsiTheme="minorEastAsia" w:hint="eastAsia"/>
        </w:rPr>
        <w:t>2</w:t>
      </w:r>
      <w:r w:rsidR="00234286" w:rsidRPr="00D6191E">
        <w:rPr>
          <w:rFonts w:asciiTheme="minorEastAsia" w:eastAsiaTheme="minorEastAsia" w:hAnsiTheme="minorEastAsia" w:hint="eastAsia"/>
        </w:rPr>
        <w:t>、</w:t>
      </w:r>
      <w:r w:rsidR="004D69C8" w:rsidRPr="004D69C8">
        <w:rPr>
          <w:rFonts w:asciiTheme="minorEastAsia" w:eastAsiaTheme="minorEastAsia" w:hAnsiTheme="minorEastAsia" w:hint="eastAsia"/>
        </w:rPr>
        <w:t>本公司至少每年度以电子邮件、短信或其他形式向通过易方达直销系统持有本公司基金份额的持有人提供基金保有情况信息，基金份额持有人也可以向本公司定制电子邮件形式的月度对账单。具体查阅和定制账单的方法可参见本公司网站或拨打客服热线咨询。</w:t>
      </w:r>
    </w:p>
    <w:p w:rsidR="004A07E9" w:rsidRPr="00D6191E" w:rsidRDefault="004A07E9" w:rsidP="004D69C8">
      <w:pPr>
        <w:pStyle w:val="ac"/>
        <w:autoSpaceDE w:val="0"/>
        <w:autoSpaceDN w:val="0"/>
        <w:adjustRightInd w:val="0"/>
        <w:snapToGrid w:val="0"/>
        <w:spacing w:after="0" w:line="360" w:lineRule="auto"/>
        <w:ind w:firstLineChars="0" w:firstLine="400"/>
        <w:rPr>
          <w:rFonts w:asciiTheme="minorEastAsia" w:eastAsiaTheme="minorEastAsia" w:hAnsiTheme="minorEastAsia"/>
          <w:szCs w:val="21"/>
        </w:rPr>
      </w:pPr>
      <w:r w:rsidRPr="00D6191E">
        <w:rPr>
          <w:rFonts w:asciiTheme="minorEastAsia" w:eastAsiaTheme="minorEastAsia" w:hAnsiTheme="minorEastAsia" w:hint="eastAsia"/>
          <w:szCs w:val="21"/>
        </w:rPr>
        <w:t>具体查阅和定制账单的方法可参见本公司网站或拨打客服热线咨询。</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44" w:name="_Toc86315955"/>
      <w:r w:rsidRPr="00D6191E">
        <w:rPr>
          <w:rFonts w:asciiTheme="minorEastAsia" w:eastAsiaTheme="minorEastAsia" w:hAnsiTheme="minorEastAsia" w:hint="eastAsia"/>
          <w:b w:val="0"/>
          <w:bCs/>
        </w:rPr>
        <w:t>(</w:t>
      </w:r>
      <w:r w:rsidR="006A72B5" w:rsidRPr="00D6191E">
        <w:rPr>
          <w:rFonts w:asciiTheme="minorEastAsia" w:eastAsiaTheme="minorEastAsia" w:hAnsiTheme="minorEastAsia" w:hint="eastAsia"/>
          <w:b w:val="0"/>
          <w:bCs/>
        </w:rPr>
        <w:t>四</w:t>
      </w:r>
      <w:r w:rsidRPr="00D6191E">
        <w:rPr>
          <w:rFonts w:asciiTheme="minorEastAsia" w:eastAsiaTheme="minorEastAsia" w:hAnsiTheme="minorEastAsia" w:hint="eastAsia"/>
          <w:b w:val="0"/>
          <w:bCs/>
        </w:rPr>
        <w:t>)定期定额投资计划</w:t>
      </w:r>
      <w:bookmarkEnd w:id="144"/>
    </w:p>
    <w:p w:rsidR="00BA4B87" w:rsidRPr="00D6191E" w:rsidRDefault="00054484" w:rsidP="000449FE">
      <w:pPr>
        <w:pStyle w:val="ac"/>
        <w:autoSpaceDE w:val="0"/>
        <w:autoSpaceDN w:val="0"/>
        <w:adjustRightInd w:val="0"/>
        <w:snapToGrid w:val="0"/>
        <w:spacing w:after="0" w:line="360" w:lineRule="auto"/>
        <w:ind w:firstLineChars="200"/>
        <w:rPr>
          <w:rFonts w:asciiTheme="minorEastAsia" w:eastAsiaTheme="minorEastAsia" w:hAnsiTheme="minorEastAsia"/>
        </w:rPr>
      </w:pPr>
      <w:r w:rsidRPr="00D6191E">
        <w:rPr>
          <w:rFonts w:asciiTheme="minorEastAsia" w:eastAsiaTheme="minorEastAsia" w:hAnsiTheme="minorEastAsia" w:hint="eastAsia"/>
        </w:rPr>
        <w:t>基金管理人可利用</w:t>
      </w:r>
      <w:r w:rsidR="00AE5F53" w:rsidRPr="00D6191E">
        <w:rPr>
          <w:rFonts w:asciiTheme="minorEastAsia" w:eastAsiaTheme="minorEastAsia" w:hAnsiTheme="minorEastAsia" w:hint="eastAsia"/>
        </w:rPr>
        <w:t>非直销销售</w:t>
      </w:r>
      <w:r w:rsidRPr="00D6191E">
        <w:rPr>
          <w:rFonts w:asciiTheme="minorEastAsia" w:eastAsiaTheme="minorEastAsia" w:hAnsiTheme="minorEastAsia" w:hint="eastAsia"/>
        </w:rPr>
        <w:t>机构网点和本公司网上交易系统为投资者提供定期定额投资的服务（本公司网上交易系统的定期定额投资服务目前仅对个人投资者开通）。</w:t>
      </w:r>
      <w:r w:rsidR="00BA4B87" w:rsidRPr="00D6191E">
        <w:rPr>
          <w:rFonts w:asciiTheme="minorEastAsia" w:eastAsiaTheme="minorEastAsia" w:hAnsiTheme="minorEastAsia" w:hint="eastAsia"/>
        </w:rPr>
        <w:t>通过定期定额投资计划，投资者可以通过固定的渠道，定期定额申购基金份额，具体实施方法见有关公告。</w:t>
      </w:r>
    </w:p>
    <w:p w:rsidR="00BA4B87" w:rsidRPr="00D6191E" w:rsidRDefault="00BA4B87" w:rsidP="004D6C82">
      <w:pPr>
        <w:pStyle w:val="2"/>
        <w:snapToGrid w:val="0"/>
        <w:spacing w:beforeLines="0" w:afterLines="0" w:line="360" w:lineRule="auto"/>
        <w:ind w:firstLineChars="0" w:firstLine="0"/>
        <w:rPr>
          <w:rFonts w:asciiTheme="minorEastAsia" w:eastAsiaTheme="minorEastAsia" w:hAnsiTheme="minorEastAsia"/>
          <w:b w:val="0"/>
          <w:bCs/>
        </w:rPr>
      </w:pPr>
      <w:bookmarkStart w:id="145" w:name="_Toc86315956"/>
      <w:r w:rsidRPr="00D6191E">
        <w:rPr>
          <w:rFonts w:asciiTheme="minorEastAsia" w:eastAsiaTheme="minorEastAsia" w:hAnsiTheme="minorEastAsia" w:hint="eastAsia"/>
          <w:b w:val="0"/>
          <w:bCs/>
        </w:rPr>
        <w:t>(</w:t>
      </w:r>
      <w:r w:rsidR="006A72B5" w:rsidRPr="00D6191E">
        <w:rPr>
          <w:rFonts w:asciiTheme="minorEastAsia" w:eastAsiaTheme="minorEastAsia" w:hAnsiTheme="minorEastAsia" w:hint="eastAsia"/>
          <w:b w:val="0"/>
          <w:bCs/>
        </w:rPr>
        <w:t>五</w:t>
      </w:r>
      <w:r w:rsidRPr="00D6191E">
        <w:rPr>
          <w:rFonts w:asciiTheme="minorEastAsia" w:eastAsiaTheme="minorEastAsia" w:hAnsiTheme="minorEastAsia" w:hint="eastAsia"/>
          <w:b w:val="0"/>
          <w:bCs/>
        </w:rPr>
        <w:t>)资讯服务</w:t>
      </w:r>
      <w:bookmarkEnd w:id="145"/>
    </w:p>
    <w:p w:rsidR="00BA4B87" w:rsidRPr="00D6191E" w:rsidRDefault="0085353A" w:rsidP="000449FE">
      <w:pPr>
        <w:pStyle w:val="ac"/>
        <w:autoSpaceDE w:val="0"/>
        <w:autoSpaceDN w:val="0"/>
        <w:adjustRightInd w:val="0"/>
        <w:snapToGrid w:val="0"/>
        <w:spacing w:after="0" w:line="360" w:lineRule="auto"/>
        <w:ind w:firstLineChars="200"/>
        <w:rPr>
          <w:rFonts w:asciiTheme="minorEastAsia" w:eastAsiaTheme="minorEastAsia" w:hAnsiTheme="minorEastAsia"/>
        </w:rPr>
      </w:pPr>
      <w:r w:rsidRPr="00D6191E">
        <w:rPr>
          <w:rFonts w:asciiTheme="minorEastAsia" w:eastAsiaTheme="minorEastAsia" w:hAnsiTheme="minorEastAsia" w:hint="eastAsia"/>
        </w:rPr>
        <w:t>1</w:t>
      </w:r>
      <w:r w:rsidR="00234286" w:rsidRPr="00D6191E">
        <w:rPr>
          <w:rFonts w:asciiTheme="minorEastAsia" w:eastAsiaTheme="minorEastAsia" w:hAnsiTheme="minorEastAsia" w:hint="eastAsia"/>
        </w:rPr>
        <w:t>、</w:t>
      </w:r>
      <w:r w:rsidR="00BA4B87" w:rsidRPr="00D6191E">
        <w:rPr>
          <w:rFonts w:asciiTheme="minorEastAsia" w:eastAsiaTheme="minorEastAsia" w:hAnsiTheme="minorEastAsia" w:hint="eastAsia"/>
        </w:rPr>
        <w:t>客户服务电话</w:t>
      </w:r>
    </w:p>
    <w:p w:rsidR="006A317B" w:rsidRPr="00D6191E" w:rsidRDefault="006A317B" w:rsidP="000449FE">
      <w:pPr>
        <w:snapToGrid w:val="0"/>
        <w:spacing w:line="360" w:lineRule="auto"/>
        <w:ind w:firstLineChars="200" w:firstLine="420"/>
        <w:rPr>
          <w:rFonts w:asciiTheme="minorEastAsia" w:eastAsiaTheme="minorEastAsia" w:hAnsiTheme="minorEastAsia"/>
          <w:szCs w:val="21"/>
        </w:rPr>
      </w:pPr>
      <w:r w:rsidRPr="00D6191E">
        <w:rPr>
          <w:rFonts w:asciiTheme="minorEastAsia" w:eastAsiaTheme="minorEastAsia" w:hAnsiTheme="minorEastAsia" w:hint="eastAsia"/>
          <w:szCs w:val="21"/>
        </w:rPr>
        <w:t>投资者如果想了解申购与赎回的交易情况、基金账户余额、基金产品与服务等信息</w:t>
      </w:r>
      <w:r w:rsidR="0082025B" w:rsidRPr="00D6191E">
        <w:rPr>
          <w:rFonts w:asciiTheme="minorEastAsia" w:eastAsiaTheme="minorEastAsia" w:hAnsiTheme="minorEastAsia" w:hint="eastAsia"/>
          <w:kern w:val="0"/>
          <w:szCs w:val="21"/>
        </w:rPr>
        <w:t>，</w:t>
      </w:r>
      <w:r w:rsidR="0082025B" w:rsidRPr="00D6191E">
        <w:rPr>
          <w:rFonts w:asciiTheme="minorEastAsia" w:eastAsiaTheme="minorEastAsia" w:hAnsiTheme="minorEastAsia" w:hint="eastAsia"/>
          <w:kern w:val="0"/>
        </w:rPr>
        <w:t>或反馈投资过程中需要投诉与建议的情况</w:t>
      </w:r>
      <w:r w:rsidRPr="00D6191E">
        <w:rPr>
          <w:rFonts w:asciiTheme="minorEastAsia" w:eastAsiaTheme="minorEastAsia" w:hAnsiTheme="minorEastAsia" w:hint="eastAsia"/>
          <w:szCs w:val="21"/>
        </w:rPr>
        <w:t>，可拨打如下电话：4008818088。</w:t>
      </w:r>
      <w:r w:rsidR="0082025B" w:rsidRPr="00D6191E">
        <w:rPr>
          <w:rFonts w:asciiTheme="minorEastAsia" w:eastAsiaTheme="minorEastAsia" w:hAnsiTheme="minorEastAsia" w:hint="eastAsia"/>
          <w:kern w:val="0"/>
          <w:szCs w:val="21"/>
        </w:rPr>
        <w:t>投资者如果认为自己不能准确理解本基金《招募说明书》、《基金合同》的具体内容，也可拨打上述电话详询。</w:t>
      </w:r>
    </w:p>
    <w:p w:rsidR="00BA4B87" w:rsidRPr="00D6191E" w:rsidRDefault="0085353A" w:rsidP="000449FE">
      <w:pPr>
        <w:pStyle w:val="ac"/>
        <w:autoSpaceDE w:val="0"/>
        <w:autoSpaceDN w:val="0"/>
        <w:adjustRightInd w:val="0"/>
        <w:snapToGrid w:val="0"/>
        <w:spacing w:after="0" w:line="360" w:lineRule="auto"/>
        <w:ind w:firstLineChars="200"/>
        <w:rPr>
          <w:rFonts w:asciiTheme="minorEastAsia" w:eastAsiaTheme="minorEastAsia" w:hAnsiTheme="minorEastAsia"/>
        </w:rPr>
      </w:pPr>
      <w:r w:rsidRPr="00D6191E">
        <w:rPr>
          <w:rFonts w:asciiTheme="minorEastAsia" w:eastAsiaTheme="minorEastAsia" w:hAnsiTheme="minorEastAsia" w:hint="eastAsia"/>
        </w:rPr>
        <w:t>2</w:t>
      </w:r>
      <w:r w:rsidR="00234286" w:rsidRPr="00D6191E">
        <w:rPr>
          <w:rFonts w:asciiTheme="minorEastAsia" w:eastAsiaTheme="minorEastAsia" w:hAnsiTheme="minorEastAsia" w:hint="eastAsia"/>
        </w:rPr>
        <w:t>、</w:t>
      </w:r>
      <w:r w:rsidR="00BA4B87" w:rsidRPr="00D6191E">
        <w:rPr>
          <w:rFonts w:asciiTheme="minorEastAsia" w:eastAsiaTheme="minorEastAsia" w:hAnsiTheme="minorEastAsia" w:hint="eastAsia"/>
        </w:rPr>
        <w:t>互联网站及电子信箱</w:t>
      </w:r>
    </w:p>
    <w:p w:rsidR="00BA4B87" w:rsidRPr="00D6191E" w:rsidRDefault="00BA4B87" w:rsidP="000449FE">
      <w:pPr>
        <w:pStyle w:val="ac"/>
        <w:autoSpaceDE w:val="0"/>
        <w:autoSpaceDN w:val="0"/>
        <w:adjustRightInd w:val="0"/>
        <w:snapToGrid w:val="0"/>
        <w:spacing w:after="0" w:line="360" w:lineRule="auto"/>
        <w:ind w:firstLineChars="200"/>
        <w:rPr>
          <w:rFonts w:asciiTheme="minorEastAsia" w:eastAsiaTheme="minorEastAsia" w:hAnsiTheme="minorEastAsia"/>
        </w:rPr>
      </w:pPr>
      <w:r w:rsidRPr="00D6191E">
        <w:rPr>
          <w:rFonts w:asciiTheme="minorEastAsia" w:eastAsiaTheme="minorEastAsia" w:hAnsiTheme="minorEastAsia" w:hint="eastAsia"/>
        </w:rPr>
        <w:t>网址：</w:t>
      </w:r>
      <w:hyperlink r:id="rId19" w:history="1">
        <w:r w:rsidRPr="00D6191E">
          <w:rPr>
            <w:rFonts w:asciiTheme="minorEastAsia" w:eastAsiaTheme="minorEastAsia" w:hAnsiTheme="minorEastAsia" w:hint="eastAsia"/>
          </w:rPr>
          <w:t>http://www.efunds.com.cn</w:t>
        </w:r>
      </w:hyperlink>
    </w:p>
    <w:p w:rsidR="00BA4B87" w:rsidRPr="00D6191E" w:rsidRDefault="00BA4B87" w:rsidP="000449FE">
      <w:pPr>
        <w:pStyle w:val="ac"/>
        <w:autoSpaceDE w:val="0"/>
        <w:autoSpaceDN w:val="0"/>
        <w:adjustRightInd w:val="0"/>
        <w:snapToGrid w:val="0"/>
        <w:spacing w:after="0" w:line="360" w:lineRule="auto"/>
        <w:ind w:firstLineChars="200"/>
        <w:rPr>
          <w:rFonts w:asciiTheme="minorEastAsia" w:eastAsiaTheme="minorEastAsia" w:hAnsiTheme="minorEastAsia"/>
        </w:rPr>
      </w:pPr>
      <w:r w:rsidRPr="00D6191E">
        <w:rPr>
          <w:rFonts w:asciiTheme="minorEastAsia" w:eastAsiaTheme="minorEastAsia" w:hAnsiTheme="minorEastAsia" w:hint="eastAsia"/>
        </w:rPr>
        <w:t>电子信箱：</w:t>
      </w:r>
      <w:hyperlink r:id="rId20" w:history="1">
        <w:r w:rsidRPr="00D6191E">
          <w:rPr>
            <w:rFonts w:asciiTheme="minorEastAsia" w:eastAsiaTheme="minorEastAsia" w:hAnsiTheme="minorEastAsia" w:hint="eastAsia"/>
          </w:rPr>
          <w:t>service@efunds.com.cn</w:t>
        </w:r>
      </w:hyperlink>
    </w:p>
    <w:p w:rsidR="00BA4B87" w:rsidRPr="00D6191E" w:rsidRDefault="00BA4B87" w:rsidP="000449FE">
      <w:pPr>
        <w:snapToGrid w:val="0"/>
        <w:spacing w:line="360" w:lineRule="auto"/>
        <w:ind w:firstLine="420"/>
        <w:rPr>
          <w:rFonts w:asciiTheme="minorEastAsia" w:eastAsiaTheme="minorEastAsia" w:hAnsiTheme="minorEastAsia"/>
        </w:rPr>
      </w:pPr>
    </w:p>
    <w:p w:rsidR="001A0F3C" w:rsidRPr="00D6191E" w:rsidRDefault="009C0CEE" w:rsidP="004D6C82">
      <w:pPr>
        <w:pStyle w:val="1"/>
        <w:pageBreakBefore/>
        <w:snapToGrid w:val="0"/>
        <w:spacing w:beforeLines="0" w:afterLines="0" w:line="360" w:lineRule="auto"/>
        <w:ind w:firstLineChars="850" w:firstLine="2550"/>
        <w:jc w:val="both"/>
        <w:rPr>
          <w:rFonts w:asciiTheme="minorEastAsia" w:eastAsiaTheme="minorEastAsia" w:hAnsiTheme="minorEastAsia"/>
        </w:rPr>
      </w:pPr>
      <w:bookmarkStart w:id="146" w:name="_Toc86315957"/>
      <w:r w:rsidRPr="00D6191E">
        <w:rPr>
          <w:rFonts w:asciiTheme="minorEastAsia" w:eastAsiaTheme="minorEastAsia" w:hAnsiTheme="minorEastAsia" w:hint="eastAsia"/>
          <w:sz w:val="30"/>
        </w:rPr>
        <w:lastRenderedPageBreak/>
        <w:t>二十</w:t>
      </w:r>
      <w:r w:rsidR="007B3CFB">
        <w:rPr>
          <w:rFonts w:asciiTheme="minorEastAsia" w:eastAsiaTheme="minorEastAsia" w:hAnsiTheme="minorEastAsia" w:hint="eastAsia"/>
          <w:sz w:val="30"/>
        </w:rPr>
        <w:t>五</w:t>
      </w:r>
      <w:r w:rsidR="00BA4B87" w:rsidRPr="00D6191E">
        <w:rPr>
          <w:rFonts w:asciiTheme="minorEastAsia" w:eastAsiaTheme="minorEastAsia" w:hAnsiTheme="minorEastAsia" w:hint="eastAsia"/>
          <w:sz w:val="30"/>
        </w:rPr>
        <w:t>、其他应披露事项</w:t>
      </w:r>
      <w:bookmarkEnd w:id="146"/>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5"/>
        <w:gridCol w:w="1304"/>
      </w:tblGrid>
      <w:tr w:rsidR="00D6191E" w:rsidRPr="00D6191E" w:rsidTr="00D6191E">
        <w:trPr>
          <w:trHeight w:val="765"/>
        </w:trPr>
        <w:tc>
          <w:tcPr>
            <w:tcW w:w="7125" w:type="dxa"/>
            <w:tcBorders>
              <w:top w:val="single" w:sz="4" w:space="0" w:color="auto"/>
              <w:left w:val="single" w:sz="4" w:space="0" w:color="auto"/>
              <w:bottom w:val="single" w:sz="4" w:space="0" w:color="auto"/>
              <w:right w:val="single" w:sz="4" w:space="0" w:color="auto"/>
            </w:tcBorders>
            <w:vAlign w:val="center"/>
            <w:hideMark/>
          </w:tcPr>
          <w:p w:rsidR="0033250C" w:rsidRPr="00D6191E" w:rsidRDefault="00181A96" w:rsidP="00260A43">
            <w:pPr>
              <w:spacing w:line="360" w:lineRule="auto"/>
              <w:ind w:firstLineChars="200" w:firstLine="420"/>
              <w:jc w:val="center"/>
              <w:rPr>
                <w:rFonts w:asciiTheme="minorEastAsia" w:eastAsiaTheme="minorEastAsia" w:hAnsiTheme="minorEastAsia"/>
              </w:rPr>
            </w:pPr>
            <w:r w:rsidRPr="00D6191E">
              <w:rPr>
                <w:rFonts w:asciiTheme="minorEastAsia" w:eastAsiaTheme="minorEastAsia" w:hAnsiTheme="minorEastAsia" w:hint="eastAsia"/>
              </w:rPr>
              <w:t>公告事项</w:t>
            </w:r>
          </w:p>
        </w:tc>
        <w:tc>
          <w:tcPr>
            <w:tcW w:w="1304" w:type="dxa"/>
            <w:tcBorders>
              <w:top w:val="single" w:sz="4" w:space="0" w:color="auto"/>
              <w:left w:val="single" w:sz="4" w:space="0" w:color="auto"/>
              <w:bottom w:val="single" w:sz="4" w:space="0" w:color="auto"/>
              <w:right w:val="single" w:sz="4" w:space="0" w:color="auto"/>
            </w:tcBorders>
            <w:vAlign w:val="center"/>
            <w:hideMark/>
          </w:tcPr>
          <w:p w:rsidR="0033250C" w:rsidRPr="00D6191E" w:rsidRDefault="00181A96" w:rsidP="00695B70">
            <w:pPr>
              <w:spacing w:line="360" w:lineRule="auto"/>
              <w:jc w:val="center"/>
              <w:rPr>
                <w:rFonts w:asciiTheme="minorEastAsia" w:eastAsiaTheme="minorEastAsia" w:hAnsiTheme="minorEastAsia"/>
              </w:rPr>
            </w:pPr>
            <w:r w:rsidRPr="00D6191E">
              <w:rPr>
                <w:rFonts w:asciiTheme="minorEastAsia" w:eastAsiaTheme="minorEastAsia" w:hAnsiTheme="minorEastAsia" w:hint="eastAsia"/>
              </w:rPr>
              <w:t>披露日期</w:t>
            </w:r>
          </w:p>
        </w:tc>
      </w:tr>
      <w:tr w:rsidR="00B070B0">
        <w:tc>
          <w:tcPr>
            <w:tcW w:w="7140" w:type="dxa"/>
          </w:tcPr>
          <w:p w:rsidR="00B070B0" w:rsidRDefault="005C077B">
            <w:pPr>
              <w:jc w:val="left"/>
            </w:pPr>
            <w:r>
              <w:t>易方达基金管理有限公司旗下基金</w:t>
            </w:r>
            <w:r>
              <w:t>2020</w:t>
            </w:r>
            <w:r>
              <w:t>年第</w:t>
            </w:r>
            <w:r>
              <w:t>3</w:t>
            </w:r>
            <w:r>
              <w:t>季度报告提示性公告</w:t>
            </w:r>
          </w:p>
        </w:tc>
        <w:tc>
          <w:tcPr>
            <w:tcW w:w="1289" w:type="dxa"/>
          </w:tcPr>
          <w:p w:rsidR="00B070B0" w:rsidRDefault="005C077B">
            <w:pPr>
              <w:jc w:val="center"/>
            </w:pPr>
            <w:r>
              <w:t>2020-10-28</w:t>
            </w:r>
          </w:p>
        </w:tc>
      </w:tr>
      <w:tr w:rsidR="00B070B0">
        <w:tc>
          <w:tcPr>
            <w:tcW w:w="7140" w:type="dxa"/>
          </w:tcPr>
          <w:p w:rsidR="00B070B0" w:rsidRDefault="005C077B">
            <w:pPr>
              <w:jc w:val="left"/>
            </w:pPr>
            <w:r>
              <w:t>易方达基金管理有限公司关于设立深圳分公司的公告</w:t>
            </w:r>
          </w:p>
        </w:tc>
        <w:tc>
          <w:tcPr>
            <w:tcW w:w="1289" w:type="dxa"/>
          </w:tcPr>
          <w:p w:rsidR="00B070B0" w:rsidRDefault="005C077B">
            <w:pPr>
              <w:jc w:val="center"/>
            </w:pPr>
            <w:r>
              <w:t>2020-10-28</w:t>
            </w:r>
          </w:p>
        </w:tc>
      </w:tr>
      <w:tr w:rsidR="00B070B0">
        <w:tc>
          <w:tcPr>
            <w:tcW w:w="7140" w:type="dxa"/>
          </w:tcPr>
          <w:p w:rsidR="00B070B0" w:rsidRDefault="005C077B">
            <w:pPr>
              <w:jc w:val="left"/>
            </w:pPr>
            <w:r>
              <w:t>易方达基金管理有限公司旗下部分开放式基金增加兰州银行为销售机构的公告</w:t>
            </w:r>
          </w:p>
        </w:tc>
        <w:tc>
          <w:tcPr>
            <w:tcW w:w="1289" w:type="dxa"/>
          </w:tcPr>
          <w:p w:rsidR="00B070B0" w:rsidRDefault="005C077B">
            <w:pPr>
              <w:jc w:val="center"/>
            </w:pPr>
            <w:r>
              <w:t>2020-10-30</w:t>
            </w:r>
          </w:p>
        </w:tc>
      </w:tr>
      <w:tr w:rsidR="00B070B0">
        <w:tc>
          <w:tcPr>
            <w:tcW w:w="7140" w:type="dxa"/>
          </w:tcPr>
          <w:p w:rsidR="00B070B0" w:rsidRDefault="005C077B">
            <w:pPr>
              <w:jc w:val="left"/>
            </w:pPr>
            <w:r>
              <w:t>易方达基金管理有限公司关于通过大泰金石基金销售有限公司购买并持有本公司旗下基金的投资者及时办理转托管的提示性公告</w:t>
            </w:r>
          </w:p>
        </w:tc>
        <w:tc>
          <w:tcPr>
            <w:tcW w:w="1289" w:type="dxa"/>
          </w:tcPr>
          <w:p w:rsidR="00B070B0" w:rsidRDefault="005C077B">
            <w:pPr>
              <w:jc w:val="center"/>
            </w:pPr>
            <w:r>
              <w:t>2020-10-31</w:t>
            </w:r>
          </w:p>
        </w:tc>
      </w:tr>
      <w:tr w:rsidR="00B070B0">
        <w:tc>
          <w:tcPr>
            <w:tcW w:w="7140" w:type="dxa"/>
          </w:tcPr>
          <w:p w:rsidR="00B070B0" w:rsidRDefault="005C077B">
            <w:pPr>
              <w:jc w:val="left"/>
            </w:pPr>
            <w:r>
              <w:t>易方达基金管理有限公司关于旗下部分基金获配济川药业（</w:t>
            </w:r>
            <w:r>
              <w:t>600566</w:t>
            </w:r>
            <w:r>
              <w:t>）非公开发行</w:t>
            </w:r>
            <w:r>
              <w:t>A</w:t>
            </w:r>
            <w:r>
              <w:t>股的公告</w:t>
            </w:r>
          </w:p>
        </w:tc>
        <w:tc>
          <w:tcPr>
            <w:tcW w:w="1289" w:type="dxa"/>
          </w:tcPr>
          <w:p w:rsidR="00B070B0" w:rsidRDefault="005C077B">
            <w:pPr>
              <w:jc w:val="center"/>
            </w:pPr>
            <w:r>
              <w:t>2020-10-31</w:t>
            </w:r>
          </w:p>
        </w:tc>
      </w:tr>
      <w:tr w:rsidR="00B070B0">
        <w:tc>
          <w:tcPr>
            <w:tcW w:w="7140" w:type="dxa"/>
          </w:tcPr>
          <w:p w:rsidR="00B070B0" w:rsidRDefault="005C077B">
            <w:pPr>
              <w:jc w:val="left"/>
            </w:pPr>
            <w:r>
              <w:t>易方达基金管理有限公司旗下部分开放式基金增加江苏银行为销售机构的公告</w:t>
            </w:r>
          </w:p>
        </w:tc>
        <w:tc>
          <w:tcPr>
            <w:tcW w:w="1289" w:type="dxa"/>
          </w:tcPr>
          <w:p w:rsidR="00B070B0" w:rsidRDefault="005C077B">
            <w:pPr>
              <w:jc w:val="center"/>
            </w:pPr>
            <w:r>
              <w:t>2020-11-18</w:t>
            </w:r>
          </w:p>
        </w:tc>
      </w:tr>
      <w:tr w:rsidR="00B070B0">
        <w:tc>
          <w:tcPr>
            <w:tcW w:w="7140" w:type="dxa"/>
          </w:tcPr>
          <w:p w:rsidR="00B070B0" w:rsidRDefault="005C077B">
            <w:pPr>
              <w:jc w:val="left"/>
            </w:pPr>
            <w:r>
              <w:t>易方达基金管理有限公司关于旗下部分基金获配联创电子（</w:t>
            </w:r>
            <w:r>
              <w:t>002036</w:t>
            </w:r>
            <w:r>
              <w:t>）非公开发行</w:t>
            </w:r>
            <w:r>
              <w:t>A</w:t>
            </w:r>
            <w:r>
              <w:t>股的公告</w:t>
            </w:r>
          </w:p>
        </w:tc>
        <w:tc>
          <w:tcPr>
            <w:tcW w:w="1289" w:type="dxa"/>
          </w:tcPr>
          <w:p w:rsidR="00B070B0" w:rsidRDefault="005C077B">
            <w:pPr>
              <w:jc w:val="center"/>
            </w:pPr>
            <w:r>
              <w:t>2020-11-19</w:t>
            </w:r>
          </w:p>
        </w:tc>
      </w:tr>
      <w:tr w:rsidR="00B070B0">
        <w:tc>
          <w:tcPr>
            <w:tcW w:w="7140" w:type="dxa"/>
          </w:tcPr>
          <w:p w:rsidR="00B070B0" w:rsidRDefault="005C077B">
            <w:pPr>
              <w:jc w:val="left"/>
            </w:pPr>
            <w:r>
              <w:t>易方达基金管理有限公司旗下部分开放式基金增加海南银行为销售机构的公告</w:t>
            </w:r>
          </w:p>
        </w:tc>
        <w:tc>
          <w:tcPr>
            <w:tcW w:w="1289" w:type="dxa"/>
          </w:tcPr>
          <w:p w:rsidR="00B070B0" w:rsidRDefault="005C077B">
            <w:pPr>
              <w:jc w:val="center"/>
            </w:pPr>
            <w:r>
              <w:t>2020-11-25</w:t>
            </w:r>
          </w:p>
        </w:tc>
      </w:tr>
      <w:tr w:rsidR="00B070B0">
        <w:tc>
          <w:tcPr>
            <w:tcW w:w="7140" w:type="dxa"/>
          </w:tcPr>
          <w:p w:rsidR="00B070B0" w:rsidRDefault="005C077B">
            <w:pPr>
              <w:jc w:val="left"/>
            </w:pPr>
            <w:r>
              <w:t>易方达基金管理有限公司关于暂停上海久富财富基金销售有限公司办理旗下基金相关销售业务的公告</w:t>
            </w:r>
          </w:p>
        </w:tc>
        <w:tc>
          <w:tcPr>
            <w:tcW w:w="1289" w:type="dxa"/>
          </w:tcPr>
          <w:p w:rsidR="00B070B0" w:rsidRDefault="005C077B">
            <w:pPr>
              <w:jc w:val="center"/>
            </w:pPr>
            <w:r>
              <w:t>2020-12-08</w:t>
            </w:r>
          </w:p>
        </w:tc>
      </w:tr>
      <w:tr w:rsidR="00B070B0">
        <w:tc>
          <w:tcPr>
            <w:tcW w:w="7140" w:type="dxa"/>
          </w:tcPr>
          <w:p w:rsidR="00B070B0" w:rsidRDefault="005C077B">
            <w:pPr>
              <w:jc w:val="left"/>
            </w:pPr>
            <w:r>
              <w:t>关于警惕冒用易方达基金管理有限公司名义进行诈骗活动的特别提示公告</w:t>
            </w:r>
          </w:p>
        </w:tc>
        <w:tc>
          <w:tcPr>
            <w:tcW w:w="1289" w:type="dxa"/>
          </w:tcPr>
          <w:p w:rsidR="00B070B0" w:rsidRDefault="005C077B">
            <w:pPr>
              <w:jc w:val="center"/>
            </w:pPr>
            <w:r>
              <w:t>2020-12-10</w:t>
            </w:r>
          </w:p>
        </w:tc>
      </w:tr>
      <w:tr w:rsidR="00B070B0">
        <w:tc>
          <w:tcPr>
            <w:tcW w:w="7140" w:type="dxa"/>
          </w:tcPr>
          <w:p w:rsidR="00B070B0" w:rsidRDefault="005C077B">
            <w:pPr>
              <w:jc w:val="left"/>
            </w:pPr>
            <w:r>
              <w:t>易方达基金管理有限公司高级管理人员变更公告</w:t>
            </w:r>
          </w:p>
        </w:tc>
        <w:tc>
          <w:tcPr>
            <w:tcW w:w="1289" w:type="dxa"/>
          </w:tcPr>
          <w:p w:rsidR="00B070B0" w:rsidRDefault="005C077B">
            <w:pPr>
              <w:jc w:val="center"/>
            </w:pPr>
            <w:r>
              <w:t>2020-12-12</w:t>
            </w:r>
          </w:p>
        </w:tc>
      </w:tr>
      <w:tr w:rsidR="00B070B0">
        <w:tc>
          <w:tcPr>
            <w:tcW w:w="7140" w:type="dxa"/>
          </w:tcPr>
          <w:p w:rsidR="00B070B0" w:rsidRDefault="005C077B">
            <w:pPr>
              <w:jc w:val="left"/>
            </w:pPr>
            <w:r>
              <w:t>易方达基金管理有限公司关于通过深圳宜投基金销售有限公司购买并持有本公司旗下基金的投资者及时办理转托管的提示性公告</w:t>
            </w:r>
          </w:p>
        </w:tc>
        <w:tc>
          <w:tcPr>
            <w:tcW w:w="1289" w:type="dxa"/>
          </w:tcPr>
          <w:p w:rsidR="00B070B0" w:rsidRDefault="005C077B">
            <w:pPr>
              <w:jc w:val="center"/>
            </w:pPr>
            <w:r>
              <w:t>2020-12-16</w:t>
            </w:r>
          </w:p>
        </w:tc>
      </w:tr>
      <w:tr w:rsidR="00B070B0">
        <w:tc>
          <w:tcPr>
            <w:tcW w:w="7140" w:type="dxa"/>
          </w:tcPr>
          <w:p w:rsidR="00B070B0" w:rsidRDefault="005C077B">
            <w:pPr>
              <w:jc w:val="left"/>
            </w:pPr>
            <w:r>
              <w:t>易方达基金管理有限公司关于通过浙江金观诚基金销售有限公司购买并持有本公司旗下基金的投资者及时办理转托管的提示性公告</w:t>
            </w:r>
          </w:p>
        </w:tc>
        <w:tc>
          <w:tcPr>
            <w:tcW w:w="1289" w:type="dxa"/>
          </w:tcPr>
          <w:p w:rsidR="00B070B0" w:rsidRDefault="005C077B">
            <w:pPr>
              <w:jc w:val="center"/>
            </w:pPr>
            <w:r>
              <w:t>2020-12-16</w:t>
            </w:r>
          </w:p>
        </w:tc>
      </w:tr>
      <w:tr w:rsidR="00B070B0">
        <w:tc>
          <w:tcPr>
            <w:tcW w:w="7140" w:type="dxa"/>
          </w:tcPr>
          <w:p w:rsidR="00B070B0" w:rsidRDefault="005C077B">
            <w:pPr>
              <w:jc w:val="left"/>
            </w:pPr>
            <w:r>
              <w:t>易方达基金管理有限公司关于通过上海久富财富基金销售有限公司购买并持有本公司旗下基金的投资者及时办理转托管的提示性公告</w:t>
            </w:r>
          </w:p>
        </w:tc>
        <w:tc>
          <w:tcPr>
            <w:tcW w:w="1289" w:type="dxa"/>
          </w:tcPr>
          <w:p w:rsidR="00B070B0" w:rsidRDefault="005C077B">
            <w:pPr>
              <w:jc w:val="center"/>
            </w:pPr>
            <w:r>
              <w:t>2020-12-16</w:t>
            </w:r>
          </w:p>
        </w:tc>
      </w:tr>
      <w:tr w:rsidR="00B070B0">
        <w:tc>
          <w:tcPr>
            <w:tcW w:w="7140" w:type="dxa"/>
          </w:tcPr>
          <w:p w:rsidR="00B070B0" w:rsidRDefault="005C077B">
            <w:pPr>
              <w:jc w:val="left"/>
            </w:pPr>
            <w:r>
              <w:t>易方达基金管理有限公司关于旗下部分基金修订基金合同、托管协议的公告</w:t>
            </w:r>
          </w:p>
        </w:tc>
        <w:tc>
          <w:tcPr>
            <w:tcW w:w="1289" w:type="dxa"/>
          </w:tcPr>
          <w:p w:rsidR="00B070B0" w:rsidRDefault="005C077B">
            <w:pPr>
              <w:jc w:val="center"/>
            </w:pPr>
            <w:r>
              <w:t>2020-12-18</w:t>
            </w:r>
          </w:p>
        </w:tc>
      </w:tr>
      <w:tr w:rsidR="00B070B0">
        <w:tc>
          <w:tcPr>
            <w:tcW w:w="7140" w:type="dxa"/>
          </w:tcPr>
          <w:p w:rsidR="00B070B0" w:rsidRDefault="005C077B">
            <w:pPr>
              <w:jc w:val="left"/>
            </w:pPr>
            <w:r>
              <w:t>易方达基金管理有限公司关于旗下部分基金获配三六零（</w:t>
            </w:r>
            <w:r>
              <w:t>601360</w:t>
            </w:r>
            <w:r>
              <w:t>）非公开发行</w:t>
            </w:r>
            <w:r>
              <w:t>A</w:t>
            </w:r>
            <w:r>
              <w:t>股的公告</w:t>
            </w:r>
          </w:p>
        </w:tc>
        <w:tc>
          <w:tcPr>
            <w:tcW w:w="1289" w:type="dxa"/>
          </w:tcPr>
          <w:p w:rsidR="00B070B0" w:rsidRDefault="005C077B">
            <w:pPr>
              <w:jc w:val="center"/>
            </w:pPr>
            <w:r>
              <w:t>2021-01-08</w:t>
            </w:r>
          </w:p>
        </w:tc>
      </w:tr>
      <w:tr w:rsidR="00B070B0">
        <w:tc>
          <w:tcPr>
            <w:tcW w:w="7140" w:type="dxa"/>
          </w:tcPr>
          <w:p w:rsidR="00B070B0" w:rsidRDefault="005C077B">
            <w:pPr>
              <w:jc w:val="left"/>
            </w:pPr>
            <w:r>
              <w:t>易方达基金管理有限公司旗下部分开放式基金增加东方财富证券为销售机构的公告</w:t>
            </w:r>
          </w:p>
        </w:tc>
        <w:tc>
          <w:tcPr>
            <w:tcW w:w="1289" w:type="dxa"/>
          </w:tcPr>
          <w:p w:rsidR="00B070B0" w:rsidRDefault="005C077B">
            <w:pPr>
              <w:jc w:val="center"/>
            </w:pPr>
            <w:r>
              <w:t>2021-01-12</w:t>
            </w:r>
          </w:p>
        </w:tc>
      </w:tr>
      <w:tr w:rsidR="00B070B0">
        <w:tc>
          <w:tcPr>
            <w:tcW w:w="7140" w:type="dxa"/>
          </w:tcPr>
          <w:p w:rsidR="00B070B0" w:rsidRDefault="005C077B">
            <w:pPr>
              <w:jc w:val="left"/>
            </w:pPr>
            <w:r>
              <w:t>易方达基金管理有限公司旗下部分开放式基金增加基煜基金为销售机构的公告</w:t>
            </w:r>
          </w:p>
        </w:tc>
        <w:tc>
          <w:tcPr>
            <w:tcW w:w="1289" w:type="dxa"/>
          </w:tcPr>
          <w:p w:rsidR="00B070B0" w:rsidRDefault="005C077B">
            <w:pPr>
              <w:jc w:val="center"/>
            </w:pPr>
            <w:r>
              <w:t>2021-01-19</w:t>
            </w:r>
          </w:p>
        </w:tc>
      </w:tr>
      <w:tr w:rsidR="00B070B0">
        <w:tc>
          <w:tcPr>
            <w:tcW w:w="7140" w:type="dxa"/>
          </w:tcPr>
          <w:p w:rsidR="00B070B0" w:rsidRDefault="005C077B">
            <w:pPr>
              <w:jc w:val="left"/>
            </w:pPr>
            <w:r>
              <w:t>易方达基金管理有限公司旗下基金</w:t>
            </w:r>
            <w:r>
              <w:t>2020</w:t>
            </w:r>
            <w:r>
              <w:t>年第</w:t>
            </w:r>
            <w:r>
              <w:t>4</w:t>
            </w:r>
            <w:r>
              <w:t>季度报告提示性公告</w:t>
            </w:r>
          </w:p>
        </w:tc>
        <w:tc>
          <w:tcPr>
            <w:tcW w:w="1289" w:type="dxa"/>
          </w:tcPr>
          <w:p w:rsidR="00B070B0" w:rsidRDefault="005C077B">
            <w:pPr>
              <w:jc w:val="center"/>
            </w:pPr>
            <w:r>
              <w:t>2021-01-21</w:t>
            </w:r>
          </w:p>
        </w:tc>
      </w:tr>
      <w:tr w:rsidR="00B070B0">
        <w:tc>
          <w:tcPr>
            <w:tcW w:w="7140" w:type="dxa"/>
          </w:tcPr>
          <w:p w:rsidR="00B070B0" w:rsidRDefault="005C077B">
            <w:pPr>
              <w:jc w:val="left"/>
            </w:pPr>
            <w:r>
              <w:t>易方达基金管理有限公司高级管理人员变更公告</w:t>
            </w:r>
          </w:p>
        </w:tc>
        <w:tc>
          <w:tcPr>
            <w:tcW w:w="1289" w:type="dxa"/>
          </w:tcPr>
          <w:p w:rsidR="00B070B0" w:rsidRDefault="005C077B">
            <w:pPr>
              <w:jc w:val="center"/>
            </w:pPr>
            <w:r>
              <w:t>2021-01-23</w:t>
            </w:r>
          </w:p>
        </w:tc>
      </w:tr>
      <w:tr w:rsidR="00B070B0">
        <w:tc>
          <w:tcPr>
            <w:tcW w:w="7140" w:type="dxa"/>
          </w:tcPr>
          <w:p w:rsidR="00B070B0" w:rsidRDefault="005C077B">
            <w:pPr>
              <w:jc w:val="left"/>
            </w:pPr>
            <w:r>
              <w:t>易方达基金管理有限公司关于终止包商银行股份有限公司办理本公司旗下基金销售业务的公告</w:t>
            </w:r>
          </w:p>
        </w:tc>
        <w:tc>
          <w:tcPr>
            <w:tcW w:w="1289" w:type="dxa"/>
          </w:tcPr>
          <w:p w:rsidR="00B070B0" w:rsidRDefault="005C077B">
            <w:pPr>
              <w:jc w:val="center"/>
            </w:pPr>
            <w:r>
              <w:t>2021-02-08</w:t>
            </w:r>
          </w:p>
        </w:tc>
      </w:tr>
      <w:tr w:rsidR="00B070B0">
        <w:tc>
          <w:tcPr>
            <w:tcW w:w="7140" w:type="dxa"/>
          </w:tcPr>
          <w:p w:rsidR="00B070B0" w:rsidRDefault="005C077B">
            <w:pPr>
              <w:jc w:val="left"/>
            </w:pPr>
            <w:r>
              <w:t>易方达基金管理有限公司旗下部分开放式基金增加长沙银行为销售机构的公告</w:t>
            </w:r>
          </w:p>
        </w:tc>
        <w:tc>
          <w:tcPr>
            <w:tcW w:w="1289" w:type="dxa"/>
          </w:tcPr>
          <w:p w:rsidR="00B070B0" w:rsidRDefault="005C077B">
            <w:pPr>
              <w:jc w:val="center"/>
            </w:pPr>
            <w:r>
              <w:t>2021-02-08</w:t>
            </w:r>
          </w:p>
        </w:tc>
      </w:tr>
      <w:tr w:rsidR="00B070B0">
        <w:tc>
          <w:tcPr>
            <w:tcW w:w="7140" w:type="dxa"/>
          </w:tcPr>
          <w:p w:rsidR="00B070B0" w:rsidRDefault="005C077B">
            <w:pPr>
              <w:jc w:val="left"/>
            </w:pPr>
            <w:r>
              <w:t>易方达基金管理有限公司旗下部分开放式基金增加腾安基金为销售机构的公告</w:t>
            </w:r>
          </w:p>
        </w:tc>
        <w:tc>
          <w:tcPr>
            <w:tcW w:w="1289" w:type="dxa"/>
          </w:tcPr>
          <w:p w:rsidR="00B070B0" w:rsidRDefault="005C077B">
            <w:pPr>
              <w:jc w:val="center"/>
            </w:pPr>
            <w:r>
              <w:t>2021-02-10</w:t>
            </w:r>
          </w:p>
        </w:tc>
      </w:tr>
      <w:tr w:rsidR="00B070B0">
        <w:tc>
          <w:tcPr>
            <w:tcW w:w="7140" w:type="dxa"/>
          </w:tcPr>
          <w:p w:rsidR="00B070B0" w:rsidRDefault="005C077B">
            <w:pPr>
              <w:jc w:val="left"/>
            </w:pPr>
            <w:r>
              <w:lastRenderedPageBreak/>
              <w:t>易方达基金管理有限公司旗下部分开放式基金增加微众银行为销售机构的公告</w:t>
            </w:r>
          </w:p>
        </w:tc>
        <w:tc>
          <w:tcPr>
            <w:tcW w:w="1289" w:type="dxa"/>
          </w:tcPr>
          <w:p w:rsidR="00B070B0" w:rsidRDefault="005C077B">
            <w:pPr>
              <w:jc w:val="center"/>
            </w:pPr>
            <w:r>
              <w:t>2021-02-25</w:t>
            </w:r>
          </w:p>
        </w:tc>
      </w:tr>
      <w:tr w:rsidR="00B070B0">
        <w:tc>
          <w:tcPr>
            <w:tcW w:w="7140" w:type="dxa"/>
          </w:tcPr>
          <w:p w:rsidR="00B070B0" w:rsidRDefault="005C077B">
            <w:pPr>
              <w:jc w:val="left"/>
            </w:pPr>
            <w:r>
              <w:t>易方达基金管理有限公司旗下基金</w:t>
            </w:r>
            <w:r>
              <w:t>2020</w:t>
            </w:r>
            <w:r>
              <w:t>年年度报告提示性公告</w:t>
            </w:r>
          </w:p>
        </w:tc>
        <w:tc>
          <w:tcPr>
            <w:tcW w:w="1289" w:type="dxa"/>
          </w:tcPr>
          <w:p w:rsidR="00B070B0" w:rsidRDefault="005C077B">
            <w:pPr>
              <w:jc w:val="center"/>
            </w:pPr>
            <w:r>
              <w:t>2021-03-30</w:t>
            </w:r>
          </w:p>
        </w:tc>
      </w:tr>
      <w:tr w:rsidR="00B070B0">
        <w:tc>
          <w:tcPr>
            <w:tcW w:w="7140" w:type="dxa"/>
          </w:tcPr>
          <w:p w:rsidR="00B070B0" w:rsidRDefault="005C077B">
            <w:pPr>
              <w:jc w:val="left"/>
            </w:pPr>
            <w:r>
              <w:t>易方达基金管理有限公司关于提醒投资者及时提供或更新身份信息资料的公告</w:t>
            </w:r>
          </w:p>
        </w:tc>
        <w:tc>
          <w:tcPr>
            <w:tcW w:w="1289" w:type="dxa"/>
          </w:tcPr>
          <w:p w:rsidR="00B070B0" w:rsidRDefault="005C077B">
            <w:pPr>
              <w:jc w:val="center"/>
            </w:pPr>
            <w:r>
              <w:t>2021-04-02</w:t>
            </w:r>
          </w:p>
        </w:tc>
      </w:tr>
      <w:tr w:rsidR="00B070B0">
        <w:tc>
          <w:tcPr>
            <w:tcW w:w="7140" w:type="dxa"/>
          </w:tcPr>
          <w:p w:rsidR="00B070B0" w:rsidRDefault="005C077B">
            <w:pPr>
              <w:jc w:val="left"/>
            </w:pPr>
            <w:r>
              <w:t>易方达基金管理有限公司旗下基金</w:t>
            </w:r>
            <w:r>
              <w:t>2021</w:t>
            </w:r>
            <w:r>
              <w:t>年第</w:t>
            </w:r>
            <w:r>
              <w:t>1</w:t>
            </w:r>
            <w:r>
              <w:t>季度报告提示性公告</w:t>
            </w:r>
          </w:p>
        </w:tc>
        <w:tc>
          <w:tcPr>
            <w:tcW w:w="1289" w:type="dxa"/>
          </w:tcPr>
          <w:p w:rsidR="00B070B0" w:rsidRDefault="005C077B">
            <w:pPr>
              <w:jc w:val="center"/>
            </w:pPr>
            <w:r>
              <w:t>2021-04-19</w:t>
            </w:r>
          </w:p>
        </w:tc>
      </w:tr>
      <w:tr w:rsidR="00B070B0">
        <w:tc>
          <w:tcPr>
            <w:tcW w:w="7140" w:type="dxa"/>
          </w:tcPr>
          <w:p w:rsidR="00B070B0" w:rsidRDefault="005C077B">
            <w:pPr>
              <w:jc w:val="left"/>
            </w:pPr>
            <w:r>
              <w:t>易方达基金管理有限公司高级管理人员变更公告</w:t>
            </w:r>
          </w:p>
        </w:tc>
        <w:tc>
          <w:tcPr>
            <w:tcW w:w="1289" w:type="dxa"/>
          </w:tcPr>
          <w:p w:rsidR="00B070B0" w:rsidRDefault="005C077B">
            <w:pPr>
              <w:jc w:val="center"/>
            </w:pPr>
            <w:r>
              <w:t>2021-07-17</w:t>
            </w:r>
          </w:p>
        </w:tc>
      </w:tr>
      <w:tr w:rsidR="00B070B0">
        <w:tc>
          <w:tcPr>
            <w:tcW w:w="7140" w:type="dxa"/>
          </w:tcPr>
          <w:p w:rsidR="00B070B0" w:rsidRDefault="005C077B">
            <w:pPr>
              <w:jc w:val="left"/>
            </w:pPr>
            <w:r>
              <w:t>易方达基金管理有限公司旗下基金</w:t>
            </w:r>
            <w:r>
              <w:t>2021</w:t>
            </w:r>
            <w:r>
              <w:t>年第</w:t>
            </w:r>
            <w:r>
              <w:t>2</w:t>
            </w:r>
            <w:r>
              <w:t>季度报告提示性公告</w:t>
            </w:r>
          </w:p>
        </w:tc>
        <w:tc>
          <w:tcPr>
            <w:tcW w:w="1289" w:type="dxa"/>
          </w:tcPr>
          <w:p w:rsidR="00B070B0" w:rsidRDefault="005C077B">
            <w:pPr>
              <w:jc w:val="center"/>
            </w:pPr>
            <w:r>
              <w:t>2021-07-20</w:t>
            </w:r>
          </w:p>
        </w:tc>
      </w:tr>
      <w:tr w:rsidR="00B070B0">
        <w:tc>
          <w:tcPr>
            <w:tcW w:w="7140" w:type="dxa"/>
          </w:tcPr>
          <w:p w:rsidR="00B070B0" w:rsidRDefault="005C077B">
            <w:pPr>
              <w:jc w:val="left"/>
            </w:pPr>
            <w:r>
              <w:t>易方达基金管理有限公司高级管理人员变更公告</w:t>
            </w:r>
          </w:p>
        </w:tc>
        <w:tc>
          <w:tcPr>
            <w:tcW w:w="1289" w:type="dxa"/>
          </w:tcPr>
          <w:p w:rsidR="00B070B0" w:rsidRDefault="005C077B">
            <w:pPr>
              <w:jc w:val="center"/>
            </w:pPr>
            <w:r>
              <w:t>2021-07-24</w:t>
            </w:r>
          </w:p>
        </w:tc>
      </w:tr>
      <w:tr w:rsidR="00B070B0">
        <w:tc>
          <w:tcPr>
            <w:tcW w:w="7140" w:type="dxa"/>
          </w:tcPr>
          <w:p w:rsidR="00B070B0" w:rsidRDefault="005C077B">
            <w:pPr>
              <w:jc w:val="left"/>
            </w:pPr>
            <w:r>
              <w:t>易方达基金管理有限公司高级管理人员变更公告</w:t>
            </w:r>
          </w:p>
        </w:tc>
        <w:tc>
          <w:tcPr>
            <w:tcW w:w="1289" w:type="dxa"/>
          </w:tcPr>
          <w:p w:rsidR="00B070B0" w:rsidRDefault="005C077B">
            <w:pPr>
              <w:jc w:val="center"/>
            </w:pPr>
            <w:r>
              <w:t>2021-07-24</w:t>
            </w:r>
          </w:p>
        </w:tc>
      </w:tr>
      <w:tr w:rsidR="00B070B0">
        <w:tc>
          <w:tcPr>
            <w:tcW w:w="7140" w:type="dxa"/>
          </w:tcPr>
          <w:p w:rsidR="00B070B0" w:rsidRDefault="005C077B">
            <w:pPr>
              <w:jc w:val="left"/>
            </w:pPr>
            <w:r>
              <w:t>易方达基金管理有限公司关于南京分公司营业场所变更的公告</w:t>
            </w:r>
          </w:p>
        </w:tc>
        <w:tc>
          <w:tcPr>
            <w:tcW w:w="1289" w:type="dxa"/>
          </w:tcPr>
          <w:p w:rsidR="00B070B0" w:rsidRDefault="005C077B">
            <w:pPr>
              <w:jc w:val="center"/>
            </w:pPr>
            <w:r>
              <w:t>2021-07-28</w:t>
            </w:r>
          </w:p>
        </w:tc>
      </w:tr>
      <w:tr w:rsidR="00B070B0">
        <w:tc>
          <w:tcPr>
            <w:tcW w:w="7140" w:type="dxa"/>
          </w:tcPr>
          <w:p w:rsidR="00B070B0" w:rsidRDefault="005C077B">
            <w:pPr>
              <w:jc w:val="left"/>
            </w:pPr>
            <w:r>
              <w:t>易方达基金管理有限公司高级管理人员变更公告</w:t>
            </w:r>
          </w:p>
        </w:tc>
        <w:tc>
          <w:tcPr>
            <w:tcW w:w="1289" w:type="dxa"/>
          </w:tcPr>
          <w:p w:rsidR="00B070B0" w:rsidRDefault="005C077B">
            <w:pPr>
              <w:jc w:val="center"/>
            </w:pPr>
            <w:r>
              <w:t>2021-07-30</w:t>
            </w:r>
          </w:p>
        </w:tc>
      </w:tr>
      <w:tr w:rsidR="00B070B0">
        <w:tc>
          <w:tcPr>
            <w:tcW w:w="7140" w:type="dxa"/>
          </w:tcPr>
          <w:p w:rsidR="00B070B0" w:rsidRDefault="005C077B">
            <w:pPr>
              <w:jc w:val="left"/>
            </w:pPr>
            <w:r>
              <w:t>易方达双债增强债券型证券投资基金暂停机构客户申购、转换转入及定期定额投资业务的公告</w:t>
            </w:r>
          </w:p>
        </w:tc>
        <w:tc>
          <w:tcPr>
            <w:tcW w:w="1289" w:type="dxa"/>
          </w:tcPr>
          <w:p w:rsidR="00B070B0" w:rsidRDefault="005C077B">
            <w:pPr>
              <w:jc w:val="center"/>
            </w:pPr>
            <w:r>
              <w:t>2021-08-07</w:t>
            </w:r>
          </w:p>
        </w:tc>
      </w:tr>
      <w:tr w:rsidR="00B070B0">
        <w:tc>
          <w:tcPr>
            <w:tcW w:w="7140" w:type="dxa"/>
          </w:tcPr>
          <w:p w:rsidR="00B070B0" w:rsidRDefault="005C077B">
            <w:pPr>
              <w:jc w:val="left"/>
            </w:pPr>
            <w:r>
              <w:t>易方达基金管理有限公司旗下基金</w:t>
            </w:r>
            <w:r>
              <w:t>2021</w:t>
            </w:r>
            <w:r>
              <w:t>年中期报告提示性公告</w:t>
            </w:r>
          </w:p>
        </w:tc>
        <w:tc>
          <w:tcPr>
            <w:tcW w:w="1289" w:type="dxa"/>
          </w:tcPr>
          <w:p w:rsidR="00B070B0" w:rsidRDefault="005C077B">
            <w:pPr>
              <w:jc w:val="center"/>
            </w:pPr>
            <w:r>
              <w:t>2021-08-28</w:t>
            </w:r>
          </w:p>
        </w:tc>
      </w:tr>
      <w:tr w:rsidR="00B070B0">
        <w:tc>
          <w:tcPr>
            <w:tcW w:w="7140" w:type="dxa"/>
          </w:tcPr>
          <w:p w:rsidR="00B070B0" w:rsidRDefault="005C077B">
            <w:pPr>
              <w:jc w:val="left"/>
            </w:pPr>
            <w:r>
              <w:t>易方达基金管理有限公司关于旗下部分基金获配中国化学（</w:t>
            </w:r>
            <w:r>
              <w:t>601117</w:t>
            </w:r>
            <w:r>
              <w:t>）非公开发行</w:t>
            </w:r>
            <w:r>
              <w:t>A</w:t>
            </w:r>
            <w:r>
              <w:t>股的公告</w:t>
            </w:r>
          </w:p>
        </w:tc>
        <w:tc>
          <w:tcPr>
            <w:tcW w:w="1289" w:type="dxa"/>
          </w:tcPr>
          <w:p w:rsidR="00B070B0" w:rsidRDefault="005C077B">
            <w:pPr>
              <w:jc w:val="center"/>
            </w:pPr>
            <w:r>
              <w:t>2021-09-10</w:t>
            </w:r>
          </w:p>
        </w:tc>
      </w:tr>
    </w:tbl>
    <w:p w:rsidR="00BA4B87" w:rsidRPr="00D6191E" w:rsidRDefault="004B07D0" w:rsidP="000449FE">
      <w:pPr>
        <w:snapToGrid w:val="0"/>
        <w:spacing w:line="360" w:lineRule="auto"/>
        <w:rPr>
          <w:rFonts w:asciiTheme="minorEastAsia" w:eastAsiaTheme="minorEastAsia" w:hAnsiTheme="minorEastAsia"/>
          <w:szCs w:val="21"/>
        </w:rPr>
      </w:pPr>
      <w:r>
        <w:t>注：以上公告事项披露在规定媒介及基金管理人网站上。</w:t>
      </w:r>
    </w:p>
    <w:p w:rsidR="00BA4B87" w:rsidRPr="00D6191E" w:rsidRDefault="00BA4B87" w:rsidP="000449FE">
      <w:pPr>
        <w:snapToGrid w:val="0"/>
        <w:spacing w:line="360" w:lineRule="auto"/>
        <w:rPr>
          <w:rFonts w:asciiTheme="minorEastAsia" w:eastAsiaTheme="minorEastAsia" w:hAnsiTheme="minorEastAsia"/>
          <w:szCs w:val="21"/>
        </w:rPr>
      </w:pPr>
    </w:p>
    <w:p w:rsidR="00BA4B87" w:rsidRPr="00D6191E" w:rsidRDefault="00BA4B87" w:rsidP="000449FE">
      <w:pPr>
        <w:pStyle w:val="a4"/>
        <w:snapToGrid w:val="0"/>
        <w:spacing w:line="360" w:lineRule="auto"/>
        <w:rPr>
          <w:rFonts w:asciiTheme="minorEastAsia" w:eastAsiaTheme="minorEastAsia" w:hAnsiTheme="minorEastAsia"/>
        </w:rPr>
      </w:pPr>
    </w:p>
    <w:p w:rsidR="00BA4B87" w:rsidRPr="00D6191E" w:rsidRDefault="00BA4B87" w:rsidP="000449FE">
      <w:pPr>
        <w:pStyle w:val="a4"/>
        <w:snapToGrid w:val="0"/>
        <w:spacing w:line="360" w:lineRule="auto"/>
        <w:rPr>
          <w:rFonts w:asciiTheme="minorEastAsia" w:eastAsiaTheme="minorEastAsia" w:hAnsiTheme="minorEastAsia"/>
        </w:rPr>
      </w:pPr>
    </w:p>
    <w:p w:rsidR="00BA4B87" w:rsidRPr="00D6191E" w:rsidRDefault="00BA4B87" w:rsidP="000449FE">
      <w:pPr>
        <w:pStyle w:val="a4"/>
        <w:snapToGrid w:val="0"/>
        <w:spacing w:line="360" w:lineRule="auto"/>
        <w:rPr>
          <w:rFonts w:asciiTheme="minorEastAsia" w:eastAsiaTheme="minorEastAsia" w:hAnsiTheme="minorEastAsia"/>
        </w:rPr>
      </w:pPr>
    </w:p>
    <w:p w:rsidR="00B9449C" w:rsidRPr="00D6191E" w:rsidRDefault="00B9449C" w:rsidP="004D6C82">
      <w:pPr>
        <w:pStyle w:val="1"/>
        <w:snapToGrid w:val="0"/>
        <w:spacing w:beforeLines="0" w:afterLines="0" w:line="360" w:lineRule="auto"/>
        <w:ind w:firstLine="600"/>
        <w:rPr>
          <w:rFonts w:asciiTheme="minorEastAsia" w:eastAsiaTheme="minorEastAsia" w:hAnsiTheme="minorEastAsia"/>
          <w:sz w:val="30"/>
        </w:rPr>
        <w:sectPr w:rsidR="00B9449C" w:rsidRPr="00D6191E" w:rsidSect="00D6191E">
          <w:pgSz w:w="11906" w:h="16838" w:code="9"/>
          <w:pgMar w:top="1440" w:right="1800" w:bottom="1440" w:left="1800" w:header="720" w:footer="720" w:gutter="0"/>
          <w:cols w:space="720"/>
          <w:docGrid w:type="lines" w:linePitch="312"/>
        </w:sectPr>
      </w:pPr>
    </w:p>
    <w:p w:rsidR="00BA4B87" w:rsidRPr="00D6191E" w:rsidRDefault="009C0CEE" w:rsidP="004D6C82">
      <w:pPr>
        <w:pStyle w:val="1"/>
        <w:snapToGrid w:val="0"/>
        <w:spacing w:beforeLines="0" w:afterLines="0" w:line="360" w:lineRule="auto"/>
        <w:ind w:firstLine="600"/>
        <w:rPr>
          <w:rFonts w:asciiTheme="minorEastAsia" w:eastAsiaTheme="minorEastAsia" w:hAnsiTheme="minorEastAsia"/>
          <w:bCs/>
          <w:szCs w:val="20"/>
        </w:rPr>
      </w:pPr>
      <w:bookmarkStart w:id="147" w:name="_Toc86315958"/>
      <w:r w:rsidRPr="00D6191E">
        <w:rPr>
          <w:rFonts w:asciiTheme="minorEastAsia" w:eastAsiaTheme="minorEastAsia" w:hAnsiTheme="minorEastAsia" w:hint="eastAsia"/>
          <w:sz w:val="30"/>
        </w:rPr>
        <w:lastRenderedPageBreak/>
        <w:t>二十</w:t>
      </w:r>
      <w:r w:rsidR="007B3CFB">
        <w:rPr>
          <w:rFonts w:asciiTheme="minorEastAsia" w:eastAsiaTheme="minorEastAsia" w:hAnsiTheme="minorEastAsia" w:hint="eastAsia"/>
          <w:sz w:val="30"/>
        </w:rPr>
        <w:t>六</w:t>
      </w:r>
      <w:r w:rsidR="00BA4B87" w:rsidRPr="00D6191E">
        <w:rPr>
          <w:rFonts w:asciiTheme="minorEastAsia" w:eastAsiaTheme="minorEastAsia" w:hAnsiTheme="minorEastAsia" w:hint="eastAsia"/>
          <w:sz w:val="30"/>
        </w:rPr>
        <w:t>、招募说明书的存放及查阅方式</w:t>
      </w:r>
      <w:bookmarkEnd w:id="147"/>
    </w:p>
    <w:p w:rsidR="00BA4B87" w:rsidRPr="00D6191E" w:rsidRDefault="00BA4B87" w:rsidP="000449FE">
      <w:pPr>
        <w:snapToGrid w:val="0"/>
        <w:spacing w:line="360" w:lineRule="auto"/>
        <w:ind w:firstLine="420"/>
        <w:rPr>
          <w:rFonts w:asciiTheme="minorEastAsia" w:eastAsiaTheme="minorEastAsia" w:hAnsiTheme="minorEastAsia"/>
        </w:rPr>
      </w:pPr>
      <w:r w:rsidRPr="00D6191E">
        <w:rPr>
          <w:rFonts w:asciiTheme="minorEastAsia" w:eastAsiaTheme="minorEastAsia" w:hAnsiTheme="minorEastAsia" w:hint="eastAsia"/>
        </w:rPr>
        <w:t>本招募说明书存放在基金管理人、基金托管人及基金</w:t>
      </w:r>
      <w:r w:rsidR="00AE5F53" w:rsidRPr="00D6191E">
        <w:rPr>
          <w:rFonts w:asciiTheme="minorEastAsia" w:eastAsiaTheme="minorEastAsia" w:hAnsiTheme="minorEastAsia" w:hint="eastAsia"/>
        </w:rPr>
        <w:t>销售</w:t>
      </w:r>
      <w:r w:rsidRPr="00D6191E">
        <w:rPr>
          <w:rFonts w:asciiTheme="minorEastAsia" w:eastAsiaTheme="minorEastAsia" w:hAnsiTheme="minorEastAsia" w:hint="eastAsia"/>
        </w:rPr>
        <w:t>机构处，投资者可在营业时间免费查阅，也可按工本费购买复印件。</w:t>
      </w:r>
    </w:p>
    <w:p w:rsidR="00BA4B87" w:rsidRPr="00D6191E" w:rsidRDefault="00BA4B87" w:rsidP="000449FE">
      <w:pPr>
        <w:snapToGrid w:val="0"/>
        <w:spacing w:line="360" w:lineRule="auto"/>
        <w:ind w:firstLine="480"/>
        <w:rPr>
          <w:rFonts w:asciiTheme="minorEastAsia" w:eastAsiaTheme="minorEastAsia" w:hAnsiTheme="minorEastAsia"/>
        </w:rPr>
      </w:pPr>
      <w:r w:rsidRPr="00D6191E">
        <w:rPr>
          <w:rFonts w:asciiTheme="minorEastAsia" w:eastAsiaTheme="minorEastAsia" w:hAnsiTheme="minorEastAsia" w:hint="eastAsia"/>
        </w:rPr>
        <w:t>基金管理人和基金托管人保证文本的内容与公告的内容完全一致。</w:t>
      </w:r>
    </w:p>
    <w:p w:rsidR="00BA4B87" w:rsidRPr="00D6191E" w:rsidRDefault="00BA4B87" w:rsidP="004D6C82">
      <w:pPr>
        <w:pStyle w:val="1"/>
        <w:snapToGrid w:val="0"/>
        <w:spacing w:beforeLines="0" w:afterLines="0" w:line="360" w:lineRule="auto"/>
        <w:ind w:firstLine="600"/>
        <w:rPr>
          <w:rFonts w:asciiTheme="minorEastAsia" w:eastAsiaTheme="minorEastAsia" w:hAnsiTheme="minorEastAsia"/>
          <w:bCs/>
          <w:szCs w:val="20"/>
        </w:rPr>
      </w:pPr>
      <w:r w:rsidRPr="00D6191E">
        <w:rPr>
          <w:rFonts w:asciiTheme="minorEastAsia" w:eastAsiaTheme="minorEastAsia" w:hAnsiTheme="minorEastAsia"/>
          <w:sz w:val="30"/>
        </w:rPr>
        <w:br w:type="column"/>
      </w:r>
      <w:bookmarkStart w:id="148" w:name="_Toc86315959"/>
      <w:r w:rsidR="009C0CEE" w:rsidRPr="00D6191E">
        <w:rPr>
          <w:rFonts w:asciiTheme="minorEastAsia" w:eastAsiaTheme="minorEastAsia" w:hAnsiTheme="minorEastAsia" w:hint="eastAsia"/>
          <w:sz w:val="30"/>
        </w:rPr>
        <w:lastRenderedPageBreak/>
        <w:t>二十</w:t>
      </w:r>
      <w:r w:rsidR="007B3CFB">
        <w:rPr>
          <w:rFonts w:asciiTheme="minorEastAsia" w:eastAsiaTheme="minorEastAsia" w:hAnsiTheme="minorEastAsia" w:hint="eastAsia"/>
          <w:sz w:val="30"/>
        </w:rPr>
        <w:t>七</w:t>
      </w:r>
      <w:r w:rsidRPr="00D6191E">
        <w:rPr>
          <w:rFonts w:asciiTheme="minorEastAsia" w:eastAsiaTheme="minorEastAsia" w:hAnsiTheme="minorEastAsia" w:hint="eastAsia"/>
          <w:sz w:val="30"/>
        </w:rPr>
        <w:t>、备查文件</w:t>
      </w:r>
      <w:bookmarkEnd w:id="148"/>
    </w:p>
    <w:p w:rsidR="00BA4B87" w:rsidRPr="00D6191E" w:rsidRDefault="00234286" w:rsidP="00234286">
      <w:pPr>
        <w:snapToGrid w:val="0"/>
        <w:spacing w:line="360" w:lineRule="auto"/>
        <w:ind w:firstLine="420"/>
        <w:rPr>
          <w:rFonts w:asciiTheme="minorEastAsia" w:eastAsiaTheme="minorEastAsia" w:hAnsiTheme="minorEastAsia"/>
        </w:rPr>
      </w:pPr>
      <w:r w:rsidRPr="00D6191E">
        <w:rPr>
          <w:rFonts w:asciiTheme="minorEastAsia" w:eastAsiaTheme="minorEastAsia" w:hAnsiTheme="minorEastAsia" w:hint="eastAsia"/>
        </w:rPr>
        <w:t>1、</w:t>
      </w:r>
      <w:r w:rsidR="00BA4B87" w:rsidRPr="00D6191E">
        <w:rPr>
          <w:rFonts w:asciiTheme="minorEastAsia" w:eastAsiaTheme="minorEastAsia" w:hAnsiTheme="minorEastAsia" w:hint="eastAsia"/>
        </w:rPr>
        <w:t>中国证监会核准易方达双债增强债券型证券投资基金募集的文件；</w:t>
      </w:r>
    </w:p>
    <w:p w:rsidR="00BA4B87" w:rsidRPr="00D6191E" w:rsidRDefault="00234286" w:rsidP="00234286">
      <w:pPr>
        <w:snapToGrid w:val="0"/>
        <w:spacing w:line="360" w:lineRule="auto"/>
        <w:ind w:firstLine="420"/>
        <w:rPr>
          <w:rFonts w:asciiTheme="minorEastAsia" w:eastAsiaTheme="minorEastAsia" w:hAnsiTheme="minorEastAsia"/>
        </w:rPr>
      </w:pPr>
      <w:r w:rsidRPr="00D6191E">
        <w:rPr>
          <w:rFonts w:asciiTheme="minorEastAsia" w:eastAsiaTheme="minorEastAsia" w:hAnsiTheme="minorEastAsia" w:hint="eastAsia"/>
        </w:rPr>
        <w:t>2、</w:t>
      </w:r>
      <w:r w:rsidR="00BA4B87" w:rsidRPr="00D6191E">
        <w:rPr>
          <w:rFonts w:asciiTheme="minorEastAsia" w:eastAsiaTheme="minorEastAsia" w:hAnsiTheme="minorEastAsia" w:hint="eastAsia"/>
        </w:rPr>
        <w:t>《易方达双债增强债券型证券投资基金基金合同》；</w:t>
      </w:r>
    </w:p>
    <w:p w:rsidR="00BA4B87" w:rsidRPr="00D6191E" w:rsidRDefault="00234286" w:rsidP="00234286">
      <w:pPr>
        <w:snapToGrid w:val="0"/>
        <w:spacing w:line="360" w:lineRule="auto"/>
        <w:ind w:firstLine="420"/>
        <w:rPr>
          <w:rFonts w:asciiTheme="minorEastAsia" w:eastAsiaTheme="minorEastAsia" w:hAnsiTheme="minorEastAsia"/>
        </w:rPr>
      </w:pPr>
      <w:r w:rsidRPr="00D6191E">
        <w:rPr>
          <w:rFonts w:asciiTheme="minorEastAsia" w:eastAsiaTheme="minorEastAsia" w:hAnsiTheme="minorEastAsia" w:hint="eastAsia"/>
        </w:rPr>
        <w:t>3、</w:t>
      </w:r>
      <w:r w:rsidR="00BA4B87" w:rsidRPr="00D6191E">
        <w:rPr>
          <w:rFonts w:asciiTheme="minorEastAsia" w:eastAsiaTheme="minorEastAsia" w:hAnsiTheme="minorEastAsia" w:hint="eastAsia"/>
        </w:rPr>
        <w:t>《易方达双债增强债券型证券投资基金托管协议》；</w:t>
      </w:r>
    </w:p>
    <w:p w:rsidR="00BA4B87" w:rsidRPr="00D6191E" w:rsidRDefault="00234286" w:rsidP="00234286">
      <w:pPr>
        <w:snapToGrid w:val="0"/>
        <w:spacing w:line="360" w:lineRule="auto"/>
        <w:ind w:firstLine="420"/>
        <w:rPr>
          <w:rFonts w:asciiTheme="minorEastAsia" w:eastAsiaTheme="minorEastAsia" w:hAnsiTheme="minorEastAsia"/>
        </w:rPr>
      </w:pPr>
      <w:r w:rsidRPr="00D6191E">
        <w:rPr>
          <w:rFonts w:asciiTheme="minorEastAsia" w:eastAsiaTheme="minorEastAsia" w:hAnsiTheme="minorEastAsia" w:hint="eastAsia"/>
        </w:rPr>
        <w:t>4、</w:t>
      </w:r>
      <w:r w:rsidR="00BA4B87" w:rsidRPr="00D6191E">
        <w:rPr>
          <w:rFonts w:asciiTheme="minorEastAsia" w:eastAsiaTheme="minorEastAsia" w:hAnsiTheme="minorEastAsia" w:hint="eastAsia"/>
        </w:rPr>
        <w:t>《易方达基金管理有限公司开放式基金业务规则》；</w:t>
      </w:r>
    </w:p>
    <w:p w:rsidR="00BA4B87" w:rsidRPr="00D6191E" w:rsidRDefault="00234286" w:rsidP="00234286">
      <w:pPr>
        <w:snapToGrid w:val="0"/>
        <w:spacing w:line="360" w:lineRule="auto"/>
        <w:ind w:firstLine="420"/>
        <w:rPr>
          <w:rFonts w:asciiTheme="minorEastAsia" w:eastAsiaTheme="minorEastAsia" w:hAnsiTheme="minorEastAsia"/>
        </w:rPr>
      </w:pPr>
      <w:r w:rsidRPr="00D6191E">
        <w:rPr>
          <w:rFonts w:asciiTheme="minorEastAsia" w:eastAsiaTheme="minorEastAsia" w:hAnsiTheme="minorEastAsia" w:hint="eastAsia"/>
        </w:rPr>
        <w:t>5、</w:t>
      </w:r>
      <w:r w:rsidR="00BA4B87" w:rsidRPr="00D6191E">
        <w:rPr>
          <w:rFonts w:asciiTheme="minorEastAsia" w:eastAsiaTheme="minorEastAsia" w:hAnsiTheme="minorEastAsia" w:hint="eastAsia"/>
        </w:rPr>
        <w:t>法律意见书；</w:t>
      </w:r>
    </w:p>
    <w:p w:rsidR="00BA4B87" w:rsidRPr="00D6191E" w:rsidRDefault="00234286" w:rsidP="00234286">
      <w:pPr>
        <w:snapToGrid w:val="0"/>
        <w:spacing w:line="360" w:lineRule="auto"/>
        <w:ind w:firstLine="420"/>
        <w:rPr>
          <w:rFonts w:asciiTheme="minorEastAsia" w:eastAsiaTheme="minorEastAsia" w:hAnsiTheme="minorEastAsia"/>
        </w:rPr>
      </w:pPr>
      <w:r w:rsidRPr="00D6191E">
        <w:rPr>
          <w:rFonts w:asciiTheme="minorEastAsia" w:eastAsiaTheme="minorEastAsia" w:hAnsiTheme="minorEastAsia" w:hint="eastAsia"/>
        </w:rPr>
        <w:t>6、</w:t>
      </w:r>
      <w:r w:rsidR="00BA4B87" w:rsidRPr="00D6191E">
        <w:rPr>
          <w:rFonts w:asciiTheme="minorEastAsia" w:eastAsiaTheme="minorEastAsia" w:hAnsiTheme="minorEastAsia" w:hint="eastAsia"/>
        </w:rPr>
        <w:t>基金管理人业务资格批件、营业执照；</w:t>
      </w:r>
    </w:p>
    <w:p w:rsidR="00BA4B87" w:rsidRPr="00D6191E" w:rsidRDefault="00234286" w:rsidP="00234286">
      <w:pPr>
        <w:snapToGrid w:val="0"/>
        <w:spacing w:line="360" w:lineRule="auto"/>
        <w:ind w:firstLine="420"/>
        <w:rPr>
          <w:rFonts w:asciiTheme="minorEastAsia" w:eastAsiaTheme="minorEastAsia" w:hAnsiTheme="minorEastAsia"/>
        </w:rPr>
      </w:pPr>
      <w:r w:rsidRPr="00D6191E">
        <w:rPr>
          <w:rFonts w:asciiTheme="minorEastAsia" w:eastAsiaTheme="minorEastAsia" w:hAnsiTheme="minorEastAsia" w:hint="eastAsia"/>
        </w:rPr>
        <w:t>7、</w:t>
      </w:r>
      <w:r w:rsidR="00BA4B87" w:rsidRPr="00D6191E">
        <w:rPr>
          <w:rFonts w:asciiTheme="minorEastAsia" w:eastAsiaTheme="minorEastAsia" w:hAnsiTheme="minorEastAsia" w:hint="eastAsia"/>
        </w:rPr>
        <w:t>基金托管人业务资格批件、营业执照。</w:t>
      </w:r>
    </w:p>
    <w:p w:rsidR="00BA4B87" w:rsidRPr="00D6191E" w:rsidRDefault="00BA4B87" w:rsidP="000449FE">
      <w:pPr>
        <w:snapToGrid w:val="0"/>
        <w:spacing w:line="360" w:lineRule="auto"/>
        <w:ind w:firstLine="420"/>
        <w:rPr>
          <w:rFonts w:asciiTheme="minorEastAsia" w:eastAsiaTheme="minorEastAsia" w:hAnsiTheme="minorEastAsia"/>
        </w:rPr>
      </w:pPr>
      <w:r w:rsidRPr="00D6191E">
        <w:rPr>
          <w:rFonts w:asciiTheme="minorEastAsia" w:eastAsiaTheme="minorEastAsia" w:hAnsiTheme="minorEastAsia" w:hint="eastAsia"/>
        </w:rPr>
        <w:t>存放地点：基金管理人、基金托管人处</w:t>
      </w:r>
    </w:p>
    <w:p w:rsidR="00BA4B87" w:rsidRPr="00D6191E" w:rsidRDefault="00BA4B87" w:rsidP="000449FE">
      <w:pPr>
        <w:pStyle w:val="a6"/>
        <w:snapToGrid w:val="0"/>
        <w:spacing w:line="360" w:lineRule="auto"/>
        <w:ind w:firstLine="420"/>
        <w:rPr>
          <w:rFonts w:asciiTheme="minorEastAsia" w:eastAsiaTheme="minorEastAsia" w:hAnsiTheme="minorEastAsia"/>
          <w:sz w:val="21"/>
        </w:rPr>
      </w:pPr>
      <w:r w:rsidRPr="00D6191E">
        <w:rPr>
          <w:rFonts w:asciiTheme="minorEastAsia" w:eastAsiaTheme="minorEastAsia" w:hAnsiTheme="minorEastAsia" w:hint="eastAsia"/>
          <w:sz w:val="21"/>
        </w:rPr>
        <w:t>查阅方式：投资者可在营业时间免费查阅，也可按工本费购买复印件。</w:t>
      </w:r>
    </w:p>
    <w:p w:rsidR="00BA4B87" w:rsidRPr="00D6191E" w:rsidRDefault="00BA4B87" w:rsidP="000449FE">
      <w:pPr>
        <w:pStyle w:val="a6"/>
        <w:snapToGrid w:val="0"/>
        <w:spacing w:line="360" w:lineRule="auto"/>
        <w:ind w:firstLine="420"/>
        <w:rPr>
          <w:rFonts w:asciiTheme="minorEastAsia" w:eastAsiaTheme="minorEastAsia" w:hAnsiTheme="minorEastAsia"/>
          <w:sz w:val="21"/>
        </w:rPr>
      </w:pPr>
    </w:p>
    <w:p w:rsidR="00234286" w:rsidRPr="00D6191E" w:rsidRDefault="00234286" w:rsidP="000449FE">
      <w:pPr>
        <w:pStyle w:val="a6"/>
        <w:snapToGrid w:val="0"/>
        <w:spacing w:line="360" w:lineRule="auto"/>
        <w:ind w:firstLine="420"/>
        <w:rPr>
          <w:rFonts w:asciiTheme="minorEastAsia" w:eastAsiaTheme="minorEastAsia" w:hAnsiTheme="minorEastAsia"/>
          <w:sz w:val="21"/>
        </w:rPr>
      </w:pPr>
    </w:p>
    <w:p w:rsidR="00BA4B87" w:rsidRPr="00D6191E" w:rsidRDefault="007351B1" w:rsidP="000449FE">
      <w:pPr>
        <w:adjustRightInd w:val="0"/>
        <w:snapToGrid w:val="0"/>
        <w:spacing w:line="360" w:lineRule="auto"/>
        <w:ind w:firstLine="420"/>
        <w:jc w:val="right"/>
        <w:rPr>
          <w:rFonts w:asciiTheme="minorEastAsia" w:eastAsiaTheme="minorEastAsia" w:hAnsiTheme="minorEastAsia"/>
        </w:rPr>
      </w:pPr>
      <w:bookmarkStart w:id="149" w:name="_Toc38438350"/>
      <w:bookmarkStart w:id="150" w:name="_Toc38438687"/>
      <w:bookmarkStart w:id="151" w:name="_Toc38439024"/>
      <w:bookmarkStart w:id="152" w:name="_Toc38439361"/>
      <w:bookmarkStart w:id="153" w:name="_Toc38439698"/>
      <w:bookmarkStart w:id="154" w:name="_Toc38440035"/>
      <w:bookmarkStart w:id="155" w:name="_Toc38440372"/>
      <w:bookmarkStart w:id="156" w:name="_Toc38440904"/>
      <w:bookmarkStart w:id="157" w:name="_Toc38441236"/>
      <w:bookmarkStart w:id="158" w:name="_Toc38441568"/>
      <w:bookmarkStart w:id="159" w:name="_Toc38441896"/>
      <w:bookmarkStart w:id="160" w:name="_Toc38442228"/>
      <w:bookmarkStart w:id="161" w:name="_Toc38442560"/>
      <w:bookmarkStart w:id="162" w:name="_Toc38442891"/>
      <w:bookmarkStart w:id="163" w:name="_Toc38443222"/>
      <w:bookmarkStart w:id="164" w:name="_Toc38443553"/>
      <w:bookmarkStart w:id="165" w:name="_Toc38443883"/>
      <w:bookmarkStart w:id="166" w:name="_Toc38438351"/>
      <w:bookmarkStart w:id="167" w:name="_Toc38438688"/>
      <w:bookmarkStart w:id="168" w:name="_Toc38439025"/>
      <w:bookmarkStart w:id="169" w:name="_Toc38439362"/>
      <w:bookmarkStart w:id="170" w:name="_Toc38439699"/>
      <w:bookmarkStart w:id="171" w:name="_Toc38440036"/>
      <w:bookmarkStart w:id="172" w:name="_Toc38440373"/>
      <w:bookmarkStart w:id="173" w:name="_Toc38440905"/>
      <w:bookmarkStart w:id="174" w:name="_Toc38441237"/>
      <w:bookmarkStart w:id="175" w:name="_Toc38441569"/>
      <w:bookmarkStart w:id="176" w:name="_Toc38441897"/>
      <w:bookmarkStart w:id="177" w:name="_Toc38442229"/>
      <w:bookmarkStart w:id="178" w:name="_Toc38442561"/>
      <w:bookmarkStart w:id="179" w:name="_Toc38442892"/>
      <w:bookmarkStart w:id="180" w:name="_Toc38443223"/>
      <w:bookmarkStart w:id="181" w:name="_Toc38443554"/>
      <w:bookmarkStart w:id="182" w:name="_Toc38443884"/>
      <w:bookmarkStart w:id="183" w:name="_Toc38438352"/>
      <w:bookmarkStart w:id="184" w:name="_Toc38438689"/>
      <w:bookmarkStart w:id="185" w:name="_Toc38439026"/>
      <w:bookmarkStart w:id="186" w:name="_Toc38439363"/>
      <w:bookmarkStart w:id="187" w:name="_Toc38439700"/>
      <w:bookmarkStart w:id="188" w:name="_Toc38440037"/>
      <w:bookmarkStart w:id="189" w:name="_Toc38440374"/>
      <w:bookmarkStart w:id="190" w:name="_Toc38440906"/>
      <w:bookmarkStart w:id="191" w:name="_Toc38441238"/>
      <w:bookmarkStart w:id="192" w:name="_Toc38441570"/>
      <w:bookmarkStart w:id="193" w:name="_Toc38441898"/>
      <w:bookmarkStart w:id="194" w:name="_Toc38442230"/>
      <w:bookmarkStart w:id="195" w:name="_Toc38442562"/>
      <w:bookmarkStart w:id="196" w:name="_Toc38442893"/>
      <w:bookmarkStart w:id="197" w:name="_Toc38443224"/>
      <w:bookmarkStart w:id="198" w:name="_Toc38443555"/>
      <w:bookmarkStart w:id="199" w:name="_Toc38443885"/>
      <w:bookmarkStart w:id="200" w:name="_Toc38438353"/>
      <w:bookmarkStart w:id="201" w:name="_Toc38438690"/>
      <w:bookmarkStart w:id="202" w:name="_Toc38439027"/>
      <w:bookmarkStart w:id="203" w:name="_Toc38439364"/>
      <w:bookmarkStart w:id="204" w:name="_Toc38439701"/>
      <w:bookmarkStart w:id="205" w:name="_Toc38440038"/>
      <w:bookmarkStart w:id="206" w:name="_Toc38440375"/>
      <w:bookmarkStart w:id="207" w:name="_Toc38440907"/>
      <w:bookmarkStart w:id="208" w:name="_Toc38441239"/>
      <w:bookmarkStart w:id="209" w:name="_Toc38441571"/>
      <w:bookmarkStart w:id="210" w:name="_Toc38441899"/>
      <w:bookmarkStart w:id="211" w:name="_Toc38442231"/>
      <w:bookmarkStart w:id="212" w:name="_Toc38442563"/>
      <w:bookmarkStart w:id="213" w:name="_Toc38442894"/>
      <w:bookmarkStart w:id="214" w:name="_Toc38443225"/>
      <w:bookmarkStart w:id="215" w:name="_Toc38443556"/>
      <w:bookmarkStart w:id="216" w:name="_Toc38443886"/>
      <w:bookmarkStart w:id="217" w:name="_Toc38438354"/>
      <w:bookmarkStart w:id="218" w:name="_Toc38438691"/>
      <w:bookmarkStart w:id="219" w:name="_Toc38439028"/>
      <w:bookmarkStart w:id="220" w:name="_Toc38439365"/>
      <w:bookmarkStart w:id="221" w:name="_Toc38439702"/>
      <w:bookmarkStart w:id="222" w:name="_Toc38440039"/>
      <w:bookmarkStart w:id="223" w:name="_Toc38440376"/>
      <w:bookmarkStart w:id="224" w:name="_Toc38440908"/>
      <w:bookmarkStart w:id="225" w:name="_Toc38441240"/>
      <w:bookmarkStart w:id="226" w:name="_Toc38441572"/>
      <w:bookmarkStart w:id="227" w:name="_Toc38441900"/>
      <w:bookmarkStart w:id="228" w:name="_Toc38442232"/>
      <w:bookmarkStart w:id="229" w:name="_Toc38442564"/>
      <w:bookmarkStart w:id="230" w:name="_Toc38442895"/>
      <w:bookmarkStart w:id="231" w:name="_Toc38443226"/>
      <w:bookmarkStart w:id="232" w:name="_Toc38443557"/>
      <w:bookmarkStart w:id="233" w:name="_Toc38443887"/>
      <w:bookmarkStart w:id="234" w:name="_Toc38438355"/>
      <w:bookmarkStart w:id="235" w:name="_Toc38438692"/>
      <w:bookmarkStart w:id="236" w:name="_Toc38439029"/>
      <w:bookmarkStart w:id="237" w:name="_Toc38439366"/>
      <w:bookmarkStart w:id="238" w:name="_Toc38439703"/>
      <w:bookmarkStart w:id="239" w:name="_Toc38440040"/>
      <w:bookmarkStart w:id="240" w:name="_Toc38440377"/>
      <w:bookmarkStart w:id="241" w:name="_Toc38440909"/>
      <w:bookmarkStart w:id="242" w:name="_Toc38441241"/>
      <w:bookmarkStart w:id="243" w:name="_Toc38441573"/>
      <w:bookmarkStart w:id="244" w:name="_Toc38441901"/>
      <w:bookmarkStart w:id="245" w:name="_Toc38442233"/>
      <w:bookmarkStart w:id="246" w:name="_Toc38442565"/>
      <w:bookmarkStart w:id="247" w:name="_Toc38442896"/>
      <w:bookmarkStart w:id="248" w:name="_Toc38443227"/>
      <w:bookmarkStart w:id="249" w:name="_Toc38443558"/>
      <w:bookmarkStart w:id="250" w:name="_Toc38443888"/>
      <w:bookmarkStart w:id="251" w:name="_Toc38438356"/>
      <w:bookmarkStart w:id="252" w:name="_Toc38438693"/>
      <w:bookmarkStart w:id="253" w:name="_Toc38439030"/>
      <w:bookmarkStart w:id="254" w:name="_Toc38439367"/>
      <w:bookmarkStart w:id="255" w:name="_Toc38439704"/>
      <w:bookmarkStart w:id="256" w:name="_Toc38440041"/>
      <w:bookmarkStart w:id="257" w:name="_Toc38440378"/>
      <w:bookmarkStart w:id="258" w:name="_Toc38440910"/>
      <w:bookmarkStart w:id="259" w:name="_Toc38441242"/>
      <w:bookmarkStart w:id="260" w:name="_Toc38441574"/>
      <w:bookmarkStart w:id="261" w:name="_Toc38441902"/>
      <w:bookmarkStart w:id="262" w:name="_Toc38442234"/>
      <w:bookmarkStart w:id="263" w:name="_Toc38442566"/>
      <w:bookmarkStart w:id="264" w:name="_Toc38442897"/>
      <w:bookmarkStart w:id="265" w:name="_Toc38443228"/>
      <w:bookmarkStart w:id="266" w:name="_Toc38443559"/>
      <w:bookmarkStart w:id="267" w:name="_Toc38443889"/>
      <w:bookmarkStart w:id="268" w:name="_Toc38438357"/>
      <w:bookmarkStart w:id="269" w:name="_Toc38438694"/>
      <w:bookmarkStart w:id="270" w:name="_Toc38439031"/>
      <w:bookmarkStart w:id="271" w:name="_Toc38439368"/>
      <w:bookmarkStart w:id="272" w:name="_Toc38439705"/>
      <w:bookmarkStart w:id="273" w:name="_Toc38440042"/>
      <w:bookmarkStart w:id="274" w:name="_Toc38440379"/>
      <w:bookmarkStart w:id="275" w:name="_Toc38440911"/>
      <w:bookmarkStart w:id="276" w:name="_Toc38441243"/>
      <w:bookmarkStart w:id="277" w:name="_Toc38441575"/>
      <w:bookmarkStart w:id="278" w:name="_Toc38441903"/>
      <w:bookmarkStart w:id="279" w:name="_Toc38442235"/>
      <w:bookmarkStart w:id="280" w:name="_Toc38442567"/>
      <w:bookmarkStart w:id="281" w:name="_Toc38442898"/>
      <w:bookmarkStart w:id="282" w:name="_Toc38443229"/>
      <w:bookmarkStart w:id="283" w:name="_Toc38443560"/>
      <w:bookmarkStart w:id="284" w:name="_Toc38443890"/>
      <w:bookmarkStart w:id="285" w:name="_Toc38438358"/>
      <w:bookmarkStart w:id="286" w:name="_Toc38438695"/>
      <w:bookmarkStart w:id="287" w:name="_Toc38439032"/>
      <w:bookmarkStart w:id="288" w:name="_Toc38439369"/>
      <w:bookmarkStart w:id="289" w:name="_Toc38439706"/>
      <w:bookmarkStart w:id="290" w:name="_Toc38440043"/>
      <w:bookmarkStart w:id="291" w:name="_Toc38440380"/>
      <w:bookmarkStart w:id="292" w:name="_Toc38440912"/>
      <w:bookmarkStart w:id="293" w:name="_Toc38441244"/>
      <w:bookmarkStart w:id="294" w:name="_Toc38441576"/>
      <w:bookmarkStart w:id="295" w:name="_Toc38441904"/>
      <w:bookmarkStart w:id="296" w:name="_Toc38442236"/>
      <w:bookmarkStart w:id="297" w:name="_Toc38442568"/>
      <w:bookmarkStart w:id="298" w:name="_Toc38442899"/>
      <w:bookmarkStart w:id="299" w:name="_Toc38443230"/>
      <w:bookmarkStart w:id="300" w:name="_Toc38443561"/>
      <w:bookmarkStart w:id="301" w:name="_Toc38443891"/>
      <w:bookmarkStart w:id="302" w:name="_Toc38438359"/>
      <w:bookmarkStart w:id="303" w:name="_Toc38438696"/>
      <w:bookmarkStart w:id="304" w:name="_Toc38439033"/>
      <w:bookmarkStart w:id="305" w:name="_Toc38439370"/>
      <w:bookmarkStart w:id="306" w:name="_Toc38439707"/>
      <w:bookmarkStart w:id="307" w:name="_Toc38440044"/>
      <w:bookmarkStart w:id="308" w:name="_Toc38440381"/>
      <w:bookmarkStart w:id="309" w:name="_Toc38440913"/>
      <w:bookmarkStart w:id="310" w:name="_Toc38441245"/>
      <w:bookmarkStart w:id="311" w:name="_Toc38441577"/>
      <w:bookmarkStart w:id="312" w:name="_Toc38441905"/>
      <w:bookmarkStart w:id="313" w:name="_Toc38442237"/>
      <w:bookmarkStart w:id="314" w:name="_Toc38442569"/>
      <w:bookmarkStart w:id="315" w:name="_Toc38442900"/>
      <w:bookmarkStart w:id="316" w:name="_Toc38443231"/>
      <w:bookmarkStart w:id="317" w:name="_Toc38443562"/>
      <w:bookmarkStart w:id="318" w:name="_Toc38443892"/>
      <w:bookmarkStart w:id="319" w:name="_Toc38438360"/>
      <w:bookmarkStart w:id="320" w:name="_Toc38438697"/>
      <w:bookmarkStart w:id="321" w:name="_Toc38439034"/>
      <w:bookmarkStart w:id="322" w:name="_Toc38439371"/>
      <w:bookmarkStart w:id="323" w:name="_Toc38439708"/>
      <w:bookmarkStart w:id="324" w:name="_Toc38440045"/>
      <w:bookmarkStart w:id="325" w:name="_Toc38440382"/>
      <w:bookmarkStart w:id="326" w:name="_Toc38440914"/>
      <w:bookmarkStart w:id="327" w:name="_Toc38441246"/>
      <w:bookmarkStart w:id="328" w:name="_Toc38441578"/>
      <w:bookmarkStart w:id="329" w:name="_Toc38441906"/>
      <w:bookmarkStart w:id="330" w:name="_Toc38442238"/>
      <w:bookmarkStart w:id="331" w:name="_Toc38442570"/>
      <w:bookmarkStart w:id="332" w:name="_Toc38442901"/>
      <w:bookmarkStart w:id="333" w:name="_Toc38443232"/>
      <w:bookmarkStart w:id="334" w:name="_Toc38443563"/>
      <w:bookmarkStart w:id="335" w:name="_Toc38443893"/>
      <w:bookmarkStart w:id="336" w:name="_Toc38438361"/>
      <w:bookmarkStart w:id="337" w:name="_Toc38438698"/>
      <w:bookmarkStart w:id="338" w:name="_Toc38439035"/>
      <w:bookmarkStart w:id="339" w:name="_Toc38439372"/>
      <w:bookmarkStart w:id="340" w:name="_Toc38439709"/>
      <w:bookmarkStart w:id="341" w:name="_Toc38440046"/>
      <w:bookmarkStart w:id="342" w:name="_Toc38440383"/>
      <w:bookmarkStart w:id="343" w:name="_Toc38440915"/>
      <w:bookmarkStart w:id="344" w:name="_Toc38441247"/>
      <w:bookmarkStart w:id="345" w:name="_Toc38441579"/>
      <w:bookmarkStart w:id="346" w:name="_Toc38441907"/>
      <w:bookmarkStart w:id="347" w:name="_Toc38442239"/>
      <w:bookmarkStart w:id="348" w:name="_Toc38442571"/>
      <w:bookmarkStart w:id="349" w:name="_Toc38442902"/>
      <w:bookmarkStart w:id="350" w:name="_Toc38443233"/>
      <w:bookmarkStart w:id="351" w:name="_Toc38443564"/>
      <w:bookmarkStart w:id="352" w:name="_Toc38443894"/>
      <w:bookmarkStart w:id="353" w:name="_Toc38438362"/>
      <w:bookmarkStart w:id="354" w:name="_Toc38438699"/>
      <w:bookmarkStart w:id="355" w:name="_Toc38439036"/>
      <w:bookmarkStart w:id="356" w:name="_Toc38439373"/>
      <w:bookmarkStart w:id="357" w:name="_Toc38439710"/>
      <w:bookmarkStart w:id="358" w:name="_Toc38440047"/>
      <w:bookmarkStart w:id="359" w:name="_Toc38440384"/>
      <w:bookmarkStart w:id="360" w:name="_Toc38440916"/>
      <w:bookmarkStart w:id="361" w:name="_Toc38441248"/>
      <w:bookmarkStart w:id="362" w:name="_Toc38441580"/>
      <w:bookmarkStart w:id="363" w:name="_Toc38441908"/>
      <w:bookmarkStart w:id="364" w:name="_Toc38442240"/>
      <w:bookmarkStart w:id="365" w:name="_Toc38442572"/>
      <w:bookmarkStart w:id="366" w:name="_Toc38442903"/>
      <w:bookmarkStart w:id="367" w:name="_Toc38443234"/>
      <w:bookmarkStart w:id="368" w:name="_Toc38443565"/>
      <w:bookmarkStart w:id="369" w:name="_Toc38443895"/>
      <w:bookmarkStart w:id="370" w:name="_Toc38438363"/>
      <w:bookmarkStart w:id="371" w:name="_Toc38438700"/>
      <w:bookmarkStart w:id="372" w:name="_Toc38439037"/>
      <w:bookmarkStart w:id="373" w:name="_Toc38439374"/>
      <w:bookmarkStart w:id="374" w:name="_Toc38439711"/>
      <w:bookmarkStart w:id="375" w:name="_Toc38440048"/>
      <w:bookmarkStart w:id="376" w:name="_Toc38440385"/>
      <w:bookmarkStart w:id="377" w:name="_Toc38440917"/>
      <w:bookmarkStart w:id="378" w:name="_Toc38441249"/>
      <w:bookmarkStart w:id="379" w:name="_Toc38441581"/>
      <w:bookmarkStart w:id="380" w:name="_Toc38441909"/>
      <w:bookmarkStart w:id="381" w:name="_Toc38442241"/>
      <w:bookmarkStart w:id="382" w:name="_Toc38442573"/>
      <w:bookmarkStart w:id="383" w:name="_Toc38442904"/>
      <w:bookmarkStart w:id="384" w:name="_Toc38443235"/>
      <w:bookmarkStart w:id="385" w:name="_Toc38443566"/>
      <w:bookmarkStart w:id="386" w:name="_Toc38443896"/>
      <w:bookmarkStart w:id="387" w:name="_Toc38438364"/>
      <w:bookmarkStart w:id="388" w:name="_Toc38438701"/>
      <w:bookmarkStart w:id="389" w:name="_Toc38439038"/>
      <w:bookmarkStart w:id="390" w:name="_Toc38439375"/>
      <w:bookmarkStart w:id="391" w:name="_Toc38439712"/>
      <w:bookmarkStart w:id="392" w:name="_Toc38440049"/>
      <w:bookmarkStart w:id="393" w:name="_Toc38440386"/>
      <w:bookmarkStart w:id="394" w:name="_Toc38440918"/>
      <w:bookmarkStart w:id="395" w:name="_Toc38441250"/>
      <w:bookmarkStart w:id="396" w:name="_Toc38441582"/>
      <w:bookmarkStart w:id="397" w:name="_Toc38441910"/>
      <w:bookmarkStart w:id="398" w:name="_Toc38442242"/>
      <w:bookmarkStart w:id="399" w:name="_Toc38442574"/>
      <w:bookmarkStart w:id="400" w:name="_Toc38442905"/>
      <w:bookmarkStart w:id="401" w:name="_Toc38443236"/>
      <w:bookmarkStart w:id="402" w:name="_Toc38443567"/>
      <w:bookmarkStart w:id="403" w:name="_Toc38443897"/>
      <w:bookmarkStart w:id="404" w:name="_Toc38438365"/>
      <w:bookmarkStart w:id="405" w:name="_Toc38438702"/>
      <w:bookmarkStart w:id="406" w:name="_Toc38439039"/>
      <w:bookmarkStart w:id="407" w:name="_Toc38439376"/>
      <w:bookmarkStart w:id="408" w:name="_Toc38439713"/>
      <w:bookmarkStart w:id="409" w:name="_Toc38440050"/>
      <w:bookmarkStart w:id="410" w:name="_Toc38440387"/>
      <w:bookmarkStart w:id="411" w:name="_Toc38440919"/>
      <w:bookmarkStart w:id="412" w:name="_Toc38441251"/>
      <w:bookmarkStart w:id="413" w:name="_Toc38441583"/>
      <w:bookmarkStart w:id="414" w:name="_Toc38441911"/>
      <w:bookmarkStart w:id="415" w:name="_Toc38442243"/>
      <w:bookmarkStart w:id="416" w:name="_Toc38442575"/>
      <w:bookmarkStart w:id="417" w:name="_Toc38442906"/>
      <w:bookmarkStart w:id="418" w:name="_Toc38443237"/>
      <w:bookmarkStart w:id="419" w:name="_Toc38443568"/>
      <w:bookmarkStart w:id="420" w:name="_Toc38443898"/>
      <w:bookmarkStart w:id="421" w:name="_Toc38438366"/>
      <w:bookmarkStart w:id="422" w:name="_Toc38438703"/>
      <w:bookmarkStart w:id="423" w:name="_Toc38439040"/>
      <w:bookmarkStart w:id="424" w:name="_Toc38439377"/>
      <w:bookmarkStart w:id="425" w:name="_Toc38439714"/>
      <w:bookmarkStart w:id="426" w:name="_Toc38440051"/>
      <w:bookmarkStart w:id="427" w:name="_Toc38440388"/>
      <w:bookmarkStart w:id="428" w:name="_Toc38440920"/>
      <w:bookmarkStart w:id="429" w:name="_Toc38441252"/>
      <w:bookmarkStart w:id="430" w:name="_Toc38441584"/>
      <w:bookmarkStart w:id="431" w:name="_Toc38441912"/>
      <w:bookmarkStart w:id="432" w:name="_Toc38442244"/>
      <w:bookmarkStart w:id="433" w:name="_Toc38442576"/>
      <w:bookmarkStart w:id="434" w:name="_Toc38442907"/>
      <w:bookmarkStart w:id="435" w:name="_Toc38443238"/>
      <w:bookmarkStart w:id="436" w:name="_Toc38443569"/>
      <w:bookmarkStart w:id="437" w:name="_Toc38443899"/>
      <w:bookmarkStart w:id="438" w:name="_Toc38438367"/>
      <w:bookmarkStart w:id="439" w:name="_Toc38438704"/>
      <w:bookmarkStart w:id="440" w:name="_Toc38439041"/>
      <w:bookmarkStart w:id="441" w:name="_Toc38439378"/>
      <w:bookmarkStart w:id="442" w:name="_Toc38439715"/>
      <w:bookmarkStart w:id="443" w:name="_Toc38440052"/>
      <w:bookmarkStart w:id="444" w:name="_Toc38440389"/>
      <w:bookmarkStart w:id="445" w:name="_Toc38440921"/>
      <w:bookmarkStart w:id="446" w:name="_Toc38441253"/>
      <w:bookmarkStart w:id="447" w:name="_Toc38441585"/>
      <w:bookmarkStart w:id="448" w:name="_Toc38441913"/>
      <w:bookmarkStart w:id="449" w:name="_Toc38442245"/>
      <w:bookmarkStart w:id="450" w:name="_Toc38442577"/>
      <w:bookmarkStart w:id="451" w:name="_Toc38442908"/>
      <w:bookmarkStart w:id="452" w:name="_Toc38443239"/>
      <w:bookmarkStart w:id="453" w:name="_Toc38443570"/>
      <w:bookmarkStart w:id="454" w:name="_Toc38443900"/>
      <w:bookmarkStart w:id="455" w:name="_Toc38438368"/>
      <w:bookmarkStart w:id="456" w:name="_Toc38438705"/>
      <w:bookmarkStart w:id="457" w:name="_Toc38439042"/>
      <w:bookmarkStart w:id="458" w:name="_Toc38439379"/>
      <w:bookmarkStart w:id="459" w:name="_Toc38439716"/>
      <w:bookmarkStart w:id="460" w:name="_Toc38440053"/>
      <w:bookmarkStart w:id="461" w:name="_Toc38440390"/>
      <w:bookmarkStart w:id="462" w:name="_Toc38440922"/>
      <w:bookmarkStart w:id="463" w:name="_Toc38441254"/>
      <w:bookmarkStart w:id="464" w:name="_Toc38441586"/>
      <w:bookmarkStart w:id="465" w:name="_Toc38441914"/>
      <w:bookmarkStart w:id="466" w:name="_Toc38442246"/>
      <w:bookmarkStart w:id="467" w:name="_Toc38442578"/>
      <w:bookmarkStart w:id="468" w:name="_Toc38442909"/>
      <w:bookmarkStart w:id="469" w:name="_Toc38443240"/>
      <w:bookmarkStart w:id="470" w:name="_Toc38443571"/>
      <w:bookmarkStart w:id="471" w:name="_Toc38443901"/>
      <w:bookmarkStart w:id="472" w:name="_Toc38438369"/>
      <w:bookmarkStart w:id="473" w:name="_Toc38438706"/>
      <w:bookmarkStart w:id="474" w:name="_Toc38439043"/>
      <w:bookmarkStart w:id="475" w:name="_Toc38439380"/>
      <w:bookmarkStart w:id="476" w:name="_Toc38439717"/>
      <w:bookmarkStart w:id="477" w:name="_Toc38440054"/>
      <w:bookmarkStart w:id="478" w:name="_Toc38440391"/>
      <w:bookmarkStart w:id="479" w:name="_Toc38440923"/>
      <w:bookmarkStart w:id="480" w:name="_Toc38441255"/>
      <w:bookmarkStart w:id="481" w:name="_Toc38441587"/>
      <w:bookmarkStart w:id="482" w:name="_Toc38441915"/>
      <w:bookmarkStart w:id="483" w:name="_Toc38442247"/>
      <w:bookmarkStart w:id="484" w:name="_Toc38442579"/>
      <w:bookmarkStart w:id="485" w:name="_Toc38442910"/>
      <w:bookmarkStart w:id="486" w:name="_Toc38443241"/>
      <w:bookmarkStart w:id="487" w:name="_Toc38443572"/>
      <w:bookmarkStart w:id="488" w:name="_Toc38443902"/>
      <w:bookmarkStart w:id="489" w:name="_Toc38438371"/>
      <w:bookmarkStart w:id="490" w:name="_Toc38438708"/>
      <w:bookmarkStart w:id="491" w:name="_Toc38439045"/>
      <w:bookmarkStart w:id="492" w:name="_Toc38439382"/>
      <w:bookmarkStart w:id="493" w:name="_Toc38439719"/>
      <w:bookmarkStart w:id="494" w:name="_Toc38440056"/>
      <w:bookmarkStart w:id="495" w:name="_Toc38440393"/>
      <w:bookmarkStart w:id="496" w:name="_Toc38440925"/>
      <w:bookmarkStart w:id="497" w:name="_Toc38441257"/>
      <w:bookmarkStart w:id="498" w:name="_Toc38441589"/>
      <w:bookmarkStart w:id="499" w:name="_Toc38441917"/>
      <w:bookmarkStart w:id="500" w:name="_Toc38442249"/>
      <w:bookmarkStart w:id="501" w:name="_Toc38442581"/>
      <w:bookmarkStart w:id="502" w:name="_Toc38442912"/>
      <w:bookmarkStart w:id="503" w:name="_Toc38443243"/>
      <w:bookmarkStart w:id="504" w:name="_Toc38443574"/>
      <w:bookmarkStart w:id="505" w:name="_Toc38443904"/>
      <w:bookmarkStart w:id="506" w:name="_Toc38438372"/>
      <w:bookmarkStart w:id="507" w:name="_Toc38438709"/>
      <w:bookmarkStart w:id="508" w:name="_Toc38439046"/>
      <w:bookmarkStart w:id="509" w:name="_Toc38439383"/>
      <w:bookmarkStart w:id="510" w:name="_Toc38439720"/>
      <w:bookmarkStart w:id="511" w:name="_Toc38440057"/>
      <w:bookmarkStart w:id="512" w:name="_Toc38440394"/>
      <w:bookmarkStart w:id="513" w:name="_Toc38440926"/>
      <w:bookmarkStart w:id="514" w:name="_Toc38441258"/>
      <w:bookmarkStart w:id="515" w:name="_Toc38441590"/>
      <w:bookmarkStart w:id="516" w:name="_Toc38441918"/>
      <w:bookmarkStart w:id="517" w:name="_Toc38442250"/>
      <w:bookmarkStart w:id="518" w:name="_Toc38442582"/>
      <w:bookmarkStart w:id="519" w:name="_Toc38442913"/>
      <w:bookmarkStart w:id="520" w:name="_Toc38443244"/>
      <w:bookmarkStart w:id="521" w:name="_Toc38443575"/>
      <w:bookmarkStart w:id="522" w:name="_Toc38443905"/>
      <w:bookmarkStart w:id="523" w:name="_Toc38438373"/>
      <w:bookmarkStart w:id="524" w:name="_Toc38438710"/>
      <w:bookmarkStart w:id="525" w:name="_Toc38439047"/>
      <w:bookmarkStart w:id="526" w:name="_Toc38439384"/>
      <w:bookmarkStart w:id="527" w:name="_Toc38439721"/>
      <w:bookmarkStart w:id="528" w:name="_Toc38440058"/>
      <w:bookmarkStart w:id="529" w:name="_Toc38440395"/>
      <w:bookmarkStart w:id="530" w:name="_Toc38440927"/>
      <w:bookmarkStart w:id="531" w:name="_Toc38441259"/>
      <w:bookmarkStart w:id="532" w:name="_Toc38441591"/>
      <w:bookmarkStart w:id="533" w:name="_Toc38441919"/>
      <w:bookmarkStart w:id="534" w:name="_Toc38442251"/>
      <w:bookmarkStart w:id="535" w:name="_Toc38442583"/>
      <w:bookmarkStart w:id="536" w:name="_Toc38442914"/>
      <w:bookmarkStart w:id="537" w:name="_Toc38443245"/>
      <w:bookmarkStart w:id="538" w:name="_Toc38443576"/>
      <w:bookmarkStart w:id="539" w:name="_Toc38443906"/>
      <w:bookmarkStart w:id="540" w:name="_Toc38438374"/>
      <w:bookmarkStart w:id="541" w:name="_Toc38438711"/>
      <w:bookmarkStart w:id="542" w:name="_Toc38439048"/>
      <w:bookmarkStart w:id="543" w:name="_Toc38439385"/>
      <w:bookmarkStart w:id="544" w:name="_Toc38439722"/>
      <w:bookmarkStart w:id="545" w:name="_Toc38440059"/>
      <w:bookmarkStart w:id="546" w:name="_Toc38440396"/>
      <w:bookmarkStart w:id="547" w:name="_Toc38440928"/>
      <w:bookmarkStart w:id="548" w:name="_Toc38441260"/>
      <w:bookmarkStart w:id="549" w:name="_Toc38441592"/>
      <w:bookmarkStart w:id="550" w:name="_Toc38441920"/>
      <w:bookmarkStart w:id="551" w:name="_Toc38442252"/>
      <w:bookmarkStart w:id="552" w:name="_Toc38442584"/>
      <w:bookmarkStart w:id="553" w:name="_Toc38442915"/>
      <w:bookmarkStart w:id="554" w:name="_Toc38443246"/>
      <w:bookmarkStart w:id="555" w:name="_Toc38443577"/>
      <w:bookmarkStart w:id="556" w:name="_Toc38443907"/>
      <w:bookmarkStart w:id="557" w:name="_Toc38438375"/>
      <w:bookmarkStart w:id="558" w:name="_Toc38438712"/>
      <w:bookmarkStart w:id="559" w:name="_Toc38439049"/>
      <w:bookmarkStart w:id="560" w:name="_Toc38439386"/>
      <w:bookmarkStart w:id="561" w:name="_Toc38439723"/>
      <w:bookmarkStart w:id="562" w:name="_Toc38440060"/>
      <w:bookmarkStart w:id="563" w:name="_Toc38440397"/>
      <w:bookmarkStart w:id="564" w:name="_Toc38440929"/>
      <w:bookmarkStart w:id="565" w:name="_Toc38441261"/>
      <w:bookmarkStart w:id="566" w:name="_Toc38441593"/>
      <w:bookmarkStart w:id="567" w:name="_Toc38441921"/>
      <w:bookmarkStart w:id="568" w:name="_Toc38442253"/>
      <w:bookmarkStart w:id="569" w:name="_Toc38442585"/>
      <w:bookmarkStart w:id="570" w:name="_Toc38442916"/>
      <w:bookmarkStart w:id="571" w:name="_Toc38443247"/>
      <w:bookmarkStart w:id="572" w:name="_Toc38443578"/>
      <w:bookmarkStart w:id="573" w:name="_Toc38443908"/>
      <w:bookmarkStart w:id="574" w:name="_Toc38438376"/>
      <w:bookmarkStart w:id="575" w:name="_Toc38438713"/>
      <w:bookmarkStart w:id="576" w:name="_Toc38439050"/>
      <w:bookmarkStart w:id="577" w:name="_Toc38439387"/>
      <w:bookmarkStart w:id="578" w:name="_Toc38439724"/>
      <w:bookmarkStart w:id="579" w:name="_Toc38440061"/>
      <w:bookmarkStart w:id="580" w:name="_Toc38440398"/>
      <w:bookmarkStart w:id="581" w:name="_Toc38440930"/>
      <w:bookmarkStart w:id="582" w:name="_Toc38441262"/>
      <w:bookmarkStart w:id="583" w:name="_Toc38441594"/>
      <w:bookmarkStart w:id="584" w:name="_Toc38441922"/>
      <w:bookmarkStart w:id="585" w:name="_Toc38442254"/>
      <w:bookmarkStart w:id="586" w:name="_Toc38442586"/>
      <w:bookmarkStart w:id="587" w:name="_Toc38442917"/>
      <w:bookmarkStart w:id="588" w:name="_Toc38443248"/>
      <w:bookmarkStart w:id="589" w:name="_Toc38443579"/>
      <w:bookmarkStart w:id="590" w:name="_Toc38443909"/>
      <w:bookmarkStart w:id="591" w:name="_Toc38438377"/>
      <w:bookmarkStart w:id="592" w:name="_Toc38438714"/>
      <w:bookmarkStart w:id="593" w:name="_Toc38439051"/>
      <w:bookmarkStart w:id="594" w:name="_Toc38439388"/>
      <w:bookmarkStart w:id="595" w:name="_Toc38439725"/>
      <w:bookmarkStart w:id="596" w:name="_Toc38440062"/>
      <w:bookmarkStart w:id="597" w:name="_Toc38440399"/>
      <w:bookmarkStart w:id="598" w:name="_Toc38440931"/>
      <w:bookmarkStart w:id="599" w:name="_Toc38441263"/>
      <w:bookmarkStart w:id="600" w:name="_Toc38441595"/>
      <w:bookmarkStart w:id="601" w:name="_Toc38441923"/>
      <w:bookmarkStart w:id="602" w:name="_Toc38442255"/>
      <w:bookmarkStart w:id="603" w:name="_Toc38442587"/>
      <w:bookmarkStart w:id="604" w:name="_Toc38442918"/>
      <w:bookmarkStart w:id="605" w:name="_Toc38443249"/>
      <w:bookmarkStart w:id="606" w:name="_Toc38443580"/>
      <w:bookmarkStart w:id="607" w:name="_Toc38443910"/>
      <w:bookmarkStart w:id="608" w:name="_Toc38438378"/>
      <w:bookmarkStart w:id="609" w:name="_Toc38438715"/>
      <w:bookmarkStart w:id="610" w:name="_Toc38439052"/>
      <w:bookmarkStart w:id="611" w:name="_Toc38439389"/>
      <w:bookmarkStart w:id="612" w:name="_Toc38439726"/>
      <w:bookmarkStart w:id="613" w:name="_Toc38440063"/>
      <w:bookmarkStart w:id="614" w:name="_Toc38440400"/>
      <w:bookmarkStart w:id="615" w:name="_Toc38440932"/>
      <w:bookmarkStart w:id="616" w:name="_Toc38441264"/>
      <w:bookmarkStart w:id="617" w:name="_Toc38441596"/>
      <w:bookmarkStart w:id="618" w:name="_Toc38441924"/>
      <w:bookmarkStart w:id="619" w:name="_Toc38442256"/>
      <w:bookmarkStart w:id="620" w:name="_Toc38442588"/>
      <w:bookmarkStart w:id="621" w:name="_Toc38442919"/>
      <w:bookmarkStart w:id="622" w:name="_Toc38443250"/>
      <w:bookmarkStart w:id="623" w:name="_Toc38443581"/>
      <w:bookmarkStart w:id="624" w:name="_Toc38443911"/>
      <w:bookmarkStart w:id="625" w:name="_Toc38438379"/>
      <w:bookmarkStart w:id="626" w:name="_Toc38438716"/>
      <w:bookmarkStart w:id="627" w:name="_Toc38439053"/>
      <w:bookmarkStart w:id="628" w:name="_Toc38439390"/>
      <w:bookmarkStart w:id="629" w:name="_Toc38439727"/>
      <w:bookmarkStart w:id="630" w:name="_Toc38440064"/>
      <w:bookmarkStart w:id="631" w:name="_Toc38440401"/>
      <w:bookmarkStart w:id="632" w:name="_Toc38440933"/>
      <w:bookmarkStart w:id="633" w:name="_Toc38441265"/>
      <w:bookmarkStart w:id="634" w:name="_Toc38441597"/>
      <w:bookmarkStart w:id="635" w:name="_Toc38441925"/>
      <w:bookmarkStart w:id="636" w:name="_Toc38442257"/>
      <w:bookmarkStart w:id="637" w:name="_Toc38442589"/>
      <w:bookmarkStart w:id="638" w:name="_Toc38442920"/>
      <w:bookmarkStart w:id="639" w:name="_Toc38443251"/>
      <w:bookmarkStart w:id="640" w:name="_Toc38443582"/>
      <w:bookmarkStart w:id="641" w:name="_Toc38443912"/>
      <w:bookmarkStart w:id="642" w:name="_Toc38438380"/>
      <w:bookmarkStart w:id="643" w:name="_Toc38438717"/>
      <w:bookmarkStart w:id="644" w:name="_Toc38439054"/>
      <w:bookmarkStart w:id="645" w:name="_Toc38439391"/>
      <w:bookmarkStart w:id="646" w:name="_Toc38439728"/>
      <w:bookmarkStart w:id="647" w:name="_Toc38440065"/>
      <w:bookmarkStart w:id="648" w:name="_Toc38440402"/>
      <w:bookmarkStart w:id="649" w:name="_Toc38440934"/>
      <w:bookmarkStart w:id="650" w:name="_Toc38441266"/>
      <w:bookmarkStart w:id="651" w:name="_Toc38441598"/>
      <w:bookmarkStart w:id="652" w:name="_Toc38441926"/>
      <w:bookmarkStart w:id="653" w:name="_Toc38442258"/>
      <w:bookmarkStart w:id="654" w:name="_Toc38442590"/>
      <w:bookmarkStart w:id="655" w:name="_Toc38442921"/>
      <w:bookmarkStart w:id="656" w:name="_Toc38443252"/>
      <w:bookmarkStart w:id="657" w:name="_Toc38443583"/>
      <w:bookmarkStart w:id="658" w:name="_Toc38443913"/>
      <w:bookmarkStart w:id="659" w:name="_Toc38438381"/>
      <w:bookmarkStart w:id="660" w:name="_Toc38438718"/>
      <w:bookmarkStart w:id="661" w:name="_Toc38439055"/>
      <w:bookmarkStart w:id="662" w:name="_Toc38439392"/>
      <w:bookmarkStart w:id="663" w:name="_Toc38439729"/>
      <w:bookmarkStart w:id="664" w:name="_Toc38440066"/>
      <w:bookmarkStart w:id="665" w:name="_Toc38440403"/>
      <w:bookmarkStart w:id="666" w:name="_Toc38440935"/>
      <w:bookmarkStart w:id="667" w:name="_Toc38441267"/>
      <w:bookmarkStart w:id="668" w:name="_Toc38441599"/>
      <w:bookmarkStart w:id="669" w:name="_Toc38441927"/>
      <w:bookmarkStart w:id="670" w:name="_Toc38442259"/>
      <w:bookmarkStart w:id="671" w:name="_Toc38442591"/>
      <w:bookmarkStart w:id="672" w:name="_Toc38442922"/>
      <w:bookmarkStart w:id="673" w:name="_Toc38443253"/>
      <w:bookmarkStart w:id="674" w:name="_Toc38443584"/>
      <w:bookmarkStart w:id="675" w:name="_Toc38443914"/>
      <w:bookmarkStart w:id="676" w:name="_Toc38438382"/>
      <w:bookmarkStart w:id="677" w:name="_Toc38438719"/>
      <w:bookmarkStart w:id="678" w:name="_Toc38439056"/>
      <w:bookmarkStart w:id="679" w:name="_Toc38439393"/>
      <w:bookmarkStart w:id="680" w:name="_Toc38439730"/>
      <w:bookmarkStart w:id="681" w:name="_Toc38440067"/>
      <w:bookmarkStart w:id="682" w:name="_Toc38440404"/>
      <w:bookmarkStart w:id="683" w:name="_Toc38440936"/>
      <w:bookmarkStart w:id="684" w:name="_Toc38441268"/>
      <w:bookmarkStart w:id="685" w:name="_Toc38441600"/>
      <w:bookmarkStart w:id="686" w:name="_Toc38441928"/>
      <w:bookmarkStart w:id="687" w:name="_Toc38442260"/>
      <w:bookmarkStart w:id="688" w:name="_Toc38442592"/>
      <w:bookmarkStart w:id="689" w:name="_Toc38442923"/>
      <w:bookmarkStart w:id="690" w:name="_Toc38443254"/>
      <w:bookmarkStart w:id="691" w:name="_Toc38443585"/>
      <w:bookmarkStart w:id="692" w:name="_Toc38443915"/>
      <w:bookmarkStart w:id="693" w:name="_Toc38438383"/>
      <w:bookmarkStart w:id="694" w:name="_Toc38438720"/>
      <w:bookmarkStart w:id="695" w:name="_Toc38439057"/>
      <w:bookmarkStart w:id="696" w:name="_Toc38439394"/>
      <w:bookmarkStart w:id="697" w:name="_Toc38439731"/>
      <w:bookmarkStart w:id="698" w:name="_Toc38440068"/>
      <w:bookmarkStart w:id="699" w:name="_Toc38440405"/>
      <w:bookmarkStart w:id="700" w:name="_Toc38440937"/>
      <w:bookmarkStart w:id="701" w:name="_Toc38441269"/>
      <w:bookmarkStart w:id="702" w:name="_Toc38441601"/>
      <w:bookmarkStart w:id="703" w:name="_Toc38441929"/>
      <w:bookmarkStart w:id="704" w:name="_Toc38442261"/>
      <w:bookmarkStart w:id="705" w:name="_Toc38442593"/>
      <w:bookmarkStart w:id="706" w:name="_Toc38442924"/>
      <w:bookmarkStart w:id="707" w:name="_Toc38443255"/>
      <w:bookmarkStart w:id="708" w:name="_Toc38443586"/>
      <w:bookmarkStart w:id="709" w:name="_Toc38443916"/>
      <w:bookmarkStart w:id="710" w:name="_Toc38438384"/>
      <w:bookmarkStart w:id="711" w:name="_Toc38438721"/>
      <w:bookmarkStart w:id="712" w:name="_Toc38439058"/>
      <w:bookmarkStart w:id="713" w:name="_Toc38439395"/>
      <w:bookmarkStart w:id="714" w:name="_Toc38439732"/>
      <w:bookmarkStart w:id="715" w:name="_Toc38440069"/>
      <w:bookmarkStart w:id="716" w:name="_Toc38440406"/>
      <w:bookmarkStart w:id="717" w:name="_Toc38440938"/>
      <w:bookmarkStart w:id="718" w:name="_Toc38441270"/>
      <w:bookmarkStart w:id="719" w:name="_Toc38441602"/>
      <w:bookmarkStart w:id="720" w:name="_Toc38441930"/>
      <w:bookmarkStart w:id="721" w:name="_Toc38442262"/>
      <w:bookmarkStart w:id="722" w:name="_Toc38442594"/>
      <w:bookmarkStart w:id="723" w:name="_Toc38442925"/>
      <w:bookmarkStart w:id="724" w:name="_Toc38443256"/>
      <w:bookmarkStart w:id="725" w:name="_Toc38443587"/>
      <w:bookmarkStart w:id="726" w:name="_Toc38443917"/>
      <w:bookmarkStart w:id="727" w:name="_Toc38438385"/>
      <w:bookmarkStart w:id="728" w:name="_Toc38438722"/>
      <w:bookmarkStart w:id="729" w:name="_Toc38439059"/>
      <w:bookmarkStart w:id="730" w:name="_Toc38439396"/>
      <w:bookmarkStart w:id="731" w:name="_Toc38439733"/>
      <w:bookmarkStart w:id="732" w:name="_Toc38440070"/>
      <w:bookmarkStart w:id="733" w:name="_Toc38440407"/>
      <w:bookmarkStart w:id="734" w:name="_Toc38440939"/>
      <w:bookmarkStart w:id="735" w:name="_Toc38441271"/>
      <w:bookmarkStart w:id="736" w:name="_Toc38441603"/>
      <w:bookmarkStart w:id="737" w:name="_Toc38441931"/>
      <w:bookmarkStart w:id="738" w:name="_Toc38442263"/>
      <w:bookmarkStart w:id="739" w:name="_Toc38442595"/>
      <w:bookmarkStart w:id="740" w:name="_Toc38442926"/>
      <w:bookmarkStart w:id="741" w:name="_Toc38443257"/>
      <w:bookmarkStart w:id="742" w:name="_Toc38443588"/>
      <w:bookmarkStart w:id="743" w:name="_Toc38443918"/>
      <w:bookmarkStart w:id="744" w:name="_Toc38438386"/>
      <w:bookmarkStart w:id="745" w:name="_Toc38438723"/>
      <w:bookmarkStart w:id="746" w:name="_Toc38439060"/>
      <w:bookmarkStart w:id="747" w:name="_Toc38439397"/>
      <w:bookmarkStart w:id="748" w:name="_Toc38439734"/>
      <w:bookmarkStart w:id="749" w:name="_Toc38440071"/>
      <w:bookmarkStart w:id="750" w:name="_Toc38440408"/>
      <w:bookmarkStart w:id="751" w:name="_Toc38440940"/>
      <w:bookmarkStart w:id="752" w:name="_Toc38441272"/>
      <w:bookmarkStart w:id="753" w:name="_Toc38441604"/>
      <w:bookmarkStart w:id="754" w:name="_Toc38441932"/>
      <w:bookmarkStart w:id="755" w:name="_Toc38442264"/>
      <w:bookmarkStart w:id="756" w:name="_Toc38442596"/>
      <w:bookmarkStart w:id="757" w:name="_Toc38442927"/>
      <w:bookmarkStart w:id="758" w:name="_Toc38443258"/>
      <w:bookmarkStart w:id="759" w:name="_Toc38443589"/>
      <w:bookmarkStart w:id="760" w:name="_Toc38443919"/>
      <w:bookmarkStart w:id="761" w:name="_Toc38438387"/>
      <w:bookmarkStart w:id="762" w:name="_Toc38438724"/>
      <w:bookmarkStart w:id="763" w:name="_Toc38439061"/>
      <w:bookmarkStart w:id="764" w:name="_Toc38439398"/>
      <w:bookmarkStart w:id="765" w:name="_Toc38439735"/>
      <w:bookmarkStart w:id="766" w:name="_Toc38440072"/>
      <w:bookmarkStart w:id="767" w:name="_Toc38440409"/>
      <w:bookmarkStart w:id="768" w:name="_Toc38440941"/>
      <w:bookmarkStart w:id="769" w:name="_Toc38441273"/>
      <w:bookmarkStart w:id="770" w:name="_Toc38441605"/>
      <w:bookmarkStart w:id="771" w:name="_Toc38441933"/>
      <w:bookmarkStart w:id="772" w:name="_Toc38442265"/>
      <w:bookmarkStart w:id="773" w:name="_Toc38442597"/>
      <w:bookmarkStart w:id="774" w:name="_Toc38442928"/>
      <w:bookmarkStart w:id="775" w:name="_Toc38443259"/>
      <w:bookmarkStart w:id="776" w:name="_Toc38443590"/>
      <w:bookmarkStart w:id="777" w:name="_Toc38443920"/>
      <w:bookmarkStart w:id="778" w:name="_Toc38438388"/>
      <w:bookmarkStart w:id="779" w:name="_Toc38438725"/>
      <w:bookmarkStart w:id="780" w:name="_Toc38439062"/>
      <w:bookmarkStart w:id="781" w:name="_Toc38439399"/>
      <w:bookmarkStart w:id="782" w:name="_Toc38439736"/>
      <w:bookmarkStart w:id="783" w:name="_Toc38440073"/>
      <w:bookmarkStart w:id="784" w:name="_Toc38440410"/>
      <w:bookmarkStart w:id="785" w:name="_Toc38440942"/>
      <w:bookmarkStart w:id="786" w:name="_Toc38441274"/>
      <w:bookmarkStart w:id="787" w:name="_Toc38441606"/>
      <w:bookmarkStart w:id="788" w:name="_Toc38441934"/>
      <w:bookmarkStart w:id="789" w:name="_Toc38442266"/>
      <w:bookmarkStart w:id="790" w:name="_Toc38442598"/>
      <w:bookmarkStart w:id="791" w:name="_Toc38442929"/>
      <w:bookmarkStart w:id="792" w:name="_Toc38443260"/>
      <w:bookmarkStart w:id="793" w:name="_Toc38443591"/>
      <w:bookmarkStart w:id="794" w:name="_Toc38443921"/>
      <w:bookmarkStart w:id="795" w:name="_Toc38438389"/>
      <w:bookmarkStart w:id="796" w:name="_Toc38438726"/>
      <w:bookmarkStart w:id="797" w:name="_Toc38439063"/>
      <w:bookmarkStart w:id="798" w:name="_Toc38439400"/>
      <w:bookmarkStart w:id="799" w:name="_Toc38439737"/>
      <w:bookmarkStart w:id="800" w:name="_Toc38440074"/>
      <w:bookmarkStart w:id="801" w:name="_Toc38440411"/>
      <w:bookmarkStart w:id="802" w:name="_Toc38440943"/>
      <w:bookmarkStart w:id="803" w:name="_Toc38441275"/>
      <w:bookmarkStart w:id="804" w:name="_Toc38441607"/>
      <w:bookmarkStart w:id="805" w:name="_Toc38441935"/>
      <w:bookmarkStart w:id="806" w:name="_Toc38442267"/>
      <w:bookmarkStart w:id="807" w:name="_Toc38442599"/>
      <w:bookmarkStart w:id="808" w:name="_Toc38442930"/>
      <w:bookmarkStart w:id="809" w:name="_Toc38443261"/>
      <w:bookmarkStart w:id="810" w:name="_Toc38443592"/>
      <w:bookmarkStart w:id="811" w:name="_Toc38443922"/>
      <w:bookmarkStart w:id="812" w:name="_Toc38438390"/>
      <w:bookmarkStart w:id="813" w:name="_Toc38438727"/>
      <w:bookmarkStart w:id="814" w:name="_Toc38439064"/>
      <w:bookmarkStart w:id="815" w:name="_Toc38439401"/>
      <w:bookmarkStart w:id="816" w:name="_Toc38439738"/>
      <w:bookmarkStart w:id="817" w:name="_Toc38440075"/>
      <w:bookmarkStart w:id="818" w:name="_Toc38440412"/>
      <w:bookmarkStart w:id="819" w:name="_Toc38440944"/>
      <w:bookmarkStart w:id="820" w:name="_Toc38441276"/>
      <w:bookmarkStart w:id="821" w:name="_Toc38441608"/>
      <w:bookmarkStart w:id="822" w:name="_Toc38441936"/>
      <w:bookmarkStart w:id="823" w:name="_Toc38442268"/>
      <w:bookmarkStart w:id="824" w:name="_Toc38442600"/>
      <w:bookmarkStart w:id="825" w:name="_Toc38442931"/>
      <w:bookmarkStart w:id="826" w:name="_Toc38443262"/>
      <w:bookmarkStart w:id="827" w:name="_Toc38443593"/>
      <w:bookmarkStart w:id="828" w:name="_Toc38443923"/>
      <w:bookmarkStart w:id="829" w:name="_Toc38438391"/>
      <w:bookmarkStart w:id="830" w:name="_Toc38438728"/>
      <w:bookmarkStart w:id="831" w:name="_Toc38439065"/>
      <w:bookmarkStart w:id="832" w:name="_Toc38439402"/>
      <w:bookmarkStart w:id="833" w:name="_Toc38439739"/>
      <w:bookmarkStart w:id="834" w:name="_Toc38440076"/>
      <w:bookmarkStart w:id="835" w:name="_Toc38440413"/>
      <w:bookmarkStart w:id="836" w:name="_Toc38440945"/>
      <w:bookmarkStart w:id="837" w:name="_Toc38441277"/>
      <w:bookmarkStart w:id="838" w:name="_Toc38441609"/>
      <w:bookmarkStart w:id="839" w:name="_Toc38441937"/>
      <w:bookmarkStart w:id="840" w:name="_Toc38442269"/>
      <w:bookmarkStart w:id="841" w:name="_Toc38442601"/>
      <w:bookmarkStart w:id="842" w:name="_Toc38442932"/>
      <w:bookmarkStart w:id="843" w:name="_Toc38443263"/>
      <w:bookmarkStart w:id="844" w:name="_Toc38443594"/>
      <w:bookmarkStart w:id="845" w:name="_Toc38443924"/>
      <w:bookmarkStart w:id="846" w:name="_Toc38438392"/>
      <w:bookmarkStart w:id="847" w:name="_Toc38438729"/>
      <w:bookmarkStart w:id="848" w:name="_Toc38439066"/>
      <w:bookmarkStart w:id="849" w:name="_Toc38439403"/>
      <w:bookmarkStart w:id="850" w:name="_Toc38439740"/>
      <w:bookmarkStart w:id="851" w:name="_Toc38440077"/>
      <w:bookmarkStart w:id="852" w:name="_Toc38440414"/>
      <w:bookmarkStart w:id="853" w:name="_Toc38440946"/>
      <w:bookmarkStart w:id="854" w:name="_Toc38441278"/>
      <w:bookmarkStart w:id="855" w:name="_Toc38441610"/>
      <w:bookmarkStart w:id="856" w:name="_Toc38441938"/>
      <w:bookmarkStart w:id="857" w:name="_Toc38442270"/>
      <w:bookmarkStart w:id="858" w:name="_Toc38442602"/>
      <w:bookmarkStart w:id="859" w:name="_Toc38442933"/>
      <w:bookmarkStart w:id="860" w:name="_Toc38443264"/>
      <w:bookmarkStart w:id="861" w:name="_Toc38443595"/>
      <w:bookmarkStart w:id="862" w:name="_Toc38443925"/>
      <w:bookmarkStart w:id="863" w:name="_Toc38438393"/>
      <w:bookmarkStart w:id="864" w:name="_Toc38438730"/>
      <w:bookmarkStart w:id="865" w:name="_Toc38439067"/>
      <w:bookmarkStart w:id="866" w:name="_Toc38439404"/>
      <w:bookmarkStart w:id="867" w:name="_Toc38439741"/>
      <w:bookmarkStart w:id="868" w:name="_Toc38440078"/>
      <w:bookmarkStart w:id="869" w:name="_Toc38440415"/>
      <w:bookmarkStart w:id="870" w:name="_Toc38440947"/>
      <w:bookmarkStart w:id="871" w:name="_Toc38441279"/>
      <w:bookmarkStart w:id="872" w:name="_Toc38441611"/>
      <w:bookmarkStart w:id="873" w:name="_Toc38441939"/>
      <w:bookmarkStart w:id="874" w:name="_Toc38442271"/>
      <w:bookmarkStart w:id="875" w:name="_Toc38442603"/>
      <w:bookmarkStart w:id="876" w:name="_Toc38442934"/>
      <w:bookmarkStart w:id="877" w:name="_Toc38443265"/>
      <w:bookmarkStart w:id="878" w:name="_Toc38443596"/>
      <w:bookmarkStart w:id="879" w:name="_Toc38443926"/>
      <w:bookmarkStart w:id="880" w:name="_Toc38438394"/>
      <w:bookmarkStart w:id="881" w:name="_Toc38438731"/>
      <w:bookmarkStart w:id="882" w:name="_Toc38439068"/>
      <w:bookmarkStart w:id="883" w:name="_Toc38439405"/>
      <w:bookmarkStart w:id="884" w:name="_Toc38439742"/>
      <w:bookmarkStart w:id="885" w:name="_Toc38440079"/>
      <w:bookmarkStart w:id="886" w:name="_Toc38440416"/>
      <w:bookmarkStart w:id="887" w:name="_Toc38440948"/>
      <w:bookmarkStart w:id="888" w:name="_Toc38441280"/>
      <w:bookmarkStart w:id="889" w:name="_Toc38441612"/>
      <w:bookmarkStart w:id="890" w:name="_Toc38441940"/>
      <w:bookmarkStart w:id="891" w:name="_Toc38442272"/>
      <w:bookmarkStart w:id="892" w:name="_Toc38442604"/>
      <w:bookmarkStart w:id="893" w:name="_Toc38442935"/>
      <w:bookmarkStart w:id="894" w:name="_Toc38443266"/>
      <w:bookmarkStart w:id="895" w:name="_Toc38443597"/>
      <w:bookmarkStart w:id="896" w:name="_Toc38443927"/>
      <w:bookmarkStart w:id="897" w:name="_Toc38438395"/>
      <w:bookmarkStart w:id="898" w:name="_Toc38438732"/>
      <w:bookmarkStart w:id="899" w:name="_Toc38439069"/>
      <w:bookmarkStart w:id="900" w:name="_Toc38439406"/>
      <w:bookmarkStart w:id="901" w:name="_Toc38439743"/>
      <w:bookmarkStart w:id="902" w:name="_Toc38440080"/>
      <w:bookmarkStart w:id="903" w:name="_Toc38440417"/>
      <w:bookmarkStart w:id="904" w:name="_Toc38440949"/>
      <w:bookmarkStart w:id="905" w:name="_Toc38441281"/>
      <w:bookmarkStart w:id="906" w:name="_Toc38441613"/>
      <w:bookmarkStart w:id="907" w:name="_Toc38441941"/>
      <w:bookmarkStart w:id="908" w:name="_Toc38442273"/>
      <w:bookmarkStart w:id="909" w:name="_Toc38442605"/>
      <w:bookmarkStart w:id="910" w:name="_Toc38442936"/>
      <w:bookmarkStart w:id="911" w:name="_Toc38443267"/>
      <w:bookmarkStart w:id="912" w:name="_Toc38443598"/>
      <w:bookmarkStart w:id="913" w:name="_Toc38443928"/>
      <w:bookmarkStart w:id="914" w:name="_Toc38438396"/>
      <w:bookmarkStart w:id="915" w:name="_Toc38438733"/>
      <w:bookmarkStart w:id="916" w:name="_Toc38439070"/>
      <w:bookmarkStart w:id="917" w:name="_Toc38439407"/>
      <w:bookmarkStart w:id="918" w:name="_Toc38439744"/>
      <w:bookmarkStart w:id="919" w:name="_Toc38440081"/>
      <w:bookmarkStart w:id="920" w:name="_Toc38440418"/>
      <w:bookmarkStart w:id="921" w:name="_Toc38440950"/>
      <w:bookmarkStart w:id="922" w:name="_Toc38441282"/>
      <w:bookmarkStart w:id="923" w:name="_Toc38441614"/>
      <w:bookmarkStart w:id="924" w:name="_Toc38441942"/>
      <w:bookmarkStart w:id="925" w:name="_Toc38442274"/>
      <w:bookmarkStart w:id="926" w:name="_Toc38442606"/>
      <w:bookmarkStart w:id="927" w:name="_Toc38442937"/>
      <w:bookmarkStart w:id="928" w:name="_Toc38443268"/>
      <w:bookmarkStart w:id="929" w:name="_Toc38443599"/>
      <w:bookmarkStart w:id="930" w:name="_Toc38443929"/>
      <w:bookmarkStart w:id="931" w:name="_Toc38438397"/>
      <w:bookmarkStart w:id="932" w:name="_Toc38438734"/>
      <w:bookmarkStart w:id="933" w:name="_Toc38439071"/>
      <w:bookmarkStart w:id="934" w:name="_Toc38439408"/>
      <w:bookmarkStart w:id="935" w:name="_Toc38439745"/>
      <w:bookmarkStart w:id="936" w:name="_Toc38440082"/>
      <w:bookmarkStart w:id="937" w:name="_Toc38440419"/>
      <w:bookmarkStart w:id="938" w:name="_Toc38440951"/>
      <w:bookmarkStart w:id="939" w:name="_Toc38441283"/>
      <w:bookmarkStart w:id="940" w:name="_Toc38441615"/>
      <w:bookmarkStart w:id="941" w:name="_Toc38441943"/>
      <w:bookmarkStart w:id="942" w:name="_Toc38442275"/>
      <w:bookmarkStart w:id="943" w:name="_Toc38442607"/>
      <w:bookmarkStart w:id="944" w:name="_Toc38442938"/>
      <w:bookmarkStart w:id="945" w:name="_Toc38443269"/>
      <w:bookmarkStart w:id="946" w:name="_Toc38443600"/>
      <w:bookmarkStart w:id="947" w:name="_Toc38443930"/>
      <w:bookmarkStart w:id="948" w:name="_Toc38438398"/>
      <w:bookmarkStart w:id="949" w:name="_Toc38438735"/>
      <w:bookmarkStart w:id="950" w:name="_Toc38439072"/>
      <w:bookmarkStart w:id="951" w:name="_Toc38439409"/>
      <w:bookmarkStart w:id="952" w:name="_Toc38439746"/>
      <w:bookmarkStart w:id="953" w:name="_Toc38440083"/>
      <w:bookmarkStart w:id="954" w:name="_Toc38440420"/>
      <w:bookmarkStart w:id="955" w:name="_Toc38440952"/>
      <w:bookmarkStart w:id="956" w:name="_Toc38441284"/>
      <w:bookmarkStart w:id="957" w:name="_Toc38441616"/>
      <w:bookmarkStart w:id="958" w:name="_Toc38441944"/>
      <w:bookmarkStart w:id="959" w:name="_Toc38442276"/>
      <w:bookmarkStart w:id="960" w:name="_Toc38442608"/>
      <w:bookmarkStart w:id="961" w:name="_Toc38442939"/>
      <w:bookmarkStart w:id="962" w:name="_Toc38443270"/>
      <w:bookmarkStart w:id="963" w:name="_Toc38443601"/>
      <w:bookmarkStart w:id="964" w:name="_Toc38443931"/>
      <w:bookmarkStart w:id="965" w:name="_Toc38438400"/>
      <w:bookmarkStart w:id="966" w:name="_Toc38438737"/>
      <w:bookmarkStart w:id="967" w:name="_Toc38439074"/>
      <w:bookmarkStart w:id="968" w:name="_Toc38439411"/>
      <w:bookmarkStart w:id="969" w:name="_Toc38439748"/>
      <w:bookmarkStart w:id="970" w:name="_Toc38440085"/>
      <w:bookmarkStart w:id="971" w:name="_Toc38440422"/>
      <w:bookmarkStart w:id="972" w:name="_Toc38440954"/>
      <w:bookmarkStart w:id="973" w:name="_Toc38441286"/>
      <w:bookmarkStart w:id="974" w:name="_Toc38441618"/>
      <w:bookmarkStart w:id="975" w:name="_Toc38441946"/>
      <w:bookmarkStart w:id="976" w:name="_Toc38442278"/>
      <w:bookmarkStart w:id="977" w:name="_Toc38442610"/>
      <w:bookmarkStart w:id="978" w:name="_Toc38442941"/>
      <w:bookmarkStart w:id="979" w:name="_Toc38443272"/>
      <w:bookmarkStart w:id="980" w:name="_Toc38443603"/>
      <w:bookmarkStart w:id="981" w:name="_Toc38443933"/>
      <w:bookmarkStart w:id="982" w:name="_Toc38438401"/>
      <w:bookmarkStart w:id="983" w:name="_Toc38438738"/>
      <w:bookmarkStart w:id="984" w:name="_Toc38439075"/>
      <w:bookmarkStart w:id="985" w:name="_Toc38439412"/>
      <w:bookmarkStart w:id="986" w:name="_Toc38439749"/>
      <w:bookmarkStart w:id="987" w:name="_Toc38440086"/>
      <w:bookmarkStart w:id="988" w:name="_Toc38440423"/>
      <w:bookmarkStart w:id="989" w:name="_Toc38440955"/>
      <w:bookmarkStart w:id="990" w:name="_Toc38441287"/>
      <w:bookmarkStart w:id="991" w:name="_Toc38441619"/>
      <w:bookmarkStart w:id="992" w:name="_Toc38441947"/>
      <w:bookmarkStart w:id="993" w:name="_Toc38442279"/>
      <w:bookmarkStart w:id="994" w:name="_Toc38442611"/>
      <w:bookmarkStart w:id="995" w:name="_Toc38442942"/>
      <w:bookmarkStart w:id="996" w:name="_Toc38443273"/>
      <w:bookmarkStart w:id="997" w:name="_Toc38443604"/>
      <w:bookmarkStart w:id="998" w:name="_Toc38443934"/>
      <w:bookmarkStart w:id="999" w:name="_Toc38438402"/>
      <w:bookmarkStart w:id="1000" w:name="_Toc38438739"/>
      <w:bookmarkStart w:id="1001" w:name="_Toc38439076"/>
      <w:bookmarkStart w:id="1002" w:name="_Toc38439413"/>
      <w:bookmarkStart w:id="1003" w:name="_Toc38439750"/>
      <w:bookmarkStart w:id="1004" w:name="_Toc38440087"/>
      <w:bookmarkStart w:id="1005" w:name="_Toc38440424"/>
      <w:bookmarkStart w:id="1006" w:name="_Toc38440956"/>
      <w:bookmarkStart w:id="1007" w:name="_Toc38441288"/>
      <w:bookmarkStart w:id="1008" w:name="_Toc38441620"/>
      <w:bookmarkStart w:id="1009" w:name="_Toc38441948"/>
      <w:bookmarkStart w:id="1010" w:name="_Toc38442280"/>
      <w:bookmarkStart w:id="1011" w:name="_Toc38442612"/>
      <w:bookmarkStart w:id="1012" w:name="_Toc38442943"/>
      <w:bookmarkStart w:id="1013" w:name="_Toc38443274"/>
      <w:bookmarkStart w:id="1014" w:name="_Toc38443605"/>
      <w:bookmarkStart w:id="1015" w:name="_Toc38443935"/>
      <w:bookmarkStart w:id="1016" w:name="_Toc38438404"/>
      <w:bookmarkStart w:id="1017" w:name="_Toc38438741"/>
      <w:bookmarkStart w:id="1018" w:name="_Toc38439078"/>
      <w:bookmarkStart w:id="1019" w:name="_Toc38439415"/>
      <w:bookmarkStart w:id="1020" w:name="_Toc38439752"/>
      <w:bookmarkStart w:id="1021" w:name="_Toc38440089"/>
      <w:bookmarkStart w:id="1022" w:name="_Toc38440426"/>
      <w:bookmarkStart w:id="1023" w:name="_Toc38440958"/>
      <w:bookmarkStart w:id="1024" w:name="_Toc38441290"/>
      <w:bookmarkStart w:id="1025" w:name="_Toc38441622"/>
      <w:bookmarkStart w:id="1026" w:name="_Toc38441950"/>
      <w:bookmarkStart w:id="1027" w:name="_Toc38442282"/>
      <w:bookmarkStart w:id="1028" w:name="_Toc38442614"/>
      <w:bookmarkStart w:id="1029" w:name="_Toc38442945"/>
      <w:bookmarkStart w:id="1030" w:name="_Toc38443276"/>
      <w:bookmarkStart w:id="1031" w:name="_Toc38443607"/>
      <w:bookmarkStart w:id="1032" w:name="_Toc38443937"/>
      <w:bookmarkStart w:id="1033" w:name="_Toc38438405"/>
      <w:bookmarkStart w:id="1034" w:name="_Toc38438742"/>
      <w:bookmarkStart w:id="1035" w:name="_Toc38439079"/>
      <w:bookmarkStart w:id="1036" w:name="_Toc38439416"/>
      <w:bookmarkStart w:id="1037" w:name="_Toc38439753"/>
      <w:bookmarkStart w:id="1038" w:name="_Toc38440090"/>
      <w:bookmarkStart w:id="1039" w:name="_Toc38440427"/>
      <w:bookmarkStart w:id="1040" w:name="_Toc38440959"/>
      <w:bookmarkStart w:id="1041" w:name="_Toc38441291"/>
      <w:bookmarkStart w:id="1042" w:name="_Toc38441623"/>
      <w:bookmarkStart w:id="1043" w:name="_Toc38441951"/>
      <w:bookmarkStart w:id="1044" w:name="_Toc38442283"/>
      <w:bookmarkStart w:id="1045" w:name="_Toc38442615"/>
      <w:bookmarkStart w:id="1046" w:name="_Toc38442946"/>
      <w:bookmarkStart w:id="1047" w:name="_Toc38443277"/>
      <w:bookmarkStart w:id="1048" w:name="_Toc38443608"/>
      <w:bookmarkStart w:id="1049" w:name="_Toc38443938"/>
      <w:bookmarkStart w:id="1050" w:name="_Toc38438406"/>
      <w:bookmarkStart w:id="1051" w:name="_Toc38438743"/>
      <w:bookmarkStart w:id="1052" w:name="_Toc38439080"/>
      <w:bookmarkStart w:id="1053" w:name="_Toc38439417"/>
      <w:bookmarkStart w:id="1054" w:name="_Toc38439754"/>
      <w:bookmarkStart w:id="1055" w:name="_Toc38440091"/>
      <w:bookmarkStart w:id="1056" w:name="_Toc38440428"/>
      <w:bookmarkStart w:id="1057" w:name="_Toc38440960"/>
      <w:bookmarkStart w:id="1058" w:name="_Toc38441292"/>
      <w:bookmarkStart w:id="1059" w:name="_Toc38441624"/>
      <w:bookmarkStart w:id="1060" w:name="_Toc38441952"/>
      <w:bookmarkStart w:id="1061" w:name="_Toc38442284"/>
      <w:bookmarkStart w:id="1062" w:name="_Toc38442616"/>
      <w:bookmarkStart w:id="1063" w:name="_Toc38442947"/>
      <w:bookmarkStart w:id="1064" w:name="_Toc38443278"/>
      <w:bookmarkStart w:id="1065" w:name="_Toc38443609"/>
      <w:bookmarkStart w:id="1066" w:name="_Toc38443939"/>
      <w:bookmarkStart w:id="1067" w:name="_Toc38438407"/>
      <w:bookmarkStart w:id="1068" w:name="_Toc38438744"/>
      <w:bookmarkStart w:id="1069" w:name="_Toc38439081"/>
      <w:bookmarkStart w:id="1070" w:name="_Toc38439418"/>
      <w:bookmarkStart w:id="1071" w:name="_Toc38439755"/>
      <w:bookmarkStart w:id="1072" w:name="_Toc38440092"/>
      <w:bookmarkStart w:id="1073" w:name="_Toc38440429"/>
      <w:bookmarkStart w:id="1074" w:name="_Toc38440961"/>
      <w:bookmarkStart w:id="1075" w:name="_Toc38441293"/>
      <w:bookmarkStart w:id="1076" w:name="_Toc38441625"/>
      <w:bookmarkStart w:id="1077" w:name="_Toc38441953"/>
      <w:bookmarkStart w:id="1078" w:name="_Toc38442285"/>
      <w:bookmarkStart w:id="1079" w:name="_Toc38442617"/>
      <w:bookmarkStart w:id="1080" w:name="_Toc38442948"/>
      <w:bookmarkStart w:id="1081" w:name="_Toc38443279"/>
      <w:bookmarkStart w:id="1082" w:name="_Toc38443610"/>
      <w:bookmarkStart w:id="1083" w:name="_Toc38443940"/>
      <w:bookmarkStart w:id="1084" w:name="_Toc38438408"/>
      <w:bookmarkStart w:id="1085" w:name="_Toc38438745"/>
      <w:bookmarkStart w:id="1086" w:name="_Toc38439082"/>
      <w:bookmarkStart w:id="1087" w:name="_Toc38439419"/>
      <w:bookmarkStart w:id="1088" w:name="_Toc38439756"/>
      <w:bookmarkStart w:id="1089" w:name="_Toc38440093"/>
      <w:bookmarkStart w:id="1090" w:name="_Toc38440430"/>
      <w:bookmarkStart w:id="1091" w:name="_Toc38440962"/>
      <w:bookmarkStart w:id="1092" w:name="_Toc38441294"/>
      <w:bookmarkStart w:id="1093" w:name="_Toc38441626"/>
      <w:bookmarkStart w:id="1094" w:name="_Toc38441954"/>
      <w:bookmarkStart w:id="1095" w:name="_Toc38442286"/>
      <w:bookmarkStart w:id="1096" w:name="_Toc38442618"/>
      <w:bookmarkStart w:id="1097" w:name="_Toc38442949"/>
      <w:bookmarkStart w:id="1098" w:name="_Toc38443280"/>
      <w:bookmarkStart w:id="1099" w:name="_Toc38443611"/>
      <w:bookmarkStart w:id="1100" w:name="_Toc38443941"/>
      <w:bookmarkStart w:id="1101" w:name="_Toc38438409"/>
      <w:bookmarkStart w:id="1102" w:name="_Toc38438746"/>
      <w:bookmarkStart w:id="1103" w:name="_Toc38439083"/>
      <w:bookmarkStart w:id="1104" w:name="_Toc38439420"/>
      <w:bookmarkStart w:id="1105" w:name="_Toc38439757"/>
      <w:bookmarkStart w:id="1106" w:name="_Toc38440094"/>
      <w:bookmarkStart w:id="1107" w:name="_Toc38440431"/>
      <w:bookmarkStart w:id="1108" w:name="_Toc38440963"/>
      <w:bookmarkStart w:id="1109" w:name="_Toc38441295"/>
      <w:bookmarkStart w:id="1110" w:name="_Toc38441627"/>
      <w:bookmarkStart w:id="1111" w:name="_Toc38441955"/>
      <w:bookmarkStart w:id="1112" w:name="_Toc38442287"/>
      <w:bookmarkStart w:id="1113" w:name="_Toc38442619"/>
      <w:bookmarkStart w:id="1114" w:name="_Toc38442950"/>
      <w:bookmarkStart w:id="1115" w:name="_Toc38443281"/>
      <w:bookmarkStart w:id="1116" w:name="_Toc38443612"/>
      <w:bookmarkStart w:id="1117" w:name="_Toc38443942"/>
      <w:bookmarkStart w:id="1118" w:name="_Toc38438410"/>
      <w:bookmarkStart w:id="1119" w:name="_Toc38438747"/>
      <w:bookmarkStart w:id="1120" w:name="_Toc38439084"/>
      <w:bookmarkStart w:id="1121" w:name="_Toc38439421"/>
      <w:bookmarkStart w:id="1122" w:name="_Toc38439758"/>
      <w:bookmarkStart w:id="1123" w:name="_Toc38440095"/>
      <w:bookmarkStart w:id="1124" w:name="_Toc38440432"/>
      <w:bookmarkStart w:id="1125" w:name="_Toc38440964"/>
      <w:bookmarkStart w:id="1126" w:name="_Toc38441296"/>
      <w:bookmarkStart w:id="1127" w:name="_Toc38441628"/>
      <w:bookmarkStart w:id="1128" w:name="_Toc38441956"/>
      <w:bookmarkStart w:id="1129" w:name="_Toc38442288"/>
      <w:bookmarkStart w:id="1130" w:name="_Toc38442620"/>
      <w:bookmarkStart w:id="1131" w:name="_Toc38442951"/>
      <w:bookmarkStart w:id="1132" w:name="_Toc38443282"/>
      <w:bookmarkStart w:id="1133" w:name="_Toc38443613"/>
      <w:bookmarkStart w:id="1134" w:name="_Toc38443943"/>
      <w:bookmarkStart w:id="1135" w:name="_Toc38438411"/>
      <w:bookmarkStart w:id="1136" w:name="_Toc38438748"/>
      <w:bookmarkStart w:id="1137" w:name="_Toc38439085"/>
      <w:bookmarkStart w:id="1138" w:name="_Toc38439422"/>
      <w:bookmarkStart w:id="1139" w:name="_Toc38439759"/>
      <w:bookmarkStart w:id="1140" w:name="_Toc38440096"/>
      <w:bookmarkStart w:id="1141" w:name="_Toc38440433"/>
      <w:bookmarkStart w:id="1142" w:name="_Toc38440965"/>
      <w:bookmarkStart w:id="1143" w:name="_Toc38441297"/>
      <w:bookmarkStart w:id="1144" w:name="_Toc38441629"/>
      <w:bookmarkStart w:id="1145" w:name="_Toc38441957"/>
      <w:bookmarkStart w:id="1146" w:name="_Toc38442289"/>
      <w:bookmarkStart w:id="1147" w:name="_Toc38442621"/>
      <w:bookmarkStart w:id="1148" w:name="_Toc38442952"/>
      <w:bookmarkStart w:id="1149" w:name="_Toc38443283"/>
      <w:bookmarkStart w:id="1150" w:name="_Toc38443614"/>
      <w:bookmarkStart w:id="1151" w:name="_Toc38443944"/>
      <w:bookmarkStart w:id="1152" w:name="_Toc38438412"/>
      <w:bookmarkStart w:id="1153" w:name="_Toc38438749"/>
      <w:bookmarkStart w:id="1154" w:name="_Toc38439086"/>
      <w:bookmarkStart w:id="1155" w:name="_Toc38439423"/>
      <w:bookmarkStart w:id="1156" w:name="_Toc38439760"/>
      <w:bookmarkStart w:id="1157" w:name="_Toc38440097"/>
      <w:bookmarkStart w:id="1158" w:name="_Toc38440434"/>
      <w:bookmarkStart w:id="1159" w:name="_Toc38440966"/>
      <w:bookmarkStart w:id="1160" w:name="_Toc38441298"/>
      <w:bookmarkStart w:id="1161" w:name="_Toc38441630"/>
      <w:bookmarkStart w:id="1162" w:name="_Toc38441958"/>
      <w:bookmarkStart w:id="1163" w:name="_Toc38442290"/>
      <w:bookmarkStart w:id="1164" w:name="_Toc38442622"/>
      <w:bookmarkStart w:id="1165" w:name="_Toc38442953"/>
      <w:bookmarkStart w:id="1166" w:name="_Toc38443284"/>
      <w:bookmarkStart w:id="1167" w:name="_Toc38443615"/>
      <w:bookmarkStart w:id="1168" w:name="_Toc38443945"/>
      <w:bookmarkStart w:id="1169" w:name="_Toc38438413"/>
      <w:bookmarkStart w:id="1170" w:name="_Toc38438750"/>
      <w:bookmarkStart w:id="1171" w:name="_Toc38439087"/>
      <w:bookmarkStart w:id="1172" w:name="_Toc38439424"/>
      <w:bookmarkStart w:id="1173" w:name="_Toc38439761"/>
      <w:bookmarkStart w:id="1174" w:name="_Toc38440098"/>
      <w:bookmarkStart w:id="1175" w:name="_Toc38440435"/>
      <w:bookmarkStart w:id="1176" w:name="_Toc38440967"/>
      <w:bookmarkStart w:id="1177" w:name="_Toc38441299"/>
      <w:bookmarkStart w:id="1178" w:name="_Toc38441631"/>
      <w:bookmarkStart w:id="1179" w:name="_Toc38441959"/>
      <w:bookmarkStart w:id="1180" w:name="_Toc38442291"/>
      <w:bookmarkStart w:id="1181" w:name="_Toc38442623"/>
      <w:bookmarkStart w:id="1182" w:name="_Toc38442954"/>
      <w:bookmarkStart w:id="1183" w:name="_Toc38443285"/>
      <w:bookmarkStart w:id="1184" w:name="_Toc38443616"/>
      <w:bookmarkStart w:id="1185" w:name="_Toc38443946"/>
      <w:bookmarkStart w:id="1186" w:name="_Toc38438414"/>
      <w:bookmarkStart w:id="1187" w:name="_Toc38438751"/>
      <w:bookmarkStart w:id="1188" w:name="_Toc38439088"/>
      <w:bookmarkStart w:id="1189" w:name="_Toc38439425"/>
      <w:bookmarkStart w:id="1190" w:name="_Toc38439762"/>
      <w:bookmarkStart w:id="1191" w:name="_Toc38440099"/>
      <w:bookmarkStart w:id="1192" w:name="_Toc38440436"/>
      <w:bookmarkStart w:id="1193" w:name="_Toc38440968"/>
      <w:bookmarkStart w:id="1194" w:name="_Toc38441300"/>
      <w:bookmarkStart w:id="1195" w:name="_Toc38441632"/>
      <w:bookmarkStart w:id="1196" w:name="_Toc38441960"/>
      <w:bookmarkStart w:id="1197" w:name="_Toc38442292"/>
      <w:bookmarkStart w:id="1198" w:name="_Toc38442624"/>
      <w:bookmarkStart w:id="1199" w:name="_Toc38442955"/>
      <w:bookmarkStart w:id="1200" w:name="_Toc38443286"/>
      <w:bookmarkStart w:id="1201" w:name="_Toc38443617"/>
      <w:bookmarkStart w:id="1202" w:name="_Toc38443947"/>
      <w:bookmarkStart w:id="1203" w:name="_Toc38438415"/>
      <w:bookmarkStart w:id="1204" w:name="_Toc38438752"/>
      <w:bookmarkStart w:id="1205" w:name="_Toc38439089"/>
      <w:bookmarkStart w:id="1206" w:name="_Toc38439426"/>
      <w:bookmarkStart w:id="1207" w:name="_Toc38439763"/>
      <w:bookmarkStart w:id="1208" w:name="_Toc38440100"/>
      <w:bookmarkStart w:id="1209" w:name="_Toc38440437"/>
      <w:bookmarkStart w:id="1210" w:name="_Toc38440969"/>
      <w:bookmarkStart w:id="1211" w:name="_Toc38441301"/>
      <w:bookmarkStart w:id="1212" w:name="_Toc38441633"/>
      <w:bookmarkStart w:id="1213" w:name="_Toc38441961"/>
      <w:bookmarkStart w:id="1214" w:name="_Toc38442293"/>
      <w:bookmarkStart w:id="1215" w:name="_Toc38442625"/>
      <w:bookmarkStart w:id="1216" w:name="_Toc38442956"/>
      <w:bookmarkStart w:id="1217" w:name="_Toc38443287"/>
      <w:bookmarkStart w:id="1218" w:name="_Toc38443618"/>
      <w:bookmarkStart w:id="1219" w:name="_Toc38443948"/>
      <w:bookmarkStart w:id="1220" w:name="_Toc38438416"/>
      <w:bookmarkStart w:id="1221" w:name="_Toc38438753"/>
      <w:bookmarkStart w:id="1222" w:name="_Toc38439090"/>
      <w:bookmarkStart w:id="1223" w:name="_Toc38439427"/>
      <w:bookmarkStart w:id="1224" w:name="_Toc38439764"/>
      <w:bookmarkStart w:id="1225" w:name="_Toc38440101"/>
      <w:bookmarkStart w:id="1226" w:name="_Toc38440438"/>
      <w:bookmarkStart w:id="1227" w:name="_Toc38440970"/>
      <w:bookmarkStart w:id="1228" w:name="_Toc38441302"/>
      <w:bookmarkStart w:id="1229" w:name="_Toc38441634"/>
      <w:bookmarkStart w:id="1230" w:name="_Toc38441962"/>
      <w:bookmarkStart w:id="1231" w:name="_Toc38442294"/>
      <w:bookmarkStart w:id="1232" w:name="_Toc38442626"/>
      <w:bookmarkStart w:id="1233" w:name="_Toc38442957"/>
      <w:bookmarkStart w:id="1234" w:name="_Toc38443288"/>
      <w:bookmarkStart w:id="1235" w:name="_Toc38443619"/>
      <w:bookmarkStart w:id="1236" w:name="_Toc38443949"/>
      <w:bookmarkStart w:id="1237" w:name="_Toc38438417"/>
      <w:bookmarkStart w:id="1238" w:name="_Toc38438754"/>
      <w:bookmarkStart w:id="1239" w:name="_Toc38439091"/>
      <w:bookmarkStart w:id="1240" w:name="_Toc38439428"/>
      <w:bookmarkStart w:id="1241" w:name="_Toc38439765"/>
      <w:bookmarkStart w:id="1242" w:name="_Toc38440102"/>
      <w:bookmarkStart w:id="1243" w:name="_Toc38440439"/>
      <w:bookmarkStart w:id="1244" w:name="_Toc38440971"/>
      <w:bookmarkStart w:id="1245" w:name="_Toc38441303"/>
      <w:bookmarkStart w:id="1246" w:name="_Toc38441635"/>
      <w:bookmarkStart w:id="1247" w:name="_Toc38441963"/>
      <w:bookmarkStart w:id="1248" w:name="_Toc38442295"/>
      <w:bookmarkStart w:id="1249" w:name="_Toc38442627"/>
      <w:bookmarkStart w:id="1250" w:name="_Toc38442958"/>
      <w:bookmarkStart w:id="1251" w:name="_Toc38443289"/>
      <w:bookmarkStart w:id="1252" w:name="_Toc38443620"/>
      <w:bookmarkStart w:id="1253" w:name="_Toc38443950"/>
      <w:bookmarkStart w:id="1254" w:name="_Toc38438418"/>
      <w:bookmarkStart w:id="1255" w:name="_Toc38438755"/>
      <w:bookmarkStart w:id="1256" w:name="_Toc38439092"/>
      <w:bookmarkStart w:id="1257" w:name="_Toc38439429"/>
      <w:bookmarkStart w:id="1258" w:name="_Toc38439766"/>
      <w:bookmarkStart w:id="1259" w:name="_Toc38440103"/>
      <w:bookmarkStart w:id="1260" w:name="_Toc38440440"/>
      <w:bookmarkStart w:id="1261" w:name="_Toc38440972"/>
      <w:bookmarkStart w:id="1262" w:name="_Toc38441304"/>
      <w:bookmarkStart w:id="1263" w:name="_Toc38441636"/>
      <w:bookmarkStart w:id="1264" w:name="_Toc38441964"/>
      <w:bookmarkStart w:id="1265" w:name="_Toc38442296"/>
      <w:bookmarkStart w:id="1266" w:name="_Toc38442628"/>
      <w:bookmarkStart w:id="1267" w:name="_Toc38442959"/>
      <w:bookmarkStart w:id="1268" w:name="_Toc38443290"/>
      <w:bookmarkStart w:id="1269" w:name="_Toc38443621"/>
      <w:bookmarkStart w:id="1270" w:name="_Toc38443951"/>
      <w:bookmarkStart w:id="1271" w:name="_Toc38438419"/>
      <w:bookmarkStart w:id="1272" w:name="_Toc38438756"/>
      <w:bookmarkStart w:id="1273" w:name="_Toc38439093"/>
      <w:bookmarkStart w:id="1274" w:name="_Toc38439430"/>
      <w:bookmarkStart w:id="1275" w:name="_Toc38439767"/>
      <w:bookmarkStart w:id="1276" w:name="_Toc38440104"/>
      <w:bookmarkStart w:id="1277" w:name="_Toc38440441"/>
      <w:bookmarkStart w:id="1278" w:name="_Toc38440973"/>
      <w:bookmarkStart w:id="1279" w:name="_Toc38441305"/>
      <w:bookmarkStart w:id="1280" w:name="_Toc38441637"/>
      <w:bookmarkStart w:id="1281" w:name="_Toc38441965"/>
      <w:bookmarkStart w:id="1282" w:name="_Toc38442297"/>
      <w:bookmarkStart w:id="1283" w:name="_Toc38442629"/>
      <w:bookmarkStart w:id="1284" w:name="_Toc38442960"/>
      <w:bookmarkStart w:id="1285" w:name="_Toc38443291"/>
      <w:bookmarkStart w:id="1286" w:name="_Toc38443622"/>
      <w:bookmarkStart w:id="1287" w:name="_Toc38443952"/>
      <w:bookmarkStart w:id="1288" w:name="_Toc38438420"/>
      <w:bookmarkStart w:id="1289" w:name="_Toc38438757"/>
      <w:bookmarkStart w:id="1290" w:name="_Toc38439094"/>
      <w:bookmarkStart w:id="1291" w:name="_Toc38439431"/>
      <w:bookmarkStart w:id="1292" w:name="_Toc38439768"/>
      <w:bookmarkStart w:id="1293" w:name="_Toc38440105"/>
      <w:bookmarkStart w:id="1294" w:name="_Toc38440442"/>
      <w:bookmarkStart w:id="1295" w:name="_Toc38440974"/>
      <w:bookmarkStart w:id="1296" w:name="_Toc38441306"/>
      <w:bookmarkStart w:id="1297" w:name="_Toc38441638"/>
      <w:bookmarkStart w:id="1298" w:name="_Toc38441966"/>
      <w:bookmarkStart w:id="1299" w:name="_Toc38442298"/>
      <w:bookmarkStart w:id="1300" w:name="_Toc38442630"/>
      <w:bookmarkStart w:id="1301" w:name="_Toc38442961"/>
      <w:bookmarkStart w:id="1302" w:name="_Toc38443292"/>
      <w:bookmarkStart w:id="1303" w:name="_Toc38443623"/>
      <w:bookmarkStart w:id="1304" w:name="_Toc38443953"/>
      <w:bookmarkStart w:id="1305" w:name="_Toc38438421"/>
      <w:bookmarkStart w:id="1306" w:name="_Toc38438758"/>
      <w:bookmarkStart w:id="1307" w:name="_Toc38439095"/>
      <w:bookmarkStart w:id="1308" w:name="_Toc38439432"/>
      <w:bookmarkStart w:id="1309" w:name="_Toc38439769"/>
      <w:bookmarkStart w:id="1310" w:name="_Toc38440106"/>
      <w:bookmarkStart w:id="1311" w:name="_Toc38440443"/>
      <w:bookmarkStart w:id="1312" w:name="_Toc38440975"/>
      <w:bookmarkStart w:id="1313" w:name="_Toc38441307"/>
      <w:bookmarkStart w:id="1314" w:name="_Toc38441639"/>
      <w:bookmarkStart w:id="1315" w:name="_Toc38441967"/>
      <w:bookmarkStart w:id="1316" w:name="_Toc38442299"/>
      <w:bookmarkStart w:id="1317" w:name="_Toc38442631"/>
      <w:bookmarkStart w:id="1318" w:name="_Toc38442962"/>
      <w:bookmarkStart w:id="1319" w:name="_Toc38443293"/>
      <w:bookmarkStart w:id="1320" w:name="_Toc38443624"/>
      <w:bookmarkStart w:id="1321" w:name="_Toc38443954"/>
      <w:bookmarkStart w:id="1322" w:name="_Toc38438422"/>
      <w:bookmarkStart w:id="1323" w:name="_Toc38438759"/>
      <w:bookmarkStart w:id="1324" w:name="_Toc38439096"/>
      <w:bookmarkStart w:id="1325" w:name="_Toc38439433"/>
      <w:bookmarkStart w:id="1326" w:name="_Toc38439770"/>
      <w:bookmarkStart w:id="1327" w:name="_Toc38440107"/>
      <w:bookmarkStart w:id="1328" w:name="_Toc38440444"/>
      <w:bookmarkStart w:id="1329" w:name="_Toc38440976"/>
      <w:bookmarkStart w:id="1330" w:name="_Toc38441308"/>
      <w:bookmarkStart w:id="1331" w:name="_Toc38441640"/>
      <w:bookmarkStart w:id="1332" w:name="_Toc38441968"/>
      <w:bookmarkStart w:id="1333" w:name="_Toc38442300"/>
      <w:bookmarkStart w:id="1334" w:name="_Toc38442632"/>
      <w:bookmarkStart w:id="1335" w:name="_Toc38442963"/>
      <w:bookmarkStart w:id="1336" w:name="_Toc38443294"/>
      <w:bookmarkStart w:id="1337" w:name="_Toc38443625"/>
      <w:bookmarkStart w:id="1338" w:name="_Toc38443955"/>
      <w:bookmarkStart w:id="1339" w:name="_Toc38438423"/>
      <w:bookmarkStart w:id="1340" w:name="_Toc38438760"/>
      <w:bookmarkStart w:id="1341" w:name="_Toc38439097"/>
      <w:bookmarkStart w:id="1342" w:name="_Toc38439434"/>
      <w:bookmarkStart w:id="1343" w:name="_Toc38439771"/>
      <w:bookmarkStart w:id="1344" w:name="_Toc38440108"/>
      <w:bookmarkStart w:id="1345" w:name="_Toc38440445"/>
      <w:bookmarkStart w:id="1346" w:name="_Toc38440977"/>
      <w:bookmarkStart w:id="1347" w:name="_Toc38441309"/>
      <w:bookmarkStart w:id="1348" w:name="_Toc38441641"/>
      <w:bookmarkStart w:id="1349" w:name="_Toc38441969"/>
      <w:bookmarkStart w:id="1350" w:name="_Toc38442301"/>
      <w:bookmarkStart w:id="1351" w:name="_Toc38442633"/>
      <w:bookmarkStart w:id="1352" w:name="_Toc38442964"/>
      <w:bookmarkStart w:id="1353" w:name="_Toc38443295"/>
      <w:bookmarkStart w:id="1354" w:name="_Toc38443626"/>
      <w:bookmarkStart w:id="1355" w:name="_Toc38443956"/>
      <w:bookmarkStart w:id="1356" w:name="_Toc38438424"/>
      <w:bookmarkStart w:id="1357" w:name="_Toc38438761"/>
      <w:bookmarkStart w:id="1358" w:name="_Toc38439098"/>
      <w:bookmarkStart w:id="1359" w:name="_Toc38439435"/>
      <w:bookmarkStart w:id="1360" w:name="_Toc38439772"/>
      <w:bookmarkStart w:id="1361" w:name="_Toc38440109"/>
      <w:bookmarkStart w:id="1362" w:name="_Toc38440446"/>
      <w:bookmarkStart w:id="1363" w:name="_Toc38440978"/>
      <w:bookmarkStart w:id="1364" w:name="_Toc38441310"/>
      <w:bookmarkStart w:id="1365" w:name="_Toc38441642"/>
      <w:bookmarkStart w:id="1366" w:name="_Toc38441970"/>
      <w:bookmarkStart w:id="1367" w:name="_Toc38442302"/>
      <w:bookmarkStart w:id="1368" w:name="_Toc38442634"/>
      <w:bookmarkStart w:id="1369" w:name="_Toc38442965"/>
      <w:bookmarkStart w:id="1370" w:name="_Toc38443296"/>
      <w:bookmarkStart w:id="1371" w:name="_Toc38443627"/>
      <w:bookmarkStart w:id="1372" w:name="_Toc38443957"/>
      <w:bookmarkStart w:id="1373" w:name="_Toc38438425"/>
      <w:bookmarkStart w:id="1374" w:name="_Toc38438762"/>
      <w:bookmarkStart w:id="1375" w:name="_Toc38439099"/>
      <w:bookmarkStart w:id="1376" w:name="_Toc38439436"/>
      <w:bookmarkStart w:id="1377" w:name="_Toc38439773"/>
      <w:bookmarkStart w:id="1378" w:name="_Toc38440110"/>
      <w:bookmarkStart w:id="1379" w:name="_Toc38440447"/>
      <w:bookmarkStart w:id="1380" w:name="_Toc38440979"/>
      <w:bookmarkStart w:id="1381" w:name="_Toc38441311"/>
      <w:bookmarkStart w:id="1382" w:name="_Toc38441643"/>
      <w:bookmarkStart w:id="1383" w:name="_Toc38441971"/>
      <w:bookmarkStart w:id="1384" w:name="_Toc38442303"/>
      <w:bookmarkStart w:id="1385" w:name="_Toc38442635"/>
      <w:bookmarkStart w:id="1386" w:name="_Toc38442966"/>
      <w:bookmarkStart w:id="1387" w:name="_Toc38443297"/>
      <w:bookmarkStart w:id="1388" w:name="_Toc38443628"/>
      <w:bookmarkStart w:id="1389" w:name="_Toc38443958"/>
      <w:bookmarkStart w:id="1390" w:name="_Toc38438426"/>
      <w:bookmarkStart w:id="1391" w:name="_Toc38438763"/>
      <w:bookmarkStart w:id="1392" w:name="_Toc38439100"/>
      <w:bookmarkStart w:id="1393" w:name="_Toc38439437"/>
      <w:bookmarkStart w:id="1394" w:name="_Toc38439774"/>
      <w:bookmarkStart w:id="1395" w:name="_Toc38440111"/>
      <w:bookmarkStart w:id="1396" w:name="_Toc38440448"/>
      <w:bookmarkStart w:id="1397" w:name="_Toc38440980"/>
      <w:bookmarkStart w:id="1398" w:name="_Toc38441312"/>
      <w:bookmarkStart w:id="1399" w:name="_Toc38441644"/>
      <w:bookmarkStart w:id="1400" w:name="_Toc38441972"/>
      <w:bookmarkStart w:id="1401" w:name="_Toc38442304"/>
      <w:bookmarkStart w:id="1402" w:name="_Toc38442636"/>
      <w:bookmarkStart w:id="1403" w:name="_Toc38442967"/>
      <w:bookmarkStart w:id="1404" w:name="_Toc38443298"/>
      <w:bookmarkStart w:id="1405" w:name="_Toc38443629"/>
      <w:bookmarkStart w:id="1406" w:name="_Toc38443959"/>
      <w:bookmarkStart w:id="1407" w:name="_Toc38438427"/>
      <w:bookmarkStart w:id="1408" w:name="_Toc38438764"/>
      <w:bookmarkStart w:id="1409" w:name="_Toc38439101"/>
      <w:bookmarkStart w:id="1410" w:name="_Toc38439438"/>
      <w:bookmarkStart w:id="1411" w:name="_Toc38439775"/>
      <w:bookmarkStart w:id="1412" w:name="_Toc38440112"/>
      <w:bookmarkStart w:id="1413" w:name="_Toc38440449"/>
      <w:bookmarkStart w:id="1414" w:name="_Toc38440981"/>
      <w:bookmarkStart w:id="1415" w:name="_Toc38441313"/>
      <w:bookmarkStart w:id="1416" w:name="_Toc38441645"/>
      <w:bookmarkStart w:id="1417" w:name="_Toc38441973"/>
      <w:bookmarkStart w:id="1418" w:name="_Toc38442305"/>
      <w:bookmarkStart w:id="1419" w:name="_Toc38442637"/>
      <w:bookmarkStart w:id="1420" w:name="_Toc38442968"/>
      <w:bookmarkStart w:id="1421" w:name="_Toc38443299"/>
      <w:bookmarkStart w:id="1422" w:name="_Toc38443630"/>
      <w:bookmarkStart w:id="1423" w:name="_Toc38443960"/>
      <w:bookmarkStart w:id="1424" w:name="_Toc38438428"/>
      <w:bookmarkStart w:id="1425" w:name="_Toc38438765"/>
      <w:bookmarkStart w:id="1426" w:name="_Toc38439102"/>
      <w:bookmarkStart w:id="1427" w:name="_Toc38439439"/>
      <w:bookmarkStart w:id="1428" w:name="_Toc38439776"/>
      <w:bookmarkStart w:id="1429" w:name="_Toc38440113"/>
      <w:bookmarkStart w:id="1430" w:name="_Toc38440450"/>
      <w:bookmarkStart w:id="1431" w:name="_Toc38440982"/>
      <w:bookmarkStart w:id="1432" w:name="_Toc38441314"/>
      <w:bookmarkStart w:id="1433" w:name="_Toc38441646"/>
      <w:bookmarkStart w:id="1434" w:name="_Toc38441974"/>
      <w:bookmarkStart w:id="1435" w:name="_Toc38442306"/>
      <w:bookmarkStart w:id="1436" w:name="_Toc38442638"/>
      <w:bookmarkStart w:id="1437" w:name="_Toc38442969"/>
      <w:bookmarkStart w:id="1438" w:name="_Toc38443300"/>
      <w:bookmarkStart w:id="1439" w:name="_Toc38443631"/>
      <w:bookmarkStart w:id="1440" w:name="_Toc38443961"/>
      <w:bookmarkStart w:id="1441" w:name="_Toc38438429"/>
      <w:bookmarkStart w:id="1442" w:name="_Toc38438766"/>
      <w:bookmarkStart w:id="1443" w:name="_Toc38439103"/>
      <w:bookmarkStart w:id="1444" w:name="_Toc38439440"/>
      <w:bookmarkStart w:id="1445" w:name="_Toc38439777"/>
      <w:bookmarkStart w:id="1446" w:name="_Toc38440114"/>
      <w:bookmarkStart w:id="1447" w:name="_Toc38440451"/>
      <w:bookmarkStart w:id="1448" w:name="_Toc38440983"/>
      <w:bookmarkStart w:id="1449" w:name="_Toc38441315"/>
      <w:bookmarkStart w:id="1450" w:name="_Toc38441647"/>
      <w:bookmarkStart w:id="1451" w:name="_Toc38441975"/>
      <w:bookmarkStart w:id="1452" w:name="_Toc38442307"/>
      <w:bookmarkStart w:id="1453" w:name="_Toc38442639"/>
      <w:bookmarkStart w:id="1454" w:name="_Toc38442970"/>
      <w:bookmarkStart w:id="1455" w:name="_Toc38443301"/>
      <w:bookmarkStart w:id="1456" w:name="_Toc38443632"/>
      <w:bookmarkStart w:id="1457" w:name="_Toc38443962"/>
      <w:bookmarkStart w:id="1458" w:name="_Toc38438430"/>
      <w:bookmarkStart w:id="1459" w:name="_Toc38438767"/>
      <w:bookmarkStart w:id="1460" w:name="_Toc38439104"/>
      <w:bookmarkStart w:id="1461" w:name="_Toc38439441"/>
      <w:bookmarkStart w:id="1462" w:name="_Toc38439778"/>
      <w:bookmarkStart w:id="1463" w:name="_Toc38440115"/>
      <w:bookmarkStart w:id="1464" w:name="_Toc38440452"/>
      <w:bookmarkStart w:id="1465" w:name="_Toc38440984"/>
      <w:bookmarkStart w:id="1466" w:name="_Toc38441316"/>
      <w:bookmarkStart w:id="1467" w:name="_Toc38441648"/>
      <w:bookmarkStart w:id="1468" w:name="_Toc38441976"/>
      <w:bookmarkStart w:id="1469" w:name="_Toc38442308"/>
      <w:bookmarkStart w:id="1470" w:name="_Toc38442640"/>
      <w:bookmarkStart w:id="1471" w:name="_Toc38442971"/>
      <w:bookmarkStart w:id="1472" w:name="_Toc38443302"/>
      <w:bookmarkStart w:id="1473" w:name="_Toc38443633"/>
      <w:bookmarkStart w:id="1474" w:name="_Toc38443963"/>
      <w:bookmarkStart w:id="1475" w:name="_Toc38438431"/>
      <w:bookmarkStart w:id="1476" w:name="_Toc38438768"/>
      <w:bookmarkStart w:id="1477" w:name="_Toc38439105"/>
      <w:bookmarkStart w:id="1478" w:name="_Toc38439442"/>
      <w:bookmarkStart w:id="1479" w:name="_Toc38439779"/>
      <w:bookmarkStart w:id="1480" w:name="_Toc38440116"/>
      <w:bookmarkStart w:id="1481" w:name="_Toc38440453"/>
      <w:bookmarkStart w:id="1482" w:name="_Toc38440985"/>
      <w:bookmarkStart w:id="1483" w:name="_Toc38441317"/>
      <w:bookmarkStart w:id="1484" w:name="_Toc38441649"/>
      <w:bookmarkStart w:id="1485" w:name="_Toc38441977"/>
      <w:bookmarkStart w:id="1486" w:name="_Toc38442309"/>
      <w:bookmarkStart w:id="1487" w:name="_Toc38442641"/>
      <w:bookmarkStart w:id="1488" w:name="_Toc38442972"/>
      <w:bookmarkStart w:id="1489" w:name="_Toc38443303"/>
      <w:bookmarkStart w:id="1490" w:name="_Toc38443634"/>
      <w:bookmarkStart w:id="1491" w:name="_Toc38443964"/>
      <w:bookmarkStart w:id="1492" w:name="_Toc38438432"/>
      <w:bookmarkStart w:id="1493" w:name="_Toc38438769"/>
      <w:bookmarkStart w:id="1494" w:name="_Toc38439106"/>
      <w:bookmarkStart w:id="1495" w:name="_Toc38439443"/>
      <w:bookmarkStart w:id="1496" w:name="_Toc38439780"/>
      <w:bookmarkStart w:id="1497" w:name="_Toc38440117"/>
      <w:bookmarkStart w:id="1498" w:name="_Toc38440454"/>
      <w:bookmarkStart w:id="1499" w:name="_Toc38440986"/>
      <w:bookmarkStart w:id="1500" w:name="_Toc38441318"/>
      <w:bookmarkStart w:id="1501" w:name="_Toc38441650"/>
      <w:bookmarkStart w:id="1502" w:name="_Toc38441978"/>
      <w:bookmarkStart w:id="1503" w:name="_Toc38442310"/>
      <w:bookmarkStart w:id="1504" w:name="_Toc38442642"/>
      <w:bookmarkStart w:id="1505" w:name="_Toc38442973"/>
      <w:bookmarkStart w:id="1506" w:name="_Toc38443304"/>
      <w:bookmarkStart w:id="1507" w:name="_Toc38443635"/>
      <w:bookmarkStart w:id="1508" w:name="_Toc38443965"/>
      <w:bookmarkStart w:id="1509" w:name="_Toc38438433"/>
      <w:bookmarkStart w:id="1510" w:name="_Toc38438770"/>
      <w:bookmarkStart w:id="1511" w:name="_Toc38439107"/>
      <w:bookmarkStart w:id="1512" w:name="_Toc38439444"/>
      <w:bookmarkStart w:id="1513" w:name="_Toc38439781"/>
      <w:bookmarkStart w:id="1514" w:name="_Toc38440118"/>
      <w:bookmarkStart w:id="1515" w:name="_Toc38440455"/>
      <w:bookmarkStart w:id="1516" w:name="_Toc38440987"/>
      <w:bookmarkStart w:id="1517" w:name="_Toc38441319"/>
      <w:bookmarkStart w:id="1518" w:name="_Toc38441651"/>
      <w:bookmarkStart w:id="1519" w:name="_Toc38441979"/>
      <w:bookmarkStart w:id="1520" w:name="_Toc38442311"/>
      <w:bookmarkStart w:id="1521" w:name="_Toc38442643"/>
      <w:bookmarkStart w:id="1522" w:name="_Toc38442974"/>
      <w:bookmarkStart w:id="1523" w:name="_Toc38443305"/>
      <w:bookmarkStart w:id="1524" w:name="_Toc38443636"/>
      <w:bookmarkStart w:id="1525" w:name="_Toc38443966"/>
      <w:bookmarkStart w:id="1526" w:name="_Toc38438434"/>
      <w:bookmarkStart w:id="1527" w:name="_Toc38438771"/>
      <w:bookmarkStart w:id="1528" w:name="_Toc38439108"/>
      <w:bookmarkStart w:id="1529" w:name="_Toc38439445"/>
      <w:bookmarkStart w:id="1530" w:name="_Toc38439782"/>
      <w:bookmarkStart w:id="1531" w:name="_Toc38440119"/>
      <w:bookmarkStart w:id="1532" w:name="_Toc38440456"/>
      <w:bookmarkStart w:id="1533" w:name="_Toc38440988"/>
      <w:bookmarkStart w:id="1534" w:name="_Toc38441320"/>
      <w:bookmarkStart w:id="1535" w:name="_Toc38441652"/>
      <w:bookmarkStart w:id="1536" w:name="_Toc38441980"/>
      <w:bookmarkStart w:id="1537" w:name="_Toc38442312"/>
      <w:bookmarkStart w:id="1538" w:name="_Toc38442644"/>
      <w:bookmarkStart w:id="1539" w:name="_Toc38442975"/>
      <w:bookmarkStart w:id="1540" w:name="_Toc38443306"/>
      <w:bookmarkStart w:id="1541" w:name="_Toc38443637"/>
      <w:bookmarkStart w:id="1542" w:name="_Toc38443967"/>
      <w:bookmarkStart w:id="1543" w:name="_Toc38438435"/>
      <w:bookmarkStart w:id="1544" w:name="_Toc38438772"/>
      <w:bookmarkStart w:id="1545" w:name="_Toc38439109"/>
      <w:bookmarkStart w:id="1546" w:name="_Toc38439446"/>
      <w:bookmarkStart w:id="1547" w:name="_Toc38439783"/>
      <w:bookmarkStart w:id="1548" w:name="_Toc38440120"/>
      <w:bookmarkStart w:id="1549" w:name="_Toc38440457"/>
      <w:bookmarkStart w:id="1550" w:name="_Toc38440989"/>
      <w:bookmarkStart w:id="1551" w:name="_Toc38441321"/>
      <w:bookmarkStart w:id="1552" w:name="_Toc38441653"/>
      <w:bookmarkStart w:id="1553" w:name="_Toc38441981"/>
      <w:bookmarkStart w:id="1554" w:name="_Toc38442313"/>
      <w:bookmarkStart w:id="1555" w:name="_Toc38442645"/>
      <w:bookmarkStart w:id="1556" w:name="_Toc38442976"/>
      <w:bookmarkStart w:id="1557" w:name="_Toc38443307"/>
      <w:bookmarkStart w:id="1558" w:name="_Toc38443638"/>
      <w:bookmarkStart w:id="1559" w:name="_Toc38443968"/>
      <w:bookmarkStart w:id="1560" w:name="_Toc38438436"/>
      <w:bookmarkStart w:id="1561" w:name="_Toc38438773"/>
      <w:bookmarkStart w:id="1562" w:name="_Toc38439110"/>
      <w:bookmarkStart w:id="1563" w:name="_Toc38439447"/>
      <w:bookmarkStart w:id="1564" w:name="_Toc38439784"/>
      <w:bookmarkStart w:id="1565" w:name="_Toc38440121"/>
      <w:bookmarkStart w:id="1566" w:name="_Toc38440458"/>
      <w:bookmarkStart w:id="1567" w:name="_Toc38440990"/>
      <w:bookmarkStart w:id="1568" w:name="_Toc38441322"/>
      <w:bookmarkStart w:id="1569" w:name="_Toc38441654"/>
      <w:bookmarkStart w:id="1570" w:name="_Toc38441982"/>
      <w:bookmarkStart w:id="1571" w:name="_Toc38442314"/>
      <w:bookmarkStart w:id="1572" w:name="_Toc38442646"/>
      <w:bookmarkStart w:id="1573" w:name="_Toc38442977"/>
      <w:bookmarkStart w:id="1574" w:name="_Toc38443308"/>
      <w:bookmarkStart w:id="1575" w:name="_Toc38443639"/>
      <w:bookmarkStart w:id="1576" w:name="_Toc38443969"/>
      <w:bookmarkStart w:id="1577" w:name="_Toc38438437"/>
      <w:bookmarkStart w:id="1578" w:name="_Toc38438774"/>
      <w:bookmarkStart w:id="1579" w:name="_Toc38439111"/>
      <w:bookmarkStart w:id="1580" w:name="_Toc38439448"/>
      <w:bookmarkStart w:id="1581" w:name="_Toc38439785"/>
      <w:bookmarkStart w:id="1582" w:name="_Toc38440122"/>
      <w:bookmarkStart w:id="1583" w:name="_Toc38440459"/>
      <w:bookmarkStart w:id="1584" w:name="_Toc38440991"/>
      <w:bookmarkStart w:id="1585" w:name="_Toc38441323"/>
      <w:bookmarkStart w:id="1586" w:name="_Toc38441655"/>
      <w:bookmarkStart w:id="1587" w:name="_Toc38441983"/>
      <w:bookmarkStart w:id="1588" w:name="_Toc38442315"/>
      <w:bookmarkStart w:id="1589" w:name="_Toc38442647"/>
      <w:bookmarkStart w:id="1590" w:name="_Toc38442978"/>
      <w:bookmarkStart w:id="1591" w:name="_Toc38443309"/>
      <w:bookmarkStart w:id="1592" w:name="_Toc38443640"/>
      <w:bookmarkStart w:id="1593" w:name="_Toc38443970"/>
      <w:bookmarkStart w:id="1594" w:name="_Toc38438438"/>
      <w:bookmarkStart w:id="1595" w:name="_Toc38438775"/>
      <w:bookmarkStart w:id="1596" w:name="_Toc38439112"/>
      <w:bookmarkStart w:id="1597" w:name="_Toc38439449"/>
      <w:bookmarkStart w:id="1598" w:name="_Toc38439786"/>
      <w:bookmarkStart w:id="1599" w:name="_Toc38440123"/>
      <w:bookmarkStart w:id="1600" w:name="_Toc38440460"/>
      <w:bookmarkStart w:id="1601" w:name="_Toc38440992"/>
      <w:bookmarkStart w:id="1602" w:name="_Toc38441324"/>
      <w:bookmarkStart w:id="1603" w:name="_Toc38441656"/>
      <w:bookmarkStart w:id="1604" w:name="_Toc38441984"/>
      <w:bookmarkStart w:id="1605" w:name="_Toc38442316"/>
      <w:bookmarkStart w:id="1606" w:name="_Toc38442648"/>
      <w:bookmarkStart w:id="1607" w:name="_Toc38442979"/>
      <w:bookmarkStart w:id="1608" w:name="_Toc38443310"/>
      <w:bookmarkStart w:id="1609" w:name="_Toc38443641"/>
      <w:bookmarkStart w:id="1610" w:name="_Toc38443971"/>
      <w:bookmarkStart w:id="1611" w:name="_Toc38438439"/>
      <w:bookmarkStart w:id="1612" w:name="_Toc38438776"/>
      <w:bookmarkStart w:id="1613" w:name="_Toc38439113"/>
      <w:bookmarkStart w:id="1614" w:name="_Toc38439450"/>
      <w:bookmarkStart w:id="1615" w:name="_Toc38439787"/>
      <w:bookmarkStart w:id="1616" w:name="_Toc38440124"/>
      <w:bookmarkStart w:id="1617" w:name="_Toc38440461"/>
      <w:bookmarkStart w:id="1618" w:name="_Toc38440993"/>
      <w:bookmarkStart w:id="1619" w:name="_Toc38441325"/>
      <w:bookmarkStart w:id="1620" w:name="_Toc38441657"/>
      <w:bookmarkStart w:id="1621" w:name="_Toc38441985"/>
      <w:bookmarkStart w:id="1622" w:name="_Toc38442317"/>
      <w:bookmarkStart w:id="1623" w:name="_Toc38442649"/>
      <w:bookmarkStart w:id="1624" w:name="_Toc38442980"/>
      <w:bookmarkStart w:id="1625" w:name="_Toc38443311"/>
      <w:bookmarkStart w:id="1626" w:name="_Toc38443642"/>
      <w:bookmarkStart w:id="1627" w:name="_Toc38443972"/>
      <w:bookmarkStart w:id="1628" w:name="_Toc38438440"/>
      <w:bookmarkStart w:id="1629" w:name="_Toc38438777"/>
      <w:bookmarkStart w:id="1630" w:name="_Toc38439114"/>
      <w:bookmarkStart w:id="1631" w:name="_Toc38439451"/>
      <w:bookmarkStart w:id="1632" w:name="_Toc38439788"/>
      <w:bookmarkStart w:id="1633" w:name="_Toc38440125"/>
      <w:bookmarkStart w:id="1634" w:name="_Toc38440462"/>
      <w:bookmarkStart w:id="1635" w:name="_Toc38440994"/>
      <w:bookmarkStart w:id="1636" w:name="_Toc38441326"/>
      <w:bookmarkStart w:id="1637" w:name="_Toc38441658"/>
      <w:bookmarkStart w:id="1638" w:name="_Toc38441986"/>
      <w:bookmarkStart w:id="1639" w:name="_Toc38442318"/>
      <w:bookmarkStart w:id="1640" w:name="_Toc38442650"/>
      <w:bookmarkStart w:id="1641" w:name="_Toc38442981"/>
      <w:bookmarkStart w:id="1642" w:name="_Toc38443312"/>
      <w:bookmarkStart w:id="1643" w:name="_Toc38443643"/>
      <w:bookmarkStart w:id="1644" w:name="_Toc38443973"/>
      <w:bookmarkStart w:id="1645" w:name="_Toc38438441"/>
      <w:bookmarkStart w:id="1646" w:name="_Toc38438778"/>
      <w:bookmarkStart w:id="1647" w:name="_Toc38439115"/>
      <w:bookmarkStart w:id="1648" w:name="_Toc38439452"/>
      <w:bookmarkStart w:id="1649" w:name="_Toc38439789"/>
      <w:bookmarkStart w:id="1650" w:name="_Toc38440126"/>
      <w:bookmarkStart w:id="1651" w:name="_Toc38440463"/>
      <w:bookmarkStart w:id="1652" w:name="_Toc38440995"/>
      <w:bookmarkStart w:id="1653" w:name="_Toc38441327"/>
      <w:bookmarkStart w:id="1654" w:name="_Toc38441659"/>
      <w:bookmarkStart w:id="1655" w:name="_Toc38441987"/>
      <w:bookmarkStart w:id="1656" w:name="_Toc38442319"/>
      <w:bookmarkStart w:id="1657" w:name="_Toc38442651"/>
      <w:bookmarkStart w:id="1658" w:name="_Toc38442982"/>
      <w:bookmarkStart w:id="1659" w:name="_Toc38443313"/>
      <w:bookmarkStart w:id="1660" w:name="_Toc38443644"/>
      <w:bookmarkStart w:id="1661" w:name="_Toc38443974"/>
      <w:bookmarkStart w:id="1662" w:name="_Toc38438442"/>
      <w:bookmarkStart w:id="1663" w:name="_Toc38438779"/>
      <w:bookmarkStart w:id="1664" w:name="_Toc38439116"/>
      <w:bookmarkStart w:id="1665" w:name="_Toc38439453"/>
      <w:bookmarkStart w:id="1666" w:name="_Toc38439790"/>
      <w:bookmarkStart w:id="1667" w:name="_Toc38440127"/>
      <w:bookmarkStart w:id="1668" w:name="_Toc38440464"/>
      <w:bookmarkStart w:id="1669" w:name="_Toc38440996"/>
      <w:bookmarkStart w:id="1670" w:name="_Toc38441328"/>
      <w:bookmarkStart w:id="1671" w:name="_Toc38441660"/>
      <w:bookmarkStart w:id="1672" w:name="_Toc38441988"/>
      <w:bookmarkStart w:id="1673" w:name="_Toc38442320"/>
      <w:bookmarkStart w:id="1674" w:name="_Toc38442652"/>
      <w:bookmarkStart w:id="1675" w:name="_Toc38442983"/>
      <w:bookmarkStart w:id="1676" w:name="_Toc38443314"/>
      <w:bookmarkStart w:id="1677" w:name="_Toc38443645"/>
      <w:bookmarkStart w:id="1678" w:name="_Toc38443975"/>
      <w:bookmarkStart w:id="1679" w:name="_Toc38438443"/>
      <w:bookmarkStart w:id="1680" w:name="_Toc38438780"/>
      <w:bookmarkStart w:id="1681" w:name="_Toc38439117"/>
      <w:bookmarkStart w:id="1682" w:name="_Toc38439454"/>
      <w:bookmarkStart w:id="1683" w:name="_Toc38439791"/>
      <w:bookmarkStart w:id="1684" w:name="_Toc38440128"/>
      <w:bookmarkStart w:id="1685" w:name="_Toc38440465"/>
      <w:bookmarkStart w:id="1686" w:name="_Toc38440997"/>
      <w:bookmarkStart w:id="1687" w:name="_Toc38441329"/>
      <w:bookmarkStart w:id="1688" w:name="_Toc38441661"/>
      <w:bookmarkStart w:id="1689" w:name="_Toc38441989"/>
      <w:bookmarkStart w:id="1690" w:name="_Toc38442321"/>
      <w:bookmarkStart w:id="1691" w:name="_Toc38442653"/>
      <w:bookmarkStart w:id="1692" w:name="_Toc38442984"/>
      <w:bookmarkStart w:id="1693" w:name="_Toc38443315"/>
      <w:bookmarkStart w:id="1694" w:name="_Toc38443646"/>
      <w:bookmarkStart w:id="1695" w:name="_Toc38443976"/>
      <w:bookmarkStart w:id="1696" w:name="_Toc38438444"/>
      <w:bookmarkStart w:id="1697" w:name="_Toc38438781"/>
      <w:bookmarkStart w:id="1698" w:name="_Toc38439118"/>
      <w:bookmarkStart w:id="1699" w:name="_Toc38439455"/>
      <w:bookmarkStart w:id="1700" w:name="_Toc38439792"/>
      <w:bookmarkStart w:id="1701" w:name="_Toc38440129"/>
      <w:bookmarkStart w:id="1702" w:name="_Toc38440466"/>
      <w:bookmarkStart w:id="1703" w:name="_Toc38440998"/>
      <w:bookmarkStart w:id="1704" w:name="_Toc38441330"/>
      <w:bookmarkStart w:id="1705" w:name="_Toc38441662"/>
      <w:bookmarkStart w:id="1706" w:name="_Toc38441990"/>
      <w:bookmarkStart w:id="1707" w:name="_Toc38442322"/>
      <w:bookmarkStart w:id="1708" w:name="_Toc38442654"/>
      <w:bookmarkStart w:id="1709" w:name="_Toc38442985"/>
      <w:bookmarkStart w:id="1710" w:name="_Toc38443316"/>
      <w:bookmarkStart w:id="1711" w:name="_Toc38443647"/>
      <w:bookmarkStart w:id="1712" w:name="_Toc38443977"/>
      <w:bookmarkStart w:id="1713" w:name="_Toc38438445"/>
      <w:bookmarkStart w:id="1714" w:name="_Toc38438782"/>
      <w:bookmarkStart w:id="1715" w:name="_Toc38439119"/>
      <w:bookmarkStart w:id="1716" w:name="_Toc38439456"/>
      <w:bookmarkStart w:id="1717" w:name="_Toc38439793"/>
      <w:bookmarkStart w:id="1718" w:name="_Toc38440130"/>
      <w:bookmarkStart w:id="1719" w:name="_Toc38440467"/>
      <w:bookmarkStart w:id="1720" w:name="_Toc38440999"/>
      <w:bookmarkStart w:id="1721" w:name="_Toc38441331"/>
      <w:bookmarkStart w:id="1722" w:name="_Toc38441663"/>
      <w:bookmarkStart w:id="1723" w:name="_Toc38441991"/>
      <w:bookmarkStart w:id="1724" w:name="_Toc38442323"/>
      <w:bookmarkStart w:id="1725" w:name="_Toc38442655"/>
      <w:bookmarkStart w:id="1726" w:name="_Toc38442986"/>
      <w:bookmarkStart w:id="1727" w:name="_Toc38443317"/>
      <w:bookmarkStart w:id="1728" w:name="_Toc38443648"/>
      <w:bookmarkStart w:id="1729" w:name="_Toc38443978"/>
      <w:bookmarkStart w:id="1730" w:name="_Toc38438446"/>
      <w:bookmarkStart w:id="1731" w:name="_Toc38438783"/>
      <w:bookmarkStart w:id="1732" w:name="_Toc38439120"/>
      <w:bookmarkStart w:id="1733" w:name="_Toc38439457"/>
      <w:bookmarkStart w:id="1734" w:name="_Toc38439794"/>
      <w:bookmarkStart w:id="1735" w:name="_Toc38440131"/>
      <w:bookmarkStart w:id="1736" w:name="_Toc38440468"/>
      <w:bookmarkStart w:id="1737" w:name="_Toc38441000"/>
      <w:bookmarkStart w:id="1738" w:name="_Toc38441332"/>
      <w:bookmarkStart w:id="1739" w:name="_Toc38441664"/>
      <w:bookmarkStart w:id="1740" w:name="_Toc38441992"/>
      <w:bookmarkStart w:id="1741" w:name="_Toc38442324"/>
      <w:bookmarkStart w:id="1742" w:name="_Toc38442656"/>
      <w:bookmarkStart w:id="1743" w:name="_Toc38442987"/>
      <w:bookmarkStart w:id="1744" w:name="_Toc38443318"/>
      <w:bookmarkStart w:id="1745" w:name="_Toc38443649"/>
      <w:bookmarkStart w:id="1746" w:name="_Toc38443979"/>
      <w:bookmarkStart w:id="1747" w:name="_Toc38438447"/>
      <w:bookmarkStart w:id="1748" w:name="_Toc38438784"/>
      <w:bookmarkStart w:id="1749" w:name="_Toc38439121"/>
      <w:bookmarkStart w:id="1750" w:name="_Toc38439458"/>
      <w:bookmarkStart w:id="1751" w:name="_Toc38439795"/>
      <w:bookmarkStart w:id="1752" w:name="_Toc38440132"/>
      <w:bookmarkStart w:id="1753" w:name="_Toc38440469"/>
      <w:bookmarkStart w:id="1754" w:name="_Toc38441001"/>
      <w:bookmarkStart w:id="1755" w:name="_Toc38441333"/>
      <w:bookmarkStart w:id="1756" w:name="_Toc38441665"/>
      <w:bookmarkStart w:id="1757" w:name="_Toc38441993"/>
      <w:bookmarkStart w:id="1758" w:name="_Toc38442325"/>
      <w:bookmarkStart w:id="1759" w:name="_Toc38442657"/>
      <w:bookmarkStart w:id="1760" w:name="_Toc38442988"/>
      <w:bookmarkStart w:id="1761" w:name="_Toc38443319"/>
      <w:bookmarkStart w:id="1762" w:name="_Toc38443650"/>
      <w:bookmarkStart w:id="1763" w:name="_Toc38443980"/>
      <w:bookmarkStart w:id="1764" w:name="_Toc38438448"/>
      <w:bookmarkStart w:id="1765" w:name="_Toc38438785"/>
      <w:bookmarkStart w:id="1766" w:name="_Toc38439122"/>
      <w:bookmarkStart w:id="1767" w:name="_Toc38439459"/>
      <w:bookmarkStart w:id="1768" w:name="_Toc38439796"/>
      <w:bookmarkStart w:id="1769" w:name="_Toc38440133"/>
      <w:bookmarkStart w:id="1770" w:name="_Toc38440470"/>
      <w:bookmarkStart w:id="1771" w:name="_Toc38441002"/>
      <w:bookmarkStart w:id="1772" w:name="_Toc38441334"/>
      <w:bookmarkStart w:id="1773" w:name="_Toc38441666"/>
      <w:bookmarkStart w:id="1774" w:name="_Toc38441994"/>
      <w:bookmarkStart w:id="1775" w:name="_Toc38442326"/>
      <w:bookmarkStart w:id="1776" w:name="_Toc38442658"/>
      <w:bookmarkStart w:id="1777" w:name="_Toc38442989"/>
      <w:bookmarkStart w:id="1778" w:name="_Toc38443320"/>
      <w:bookmarkStart w:id="1779" w:name="_Toc38443651"/>
      <w:bookmarkStart w:id="1780" w:name="_Toc38443981"/>
      <w:bookmarkStart w:id="1781" w:name="_Toc38438449"/>
      <w:bookmarkStart w:id="1782" w:name="_Toc38438786"/>
      <w:bookmarkStart w:id="1783" w:name="_Toc38439123"/>
      <w:bookmarkStart w:id="1784" w:name="_Toc38439460"/>
      <w:bookmarkStart w:id="1785" w:name="_Toc38439797"/>
      <w:bookmarkStart w:id="1786" w:name="_Toc38440134"/>
      <w:bookmarkStart w:id="1787" w:name="_Toc38440471"/>
      <w:bookmarkStart w:id="1788" w:name="_Toc38441003"/>
      <w:bookmarkStart w:id="1789" w:name="_Toc38441335"/>
      <w:bookmarkStart w:id="1790" w:name="_Toc38441667"/>
      <w:bookmarkStart w:id="1791" w:name="_Toc38441995"/>
      <w:bookmarkStart w:id="1792" w:name="_Toc38442327"/>
      <w:bookmarkStart w:id="1793" w:name="_Toc38442659"/>
      <w:bookmarkStart w:id="1794" w:name="_Toc38442990"/>
      <w:bookmarkStart w:id="1795" w:name="_Toc38443321"/>
      <w:bookmarkStart w:id="1796" w:name="_Toc38443652"/>
      <w:bookmarkStart w:id="1797" w:name="_Toc38443982"/>
      <w:bookmarkStart w:id="1798" w:name="_Toc38438450"/>
      <w:bookmarkStart w:id="1799" w:name="_Toc38438787"/>
      <w:bookmarkStart w:id="1800" w:name="_Toc38439124"/>
      <w:bookmarkStart w:id="1801" w:name="_Toc38439461"/>
      <w:bookmarkStart w:id="1802" w:name="_Toc38439798"/>
      <w:bookmarkStart w:id="1803" w:name="_Toc38440135"/>
      <w:bookmarkStart w:id="1804" w:name="_Toc38440472"/>
      <w:bookmarkStart w:id="1805" w:name="_Toc38441004"/>
      <w:bookmarkStart w:id="1806" w:name="_Toc38441336"/>
      <w:bookmarkStart w:id="1807" w:name="_Toc38441668"/>
      <w:bookmarkStart w:id="1808" w:name="_Toc38441996"/>
      <w:bookmarkStart w:id="1809" w:name="_Toc38442328"/>
      <w:bookmarkStart w:id="1810" w:name="_Toc38442660"/>
      <w:bookmarkStart w:id="1811" w:name="_Toc38442991"/>
      <w:bookmarkStart w:id="1812" w:name="_Toc38443322"/>
      <w:bookmarkStart w:id="1813" w:name="_Toc38443653"/>
      <w:bookmarkStart w:id="1814" w:name="_Toc38443983"/>
      <w:bookmarkStart w:id="1815" w:name="_Toc38438451"/>
      <w:bookmarkStart w:id="1816" w:name="_Toc38438788"/>
      <w:bookmarkStart w:id="1817" w:name="_Toc38439125"/>
      <w:bookmarkStart w:id="1818" w:name="_Toc38439462"/>
      <w:bookmarkStart w:id="1819" w:name="_Toc38439799"/>
      <w:bookmarkStart w:id="1820" w:name="_Toc38440136"/>
      <w:bookmarkStart w:id="1821" w:name="_Toc38440473"/>
      <w:bookmarkStart w:id="1822" w:name="_Toc38441005"/>
      <w:bookmarkStart w:id="1823" w:name="_Toc38441337"/>
      <w:bookmarkStart w:id="1824" w:name="_Toc38441669"/>
      <w:bookmarkStart w:id="1825" w:name="_Toc38441997"/>
      <w:bookmarkStart w:id="1826" w:name="_Toc38442329"/>
      <w:bookmarkStart w:id="1827" w:name="_Toc38442661"/>
      <w:bookmarkStart w:id="1828" w:name="_Toc38442992"/>
      <w:bookmarkStart w:id="1829" w:name="_Toc38443323"/>
      <w:bookmarkStart w:id="1830" w:name="_Toc38443654"/>
      <w:bookmarkStart w:id="1831" w:name="_Toc38443984"/>
      <w:bookmarkStart w:id="1832" w:name="_Toc38438452"/>
      <w:bookmarkStart w:id="1833" w:name="_Toc38438789"/>
      <w:bookmarkStart w:id="1834" w:name="_Toc38439126"/>
      <w:bookmarkStart w:id="1835" w:name="_Toc38439463"/>
      <w:bookmarkStart w:id="1836" w:name="_Toc38439800"/>
      <w:bookmarkStart w:id="1837" w:name="_Toc38440137"/>
      <w:bookmarkStart w:id="1838" w:name="_Toc38440474"/>
      <w:bookmarkStart w:id="1839" w:name="_Toc38441006"/>
      <w:bookmarkStart w:id="1840" w:name="_Toc38441338"/>
      <w:bookmarkStart w:id="1841" w:name="_Toc38441670"/>
      <w:bookmarkStart w:id="1842" w:name="_Toc38441998"/>
      <w:bookmarkStart w:id="1843" w:name="_Toc38442330"/>
      <w:bookmarkStart w:id="1844" w:name="_Toc38442662"/>
      <w:bookmarkStart w:id="1845" w:name="_Toc38442993"/>
      <w:bookmarkStart w:id="1846" w:name="_Toc38443324"/>
      <w:bookmarkStart w:id="1847" w:name="_Toc38443655"/>
      <w:bookmarkStart w:id="1848" w:name="_Toc38443985"/>
      <w:bookmarkStart w:id="1849" w:name="_Toc38438453"/>
      <w:bookmarkStart w:id="1850" w:name="_Toc38438790"/>
      <w:bookmarkStart w:id="1851" w:name="_Toc38439127"/>
      <w:bookmarkStart w:id="1852" w:name="_Toc38439464"/>
      <w:bookmarkStart w:id="1853" w:name="_Toc38439801"/>
      <w:bookmarkStart w:id="1854" w:name="_Toc38440138"/>
      <w:bookmarkStart w:id="1855" w:name="_Toc38440475"/>
      <w:bookmarkStart w:id="1856" w:name="_Toc38441007"/>
      <w:bookmarkStart w:id="1857" w:name="_Toc38441339"/>
      <w:bookmarkStart w:id="1858" w:name="_Toc38441671"/>
      <w:bookmarkStart w:id="1859" w:name="_Toc38441999"/>
      <w:bookmarkStart w:id="1860" w:name="_Toc38442331"/>
      <w:bookmarkStart w:id="1861" w:name="_Toc38442663"/>
      <w:bookmarkStart w:id="1862" w:name="_Toc38442994"/>
      <w:bookmarkStart w:id="1863" w:name="_Toc38443325"/>
      <w:bookmarkStart w:id="1864" w:name="_Toc38443656"/>
      <w:bookmarkStart w:id="1865" w:name="_Toc38443986"/>
      <w:bookmarkStart w:id="1866" w:name="_Toc38438454"/>
      <w:bookmarkStart w:id="1867" w:name="_Toc38438791"/>
      <w:bookmarkStart w:id="1868" w:name="_Toc38439128"/>
      <w:bookmarkStart w:id="1869" w:name="_Toc38439465"/>
      <w:bookmarkStart w:id="1870" w:name="_Toc38439802"/>
      <w:bookmarkStart w:id="1871" w:name="_Toc38440139"/>
      <w:bookmarkStart w:id="1872" w:name="_Toc38440476"/>
      <w:bookmarkStart w:id="1873" w:name="_Toc38441008"/>
      <w:bookmarkStart w:id="1874" w:name="_Toc38441340"/>
      <w:bookmarkStart w:id="1875" w:name="_Toc38441672"/>
      <w:bookmarkStart w:id="1876" w:name="_Toc38442000"/>
      <w:bookmarkStart w:id="1877" w:name="_Toc38442332"/>
      <w:bookmarkStart w:id="1878" w:name="_Toc38442664"/>
      <w:bookmarkStart w:id="1879" w:name="_Toc38442995"/>
      <w:bookmarkStart w:id="1880" w:name="_Toc38443326"/>
      <w:bookmarkStart w:id="1881" w:name="_Toc38443657"/>
      <w:bookmarkStart w:id="1882" w:name="_Toc38443987"/>
      <w:bookmarkStart w:id="1883" w:name="_Toc38438455"/>
      <w:bookmarkStart w:id="1884" w:name="_Toc38438792"/>
      <w:bookmarkStart w:id="1885" w:name="_Toc38439129"/>
      <w:bookmarkStart w:id="1886" w:name="_Toc38439466"/>
      <w:bookmarkStart w:id="1887" w:name="_Toc38439803"/>
      <w:bookmarkStart w:id="1888" w:name="_Toc38440140"/>
      <w:bookmarkStart w:id="1889" w:name="_Toc38440477"/>
      <w:bookmarkStart w:id="1890" w:name="_Toc38441009"/>
      <w:bookmarkStart w:id="1891" w:name="_Toc38441341"/>
      <w:bookmarkStart w:id="1892" w:name="_Toc38441673"/>
      <w:bookmarkStart w:id="1893" w:name="_Toc38442001"/>
      <w:bookmarkStart w:id="1894" w:name="_Toc38442333"/>
      <w:bookmarkStart w:id="1895" w:name="_Toc38442665"/>
      <w:bookmarkStart w:id="1896" w:name="_Toc38442996"/>
      <w:bookmarkStart w:id="1897" w:name="_Toc38443327"/>
      <w:bookmarkStart w:id="1898" w:name="_Toc38443658"/>
      <w:bookmarkStart w:id="1899" w:name="_Toc38443988"/>
      <w:bookmarkStart w:id="1900" w:name="_Toc38438456"/>
      <w:bookmarkStart w:id="1901" w:name="_Toc38438793"/>
      <w:bookmarkStart w:id="1902" w:name="_Toc38439130"/>
      <w:bookmarkStart w:id="1903" w:name="_Toc38439467"/>
      <w:bookmarkStart w:id="1904" w:name="_Toc38439804"/>
      <w:bookmarkStart w:id="1905" w:name="_Toc38440141"/>
      <w:bookmarkStart w:id="1906" w:name="_Toc38440478"/>
      <w:bookmarkStart w:id="1907" w:name="_Toc38441010"/>
      <w:bookmarkStart w:id="1908" w:name="_Toc38441342"/>
      <w:bookmarkStart w:id="1909" w:name="_Toc38441674"/>
      <w:bookmarkStart w:id="1910" w:name="_Toc38442002"/>
      <w:bookmarkStart w:id="1911" w:name="_Toc38442334"/>
      <w:bookmarkStart w:id="1912" w:name="_Toc38442666"/>
      <w:bookmarkStart w:id="1913" w:name="_Toc38442997"/>
      <w:bookmarkStart w:id="1914" w:name="_Toc38443328"/>
      <w:bookmarkStart w:id="1915" w:name="_Toc38443659"/>
      <w:bookmarkStart w:id="1916" w:name="_Toc38443989"/>
      <w:bookmarkStart w:id="1917" w:name="_Toc38438457"/>
      <w:bookmarkStart w:id="1918" w:name="_Toc38438794"/>
      <w:bookmarkStart w:id="1919" w:name="_Toc38439131"/>
      <w:bookmarkStart w:id="1920" w:name="_Toc38439468"/>
      <w:bookmarkStart w:id="1921" w:name="_Toc38439805"/>
      <w:bookmarkStart w:id="1922" w:name="_Toc38440142"/>
      <w:bookmarkStart w:id="1923" w:name="_Toc38440479"/>
      <w:bookmarkStart w:id="1924" w:name="_Toc38441011"/>
      <w:bookmarkStart w:id="1925" w:name="_Toc38441343"/>
      <w:bookmarkStart w:id="1926" w:name="_Toc38441675"/>
      <w:bookmarkStart w:id="1927" w:name="_Toc38442003"/>
      <w:bookmarkStart w:id="1928" w:name="_Toc38442335"/>
      <w:bookmarkStart w:id="1929" w:name="_Toc38442667"/>
      <w:bookmarkStart w:id="1930" w:name="_Toc38442998"/>
      <w:bookmarkStart w:id="1931" w:name="_Toc38443329"/>
      <w:bookmarkStart w:id="1932" w:name="_Toc38443660"/>
      <w:bookmarkStart w:id="1933" w:name="_Toc38443990"/>
      <w:bookmarkStart w:id="1934" w:name="_Toc38438458"/>
      <w:bookmarkStart w:id="1935" w:name="_Toc38438795"/>
      <w:bookmarkStart w:id="1936" w:name="_Toc38439132"/>
      <w:bookmarkStart w:id="1937" w:name="_Toc38439469"/>
      <w:bookmarkStart w:id="1938" w:name="_Toc38439806"/>
      <w:bookmarkStart w:id="1939" w:name="_Toc38440143"/>
      <w:bookmarkStart w:id="1940" w:name="_Toc38440480"/>
      <w:bookmarkStart w:id="1941" w:name="_Toc38441012"/>
      <w:bookmarkStart w:id="1942" w:name="_Toc38441344"/>
      <w:bookmarkStart w:id="1943" w:name="_Toc38441676"/>
      <w:bookmarkStart w:id="1944" w:name="_Toc38442004"/>
      <w:bookmarkStart w:id="1945" w:name="_Toc38442336"/>
      <w:bookmarkStart w:id="1946" w:name="_Toc38442668"/>
      <w:bookmarkStart w:id="1947" w:name="_Toc38442999"/>
      <w:bookmarkStart w:id="1948" w:name="_Toc38443330"/>
      <w:bookmarkStart w:id="1949" w:name="_Toc38443661"/>
      <w:bookmarkStart w:id="1950" w:name="_Toc38443991"/>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r w:rsidRPr="00D6191E">
        <w:rPr>
          <w:rFonts w:asciiTheme="minorEastAsia" w:eastAsiaTheme="minorEastAsia" w:hAnsiTheme="minorEastAsia" w:hint="eastAsia"/>
        </w:rPr>
        <w:t>易方达基金管理有限公司</w:t>
      </w:r>
    </w:p>
    <w:p w:rsidR="007351B1" w:rsidRPr="00D6191E" w:rsidRDefault="00E22F92" w:rsidP="000449FE">
      <w:pPr>
        <w:adjustRightInd w:val="0"/>
        <w:snapToGrid w:val="0"/>
        <w:spacing w:line="360" w:lineRule="auto"/>
        <w:ind w:right="210" w:firstLine="420"/>
        <w:jc w:val="right"/>
        <w:rPr>
          <w:rFonts w:asciiTheme="minorEastAsia" w:eastAsiaTheme="minorEastAsia" w:hAnsiTheme="minorEastAsia"/>
        </w:rPr>
      </w:pPr>
      <w:r>
        <w:t>2021</w:t>
      </w:r>
      <w:r>
        <w:t>年</w:t>
      </w:r>
      <w:r>
        <w:t>10</w:t>
      </w:r>
      <w:r>
        <w:t>月</w:t>
      </w:r>
      <w:r w:rsidR="007B3CFB">
        <w:t>29</w:t>
      </w:r>
      <w:r>
        <w:t>日</w:t>
      </w:r>
    </w:p>
    <w:sectPr w:rsidR="007351B1" w:rsidRPr="00D6191E" w:rsidSect="00D6191E">
      <w:pgSz w:w="11906" w:h="16838" w:code="9"/>
      <w:pgMar w:top="1440" w:right="1800" w:bottom="1440" w:left="1800" w:header="720" w:footer="720"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89E" w:rsidRDefault="004A189E">
      <w:r>
        <w:separator/>
      </w:r>
    </w:p>
  </w:endnote>
  <w:endnote w:type="continuationSeparator" w:id="0">
    <w:p w:rsidR="004A189E" w:rsidRDefault="004A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T64E9BFA0tCID-WinCharSetFFFF-H">
    <w:altName w:val="方正舒体"/>
    <w:panose1 w:val="00000000000000000000"/>
    <w:charset w:val="86"/>
    <w:family w:val="auto"/>
    <w:notTrueType/>
    <w:pitch w:val="default"/>
    <w:sig w:usb0="00000001" w:usb1="080E0000" w:usb2="00000010" w:usb3="00000000" w:csb0="00040000" w:csb1="00000000"/>
  </w:font>
  <w:font w:name="TT54AB0ED3tCID-WinCharSetFFFF-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F7" w:rsidRDefault="009A06F7">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F7" w:rsidRDefault="009A06F7" w:rsidP="004C0F6D">
    <w:pPr>
      <w:pStyle w:val="a9"/>
      <w:framePr w:wrap="around" w:vAnchor="text" w:hAnchor="margin" w:xAlign="center" w:y="1"/>
      <w:ind w:firstLineChars="0" w:firstLine="0"/>
      <w:rPr>
        <w:rStyle w:val="a8"/>
      </w:rPr>
    </w:pPr>
  </w:p>
  <w:p w:rsidR="009A06F7" w:rsidRDefault="009A06F7">
    <w:pPr>
      <w:pStyle w:val="a9"/>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F7" w:rsidRDefault="009A06F7">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F7" w:rsidRDefault="009A06F7" w:rsidP="004C0F6D">
    <w:pPr>
      <w:pStyle w:val="a9"/>
      <w:framePr w:wrap="around" w:vAnchor="text" w:hAnchor="margin" w:xAlign="center" w:y="1"/>
      <w:ind w:firstLineChars="0" w:firstLine="0"/>
      <w:rPr>
        <w:rStyle w:val="a8"/>
      </w:rPr>
    </w:pPr>
    <w:r>
      <w:rPr>
        <w:rStyle w:val="a8"/>
      </w:rPr>
      <w:fldChar w:fldCharType="begin"/>
    </w:r>
    <w:r>
      <w:rPr>
        <w:rStyle w:val="a8"/>
      </w:rPr>
      <w:instrText xml:space="preserve">PAGE  </w:instrText>
    </w:r>
    <w:r>
      <w:rPr>
        <w:rStyle w:val="a8"/>
      </w:rPr>
      <w:fldChar w:fldCharType="separate"/>
    </w:r>
    <w:r w:rsidR="00721042">
      <w:rPr>
        <w:rStyle w:val="a8"/>
        <w:noProof/>
      </w:rPr>
      <w:t>V</w:t>
    </w:r>
    <w:r>
      <w:rPr>
        <w:rStyle w:val="a8"/>
      </w:rPr>
      <w:fldChar w:fldCharType="end"/>
    </w:r>
  </w:p>
  <w:p w:rsidR="009A06F7" w:rsidRDefault="009A06F7">
    <w:pPr>
      <w:pStyle w:val="a9"/>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F7" w:rsidRDefault="009A06F7" w:rsidP="008F23AD">
    <w:pPr>
      <w:pStyle w:val="a9"/>
      <w:framePr w:wrap="around" w:vAnchor="text" w:hAnchor="page" w:x="5896" w:y="-25"/>
      <w:ind w:firstLineChars="0" w:firstLine="0"/>
      <w:rPr>
        <w:rStyle w:val="a8"/>
      </w:rPr>
    </w:pPr>
    <w:r>
      <w:rPr>
        <w:rStyle w:val="a8"/>
      </w:rPr>
      <w:fldChar w:fldCharType="begin"/>
    </w:r>
    <w:r>
      <w:rPr>
        <w:rStyle w:val="a8"/>
      </w:rPr>
      <w:instrText xml:space="preserve">PAGE  </w:instrText>
    </w:r>
    <w:r>
      <w:rPr>
        <w:rStyle w:val="a8"/>
      </w:rPr>
      <w:fldChar w:fldCharType="separate"/>
    </w:r>
    <w:r w:rsidR="00721042">
      <w:rPr>
        <w:rStyle w:val="a8"/>
        <w:noProof/>
      </w:rPr>
      <w:t>108</w:t>
    </w:r>
    <w:r>
      <w:rPr>
        <w:rStyle w:val="a8"/>
      </w:rPr>
      <w:fldChar w:fldCharType="end"/>
    </w:r>
  </w:p>
  <w:p w:rsidR="009A06F7" w:rsidRDefault="009A06F7" w:rsidP="008F23AD">
    <w:pPr>
      <w:pStyle w:val="a9"/>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89E" w:rsidRDefault="004A189E">
      <w:r>
        <w:separator/>
      </w:r>
    </w:p>
  </w:footnote>
  <w:footnote w:type="continuationSeparator" w:id="0">
    <w:p w:rsidR="004A189E" w:rsidRDefault="004A1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F7" w:rsidRDefault="009A06F7">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F7" w:rsidRPr="00B7708F" w:rsidRDefault="009A06F7" w:rsidP="00B7708F">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F7" w:rsidRDefault="009A06F7">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15:restartNumberingAfterBreak="0">
    <w:nsid w:val="615E22BF"/>
    <w:multiLevelType w:val="hybridMultilevel"/>
    <w:tmpl w:val="8AE85736"/>
    <w:lvl w:ilvl="0" w:tplc="4720F2A6">
      <w:start w:val="1"/>
      <w:numFmt w:val="chineseCountingThousand"/>
      <w:lvlText w:val="%1、"/>
      <w:lvlJc w:val="left"/>
      <w:pPr>
        <w:tabs>
          <w:tab w:val="num" w:pos="2798"/>
        </w:tabs>
        <w:ind w:left="2798" w:hanging="896"/>
      </w:pPr>
      <w:rPr>
        <w:rFonts w:asciiTheme="minorEastAsia" w:eastAsiaTheme="minorEastAsia" w:hAnsiTheme="minorEastAsia" w:hint="eastAsia"/>
        <w:b/>
        <w:i w:val="0"/>
        <w:sz w:val="32"/>
        <w:szCs w:val="32"/>
      </w:rPr>
    </w:lvl>
    <w:lvl w:ilvl="1" w:tplc="F2927438">
      <w:start w:val="1"/>
      <w:numFmt w:val="decimal"/>
      <w:lvlText w:val="%2."/>
      <w:lvlJc w:val="left"/>
      <w:pPr>
        <w:tabs>
          <w:tab w:val="num" w:pos="643"/>
        </w:tabs>
        <w:ind w:left="1063" w:firstLine="0"/>
      </w:pPr>
      <w:rPr>
        <w:rFonts w:ascii="宋体" w:eastAsia="宋体" w:hAnsi="宋体" w:hint="eastAsia"/>
        <w:b w:val="0"/>
        <w:i w:val="0"/>
        <w:sz w:val="21"/>
        <w:szCs w:val="21"/>
      </w:r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4"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5" w15:restartNumberingAfterBreak="0">
    <w:nsid w:val="77B4748A"/>
    <w:multiLevelType w:val="hybridMultilevel"/>
    <w:tmpl w:val="AFD635C0"/>
    <w:lvl w:ilvl="0" w:tplc="99AA8908">
      <w:start w:val="1"/>
      <w:numFmt w:val="decimal"/>
      <w:lvlText w:val="%1."/>
      <w:lvlJc w:val="left"/>
      <w:pPr>
        <w:tabs>
          <w:tab w:val="num" w:pos="780"/>
        </w:tabs>
        <w:ind w:left="420" w:firstLine="0"/>
      </w:pPr>
      <w:rPr>
        <w:rFonts w:hint="eastAsia"/>
      </w:rPr>
    </w:lvl>
    <w:lvl w:ilvl="1" w:tplc="6F824AA8">
      <w:start w:val="1"/>
      <w:numFmt w:val="decimal"/>
      <w:lvlText w:val="（%2）"/>
      <w:lvlJc w:val="left"/>
      <w:pPr>
        <w:tabs>
          <w:tab w:val="num" w:pos="851"/>
        </w:tabs>
        <w:ind w:left="851" w:hanging="567"/>
      </w:pPr>
      <w:rPr>
        <w:rFonts w:hint="eastAsia"/>
        <w:lang w:val="en-US"/>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4"/>
  </w:num>
  <w:num w:numId="4">
    <w:abstractNumId w:val="2"/>
  </w:num>
  <w:num w:numId="5">
    <w:abstractNumId w:val="5"/>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116B"/>
    <w:rsid w:val="000033A6"/>
    <w:rsid w:val="000044E4"/>
    <w:rsid w:val="00007A9A"/>
    <w:rsid w:val="000125DB"/>
    <w:rsid w:val="000150E6"/>
    <w:rsid w:val="00015311"/>
    <w:rsid w:val="00021128"/>
    <w:rsid w:val="00021E66"/>
    <w:rsid w:val="000263AF"/>
    <w:rsid w:val="0002720B"/>
    <w:rsid w:val="00033957"/>
    <w:rsid w:val="00036D9D"/>
    <w:rsid w:val="000449FE"/>
    <w:rsid w:val="00044BDA"/>
    <w:rsid w:val="00045EB6"/>
    <w:rsid w:val="000462AA"/>
    <w:rsid w:val="00046B2B"/>
    <w:rsid w:val="00051B14"/>
    <w:rsid w:val="00054484"/>
    <w:rsid w:val="0005548E"/>
    <w:rsid w:val="00060AEC"/>
    <w:rsid w:val="00060DA5"/>
    <w:rsid w:val="00066380"/>
    <w:rsid w:val="000676DE"/>
    <w:rsid w:val="00067ADE"/>
    <w:rsid w:val="00071473"/>
    <w:rsid w:val="00073865"/>
    <w:rsid w:val="00083C25"/>
    <w:rsid w:val="00086C07"/>
    <w:rsid w:val="00091A49"/>
    <w:rsid w:val="000959F7"/>
    <w:rsid w:val="00095D31"/>
    <w:rsid w:val="000A0B04"/>
    <w:rsid w:val="000A0D68"/>
    <w:rsid w:val="000A1F27"/>
    <w:rsid w:val="000A2E0C"/>
    <w:rsid w:val="000A3D01"/>
    <w:rsid w:val="000A53A4"/>
    <w:rsid w:val="000A562A"/>
    <w:rsid w:val="000A63CB"/>
    <w:rsid w:val="000A6B91"/>
    <w:rsid w:val="000B30F1"/>
    <w:rsid w:val="000B3502"/>
    <w:rsid w:val="000B4D66"/>
    <w:rsid w:val="000B6581"/>
    <w:rsid w:val="000C3945"/>
    <w:rsid w:val="000C4AA3"/>
    <w:rsid w:val="000C6022"/>
    <w:rsid w:val="000C61B8"/>
    <w:rsid w:val="000C62C0"/>
    <w:rsid w:val="000D0522"/>
    <w:rsid w:val="000D0D42"/>
    <w:rsid w:val="000D315B"/>
    <w:rsid w:val="000E0507"/>
    <w:rsid w:val="000E14EA"/>
    <w:rsid w:val="000E2137"/>
    <w:rsid w:val="000E260D"/>
    <w:rsid w:val="000E4055"/>
    <w:rsid w:val="000E459E"/>
    <w:rsid w:val="000E7521"/>
    <w:rsid w:val="000E782C"/>
    <w:rsid w:val="000F1445"/>
    <w:rsid w:val="000F1466"/>
    <w:rsid w:val="000F393B"/>
    <w:rsid w:val="000F3D28"/>
    <w:rsid w:val="000F4226"/>
    <w:rsid w:val="000F4F07"/>
    <w:rsid w:val="000F675D"/>
    <w:rsid w:val="000F7037"/>
    <w:rsid w:val="0010000F"/>
    <w:rsid w:val="0010188A"/>
    <w:rsid w:val="0011071E"/>
    <w:rsid w:val="00113ADE"/>
    <w:rsid w:val="00123652"/>
    <w:rsid w:val="0012467D"/>
    <w:rsid w:val="001301AE"/>
    <w:rsid w:val="00130BAC"/>
    <w:rsid w:val="001312DB"/>
    <w:rsid w:val="00133341"/>
    <w:rsid w:val="00136A75"/>
    <w:rsid w:val="001374EE"/>
    <w:rsid w:val="00141F5C"/>
    <w:rsid w:val="00144429"/>
    <w:rsid w:val="0014502D"/>
    <w:rsid w:val="00145144"/>
    <w:rsid w:val="001458B0"/>
    <w:rsid w:val="00145E4F"/>
    <w:rsid w:val="00146C0A"/>
    <w:rsid w:val="0014777C"/>
    <w:rsid w:val="00152D55"/>
    <w:rsid w:val="00152EEE"/>
    <w:rsid w:val="001546F3"/>
    <w:rsid w:val="00157A81"/>
    <w:rsid w:val="00161606"/>
    <w:rsid w:val="00161C1D"/>
    <w:rsid w:val="00163592"/>
    <w:rsid w:val="0016381A"/>
    <w:rsid w:val="001657F3"/>
    <w:rsid w:val="00165B54"/>
    <w:rsid w:val="0016601B"/>
    <w:rsid w:val="00167322"/>
    <w:rsid w:val="00167870"/>
    <w:rsid w:val="00173A44"/>
    <w:rsid w:val="00181A96"/>
    <w:rsid w:val="00181FD5"/>
    <w:rsid w:val="00186910"/>
    <w:rsid w:val="00186C28"/>
    <w:rsid w:val="001910FF"/>
    <w:rsid w:val="00191B32"/>
    <w:rsid w:val="0019223C"/>
    <w:rsid w:val="00193FF6"/>
    <w:rsid w:val="0019483B"/>
    <w:rsid w:val="0019713E"/>
    <w:rsid w:val="001A0F3C"/>
    <w:rsid w:val="001A5992"/>
    <w:rsid w:val="001A5F83"/>
    <w:rsid w:val="001A7B09"/>
    <w:rsid w:val="001B2C8B"/>
    <w:rsid w:val="001B3C3D"/>
    <w:rsid w:val="001B4C76"/>
    <w:rsid w:val="001C19A0"/>
    <w:rsid w:val="001C1D53"/>
    <w:rsid w:val="001C1D97"/>
    <w:rsid w:val="001D2A4F"/>
    <w:rsid w:val="001D7386"/>
    <w:rsid w:val="001E2780"/>
    <w:rsid w:val="001E32A1"/>
    <w:rsid w:val="001E3986"/>
    <w:rsid w:val="001E576D"/>
    <w:rsid w:val="001E5CEE"/>
    <w:rsid w:val="001E724F"/>
    <w:rsid w:val="001E7817"/>
    <w:rsid w:val="001E7B75"/>
    <w:rsid w:val="001E7E16"/>
    <w:rsid w:val="001F0641"/>
    <w:rsid w:val="001F12B2"/>
    <w:rsid w:val="001F17C6"/>
    <w:rsid w:val="001F4872"/>
    <w:rsid w:val="001F4897"/>
    <w:rsid w:val="00200D60"/>
    <w:rsid w:val="00201400"/>
    <w:rsid w:val="00203C97"/>
    <w:rsid w:val="00204E25"/>
    <w:rsid w:val="00207941"/>
    <w:rsid w:val="00210548"/>
    <w:rsid w:val="00210FB2"/>
    <w:rsid w:val="00212D26"/>
    <w:rsid w:val="0021491A"/>
    <w:rsid w:val="002154CA"/>
    <w:rsid w:val="002158C9"/>
    <w:rsid w:val="00220B62"/>
    <w:rsid w:val="002213EA"/>
    <w:rsid w:val="00223D21"/>
    <w:rsid w:val="00225424"/>
    <w:rsid w:val="002267AB"/>
    <w:rsid w:val="002316F5"/>
    <w:rsid w:val="0023342F"/>
    <w:rsid w:val="00234286"/>
    <w:rsid w:val="00234494"/>
    <w:rsid w:val="00235591"/>
    <w:rsid w:val="00245F77"/>
    <w:rsid w:val="002512DB"/>
    <w:rsid w:val="00251F0E"/>
    <w:rsid w:val="002605FA"/>
    <w:rsid w:val="00260A43"/>
    <w:rsid w:val="002641F0"/>
    <w:rsid w:val="0027081F"/>
    <w:rsid w:val="0027517A"/>
    <w:rsid w:val="002769D1"/>
    <w:rsid w:val="00276C80"/>
    <w:rsid w:val="00280636"/>
    <w:rsid w:val="00281E69"/>
    <w:rsid w:val="00291C9F"/>
    <w:rsid w:val="002922DF"/>
    <w:rsid w:val="00293FCD"/>
    <w:rsid w:val="00294FC6"/>
    <w:rsid w:val="002A1551"/>
    <w:rsid w:val="002A31EB"/>
    <w:rsid w:val="002A3D32"/>
    <w:rsid w:val="002A43C2"/>
    <w:rsid w:val="002A7BA3"/>
    <w:rsid w:val="002B154E"/>
    <w:rsid w:val="002B154F"/>
    <w:rsid w:val="002B35BB"/>
    <w:rsid w:val="002B5EF4"/>
    <w:rsid w:val="002B6366"/>
    <w:rsid w:val="002B73D1"/>
    <w:rsid w:val="002C3F0B"/>
    <w:rsid w:val="002C4134"/>
    <w:rsid w:val="002D057C"/>
    <w:rsid w:val="002D1356"/>
    <w:rsid w:val="002D143B"/>
    <w:rsid w:val="002D7814"/>
    <w:rsid w:val="002E56BD"/>
    <w:rsid w:val="002E58F9"/>
    <w:rsid w:val="002F23DE"/>
    <w:rsid w:val="002F27BB"/>
    <w:rsid w:val="002F3C6A"/>
    <w:rsid w:val="002F76F8"/>
    <w:rsid w:val="003003F0"/>
    <w:rsid w:val="00304B75"/>
    <w:rsid w:val="00305791"/>
    <w:rsid w:val="003149DC"/>
    <w:rsid w:val="00315BF1"/>
    <w:rsid w:val="003207F1"/>
    <w:rsid w:val="00320BD1"/>
    <w:rsid w:val="00322CAF"/>
    <w:rsid w:val="00323CCC"/>
    <w:rsid w:val="0032452F"/>
    <w:rsid w:val="00324D4C"/>
    <w:rsid w:val="003267DA"/>
    <w:rsid w:val="00326DAF"/>
    <w:rsid w:val="003277EC"/>
    <w:rsid w:val="00332341"/>
    <w:rsid w:val="0033250C"/>
    <w:rsid w:val="00334B90"/>
    <w:rsid w:val="003363E3"/>
    <w:rsid w:val="003371E2"/>
    <w:rsid w:val="003371EF"/>
    <w:rsid w:val="003378BA"/>
    <w:rsid w:val="003419CA"/>
    <w:rsid w:val="00342A8C"/>
    <w:rsid w:val="0034649F"/>
    <w:rsid w:val="00347142"/>
    <w:rsid w:val="00356B6E"/>
    <w:rsid w:val="0035757C"/>
    <w:rsid w:val="00360D2A"/>
    <w:rsid w:val="0036228B"/>
    <w:rsid w:val="003641B1"/>
    <w:rsid w:val="00364C00"/>
    <w:rsid w:val="00364F68"/>
    <w:rsid w:val="00365CC4"/>
    <w:rsid w:val="00365FEF"/>
    <w:rsid w:val="0036702D"/>
    <w:rsid w:val="0037108E"/>
    <w:rsid w:val="00371355"/>
    <w:rsid w:val="00371726"/>
    <w:rsid w:val="003723FB"/>
    <w:rsid w:val="00372790"/>
    <w:rsid w:val="0038065E"/>
    <w:rsid w:val="003820EB"/>
    <w:rsid w:val="00387C6E"/>
    <w:rsid w:val="003A173D"/>
    <w:rsid w:val="003A20FA"/>
    <w:rsid w:val="003A581C"/>
    <w:rsid w:val="003B1FEB"/>
    <w:rsid w:val="003B32BA"/>
    <w:rsid w:val="003B4E4D"/>
    <w:rsid w:val="003B5A74"/>
    <w:rsid w:val="003B5E3E"/>
    <w:rsid w:val="003B5F4A"/>
    <w:rsid w:val="003C177D"/>
    <w:rsid w:val="003C1B49"/>
    <w:rsid w:val="003C3021"/>
    <w:rsid w:val="003D0D4E"/>
    <w:rsid w:val="003D2998"/>
    <w:rsid w:val="003D36EB"/>
    <w:rsid w:val="003D3CB4"/>
    <w:rsid w:val="003D440A"/>
    <w:rsid w:val="003E5A59"/>
    <w:rsid w:val="003E7024"/>
    <w:rsid w:val="003F0813"/>
    <w:rsid w:val="003F1465"/>
    <w:rsid w:val="003F1874"/>
    <w:rsid w:val="003F2E4C"/>
    <w:rsid w:val="003F490E"/>
    <w:rsid w:val="003F4DF5"/>
    <w:rsid w:val="004006A3"/>
    <w:rsid w:val="00400A25"/>
    <w:rsid w:val="0040118F"/>
    <w:rsid w:val="00402A8E"/>
    <w:rsid w:val="004033E4"/>
    <w:rsid w:val="00403DA2"/>
    <w:rsid w:val="00404CD6"/>
    <w:rsid w:val="00411A36"/>
    <w:rsid w:val="00412BED"/>
    <w:rsid w:val="00413109"/>
    <w:rsid w:val="00421B11"/>
    <w:rsid w:val="00424DD8"/>
    <w:rsid w:val="0043083C"/>
    <w:rsid w:val="004333C6"/>
    <w:rsid w:val="00434CC0"/>
    <w:rsid w:val="0044087D"/>
    <w:rsid w:val="00442A0B"/>
    <w:rsid w:val="00442D62"/>
    <w:rsid w:val="004455C2"/>
    <w:rsid w:val="00453553"/>
    <w:rsid w:val="00460B04"/>
    <w:rsid w:val="0046303E"/>
    <w:rsid w:val="00464FD7"/>
    <w:rsid w:val="0047239C"/>
    <w:rsid w:val="0047252A"/>
    <w:rsid w:val="004751DE"/>
    <w:rsid w:val="004778C3"/>
    <w:rsid w:val="004814DE"/>
    <w:rsid w:val="00481915"/>
    <w:rsid w:val="0048492C"/>
    <w:rsid w:val="00484C29"/>
    <w:rsid w:val="00485B45"/>
    <w:rsid w:val="00487152"/>
    <w:rsid w:val="00487A76"/>
    <w:rsid w:val="0049194D"/>
    <w:rsid w:val="00496EB9"/>
    <w:rsid w:val="004A07E9"/>
    <w:rsid w:val="004A115D"/>
    <w:rsid w:val="004A189E"/>
    <w:rsid w:val="004A3E71"/>
    <w:rsid w:val="004A719E"/>
    <w:rsid w:val="004B01D4"/>
    <w:rsid w:val="004B07D0"/>
    <w:rsid w:val="004B267B"/>
    <w:rsid w:val="004B27D4"/>
    <w:rsid w:val="004B3903"/>
    <w:rsid w:val="004C0F6D"/>
    <w:rsid w:val="004C2DC3"/>
    <w:rsid w:val="004C3654"/>
    <w:rsid w:val="004C3BA4"/>
    <w:rsid w:val="004C5106"/>
    <w:rsid w:val="004C7CBB"/>
    <w:rsid w:val="004D0101"/>
    <w:rsid w:val="004D0E89"/>
    <w:rsid w:val="004D10B6"/>
    <w:rsid w:val="004D247A"/>
    <w:rsid w:val="004D3768"/>
    <w:rsid w:val="004D69C8"/>
    <w:rsid w:val="004D6C82"/>
    <w:rsid w:val="004D76C9"/>
    <w:rsid w:val="004D77B9"/>
    <w:rsid w:val="004D7A88"/>
    <w:rsid w:val="004E0F35"/>
    <w:rsid w:val="004E2341"/>
    <w:rsid w:val="004E673F"/>
    <w:rsid w:val="004F142B"/>
    <w:rsid w:val="004F3074"/>
    <w:rsid w:val="004F5D8D"/>
    <w:rsid w:val="004F60DD"/>
    <w:rsid w:val="004F6A12"/>
    <w:rsid w:val="00501E00"/>
    <w:rsid w:val="005020C2"/>
    <w:rsid w:val="00503874"/>
    <w:rsid w:val="00504496"/>
    <w:rsid w:val="00510C50"/>
    <w:rsid w:val="005168BC"/>
    <w:rsid w:val="005210F7"/>
    <w:rsid w:val="00522488"/>
    <w:rsid w:val="00523CB0"/>
    <w:rsid w:val="0052441D"/>
    <w:rsid w:val="00525A53"/>
    <w:rsid w:val="00526055"/>
    <w:rsid w:val="00527EFD"/>
    <w:rsid w:val="0053053F"/>
    <w:rsid w:val="005310E9"/>
    <w:rsid w:val="00531110"/>
    <w:rsid w:val="005317E4"/>
    <w:rsid w:val="00532F60"/>
    <w:rsid w:val="0053628E"/>
    <w:rsid w:val="0053712E"/>
    <w:rsid w:val="005415A9"/>
    <w:rsid w:val="00545636"/>
    <w:rsid w:val="00550091"/>
    <w:rsid w:val="005536E3"/>
    <w:rsid w:val="005557ED"/>
    <w:rsid w:val="0055687B"/>
    <w:rsid w:val="00557C1F"/>
    <w:rsid w:val="00557E80"/>
    <w:rsid w:val="005612D4"/>
    <w:rsid w:val="00562783"/>
    <w:rsid w:val="005629B3"/>
    <w:rsid w:val="0056586E"/>
    <w:rsid w:val="00565F9E"/>
    <w:rsid w:val="005749CD"/>
    <w:rsid w:val="005770B2"/>
    <w:rsid w:val="0058018B"/>
    <w:rsid w:val="005853FD"/>
    <w:rsid w:val="005856F9"/>
    <w:rsid w:val="005873D0"/>
    <w:rsid w:val="0058741E"/>
    <w:rsid w:val="00590541"/>
    <w:rsid w:val="005A01B4"/>
    <w:rsid w:val="005A0D40"/>
    <w:rsid w:val="005A0DC3"/>
    <w:rsid w:val="005A37C7"/>
    <w:rsid w:val="005A3ECA"/>
    <w:rsid w:val="005A4310"/>
    <w:rsid w:val="005A53F0"/>
    <w:rsid w:val="005A6784"/>
    <w:rsid w:val="005B0089"/>
    <w:rsid w:val="005B2C48"/>
    <w:rsid w:val="005B5467"/>
    <w:rsid w:val="005C02A1"/>
    <w:rsid w:val="005C077B"/>
    <w:rsid w:val="005C0959"/>
    <w:rsid w:val="005C2AB5"/>
    <w:rsid w:val="005C39ED"/>
    <w:rsid w:val="005C4450"/>
    <w:rsid w:val="005C55F7"/>
    <w:rsid w:val="005C7A00"/>
    <w:rsid w:val="005D60E2"/>
    <w:rsid w:val="005D6FE3"/>
    <w:rsid w:val="005D7CDB"/>
    <w:rsid w:val="005E01D2"/>
    <w:rsid w:val="005E2AA2"/>
    <w:rsid w:val="005E6061"/>
    <w:rsid w:val="005E7B95"/>
    <w:rsid w:val="005F0684"/>
    <w:rsid w:val="005F2545"/>
    <w:rsid w:val="00601080"/>
    <w:rsid w:val="00601A8F"/>
    <w:rsid w:val="00602939"/>
    <w:rsid w:val="006051E7"/>
    <w:rsid w:val="006063A9"/>
    <w:rsid w:val="006067D9"/>
    <w:rsid w:val="006068EA"/>
    <w:rsid w:val="00615BB5"/>
    <w:rsid w:val="00621BD3"/>
    <w:rsid w:val="00621C9C"/>
    <w:rsid w:val="00623A74"/>
    <w:rsid w:val="006256BD"/>
    <w:rsid w:val="006319B4"/>
    <w:rsid w:val="006338AE"/>
    <w:rsid w:val="006348DE"/>
    <w:rsid w:val="006366AD"/>
    <w:rsid w:val="006368EA"/>
    <w:rsid w:val="00643B14"/>
    <w:rsid w:val="00644477"/>
    <w:rsid w:val="0064477F"/>
    <w:rsid w:val="00646C94"/>
    <w:rsid w:val="00647118"/>
    <w:rsid w:val="006472FF"/>
    <w:rsid w:val="006476CB"/>
    <w:rsid w:val="00651A14"/>
    <w:rsid w:val="00651ABE"/>
    <w:rsid w:val="00660509"/>
    <w:rsid w:val="00660874"/>
    <w:rsid w:val="006609EE"/>
    <w:rsid w:val="00661677"/>
    <w:rsid w:val="00662424"/>
    <w:rsid w:val="00663E1B"/>
    <w:rsid w:val="006650CD"/>
    <w:rsid w:val="00673086"/>
    <w:rsid w:val="00676146"/>
    <w:rsid w:val="0067738D"/>
    <w:rsid w:val="006776C8"/>
    <w:rsid w:val="00680969"/>
    <w:rsid w:val="00682E77"/>
    <w:rsid w:val="00683D14"/>
    <w:rsid w:val="0068451F"/>
    <w:rsid w:val="00685C8F"/>
    <w:rsid w:val="00692E1A"/>
    <w:rsid w:val="006945AA"/>
    <w:rsid w:val="00695B70"/>
    <w:rsid w:val="006A188B"/>
    <w:rsid w:val="006A317B"/>
    <w:rsid w:val="006A328B"/>
    <w:rsid w:val="006A6AA5"/>
    <w:rsid w:val="006A72B5"/>
    <w:rsid w:val="006A7ADF"/>
    <w:rsid w:val="006B167A"/>
    <w:rsid w:val="006B26B2"/>
    <w:rsid w:val="006B36AD"/>
    <w:rsid w:val="006B39C3"/>
    <w:rsid w:val="006B45E6"/>
    <w:rsid w:val="006B64D2"/>
    <w:rsid w:val="006B7B2E"/>
    <w:rsid w:val="006B7B53"/>
    <w:rsid w:val="006C17D3"/>
    <w:rsid w:val="006C29B6"/>
    <w:rsid w:val="006C2C37"/>
    <w:rsid w:val="006C3DBF"/>
    <w:rsid w:val="006C77BE"/>
    <w:rsid w:val="006C7A47"/>
    <w:rsid w:val="006D04D3"/>
    <w:rsid w:val="006D1556"/>
    <w:rsid w:val="006D2B63"/>
    <w:rsid w:val="006D2C13"/>
    <w:rsid w:val="006E0F02"/>
    <w:rsid w:val="006E2FE5"/>
    <w:rsid w:val="006E3759"/>
    <w:rsid w:val="006E5457"/>
    <w:rsid w:val="006E6AEE"/>
    <w:rsid w:val="006F072D"/>
    <w:rsid w:val="006F18BB"/>
    <w:rsid w:val="006F1B71"/>
    <w:rsid w:val="006F367D"/>
    <w:rsid w:val="006F471A"/>
    <w:rsid w:val="006F7DE4"/>
    <w:rsid w:val="00700746"/>
    <w:rsid w:val="00700F8D"/>
    <w:rsid w:val="00701B40"/>
    <w:rsid w:val="00701C4B"/>
    <w:rsid w:val="00701CC2"/>
    <w:rsid w:val="00702A3F"/>
    <w:rsid w:val="00703601"/>
    <w:rsid w:val="0070456B"/>
    <w:rsid w:val="00704FC3"/>
    <w:rsid w:val="007073C5"/>
    <w:rsid w:val="00710C95"/>
    <w:rsid w:val="00716021"/>
    <w:rsid w:val="00716355"/>
    <w:rsid w:val="007169C2"/>
    <w:rsid w:val="00721042"/>
    <w:rsid w:val="00722D81"/>
    <w:rsid w:val="007233E4"/>
    <w:rsid w:val="007242EE"/>
    <w:rsid w:val="00726A40"/>
    <w:rsid w:val="00732AC6"/>
    <w:rsid w:val="007351B1"/>
    <w:rsid w:val="00737DDB"/>
    <w:rsid w:val="00741C1B"/>
    <w:rsid w:val="007422CD"/>
    <w:rsid w:val="00743689"/>
    <w:rsid w:val="00744862"/>
    <w:rsid w:val="00744C5C"/>
    <w:rsid w:val="007451F2"/>
    <w:rsid w:val="00753927"/>
    <w:rsid w:val="00755359"/>
    <w:rsid w:val="00755C96"/>
    <w:rsid w:val="00756BF4"/>
    <w:rsid w:val="00761D9D"/>
    <w:rsid w:val="00761FF5"/>
    <w:rsid w:val="007725E3"/>
    <w:rsid w:val="00775A5D"/>
    <w:rsid w:val="00780802"/>
    <w:rsid w:val="0078127E"/>
    <w:rsid w:val="007822C3"/>
    <w:rsid w:val="007824EB"/>
    <w:rsid w:val="00783ECE"/>
    <w:rsid w:val="00784DCC"/>
    <w:rsid w:val="00785D9A"/>
    <w:rsid w:val="00790A87"/>
    <w:rsid w:val="00793629"/>
    <w:rsid w:val="00797443"/>
    <w:rsid w:val="0079797C"/>
    <w:rsid w:val="007A0033"/>
    <w:rsid w:val="007A3DD6"/>
    <w:rsid w:val="007A4FA3"/>
    <w:rsid w:val="007A6959"/>
    <w:rsid w:val="007A7B68"/>
    <w:rsid w:val="007B0320"/>
    <w:rsid w:val="007B3CFB"/>
    <w:rsid w:val="007B685C"/>
    <w:rsid w:val="007C003B"/>
    <w:rsid w:val="007C095A"/>
    <w:rsid w:val="007C16DC"/>
    <w:rsid w:val="007C1964"/>
    <w:rsid w:val="007C2657"/>
    <w:rsid w:val="007C5DD4"/>
    <w:rsid w:val="007C5DFA"/>
    <w:rsid w:val="007D1B64"/>
    <w:rsid w:val="007D1F59"/>
    <w:rsid w:val="007D5B3C"/>
    <w:rsid w:val="007E0980"/>
    <w:rsid w:val="007E0DA9"/>
    <w:rsid w:val="007E1EDC"/>
    <w:rsid w:val="007E3EA8"/>
    <w:rsid w:val="007F06A5"/>
    <w:rsid w:val="007F0B68"/>
    <w:rsid w:val="007F3F2B"/>
    <w:rsid w:val="008009EE"/>
    <w:rsid w:val="00801555"/>
    <w:rsid w:val="00801CA1"/>
    <w:rsid w:val="00801DE5"/>
    <w:rsid w:val="00801E16"/>
    <w:rsid w:val="00803773"/>
    <w:rsid w:val="00804E20"/>
    <w:rsid w:val="008130C1"/>
    <w:rsid w:val="00815846"/>
    <w:rsid w:val="0082025B"/>
    <w:rsid w:val="00820841"/>
    <w:rsid w:val="00823703"/>
    <w:rsid w:val="00823FDE"/>
    <w:rsid w:val="008240FF"/>
    <w:rsid w:val="00827199"/>
    <w:rsid w:val="0083032E"/>
    <w:rsid w:val="00830E30"/>
    <w:rsid w:val="00830E91"/>
    <w:rsid w:val="00830F12"/>
    <w:rsid w:val="00832F70"/>
    <w:rsid w:val="008338E3"/>
    <w:rsid w:val="008469C5"/>
    <w:rsid w:val="00846EF8"/>
    <w:rsid w:val="00847E88"/>
    <w:rsid w:val="0085353A"/>
    <w:rsid w:val="0086646D"/>
    <w:rsid w:val="00867A50"/>
    <w:rsid w:val="00867AC7"/>
    <w:rsid w:val="00874897"/>
    <w:rsid w:val="008752E3"/>
    <w:rsid w:val="00880B96"/>
    <w:rsid w:val="0088185B"/>
    <w:rsid w:val="00884CDC"/>
    <w:rsid w:val="0088502A"/>
    <w:rsid w:val="00886117"/>
    <w:rsid w:val="00886E61"/>
    <w:rsid w:val="00891682"/>
    <w:rsid w:val="00893C52"/>
    <w:rsid w:val="00894BE4"/>
    <w:rsid w:val="00896200"/>
    <w:rsid w:val="008A1697"/>
    <w:rsid w:val="008A474D"/>
    <w:rsid w:val="008A4BE4"/>
    <w:rsid w:val="008A4E68"/>
    <w:rsid w:val="008A58B3"/>
    <w:rsid w:val="008A5AD9"/>
    <w:rsid w:val="008A793D"/>
    <w:rsid w:val="008B0204"/>
    <w:rsid w:val="008B17FF"/>
    <w:rsid w:val="008B3DCF"/>
    <w:rsid w:val="008B466F"/>
    <w:rsid w:val="008C5E6A"/>
    <w:rsid w:val="008C6C12"/>
    <w:rsid w:val="008C780A"/>
    <w:rsid w:val="008D0854"/>
    <w:rsid w:val="008D4AA6"/>
    <w:rsid w:val="008D72C9"/>
    <w:rsid w:val="008D74B6"/>
    <w:rsid w:val="008E0DB9"/>
    <w:rsid w:val="008E1F49"/>
    <w:rsid w:val="008E4EB2"/>
    <w:rsid w:val="008E6E80"/>
    <w:rsid w:val="008F0E34"/>
    <w:rsid w:val="008F181D"/>
    <w:rsid w:val="008F23AD"/>
    <w:rsid w:val="008F3AC2"/>
    <w:rsid w:val="008F4C1F"/>
    <w:rsid w:val="008F67E9"/>
    <w:rsid w:val="008F7115"/>
    <w:rsid w:val="00902210"/>
    <w:rsid w:val="00902DDD"/>
    <w:rsid w:val="00903FFE"/>
    <w:rsid w:val="009048C0"/>
    <w:rsid w:val="00910490"/>
    <w:rsid w:val="009118CC"/>
    <w:rsid w:val="00914086"/>
    <w:rsid w:val="00917913"/>
    <w:rsid w:val="00917DEF"/>
    <w:rsid w:val="00920A97"/>
    <w:rsid w:val="00924C5C"/>
    <w:rsid w:val="009265C3"/>
    <w:rsid w:val="00931040"/>
    <w:rsid w:val="00935489"/>
    <w:rsid w:val="00936731"/>
    <w:rsid w:val="00937E1B"/>
    <w:rsid w:val="00942C00"/>
    <w:rsid w:val="00942D08"/>
    <w:rsid w:val="009472B2"/>
    <w:rsid w:val="00954296"/>
    <w:rsid w:val="00955670"/>
    <w:rsid w:val="009559A6"/>
    <w:rsid w:val="00955C34"/>
    <w:rsid w:val="00970495"/>
    <w:rsid w:val="00970863"/>
    <w:rsid w:val="00970FE7"/>
    <w:rsid w:val="00977D93"/>
    <w:rsid w:val="009805C4"/>
    <w:rsid w:val="00985D43"/>
    <w:rsid w:val="0098771B"/>
    <w:rsid w:val="00990DAF"/>
    <w:rsid w:val="00992FE4"/>
    <w:rsid w:val="009959AA"/>
    <w:rsid w:val="009A06F7"/>
    <w:rsid w:val="009A31DA"/>
    <w:rsid w:val="009A375C"/>
    <w:rsid w:val="009A5D9C"/>
    <w:rsid w:val="009A7987"/>
    <w:rsid w:val="009A7CD4"/>
    <w:rsid w:val="009B12A0"/>
    <w:rsid w:val="009B36F5"/>
    <w:rsid w:val="009B405F"/>
    <w:rsid w:val="009B43D7"/>
    <w:rsid w:val="009B4F74"/>
    <w:rsid w:val="009B57A0"/>
    <w:rsid w:val="009B640D"/>
    <w:rsid w:val="009C0CEE"/>
    <w:rsid w:val="009C38B1"/>
    <w:rsid w:val="009C4F47"/>
    <w:rsid w:val="009C4F90"/>
    <w:rsid w:val="009C65B6"/>
    <w:rsid w:val="009D1FD1"/>
    <w:rsid w:val="009D2470"/>
    <w:rsid w:val="009D35A5"/>
    <w:rsid w:val="009D47D8"/>
    <w:rsid w:val="009D4881"/>
    <w:rsid w:val="009D7C41"/>
    <w:rsid w:val="009E3B5E"/>
    <w:rsid w:val="009E6A31"/>
    <w:rsid w:val="009F03E7"/>
    <w:rsid w:val="009F0D5F"/>
    <w:rsid w:val="009F1711"/>
    <w:rsid w:val="009F1EEF"/>
    <w:rsid w:val="00A02835"/>
    <w:rsid w:val="00A0391D"/>
    <w:rsid w:val="00A04C16"/>
    <w:rsid w:val="00A11BC5"/>
    <w:rsid w:val="00A13E89"/>
    <w:rsid w:val="00A170B8"/>
    <w:rsid w:val="00A170CC"/>
    <w:rsid w:val="00A22B81"/>
    <w:rsid w:val="00A22D7A"/>
    <w:rsid w:val="00A2771F"/>
    <w:rsid w:val="00A277EA"/>
    <w:rsid w:val="00A27875"/>
    <w:rsid w:val="00A27C89"/>
    <w:rsid w:val="00A27D55"/>
    <w:rsid w:val="00A30467"/>
    <w:rsid w:val="00A32D1F"/>
    <w:rsid w:val="00A32F8B"/>
    <w:rsid w:val="00A339E9"/>
    <w:rsid w:val="00A356CC"/>
    <w:rsid w:val="00A35BF9"/>
    <w:rsid w:val="00A411AB"/>
    <w:rsid w:val="00A41561"/>
    <w:rsid w:val="00A4237B"/>
    <w:rsid w:val="00A42ADF"/>
    <w:rsid w:val="00A431C6"/>
    <w:rsid w:val="00A44CC1"/>
    <w:rsid w:val="00A452F0"/>
    <w:rsid w:val="00A47400"/>
    <w:rsid w:val="00A47DDD"/>
    <w:rsid w:val="00A548DB"/>
    <w:rsid w:val="00A61762"/>
    <w:rsid w:val="00A632AF"/>
    <w:rsid w:val="00A6410F"/>
    <w:rsid w:val="00A65B8B"/>
    <w:rsid w:val="00A72227"/>
    <w:rsid w:val="00A7642F"/>
    <w:rsid w:val="00A8069F"/>
    <w:rsid w:val="00A81351"/>
    <w:rsid w:val="00A81658"/>
    <w:rsid w:val="00A831AE"/>
    <w:rsid w:val="00A8475C"/>
    <w:rsid w:val="00A87AD6"/>
    <w:rsid w:val="00A906F2"/>
    <w:rsid w:val="00A9135E"/>
    <w:rsid w:val="00A91AE2"/>
    <w:rsid w:val="00A94965"/>
    <w:rsid w:val="00AA15E8"/>
    <w:rsid w:val="00AA6A22"/>
    <w:rsid w:val="00AB01A8"/>
    <w:rsid w:val="00AB0CAC"/>
    <w:rsid w:val="00AB2291"/>
    <w:rsid w:val="00AB4884"/>
    <w:rsid w:val="00AB4E4A"/>
    <w:rsid w:val="00AC27D0"/>
    <w:rsid w:val="00AC43B8"/>
    <w:rsid w:val="00AC78D1"/>
    <w:rsid w:val="00AD2C3A"/>
    <w:rsid w:val="00AD32D9"/>
    <w:rsid w:val="00AD4BE4"/>
    <w:rsid w:val="00AD4E70"/>
    <w:rsid w:val="00AE4D0F"/>
    <w:rsid w:val="00AE5F53"/>
    <w:rsid w:val="00AE7261"/>
    <w:rsid w:val="00AF1062"/>
    <w:rsid w:val="00AF19E3"/>
    <w:rsid w:val="00AF1D54"/>
    <w:rsid w:val="00AF578F"/>
    <w:rsid w:val="00AF72BD"/>
    <w:rsid w:val="00AF72D6"/>
    <w:rsid w:val="00AF7C3A"/>
    <w:rsid w:val="00B00A11"/>
    <w:rsid w:val="00B02B44"/>
    <w:rsid w:val="00B070B0"/>
    <w:rsid w:val="00B14939"/>
    <w:rsid w:val="00B14AF8"/>
    <w:rsid w:val="00B14C99"/>
    <w:rsid w:val="00B25E77"/>
    <w:rsid w:val="00B309ED"/>
    <w:rsid w:val="00B36AD4"/>
    <w:rsid w:val="00B37B27"/>
    <w:rsid w:val="00B37D4A"/>
    <w:rsid w:val="00B436D3"/>
    <w:rsid w:val="00B45F1C"/>
    <w:rsid w:val="00B46BD7"/>
    <w:rsid w:val="00B47F73"/>
    <w:rsid w:val="00B56605"/>
    <w:rsid w:val="00B57119"/>
    <w:rsid w:val="00B613EF"/>
    <w:rsid w:val="00B62127"/>
    <w:rsid w:val="00B666B7"/>
    <w:rsid w:val="00B67F52"/>
    <w:rsid w:val="00B76214"/>
    <w:rsid w:val="00B7708F"/>
    <w:rsid w:val="00B8398E"/>
    <w:rsid w:val="00B8438D"/>
    <w:rsid w:val="00B85D10"/>
    <w:rsid w:val="00B911A7"/>
    <w:rsid w:val="00B92CA1"/>
    <w:rsid w:val="00B93B86"/>
    <w:rsid w:val="00B9449C"/>
    <w:rsid w:val="00B96087"/>
    <w:rsid w:val="00B972B9"/>
    <w:rsid w:val="00BA08DD"/>
    <w:rsid w:val="00BA0BAA"/>
    <w:rsid w:val="00BA17A8"/>
    <w:rsid w:val="00BA4B87"/>
    <w:rsid w:val="00BA4C79"/>
    <w:rsid w:val="00BA766B"/>
    <w:rsid w:val="00BA7A94"/>
    <w:rsid w:val="00BB0C72"/>
    <w:rsid w:val="00BB2C49"/>
    <w:rsid w:val="00BB4772"/>
    <w:rsid w:val="00BB5166"/>
    <w:rsid w:val="00BB59D1"/>
    <w:rsid w:val="00BB7653"/>
    <w:rsid w:val="00BC2804"/>
    <w:rsid w:val="00BD0CA2"/>
    <w:rsid w:val="00BD0E87"/>
    <w:rsid w:val="00BD2564"/>
    <w:rsid w:val="00BD2B18"/>
    <w:rsid w:val="00BD4E1C"/>
    <w:rsid w:val="00BD72AF"/>
    <w:rsid w:val="00BD74E5"/>
    <w:rsid w:val="00BE0059"/>
    <w:rsid w:val="00BE05AB"/>
    <w:rsid w:val="00BE331C"/>
    <w:rsid w:val="00BE3DCB"/>
    <w:rsid w:val="00BE4CFC"/>
    <w:rsid w:val="00BE73BC"/>
    <w:rsid w:val="00BF232E"/>
    <w:rsid w:val="00BF67D1"/>
    <w:rsid w:val="00C00205"/>
    <w:rsid w:val="00C04621"/>
    <w:rsid w:val="00C0698D"/>
    <w:rsid w:val="00C07383"/>
    <w:rsid w:val="00C103DB"/>
    <w:rsid w:val="00C14A5D"/>
    <w:rsid w:val="00C16E71"/>
    <w:rsid w:val="00C21398"/>
    <w:rsid w:val="00C251DE"/>
    <w:rsid w:val="00C2573F"/>
    <w:rsid w:val="00C25A25"/>
    <w:rsid w:val="00C25D97"/>
    <w:rsid w:val="00C302D2"/>
    <w:rsid w:val="00C30F27"/>
    <w:rsid w:val="00C35B29"/>
    <w:rsid w:val="00C41660"/>
    <w:rsid w:val="00C42499"/>
    <w:rsid w:val="00C449B1"/>
    <w:rsid w:val="00C52380"/>
    <w:rsid w:val="00C52496"/>
    <w:rsid w:val="00C52DF3"/>
    <w:rsid w:val="00C55680"/>
    <w:rsid w:val="00C56CF7"/>
    <w:rsid w:val="00C56DC8"/>
    <w:rsid w:val="00C60C1F"/>
    <w:rsid w:val="00C6178D"/>
    <w:rsid w:val="00C635C9"/>
    <w:rsid w:val="00C66C8B"/>
    <w:rsid w:val="00C71228"/>
    <w:rsid w:val="00C71A2A"/>
    <w:rsid w:val="00C71F24"/>
    <w:rsid w:val="00C75172"/>
    <w:rsid w:val="00C82DF0"/>
    <w:rsid w:val="00C834DA"/>
    <w:rsid w:val="00C85555"/>
    <w:rsid w:val="00C8560D"/>
    <w:rsid w:val="00C872BA"/>
    <w:rsid w:val="00C9197F"/>
    <w:rsid w:val="00C940E4"/>
    <w:rsid w:val="00CA32EE"/>
    <w:rsid w:val="00CA74A0"/>
    <w:rsid w:val="00CB0AE2"/>
    <w:rsid w:val="00CB1CE3"/>
    <w:rsid w:val="00CB3CC5"/>
    <w:rsid w:val="00CB502E"/>
    <w:rsid w:val="00CB5970"/>
    <w:rsid w:val="00CB5FA6"/>
    <w:rsid w:val="00CC318D"/>
    <w:rsid w:val="00CC4A5E"/>
    <w:rsid w:val="00CC63FF"/>
    <w:rsid w:val="00CC64E7"/>
    <w:rsid w:val="00CD0069"/>
    <w:rsid w:val="00CD1080"/>
    <w:rsid w:val="00CD19BF"/>
    <w:rsid w:val="00CD3663"/>
    <w:rsid w:val="00CD6A7D"/>
    <w:rsid w:val="00CD6C63"/>
    <w:rsid w:val="00CE0356"/>
    <w:rsid w:val="00CE37CF"/>
    <w:rsid w:val="00CE4729"/>
    <w:rsid w:val="00CE67FC"/>
    <w:rsid w:val="00CF01AB"/>
    <w:rsid w:val="00CF0401"/>
    <w:rsid w:val="00CF27BF"/>
    <w:rsid w:val="00CF3F74"/>
    <w:rsid w:val="00CF51EA"/>
    <w:rsid w:val="00CF5E0E"/>
    <w:rsid w:val="00CF64B8"/>
    <w:rsid w:val="00CF7FBA"/>
    <w:rsid w:val="00D0010E"/>
    <w:rsid w:val="00D02031"/>
    <w:rsid w:val="00D02052"/>
    <w:rsid w:val="00D0589F"/>
    <w:rsid w:val="00D06871"/>
    <w:rsid w:val="00D0778C"/>
    <w:rsid w:val="00D10586"/>
    <w:rsid w:val="00D12BF1"/>
    <w:rsid w:val="00D13E58"/>
    <w:rsid w:val="00D140EF"/>
    <w:rsid w:val="00D1431F"/>
    <w:rsid w:val="00D14E7B"/>
    <w:rsid w:val="00D20B54"/>
    <w:rsid w:val="00D20C5D"/>
    <w:rsid w:val="00D25AE1"/>
    <w:rsid w:val="00D278BD"/>
    <w:rsid w:val="00D27F69"/>
    <w:rsid w:val="00D30D61"/>
    <w:rsid w:val="00D3119B"/>
    <w:rsid w:val="00D31624"/>
    <w:rsid w:val="00D316DE"/>
    <w:rsid w:val="00D325CB"/>
    <w:rsid w:val="00D32850"/>
    <w:rsid w:val="00D407C5"/>
    <w:rsid w:val="00D42656"/>
    <w:rsid w:val="00D43820"/>
    <w:rsid w:val="00D44CFA"/>
    <w:rsid w:val="00D44D4A"/>
    <w:rsid w:val="00D451EC"/>
    <w:rsid w:val="00D518A8"/>
    <w:rsid w:val="00D51E2B"/>
    <w:rsid w:val="00D5260E"/>
    <w:rsid w:val="00D531ED"/>
    <w:rsid w:val="00D535DE"/>
    <w:rsid w:val="00D54476"/>
    <w:rsid w:val="00D561DC"/>
    <w:rsid w:val="00D56697"/>
    <w:rsid w:val="00D617A3"/>
    <w:rsid w:val="00D6191E"/>
    <w:rsid w:val="00D6215D"/>
    <w:rsid w:val="00D622F7"/>
    <w:rsid w:val="00D64E8A"/>
    <w:rsid w:val="00D66695"/>
    <w:rsid w:val="00D66DD4"/>
    <w:rsid w:val="00D678CA"/>
    <w:rsid w:val="00D73217"/>
    <w:rsid w:val="00D74C75"/>
    <w:rsid w:val="00D759D4"/>
    <w:rsid w:val="00D801BE"/>
    <w:rsid w:val="00D80792"/>
    <w:rsid w:val="00D84D0E"/>
    <w:rsid w:val="00D910A3"/>
    <w:rsid w:val="00D916EE"/>
    <w:rsid w:val="00D94556"/>
    <w:rsid w:val="00D9599B"/>
    <w:rsid w:val="00DA105F"/>
    <w:rsid w:val="00DA2AE4"/>
    <w:rsid w:val="00DA2B8F"/>
    <w:rsid w:val="00DA3645"/>
    <w:rsid w:val="00DA3C09"/>
    <w:rsid w:val="00DA7CAD"/>
    <w:rsid w:val="00DB2B67"/>
    <w:rsid w:val="00DB6AA9"/>
    <w:rsid w:val="00DC3A04"/>
    <w:rsid w:val="00DC45C6"/>
    <w:rsid w:val="00DE0097"/>
    <w:rsid w:val="00DE0657"/>
    <w:rsid w:val="00DE07BE"/>
    <w:rsid w:val="00DE1B1C"/>
    <w:rsid w:val="00DE6E70"/>
    <w:rsid w:val="00DE7C7E"/>
    <w:rsid w:val="00DE7CB9"/>
    <w:rsid w:val="00DF00DA"/>
    <w:rsid w:val="00DF05F9"/>
    <w:rsid w:val="00DF10C3"/>
    <w:rsid w:val="00DF19AF"/>
    <w:rsid w:val="00DF27B5"/>
    <w:rsid w:val="00DF51AE"/>
    <w:rsid w:val="00DF7032"/>
    <w:rsid w:val="00E00800"/>
    <w:rsid w:val="00E01C87"/>
    <w:rsid w:val="00E03985"/>
    <w:rsid w:val="00E10BFD"/>
    <w:rsid w:val="00E112F4"/>
    <w:rsid w:val="00E14A97"/>
    <w:rsid w:val="00E20778"/>
    <w:rsid w:val="00E21448"/>
    <w:rsid w:val="00E22D42"/>
    <w:rsid w:val="00E22F92"/>
    <w:rsid w:val="00E23B54"/>
    <w:rsid w:val="00E25692"/>
    <w:rsid w:val="00E2628D"/>
    <w:rsid w:val="00E33482"/>
    <w:rsid w:val="00E36D53"/>
    <w:rsid w:val="00E41C94"/>
    <w:rsid w:val="00E45DB7"/>
    <w:rsid w:val="00E51D62"/>
    <w:rsid w:val="00E53A3B"/>
    <w:rsid w:val="00E5728E"/>
    <w:rsid w:val="00E61A1F"/>
    <w:rsid w:val="00E63669"/>
    <w:rsid w:val="00E637F5"/>
    <w:rsid w:val="00E6648C"/>
    <w:rsid w:val="00E66679"/>
    <w:rsid w:val="00E74649"/>
    <w:rsid w:val="00E76546"/>
    <w:rsid w:val="00E80CA9"/>
    <w:rsid w:val="00E82623"/>
    <w:rsid w:val="00E8504D"/>
    <w:rsid w:val="00EA25D6"/>
    <w:rsid w:val="00EA5591"/>
    <w:rsid w:val="00EA6782"/>
    <w:rsid w:val="00EA6BD6"/>
    <w:rsid w:val="00EB205B"/>
    <w:rsid w:val="00EB3AA3"/>
    <w:rsid w:val="00EB43C8"/>
    <w:rsid w:val="00EB62F4"/>
    <w:rsid w:val="00EC1E57"/>
    <w:rsid w:val="00EC3799"/>
    <w:rsid w:val="00EC7C36"/>
    <w:rsid w:val="00ED10F3"/>
    <w:rsid w:val="00ED552C"/>
    <w:rsid w:val="00EE0CEE"/>
    <w:rsid w:val="00EE1F95"/>
    <w:rsid w:val="00EE20A2"/>
    <w:rsid w:val="00EE79AD"/>
    <w:rsid w:val="00EF34F6"/>
    <w:rsid w:val="00EF5035"/>
    <w:rsid w:val="00EF6246"/>
    <w:rsid w:val="00EF63B0"/>
    <w:rsid w:val="00F049A3"/>
    <w:rsid w:val="00F12D10"/>
    <w:rsid w:val="00F144BB"/>
    <w:rsid w:val="00F177EC"/>
    <w:rsid w:val="00F20B99"/>
    <w:rsid w:val="00F212A6"/>
    <w:rsid w:val="00F21896"/>
    <w:rsid w:val="00F24B9A"/>
    <w:rsid w:val="00F27303"/>
    <w:rsid w:val="00F3022F"/>
    <w:rsid w:val="00F31115"/>
    <w:rsid w:val="00F328BB"/>
    <w:rsid w:val="00F40893"/>
    <w:rsid w:val="00F42B7B"/>
    <w:rsid w:val="00F44B20"/>
    <w:rsid w:val="00F45D20"/>
    <w:rsid w:val="00F526EF"/>
    <w:rsid w:val="00F5314B"/>
    <w:rsid w:val="00F56C78"/>
    <w:rsid w:val="00F64840"/>
    <w:rsid w:val="00F65987"/>
    <w:rsid w:val="00F65B74"/>
    <w:rsid w:val="00F666CA"/>
    <w:rsid w:val="00F7721B"/>
    <w:rsid w:val="00F81869"/>
    <w:rsid w:val="00F83132"/>
    <w:rsid w:val="00F83C6F"/>
    <w:rsid w:val="00F86D97"/>
    <w:rsid w:val="00F87002"/>
    <w:rsid w:val="00F90499"/>
    <w:rsid w:val="00F904C3"/>
    <w:rsid w:val="00F95A45"/>
    <w:rsid w:val="00F96265"/>
    <w:rsid w:val="00F969CD"/>
    <w:rsid w:val="00FA4069"/>
    <w:rsid w:val="00FA4392"/>
    <w:rsid w:val="00FA4AA5"/>
    <w:rsid w:val="00FA658F"/>
    <w:rsid w:val="00FB0EFD"/>
    <w:rsid w:val="00FB18B3"/>
    <w:rsid w:val="00FB70C4"/>
    <w:rsid w:val="00FB7B85"/>
    <w:rsid w:val="00FC14AB"/>
    <w:rsid w:val="00FC23AD"/>
    <w:rsid w:val="00FD0459"/>
    <w:rsid w:val="00FD0B4F"/>
    <w:rsid w:val="00FD100F"/>
    <w:rsid w:val="00FD1D62"/>
    <w:rsid w:val="00FD315B"/>
    <w:rsid w:val="00FD40C0"/>
    <w:rsid w:val="00FD561F"/>
    <w:rsid w:val="00FE488A"/>
    <w:rsid w:val="00FE5831"/>
    <w:rsid w:val="00FE5EEB"/>
    <w:rsid w:val="00FF0903"/>
    <w:rsid w:val="00FF19DC"/>
    <w:rsid w:val="00FF43E2"/>
    <w:rsid w:val="00FF5B9B"/>
    <w:rsid w:val="00FF626E"/>
    <w:rsid w:val="00FF6694"/>
    <w:rsid w:val="00FF7BD8"/>
    <w:rsid w:val="00FF7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DB83127-5FF2-4AB0-9DED-93205C84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7383"/>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1"/>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spacing w:beforeLines="100" w:afterLines="100"/>
      <w:outlineLvl w:val="1"/>
    </w:pPr>
    <w:rPr>
      <w:rFonts w:ascii="Arial" w:hAnsi="Arial"/>
      <w:b/>
      <w:bCs/>
      <w:sz w:val="28"/>
      <w:szCs w:val="20"/>
    </w:rPr>
  </w:style>
  <w:style w:type="paragraph" w:styleId="a">
    <w:name w:val="Body Text"/>
    <w:basedOn w:val="a0"/>
    <w:rsid w:val="00BA4B87"/>
    <w:pPr>
      <w:numPr>
        <w:ilvl w:val="1"/>
        <w:numId w:val="4"/>
      </w:numPr>
      <w:tabs>
        <w:tab w:val="num" w:pos="0"/>
      </w:tabs>
      <w:autoSpaceDE w:val="0"/>
      <w:autoSpaceDN w:val="0"/>
      <w:adjustRightInd w:val="0"/>
      <w:ind w:left="0" w:firstLine="540"/>
      <w:jc w:val="left"/>
    </w:pPr>
    <w:rPr>
      <w:rFonts w:ascii="宋体"/>
      <w:kern w:val="0"/>
      <w:sz w:val="24"/>
    </w:rPr>
  </w:style>
  <w:style w:type="paragraph" w:styleId="a4">
    <w:name w:val="Normal Indent"/>
    <w:aliases w:val="正文缩进1,ALT+Z"/>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character" w:customStyle="1" w:styleId="Char">
    <w:name w:val="纯文本 Char"/>
    <w:basedOn w:val="a1"/>
    <w:link w:val="a6"/>
    <w:locked/>
    <w:rsid w:val="00293FCD"/>
    <w:rPr>
      <w:rFonts w:ascii="宋体" w:eastAsia="宋体" w:hAnsi="Courier New"/>
      <w:kern w:val="2"/>
      <w:sz w:val="24"/>
      <w:szCs w:val="21"/>
      <w:lang w:val="en-US" w:eastAsia="zh-CN" w:bidi="ar-SA"/>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qFormat/>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rsid w:val="00BA4B87"/>
    <w:rPr>
      <w:sz w:val="21"/>
      <w:szCs w:val="21"/>
    </w:rPr>
  </w:style>
  <w:style w:type="paragraph" w:styleId="ae">
    <w:name w:val="annotation text"/>
    <w:basedOn w:val="a0"/>
    <w:link w:val="Char3"/>
    <w:rsid w:val="00BA4B87"/>
    <w:pPr>
      <w:jc w:val="left"/>
    </w:pPr>
  </w:style>
  <w:style w:type="character" w:customStyle="1" w:styleId="Char3">
    <w:name w:val="批注文字 Char"/>
    <w:basedOn w:val="a1"/>
    <w:link w:val="ae"/>
    <w:semiHidden/>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paragraph" w:styleId="af0">
    <w:name w:val="Document Map"/>
    <w:basedOn w:val="a0"/>
    <w:link w:val="Char4"/>
    <w:rsid w:val="00A47400"/>
    <w:rPr>
      <w:rFonts w:ascii="宋体"/>
      <w:sz w:val="18"/>
      <w:szCs w:val="18"/>
    </w:rPr>
  </w:style>
  <w:style w:type="character" w:customStyle="1" w:styleId="Char4">
    <w:name w:val="文档结构图 Char"/>
    <w:basedOn w:val="a1"/>
    <w:link w:val="af0"/>
    <w:rsid w:val="00A47400"/>
    <w:rPr>
      <w:rFonts w:ascii="宋体"/>
      <w:kern w:val="2"/>
      <w:sz w:val="18"/>
      <w:szCs w:val="18"/>
    </w:rPr>
  </w:style>
  <w:style w:type="table" w:styleId="af1">
    <w:name w:val="Table Grid"/>
    <w:basedOn w:val="a2"/>
    <w:uiPriority w:val="99"/>
    <w:rsid w:val="00A32F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Body Text Indent 2"/>
    <w:basedOn w:val="a0"/>
    <w:rsid w:val="00891682"/>
    <w:pPr>
      <w:spacing w:after="120" w:line="480" w:lineRule="auto"/>
      <w:ind w:leftChars="200" w:left="420"/>
    </w:pPr>
  </w:style>
  <w:style w:type="character" w:customStyle="1" w:styleId="CharChar11">
    <w:name w:val="Char Char11"/>
    <w:basedOn w:val="a1"/>
    <w:locked/>
    <w:rsid w:val="00830E91"/>
    <w:rPr>
      <w:rFonts w:ascii="宋体" w:eastAsia="宋体" w:hAnsi="Courier New" w:cs="Courier New"/>
      <w:kern w:val="2"/>
      <w:sz w:val="21"/>
      <w:szCs w:val="21"/>
      <w:lang w:val="en-US" w:eastAsia="zh-CN" w:bidi="ar-SA"/>
    </w:rPr>
  </w:style>
  <w:style w:type="character" w:customStyle="1" w:styleId="Char10">
    <w:name w:val="纯文本 Char1"/>
    <w:basedOn w:val="a1"/>
    <w:semiHidden/>
    <w:locked/>
    <w:rsid w:val="00755359"/>
    <w:rPr>
      <w:rFonts w:ascii="宋体" w:hAnsi="Courier New" w:cs="Courier New"/>
      <w:kern w:val="2"/>
      <w:sz w:val="21"/>
      <w:szCs w:val="21"/>
    </w:rPr>
  </w:style>
  <w:style w:type="paragraph" w:customStyle="1" w:styleId="xl33">
    <w:name w:val="xl33"/>
    <w:basedOn w:val="a0"/>
    <w:rsid w:val="00091A4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styleId="af2">
    <w:name w:val="Normal (Web)"/>
    <w:basedOn w:val="a0"/>
    <w:unhideWhenUsed/>
    <w:rsid w:val="00091A49"/>
    <w:pPr>
      <w:widowControl/>
      <w:spacing w:before="100" w:beforeAutospacing="1" w:after="100" w:afterAutospacing="1"/>
      <w:jc w:val="left"/>
    </w:pPr>
    <w:rPr>
      <w:rFonts w:ascii="宋体" w:hAnsi="宋体"/>
      <w:kern w:val="0"/>
      <w:sz w:val="24"/>
    </w:rPr>
  </w:style>
  <w:style w:type="paragraph" w:styleId="af3">
    <w:name w:val="List Paragraph"/>
    <w:basedOn w:val="a0"/>
    <w:uiPriority w:val="34"/>
    <w:qFormat/>
    <w:rsid w:val="00660509"/>
    <w:pPr>
      <w:ind w:firstLineChars="200" w:firstLine="420"/>
    </w:pPr>
  </w:style>
  <w:style w:type="paragraph" w:styleId="30">
    <w:name w:val="toc 3"/>
    <w:basedOn w:val="a0"/>
    <w:next w:val="a0"/>
    <w:autoRedefine/>
    <w:uiPriority w:val="39"/>
    <w:unhideWhenUsed/>
    <w:rsid w:val="009048C0"/>
    <w:pPr>
      <w:ind w:leftChars="400" w:left="840"/>
    </w:pPr>
    <w:rPr>
      <w:rFonts w:asciiTheme="minorHAnsi" w:eastAsiaTheme="minorEastAsia" w:hAnsiTheme="minorHAnsi" w:cstheme="minorBidi"/>
      <w:szCs w:val="22"/>
    </w:rPr>
  </w:style>
  <w:style w:type="paragraph" w:styleId="40">
    <w:name w:val="toc 4"/>
    <w:basedOn w:val="a0"/>
    <w:next w:val="a0"/>
    <w:autoRedefine/>
    <w:uiPriority w:val="39"/>
    <w:unhideWhenUsed/>
    <w:rsid w:val="009048C0"/>
    <w:pPr>
      <w:ind w:leftChars="600" w:left="1260"/>
    </w:pPr>
    <w:rPr>
      <w:rFonts w:asciiTheme="minorHAnsi" w:eastAsiaTheme="minorEastAsia" w:hAnsiTheme="minorHAnsi" w:cstheme="minorBidi"/>
      <w:szCs w:val="22"/>
    </w:rPr>
  </w:style>
  <w:style w:type="paragraph" w:styleId="50">
    <w:name w:val="toc 5"/>
    <w:basedOn w:val="a0"/>
    <w:next w:val="a0"/>
    <w:autoRedefine/>
    <w:uiPriority w:val="39"/>
    <w:unhideWhenUsed/>
    <w:rsid w:val="009048C0"/>
    <w:pPr>
      <w:ind w:leftChars="800" w:left="1680"/>
    </w:pPr>
    <w:rPr>
      <w:rFonts w:asciiTheme="minorHAnsi" w:eastAsiaTheme="minorEastAsia" w:hAnsiTheme="minorHAnsi" w:cstheme="minorBidi"/>
      <w:szCs w:val="22"/>
    </w:rPr>
  </w:style>
  <w:style w:type="paragraph" w:styleId="60">
    <w:name w:val="toc 6"/>
    <w:basedOn w:val="a0"/>
    <w:next w:val="a0"/>
    <w:autoRedefine/>
    <w:uiPriority w:val="39"/>
    <w:unhideWhenUsed/>
    <w:rsid w:val="009048C0"/>
    <w:pPr>
      <w:ind w:leftChars="1000" w:left="2100"/>
    </w:pPr>
    <w:rPr>
      <w:rFonts w:asciiTheme="minorHAnsi" w:eastAsiaTheme="minorEastAsia" w:hAnsiTheme="minorHAnsi" w:cstheme="minorBidi"/>
      <w:szCs w:val="22"/>
    </w:rPr>
  </w:style>
  <w:style w:type="paragraph" w:styleId="70">
    <w:name w:val="toc 7"/>
    <w:basedOn w:val="a0"/>
    <w:next w:val="a0"/>
    <w:autoRedefine/>
    <w:uiPriority w:val="39"/>
    <w:unhideWhenUsed/>
    <w:rsid w:val="009048C0"/>
    <w:pPr>
      <w:ind w:leftChars="1200" w:left="2520"/>
    </w:pPr>
    <w:rPr>
      <w:rFonts w:asciiTheme="minorHAnsi" w:eastAsiaTheme="minorEastAsia" w:hAnsiTheme="minorHAnsi" w:cstheme="minorBidi"/>
      <w:szCs w:val="22"/>
    </w:rPr>
  </w:style>
  <w:style w:type="paragraph" w:styleId="80">
    <w:name w:val="toc 8"/>
    <w:basedOn w:val="a0"/>
    <w:next w:val="a0"/>
    <w:autoRedefine/>
    <w:uiPriority w:val="39"/>
    <w:unhideWhenUsed/>
    <w:rsid w:val="009048C0"/>
    <w:pPr>
      <w:ind w:leftChars="1400" w:left="2940"/>
    </w:pPr>
    <w:rPr>
      <w:rFonts w:asciiTheme="minorHAnsi" w:eastAsiaTheme="minorEastAsia" w:hAnsiTheme="minorHAnsi" w:cstheme="minorBidi"/>
      <w:szCs w:val="22"/>
    </w:rPr>
  </w:style>
  <w:style w:type="paragraph" w:styleId="90">
    <w:name w:val="toc 9"/>
    <w:basedOn w:val="a0"/>
    <w:next w:val="a0"/>
    <w:autoRedefine/>
    <w:uiPriority w:val="39"/>
    <w:unhideWhenUsed/>
    <w:rsid w:val="009048C0"/>
    <w:pPr>
      <w:ind w:leftChars="1600" w:left="3360"/>
    </w:pPr>
    <w:rPr>
      <w:rFonts w:asciiTheme="minorHAnsi" w:eastAsiaTheme="minorEastAsia" w:hAnsiTheme="minorHAnsi" w:cstheme="minorBidi"/>
      <w:szCs w:val="22"/>
    </w:rPr>
  </w:style>
  <w:style w:type="character" w:customStyle="1" w:styleId="Char0">
    <w:name w:val="页眉 Char"/>
    <w:basedOn w:val="a1"/>
    <w:link w:val="a7"/>
    <w:uiPriority w:val="99"/>
    <w:rsid w:val="00B8398E"/>
    <w:rPr>
      <w:rFonts w:eastAsia="仿宋_GB2312"/>
      <w:kern w:val="2"/>
      <w:sz w:val="18"/>
    </w:rPr>
  </w:style>
  <w:style w:type="character" w:customStyle="1" w:styleId="Char1">
    <w:name w:val="页脚 Char"/>
    <w:basedOn w:val="a1"/>
    <w:link w:val="a9"/>
    <w:uiPriority w:val="99"/>
    <w:rsid w:val="00B8398E"/>
    <w:rPr>
      <w:rFonts w:eastAsia="仿宋_GB2312"/>
      <w:kern w:val="2"/>
      <w:sz w:val="18"/>
    </w:rPr>
  </w:style>
  <w:style w:type="paragraph" w:styleId="HTML">
    <w:name w:val="HTML Preformatted"/>
    <w:basedOn w:val="a0"/>
    <w:link w:val="HTMLChar"/>
    <w:uiPriority w:val="99"/>
    <w:semiHidden/>
    <w:unhideWhenUsed/>
    <w:rsid w:val="00C56D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semiHidden/>
    <w:rsid w:val="00C56DC8"/>
    <w:rPr>
      <w:rFonts w:ascii="宋体" w:hAnsi="宋体"/>
      <w:sz w:val="24"/>
      <w:szCs w:val="24"/>
    </w:rPr>
  </w:style>
  <w:style w:type="character" w:customStyle="1" w:styleId="unnamed11">
    <w:name w:val="unnamed11"/>
    <w:basedOn w:val="a1"/>
    <w:rsid w:val="00EE79AD"/>
    <w:rPr>
      <w:rFonts w:ascii="宋体" w:eastAsia="宋体" w:hAnsi="宋体" w:hint="eastAsia"/>
      <w:sz w:val="18"/>
      <w:szCs w:val="18"/>
    </w:rPr>
  </w:style>
  <w:style w:type="character" w:customStyle="1" w:styleId="CharChar1">
    <w:name w:val="Char Char1"/>
    <w:basedOn w:val="a1"/>
    <w:rsid w:val="00EE79AD"/>
    <w:rPr>
      <w:rFonts w:eastAsia="宋体"/>
      <w:kern w:val="2"/>
      <w:sz w:val="21"/>
      <w:szCs w:val="24"/>
      <w:lang w:val="en-US" w:eastAsia="zh-CN" w:bidi="ar-SA"/>
    </w:rPr>
  </w:style>
  <w:style w:type="paragraph" w:styleId="af4">
    <w:name w:val="annotation subject"/>
    <w:basedOn w:val="ae"/>
    <w:next w:val="ae"/>
    <w:link w:val="Char5"/>
    <w:semiHidden/>
    <w:rsid w:val="00EE79AD"/>
    <w:rPr>
      <w:b/>
      <w:bCs/>
    </w:rPr>
  </w:style>
  <w:style w:type="character" w:customStyle="1" w:styleId="Char5">
    <w:name w:val="批注主题 Char"/>
    <w:basedOn w:val="Char3"/>
    <w:link w:val="af4"/>
    <w:semiHidden/>
    <w:rsid w:val="00EE79AD"/>
    <w:rPr>
      <w:rFonts w:eastAsia="宋体"/>
      <w:b/>
      <w:bCs/>
      <w:kern w:val="2"/>
      <w:sz w:val="21"/>
      <w:szCs w:val="24"/>
      <w:lang w:val="en-US" w:eastAsia="zh-CN" w:bidi="ar-SA"/>
    </w:rPr>
  </w:style>
  <w:style w:type="paragraph" w:styleId="af5">
    <w:name w:val="Revision"/>
    <w:hidden/>
    <w:uiPriority w:val="99"/>
    <w:semiHidden/>
    <w:rsid w:val="00EE79AD"/>
    <w:rPr>
      <w:kern w:val="2"/>
      <w:sz w:val="21"/>
      <w:szCs w:val="24"/>
    </w:rPr>
  </w:style>
  <w:style w:type="character" w:styleId="af6">
    <w:name w:val="footnote reference"/>
    <w:basedOn w:val="a1"/>
    <w:rsid w:val="00EE79AD"/>
    <w:rPr>
      <w:vertAlign w:val="superscript"/>
    </w:rPr>
  </w:style>
  <w:style w:type="character" w:customStyle="1" w:styleId="big1">
    <w:name w:val="big1"/>
    <w:basedOn w:val="a1"/>
    <w:rsid w:val="00EE79AD"/>
    <w:rPr>
      <w:spacing w:val="360"/>
      <w:sz w:val="22"/>
      <w:szCs w:val="22"/>
    </w:rPr>
  </w:style>
  <w:style w:type="character" w:customStyle="1" w:styleId="Char2">
    <w:name w:val="正文首行缩进 Char"/>
    <w:basedOn w:val="a1"/>
    <w:link w:val="ac"/>
    <w:rsid w:val="00EE79AD"/>
    <w:rPr>
      <w:kern w:val="2"/>
      <w:sz w:val="21"/>
      <w:szCs w:val="24"/>
    </w:rPr>
  </w:style>
  <w:style w:type="character" w:styleId="af7">
    <w:name w:val="FollowedHyperlink"/>
    <w:basedOn w:val="a1"/>
    <w:uiPriority w:val="99"/>
    <w:unhideWhenUsed/>
    <w:rsid w:val="00EE79AD"/>
    <w:rPr>
      <w:color w:val="800080" w:themeColor="followedHyperlink"/>
      <w:u w:val="single"/>
    </w:rPr>
  </w:style>
  <w:style w:type="character" w:customStyle="1" w:styleId="t1">
    <w:name w:val="t1"/>
    <w:basedOn w:val="a1"/>
    <w:rsid w:val="00EE79AD"/>
    <w:rPr>
      <w:color w:val="990000"/>
    </w:rPr>
  </w:style>
  <w:style w:type="paragraph" w:styleId="af8">
    <w:name w:val="Date"/>
    <w:basedOn w:val="a0"/>
    <w:next w:val="a0"/>
    <w:link w:val="Char6"/>
    <w:rsid w:val="00A02835"/>
    <w:pPr>
      <w:ind w:leftChars="2500" w:left="100"/>
    </w:pPr>
  </w:style>
  <w:style w:type="character" w:customStyle="1" w:styleId="Char6">
    <w:name w:val="日期 Char"/>
    <w:basedOn w:val="a1"/>
    <w:link w:val="af8"/>
    <w:rsid w:val="00A028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3534">
      <w:bodyDiv w:val="1"/>
      <w:marLeft w:val="0"/>
      <w:marRight w:val="0"/>
      <w:marTop w:val="0"/>
      <w:marBottom w:val="0"/>
      <w:divBdr>
        <w:top w:val="none" w:sz="0" w:space="0" w:color="auto"/>
        <w:left w:val="none" w:sz="0" w:space="0" w:color="auto"/>
        <w:bottom w:val="none" w:sz="0" w:space="0" w:color="auto"/>
        <w:right w:val="none" w:sz="0" w:space="0" w:color="auto"/>
      </w:divBdr>
    </w:div>
    <w:div w:id="36324640">
      <w:bodyDiv w:val="1"/>
      <w:marLeft w:val="0"/>
      <w:marRight w:val="0"/>
      <w:marTop w:val="0"/>
      <w:marBottom w:val="0"/>
      <w:divBdr>
        <w:top w:val="none" w:sz="0" w:space="0" w:color="auto"/>
        <w:left w:val="none" w:sz="0" w:space="0" w:color="auto"/>
        <w:bottom w:val="none" w:sz="0" w:space="0" w:color="auto"/>
        <w:right w:val="none" w:sz="0" w:space="0" w:color="auto"/>
      </w:divBdr>
    </w:div>
    <w:div w:id="64645577">
      <w:bodyDiv w:val="1"/>
      <w:marLeft w:val="0"/>
      <w:marRight w:val="0"/>
      <w:marTop w:val="0"/>
      <w:marBottom w:val="0"/>
      <w:divBdr>
        <w:top w:val="none" w:sz="0" w:space="0" w:color="auto"/>
        <w:left w:val="none" w:sz="0" w:space="0" w:color="auto"/>
        <w:bottom w:val="none" w:sz="0" w:space="0" w:color="auto"/>
        <w:right w:val="none" w:sz="0" w:space="0" w:color="auto"/>
      </w:divBdr>
    </w:div>
    <w:div w:id="75321831">
      <w:bodyDiv w:val="1"/>
      <w:marLeft w:val="0"/>
      <w:marRight w:val="0"/>
      <w:marTop w:val="0"/>
      <w:marBottom w:val="0"/>
      <w:divBdr>
        <w:top w:val="none" w:sz="0" w:space="0" w:color="auto"/>
        <w:left w:val="none" w:sz="0" w:space="0" w:color="auto"/>
        <w:bottom w:val="none" w:sz="0" w:space="0" w:color="auto"/>
        <w:right w:val="none" w:sz="0" w:space="0" w:color="auto"/>
      </w:divBdr>
    </w:div>
    <w:div w:id="76101731">
      <w:bodyDiv w:val="1"/>
      <w:marLeft w:val="0"/>
      <w:marRight w:val="0"/>
      <w:marTop w:val="0"/>
      <w:marBottom w:val="0"/>
      <w:divBdr>
        <w:top w:val="none" w:sz="0" w:space="0" w:color="auto"/>
        <w:left w:val="none" w:sz="0" w:space="0" w:color="auto"/>
        <w:bottom w:val="none" w:sz="0" w:space="0" w:color="auto"/>
        <w:right w:val="none" w:sz="0" w:space="0" w:color="auto"/>
      </w:divBdr>
    </w:div>
    <w:div w:id="76875826">
      <w:bodyDiv w:val="1"/>
      <w:marLeft w:val="0"/>
      <w:marRight w:val="0"/>
      <w:marTop w:val="0"/>
      <w:marBottom w:val="0"/>
      <w:divBdr>
        <w:top w:val="none" w:sz="0" w:space="0" w:color="auto"/>
        <w:left w:val="none" w:sz="0" w:space="0" w:color="auto"/>
        <w:bottom w:val="none" w:sz="0" w:space="0" w:color="auto"/>
        <w:right w:val="none" w:sz="0" w:space="0" w:color="auto"/>
      </w:divBdr>
    </w:div>
    <w:div w:id="77756977">
      <w:bodyDiv w:val="1"/>
      <w:marLeft w:val="0"/>
      <w:marRight w:val="0"/>
      <w:marTop w:val="0"/>
      <w:marBottom w:val="0"/>
      <w:divBdr>
        <w:top w:val="none" w:sz="0" w:space="0" w:color="auto"/>
        <w:left w:val="none" w:sz="0" w:space="0" w:color="auto"/>
        <w:bottom w:val="none" w:sz="0" w:space="0" w:color="auto"/>
        <w:right w:val="none" w:sz="0" w:space="0" w:color="auto"/>
      </w:divBdr>
    </w:div>
    <w:div w:id="111023065">
      <w:bodyDiv w:val="1"/>
      <w:marLeft w:val="0"/>
      <w:marRight w:val="0"/>
      <w:marTop w:val="0"/>
      <w:marBottom w:val="0"/>
      <w:divBdr>
        <w:top w:val="none" w:sz="0" w:space="0" w:color="auto"/>
        <w:left w:val="none" w:sz="0" w:space="0" w:color="auto"/>
        <w:bottom w:val="none" w:sz="0" w:space="0" w:color="auto"/>
        <w:right w:val="none" w:sz="0" w:space="0" w:color="auto"/>
      </w:divBdr>
    </w:div>
    <w:div w:id="111437410">
      <w:bodyDiv w:val="1"/>
      <w:marLeft w:val="0"/>
      <w:marRight w:val="0"/>
      <w:marTop w:val="0"/>
      <w:marBottom w:val="0"/>
      <w:divBdr>
        <w:top w:val="none" w:sz="0" w:space="0" w:color="auto"/>
        <w:left w:val="none" w:sz="0" w:space="0" w:color="auto"/>
        <w:bottom w:val="none" w:sz="0" w:space="0" w:color="auto"/>
        <w:right w:val="none" w:sz="0" w:space="0" w:color="auto"/>
      </w:divBdr>
    </w:div>
    <w:div w:id="119998584">
      <w:bodyDiv w:val="1"/>
      <w:marLeft w:val="0"/>
      <w:marRight w:val="0"/>
      <w:marTop w:val="0"/>
      <w:marBottom w:val="0"/>
      <w:divBdr>
        <w:top w:val="none" w:sz="0" w:space="0" w:color="auto"/>
        <w:left w:val="none" w:sz="0" w:space="0" w:color="auto"/>
        <w:bottom w:val="none" w:sz="0" w:space="0" w:color="auto"/>
        <w:right w:val="none" w:sz="0" w:space="0" w:color="auto"/>
      </w:divBdr>
    </w:div>
    <w:div w:id="135531024">
      <w:bodyDiv w:val="1"/>
      <w:marLeft w:val="0"/>
      <w:marRight w:val="0"/>
      <w:marTop w:val="0"/>
      <w:marBottom w:val="0"/>
      <w:divBdr>
        <w:top w:val="none" w:sz="0" w:space="0" w:color="auto"/>
        <w:left w:val="none" w:sz="0" w:space="0" w:color="auto"/>
        <w:bottom w:val="none" w:sz="0" w:space="0" w:color="auto"/>
        <w:right w:val="none" w:sz="0" w:space="0" w:color="auto"/>
      </w:divBdr>
    </w:div>
    <w:div w:id="148443313">
      <w:bodyDiv w:val="1"/>
      <w:marLeft w:val="0"/>
      <w:marRight w:val="0"/>
      <w:marTop w:val="0"/>
      <w:marBottom w:val="0"/>
      <w:divBdr>
        <w:top w:val="none" w:sz="0" w:space="0" w:color="auto"/>
        <w:left w:val="none" w:sz="0" w:space="0" w:color="auto"/>
        <w:bottom w:val="none" w:sz="0" w:space="0" w:color="auto"/>
        <w:right w:val="none" w:sz="0" w:space="0" w:color="auto"/>
      </w:divBdr>
    </w:div>
    <w:div w:id="157384402">
      <w:bodyDiv w:val="1"/>
      <w:marLeft w:val="0"/>
      <w:marRight w:val="0"/>
      <w:marTop w:val="0"/>
      <w:marBottom w:val="0"/>
      <w:divBdr>
        <w:top w:val="none" w:sz="0" w:space="0" w:color="auto"/>
        <w:left w:val="none" w:sz="0" w:space="0" w:color="auto"/>
        <w:bottom w:val="none" w:sz="0" w:space="0" w:color="auto"/>
        <w:right w:val="none" w:sz="0" w:space="0" w:color="auto"/>
      </w:divBdr>
    </w:div>
    <w:div w:id="158617712">
      <w:bodyDiv w:val="1"/>
      <w:marLeft w:val="0"/>
      <w:marRight w:val="0"/>
      <w:marTop w:val="0"/>
      <w:marBottom w:val="0"/>
      <w:divBdr>
        <w:top w:val="none" w:sz="0" w:space="0" w:color="auto"/>
        <w:left w:val="none" w:sz="0" w:space="0" w:color="auto"/>
        <w:bottom w:val="none" w:sz="0" w:space="0" w:color="auto"/>
        <w:right w:val="none" w:sz="0" w:space="0" w:color="auto"/>
      </w:divBdr>
    </w:div>
    <w:div w:id="158621921">
      <w:bodyDiv w:val="1"/>
      <w:marLeft w:val="0"/>
      <w:marRight w:val="0"/>
      <w:marTop w:val="0"/>
      <w:marBottom w:val="0"/>
      <w:divBdr>
        <w:top w:val="none" w:sz="0" w:space="0" w:color="auto"/>
        <w:left w:val="none" w:sz="0" w:space="0" w:color="auto"/>
        <w:bottom w:val="none" w:sz="0" w:space="0" w:color="auto"/>
        <w:right w:val="none" w:sz="0" w:space="0" w:color="auto"/>
      </w:divBdr>
    </w:div>
    <w:div w:id="174655978">
      <w:bodyDiv w:val="1"/>
      <w:marLeft w:val="0"/>
      <w:marRight w:val="0"/>
      <w:marTop w:val="0"/>
      <w:marBottom w:val="0"/>
      <w:divBdr>
        <w:top w:val="none" w:sz="0" w:space="0" w:color="auto"/>
        <w:left w:val="none" w:sz="0" w:space="0" w:color="auto"/>
        <w:bottom w:val="none" w:sz="0" w:space="0" w:color="auto"/>
        <w:right w:val="none" w:sz="0" w:space="0" w:color="auto"/>
      </w:divBdr>
    </w:div>
    <w:div w:id="188763478">
      <w:bodyDiv w:val="1"/>
      <w:marLeft w:val="0"/>
      <w:marRight w:val="0"/>
      <w:marTop w:val="0"/>
      <w:marBottom w:val="0"/>
      <w:divBdr>
        <w:top w:val="none" w:sz="0" w:space="0" w:color="auto"/>
        <w:left w:val="none" w:sz="0" w:space="0" w:color="auto"/>
        <w:bottom w:val="none" w:sz="0" w:space="0" w:color="auto"/>
        <w:right w:val="none" w:sz="0" w:space="0" w:color="auto"/>
      </w:divBdr>
    </w:div>
    <w:div w:id="189878694">
      <w:bodyDiv w:val="1"/>
      <w:marLeft w:val="0"/>
      <w:marRight w:val="0"/>
      <w:marTop w:val="0"/>
      <w:marBottom w:val="0"/>
      <w:divBdr>
        <w:top w:val="none" w:sz="0" w:space="0" w:color="auto"/>
        <w:left w:val="none" w:sz="0" w:space="0" w:color="auto"/>
        <w:bottom w:val="none" w:sz="0" w:space="0" w:color="auto"/>
        <w:right w:val="none" w:sz="0" w:space="0" w:color="auto"/>
      </w:divBdr>
    </w:div>
    <w:div w:id="213540567">
      <w:bodyDiv w:val="1"/>
      <w:marLeft w:val="0"/>
      <w:marRight w:val="0"/>
      <w:marTop w:val="0"/>
      <w:marBottom w:val="0"/>
      <w:divBdr>
        <w:top w:val="none" w:sz="0" w:space="0" w:color="auto"/>
        <w:left w:val="none" w:sz="0" w:space="0" w:color="auto"/>
        <w:bottom w:val="none" w:sz="0" w:space="0" w:color="auto"/>
        <w:right w:val="none" w:sz="0" w:space="0" w:color="auto"/>
      </w:divBdr>
    </w:div>
    <w:div w:id="219636725">
      <w:bodyDiv w:val="1"/>
      <w:marLeft w:val="0"/>
      <w:marRight w:val="0"/>
      <w:marTop w:val="0"/>
      <w:marBottom w:val="0"/>
      <w:divBdr>
        <w:top w:val="none" w:sz="0" w:space="0" w:color="auto"/>
        <w:left w:val="none" w:sz="0" w:space="0" w:color="auto"/>
        <w:bottom w:val="none" w:sz="0" w:space="0" w:color="auto"/>
        <w:right w:val="none" w:sz="0" w:space="0" w:color="auto"/>
      </w:divBdr>
    </w:div>
    <w:div w:id="244415167">
      <w:bodyDiv w:val="1"/>
      <w:marLeft w:val="0"/>
      <w:marRight w:val="0"/>
      <w:marTop w:val="0"/>
      <w:marBottom w:val="0"/>
      <w:divBdr>
        <w:top w:val="none" w:sz="0" w:space="0" w:color="auto"/>
        <w:left w:val="none" w:sz="0" w:space="0" w:color="auto"/>
        <w:bottom w:val="none" w:sz="0" w:space="0" w:color="auto"/>
        <w:right w:val="none" w:sz="0" w:space="0" w:color="auto"/>
      </w:divBdr>
    </w:div>
    <w:div w:id="255094832">
      <w:bodyDiv w:val="1"/>
      <w:marLeft w:val="0"/>
      <w:marRight w:val="0"/>
      <w:marTop w:val="0"/>
      <w:marBottom w:val="0"/>
      <w:divBdr>
        <w:top w:val="none" w:sz="0" w:space="0" w:color="auto"/>
        <w:left w:val="none" w:sz="0" w:space="0" w:color="auto"/>
        <w:bottom w:val="none" w:sz="0" w:space="0" w:color="auto"/>
        <w:right w:val="none" w:sz="0" w:space="0" w:color="auto"/>
      </w:divBdr>
    </w:div>
    <w:div w:id="263803017">
      <w:bodyDiv w:val="1"/>
      <w:marLeft w:val="0"/>
      <w:marRight w:val="0"/>
      <w:marTop w:val="0"/>
      <w:marBottom w:val="0"/>
      <w:divBdr>
        <w:top w:val="none" w:sz="0" w:space="0" w:color="auto"/>
        <w:left w:val="none" w:sz="0" w:space="0" w:color="auto"/>
        <w:bottom w:val="none" w:sz="0" w:space="0" w:color="auto"/>
        <w:right w:val="none" w:sz="0" w:space="0" w:color="auto"/>
      </w:divBdr>
    </w:div>
    <w:div w:id="271712681">
      <w:bodyDiv w:val="1"/>
      <w:marLeft w:val="0"/>
      <w:marRight w:val="0"/>
      <w:marTop w:val="0"/>
      <w:marBottom w:val="0"/>
      <w:divBdr>
        <w:top w:val="none" w:sz="0" w:space="0" w:color="auto"/>
        <w:left w:val="none" w:sz="0" w:space="0" w:color="auto"/>
        <w:bottom w:val="none" w:sz="0" w:space="0" w:color="auto"/>
        <w:right w:val="none" w:sz="0" w:space="0" w:color="auto"/>
      </w:divBdr>
    </w:div>
    <w:div w:id="285892828">
      <w:bodyDiv w:val="1"/>
      <w:marLeft w:val="0"/>
      <w:marRight w:val="0"/>
      <w:marTop w:val="0"/>
      <w:marBottom w:val="0"/>
      <w:divBdr>
        <w:top w:val="none" w:sz="0" w:space="0" w:color="auto"/>
        <w:left w:val="none" w:sz="0" w:space="0" w:color="auto"/>
        <w:bottom w:val="none" w:sz="0" w:space="0" w:color="auto"/>
        <w:right w:val="none" w:sz="0" w:space="0" w:color="auto"/>
      </w:divBdr>
    </w:div>
    <w:div w:id="309216827">
      <w:bodyDiv w:val="1"/>
      <w:marLeft w:val="0"/>
      <w:marRight w:val="0"/>
      <w:marTop w:val="0"/>
      <w:marBottom w:val="0"/>
      <w:divBdr>
        <w:top w:val="none" w:sz="0" w:space="0" w:color="auto"/>
        <w:left w:val="none" w:sz="0" w:space="0" w:color="auto"/>
        <w:bottom w:val="none" w:sz="0" w:space="0" w:color="auto"/>
        <w:right w:val="none" w:sz="0" w:space="0" w:color="auto"/>
      </w:divBdr>
    </w:div>
    <w:div w:id="336930210">
      <w:bodyDiv w:val="1"/>
      <w:marLeft w:val="0"/>
      <w:marRight w:val="0"/>
      <w:marTop w:val="0"/>
      <w:marBottom w:val="0"/>
      <w:divBdr>
        <w:top w:val="none" w:sz="0" w:space="0" w:color="auto"/>
        <w:left w:val="none" w:sz="0" w:space="0" w:color="auto"/>
        <w:bottom w:val="none" w:sz="0" w:space="0" w:color="auto"/>
        <w:right w:val="none" w:sz="0" w:space="0" w:color="auto"/>
      </w:divBdr>
    </w:div>
    <w:div w:id="345912014">
      <w:bodyDiv w:val="1"/>
      <w:marLeft w:val="0"/>
      <w:marRight w:val="0"/>
      <w:marTop w:val="0"/>
      <w:marBottom w:val="0"/>
      <w:divBdr>
        <w:top w:val="none" w:sz="0" w:space="0" w:color="auto"/>
        <w:left w:val="none" w:sz="0" w:space="0" w:color="auto"/>
        <w:bottom w:val="none" w:sz="0" w:space="0" w:color="auto"/>
        <w:right w:val="none" w:sz="0" w:space="0" w:color="auto"/>
      </w:divBdr>
    </w:div>
    <w:div w:id="352802616">
      <w:bodyDiv w:val="1"/>
      <w:marLeft w:val="0"/>
      <w:marRight w:val="0"/>
      <w:marTop w:val="0"/>
      <w:marBottom w:val="0"/>
      <w:divBdr>
        <w:top w:val="none" w:sz="0" w:space="0" w:color="auto"/>
        <w:left w:val="none" w:sz="0" w:space="0" w:color="auto"/>
        <w:bottom w:val="none" w:sz="0" w:space="0" w:color="auto"/>
        <w:right w:val="none" w:sz="0" w:space="0" w:color="auto"/>
      </w:divBdr>
    </w:div>
    <w:div w:id="365328776">
      <w:bodyDiv w:val="1"/>
      <w:marLeft w:val="0"/>
      <w:marRight w:val="0"/>
      <w:marTop w:val="0"/>
      <w:marBottom w:val="0"/>
      <w:divBdr>
        <w:top w:val="none" w:sz="0" w:space="0" w:color="auto"/>
        <w:left w:val="none" w:sz="0" w:space="0" w:color="auto"/>
        <w:bottom w:val="none" w:sz="0" w:space="0" w:color="auto"/>
        <w:right w:val="none" w:sz="0" w:space="0" w:color="auto"/>
      </w:divBdr>
    </w:div>
    <w:div w:id="392969057">
      <w:bodyDiv w:val="1"/>
      <w:marLeft w:val="0"/>
      <w:marRight w:val="0"/>
      <w:marTop w:val="0"/>
      <w:marBottom w:val="0"/>
      <w:divBdr>
        <w:top w:val="none" w:sz="0" w:space="0" w:color="auto"/>
        <w:left w:val="none" w:sz="0" w:space="0" w:color="auto"/>
        <w:bottom w:val="none" w:sz="0" w:space="0" w:color="auto"/>
        <w:right w:val="none" w:sz="0" w:space="0" w:color="auto"/>
      </w:divBdr>
    </w:div>
    <w:div w:id="393312991">
      <w:bodyDiv w:val="1"/>
      <w:marLeft w:val="0"/>
      <w:marRight w:val="0"/>
      <w:marTop w:val="0"/>
      <w:marBottom w:val="0"/>
      <w:divBdr>
        <w:top w:val="none" w:sz="0" w:space="0" w:color="auto"/>
        <w:left w:val="none" w:sz="0" w:space="0" w:color="auto"/>
        <w:bottom w:val="none" w:sz="0" w:space="0" w:color="auto"/>
        <w:right w:val="none" w:sz="0" w:space="0" w:color="auto"/>
      </w:divBdr>
    </w:div>
    <w:div w:id="394474528">
      <w:bodyDiv w:val="1"/>
      <w:marLeft w:val="0"/>
      <w:marRight w:val="0"/>
      <w:marTop w:val="0"/>
      <w:marBottom w:val="0"/>
      <w:divBdr>
        <w:top w:val="none" w:sz="0" w:space="0" w:color="auto"/>
        <w:left w:val="none" w:sz="0" w:space="0" w:color="auto"/>
        <w:bottom w:val="none" w:sz="0" w:space="0" w:color="auto"/>
        <w:right w:val="none" w:sz="0" w:space="0" w:color="auto"/>
      </w:divBdr>
    </w:div>
    <w:div w:id="397284800">
      <w:bodyDiv w:val="1"/>
      <w:marLeft w:val="0"/>
      <w:marRight w:val="0"/>
      <w:marTop w:val="0"/>
      <w:marBottom w:val="0"/>
      <w:divBdr>
        <w:top w:val="none" w:sz="0" w:space="0" w:color="auto"/>
        <w:left w:val="none" w:sz="0" w:space="0" w:color="auto"/>
        <w:bottom w:val="none" w:sz="0" w:space="0" w:color="auto"/>
        <w:right w:val="none" w:sz="0" w:space="0" w:color="auto"/>
      </w:divBdr>
    </w:div>
    <w:div w:id="414396438">
      <w:bodyDiv w:val="1"/>
      <w:marLeft w:val="0"/>
      <w:marRight w:val="0"/>
      <w:marTop w:val="0"/>
      <w:marBottom w:val="0"/>
      <w:divBdr>
        <w:top w:val="none" w:sz="0" w:space="0" w:color="auto"/>
        <w:left w:val="none" w:sz="0" w:space="0" w:color="auto"/>
        <w:bottom w:val="none" w:sz="0" w:space="0" w:color="auto"/>
        <w:right w:val="none" w:sz="0" w:space="0" w:color="auto"/>
      </w:divBdr>
    </w:div>
    <w:div w:id="418644937">
      <w:bodyDiv w:val="1"/>
      <w:marLeft w:val="0"/>
      <w:marRight w:val="0"/>
      <w:marTop w:val="0"/>
      <w:marBottom w:val="0"/>
      <w:divBdr>
        <w:top w:val="none" w:sz="0" w:space="0" w:color="auto"/>
        <w:left w:val="none" w:sz="0" w:space="0" w:color="auto"/>
        <w:bottom w:val="none" w:sz="0" w:space="0" w:color="auto"/>
        <w:right w:val="none" w:sz="0" w:space="0" w:color="auto"/>
      </w:divBdr>
    </w:div>
    <w:div w:id="425615343">
      <w:bodyDiv w:val="1"/>
      <w:marLeft w:val="0"/>
      <w:marRight w:val="0"/>
      <w:marTop w:val="0"/>
      <w:marBottom w:val="0"/>
      <w:divBdr>
        <w:top w:val="none" w:sz="0" w:space="0" w:color="auto"/>
        <w:left w:val="none" w:sz="0" w:space="0" w:color="auto"/>
        <w:bottom w:val="none" w:sz="0" w:space="0" w:color="auto"/>
        <w:right w:val="none" w:sz="0" w:space="0" w:color="auto"/>
      </w:divBdr>
    </w:div>
    <w:div w:id="431054709">
      <w:bodyDiv w:val="1"/>
      <w:marLeft w:val="0"/>
      <w:marRight w:val="0"/>
      <w:marTop w:val="0"/>
      <w:marBottom w:val="0"/>
      <w:divBdr>
        <w:top w:val="none" w:sz="0" w:space="0" w:color="auto"/>
        <w:left w:val="none" w:sz="0" w:space="0" w:color="auto"/>
        <w:bottom w:val="none" w:sz="0" w:space="0" w:color="auto"/>
        <w:right w:val="none" w:sz="0" w:space="0" w:color="auto"/>
      </w:divBdr>
    </w:div>
    <w:div w:id="442115132">
      <w:bodyDiv w:val="1"/>
      <w:marLeft w:val="0"/>
      <w:marRight w:val="0"/>
      <w:marTop w:val="0"/>
      <w:marBottom w:val="0"/>
      <w:divBdr>
        <w:top w:val="none" w:sz="0" w:space="0" w:color="auto"/>
        <w:left w:val="none" w:sz="0" w:space="0" w:color="auto"/>
        <w:bottom w:val="none" w:sz="0" w:space="0" w:color="auto"/>
        <w:right w:val="none" w:sz="0" w:space="0" w:color="auto"/>
      </w:divBdr>
    </w:div>
    <w:div w:id="449125640">
      <w:bodyDiv w:val="1"/>
      <w:marLeft w:val="0"/>
      <w:marRight w:val="0"/>
      <w:marTop w:val="0"/>
      <w:marBottom w:val="0"/>
      <w:divBdr>
        <w:top w:val="none" w:sz="0" w:space="0" w:color="auto"/>
        <w:left w:val="none" w:sz="0" w:space="0" w:color="auto"/>
        <w:bottom w:val="none" w:sz="0" w:space="0" w:color="auto"/>
        <w:right w:val="none" w:sz="0" w:space="0" w:color="auto"/>
      </w:divBdr>
    </w:div>
    <w:div w:id="457115311">
      <w:bodyDiv w:val="1"/>
      <w:marLeft w:val="0"/>
      <w:marRight w:val="0"/>
      <w:marTop w:val="0"/>
      <w:marBottom w:val="0"/>
      <w:divBdr>
        <w:top w:val="none" w:sz="0" w:space="0" w:color="auto"/>
        <w:left w:val="none" w:sz="0" w:space="0" w:color="auto"/>
        <w:bottom w:val="none" w:sz="0" w:space="0" w:color="auto"/>
        <w:right w:val="none" w:sz="0" w:space="0" w:color="auto"/>
      </w:divBdr>
    </w:div>
    <w:div w:id="468598582">
      <w:bodyDiv w:val="1"/>
      <w:marLeft w:val="0"/>
      <w:marRight w:val="0"/>
      <w:marTop w:val="0"/>
      <w:marBottom w:val="0"/>
      <w:divBdr>
        <w:top w:val="none" w:sz="0" w:space="0" w:color="auto"/>
        <w:left w:val="none" w:sz="0" w:space="0" w:color="auto"/>
        <w:bottom w:val="none" w:sz="0" w:space="0" w:color="auto"/>
        <w:right w:val="none" w:sz="0" w:space="0" w:color="auto"/>
      </w:divBdr>
    </w:div>
    <w:div w:id="492914265">
      <w:bodyDiv w:val="1"/>
      <w:marLeft w:val="0"/>
      <w:marRight w:val="0"/>
      <w:marTop w:val="0"/>
      <w:marBottom w:val="0"/>
      <w:divBdr>
        <w:top w:val="none" w:sz="0" w:space="0" w:color="auto"/>
        <w:left w:val="none" w:sz="0" w:space="0" w:color="auto"/>
        <w:bottom w:val="none" w:sz="0" w:space="0" w:color="auto"/>
        <w:right w:val="none" w:sz="0" w:space="0" w:color="auto"/>
      </w:divBdr>
    </w:div>
    <w:div w:id="497817558">
      <w:bodyDiv w:val="1"/>
      <w:marLeft w:val="0"/>
      <w:marRight w:val="0"/>
      <w:marTop w:val="0"/>
      <w:marBottom w:val="0"/>
      <w:divBdr>
        <w:top w:val="none" w:sz="0" w:space="0" w:color="auto"/>
        <w:left w:val="none" w:sz="0" w:space="0" w:color="auto"/>
        <w:bottom w:val="none" w:sz="0" w:space="0" w:color="auto"/>
        <w:right w:val="none" w:sz="0" w:space="0" w:color="auto"/>
      </w:divBdr>
    </w:div>
    <w:div w:id="504632771">
      <w:bodyDiv w:val="1"/>
      <w:marLeft w:val="0"/>
      <w:marRight w:val="0"/>
      <w:marTop w:val="0"/>
      <w:marBottom w:val="0"/>
      <w:divBdr>
        <w:top w:val="none" w:sz="0" w:space="0" w:color="auto"/>
        <w:left w:val="none" w:sz="0" w:space="0" w:color="auto"/>
        <w:bottom w:val="none" w:sz="0" w:space="0" w:color="auto"/>
        <w:right w:val="none" w:sz="0" w:space="0" w:color="auto"/>
      </w:divBdr>
    </w:div>
    <w:div w:id="508905326">
      <w:bodyDiv w:val="1"/>
      <w:marLeft w:val="0"/>
      <w:marRight w:val="0"/>
      <w:marTop w:val="0"/>
      <w:marBottom w:val="0"/>
      <w:divBdr>
        <w:top w:val="none" w:sz="0" w:space="0" w:color="auto"/>
        <w:left w:val="none" w:sz="0" w:space="0" w:color="auto"/>
        <w:bottom w:val="none" w:sz="0" w:space="0" w:color="auto"/>
        <w:right w:val="none" w:sz="0" w:space="0" w:color="auto"/>
      </w:divBdr>
    </w:div>
    <w:div w:id="526213292">
      <w:bodyDiv w:val="1"/>
      <w:marLeft w:val="0"/>
      <w:marRight w:val="0"/>
      <w:marTop w:val="0"/>
      <w:marBottom w:val="0"/>
      <w:divBdr>
        <w:top w:val="none" w:sz="0" w:space="0" w:color="auto"/>
        <w:left w:val="none" w:sz="0" w:space="0" w:color="auto"/>
        <w:bottom w:val="none" w:sz="0" w:space="0" w:color="auto"/>
        <w:right w:val="none" w:sz="0" w:space="0" w:color="auto"/>
      </w:divBdr>
    </w:div>
    <w:div w:id="534464567">
      <w:bodyDiv w:val="1"/>
      <w:marLeft w:val="0"/>
      <w:marRight w:val="0"/>
      <w:marTop w:val="0"/>
      <w:marBottom w:val="0"/>
      <w:divBdr>
        <w:top w:val="none" w:sz="0" w:space="0" w:color="auto"/>
        <w:left w:val="none" w:sz="0" w:space="0" w:color="auto"/>
        <w:bottom w:val="none" w:sz="0" w:space="0" w:color="auto"/>
        <w:right w:val="none" w:sz="0" w:space="0" w:color="auto"/>
      </w:divBdr>
    </w:div>
    <w:div w:id="535855090">
      <w:bodyDiv w:val="1"/>
      <w:marLeft w:val="0"/>
      <w:marRight w:val="0"/>
      <w:marTop w:val="0"/>
      <w:marBottom w:val="0"/>
      <w:divBdr>
        <w:top w:val="none" w:sz="0" w:space="0" w:color="auto"/>
        <w:left w:val="none" w:sz="0" w:space="0" w:color="auto"/>
        <w:bottom w:val="none" w:sz="0" w:space="0" w:color="auto"/>
        <w:right w:val="none" w:sz="0" w:space="0" w:color="auto"/>
      </w:divBdr>
    </w:div>
    <w:div w:id="543758153">
      <w:bodyDiv w:val="1"/>
      <w:marLeft w:val="0"/>
      <w:marRight w:val="0"/>
      <w:marTop w:val="0"/>
      <w:marBottom w:val="0"/>
      <w:divBdr>
        <w:top w:val="none" w:sz="0" w:space="0" w:color="auto"/>
        <w:left w:val="none" w:sz="0" w:space="0" w:color="auto"/>
        <w:bottom w:val="none" w:sz="0" w:space="0" w:color="auto"/>
        <w:right w:val="none" w:sz="0" w:space="0" w:color="auto"/>
      </w:divBdr>
    </w:div>
    <w:div w:id="549801174">
      <w:bodyDiv w:val="1"/>
      <w:marLeft w:val="0"/>
      <w:marRight w:val="0"/>
      <w:marTop w:val="0"/>
      <w:marBottom w:val="0"/>
      <w:divBdr>
        <w:top w:val="none" w:sz="0" w:space="0" w:color="auto"/>
        <w:left w:val="none" w:sz="0" w:space="0" w:color="auto"/>
        <w:bottom w:val="none" w:sz="0" w:space="0" w:color="auto"/>
        <w:right w:val="none" w:sz="0" w:space="0" w:color="auto"/>
      </w:divBdr>
    </w:div>
    <w:div w:id="566116470">
      <w:bodyDiv w:val="1"/>
      <w:marLeft w:val="0"/>
      <w:marRight w:val="0"/>
      <w:marTop w:val="0"/>
      <w:marBottom w:val="0"/>
      <w:divBdr>
        <w:top w:val="none" w:sz="0" w:space="0" w:color="auto"/>
        <w:left w:val="none" w:sz="0" w:space="0" w:color="auto"/>
        <w:bottom w:val="none" w:sz="0" w:space="0" w:color="auto"/>
        <w:right w:val="none" w:sz="0" w:space="0" w:color="auto"/>
      </w:divBdr>
    </w:div>
    <w:div w:id="572350572">
      <w:bodyDiv w:val="1"/>
      <w:marLeft w:val="0"/>
      <w:marRight w:val="0"/>
      <w:marTop w:val="0"/>
      <w:marBottom w:val="0"/>
      <w:divBdr>
        <w:top w:val="none" w:sz="0" w:space="0" w:color="auto"/>
        <w:left w:val="none" w:sz="0" w:space="0" w:color="auto"/>
        <w:bottom w:val="none" w:sz="0" w:space="0" w:color="auto"/>
        <w:right w:val="none" w:sz="0" w:space="0" w:color="auto"/>
      </w:divBdr>
    </w:div>
    <w:div w:id="592320072">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597981609">
      <w:bodyDiv w:val="1"/>
      <w:marLeft w:val="0"/>
      <w:marRight w:val="0"/>
      <w:marTop w:val="0"/>
      <w:marBottom w:val="0"/>
      <w:divBdr>
        <w:top w:val="none" w:sz="0" w:space="0" w:color="auto"/>
        <w:left w:val="none" w:sz="0" w:space="0" w:color="auto"/>
        <w:bottom w:val="none" w:sz="0" w:space="0" w:color="auto"/>
        <w:right w:val="none" w:sz="0" w:space="0" w:color="auto"/>
      </w:divBdr>
    </w:div>
    <w:div w:id="611863686">
      <w:bodyDiv w:val="1"/>
      <w:marLeft w:val="0"/>
      <w:marRight w:val="0"/>
      <w:marTop w:val="0"/>
      <w:marBottom w:val="0"/>
      <w:divBdr>
        <w:top w:val="none" w:sz="0" w:space="0" w:color="auto"/>
        <w:left w:val="none" w:sz="0" w:space="0" w:color="auto"/>
        <w:bottom w:val="none" w:sz="0" w:space="0" w:color="auto"/>
        <w:right w:val="none" w:sz="0" w:space="0" w:color="auto"/>
      </w:divBdr>
    </w:div>
    <w:div w:id="614017459">
      <w:bodyDiv w:val="1"/>
      <w:marLeft w:val="0"/>
      <w:marRight w:val="0"/>
      <w:marTop w:val="0"/>
      <w:marBottom w:val="0"/>
      <w:divBdr>
        <w:top w:val="none" w:sz="0" w:space="0" w:color="auto"/>
        <w:left w:val="none" w:sz="0" w:space="0" w:color="auto"/>
        <w:bottom w:val="none" w:sz="0" w:space="0" w:color="auto"/>
        <w:right w:val="none" w:sz="0" w:space="0" w:color="auto"/>
      </w:divBdr>
    </w:div>
    <w:div w:id="631710948">
      <w:bodyDiv w:val="1"/>
      <w:marLeft w:val="0"/>
      <w:marRight w:val="0"/>
      <w:marTop w:val="0"/>
      <w:marBottom w:val="0"/>
      <w:divBdr>
        <w:top w:val="none" w:sz="0" w:space="0" w:color="auto"/>
        <w:left w:val="none" w:sz="0" w:space="0" w:color="auto"/>
        <w:bottom w:val="none" w:sz="0" w:space="0" w:color="auto"/>
        <w:right w:val="none" w:sz="0" w:space="0" w:color="auto"/>
      </w:divBdr>
    </w:div>
    <w:div w:id="670910543">
      <w:bodyDiv w:val="1"/>
      <w:marLeft w:val="0"/>
      <w:marRight w:val="0"/>
      <w:marTop w:val="0"/>
      <w:marBottom w:val="0"/>
      <w:divBdr>
        <w:top w:val="none" w:sz="0" w:space="0" w:color="auto"/>
        <w:left w:val="none" w:sz="0" w:space="0" w:color="auto"/>
        <w:bottom w:val="none" w:sz="0" w:space="0" w:color="auto"/>
        <w:right w:val="none" w:sz="0" w:space="0" w:color="auto"/>
      </w:divBdr>
    </w:div>
    <w:div w:id="692540010">
      <w:bodyDiv w:val="1"/>
      <w:marLeft w:val="0"/>
      <w:marRight w:val="0"/>
      <w:marTop w:val="0"/>
      <w:marBottom w:val="0"/>
      <w:divBdr>
        <w:top w:val="none" w:sz="0" w:space="0" w:color="auto"/>
        <w:left w:val="none" w:sz="0" w:space="0" w:color="auto"/>
        <w:bottom w:val="none" w:sz="0" w:space="0" w:color="auto"/>
        <w:right w:val="none" w:sz="0" w:space="0" w:color="auto"/>
      </w:divBdr>
    </w:div>
    <w:div w:id="695227718">
      <w:bodyDiv w:val="1"/>
      <w:marLeft w:val="0"/>
      <w:marRight w:val="0"/>
      <w:marTop w:val="0"/>
      <w:marBottom w:val="0"/>
      <w:divBdr>
        <w:top w:val="none" w:sz="0" w:space="0" w:color="auto"/>
        <w:left w:val="none" w:sz="0" w:space="0" w:color="auto"/>
        <w:bottom w:val="none" w:sz="0" w:space="0" w:color="auto"/>
        <w:right w:val="none" w:sz="0" w:space="0" w:color="auto"/>
      </w:divBdr>
    </w:div>
    <w:div w:id="702176219">
      <w:bodyDiv w:val="1"/>
      <w:marLeft w:val="0"/>
      <w:marRight w:val="0"/>
      <w:marTop w:val="0"/>
      <w:marBottom w:val="0"/>
      <w:divBdr>
        <w:top w:val="none" w:sz="0" w:space="0" w:color="auto"/>
        <w:left w:val="none" w:sz="0" w:space="0" w:color="auto"/>
        <w:bottom w:val="none" w:sz="0" w:space="0" w:color="auto"/>
        <w:right w:val="none" w:sz="0" w:space="0" w:color="auto"/>
      </w:divBdr>
    </w:div>
    <w:div w:id="703015670">
      <w:bodyDiv w:val="1"/>
      <w:marLeft w:val="0"/>
      <w:marRight w:val="0"/>
      <w:marTop w:val="0"/>
      <w:marBottom w:val="0"/>
      <w:divBdr>
        <w:top w:val="none" w:sz="0" w:space="0" w:color="auto"/>
        <w:left w:val="none" w:sz="0" w:space="0" w:color="auto"/>
        <w:bottom w:val="none" w:sz="0" w:space="0" w:color="auto"/>
        <w:right w:val="none" w:sz="0" w:space="0" w:color="auto"/>
      </w:divBdr>
    </w:div>
    <w:div w:id="717971685">
      <w:bodyDiv w:val="1"/>
      <w:marLeft w:val="0"/>
      <w:marRight w:val="0"/>
      <w:marTop w:val="0"/>
      <w:marBottom w:val="0"/>
      <w:divBdr>
        <w:top w:val="none" w:sz="0" w:space="0" w:color="auto"/>
        <w:left w:val="none" w:sz="0" w:space="0" w:color="auto"/>
        <w:bottom w:val="none" w:sz="0" w:space="0" w:color="auto"/>
        <w:right w:val="none" w:sz="0" w:space="0" w:color="auto"/>
      </w:divBdr>
    </w:div>
    <w:div w:id="726998464">
      <w:bodyDiv w:val="1"/>
      <w:marLeft w:val="0"/>
      <w:marRight w:val="0"/>
      <w:marTop w:val="0"/>
      <w:marBottom w:val="0"/>
      <w:divBdr>
        <w:top w:val="none" w:sz="0" w:space="0" w:color="auto"/>
        <w:left w:val="none" w:sz="0" w:space="0" w:color="auto"/>
        <w:bottom w:val="none" w:sz="0" w:space="0" w:color="auto"/>
        <w:right w:val="none" w:sz="0" w:space="0" w:color="auto"/>
      </w:divBdr>
    </w:div>
    <w:div w:id="732849250">
      <w:bodyDiv w:val="1"/>
      <w:marLeft w:val="0"/>
      <w:marRight w:val="0"/>
      <w:marTop w:val="0"/>
      <w:marBottom w:val="0"/>
      <w:divBdr>
        <w:top w:val="none" w:sz="0" w:space="0" w:color="auto"/>
        <w:left w:val="none" w:sz="0" w:space="0" w:color="auto"/>
        <w:bottom w:val="none" w:sz="0" w:space="0" w:color="auto"/>
        <w:right w:val="none" w:sz="0" w:space="0" w:color="auto"/>
      </w:divBdr>
    </w:div>
    <w:div w:id="741217533">
      <w:bodyDiv w:val="1"/>
      <w:marLeft w:val="0"/>
      <w:marRight w:val="0"/>
      <w:marTop w:val="0"/>
      <w:marBottom w:val="0"/>
      <w:divBdr>
        <w:top w:val="none" w:sz="0" w:space="0" w:color="auto"/>
        <w:left w:val="none" w:sz="0" w:space="0" w:color="auto"/>
        <w:bottom w:val="none" w:sz="0" w:space="0" w:color="auto"/>
        <w:right w:val="none" w:sz="0" w:space="0" w:color="auto"/>
      </w:divBdr>
    </w:div>
    <w:div w:id="755904230">
      <w:bodyDiv w:val="1"/>
      <w:marLeft w:val="0"/>
      <w:marRight w:val="0"/>
      <w:marTop w:val="0"/>
      <w:marBottom w:val="0"/>
      <w:divBdr>
        <w:top w:val="none" w:sz="0" w:space="0" w:color="auto"/>
        <w:left w:val="none" w:sz="0" w:space="0" w:color="auto"/>
        <w:bottom w:val="none" w:sz="0" w:space="0" w:color="auto"/>
        <w:right w:val="none" w:sz="0" w:space="0" w:color="auto"/>
      </w:divBdr>
    </w:div>
    <w:div w:id="775104780">
      <w:bodyDiv w:val="1"/>
      <w:marLeft w:val="0"/>
      <w:marRight w:val="0"/>
      <w:marTop w:val="0"/>
      <w:marBottom w:val="0"/>
      <w:divBdr>
        <w:top w:val="none" w:sz="0" w:space="0" w:color="auto"/>
        <w:left w:val="none" w:sz="0" w:space="0" w:color="auto"/>
        <w:bottom w:val="none" w:sz="0" w:space="0" w:color="auto"/>
        <w:right w:val="none" w:sz="0" w:space="0" w:color="auto"/>
      </w:divBdr>
    </w:div>
    <w:div w:id="780339196">
      <w:bodyDiv w:val="1"/>
      <w:marLeft w:val="0"/>
      <w:marRight w:val="0"/>
      <w:marTop w:val="0"/>
      <w:marBottom w:val="0"/>
      <w:divBdr>
        <w:top w:val="none" w:sz="0" w:space="0" w:color="auto"/>
        <w:left w:val="none" w:sz="0" w:space="0" w:color="auto"/>
        <w:bottom w:val="none" w:sz="0" w:space="0" w:color="auto"/>
        <w:right w:val="none" w:sz="0" w:space="0" w:color="auto"/>
      </w:divBdr>
    </w:div>
    <w:div w:id="786655440">
      <w:bodyDiv w:val="1"/>
      <w:marLeft w:val="0"/>
      <w:marRight w:val="0"/>
      <w:marTop w:val="0"/>
      <w:marBottom w:val="0"/>
      <w:divBdr>
        <w:top w:val="none" w:sz="0" w:space="0" w:color="auto"/>
        <w:left w:val="none" w:sz="0" w:space="0" w:color="auto"/>
        <w:bottom w:val="none" w:sz="0" w:space="0" w:color="auto"/>
        <w:right w:val="none" w:sz="0" w:space="0" w:color="auto"/>
      </w:divBdr>
    </w:div>
    <w:div w:id="797188765">
      <w:bodyDiv w:val="1"/>
      <w:marLeft w:val="0"/>
      <w:marRight w:val="0"/>
      <w:marTop w:val="0"/>
      <w:marBottom w:val="0"/>
      <w:divBdr>
        <w:top w:val="none" w:sz="0" w:space="0" w:color="auto"/>
        <w:left w:val="none" w:sz="0" w:space="0" w:color="auto"/>
        <w:bottom w:val="none" w:sz="0" w:space="0" w:color="auto"/>
        <w:right w:val="none" w:sz="0" w:space="0" w:color="auto"/>
      </w:divBdr>
    </w:div>
    <w:div w:id="800002389">
      <w:bodyDiv w:val="1"/>
      <w:marLeft w:val="0"/>
      <w:marRight w:val="0"/>
      <w:marTop w:val="0"/>
      <w:marBottom w:val="0"/>
      <w:divBdr>
        <w:top w:val="none" w:sz="0" w:space="0" w:color="auto"/>
        <w:left w:val="none" w:sz="0" w:space="0" w:color="auto"/>
        <w:bottom w:val="none" w:sz="0" w:space="0" w:color="auto"/>
        <w:right w:val="none" w:sz="0" w:space="0" w:color="auto"/>
      </w:divBdr>
    </w:div>
    <w:div w:id="814490034">
      <w:bodyDiv w:val="1"/>
      <w:marLeft w:val="0"/>
      <w:marRight w:val="0"/>
      <w:marTop w:val="0"/>
      <w:marBottom w:val="0"/>
      <w:divBdr>
        <w:top w:val="none" w:sz="0" w:space="0" w:color="auto"/>
        <w:left w:val="none" w:sz="0" w:space="0" w:color="auto"/>
        <w:bottom w:val="none" w:sz="0" w:space="0" w:color="auto"/>
        <w:right w:val="none" w:sz="0" w:space="0" w:color="auto"/>
      </w:divBdr>
    </w:div>
    <w:div w:id="833573945">
      <w:bodyDiv w:val="1"/>
      <w:marLeft w:val="0"/>
      <w:marRight w:val="0"/>
      <w:marTop w:val="0"/>
      <w:marBottom w:val="0"/>
      <w:divBdr>
        <w:top w:val="none" w:sz="0" w:space="0" w:color="auto"/>
        <w:left w:val="none" w:sz="0" w:space="0" w:color="auto"/>
        <w:bottom w:val="none" w:sz="0" w:space="0" w:color="auto"/>
        <w:right w:val="none" w:sz="0" w:space="0" w:color="auto"/>
      </w:divBdr>
    </w:div>
    <w:div w:id="834104131">
      <w:bodyDiv w:val="1"/>
      <w:marLeft w:val="0"/>
      <w:marRight w:val="0"/>
      <w:marTop w:val="0"/>
      <w:marBottom w:val="0"/>
      <w:divBdr>
        <w:top w:val="none" w:sz="0" w:space="0" w:color="auto"/>
        <w:left w:val="none" w:sz="0" w:space="0" w:color="auto"/>
        <w:bottom w:val="none" w:sz="0" w:space="0" w:color="auto"/>
        <w:right w:val="none" w:sz="0" w:space="0" w:color="auto"/>
      </w:divBdr>
    </w:div>
    <w:div w:id="837426870">
      <w:bodyDiv w:val="1"/>
      <w:marLeft w:val="0"/>
      <w:marRight w:val="0"/>
      <w:marTop w:val="0"/>
      <w:marBottom w:val="0"/>
      <w:divBdr>
        <w:top w:val="none" w:sz="0" w:space="0" w:color="auto"/>
        <w:left w:val="none" w:sz="0" w:space="0" w:color="auto"/>
        <w:bottom w:val="none" w:sz="0" w:space="0" w:color="auto"/>
        <w:right w:val="none" w:sz="0" w:space="0" w:color="auto"/>
      </w:divBdr>
    </w:div>
    <w:div w:id="848133250">
      <w:bodyDiv w:val="1"/>
      <w:marLeft w:val="0"/>
      <w:marRight w:val="0"/>
      <w:marTop w:val="0"/>
      <w:marBottom w:val="0"/>
      <w:divBdr>
        <w:top w:val="none" w:sz="0" w:space="0" w:color="auto"/>
        <w:left w:val="none" w:sz="0" w:space="0" w:color="auto"/>
        <w:bottom w:val="none" w:sz="0" w:space="0" w:color="auto"/>
        <w:right w:val="none" w:sz="0" w:space="0" w:color="auto"/>
      </w:divBdr>
    </w:div>
    <w:div w:id="861164666">
      <w:bodyDiv w:val="1"/>
      <w:marLeft w:val="0"/>
      <w:marRight w:val="0"/>
      <w:marTop w:val="0"/>
      <w:marBottom w:val="0"/>
      <w:divBdr>
        <w:top w:val="none" w:sz="0" w:space="0" w:color="auto"/>
        <w:left w:val="none" w:sz="0" w:space="0" w:color="auto"/>
        <w:bottom w:val="none" w:sz="0" w:space="0" w:color="auto"/>
        <w:right w:val="none" w:sz="0" w:space="0" w:color="auto"/>
      </w:divBdr>
    </w:div>
    <w:div w:id="871110687">
      <w:bodyDiv w:val="1"/>
      <w:marLeft w:val="0"/>
      <w:marRight w:val="0"/>
      <w:marTop w:val="0"/>
      <w:marBottom w:val="0"/>
      <w:divBdr>
        <w:top w:val="none" w:sz="0" w:space="0" w:color="auto"/>
        <w:left w:val="none" w:sz="0" w:space="0" w:color="auto"/>
        <w:bottom w:val="none" w:sz="0" w:space="0" w:color="auto"/>
        <w:right w:val="none" w:sz="0" w:space="0" w:color="auto"/>
      </w:divBdr>
    </w:div>
    <w:div w:id="879977217">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894973663">
      <w:bodyDiv w:val="1"/>
      <w:marLeft w:val="0"/>
      <w:marRight w:val="0"/>
      <w:marTop w:val="0"/>
      <w:marBottom w:val="0"/>
      <w:divBdr>
        <w:top w:val="none" w:sz="0" w:space="0" w:color="auto"/>
        <w:left w:val="none" w:sz="0" w:space="0" w:color="auto"/>
        <w:bottom w:val="none" w:sz="0" w:space="0" w:color="auto"/>
        <w:right w:val="none" w:sz="0" w:space="0" w:color="auto"/>
      </w:divBdr>
    </w:div>
    <w:div w:id="897517279">
      <w:bodyDiv w:val="1"/>
      <w:marLeft w:val="0"/>
      <w:marRight w:val="0"/>
      <w:marTop w:val="0"/>
      <w:marBottom w:val="0"/>
      <w:divBdr>
        <w:top w:val="none" w:sz="0" w:space="0" w:color="auto"/>
        <w:left w:val="none" w:sz="0" w:space="0" w:color="auto"/>
        <w:bottom w:val="none" w:sz="0" w:space="0" w:color="auto"/>
        <w:right w:val="none" w:sz="0" w:space="0" w:color="auto"/>
      </w:divBdr>
    </w:div>
    <w:div w:id="901136106">
      <w:bodyDiv w:val="1"/>
      <w:marLeft w:val="0"/>
      <w:marRight w:val="0"/>
      <w:marTop w:val="0"/>
      <w:marBottom w:val="0"/>
      <w:divBdr>
        <w:top w:val="none" w:sz="0" w:space="0" w:color="auto"/>
        <w:left w:val="none" w:sz="0" w:space="0" w:color="auto"/>
        <w:bottom w:val="none" w:sz="0" w:space="0" w:color="auto"/>
        <w:right w:val="none" w:sz="0" w:space="0" w:color="auto"/>
      </w:divBdr>
    </w:div>
    <w:div w:id="916666603">
      <w:bodyDiv w:val="1"/>
      <w:marLeft w:val="0"/>
      <w:marRight w:val="0"/>
      <w:marTop w:val="0"/>
      <w:marBottom w:val="0"/>
      <w:divBdr>
        <w:top w:val="none" w:sz="0" w:space="0" w:color="auto"/>
        <w:left w:val="none" w:sz="0" w:space="0" w:color="auto"/>
        <w:bottom w:val="none" w:sz="0" w:space="0" w:color="auto"/>
        <w:right w:val="none" w:sz="0" w:space="0" w:color="auto"/>
      </w:divBdr>
    </w:div>
    <w:div w:id="922954262">
      <w:bodyDiv w:val="1"/>
      <w:marLeft w:val="0"/>
      <w:marRight w:val="0"/>
      <w:marTop w:val="0"/>
      <w:marBottom w:val="0"/>
      <w:divBdr>
        <w:top w:val="none" w:sz="0" w:space="0" w:color="auto"/>
        <w:left w:val="none" w:sz="0" w:space="0" w:color="auto"/>
        <w:bottom w:val="none" w:sz="0" w:space="0" w:color="auto"/>
        <w:right w:val="none" w:sz="0" w:space="0" w:color="auto"/>
      </w:divBdr>
    </w:div>
    <w:div w:id="936598666">
      <w:bodyDiv w:val="1"/>
      <w:marLeft w:val="0"/>
      <w:marRight w:val="0"/>
      <w:marTop w:val="0"/>
      <w:marBottom w:val="0"/>
      <w:divBdr>
        <w:top w:val="none" w:sz="0" w:space="0" w:color="auto"/>
        <w:left w:val="none" w:sz="0" w:space="0" w:color="auto"/>
        <w:bottom w:val="none" w:sz="0" w:space="0" w:color="auto"/>
        <w:right w:val="none" w:sz="0" w:space="0" w:color="auto"/>
      </w:divBdr>
    </w:div>
    <w:div w:id="939992367">
      <w:bodyDiv w:val="1"/>
      <w:marLeft w:val="0"/>
      <w:marRight w:val="0"/>
      <w:marTop w:val="0"/>
      <w:marBottom w:val="0"/>
      <w:divBdr>
        <w:top w:val="none" w:sz="0" w:space="0" w:color="auto"/>
        <w:left w:val="none" w:sz="0" w:space="0" w:color="auto"/>
        <w:bottom w:val="none" w:sz="0" w:space="0" w:color="auto"/>
        <w:right w:val="none" w:sz="0" w:space="0" w:color="auto"/>
      </w:divBdr>
    </w:div>
    <w:div w:id="940452124">
      <w:bodyDiv w:val="1"/>
      <w:marLeft w:val="0"/>
      <w:marRight w:val="0"/>
      <w:marTop w:val="0"/>
      <w:marBottom w:val="0"/>
      <w:divBdr>
        <w:top w:val="none" w:sz="0" w:space="0" w:color="auto"/>
        <w:left w:val="none" w:sz="0" w:space="0" w:color="auto"/>
        <w:bottom w:val="none" w:sz="0" w:space="0" w:color="auto"/>
        <w:right w:val="none" w:sz="0" w:space="0" w:color="auto"/>
      </w:divBdr>
    </w:div>
    <w:div w:id="959872683">
      <w:bodyDiv w:val="1"/>
      <w:marLeft w:val="0"/>
      <w:marRight w:val="0"/>
      <w:marTop w:val="0"/>
      <w:marBottom w:val="0"/>
      <w:divBdr>
        <w:top w:val="none" w:sz="0" w:space="0" w:color="auto"/>
        <w:left w:val="none" w:sz="0" w:space="0" w:color="auto"/>
        <w:bottom w:val="none" w:sz="0" w:space="0" w:color="auto"/>
        <w:right w:val="none" w:sz="0" w:space="0" w:color="auto"/>
      </w:divBdr>
    </w:div>
    <w:div w:id="992946195">
      <w:bodyDiv w:val="1"/>
      <w:marLeft w:val="0"/>
      <w:marRight w:val="0"/>
      <w:marTop w:val="0"/>
      <w:marBottom w:val="0"/>
      <w:divBdr>
        <w:top w:val="none" w:sz="0" w:space="0" w:color="auto"/>
        <w:left w:val="none" w:sz="0" w:space="0" w:color="auto"/>
        <w:bottom w:val="none" w:sz="0" w:space="0" w:color="auto"/>
        <w:right w:val="none" w:sz="0" w:space="0" w:color="auto"/>
      </w:divBdr>
    </w:div>
    <w:div w:id="996228431">
      <w:bodyDiv w:val="1"/>
      <w:marLeft w:val="0"/>
      <w:marRight w:val="0"/>
      <w:marTop w:val="0"/>
      <w:marBottom w:val="0"/>
      <w:divBdr>
        <w:top w:val="none" w:sz="0" w:space="0" w:color="auto"/>
        <w:left w:val="none" w:sz="0" w:space="0" w:color="auto"/>
        <w:bottom w:val="none" w:sz="0" w:space="0" w:color="auto"/>
        <w:right w:val="none" w:sz="0" w:space="0" w:color="auto"/>
      </w:divBdr>
    </w:div>
    <w:div w:id="1004894981">
      <w:bodyDiv w:val="1"/>
      <w:marLeft w:val="0"/>
      <w:marRight w:val="0"/>
      <w:marTop w:val="0"/>
      <w:marBottom w:val="0"/>
      <w:divBdr>
        <w:top w:val="none" w:sz="0" w:space="0" w:color="auto"/>
        <w:left w:val="none" w:sz="0" w:space="0" w:color="auto"/>
        <w:bottom w:val="none" w:sz="0" w:space="0" w:color="auto"/>
        <w:right w:val="none" w:sz="0" w:space="0" w:color="auto"/>
      </w:divBdr>
    </w:div>
    <w:div w:id="1006858832">
      <w:bodyDiv w:val="1"/>
      <w:marLeft w:val="0"/>
      <w:marRight w:val="0"/>
      <w:marTop w:val="0"/>
      <w:marBottom w:val="0"/>
      <w:divBdr>
        <w:top w:val="none" w:sz="0" w:space="0" w:color="auto"/>
        <w:left w:val="none" w:sz="0" w:space="0" w:color="auto"/>
        <w:bottom w:val="none" w:sz="0" w:space="0" w:color="auto"/>
        <w:right w:val="none" w:sz="0" w:space="0" w:color="auto"/>
      </w:divBdr>
    </w:div>
    <w:div w:id="1009412424">
      <w:bodyDiv w:val="1"/>
      <w:marLeft w:val="0"/>
      <w:marRight w:val="0"/>
      <w:marTop w:val="0"/>
      <w:marBottom w:val="0"/>
      <w:divBdr>
        <w:top w:val="none" w:sz="0" w:space="0" w:color="auto"/>
        <w:left w:val="none" w:sz="0" w:space="0" w:color="auto"/>
        <w:bottom w:val="none" w:sz="0" w:space="0" w:color="auto"/>
        <w:right w:val="none" w:sz="0" w:space="0" w:color="auto"/>
      </w:divBdr>
    </w:div>
    <w:div w:id="1037781444">
      <w:bodyDiv w:val="1"/>
      <w:marLeft w:val="0"/>
      <w:marRight w:val="0"/>
      <w:marTop w:val="0"/>
      <w:marBottom w:val="0"/>
      <w:divBdr>
        <w:top w:val="none" w:sz="0" w:space="0" w:color="auto"/>
        <w:left w:val="none" w:sz="0" w:space="0" w:color="auto"/>
        <w:bottom w:val="none" w:sz="0" w:space="0" w:color="auto"/>
        <w:right w:val="none" w:sz="0" w:space="0" w:color="auto"/>
      </w:divBdr>
    </w:div>
    <w:div w:id="1050569964">
      <w:bodyDiv w:val="1"/>
      <w:marLeft w:val="0"/>
      <w:marRight w:val="0"/>
      <w:marTop w:val="0"/>
      <w:marBottom w:val="0"/>
      <w:divBdr>
        <w:top w:val="none" w:sz="0" w:space="0" w:color="auto"/>
        <w:left w:val="none" w:sz="0" w:space="0" w:color="auto"/>
        <w:bottom w:val="none" w:sz="0" w:space="0" w:color="auto"/>
        <w:right w:val="none" w:sz="0" w:space="0" w:color="auto"/>
      </w:divBdr>
    </w:div>
    <w:div w:id="1051995864">
      <w:bodyDiv w:val="1"/>
      <w:marLeft w:val="0"/>
      <w:marRight w:val="0"/>
      <w:marTop w:val="0"/>
      <w:marBottom w:val="0"/>
      <w:divBdr>
        <w:top w:val="none" w:sz="0" w:space="0" w:color="auto"/>
        <w:left w:val="none" w:sz="0" w:space="0" w:color="auto"/>
        <w:bottom w:val="none" w:sz="0" w:space="0" w:color="auto"/>
        <w:right w:val="none" w:sz="0" w:space="0" w:color="auto"/>
      </w:divBdr>
    </w:div>
    <w:div w:id="1053193429">
      <w:bodyDiv w:val="1"/>
      <w:marLeft w:val="0"/>
      <w:marRight w:val="0"/>
      <w:marTop w:val="0"/>
      <w:marBottom w:val="0"/>
      <w:divBdr>
        <w:top w:val="none" w:sz="0" w:space="0" w:color="auto"/>
        <w:left w:val="none" w:sz="0" w:space="0" w:color="auto"/>
        <w:bottom w:val="none" w:sz="0" w:space="0" w:color="auto"/>
        <w:right w:val="none" w:sz="0" w:space="0" w:color="auto"/>
      </w:divBdr>
    </w:div>
    <w:div w:id="1058087174">
      <w:bodyDiv w:val="1"/>
      <w:marLeft w:val="0"/>
      <w:marRight w:val="0"/>
      <w:marTop w:val="0"/>
      <w:marBottom w:val="0"/>
      <w:divBdr>
        <w:top w:val="none" w:sz="0" w:space="0" w:color="auto"/>
        <w:left w:val="none" w:sz="0" w:space="0" w:color="auto"/>
        <w:bottom w:val="none" w:sz="0" w:space="0" w:color="auto"/>
        <w:right w:val="none" w:sz="0" w:space="0" w:color="auto"/>
      </w:divBdr>
    </w:div>
    <w:div w:id="1063943701">
      <w:bodyDiv w:val="1"/>
      <w:marLeft w:val="0"/>
      <w:marRight w:val="0"/>
      <w:marTop w:val="0"/>
      <w:marBottom w:val="0"/>
      <w:divBdr>
        <w:top w:val="none" w:sz="0" w:space="0" w:color="auto"/>
        <w:left w:val="none" w:sz="0" w:space="0" w:color="auto"/>
        <w:bottom w:val="none" w:sz="0" w:space="0" w:color="auto"/>
        <w:right w:val="none" w:sz="0" w:space="0" w:color="auto"/>
      </w:divBdr>
    </w:div>
    <w:div w:id="1067076199">
      <w:bodyDiv w:val="1"/>
      <w:marLeft w:val="0"/>
      <w:marRight w:val="0"/>
      <w:marTop w:val="0"/>
      <w:marBottom w:val="0"/>
      <w:divBdr>
        <w:top w:val="none" w:sz="0" w:space="0" w:color="auto"/>
        <w:left w:val="none" w:sz="0" w:space="0" w:color="auto"/>
        <w:bottom w:val="none" w:sz="0" w:space="0" w:color="auto"/>
        <w:right w:val="none" w:sz="0" w:space="0" w:color="auto"/>
      </w:divBdr>
    </w:div>
    <w:div w:id="1085883578">
      <w:bodyDiv w:val="1"/>
      <w:marLeft w:val="0"/>
      <w:marRight w:val="0"/>
      <w:marTop w:val="0"/>
      <w:marBottom w:val="0"/>
      <w:divBdr>
        <w:top w:val="none" w:sz="0" w:space="0" w:color="auto"/>
        <w:left w:val="none" w:sz="0" w:space="0" w:color="auto"/>
        <w:bottom w:val="none" w:sz="0" w:space="0" w:color="auto"/>
        <w:right w:val="none" w:sz="0" w:space="0" w:color="auto"/>
      </w:divBdr>
    </w:div>
    <w:div w:id="1086149315">
      <w:bodyDiv w:val="1"/>
      <w:marLeft w:val="0"/>
      <w:marRight w:val="0"/>
      <w:marTop w:val="0"/>
      <w:marBottom w:val="0"/>
      <w:divBdr>
        <w:top w:val="none" w:sz="0" w:space="0" w:color="auto"/>
        <w:left w:val="none" w:sz="0" w:space="0" w:color="auto"/>
        <w:bottom w:val="none" w:sz="0" w:space="0" w:color="auto"/>
        <w:right w:val="none" w:sz="0" w:space="0" w:color="auto"/>
      </w:divBdr>
    </w:div>
    <w:div w:id="1087724230">
      <w:bodyDiv w:val="1"/>
      <w:marLeft w:val="0"/>
      <w:marRight w:val="0"/>
      <w:marTop w:val="0"/>
      <w:marBottom w:val="0"/>
      <w:divBdr>
        <w:top w:val="none" w:sz="0" w:space="0" w:color="auto"/>
        <w:left w:val="none" w:sz="0" w:space="0" w:color="auto"/>
        <w:bottom w:val="none" w:sz="0" w:space="0" w:color="auto"/>
        <w:right w:val="none" w:sz="0" w:space="0" w:color="auto"/>
      </w:divBdr>
    </w:div>
    <w:div w:id="1105425371">
      <w:bodyDiv w:val="1"/>
      <w:marLeft w:val="0"/>
      <w:marRight w:val="0"/>
      <w:marTop w:val="0"/>
      <w:marBottom w:val="0"/>
      <w:divBdr>
        <w:top w:val="none" w:sz="0" w:space="0" w:color="auto"/>
        <w:left w:val="none" w:sz="0" w:space="0" w:color="auto"/>
        <w:bottom w:val="none" w:sz="0" w:space="0" w:color="auto"/>
        <w:right w:val="none" w:sz="0" w:space="0" w:color="auto"/>
      </w:divBdr>
    </w:div>
    <w:div w:id="1116756872">
      <w:bodyDiv w:val="1"/>
      <w:marLeft w:val="0"/>
      <w:marRight w:val="0"/>
      <w:marTop w:val="0"/>
      <w:marBottom w:val="0"/>
      <w:divBdr>
        <w:top w:val="none" w:sz="0" w:space="0" w:color="auto"/>
        <w:left w:val="none" w:sz="0" w:space="0" w:color="auto"/>
        <w:bottom w:val="none" w:sz="0" w:space="0" w:color="auto"/>
        <w:right w:val="none" w:sz="0" w:space="0" w:color="auto"/>
      </w:divBdr>
    </w:div>
    <w:div w:id="1121649000">
      <w:bodyDiv w:val="1"/>
      <w:marLeft w:val="0"/>
      <w:marRight w:val="0"/>
      <w:marTop w:val="0"/>
      <w:marBottom w:val="0"/>
      <w:divBdr>
        <w:top w:val="none" w:sz="0" w:space="0" w:color="auto"/>
        <w:left w:val="none" w:sz="0" w:space="0" w:color="auto"/>
        <w:bottom w:val="none" w:sz="0" w:space="0" w:color="auto"/>
        <w:right w:val="none" w:sz="0" w:space="0" w:color="auto"/>
      </w:divBdr>
    </w:div>
    <w:div w:id="1145122346">
      <w:bodyDiv w:val="1"/>
      <w:marLeft w:val="0"/>
      <w:marRight w:val="0"/>
      <w:marTop w:val="0"/>
      <w:marBottom w:val="0"/>
      <w:divBdr>
        <w:top w:val="none" w:sz="0" w:space="0" w:color="auto"/>
        <w:left w:val="none" w:sz="0" w:space="0" w:color="auto"/>
        <w:bottom w:val="none" w:sz="0" w:space="0" w:color="auto"/>
        <w:right w:val="none" w:sz="0" w:space="0" w:color="auto"/>
      </w:divBdr>
    </w:div>
    <w:div w:id="1147745874">
      <w:bodyDiv w:val="1"/>
      <w:marLeft w:val="0"/>
      <w:marRight w:val="0"/>
      <w:marTop w:val="0"/>
      <w:marBottom w:val="0"/>
      <w:divBdr>
        <w:top w:val="none" w:sz="0" w:space="0" w:color="auto"/>
        <w:left w:val="none" w:sz="0" w:space="0" w:color="auto"/>
        <w:bottom w:val="none" w:sz="0" w:space="0" w:color="auto"/>
        <w:right w:val="none" w:sz="0" w:space="0" w:color="auto"/>
      </w:divBdr>
    </w:div>
    <w:div w:id="1151218639">
      <w:bodyDiv w:val="1"/>
      <w:marLeft w:val="0"/>
      <w:marRight w:val="0"/>
      <w:marTop w:val="0"/>
      <w:marBottom w:val="0"/>
      <w:divBdr>
        <w:top w:val="none" w:sz="0" w:space="0" w:color="auto"/>
        <w:left w:val="none" w:sz="0" w:space="0" w:color="auto"/>
        <w:bottom w:val="none" w:sz="0" w:space="0" w:color="auto"/>
        <w:right w:val="none" w:sz="0" w:space="0" w:color="auto"/>
      </w:divBdr>
    </w:div>
    <w:div w:id="1154835214">
      <w:bodyDiv w:val="1"/>
      <w:marLeft w:val="0"/>
      <w:marRight w:val="0"/>
      <w:marTop w:val="0"/>
      <w:marBottom w:val="0"/>
      <w:divBdr>
        <w:top w:val="none" w:sz="0" w:space="0" w:color="auto"/>
        <w:left w:val="none" w:sz="0" w:space="0" w:color="auto"/>
        <w:bottom w:val="none" w:sz="0" w:space="0" w:color="auto"/>
        <w:right w:val="none" w:sz="0" w:space="0" w:color="auto"/>
      </w:divBdr>
    </w:div>
    <w:div w:id="1162088839">
      <w:bodyDiv w:val="1"/>
      <w:marLeft w:val="0"/>
      <w:marRight w:val="0"/>
      <w:marTop w:val="0"/>
      <w:marBottom w:val="0"/>
      <w:divBdr>
        <w:top w:val="none" w:sz="0" w:space="0" w:color="auto"/>
        <w:left w:val="none" w:sz="0" w:space="0" w:color="auto"/>
        <w:bottom w:val="none" w:sz="0" w:space="0" w:color="auto"/>
        <w:right w:val="none" w:sz="0" w:space="0" w:color="auto"/>
      </w:divBdr>
    </w:div>
    <w:div w:id="1169179885">
      <w:bodyDiv w:val="1"/>
      <w:marLeft w:val="0"/>
      <w:marRight w:val="0"/>
      <w:marTop w:val="0"/>
      <w:marBottom w:val="0"/>
      <w:divBdr>
        <w:top w:val="none" w:sz="0" w:space="0" w:color="auto"/>
        <w:left w:val="none" w:sz="0" w:space="0" w:color="auto"/>
        <w:bottom w:val="none" w:sz="0" w:space="0" w:color="auto"/>
        <w:right w:val="none" w:sz="0" w:space="0" w:color="auto"/>
      </w:divBdr>
    </w:div>
    <w:div w:id="1176112948">
      <w:bodyDiv w:val="1"/>
      <w:marLeft w:val="0"/>
      <w:marRight w:val="0"/>
      <w:marTop w:val="0"/>
      <w:marBottom w:val="0"/>
      <w:divBdr>
        <w:top w:val="none" w:sz="0" w:space="0" w:color="auto"/>
        <w:left w:val="none" w:sz="0" w:space="0" w:color="auto"/>
        <w:bottom w:val="none" w:sz="0" w:space="0" w:color="auto"/>
        <w:right w:val="none" w:sz="0" w:space="0" w:color="auto"/>
      </w:divBdr>
    </w:div>
    <w:div w:id="1182823123">
      <w:bodyDiv w:val="1"/>
      <w:marLeft w:val="0"/>
      <w:marRight w:val="0"/>
      <w:marTop w:val="0"/>
      <w:marBottom w:val="0"/>
      <w:divBdr>
        <w:top w:val="none" w:sz="0" w:space="0" w:color="auto"/>
        <w:left w:val="none" w:sz="0" w:space="0" w:color="auto"/>
        <w:bottom w:val="none" w:sz="0" w:space="0" w:color="auto"/>
        <w:right w:val="none" w:sz="0" w:space="0" w:color="auto"/>
      </w:divBdr>
    </w:div>
    <w:div w:id="1207647452">
      <w:bodyDiv w:val="1"/>
      <w:marLeft w:val="0"/>
      <w:marRight w:val="0"/>
      <w:marTop w:val="0"/>
      <w:marBottom w:val="0"/>
      <w:divBdr>
        <w:top w:val="none" w:sz="0" w:space="0" w:color="auto"/>
        <w:left w:val="none" w:sz="0" w:space="0" w:color="auto"/>
        <w:bottom w:val="none" w:sz="0" w:space="0" w:color="auto"/>
        <w:right w:val="none" w:sz="0" w:space="0" w:color="auto"/>
      </w:divBdr>
    </w:div>
    <w:div w:id="1210141644">
      <w:bodyDiv w:val="1"/>
      <w:marLeft w:val="0"/>
      <w:marRight w:val="0"/>
      <w:marTop w:val="0"/>
      <w:marBottom w:val="0"/>
      <w:divBdr>
        <w:top w:val="none" w:sz="0" w:space="0" w:color="auto"/>
        <w:left w:val="none" w:sz="0" w:space="0" w:color="auto"/>
        <w:bottom w:val="none" w:sz="0" w:space="0" w:color="auto"/>
        <w:right w:val="none" w:sz="0" w:space="0" w:color="auto"/>
      </w:divBdr>
    </w:div>
    <w:div w:id="1240366304">
      <w:bodyDiv w:val="1"/>
      <w:marLeft w:val="0"/>
      <w:marRight w:val="0"/>
      <w:marTop w:val="0"/>
      <w:marBottom w:val="0"/>
      <w:divBdr>
        <w:top w:val="none" w:sz="0" w:space="0" w:color="auto"/>
        <w:left w:val="none" w:sz="0" w:space="0" w:color="auto"/>
        <w:bottom w:val="none" w:sz="0" w:space="0" w:color="auto"/>
        <w:right w:val="none" w:sz="0" w:space="0" w:color="auto"/>
      </w:divBdr>
    </w:div>
    <w:div w:id="1253660325">
      <w:bodyDiv w:val="1"/>
      <w:marLeft w:val="0"/>
      <w:marRight w:val="0"/>
      <w:marTop w:val="0"/>
      <w:marBottom w:val="0"/>
      <w:divBdr>
        <w:top w:val="none" w:sz="0" w:space="0" w:color="auto"/>
        <w:left w:val="none" w:sz="0" w:space="0" w:color="auto"/>
        <w:bottom w:val="none" w:sz="0" w:space="0" w:color="auto"/>
        <w:right w:val="none" w:sz="0" w:space="0" w:color="auto"/>
      </w:divBdr>
    </w:div>
    <w:div w:id="1266424147">
      <w:bodyDiv w:val="1"/>
      <w:marLeft w:val="0"/>
      <w:marRight w:val="0"/>
      <w:marTop w:val="0"/>
      <w:marBottom w:val="0"/>
      <w:divBdr>
        <w:top w:val="none" w:sz="0" w:space="0" w:color="auto"/>
        <w:left w:val="none" w:sz="0" w:space="0" w:color="auto"/>
        <w:bottom w:val="none" w:sz="0" w:space="0" w:color="auto"/>
        <w:right w:val="none" w:sz="0" w:space="0" w:color="auto"/>
      </w:divBdr>
    </w:div>
    <w:div w:id="1273433949">
      <w:bodyDiv w:val="1"/>
      <w:marLeft w:val="0"/>
      <w:marRight w:val="0"/>
      <w:marTop w:val="0"/>
      <w:marBottom w:val="0"/>
      <w:divBdr>
        <w:top w:val="none" w:sz="0" w:space="0" w:color="auto"/>
        <w:left w:val="none" w:sz="0" w:space="0" w:color="auto"/>
        <w:bottom w:val="none" w:sz="0" w:space="0" w:color="auto"/>
        <w:right w:val="none" w:sz="0" w:space="0" w:color="auto"/>
      </w:divBdr>
    </w:div>
    <w:div w:id="1275210794">
      <w:bodyDiv w:val="1"/>
      <w:marLeft w:val="0"/>
      <w:marRight w:val="0"/>
      <w:marTop w:val="0"/>
      <w:marBottom w:val="0"/>
      <w:divBdr>
        <w:top w:val="none" w:sz="0" w:space="0" w:color="auto"/>
        <w:left w:val="none" w:sz="0" w:space="0" w:color="auto"/>
        <w:bottom w:val="none" w:sz="0" w:space="0" w:color="auto"/>
        <w:right w:val="none" w:sz="0" w:space="0" w:color="auto"/>
      </w:divBdr>
    </w:div>
    <w:div w:id="1284965437">
      <w:bodyDiv w:val="1"/>
      <w:marLeft w:val="0"/>
      <w:marRight w:val="0"/>
      <w:marTop w:val="0"/>
      <w:marBottom w:val="0"/>
      <w:divBdr>
        <w:top w:val="none" w:sz="0" w:space="0" w:color="auto"/>
        <w:left w:val="none" w:sz="0" w:space="0" w:color="auto"/>
        <w:bottom w:val="none" w:sz="0" w:space="0" w:color="auto"/>
        <w:right w:val="none" w:sz="0" w:space="0" w:color="auto"/>
      </w:divBdr>
    </w:div>
    <w:div w:id="1286933143">
      <w:bodyDiv w:val="1"/>
      <w:marLeft w:val="0"/>
      <w:marRight w:val="0"/>
      <w:marTop w:val="0"/>
      <w:marBottom w:val="0"/>
      <w:divBdr>
        <w:top w:val="none" w:sz="0" w:space="0" w:color="auto"/>
        <w:left w:val="none" w:sz="0" w:space="0" w:color="auto"/>
        <w:bottom w:val="none" w:sz="0" w:space="0" w:color="auto"/>
        <w:right w:val="none" w:sz="0" w:space="0" w:color="auto"/>
      </w:divBdr>
    </w:div>
    <w:div w:id="1292322452">
      <w:bodyDiv w:val="1"/>
      <w:marLeft w:val="0"/>
      <w:marRight w:val="0"/>
      <w:marTop w:val="0"/>
      <w:marBottom w:val="0"/>
      <w:divBdr>
        <w:top w:val="none" w:sz="0" w:space="0" w:color="auto"/>
        <w:left w:val="none" w:sz="0" w:space="0" w:color="auto"/>
        <w:bottom w:val="none" w:sz="0" w:space="0" w:color="auto"/>
        <w:right w:val="none" w:sz="0" w:space="0" w:color="auto"/>
      </w:divBdr>
    </w:div>
    <w:div w:id="1326784642">
      <w:bodyDiv w:val="1"/>
      <w:marLeft w:val="0"/>
      <w:marRight w:val="0"/>
      <w:marTop w:val="0"/>
      <w:marBottom w:val="0"/>
      <w:divBdr>
        <w:top w:val="none" w:sz="0" w:space="0" w:color="auto"/>
        <w:left w:val="none" w:sz="0" w:space="0" w:color="auto"/>
        <w:bottom w:val="none" w:sz="0" w:space="0" w:color="auto"/>
        <w:right w:val="none" w:sz="0" w:space="0" w:color="auto"/>
      </w:divBdr>
    </w:div>
    <w:div w:id="1331910948">
      <w:bodyDiv w:val="1"/>
      <w:marLeft w:val="0"/>
      <w:marRight w:val="0"/>
      <w:marTop w:val="0"/>
      <w:marBottom w:val="0"/>
      <w:divBdr>
        <w:top w:val="none" w:sz="0" w:space="0" w:color="auto"/>
        <w:left w:val="none" w:sz="0" w:space="0" w:color="auto"/>
        <w:bottom w:val="none" w:sz="0" w:space="0" w:color="auto"/>
        <w:right w:val="none" w:sz="0" w:space="0" w:color="auto"/>
      </w:divBdr>
    </w:div>
    <w:div w:id="1332442532">
      <w:bodyDiv w:val="1"/>
      <w:marLeft w:val="0"/>
      <w:marRight w:val="0"/>
      <w:marTop w:val="0"/>
      <w:marBottom w:val="0"/>
      <w:divBdr>
        <w:top w:val="none" w:sz="0" w:space="0" w:color="auto"/>
        <w:left w:val="none" w:sz="0" w:space="0" w:color="auto"/>
        <w:bottom w:val="none" w:sz="0" w:space="0" w:color="auto"/>
        <w:right w:val="none" w:sz="0" w:space="0" w:color="auto"/>
      </w:divBdr>
    </w:div>
    <w:div w:id="1357384340">
      <w:bodyDiv w:val="1"/>
      <w:marLeft w:val="0"/>
      <w:marRight w:val="0"/>
      <w:marTop w:val="0"/>
      <w:marBottom w:val="0"/>
      <w:divBdr>
        <w:top w:val="none" w:sz="0" w:space="0" w:color="auto"/>
        <w:left w:val="none" w:sz="0" w:space="0" w:color="auto"/>
        <w:bottom w:val="none" w:sz="0" w:space="0" w:color="auto"/>
        <w:right w:val="none" w:sz="0" w:space="0" w:color="auto"/>
      </w:divBdr>
    </w:div>
    <w:div w:id="1413315694">
      <w:bodyDiv w:val="1"/>
      <w:marLeft w:val="0"/>
      <w:marRight w:val="0"/>
      <w:marTop w:val="0"/>
      <w:marBottom w:val="0"/>
      <w:divBdr>
        <w:top w:val="none" w:sz="0" w:space="0" w:color="auto"/>
        <w:left w:val="none" w:sz="0" w:space="0" w:color="auto"/>
        <w:bottom w:val="none" w:sz="0" w:space="0" w:color="auto"/>
        <w:right w:val="none" w:sz="0" w:space="0" w:color="auto"/>
      </w:divBdr>
    </w:div>
    <w:div w:id="1429500543">
      <w:bodyDiv w:val="1"/>
      <w:marLeft w:val="0"/>
      <w:marRight w:val="0"/>
      <w:marTop w:val="0"/>
      <w:marBottom w:val="0"/>
      <w:divBdr>
        <w:top w:val="none" w:sz="0" w:space="0" w:color="auto"/>
        <w:left w:val="none" w:sz="0" w:space="0" w:color="auto"/>
        <w:bottom w:val="none" w:sz="0" w:space="0" w:color="auto"/>
        <w:right w:val="none" w:sz="0" w:space="0" w:color="auto"/>
      </w:divBdr>
    </w:div>
    <w:div w:id="1456758203">
      <w:bodyDiv w:val="1"/>
      <w:marLeft w:val="0"/>
      <w:marRight w:val="0"/>
      <w:marTop w:val="0"/>
      <w:marBottom w:val="0"/>
      <w:divBdr>
        <w:top w:val="none" w:sz="0" w:space="0" w:color="auto"/>
        <w:left w:val="none" w:sz="0" w:space="0" w:color="auto"/>
        <w:bottom w:val="none" w:sz="0" w:space="0" w:color="auto"/>
        <w:right w:val="none" w:sz="0" w:space="0" w:color="auto"/>
      </w:divBdr>
    </w:div>
    <w:div w:id="1460146157">
      <w:bodyDiv w:val="1"/>
      <w:marLeft w:val="0"/>
      <w:marRight w:val="0"/>
      <w:marTop w:val="0"/>
      <w:marBottom w:val="0"/>
      <w:divBdr>
        <w:top w:val="none" w:sz="0" w:space="0" w:color="auto"/>
        <w:left w:val="none" w:sz="0" w:space="0" w:color="auto"/>
        <w:bottom w:val="none" w:sz="0" w:space="0" w:color="auto"/>
        <w:right w:val="none" w:sz="0" w:space="0" w:color="auto"/>
      </w:divBdr>
    </w:div>
    <w:div w:id="1481772385">
      <w:bodyDiv w:val="1"/>
      <w:marLeft w:val="0"/>
      <w:marRight w:val="0"/>
      <w:marTop w:val="0"/>
      <w:marBottom w:val="0"/>
      <w:divBdr>
        <w:top w:val="none" w:sz="0" w:space="0" w:color="auto"/>
        <w:left w:val="none" w:sz="0" w:space="0" w:color="auto"/>
        <w:bottom w:val="none" w:sz="0" w:space="0" w:color="auto"/>
        <w:right w:val="none" w:sz="0" w:space="0" w:color="auto"/>
      </w:divBdr>
    </w:div>
    <w:div w:id="1485780060">
      <w:bodyDiv w:val="1"/>
      <w:marLeft w:val="0"/>
      <w:marRight w:val="0"/>
      <w:marTop w:val="0"/>
      <w:marBottom w:val="0"/>
      <w:divBdr>
        <w:top w:val="none" w:sz="0" w:space="0" w:color="auto"/>
        <w:left w:val="none" w:sz="0" w:space="0" w:color="auto"/>
        <w:bottom w:val="none" w:sz="0" w:space="0" w:color="auto"/>
        <w:right w:val="none" w:sz="0" w:space="0" w:color="auto"/>
      </w:divBdr>
    </w:div>
    <w:div w:id="1496385025">
      <w:bodyDiv w:val="1"/>
      <w:marLeft w:val="0"/>
      <w:marRight w:val="0"/>
      <w:marTop w:val="0"/>
      <w:marBottom w:val="0"/>
      <w:divBdr>
        <w:top w:val="none" w:sz="0" w:space="0" w:color="auto"/>
        <w:left w:val="none" w:sz="0" w:space="0" w:color="auto"/>
        <w:bottom w:val="none" w:sz="0" w:space="0" w:color="auto"/>
        <w:right w:val="none" w:sz="0" w:space="0" w:color="auto"/>
      </w:divBdr>
    </w:div>
    <w:div w:id="1503276724">
      <w:bodyDiv w:val="1"/>
      <w:marLeft w:val="0"/>
      <w:marRight w:val="0"/>
      <w:marTop w:val="0"/>
      <w:marBottom w:val="0"/>
      <w:divBdr>
        <w:top w:val="none" w:sz="0" w:space="0" w:color="auto"/>
        <w:left w:val="none" w:sz="0" w:space="0" w:color="auto"/>
        <w:bottom w:val="none" w:sz="0" w:space="0" w:color="auto"/>
        <w:right w:val="none" w:sz="0" w:space="0" w:color="auto"/>
      </w:divBdr>
    </w:div>
    <w:div w:id="1518959794">
      <w:bodyDiv w:val="1"/>
      <w:marLeft w:val="0"/>
      <w:marRight w:val="0"/>
      <w:marTop w:val="0"/>
      <w:marBottom w:val="0"/>
      <w:divBdr>
        <w:top w:val="none" w:sz="0" w:space="0" w:color="auto"/>
        <w:left w:val="none" w:sz="0" w:space="0" w:color="auto"/>
        <w:bottom w:val="none" w:sz="0" w:space="0" w:color="auto"/>
        <w:right w:val="none" w:sz="0" w:space="0" w:color="auto"/>
      </w:divBdr>
    </w:div>
    <w:div w:id="1527867385">
      <w:bodyDiv w:val="1"/>
      <w:marLeft w:val="0"/>
      <w:marRight w:val="0"/>
      <w:marTop w:val="0"/>
      <w:marBottom w:val="0"/>
      <w:divBdr>
        <w:top w:val="none" w:sz="0" w:space="0" w:color="auto"/>
        <w:left w:val="none" w:sz="0" w:space="0" w:color="auto"/>
        <w:bottom w:val="none" w:sz="0" w:space="0" w:color="auto"/>
        <w:right w:val="none" w:sz="0" w:space="0" w:color="auto"/>
      </w:divBdr>
    </w:div>
    <w:div w:id="1549802469">
      <w:bodyDiv w:val="1"/>
      <w:marLeft w:val="0"/>
      <w:marRight w:val="0"/>
      <w:marTop w:val="0"/>
      <w:marBottom w:val="0"/>
      <w:divBdr>
        <w:top w:val="none" w:sz="0" w:space="0" w:color="auto"/>
        <w:left w:val="none" w:sz="0" w:space="0" w:color="auto"/>
        <w:bottom w:val="none" w:sz="0" w:space="0" w:color="auto"/>
        <w:right w:val="none" w:sz="0" w:space="0" w:color="auto"/>
      </w:divBdr>
    </w:div>
    <w:div w:id="1555389192">
      <w:bodyDiv w:val="1"/>
      <w:marLeft w:val="0"/>
      <w:marRight w:val="0"/>
      <w:marTop w:val="0"/>
      <w:marBottom w:val="0"/>
      <w:divBdr>
        <w:top w:val="none" w:sz="0" w:space="0" w:color="auto"/>
        <w:left w:val="none" w:sz="0" w:space="0" w:color="auto"/>
        <w:bottom w:val="none" w:sz="0" w:space="0" w:color="auto"/>
        <w:right w:val="none" w:sz="0" w:space="0" w:color="auto"/>
      </w:divBdr>
    </w:div>
    <w:div w:id="1557205707">
      <w:bodyDiv w:val="1"/>
      <w:marLeft w:val="0"/>
      <w:marRight w:val="0"/>
      <w:marTop w:val="0"/>
      <w:marBottom w:val="0"/>
      <w:divBdr>
        <w:top w:val="none" w:sz="0" w:space="0" w:color="auto"/>
        <w:left w:val="none" w:sz="0" w:space="0" w:color="auto"/>
        <w:bottom w:val="none" w:sz="0" w:space="0" w:color="auto"/>
        <w:right w:val="none" w:sz="0" w:space="0" w:color="auto"/>
      </w:divBdr>
    </w:div>
    <w:div w:id="1570262070">
      <w:bodyDiv w:val="1"/>
      <w:marLeft w:val="0"/>
      <w:marRight w:val="0"/>
      <w:marTop w:val="0"/>
      <w:marBottom w:val="0"/>
      <w:divBdr>
        <w:top w:val="none" w:sz="0" w:space="0" w:color="auto"/>
        <w:left w:val="none" w:sz="0" w:space="0" w:color="auto"/>
        <w:bottom w:val="none" w:sz="0" w:space="0" w:color="auto"/>
        <w:right w:val="none" w:sz="0" w:space="0" w:color="auto"/>
      </w:divBdr>
    </w:div>
    <w:div w:id="1573538294">
      <w:bodyDiv w:val="1"/>
      <w:marLeft w:val="0"/>
      <w:marRight w:val="0"/>
      <w:marTop w:val="0"/>
      <w:marBottom w:val="0"/>
      <w:divBdr>
        <w:top w:val="none" w:sz="0" w:space="0" w:color="auto"/>
        <w:left w:val="none" w:sz="0" w:space="0" w:color="auto"/>
        <w:bottom w:val="none" w:sz="0" w:space="0" w:color="auto"/>
        <w:right w:val="none" w:sz="0" w:space="0" w:color="auto"/>
      </w:divBdr>
    </w:div>
    <w:div w:id="1585720997">
      <w:bodyDiv w:val="1"/>
      <w:marLeft w:val="0"/>
      <w:marRight w:val="0"/>
      <w:marTop w:val="0"/>
      <w:marBottom w:val="0"/>
      <w:divBdr>
        <w:top w:val="none" w:sz="0" w:space="0" w:color="auto"/>
        <w:left w:val="none" w:sz="0" w:space="0" w:color="auto"/>
        <w:bottom w:val="none" w:sz="0" w:space="0" w:color="auto"/>
        <w:right w:val="none" w:sz="0" w:space="0" w:color="auto"/>
      </w:divBdr>
    </w:div>
    <w:div w:id="1587495997">
      <w:bodyDiv w:val="1"/>
      <w:marLeft w:val="0"/>
      <w:marRight w:val="0"/>
      <w:marTop w:val="0"/>
      <w:marBottom w:val="0"/>
      <w:divBdr>
        <w:top w:val="none" w:sz="0" w:space="0" w:color="auto"/>
        <w:left w:val="none" w:sz="0" w:space="0" w:color="auto"/>
        <w:bottom w:val="none" w:sz="0" w:space="0" w:color="auto"/>
        <w:right w:val="none" w:sz="0" w:space="0" w:color="auto"/>
      </w:divBdr>
    </w:div>
    <w:div w:id="1595481581">
      <w:bodyDiv w:val="1"/>
      <w:marLeft w:val="0"/>
      <w:marRight w:val="0"/>
      <w:marTop w:val="0"/>
      <w:marBottom w:val="0"/>
      <w:divBdr>
        <w:top w:val="none" w:sz="0" w:space="0" w:color="auto"/>
        <w:left w:val="none" w:sz="0" w:space="0" w:color="auto"/>
        <w:bottom w:val="none" w:sz="0" w:space="0" w:color="auto"/>
        <w:right w:val="none" w:sz="0" w:space="0" w:color="auto"/>
      </w:divBdr>
    </w:div>
    <w:div w:id="1601789784">
      <w:bodyDiv w:val="1"/>
      <w:marLeft w:val="0"/>
      <w:marRight w:val="0"/>
      <w:marTop w:val="0"/>
      <w:marBottom w:val="0"/>
      <w:divBdr>
        <w:top w:val="none" w:sz="0" w:space="0" w:color="auto"/>
        <w:left w:val="none" w:sz="0" w:space="0" w:color="auto"/>
        <w:bottom w:val="none" w:sz="0" w:space="0" w:color="auto"/>
        <w:right w:val="none" w:sz="0" w:space="0" w:color="auto"/>
      </w:divBdr>
    </w:div>
    <w:div w:id="1607498870">
      <w:bodyDiv w:val="1"/>
      <w:marLeft w:val="0"/>
      <w:marRight w:val="0"/>
      <w:marTop w:val="0"/>
      <w:marBottom w:val="0"/>
      <w:divBdr>
        <w:top w:val="none" w:sz="0" w:space="0" w:color="auto"/>
        <w:left w:val="none" w:sz="0" w:space="0" w:color="auto"/>
        <w:bottom w:val="none" w:sz="0" w:space="0" w:color="auto"/>
        <w:right w:val="none" w:sz="0" w:space="0" w:color="auto"/>
      </w:divBdr>
    </w:div>
    <w:div w:id="1629317461">
      <w:bodyDiv w:val="1"/>
      <w:marLeft w:val="0"/>
      <w:marRight w:val="0"/>
      <w:marTop w:val="0"/>
      <w:marBottom w:val="0"/>
      <w:divBdr>
        <w:top w:val="none" w:sz="0" w:space="0" w:color="auto"/>
        <w:left w:val="none" w:sz="0" w:space="0" w:color="auto"/>
        <w:bottom w:val="none" w:sz="0" w:space="0" w:color="auto"/>
        <w:right w:val="none" w:sz="0" w:space="0" w:color="auto"/>
      </w:divBdr>
    </w:div>
    <w:div w:id="1637293239">
      <w:bodyDiv w:val="1"/>
      <w:marLeft w:val="0"/>
      <w:marRight w:val="0"/>
      <w:marTop w:val="0"/>
      <w:marBottom w:val="0"/>
      <w:divBdr>
        <w:top w:val="none" w:sz="0" w:space="0" w:color="auto"/>
        <w:left w:val="none" w:sz="0" w:space="0" w:color="auto"/>
        <w:bottom w:val="none" w:sz="0" w:space="0" w:color="auto"/>
        <w:right w:val="none" w:sz="0" w:space="0" w:color="auto"/>
      </w:divBdr>
    </w:div>
    <w:div w:id="1641421604">
      <w:bodyDiv w:val="1"/>
      <w:marLeft w:val="0"/>
      <w:marRight w:val="0"/>
      <w:marTop w:val="0"/>
      <w:marBottom w:val="0"/>
      <w:divBdr>
        <w:top w:val="none" w:sz="0" w:space="0" w:color="auto"/>
        <w:left w:val="none" w:sz="0" w:space="0" w:color="auto"/>
        <w:bottom w:val="none" w:sz="0" w:space="0" w:color="auto"/>
        <w:right w:val="none" w:sz="0" w:space="0" w:color="auto"/>
      </w:divBdr>
    </w:div>
    <w:div w:id="1650094311">
      <w:bodyDiv w:val="1"/>
      <w:marLeft w:val="0"/>
      <w:marRight w:val="0"/>
      <w:marTop w:val="0"/>
      <w:marBottom w:val="0"/>
      <w:divBdr>
        <w:top w:val="none" w:sz="0" w:space="0" w:color="auto"/>
        <w:left w:val="none" w:sz="0" w:space="0" w:color="auto"/>
        <w:bottom w:val="none" w:sz="0" w:space="0" w:color="auto"/>
        <w:right w:val="none" w:sz="0" w:space="0" w:color="auto"/>
      </w:divBdr>
    </w:div>
    <w:div w:id="1686980023">
      <w:bodyDiv w:val="1"/>
      <w:marLeft w:val="0"/>
      <w:marRight w:val="0"/>
      <w:marTop w:val="0"/>
      <w:marBottom w:val="0"/>
      <w:divBdr>
        <w:top w:val="none" w:sz="0" w:space="0" w:color="auto"/>
        <w:left w:val="none" w:sz="0" w:space="0" w:color="auto"/>
        <w:bottom w:val="none" w:sz="0" w:space="0" w:color="auto"/>
        <w:right w:val="none" w:sz="0" w:space="0" w:color="auto"/>
      </w:divBdr>
    </w:div>
    <w:div w:id="1689746356">
      <w:bodyDiv w:val="1"/>
      <w:marLeft w:val="0"/>
      <w:marRight w:val="0"/>
      <w:marTop w:val="0"/>
      <w:marBottom w:val="0"/>
      <w:divBdr>
        <w:top w:val="none" w:sz="0" w:space="0" w:color="auto"/>
        <w:left w:val="none" w:sz="0" w:space="0" w:color="auto"/>
        <w:bottom w:val="none" w:sz="0" w:space="0" w:color="auto"/>
        <w:right w:val="none" w:sz="0" w:space="0" w:color="auto"/>
      </w:divBdr>
    </w:div>
    <w:div w:id="1694309589">
      <w:bodyDiv w:val="1"/>
      <w:marLeft w:val="0"/>
      <w:marRight w:val="0"/>
      <w:marTop w:val="0"/>
      <w:marBottom w:val="0"/>
      <w:divBdr>
        <w:top w:val="none" w:sz="0" w:space="0" w:color="auto"/>
        <w:left w:val="none" w:sz="0" w:space="0" w:color="auto"/>
        <w:bottom w:val="none" w:sz="0" w:space="0" w:color="auto"/>
        <w:right w:val="none" w:sz="0" w:space="0" w:color="auto"/>
      </w:divBdr>
    </w:div>
    <w:div w:id="1717240945">
      <w:bodyDiv w:val="1"/>
      <w:marLeft w:val="0"/>
      <w:marRight w:val="0"/>
      <w:marTop w:val="0"/>
      <w:marBottom w:val="0"/>
      <w:divBdr>
        <w:top w:val="none" w:sz="0" w:space="0" w:color="auto"/>
        <w:left w:val="none" w:sz="0" w:space="0" w:color="auto"/>
        <w:bottom w:val="none" w:sz="0" w:space="0" w:color="auto"/>
        <w:right w:val="none" w:sz="0" w:space="0" w:color="auto"/>
      </w:divBdr>
    </w:div>
    <w:div w:id="1720127502">
      <w:bodyDiv w:val="1"/>
      <w:marLeft w:val="0"/>
      <w:marRight w:val="0"/>
      <w:marTop w:val="0"/>
      <w:marBottom w:val="0"/>
      <w:divBdr>
        <w:top w:val="none" w:sz="0" w:space="0" w:color="auto"/>
        <w:left w:val="none" w:sz="0" w:space="0" w:color="auto"/>
        <w:bottom w:val="none" w:sz="0" w:space="0" w:color="auto"/>
        <w:right w:val="none" w:sz="0" w:space="0" w:color="auto"/>
      </w:divBdr>
    </w:div>
    <w:div w:id="1722552496">
      <w:bodyDiv w:val="1"/>
      <w:marLeft w:val="0"/>
      <w:marRight w:val="0"/>
      <w:marTop w:val="0"/>
      <w:marBottom w:val="0"/>
      <w:divBdr>
        <w:top w:val="none" w:sz="0" w:space="0" w:color="auto"/>
        <w:left w:val="none" w:sz="0" w:space="0" w:color="auto"/>
        <w:bottom w:val="none" w:sz="0" w:space="0" w:color="auto"/>
        <w:right w:val="none" w:sz="0" w:space="0" w:color="auto"/>
      </w:divBdr>
    </w:div>
    <w:div w:id="1758598228">
      <w:bodyDiv w:val="1"/>
      <w:marLeft w:val="0"/>
      <w:marRight w:val="0"/>
      <w:marTop w:val="0"/>
      <w:marBottom w:val="0"/>
      <w:divBdr>
        <w:top w:val="none" w:sz="0" w:space="0" w:color="auto"/>
        <w:left w:val="none" w:sz="0" w:space="0" w:color="auto"/>
        <w:bottom w:val="none" w:sz="0" w:space="0" w:color="auto"/>
        <w:right w:val="none" w:sz="0" w:space="0" w:color="auto"/>
      </w:divBdr>
    </w:div>
    <w:div w:id="1762678571">
      <w:bodyDiv w:val="1"/>
      <w:marLeft w:val="0"/>
      <w:marRight w:val="0"/>
      <w:marTop w:val="0"/>
      <w:marBottom w:val="0"/>
      <w:divBdr>
        <w:top w:val="none" w:sz="0" w:space="0" w:color="auto"/>
        <w:left w:val="none" w:sz="0" w:space="0" w:color="auto"/>
        <w:bottom w:val="none" w:sz="0" w:space="0" w:color="auto"/>
        <w:right w:val="none" w:sz="0" w:space="0" w:color="auto"/>
      </w:divBdr>
    </w:div>
    <w:div w:id="1773084088">
      <w:bodyDiv w:val="1"/>
      <w:marLeft w:val="0"/>
      <w:marRight w:val="0"/>
      <w:marTop w:val="0"/>
      <w:marBottom w:val="0"/>
      <w:divBdr>
        <w:top w:val="none" w:sz="0" w:space="0" w:color="auto"/>
        <w:left w:val="none" w:sz="0" w:space="0" w:color="auto"/>
        <w:bottom w:val="none" w:sz="0" w:space="0" w:color="auto"/>
        <w:right w:val="none" w:sz="0" w:space="0" w:color="auto"/>
      </w:divBdr>
    </w:div>
    <w:div w:id="1779792775">
      <w:bodyDiv w:val="1"/>
      <w:marLeft w:val="0"/>
      <w:marRight w:val="0"/>
      <w:marTop w:val="0"/>
      <w:marBottom w:val="0"/>
      <w:divBdr>
        <w:top w:val="none" w:sz="0" w:space="0" w:color="auto"/>
        <w:left w:val="none" w:sz="0" w:space="0" w:color="auto"/>
        <w:bottom w:val="none" w:sz="0" w:space="0" w:color="auto"/>
        <w:right w:val="none" w:sz="0" w:space="0" w:color="auto"/>
      </w:divBdr>
    </w:div>
    <w:div w:id="1790128841">
      <w:bodyDiv w:val="1"/>
      <w:marLeft w:val="0"/>
      <w:marRight w:val="0"/>
      <w:marTop w:val="0"/>
      <w:marBottom w:val="0"/>
      <w:divBdr>
        <w:top w:val="none" w:sz="0" w:space="0" w:color="auto"/>
        <w:left w:val="none" w:sz="0" w:space="0" w:color="auto"/>
        <w:bottom w:val="none" w:sz="0" w:space="0" w:color="auto"/>
        <w:right w:val="none" w:sz="0" w:space="0" w:color="auto"/>
      </w:divBdr>
    </w:div>
    <w:div w:id="1792045038">
      <w:bodyDiv w:val="1"/>
      <w:marLeft w:val="0"/>
      <w:marRight w:val="0"/>
      <w:marTop w:val="0"/>
      <w:marBottom w:val="0"/>
      <w:divBdr>
        <w:top w:val="none" w:sz="0" w:space="0" w:color="auto"/>
        <w:left w:val="none" w:sz="0" w:space="0" w:color="auto"/>
        <w:bottom w:val="none" w:sz="0" w:space="0" w:color="auto"/>
        <w:right w:val="none" w:sz="0" w:space="0" w:color="auto"/>
      </w:divBdr>
    </w:div>
    <w:div w:id="1796099217">
      <w:bodyDiv w:val="1"/>
      <w:marLeft w:val="0"/>
      <w:marRight w:val="0"/>
      <w:marTop w:val="0"/>
      <w:marBottom w:val="0"/>
      <w:divBdr>
        <w:top w:val="none" w:sz="0" w:space="0" w:color="auto"/>
        <w:left w:val="none" w:sz="0" w:space="0" w:color="auto"/>
        <w:bottom w:val="none" w:sz="0" w:space="0" w:color="auto"/>
        <w:right w:val="none" w:sz="0" w:space="0" w:color="auto"/>
      </w:divBdr>
    </w:div>
    <w:div w:id="1803377837">
      <w:bodyDiv w:val="1"/>
      <w:marLeft w:val="0"/>
      <w:marRight w:val="0"/>
      <w:marTop w:val="0"/>
      <w:marBottom w:val="0"/>
      <w:divBdr>
        <w:top w:val="none" w:sz="0" w:space="0" w:color="auto"/>
        <w:left w:val="none" w:sz="0" w:space="0" w:color="auto"/>
        <w:bottom w:val="none" w:sz="0" w:space="0" w:color="auto"/>
        <w:right w:val="none" w:sz="0" w:space="0" w:color="auto"/>
      </w:divBdr>
    </w:div>
    <w:div w:id="1826510214">
      <w:bodyDiv w:val="1"/>
      <w:marLeft w:val="0"/>
      <w:marRight w:val="0"/>
      <w:marTop w:val="0"/>
      <w:marBottom w:val="0"/>
      <w:divBdr>
        <w:top w:val="none" w:sz="0" w:space="0" w:color="auto"/>
        <w:left w:val="none" w:sz="0" w:space="0" w:color="auto"/>
        <w:bottom w:val="none" w:sz="0" w:space="0" w:color="auto"/>
        <w:right w:val="none" w:sz="0" w:space="0" w:color="auto"/>
      </w:divBdr>
    </w:div>
    <w:div w:id="1828589483">
      <w:bodyDiv w:val="1"/>
      <w:marLeft w:val="0"/>
      <w:marRight w:val="0"/>
      <w:marTop w:val="0"/>
      <w:marBottom w:val="0"/>
      <w:divBdr>
        <w:top w:val="none" w:sz="0" w:space="0" w:color="auto"/>
        <w:left w:val="none" w:sz="0" w:space="0" w:color="auto"/>
        <w:bottom w:val="none" w:sz="0" w:space="0" w:color="auto"/>
        <w:right w:val="none" w:sz="0" w:space="0" w:color="auto"/>
      </w:divBdr>
    </w:div>
    <w:div w:id="1846355605">
      <w:bodyDiv w:val="1"/>
      <w:marLeft w:val="0"/>
      <w:marRight w:val="0"/>
      <w:marTop w:val="0"/>
      <w:marBottom w:val="0"/>
      <w:divBdr>
        <w:top w:val="none" w:sz="0" w:space="0" w:color="auto"/>
        <w:left w:val="none" w:sz="0" w:space="0" w:color="auto"/>
        <w:bottom w:val="none" w:sz="0" w:space="0" w:color="auto"/>
        <w:right w:val="none" w:sz="0" w:space="0" w:color="auto"/>
      </w:divBdr>
    </w:div>
    <w:div w:id="1866404693">
      <w:bodyDiv w:val="1"/>
      <w:marLeft w:val="0"/>
      <w:marRight w:val="0"/>
      <w:marTop w:val="0"/>
      <w:marBottom w:val="0"/>
      <w:divBdr>
        <w:top w:val="none" w:sz="0" w:space="0" w:color="auto"/>
        <w:left w:val="none" w:sz="0" w:space="0" w:color="auto"/>
        <w:bottom w:val="none" w:sz="0" w:space="0" w:color="auto"/>
        <w:right w:val="none" w:sz="0" w:space="0" w:color="auto"/>
      </w:divBdr>
    </w:div>
    <w:div w:id="1891725241">
      <w:bodyDiv w:val="1"/>
      <w:marLeft w:val="0"/>
      <w:marRight w:val="0"/>
      <w:marTop w:val="0"/>
      <w:marBottom w:val="0"/>
      <w:divBdr>
        <w:top w:val="none" w:sz="0" w:space="0" w:color="auto"/>
        <w:left w:val="none" w:sz="0" w:space="0" w:color="auto"/>
        <w:bottom w:val="none" w:sz="0" w:space="0" w:color="auto"/>
        <w:right w:val="none" w:sz="0" w:space="0" w:color="auto"/>
      </w:divBdr>
    </w:div>
    <w:div w:id="1906523257">
      <w:bodyDiv w:val="1"/>
      <w:marLeft w:val="0"/>
      <w:marRight w:val="0"/>
      <w:marTop w:val="0"/>
      <w:marBottom w:val="0"/>
      <w:divBdr>
        <w:top w:val="none" w:sz="0" w:space="0" w:color="auto"/>
        <w:left w:val="none" w:sz="0" w:space="0" w:color="auto"/>
        <w:bottom w:val="none" w:sz="0" w:space="0" w:color="auto"/>
        <w:right w:val="none" w:sz="0" w:space="0" w:color="auto"/>
      </w:divBdr>
    </w:div>
    <w:div w:id="1921253654">
      <w:bodyDiv w:val="1"/>
      <w:marLeft w:val="0"/>
      <w:marRight w:val="0"/>
      <w:marTop w:val="0"/>
      <w:marBottom w:val="0"/>
      <w:divBdr>
        <w:top w:val="none" w:sz="0" w:space="0" w:color="auto"/>
        <w:left w:val="none" w:sz="0" w:space="0" w:color="auto"/>
        <w:bottom w:val="none" w:sz="0" w:space="0" w:color="auto"/>
        <w:right w:val="none" w:sz="0" w:space="0" w:color="auto"/>
      </w:divBdr>
    </w:div>
    <w:div w:id="1922793259">
      <w:bodyDiv w:val="1"/>
      <w:marLeft w:val="0"/>
      <w:marRight w:val="0"/>
      <w:marTop w:val="0"/>
      <w:marBottom w:val="0"/>
      <w:divBdr>
        <w:top w:val="none" w:sz="0" w:space="0" w:color="auto"/>
        <w:left w:val="none" w:sz="0" w:space="0" w:color="auto"/>
        <w:bottom w:val="none" w:sz="0" w:space="0" w:color="auto"/>
        <w:right w:val="none" w:sz="0" w:space="0" w:color="auto"/>
      </w:divBdr>
    </w:div>
    <w:div w:id="1924028677">
      <w:bodyDiv w:val="1"/>
      <w:marLeft w:val="0"/>
      <w:marRight w:val="0"/>
      <w:marTop w:val="0"/>
      <w:marBottom w:val="0"/>
      <w:divBdr>
        <w:top w:val="none" w:sz="0" w:space="0" w:color="auto"/>
        <w:left w:val="none" w:sz="0" w:space="0" w:color="auto"/>
        <w:bottom w:val="none" w:sz="0" w:space="0" w:color="auto"/>
        <w:right w:val="none" w:sz="0" w:space="0" w:color="auto"/>
      </w:divBdr>
    </w:div>
    <w:div w:id="1924488696">
      <w:bodyDiv w:val="1"/>
      <w:marLeft w:val="0"/>
      <w:marRight w:val="0"/>
      <w:marTop w:val="0"/>
      <w:marBottom w:val="0"/>
      <w:divBdr>
        <w:top w:val="none" w:sz="0" w:space="0" w:color="auto"/>
        <w:left w:val="none" w:sz="0" w:space="0" w:color="auto"/>
        <w:bottom w:val="none" w:sz="0" w:space="0" w:color="auto"/>
        <w:right w:val="none" w:sz="0" w:space="0" w:color="auto"/>
      </w:divBdr>
    </w:div>
    <w:div w:id="1951545113">
      <w:bodyDiv w:val="1"/>
      <w:marLeft w:val="0"/>
      <w:marRight w:val="0"/>
      <w:marTop w:val="0"/>
      <w:marBottom w:val="0"/>
      <w:divBdr>
        <w:top w:val="none" w:sz="0" w:space="0" w:color="auto"/>
        <w:left w:val="none" w:sz="0" w:space="0" w:color="auto"/>
        <w:bottom w:val="none" w:sz="0" w:space="0" w:color="auto"/>
        <w:right w:val="none" w:sz="0" w:space="0" w:color="auto"/>
      </w:divBdr>
    </w:div>
    <w:div w:id="1953050952">
      <w:bodyDiv w:val="1"/>
      <w:marLeft w:val="0"/>
      <w:marRight w:val="0"/>
      <w:marTop w:val="0"/>
      <w:marBottom w:val="0"/>
      <w:divBdr>
        <w:top w:val="none" w:sz="0" w:space="0" w:color="auto"/>
        <w:left w:val="none" w:sz="0" w:space="0" w:color="auto"/>
        <w:bottom w:val="none" w:sz="0" w:space="0" w:color="auto"/>
        <w:right w:val="none" w:sz="0" w:space="0" w:color="auto"/>
      </w:divBdr>
    </w:div>
    <w:div w:id="1960525907">
      <w:bodyDiv w:val="1"/>
      <w:marLeft w:val="0"/>
      <w:marRight w:val="0"/>
      <w:marTop w:val="0"/>
      <w:marBottom w:val="0"/>
      <w:divBdr>
        <w:top w:val="none" w:sz="0" w:space="0" w:color="auto"/>
        <w:left w:val="none" w:sz="0" w:space="0" w:color="auto"/>
        <w:bottom w:val="none" w:sz="0" w:space="0" w:color="auto"/>
        <w:right w:val="none" w:sz="0" w:space="0" w:color="auto"/>
      </w:divBdr>
    </w:div>
    <w:div w:id="1975408267">
      <w:bodyDiv w:val="1"/>
      <w:marLeft w:val="0"/>
      <w:marRight w:val="0"/>
      <w:marTop w:val="0"/>
      <w:marBottom w:val="0"/>
      <w:divBdr>
        <w:top w:val="none" w:sz="0" w:space="0" w:color="auto"/>
        <w:left w:val="none" w:sz="0" w:space="0" w:color="auto"/>
        <w:bottom w:val="none" w:sz="0" w:space="0" w:color="auto"/>
        <w:right w:val="none" w:sz="0" w:space="0" w:color="auto"/>
      </w:divBdr>
    </w:div>
    <w:div w:id="1980567930">
      <w:bodyDiv w:val="1"/>
      <w:marLeft w:val="0"/>
      <w:marRight w:val="0"/>
      <w:marTop w:val="0"/>
      <w:marBottom w:val="0"/>
      <w:divBdr>
        <w:top w:val="none" w:sz="0" w:space="0" w:color="auto"/>
        <w:left w:val="none" w:sz="0" w:space="0" w:color="auto"/>
        <w:bottom w:val="none" w:sz="0" w:space="0" w:color="auto"/>
        <w:right w:val="none" w:sz="0" w:space="0" w:color="auto"/>
      </w:divBdr>
    </w:div>
    <w:div w:id="1984652093">
      <w:bodyDiv w:val="1"/>
      <w:marLeft w:val="0"/>
      <w:marRight w:val="0"/>
      <w:marTop w:val="0"/>
      <w:marBottom w:val="0"/>
      <w:divBdr>
        <w:top w:val="none" w:sz="0" w:space="0" w:color="auto"/>
        <w:left w:val="none" w:sz="0" w:space="0" w:color="auto"/>
        <w:bottom w:val="none" w:sz="0" w:space="0" w:color="auto"/>
        <w:right w:val="none" w:sz="0" w:space="0" w:color="auto"/>
      </w:divBdr>
    </w:div>
    <w:div w:id="1988704194">
      <w:bodyDiv w:val="1"/>
      <w:marLeft w:val="0"/>
      <w:marRight w:val="0"/>
      <w:marTop w:val="0"/>
      <w:marBottom w:val="0"/>
      <w:divBdr>
        <w:top w:val="none" w:sz="0" w:space="0" w:color="auto"/>
        <w:left w:val="none" w:sz="0" w:space="0" w:color="auto"/>
        <w:bottom w:val="none" w:sz="0" w:space="0" w:color="auto"/>
        <w:right w:val="none" w:sz="0" w:space="0" w:color="auto"/>
      </w:divBdr>
    </w:div>
    <w:div w:id="1996453850">
      <w:bodyDiv w:val="1"/>
      <w:marLeft w:val="0"/>
      <w:marRight w:val="0"/>
      <w:marTop w:val="0"/>
      <w:marBottom w:val="0"/>
      <w:divBdr>
        <w:top w:val="none" w:sz="0" w:space="0" w:color="auto"/>
        <w:left w:val="none" w:sz="0" w:space="0" w:color="auto"/>
        <w:bottom w:val="none" w:sz="0" w:space="0" w:color="auto"/>
        <w:right w:val="none" w:sz="0" w:space="0" w:color="auto"/>
      </w:divBdr>
    </w:div>
    <w:div w:id="1998144915">
      <w:bodyDiv w:val="1"/>
      <w:marLeft w:val="0"/>
      <w:marRight w:val="0"/>
      <w:marTop w:val="0"/>
      <w:marBottom w:val="0"/>
      <w:divBdr>
        <w:top w:val="none" w:sz="0" w:space="0" w:color="auto"/>
        <w:left w:val="none" w:sz="0" w:space="0" w:color="auto"/>
        <w:bottom w:val="none" w:sz="0" w:space="0" w:color="auto"/>
        <w:right w:val="none" w:sz="0" w:space="0" w:color="auto"/>
      </w:divBdr>
    </w:div>
    <w:div w:id="2057654836">
      <w:bodyDiv w:val="1"/>
      <w:marLeft w:val="0"/>
      <w:marRight w:val="0"/>
      <w:marTop w:val="0"/>
      <w:marBottom w:val="0"/>
      <w:divBdr>
        <w:top w:val="none" w:sz="0" w:space="0" w:color="auto"/>
        <w:left w:val="none" w:sz="0" w:space="0" w:color="auto"/>
        <w:bottom w:val="none" w:sz="0" w:space="0" w:color="auto"/>
        <w:right w:val="none" w:sz="0" w:space="0" w:color="auto"/>
      </w:divBdr>
    </w:div>
    <w:div w:id="2071926459">
      <w:bodyDiv w:val="1"/>
      <w:marLeft w:val="0"/>
      <w:marRight w:val="0"/>
      <w:marTop w:val="0"/>
      <w:marBottom w:val="0"/>
      <w:divBdr>
        <w:top w:val="none" w:sz="0" w:space="0" w:color="auto"/>
        <w:left w:val="none" w:sz="0" w:space="0" w:color="auto"/>
        <w:bottom w:val="none" w:sz="0" w:space="0" w:color="auto"/>
        <w:right w:val="none" w:sz="0" w:space="0" w:color="auto"/>
      </w:divBdr>
    </w:div>
    <w:div w:id="2073311231">
      <w:bodyDiv w:val="1"/>
      <w:marLeft w:val="0"/>
      <w:marRight w:val="0"/>
      <w:marTop w:val="0"/>
      <w:marBottom w:val="0"/>
      <w:divBdr>
        <w:top w:val="none" w:sz="0" w:space="0" w:color="auto"/>
        <w:left w:val="none" w:sz="0" w:space="0" w:color="auto"/>
        <w:bottom w:val="none" w:sz="0" w:space="0" w:color="auto"/>
        <w:right w:val="none" w:sz="0" w:space="0" w:color="auto"/>
      </w:divBdr>
    </w:div>
    <w:div w:id="2085908369">
      <w:bodyDiv w:val="1"/>
      <w:marLeft w:val="0"/>
      <w:marRight w:val="0"/>
      <w:marTop w:val="0"/>
      <w:marBottom w:val="0"/>
      <w:divBdr>
        <w:top w:val="none" w:sz="0" w:space="0" w:color="auto"/>
        <w:left w:val="none" w:sz="0" w:space="0" w:color="auto"/>
        <w:bottom w:val="none" w:sz="0" w:space="0" w:color="auto"/>
        <w:right w:val="none" w:sz="0" w:space="0" w:color="auto"/>
      </w:divBdr>
    </w:div>
    <w:div w:id="2105418943">
      <w:bodyDiv w:val="1"/>
      <w:marLeft w:val="0"/>
      <w:marRight w:val="0"/>
      <w:marTop w:val="0"/>
      <w:marBottom w:val="0"/>
      <w:divBdr>
        <w:top w:val="none" w:sz="0" w:space="0" w:color="auto"/>
        <w:left w:val="none" w:sz="0" w:space="0" w:color="auto"/>
        <w:bottom w:val="none" w:sz="0" w:space="0" w:color="auto"/>
        <w:right w:val="none" w:sz="0" w:space="0" w:color="auto"/>
      </w:divBdr>
    </w:div>
    <w:div w:id="2111004274">
      <w:bodyDiv w:val="1"/>
      <w:marLeft w:val="0"/>
      <w:marRight w:val="0"/>
      <w:marTop w:val="0"/>
      <w:marBottom w:val="0"/>
      <w:divBdr>
        <w:top w:val="none" w:sz="0" w:space="0" w:color="auto"/>
        <w:left w:val="none" w:sz="0" w:space="0" w:color="auto"/>
        <w:bottom w:val="none" w:sz="0" w:space="0" w:color="auto"/>
        <w:right w:val="none" w:sz="0" w:space="0" w:color="auto"/>
      </w:divBdr>
    </w:div>
    <w:div w:id="2118284695">
      <w:bodyDiv w:val="1"/>
      <w:marLeft w:val="0"/>
      <w:marRight w:val="0"/>
      <w:marTop w:val="0"/>
      <w:marBottom w:val="0"/>
      <w:divBdr>
        <w:top w:val="none" w:sz="0" w:space="0" w:color="auto"/>
        <w:left w:val="none" w:sz="0" w:space="0" w:color="auto"/>
        <w:bottom w:val="none" w:sz="0" w:space="0" w:color="auto"/>
        <w:right w:val="none" w:sz="0" w:space="0" w:color="auto"/>
      </w:divBdr>
    </w:div>
    <w:div w:id="2121294938">
      <w:bodyDiv w:val="1"/>
      <w:marLeft w:val="0"/>
      <w:marRight w:val="0"/>
      <w:marTop w:val="0"/>
      <w:marBottom w:val="0"/>
      <w:divBdr>
        <w:top w:val="none" w:sz="0" w:space="0" w:color="auto"/>
        <w:left w:val="none" w:sz="0" w:space="0" w:color="auto"/>
        <w:bottom w:val="none" w:sz="0" w:space="0" w:color="auto"/>
        <w:right w:val="none" w:sz="0" w:space="0" w:color="auto"/>
      </w:divBdr>
    </w:div>
    <w:div w:id="2123454452">
      <w:bodyDiv w:val="1"/>
      <w:marLeft w:val="0"/>
      <w:marRight w:val="0"/>
      <w:marTop w:val="0"/>
      <w:marBottom w:val="0"/>
      <w:divBdr>
        <w:top w:val="none" w:sz="0" w:space="0" w:color="auto"/>
        <w:left w:val="none" w:sz="0" w:space="0" w:color="auto"/>
        <w:bottom w:val="none" w:sz="0" w:space="0" w:color="auto"/>
        <w:right w:val="none" w:sz="0" w:space="0" w:color="auto"/>
      </w:divBdr>
    </w:div>
    <w:div w:id="2124032387">
      <w:bodyDiv w:val="1"/>
      <w:marLeft w:val="0"/>
      <w:marRight w:val="0"/>
      <w:marTop w:val="0"/>
      <w:marBottom w:val="0"/>
      <w:divBdr>
        <w:top w:val="none" w:sz="0" w:space="0" w:color="auto"/>
        <w:left w:val="none" w:sz="0" w:space="0" w:color="auto"/>
        <w:bottom w:val="none" w:sz="0" w:space="0" w:color="auto"/>
        <w:right w:val="none" w:sz="0" w:space="0" w:color="auto"/>
      </w:divBdr>
    </w:div>
    <w:div w:id="2134209046">
      <w:bodyDiv w:val="1"/>
      <w:marLeft w:val="0"/>
      <w:marRight w:val="0"/>
      <w:marTop w:val="0"/>
      <w:marBottom w:val="0"/>
      <w:divBdr>
        <w:top w:val="none" w:sz="0" w:space="0" w:color="auto"/>
        <w:left w:val="none" w:sz="0" w:space="0" w:color="auto"/>
        <w:bottom w:val="none" w:sz="0" w:space="0" w:color="auto"/>
        <w:right w:val="none" w:sz="0" w:space="0" w:color="auto"/>
      </w:divBdr>
    </w:div>
    <w:div w:id="2140100384">
      <w:bodyDiv w:val="1"/>
      <w:marLeft w:val="0"/>
      <w:marRight w:val="0"/>
      <w:marTop w:val="0"/>
      <w:marBottom w:val="0"/>
      <w:divBdr>
        <w:top w:val="none" w:sz="0" w:space="0" w:color="auto"/>
        <w:left w:val="none" w:sz="0" w:space="0" w:color="auto"/>
        <w:bottom w:val="none" w:sz="0" w:space="0" w:color="auto"/>
        <w:right w:val="none" w:sz="0" w:space="0" w:color="auto"/>
      </w:divBdr>
    </w:div>
    <w:div w:id="214161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efunds.com.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yperlink" Target="http://www.efunds.com.cn" TargetMode="External"/><Relationship Id="rId20" Type="http://schemas.openxmlformats.org/officeDocument/2006/relationships/hyperlink" Target="mailto:service@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F647B0-CBCF-4DFD-B45B-2F49DD17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21186</Words>
  <Characters>120761</Characters>
  <Application>Microsoft Office Word</Application>
  <DocSecurity>0</DocSecurity>
  <Lines>1006</Lines>
  <Paragraphs>283</Paragraphs>
  <ScaleCrop>false</ScaleCrop>
  <Company>E FUND</Company>
  <LinksUpToDate>false</LinksUpToDate>
  <CharactersWithSpaces>141664</CharactersWithSpaces>
  <SharedDoc>false</SharedDoc>
  <HLinks>
    <vt:vector size="810" baseType="variant">
      <vt:variant>
        <vt:i4>1704044</vt:i4>
      </vt:variant>
      <vt:variant>
        <vt:i4>798</vt:i4>
      </vt:variant>
      <vt:variant>
        <vt:i4>0</vt:i4>
      </vt:variant>
      <vt:variant>
        <vt:i4>5</vt:i4>
      </vt:variant>
      <vt:variant>
        <vt:lpwstr>mailto:service@efunds.com.cn</vt:lpwstr>
      </vt:variant>
      <vt:variant>
        <vt:lpwstr/>
      </vt:variant>
      <vt:variant>
        <vt:i4>6160454</vt:i4>
      </vt:variant>
      <vt:variant>
        <vt:i4>795</vt:i4>
      </vt:variant>
      <vt:variant>
        <vt:i4>0</vt:i4>
      </vt:variant>
      <vt:variant>
        <vt:i4>5</vt:i4>
      </vt:variant>
      <vt:variant>
        <vt:lpwstr>http://www.efunds.com.cn/</vt:lpwstr>
      </vt:variant>
      <vt:variant>
        <vt:lpwstr/>
      </vt:variant>
      <vt:variant>
        <vt:i4>6160454</vt:i4>
      </vt:variant>
      <vt:variant>
        <vt:i4>792</vt:i4>
      </vt:variant>
      <vt:variant>
        <vt:i4>0</vt:i4>
      </vt:variant>
      <vt:variant>
        <vt:i4>5</vt:i4>
      </vt:variant>
      <vt:variant>
        <vt:lpwstr>http://www.efunds.com.cn/</vt:lpwstr>
      </vt:variant>
      <vt:variant>
        <vt:lpwstr/>
      </vt:variant>
      <vt:variant>
        <vt:i4>6160454</vt:i4>
      </vt:variant>
      <vt:variant>
        <vt:i4>789</vt:i4>
      </vt:variant>
      <vt:variant>
        <vt:i4>0</vt:i4>
      </vt:variant>
      <vt:variant>
        <vt:i4>5</vt:i4>
      </vt:variant>
      <vt:variant>
        <vt:lpwstr>http://www.efunds.com.cn/</vt:lpwstr>
      </vt:variant>
      <vt:variant>
        <vt:lpwstr/>
      </vt:variant>
      <vt:variant>
        <vt:i4>1114174</vt:i4>
      </vt:variant>
      <vt:variant>
        <vt:i4>782</vt:i4>
      </vt:variant>
      <vt:variant>
        <vt:i4>0</vt:i4>
      </vt:variant>
      <vt:variant>
        <vt:i4>5</vt:i4>
      </vt:variant>
      <vt:variant>
        <vt:lpwstr/>
      </vt:variant>
      <vt:variant>
        <vt:lpwstr>_Toc408819378</vt:lpwstr>
      </vt:variant>
      <vt:variant>
        <vt:i4>1114174</vt:i4>
      </vt:variant>
      <vt:variant>
        <vt:i4>776</vt:i4>
      </vt:variant>
      <vt:variant>
        <vt:i4>0</vt:i4>
      </vt:variant>
      <vt:variant>
        <vt:i4>5</vt:i4>
      </vt:variant>
      <vt:variant>
        <vt:lpwstr/>
      </vt:variant>
      <vt:variant>
        <vt:lpwstr>_Toc408819377</vt:lpwstr>
      </vt:variant>
      <vt:variant>
        <vt:i4>1114174</vt:i4>
      </vt:variant>
      <vt:variant>
        <vt:i4>770</vt:i4>
      </vt:variant>
      <vt:variant>
        <vt:i4>0</vt:i4>
      </vt:variant>
      <vt:variant>
        <vt:i4>5</vt:i4>
      </vt:variant>
      <vt:variant>
        <vt:lpwstr/>
      </vt:variant>
      <vt:variant>
        <vt:lpwstr>_Toc408819376</vt:lpwstr>
      </vt:variant>
      <vt:variant>
        <vt:i4>1114174</vt:i4>
      </vt:variant>
      <vt:variant>
        <vt:i4>764</vt:i4>
      </vt:variant>
      <vt:variant>
        <vt:i4>0</vt:i4>
      </vt:variant>
      <vt:variant>
        <vt:i4>5</vt:i4>
      </vt:variant>
      <vt:variant>
        <vt:lpwstr/>
      </vt:variant>
      <vt:variant>
        <vt:lpwstr>_Toc408819375</vt:lpwstr>
      </vt:variant>
      <vt:variant>
        <vt:i4>1114174</vt:i4>
      </vt:variant>
      <vt:variant>
        <vt:i4>758</vt:i4>
      </vt:variant>
      <vt:variant>
        <vt:i4>0</vt:i4>
      </vt:variant>
      <vt:variant>
        <vt:i4>5</vt:i4>
      </vt:variant>
      <vt:variant>
        <vt:lpwstr/>
      </vt:variant>
      <vt:variant>
        <vt:lpwstr>_Toc408819374</vt:lpwstr>
      </vt:variant>
      <vt:variant>
        <vt:i4>1114174</vt:i4>
      </vt:variant>
      <vt:variant>
        <vt:i4>752</vt:i4>
      </vt:variant>
      <vt:variant>
        <vt:i4>0</vt:i4>
      </vt:variant>
      <vt:variant>
        <vt:i4>5</vt:i4>
      </vt:variant>
      <vt:variant>
        <vt:lpwstr/>
      </vt:variant>
      <vt:variant>
        <vt:lpwstr>_Toc408819373</vt:lpwstr>
      </vt:variant>
      <vt:variant>
        <vt:i4>1114174</vt:i4>
      </vt:variant>
      <vt:variant>
        <vt:i4>746</vt:i4>
      </vt:variant>
      <vt:variant>
        <vt:i4>0</vt:i4>
      </vt:variant>
      <vt:variant>
        <vt:i4>5</vt:i4>
      </vt:variant>
      <vt:variant>
        <vt:lpwstr/>
      </vt:variant>
      <vt:variant>
        <vt:lpwstr>_Toc408819372</vt:lpwstr>
      </vt:variant>
      <vt:variant>
        <vt:i4>1114174</vt:i4>
      </vt:variant>
      <vt:variant>
        <vt:i4>740</vt:i4>
      </vt:variant>
      <vt:variant>
        <vt:i4>0</vt:i4>
      </vt:variant>
      <vt:variant>
        <vt:i4>5</vt:i4>
      </vt:variant>
      <vt:variant>
        <vt:lpwstr/>
      </vt:variant>
      <vt:variant>
        <vt:lpwstr>_Toc408819371</vt:lpwstr>
      </vt:variant>
      <vt:variant>
        <vt:i4>1114174</vt:i4>
      </vt:variant>
      <vt:variant>
        <vt:i4>734</vt:i4>
      </vt:variant>
      <vt:variant>
        <vt:i4>0</vt:i4>
      </vt:variant>
      <vt:variant>
        <vt:i4>5</vt:i4>
      </vt:variant>
      <vt:variant>
        <vt:lpwstr/>
      </vt:variant>
      <vt:variant>
        <vt:lpwstr>_Toc408819370</vt:lpwstr>
      </vt:variant>
      <vt:variant>
        <vt:i4>1048638</vt:i4>
      </vt:variant>
      <vt:variant>
        <vt:i4>728</vt:i4>
      </vt:variant>
      <vt:variant>
        <vt:i4>0</vt:i4>
      </vt:variant>
      <vt:variant>
        <vt:i4>5</vt:i4>
      </vt:variant>
      <vt:variant>
        <vt:lpwstr/>
      </vt:variant>
      <vt:variant>
        <vt:lpwstr>_Toc408819369</vt:lpwstr>
      </vt:variant>
      <vt:variant>
        <vt:i4>1048638</vt:i4>
      </vt:variant>
      <vt:variant>
        <vt:i4>722</vt:i4>
      </vt:variant>
      <vt:variant>
        <vt:i4>0</vt:i4>
      </vt:variant>
      <vt:variant>
        <vt:i4>5</vt:i4>
      </vt:variant>
      <vt:variant>
        <vt:lpwstr/>
      </vt:variant>
      <vt:variant>
        <vt:lpwstr>_Toc408819368</vt:lpwstr>
      </vt:variant>
      <vt:variant>
        <vt:i4>1048638</vt:i4>
      </vt:variant>
      <vt:variant>
        <vt:i4>716</vt:i4>
      </vt:variant>
      <vt:variant>
        <vt:i4>0</vt:i4>
      </vt:variant>
      <vt:variant>
        <vt:i4>5</vt:i4>
      </vt:variant>
      <vt:variant>
        <vt:lpwstr/>
      </vt:variant>
      <vt:variant>
        <vt:lpwstr>_Toc408819367</vt:lpwstr>
      </vt:variant>
      <vt:variant>
        <vt:i4>1048638</vt:i4>
      </vt:variant>
      <vt:variant>
        <vt:i4>710</vt:i4>
      </vt:variant>
      <vt:variant>
        <vt:i4>0</vt:i4>
      </vt:variant>
      <vt:variant>
        <vt:i4>5</vt:i4>
      </vt:variant>
      <vt:variant>
        <vt:lpwstr/>
      </vt:variant>
      <vt:variant>
        <vt:lpwstr>_Toc408819366</vt:lpwstr>
      </vt:variant>
      <vt:variant>
        <vt:i4>1048638</vt:i4>
      </vt:variant>
      <vt:variant>
        <vt:i4>704</vt:i4>
      </vt:variant>
      <vt:variant>
        <vt:i4>0</vt:i4>
      </vt:variant>
      <vt:variant>
        <vt:i4>5</vt:i4>
      </vt:variant>
      <vt:variant>
        <vt:lpwstr/>
      </vt:variant>
      <vt:variant>
        <vt:lpwstr>_Toc408819365</vt:lpwstr>
      </vt:variant>
      <vt:variant>
        <vt:i4>1048638</vt:i4>
      </vt:variant>
      <vt:variant>
        <vt:i4>698</vt:i4>
      </vt:variant>
      <vt:variant>
        <vt:i4>0</vt:i4>
      </vt:variant>
      <vt:variant>
        <vt:i4>5</vt:i4>
      </vt:variant>
      <vt:variant>
        <vt:lpwstr/>
      </vt:variant>
      <vt:variant>
        <vt:lpwstr>_Toc408819364</vt:lpwstr>
      </vt:variant>
      <vt:variant>
        <vt:i4>1048638</vt:i4>
      </vt:variant>
      <vt:variant>
        <vt:i4>692</vt:i4>
      </vt:variant>
      <vt:variant>
        <vt:i4>0</vt:i4>
      </vt:variant>
      <vt:variant>
        <vt:i4>5</vt:i4>
      </vt:variant>
      <vt:variant>
        <vt:lpwstr/>
      </vt:variant>
      <vt:variant>
        <vt:lpwstr>_Toc408819363</vt:lpwstr>
      </vt:variant>
      <vt:variant>
        <vt:i4>1048638</vt:i4>
      </vt:variant>
      <vt:variant>
        <vt:i4>686</vt:i4>
      </vt:variant>
      <vt:variant>
        <vt:i4>0</vt:i4>
      </vt:variant>
      <vt:variant>
        <vt:i4>5</vt:i4>
      </vt:variant>
      <vt:variant>
        <vt:lpwstr/>
      </vt:variant>
      <vt:variant>
        <vt:lpwstr>_Toc408819362</vt:lpwstr>
      </vt:variant>
      <vt:variant>
        <vt:i4>1048638</vt:i4>
      </vt:variant>
      <vt:variant>
        <vt:i4>680</vt:i4>
      </vt:variant>
      <vt:variant>
        <vt:i4>0</vt:i4>
      </vt:variant>
      <vt:variant>
        <vt:i4>5</vt:i4>
      </vt:variant>
      <vt:variant>
        <vt:lpwstr/>
      </vt:variant>
      <vt:variant>
        <vt:lpwstr>_Toc408819361</vt:lpwstr>
      </vt:variant>
      <vt:variant>
        <vt:i4>1048638</vt:i4>
      </vt:variant>
      <vt:variant>
        <vt:i4>674</vt:i4>
      </vt:variant>
      <vt:variant>
        <vt:i4>0</vt:i4>
      </vt:variant>
      <vt:variant>
        <vt:i4>5</vt:i4>
      </vt:variant>
      <vt:variant>
        <vt:lpwstr/>
      </vt:variant>
      <vt:variant>
        <vt:lpwstr>_Toc408819360</vt:lpwstr>
      </vt:variant>
      <vt:variant>
        <vt:i4>1245246</vt:i4>
      </vt:variant>
      <vt:variant>
        <vt:i4>668</vt:i4>
      </vt:variant>
      <vt:variant>
        <vt:i4>0</vt:i4>
      </vt:variant>
      <vt:variant>
        <vt:i4>5</vt:i4>
      </vt:variant>
      <vt:variant>
        <vt:lpwstr/>
      </vt:variant>
      <vt:variant>
        <vt:lpwstr>_Toc408819359</vt:lpwstr>
      </vt:variant>
      <vt:variant>
        <vt:i4>1245246</vt:i4>
      </vt:variant>
      <vt:variant>
        <vt:i4>662</vt:i4>
      </vt:variant>
      <vt:variant>
        <vt:i4>0</vt:i4>
      </vt:variant>
      <vt:variant>
        <vt:i4>5</vt:i4>
      </vt:variant>
      <vt:variant>
        <vt:lpwstr/>
      </vt:variant>
      <vt:variant>
        <vt:lpwstr>_Toc408819358</vt:lpwstr>
      </vt:variant>
      <vt:variant>
        <vt:i4>1245246</vt:i4>
      </vt:variant>
      <vt:variant>
        <vt:i4>656</vt:i4>
      </vt:variant>
      <vt:variant>
        <vt:i4>0</vt:i4>
      </vt:variant>
      <vt:variant>
        <vt:i4>5</vt:i4>
      </vt:variant>
      <vt:variant>
        <vt:lpwstr/>
      </vt:variant>
      <vt:variant>
        <vt:lpwstr>_Toc408819357</vt:lpwstr>
      </vt:variant>
      <vt:variant>
        <vt:i4>1245246</vt:i4>
      </vt:variant>
      <vt:variant>
        <vt:i4>650</vt:i4>
      </vt:variant>
      <vt:variant>
        <vt:i4>0</vt:i4>
      </vt:variant>
      <vt:variant>
        <vt:i4>5</vt:i4>
      </vt:variant>
      <vt:variant>
        <vt:lpwstr/>
      </vt:variant>
      <vt:variant>
        <vt:lpwstr>_Toc408819356</vt:lpwstr>
      </vt:variant>
      <vt:variant>
        <vt:i4>1245246</vt:i4>
      </vt:variant>
      <vt:variant>
        <vt:i4>644</vt:i4>
      </vt:variant>
      <vt:variant>
        <vt:i4>0</vt:i4>
      </vt:variant>
      <vt:variant>
        <vt:i4>5</vt:i4>
      </vt:variant>
      <vt:variant>
        <vt:lpwstr/>
      </vt:variant>
      <vt:variant>
        <vt:lpwstr>_Toc408819355</vt:lpwstr>
      </vt:variant>
      <vt:variant>
        <vt:i4>1245246</vt:i4>
      </vt:variant>
      <vt:variant>
        <vt:i4>638</vt:i4>
      </vt:variant>
      <vt:variant>
        <vt:i4>0</vt:i4>
      </vt:variant>
      <vt:variant>
        <vt:i4>5</vt:i4>
      </vt:variant>
      <vt:variant>
        <vt:lpwstr/>
      </vt:variant>
      <vt:variant>
        <vt:lpwstr>_Toc408819354</vt:lpwstr>
      </vt:variant>
      <vt:variant>
        <vt:i4>1245246</vt:i4>
      </vt:variant>
      <vt:variant>
        <vt:i4>632</vt:i4>
      </vt:variant>
      <vt:variant>
        <vt:i4>0</vt:i4>
      </vt:variant>
      <vt:variant>
        <vt:i4>5</vt:i4>
      </vt:variant>
      <vt:variant>
        <vt:lpwstr/>
      </vt:variant>
      <vt:variant>
        <vt:lpwstr>_Toc408819353</vt:lpwstr>
      </vt:variant>
      <vt:variant>
        <vt:i4>1245246</vt:i4>
      </vt:variant>
      <vt:variant>
        <vt:i4>626</vt:i4>
      </vt:variant>
      <vt:variant>
        <vt:i4>0</vt:i4>
      </vt:variant>
      <vt:variant>
        <vt:i4>5</vt:i4>
      </vt:variant>
      <vt:variant>
        <vt:lpwstr/>
      </vt:variant>
      <vt:variant>
        <vt:lpwstr>_Toc408819352</vt:lpwstr>
      </vt:variant>
      <vt:variant>
        <vt:i4>1245246</vt:i4>
      </vt:variant>
      <vt:variant>
        <vt:i4>620</vt:i4>
      </vt:variant>
      <vt:variant>
        <vt:i4>0</vt:i4>
      </vt:variant>
      <vt:variant>
        <vt:i4>5</vt:i4>
      </vt:variant>
      <vt:variant>
        <vt:lpwstr/>
      </vt:variant>
      <vt:variant>
        <vt:lpwstr>_Toc408819351</vt:lpwstr>
      </vt:variant>
      <vt:variant>
        <vt:i4>1245246</vt:i4>
      </vt:variant>
      <vt:variant>
        <vt:i4>614</vt:i4>
      </vt:variant>
      <vt:variant>
        <vt:i4>0</vt:i4>
      </vt:variant>
      <vt:variant>
        <vt:i4>5</vt:i4>
      </vt:variant>
      <vt:variant>
        <vt:lpwstr/>
      </vt:variant>
      <vt:variant>
        <vt:lpwstr>_Toc408819350</vt:lpwstr>
      </vt:variant>
      <vt:variant>
        <vt:i4>1179710</vt:i4>
      </vt:variant>
      <vt:variant>
        <vt:i4>608</vt:i4>
      </vt:variant>
      <vt:variant>
        <vt:i4>0</vt:i4>
      </vt:variant>
      <vt:variant>
        <vt:i4>5</vt:i4>
      </vt:variant>
      <vt:variant>
        <vt:lpwstr/>
      </vt:variant>
      <vt:variant>
        <vt:lpwstr>_Toc408819349</vt:lpwstr>
      </vt:variant>
      <vt:variant>
        <vt:i4>1179710</vt:i4>
      </vt:variant>
      <vt:variant>
        <vt:i4>602</vt:i4>
      </vt:variant>
      <vt:variant>
        <vt:i4>0</vt:i4>
      </vt:variant>
      <vt:variant>
        <vt:i4>5</vt:i4>
      </vt:variant>
      <vt:variant>
        <vt:lpwstr/>
      </vt:variant>
      <vt:variant>
        <vt:lpwstr>_Toc408819348</vt:lpwstr>
      </vt:variant>
      <vt:variant>
        <vt:i4>1179710</vt:i4>
      </vt:variant>
      <vt:variant>
        <vt:i4>596</vt:i4>
      </vt:variant>
      <vt:variant>
        <vt:i4>0</vt:i4>
      </vt:variant>
      <vt:variant>
        <vt:i4>5</vt:i4>
      </vt:variant>
      <vt:variant>
        <vt:lpwstr/>
      </vt:variant>
      <vt:variant>
        <vt:lpwstr>_Toc408819347</vt:lpwstr>
      </vt:variant>
      <vt:variant>
        <vt:i4>1179710</vt:i4>
      </vt:variant>
      <vt:variant>
        <vt:i4>590</vt:i4>
      </vt:variant>
      <vt:variant>
        <vt:i4>0</vt:i4>
      </vt:variant>
      <vt:variant>
        <vt:i4>5</vt:i4>
      </vt:variant>
      <vt:variant>
        <vt:lpwstr/>
      </vt:variant>
      <vt:variant>
        <vt:lpwstr>_Toc408819346</vt:lpwstr>
      </vt:variant>
      <vt:variant>
        <vt:i4>1179710</vt:i4>
      </vt:variant>
      <vt:variant>
        <vt:i4>584</vt:i4>
      </vt:variant>
      <vt:variant>
        <vt:i4>0</vt:i4>
      </vt:variant>
      <vt:variant>
        <vt:i4>5</vt:i4>
      </vt:variant>
      <vt:variant>
        <vt:lpwstr/>
      </vt:variant>
      <vt:variant>
        <vt:lpwstr>_Toc408819345</vt:lpwstr>
      </vt:variant>
      <vt:variant>
        <vt:i4>1179710</vt:i4>
      </vt:variant>
      <vt:variant>
        <vt:i4>578</vt:i4>
      </vt:variant>
      <vt:variant>
        <vt:i4>0</vt:i4>
      </vt:variant>
      <vt:variant>
        <vt:i4>5</vt:i4>
      </vt:variant>
      <vt:variant>
        <vt:lpwstr/>
      </vt:variant>
      <vt:variant>
        <vt:lpwstr>_Toc408819344</vt:lpwstr>
      </vt:variant>
      <vt:variant>
        <vt:i4>1179710</vt:i4>
      </vt:variant>
      <vt:variant>
        <vt:i4>572</vt:i4>
      </vt:variant>
      <vt:variant>
        <vt:i4>0</vt:i4>
      </vt:variant>
      <vt:variant>
        <vt:i4>5</vt:i4>
      </vt:variant>
      <vt:variant>
        <vt:lpwstr/>
      </vt:variant>
      <vt:variant>
        <vt:lpwstr>_Toc408819343</vt:lpwstr>
      </vt:variant>
      <vt:variant>
        <vt:i4>1179710</vt:i4>
      </vt:variant>
      <vt:variant>
        <vt:i4>566</vt:i4>
      </vt:variant>
      <vt:variant>
        <vt:i4>0</vt:i4>
      </vt:variant>
      <vt:variant>
        <vt:i4>5</vt:i4>
      </vt:variant>
      <vt:variant>
        <vt:lpwstr/>
      </vt:variant>
      <vt:variant>
        <vt:lpwstr>_Toc408819342</vt:lpwstr>
      </vt:variant>
      <vt:variant>
        <vt:i4>1179710</vt:i4>
      </vt:variant>
      <vt:variant>
        <vt:i4>560</vt:i4>
      </vt:variant>
      <vt:variant>
        <vt:i4>0</vt:i4>
      </vt:variant>
      <vt:variant>
        <vt:i4>5</vt:i4>
      </vt:variant>
      <vt:variant>
        <vt:lpwstr/>
      </vt:variant>
      <vt:variant>
        <vt:lpwstr>_Toc408819341</vt:lpwstr>
      </vt:variant>
      <vt:variant>
        <vt:i4>1179710</vt:i4>
      </vt:variant>
      <vt:variant>
        <vt:i4>554</vt:i4>
      </vt:variant>
      <vt:variant>
        <vt:i4>0</vt:i4>
      </vt:variant>
      <vt:variant>
        <vt:i4>5</vt:i4>
      </vt:variant>
      <vt:variant>
        <vt:lpwstr/>
      </vt:variant>
      <vt:variant>
        <vt:lpwstr>_Toc408819340</vt:lpwstr>
      </vt:variant>
      <vt:variant>
        <vt:i4>1376318</vt:i4>
      </vt:variant>
      <vt:variant>
        <vt:i4>548</vt:i4>
      </vt:variant>
      <vt:variant>
        <vt:i4>0</vt:i4>
      </vt:variant>
      <vt:variant>
        <vt:i4>5</vt:i4>
      </vt:variant>
      <vt:variant>
        <vt:lpwstr/>
      </vt:variant>
      <vt:variant>
        <vt:lpwstr>_Toc408819339</vt:lpwstr>
      </vt:variant>
      <vt:variant>
        <vt:i4>1376318</vt:i4>
      </vt:variant>
      <vt:variant>
        <vt:i4>542</vt:i4>
      </vt:variant>
      <vt:variant>
        <vt:i4>0</vt:i4>
      </vt:variant>
      <vt:variant>
        <vt:i4>5</vt:i4>
      </vt:variant>
      <vt:variant>
        <vt:lpwstr/>
      </vt:variant>
      <vt:variant>
        <vt:lpwstr>_Toc408819338</vt:lpwstr>
      </vt:variant>
      <vt:variant>
        <vt:i4>1376318</vt:i4>
      </vt:variant>
      <vt:variant>
        <vt:i4>536</vt:i4>
      </vt:variant>
      <vt:variant>
        <vt:i4>0</vt:i4>
      </vt:variant>
      <vt:variant>
        <vt:i4>5</vt:i4>
      </vt:variant>
      <vt:variant>
        <vt:lpwstr/>
      </vt:variant>
      <vt:variant>
        <vt:lpwstr>_Toc408819337</vt:lpwstr>
      </vt:variant>
      <vt:variant>
        <vt:i4>1376318</vt:i4>
      </vt:variant>
      <vt:variant>
        <vt:i4>530</vt:i4>
      </vt:variant>
      <vt:variant>
        <vt:i4>0</vt:i4>
      </vt:variant>
      <vt:variant>
        <vt:i4>5</vt:i4>
      </vt:variant>
      <vt:variant>
        <vt:lpwstr/>
      </vt:variant>
      <vt:variant>
        <vt:lpwstr>_Toc408819336</vt:lpwstr>
      </vt:variant>
      <vt:variant>
        <vt:i4>1376318</vt:i4>
      </vt:variant>
      <vt:variant>
        <vt:i4>524</vt:i4>
      </vt:variant>
      <vt:variant>
        <vt:i4>0</vt:i4>
      </vt:variant>
      <vt:variant>
        <vt:i4>5</vt:i4>
      </vt:variant>
      <vt:variant>
        <vt:lpwstr/>
      </vt:variant>
      <vt:variant>
        <vt:lpwstr>_Toc408819335</vt:lpwstr>
      </vt:variant>
      <vt:variant>
        <vt:i4>1376318</vt:i4>
      </vt:variant>
      <vt:variant>
        <vt:i4>518</vt:i4>
      </vt:variant>
      <vt:variant>
        <vt:i4>0</vt:i4>
      </vt:variant>
      <vt:variant>
        <vt:i4>5</vt:i4>
      </vt:variant>
      <vt:variant>
        <vt:lpwstr/>
      </vt:variant>
      <vt:variant>
        <vt:lpwstr>_Toc408819334</vt:lpwstr>
      </vt:variant>
      <vt:variant>
        <vt:i4>1376318</vt:i4>
      </vt:variant>
      <vt:variant>
        <vt:i4>512</vt:i4>
      </vt:variant>
      <vt:variant>
        <vt:i4>0</vt:i4>
      </vt:variant>
      <vt:variant>
        <vt:i4>5</vt:i4>
      </vt:variant>
      <vt:variant>
        <vt:lpwstr/>
      </vt:variant>
      <vt:variant>
        <vt:lpwstr>_Toc408819333</vt:lpwstr>
      </vt:variant>
      <vt:variant>
        <vt:i4>1376318</vt:i4>
      </vt:variant>
      <vt:variant>
        <vt:i4>506</vt:i4>
      </vt:variant>
      <vt:variant>
        <vt:i4>0</vt:i4>
      </vt:variant>
      <vt:variant>
        <vt:i4>5</vt:i4>
      </vt:variant>
      <vt:variant>
        <vt:lpwstr/>
      </vt:variant>
      <vt:variant>
        <vt:lpwstr>_Toc408819332</vt:lpwstr>
      </vt:variant>
      <vt:variant>
        <vt:i4>1376318</vt:i4>
      </vt:variant>
      <vt:variant>
        <vt:i4>500</vt:i4>
      </vt:variant>
      <vt:variant>
        <vt:i4>0</vt:i4>
      </vt:variant>
      <vt:variant>
        <vt:i4>5</vt:i4>
      </vt:variant>
      <vt:variant>
        <vt:lpwstr/>
      </vt:variant>
      <vt:variant>
        <vt:lpwstr>_Toc408819331</vt:lpwstr>
      </vt:variant>
      <vt:variant>
        <vt:i4>1376318</vt:i4>
      </vt:variant>
      <vt:variant>
        <vt:i4>494</vt:i4>
      </vt:variant>
      <vt:variant>
        <vt:i4>0</vt:i4>
      </vt:variant>
      <vt:variant>
        <vt:i4>5</vt:i4>
      </vt:variant>
      <vt:variant>
        <vt:lpwstr/>
      </vt:variant>
      <vt:variant>
        <vt:lpwstr>_Toc408819330</vt:lpwstr>
      </vt:variant>
      <vt:variant>
        <vt:i4>1310782</vt:i4>
      </vt:variant>
      <vt:variant>
        <vt:i4>488</vt:i4>
      </vt:variant>
      <vt:variant>
        <vt:i4>0</vt:i4>
      </vt:variant>
      <vt:variant>
        <vt:i4>5</vt:i4>
      </vt:variant>
      <vt:variant>
        <vt:lpwstr/>
      </vt:variant>
      <vt:variant>
        <vt:lpwstr>_Toc408819329</vt:lpwstr>
      </vt:variant>
      <vt:variant>
        <vt:i4>1310782</vt:i4>
      </vt:variant>
      <vt:variant>
        <vt:i4>482</vt:i4>
      </vt:variant>
      <vt:variant>
        <vt:i4>0</vt:i4>
      </vt:variant>
      <vt:variant>
        <vt:i4>5</vt:i4>
      </vt:variant>
      <vt:variant>
        <vt:lpwstr/>
      </vt:variant>
      <vt:variant>
        <vt:lpwstr>_Toc408819328</vt:lpwstr>
      </vt:variant>
      <vt:variant>
        <vt:i4>1310782</vt:i4>
      </vt:variant>
      <vt:variant>
        <vt:i4>476</vt:i4>
      </vt:variant>
      <vt:variant>
        <vt:i4>0</vt:i4>
      </vt:variant>
      <vt:variant>
        <vt:i4>5</vt:i4>
      </vt:variant>
      <vt:variant>
        <vt:lpwstr/>
      </vt:variant>
      <vt:variant>
        <vt:lpwstr>_Toc408819327</vt:lpwstr>
      </vt:variant>
      <vt:variant>
        <vt:i4>1310782</vt:i4>
      </vt:variant>
      <vt:variant>
        <vt:i4>470</vt:i4>
      </vt:variant>
      <vt:variant>
        <vt:i4>0</vt:i4>
      </vt:variant>
      <vt:variant>
        <vt:i4>5</vt:i4>
      </vt:variant>
      <vt:variant>
        <vt:lpwstr/>
      </vt:variant>
      <vt:variant>
        <vt:lpwstr>_Toc408819326</vt:lpwstr>
      </vt:variant>
      <vt:variant>
        <vt:i4>1310782</vt:i4>
      </vt:variant>
      <vt:variant>
        <vt:i4>464</vt:i4>
      </vt:variant>
      <vt:variant>
        <vt:i4>0</vt:i4>
      </vt:variant>
      <vt:variant>
        <vt:i4>5</vt:i4>
      </vt:variant>
      <vt:variant>
        <vt:lpwstr/>
      </vt:variant>
      <vt:variant>
        <vt:lpwstr>_Toc408819325</vt:lpwstr>
      </vt:variant>
      <vt:variant>
        <vt:i4>1310782</vt:i4>
      </vt:variant>
      <vt:variant>
        <vt:i4>458</vt:i4>
      </vt:variant>
      <vt:variant>
        <vt:i4>0</vt:i4>
      </vt:variant>
      <vt:variant>
        <vt:i4>5</vt:i4>
      </vt:variant>
      <vt:variant>
        <vt:lpwstr/>
      </vt:variant>
      <vt:variant>
        <vt:lpwstr>_Toc408819324</vt:lpwstr>
      </vt:variant>
      <vt:variant>
        <vt:i4>1310782</vt:i4>
      </vt:variant>
      <vt:variant>
        <vt:i4>452</vt:i4>
      </vt:variant>
      <vt:variant>
        <vt:i4>0</vt:i4>
      </vt:variant>
      <vt:variant>
        <vt:i4>5</vt:i4>
      </vt:variant>
      <vt:variant>
        <vt:lpwstr/>
      </vt:variant>
      <vt:variant>
        <vt:lpwstr>_Toc408819323</vt:lpwstr>
      </vt:variant>
      <vt:variant>
        <vt:i4>1310782</vt:i4>
      </vt:variant>
      <vt:variant>
        <vt:i4>446</vt:i4>
      </vt:variant>
      <vt:variant>
        <vt:i4>0</vt:i4>
      </vt:variant>
      <vt:variant>
        <vt:i4>5</vt:i4>
      </vt:variant>
      <vt:variant>
        <vt:lpwstr/>
      </vt:variant>
      <vt:variant>
        <vt:lpwstr>_Toc408819322</vt:lpwstr>
      </vt:variant>
      <vt:variant>
        <vt:i4>1310782</vt:i4>
      </vt:variant>
      <vt:variant>
        <vt:i4>440</vt:i4>
      </vt:variant>
      <vt:variant>
        <vt:i4>0</vt:i4>
      </vt:variant>
      <vt:variant>
        <vt:i4>5</vt:i4>
      </vt:variant>
      <vt:variant>
        <vt:lpwstr/>
      </vt:variant>
      <vt:variant>
        <vt:lpwstr>_Toc408819321</vt:lpwstr>
      </vt:variant>
      <vt:variant>
        <vt:i4>1310782</vt:i4>
      </vt:variant>
      <vt:variant>
        <vt:i4>434</vt:i4>
      </vt:variant>
      <vt:variant>
        <vt:i4>0</vt:i4>
      </vt:variant>
      <vt:variant>
        <vt:i4>5</vt:i4>
      </vt:variant>
      <vt:variant>
        <vt:lpwstr/>
      </vt:variant>
      <vt:variant>
        <vt:lpwstr>_Toc408819320</vt:lpwstr>
      </vt:variant>
      <vt:variant>
        <vt:i4>1507390</vt:i4>
      </vt:variant>
      <vt:variant>
        <vt:i4>428</vt:i4>
      </vt:variant>
      <vt:variant>
        <vt:i4>0</vt:i4>
      </vt:variant>
      <vt:variant>
        <vt:i4>5</vt:i4>
      </vt:variant>
      <vt:variant>
        <vt:lpwstr/>
      </vt:variant>
      <vt:variant>
        <vt:lpwstr>_Toc408819319</vt:lpwstr>
      </vt:variant>
      <vt:variant>
        <vt:i4>1507390</vt:i4>
      </vt:variant>
      <vt:variant>
        <vt:i4>422</vt:i4>
      </vt:variant>
      <vt:variant>
        <vt:i4>0</vt:i4>
      </vt:variant>
      <vt:variant>
        <vt:i4>5</vt:i4>
      </vt:variant>
      <vt:variant>
        <vt:lpwstr/>
      </vt:variant>
      <vt:variant>
        <vt:lpwstr>_Toc408819318</vt:lpwstr>
      </vt:variant>
      <vt:variant>
        <vt:i4>1507390</vt:i4>
      </vt:variant>
      <vt:variant>
        <vt:i4>416</vt:i4>
      </vt:variant>
      <vt:variant>
        <vt:i4>0</vt:i4>
      </vt:variant>
      <vt:variant>
        <vt:i4>5</vt:i4>
      </vt:variant>
      <vt:variant>
        <vt:lpwstr/>
      </vt:variant>
      <vt:variant>
        <vt:lpwstr>_Toc408819317</vt:lpwstr>
      </vt:variant>
      <vt:variant>
        <vt:i4>1507390</vt:i4>
      </vt:variant>
      <vt:variant>
        <vt:i4>410</vt:i4>
      </vt:variant>
      <vt:variant>
        <vt:i4>0</vt:i4>
      </vt:variant>
      <vt:variant>
        <vt:i4>5</vt:i4>
      </vt:variant>
      <vt:variant>
        <vt:lpwstr/>
      </vt:variant>
      <vt:variant>
        <vt:lpwstr>_Toc408819316</vt:lpwstr>
      </vt:variant>
      <vt:variant>
        <vt:i4>1507390</vt:i4>
      </vt:variant>
      <vt:variant>
        <vt:i4>404</vt:i4>
      </vt:variant>
      <vt:variant>
        <vt:i4>0</vt:i4>
      </vt:variant>
      <vt:variant>
        <vt:i4>5</vt:i4>
      </vt:variant>
      <vt:variant>
        <vt:lpwstr/>
      </vt:variant>
      <vt:variant>
        <vt:lpwstr>_Toc408819315</vt:lpwstr>
      </vt:variant>
      <vt:variant>
        <vt:i4>1507390</vt:i4>
      </vt:variant>
      <vt:variant>
        <vt:i4>398</vt:i4>
      </vt:variant>
      <vt:variant>
        <vt:i4>0</vt:i4>
      </vt:variant>
      <vt:variant>
        <vt:i4>5</vt:i4>
      </vt:variant>
      <vt:variant>
        <vt:lpwstr/>
      </vt:variant>
      <vt:variant>
        <vt:lpwstr>_Toc408819314</vt:lpwstr>
      </vt:variant>
      <vt:variant>
        <vt:i4>1507390</vt:i4>
      </vt:variant>
      <vt:variant>
        <vt:i4>392</vt:i4>
      </vt:variant>
      <vt:variant>
        <vt:i4>0</vt:i4>
      </vt:variant>
      <vt:variant>
        <vt:i4>5</vt:i4>
      </vt:variant>
      <vt:variant>
        <vt:lpwstr/>
      </vt:variant>
      <vt:variant>
        <vt:lpwstr>_Toc408819313</vt:lpwstr>
      </vt:variant>
      <vt:variant>
        <vt:i4>1507390</vt:i4>
      </vt:variant>
      <vt:variant>
        <vt:i4>386</vt:i4>
      </vt:variant>
      <vt:variant>
        <vt:i4>0</vt:i4>
      </vt:variant>
      <vt:variant>
        <vt:i4>5</vt:i4>
      </vt:variant>
      <vt:variant>
        <vt:lpwstr/>
      </vt:variant>
      <vt:variant>
        <vt:lpwstr>_Toc408819312</vt:lpwstr>
      </vt:variant>
      <vt:variant>
        <vt:i4>1507390</vt:i4>
      </vt:variant>
      <vt:variant>
        <vt:i4>380</vt:i4>
      </vt:variant>
      <vt:variant>
        <vt:i4>0</vt:i4>
      </vt:variant>
      <vt:variant>
        <vt:i4>5</vt:i4>
      </vt:variant>
      <vt:variant>
        <vt:lpwstr/>
      </vt:variant>
      <vt:variant>
        <vt:lpwstr>_Toc408819311</vt:lpwstr>
      </vt:variant>
      <vt:variant>
        <vt:i4>1507390</vt:i4>
      </vt:variant>
      <vt:variant>
        <vt:i4>374</vt:i4>
      </vt:variant>
      <vt:variant>
        <vt:i4>0</vt:i4>
      </vt:variant>
      <vt:variant>
        <vt:i4>5</vt:i4>
      </vt:variant>
      <vt:variant>
        <vt:lpwstr/>
      </vt:variant>
      <vt:variant>
        <vt:lpwstr>_Toc408819310</vt:lpwstr>
      </vt:variant>
      <vt:variant>
        <vt:i4>1441854</vt:i4>
      </vt:variant>
      <vt:variant>
        <vt:i4>368</vt:i4>
      </vt:variant>
      <vt:variant>
        <vt:i4>0</vt:i4>
      </vt:variant>
      <vt:variant>
        <vt:i4>5</vt:i4>
      </vt:variant>
      <vt:variant>
        <vt:lpwstr/>
      </vt:variant>
      <vt:variant>
        <vt:lpwstr>_Toc408819309</vt:lpwstr>
      </vt:variant>
      <vt:variant>
        <vt:i4>1441854</vt:i4>
      </vt:variant>
      <vt:variant>
        <vt:i4>362</vt:i4>
      </vt:variant>
      <vt:variant>
        <vt:i4>0</vt:i4>
      </vt:variant>
      <vt:variant>
        <vt:i4>5</vt:i4>
      </vt:variant>
      <vt:variant>
        <vt:lpwstr/>
      </vt:variant>
      <vt:variant>
        <vt:lpwstr>_Toc408819308</vt:lpwstr>
      </vt:variant>
      <vt:variant>
        <vt:i4>1441854</vt:i4>
      </vt:variant>
      <vt:variant>
        <vt:i4>356</vt:i4>
      </vt:variant>
      <vt:variant>
        <vt:i4>0</vt:i4>
      </vt:variant>
      <vt:variant>
        <vt:i4>5</vt:i4>
      </vt:variant>
      <vt:variant>
        <vt:lpwstr/>
      </vt:variant>
      <vt:variant>
        <vt:lpwstr>_Toc408819307</vt:lpwstr>
      </vt:variant>
      <vt:variant>
        <vt:i4>1441854</vt:i4>
      </vt:variant>
      <vt:variant>
        <vt:i4>350</vt:i4>
      </vt:variant>
      <vt:variant>
        <vt:i4>0</vt:i4>
      </vt:variant>
      <vt:variant>
        <vt:i4>5</vt:i4>
      </vt:variant>
      <vt:variant>
        <vt:lpwstr/>
      </vt:variant>
      <vt:variant>
        <vt:lpwstr>_Toc408819306</vt:lpwstr>
      </vt:variant>
      <vt:variant>
        <vt:i4>1441854</vt:i4>
      </vt:variant>
      <vt:variant>
        <vt:i4>344</vt:i4>
      </vt:variant>
      <vt:variant>
        <vt:i4>0</vt:i4>
      </vt:variant>
      <vt:variant>
        <vt:i4>5</vt:i4>
      </vt:variant>
      <vt:variant>
        <vt:lpwstr/>
      </vt:variant>
      <vt:variant>
        <vt:lpwstr>_Toc408819305</vt:lpwstr>
      </vt:variant>
      <vt:variant>
        <vt:i4>1441854</vt:i4>
      </vt:variant>
      <vt:variant>
        <vt:i4>338</vt:i4>
      </vt:variant>
      <vt:variant>
        <vt:i4>0</vt:i4>
      </vt:variant>
      <vt:variant>
        <vt:i4>5</vt:i4>
      </vt:variant>
      <vt:variant>
        <vt:lpwstr/>
      </vt:variant>
      <vt:variant>
        <vt:lpwstr>_Toc408819304</vt:lpwstr>
      </vt:variant>
      <vt:variant>
        <vt:i4>1441854</vt:i4>
      </vt:variant>
      <vt:variant>
        <vt:i4>332</vt:i4>
      </vt:variant>
      <vt:variant>
        <vt:i4>0</vt:i4>
      </vt:variant>
      <vt:variant>
        <vt:i4>5</vt:i4>
      </vt:variant>
      <vt:variant>
        <vt:lpwstr/>
      </vt:variant>
      <vt:variant>
        <vt:lpwstr>_Toc408819303</vt:lpwstr>
      </vt:variant>
      <vt:variant>
        <vt:i4>1441854</vt:i4>
      </vt:variant>
      <vt:variant>
        <vt:i4>326</vt:i4>
      </vt:variant>
      <vt:variant>
        <vt:i4>0</vt:i4>
      </vt:variant>
      <vt:variant>
        <vt:i4>5</vt:i4>
      </vt:variant>
      <vt:variant>
        <vt:lpwstr/>
      </vt:variant>
      <vt:variant>
        <vt:lpwstr>_Toc408819302</vt:lpwstr>
      </vt:variant>
      <vt:variant>
        <vt:i4>1441854</vt:i4>
      </vt:variant>
      <vt:variant>
        <vt:i4>320</vt:i4>
      </vt:variant>
      <vt:variant>
        <vt:i4>0</vt:i4>
      </vt:variant>
      <vt:variant>
        <vt:i4>5</vt:i4>
      </vt:variant>
      <vt:variant>
        <vt:lpwstr/>
      </vt:variant>
      <vt:variant>
        <vt:lpwstr>_Toc408819301</vt:lpwstr>
      </vt:variant>
      <vt:variant>
        <vt:i4>1441854</vt:i4>
      </vt:variant>
      <vt:variant>
        <vt:i4>314</vt:i4>
      </vt:variant>
      <vt:variant>
        <vt:i4>0</vt:i4>
      </vt:variant>
      <vt:variant>
        <vt:i4>5</vt:i4>
      </vt:variant>
      <vt:variant>
        <vt:lpwstr/>
      </vt:variant>
      <vt:variant>
        <vt:lpwstr>_Toc408819300</vt:lpwstr>
      </vt:variant>
      <vt:variant>
        <vt:i4>2031679</vt:i4>
      </vt:variant>
      <vt:variant>
        <vt:i4>308</vt:i4>
      </vt:variant>
      <vt:variant>
        <vt:i4>0</vt:i4>
      </vt:variant>
      <vt:variant>
        <vt:i4>5</vt:i4>
      </vt:variant>
      <vt:variant>
        <vt:lpwstr/>
      </vt:variant>
      <vt:variant>
        <vt:lpwstr>_Toc408819299</vt:lpwstr>
      </vt:variant>
      <vt:variant>
        <vt:i4>2031679</vt:i4>
      </vt:variant>
      <vt:variant>
        <vt:i4>302</vt:i4>
      </vt:variant>
      <vt:variant>
        <vt:i4>0</vt:i4>
      </vt:variant>
      <vt:variant>
        <vt:i4>5</vt:i4>
      </vt:variant>
      <vt:variant>
        <vt:lpwstr/>
      </vt:variant>
      <vt:variant>
        <vt:lpwstr>_Toc408819298</vt:lpwstr>
      </vt:variant>
      <vt:variant>
        <vt:i4>2031679</vt:i4>
      </vt:variant>
      <vt:variant>
        <vt:i4>296</vt:i4>
      </vt:variant>
      <vt:variant>
        <vt:i4>0</vt:i4>
      </vt:variant>
      <vt:variant>
        <vt:i4>5</vt:i4>
      </vt:variant>
      <vt:variant>
        <vt:lpwstr/>
      </vt:variant>
      <vt:variant>
        <vt:lpwstr>_Toc408819297</vt:lpwstr>
      </vt:variant>
      <vt:variant>
        <vt:i4>2031679</vt:i4>
      </vt:variant>
      <vt:variant>
        <vt:i4>290</vt:i4>
      </vt:variant>
      <vt:variant>
        <vt:i4>0</vt:i4>
      </vt:variant>
      <vt:variant>
        <vt:i4>5</vt:i4>
      </vt:variant>
      <vt:variant>
        <vt:lpwstr/>
      </vt:variant>
      <vt:variant>
        <vt:lpwstr>_Toc408819296</vt:lpwstr>
      </vt:variant>
      <vt:variant>
        <vt:i4>2031679</vt:i4>
      </vt:variant>
      <vt:variant>
        <vt:i4>284</vt:i4>
      </vt:variant>
      <vt:variant>
        <vt:i4>0</vt:i4>
      </vt:variant>
      <vt:variant>
        <vt:i4>5</vt:i4>
      </vt:variant>
      <vt:variant>
        <vt:lpwstr/>
      </vt:variant>
      <vt:variant>
        <vt:lpwstr>_Toc408819295</vt:lpwstr>
      </vt:variant>
      <vt:variant>
        <vt:i4>2031679</vt:i4>
      </vt:variant>
      <vt:variant>
        <vt:i4>278</vt:i4>
      </vt:variant>
      <vt:variant>
        <vt:i4>0</vt:i4>
      </vt:variant>
      <vt:variant>
        <vt:i4>5</vt:i4>
      </vt:variant>
      <vt:variant>
        <vt:lpwstr/>
      </vt:variant>
      <vt:variant>
        <vt:lpwstr>_Toc408819294</vt:lpwstr>
      </vt:variant>
      <vt:variant>
        <vt:i4>2031679</vt:i4>
      </vt:variant>
      <vt:variant>
        <vt:i4>272</vt:i4>
      </vt:variant>
      <vt:variant>
        <vt:i4>0</vt:i4>
      </vt:variant>
      <vt:variant>
        <vt:i4>5</vt:i4>
      </vt:variant>
      <vt:variant>
        <vt:lpwstr/>
      </vt:variant>
      <vt:variant>
        <vt:lpwstr>_Toc408819293</vt:lpwstr>
      </vt:variant>
      <vt:variant>
        <vt:i4>2031679</vt:i4>
      </vt:variant>
      <vt:variant>
        <vt:i4>266</vt:i4>
      </vt:variant>
      <vt:variant>
        <vt:i4>0</vt:i4>
      </vt:variant>
      <vt:variant>
        <vt:i4>5</vt:i4>
      </vt:variant>
      <vt:variant>
        <vt:lpwstr/>
      </vt:variant>
      <vt:variant>
        <vt:lpwstr>_Toc408819292</vt:lpwstr>
      </vt:variant>
      <vt:variant>
        <vt:i4>2031679</vt:i4>
      </vt:variant>
      <vt:variant>
        <vt:i4>260</vt:i4>
      </vt:variant>
      <vt:variant>
        <vt:i4>0</vt:i4>
      </vt:variant>
      <vt:variant>
        <vt:i4>5</vt:i4>
      </vt:variant>
      <vt:variant>
        <vt:lpwstr/>
      </vt:variant>
      <vt:variant>
        <vt:lpwstr>_Toc408819291</vt:lpwstr>
      </vt:variant>
      <vt:variant>
        <vt:i4>2031679</vt:i4>
      </vt:variant>
      <vt:variant>
        <vt:i4>254</vt:i4>
      </vt:variant>
      <vt:variant>
        <vt:i4>0</vt:i4>
      </vt:variant>
      <vt:variant>
        <vt:i4>5</vt:i4>
      </vt:variant>
      <vt:variant>
        <vt:lpwstr/>
      </vt:variant>
      <vt:variant>
        <vt:lpwstr>_Toc408819290</vt:lpwstr>
      </vt:variant>
      <vt:variant>
        <vt:i4>1966143</vt:i4>
      </vt:variant>
      <vt:variant>
        <vt:i4>248</vt:i4>
      </vt:variant>
      <vt:variant>
        <vt:i4>0</vt:i4>
      </vt:variant>
      <vt:variant>
        <vt:i4>5</vt:i4>
      </vt:variant>
      <vt:variant>
        <vt:lpwstr/>
      </vt:variant>
      <vt:variant>
        <vt:lpwstr>_Toc408819289</vt:lpwstr>
      </vt:variant>
      <vt:variant>
        <vt:i4>1966143</vt:i4>
      </vt:variant>
      <vt:variant>
        <vt:i4>242</vt:i4>
      </vt:variant>
      <vt:variant>
        <vt:i4>0</vt:i4>
      </vt:variant>
      <vt:variant>
        <vt:i4>5</vt:i4>
      </vt:variant>
      <vt:variant>
        <vt:lpwstr/>
      </vt:variant>
      <vt:variant>
        <vt:lpwstr>_Toc408819288</vt:lpwstr>
      </vt:variant>
      <vt:variant>
        <vt:i4>1966143</vt:i4>
      </vt:variant>
      <vt:variant>
        <vt:i4>236</vt:i4>
      </vt:variant>
      <vt:variant>
        <vt:i4>0</vt:i4>
      </vt:variant>
      <vt:variant>
        <vt:i4>5</vt:i4>
      </vt:variant>
      <vt:variant>
        <vt:lpwstr/>
      </vt:variant>
      <vt:variant>
        <vt:lpwstr>_Toc408819287</vt:lpwstr>
      </vt:variant>
      <vt:variant>
        <vt:i4>1966143</vt:i4>
      </vt:variant>
      <vt:variant>
        <vt:i4>230</vt:i4>
      </vt:variant>
      <vt:variant>
        <vt:i4>0</vt:i4>
      </vt:variant>
      <vt:variant>
        <vt:i4>5</vt:i4>
      </vt:variant>
      <vt:variant>
        <vt:lpwstr/>
      </vt:variant>
      <vt:variant>
        <vt:lpwstr>_Toc408819286</vt:lpwstr>
      </vt:variant>
      <vt:variant>
        <vt:i4>1966143</vt:i4>
      </vt:variant>
      <vt:variant>
        <vt:i4>224</vt:i4>
      </vt:variant>
      <vt:variant>
        <vt:i4>0</vt:i4>
      </vt:variant>
      <vt:variant>
        <vt:i4>5</vt:i4>
      </vt:variant>
      <vt:variant>
        <vt:lpwstr/>
      </vt:variant>
      <vt:variant>
        <vt:lpwstr>_Toc408819285</vt:lpwstr>
      </vt:variant>
      <vt:variant>
        <vt:i4>1966143</vt:i4>
      </vt:variant>
      <vt:variant>
        <vt:i4>218</vt:i4>
      </vt:variant>
      <vt:variant>
        <vt:i4>0</vt:i4>
      </vt:variant>
      <vt:variant>
        <vt:i4>5</vt:i4>
      </vt:variant>
      <vt:variant>
        <vt:lpwstr/>
      </vt:variant>
      <vt:variant>
        <vt:lpwstr>_Toc408819284</vt:lpwstr>
      </vt:variant>
      <vt:variant>
        <vt:i4>1966143</vt:i4>
      </vt:variant>
      <vt:variant>
        <vt:i4>212</vt:i4>
      </vt:variant>
      <vt:variant>
        <vt:i4>0</vt:i4>
      </vt:variant>
      <vt:variant>
        <vt:i4>5</vt:i4>
      </vt:variant>
      <vt:variant>
        <vt:lpwstr/>
      </vt:variant>
      <vt:variant>
        <vt:lpwstr>_Toc408819283</vt:lpwstr>
      </vt:variant>
      <vt:variant>
        <vt:i4>1966143</vt:i4>
      </vt:variant>
      <vt:variant>
        <vt:i4>206</vt:i4>
      </vt:variant>
      <vt:variant>
        <vt:i4>0</vt:i4>
      </vt:variant>
      <vt:variant>
        <vt:i4>5</vt:i4>
      </vt:variant>
      <vt:variant>
        <vt:lpwstr/>
      </vt:variant>
      <vt:variant>
        <vt:lpwstr>_Toc408819282</vt:lpwstr>
      </vt:variant>
      <vt:variant>
        <vt:i4>1966143</vt:i4>
      </vt:variant>
      <vt:variant>
        <vt:i4>200</vt:i4>
      </vt:variant>
      <vt:variant>
        <vt:i4>0</vt:i4>
      </vt:variant>
      <vt:variant>
        <vt:i4>5</vt:i4>
      </vt:variant>
      <vt:variant>
        <vt:lpwstr/>
      </vt:variant>
      <vt:variant>
        <vt:lpwstr>_Toc408819281</vt:lpwstr>
      </vt:variant>
      <vt:variant>
        <vt:i4>1966143</vt:i4>
      </vt:variant>
      <vt:variant>
        <vt:i4>194</vt:i4>
      </vt:variant>
      <vt:variant>
        <vt:i4>0</vt:i4>
      </vt:variant>
      <vt:variant>
        <vt:i4>5</vt:i4>
      </vt:variant>
      <vt:variant>
        <vt:lpwstr/>
      </vt:variant>
      <vt:variant>
        <vt:lpwstr>_Toc408819280</vt:lpwstr>
      </vt:variant>
      <vt:variant>
        <vt:i4>1114175</vt:i4>
      </vt:variant>
      <vt:variant>
        <vt:i4>188</vt:i4>
      </vt:variant>
      <vt:variant>
        <vt:i4>0</vt:i4>
      </vt:variant>
      <vt:variant>
        <vt:i4>5</vt:i4>
      </vt:variant>
      <vt:variant>
        <vt:lpwstr/>
      </vt:variant>
      <vt:variant>
        <vt:lpwstr>_Toc408819279</vt:lpwstr>
      </vt:variant>
      <vt:variant>
        <vt:i4>1114175</vt:i4>
      </vt:variant>
      <vt:variant>
        <vt:i4>182</vt:i4>
      </vt:variant>
      <vt:variant>
        <vt:i4>0</vt:i4>
      </vt:variant>
      <vt:variant>
        <vt:i4>5</vt:i4>
      </vt:variant>
      <vt:variant>
        <vt:lpwstr/>
      </vt:variant>
      <vt:variant>
        <vt:lpwstr>_Toc408819278</vt:lpwstr>
      </vt:variant>
      <vt:variant>
        <vt:i4>1114175</vt:i4>
      </vt:variant>
      <vt:variant>
        <vt:i4>176</vt:i4>
      </vt:variant>
      <vt:variant>
        <vt:i4>0</vt:i4>
      </vt:variant>
      <vt:variant>
        <vt:i4>5</vt:i4>
      </vt:variant>
      <vt:variant>
        <vt:lpwstr/>
      </vt:variant>
      <vt:variant>
        <vt:lpwstr>_Toc408819277</vt:lpwstr>
      </vt:variant>
      <vt:variant>
        <vt:i4>1114175</vt:i4>
      </vt:variant>
      <vt:variant>
        <vt:i4>170</vt:i4>
      </vt:variant>
      <vt:variant>
        <vt:i4>0</vt:i4>
      </vt:variant>
      <vt:variant>
        <vt:i4>5</vt:i4>
      </vt:variant>
      <vt:variant>
        <vt:lpwstr/>
      </vt:variant>
      <vt:variant>
        <vt:lpwstr>_Toc408819276</vt:lpwstr>
      </vt:variant>
      <vt:variant>
        <vt:i4>1114175</vt:i4>
      </vt:variant>
      <vt:variant>
        <vt:i4>164</vt:i4>
      </vt:variant>
      <vt:variant>
        <vt:i4>0</vt:i4>
      </vt:variant>
      <vt:variant>
        <vt:i4>5</vt:i4>
      </vt:variant>
      <vt:variant>
        <vt:lpwstr/>
      </vt:variant>
      <vt:variant>
        <vt:lpwstr>_Toc408819275</vt:lpwstr>
      </vt:variant>
      <vt:variant>
        <vt:i4>1114175</vt:i4>
      </vt:variant>
      <vt:variant>
        <vt:i4>158</vt:i4>
      </vt:variant>
      <vt:variant>
        <vt:i4>0</vt:i4>
      </vt:variant>
      <vt:variant>
        <vt:i4>5</vt:i4>
      </vt:variant>
      <vt:variant>
        <vt:lpwstr/>
      </vt:variant>
      <vt:variant>
        <vt:lpwstr>_Toc408819274</vt:lpwstr>
      </vt:variant>
      <vt:variant>
        <vt:i4>1114175</vt:i4>
      </vt:variant>
      <vt:variant>
        <vt:i4>152</vt:i4>
      </vt:variant>
      <vt:variant>
        <vt:i4>0</vt:i4>
      </vt:variant>
      <vt:variant>
        <vt:i4>5</vt:i4>
      </vt:variant>
      <vt:variant>
        <vt:lpwstr/>
      </vt:variant>
      <vt:variant>
        <vt:lpwstr>_Toc408819273</vt:lpwstr>
      </vt:variant>
      <vt:variant>
        <vt:i4>1114175</vt:i4>
      </vt:variant>
      <vt:variant>
        <vt:i4>146</vt:i4>
      </vt:variant>
      <vt:variant>
        <vt:i4>0</vt:i4>
      </vt:variant>
      <vt:variant>
        <vt:i4>5</vt:i4>
      </vt:variant>
      <vt:variant>
        <vt:lpwstr/>
      </vt:variant>
      <vt:variant>
        <vt:lpwstr>_Toc408819272</vt:lpwstr>
      </vt:variant>
      <vt:variant>
        <vt:i4>1114175</vt:i4>
      </vt:variant>
      <vt:variant>
        <vt:i4>140</vt:i4>
      </vt:variant>
      <vt:variant>
        <vt:i4>0</vt:i4>
      </vt:variant>
      <vt:variant>
        <vt:i4>5</vt:i4>
      </vt:variant>
      <vt:variant>
        <vt:lpwstr/>
      </vt:variant>
      <vt:variant>
        <vt:lpwstr>_Toc408819271</vt:lpwstr>
      </vt:variant>
      <vt:variant>
        <vt:i4>1114175</vt:i4>
      </vt:variant>
      <vt:variant>
        <vt:i4>134</vt:i4>
      </vt:variant>
      <vt:variant>
        <vt:i4>0</vt:i4>
      </vt:variant>
      <vt:variant>
        <vt:i4>5</vt:i4>
      </vt:variant>
      <vt:variant>
        <vt:lpwstr/>
      </vt:variant>
      <vt:variant>
        <vt:lpwstr>_Toc408819270</vt:lpwstr>
      </vt:variant>
      <vt:variant>
        <vt:i4>1048639</vt:i4>
      </vt:variant>
      <vt:variant>
        <vt:i4>128</vt:i4>
      </vt:variant>
      <vt:variant>
        <vt:i4>0</vt:i4>
      </vt:variant>
      <vt:variant>
        <vt:i4>5</vt:i4>
      </vt:variant>
      <vt:variant>
        <vt:lpwstr/>
      </vt:variant>
      <vt:variant>
        <vt:lpwstr>_Toc408819269</vt:lpwstr>
      </vt:variant>
      <vt:variant>
        <vt:i4>1048639</vt:i4>
      </vt:variant>
      <vt:variant>
        <vt:i4>122</vt:i4>
      </vt:variant>
      <vt:variant>
        <vt:i4>0</vt:i4>
      </vt:variant>
      <vt:variant>
        <vt:i4>5</vt:i4>
      </vt:variant>
      <vt:variant>
        <vt:lpwstr/>
      </vt:variant>
      <vt:variant>
        <vt:lpwstr>_Toc408819268</vt:lpwstr>
      </vt:variant>
      <vt:variant>
        <vt:i4>1048639</vt:i4>
      </vt:variant>
      <vt:variant>
        <vt:i4>116</vt:i4>
      </vt:variant>
      <vt:variant>
        <vt:i4>0</vt:i4>
      </vt:variant>
      <vt:variant>
        <vt:i4>5</vt:i4>
      </vt:variant>
      <vt:variant>
        <vt:lpwstr/>
      </vt:variant>
      <vt:variant>
        <vt:lpwstr>_Toc408819267</vt:lpwstr>
      </vt:variant>
      <vt:variant>
        <vt:i4>1048639</vt:i4>
      </vt:variant>
      <vt:variant>
        <vt:i4>110</vt:i4>
      </vt:variant>
      <vt:variant>
        <vt:i4>0</vt:i4>
      </vt:variant>
      <vt:variant>
        <vt:i4>5</vt:i4>
      </vt:variant>
      <vt:variant>
        <vt:lpwstr/>
      </vt:variant>
      <vt:variant>
        <vt:lpwstr>_Toc408819266</vt:lpwstr>
      </vt:variant>
      <vt:variant>
        <vt:i4>1048639</vt:i4>
      </vt:variant>
      <vt:variant>
        <vt:i4>104</vt:i4>
      </vt:variant>
      <vt:variant>
        <vt:i4>0</vt:i4>
      </vt:variant>
      <vt:variant>
        <vt:i4>5</vt:i4>
      </vt:variant>
      <vt:variant>
        <vt:lpwstr/>
      </vt:variant>
      <vt:variant>
        <vt:lpwstr>_Toc408819265</vt:lpwstr>
      </vt:variant>
      <vt:variant>
        <vt:i4>1048639</vt:i4>
      </vt:variant>
      <vt:variant>
        <vt:i4>98</vt:i4>
      </vt:variant>
      <vt:variant>
        <vt:i4>0</vt:i4>
      </vt:variant>
      <vt:variant>
        <vt:i4>5</vt:i4>
      </vt:variant>
      <vt:variant>
        <vt:lpwstr/>
      </vt:variant>
      <vt:variant>
        <vt:lpwstr>_Toc408819264</vt:lpwstr>
      </vt:variant>
      <vt:variant>
        <vt:i4>1048639</vt:i4>
      </vt:variant>
      <vt:variant>
        <vt:i4>92</vt:i4>
      </vt:variant>
      <vt:variant>
        <vt:i4>0</vt:i4>
      </vt:variant>
      <vt:variant>
        <vt:i4>5</vt:i4>
      </vt:variant>
      <vt:variant>
        <vt:lpwstr/>
      </vt:variant>
      <vt:variant>
        <vt:lpwstr>_Toc408819263</vt:lpwstr>
      </vt:variant>
      <vt:variant>
        <vt:i4>1048639</vt:i4>
      </vt:variant>
      <vt:variant>
        <vt:i4>86</vt:i4>
      </vt:variant>
      <vt:variant>
        <vt:i4>0</vt:i4>
      </vt:variant>
      <vt:variant>
        <vt:i4>5</vt:i4>
      </vt:variant>
      <vt:variant>
        <vt:lpwstr/>
      </vt:variant>
      <vt:variant>
        <vt:lpwstr>_Toc408819262</vt:lpwstr>
      </vt:variant>
      <vt:variant>
        <vt:i4>1048639</vt:i4>
      </vt:variant>
      <vt:variant>
        <vt:i4>80</vt:i4>
      </vt:variant>
      <vt:variant>
        <vt:i4>0</vt:i4>
      </vt:variant>
      <vt:variant>
        <vt:i4>5</vt:i4>
      </vt:variant>
      <vt:variant>
        <vt:lpwstr/>
      </vt:variant>
      <vt:variant>
        <vt:lpwstr>_Toc408819261</vt:lpwstr>
      </vt:variant>
      <vt:variant>
        <vt:i4>1048639</vt:i4>
      </vt:variant>
      <vt:variant>
        <vt:i4>74</vt:i4>
      </vt:variant>
      <vt:variant>
        <vt:i4>0</vt:i4>
      </vt:variant>
      <vt:variant>
        <vt:i4>5</vt:i4>
      </vt:variant>
      <vt:variant>
        <vt:lpwstr/>
      </vt:variant>
      <vt:variant>
        <vt:lpwstr>_Toc408819260</vt:lpwstr>
      </vt:variant>
      <vt:variant>
        <vt:i4>1245247</vt:i4>
      </vt:variant>
      <vt:variant>
        <vt:i4>68</vt:i4>
      </vt:variant>
      <vt:variant>
        <vt:i4>0</vt:i4>
      </vt:variant>
      <vt:variant>
        <vt:i4>5</vt:i4>
      </vt:variant>
      <vt:variant>
        <vt:lpwstr/>
      </vt:variant>
      <vt:variant>
        <vt:lpwstr>_Toc408819259</vt:lpwstr>
      </vt:variant>
      <vt:variant>
        <vt:i4>1245247</vt:i4>
      </vt:variant>
      <vt:variant>
        <vt:i4>62</vt:i4>
      </vt:variant>
      <vt:variant>
        <vt:i4>0</vt:i4>
      </vt:variant>
      <vt:variant>
        <vt:i4>5</vt:i4>
      </vt:variant>
      <vt:variant>
        <vt:lpwstr/>
      </vt:variant>
      <vt:variant>
        <vt:lpwstr>_Toc408819258</vt:lpwstr>
      </vt:variant>
      <vt:variant>
        <vt:i4>1245247</vt:i4>
      </vt:variant>
      <vt:variant>
        <vt:i4>56</vt:i4>
      </vt:variant>
      <vt:variant>
        <vt:i4>0</vt:i4>
      </vt:variant>
      <vt:variant>
        <vt:i4>5</vt:i4>
      </vt:variant>
      <vt:variant>
        <vt:lpwstr/>
      </vt:variant>
      <vt:variant>
        <vt:lpwstr>_Toc408819257</vt:lpwstr>
      </vt:variant>
      <vt:variant>
        <vt:i4>1245247</vt:i4>
      </vt:variant>
      <vt:variant>
        <vt:i4>50</vt:i4>
      </vt:variant>
      <vt:variant>
        <vt:i4>0</vt:i4>
      </vt:variant>
      <vt:variant>
        <vt:i4>5</vt:i4>
      </vt:variant>
      <vt:variant>
        <vt:lpwstr/>
      </vt:variant>
      <vt:variant>
        <vt:lpwstr>_Toc408819256</vt:lpwstr>
      </vt:variant>
      <vt:variant>
        <vt:i4>1245247</vt:i4>
      </vt:variant>
      <vt:variant>
        <vt:i4>44</vt:i4>
      </vt:variant>
      <vt:variant>
        <vt:i4>0</vt:i4>
      </vt:variant>
      <vt:variant>
        <vt:i4>5</vt:i4>
      </vt:variant>
      <vt:variant>
        <vt:lpwstr/>
      </vt:variant>
      <vt:variant>
        <vt:lpwstr>_Toc408819255</vt:lpwstr>
      </vt:variant>
      <vt:variant>
        <vt:i4>1245247</vt:i4>
      </vt:variant>
      <vt:variant>
        <vt:i4>38</vt:i4>
      </vt:variant>
      <vt:variant>
        <vt:i4>0</vt:i4>
      </vt:variant>
      <vt:variant>
        <vt:i4>5</vt:i4>
      </vt:variant>
      <vt:variant>
        <vt:lpwstr/>
      </vt:variant>
      <vt:variant>
        <vt:lpwstr>_Toc408819254</vt:lpwstr>
      </vt:variant>
      <vt:variant>
        <vt:i4>1245247</vt:i4>
      </vt:variant>
      <vt:variant>
        <vt:i4>32</vt:i4>
      </vt:variant>
      <vt:variant>
        <vt:i4>0</vt:i4>
      </vt:variant>
      <vt:variant>
        <vt:i4>5</vt:i4>
      </vt:variant>
      <vt:variant>
        <vt:lpwstr/>
      </vt:variant>
      <vt:variant>
        <vt:lpwstr>_Toc408819253</vt:lpwstr>
      </vt:variant>
      <vt:variant>
        <vt:i4>1245247</vt:i4>
      </vt:variant>
      <vt:variant>
        <vt:i4>26</vt:i4>
      </vt:variant>
      <vt:variant>
        <vt:i4>0</vt:i4>
      </vt:variant>
      <vt:variant>
        <vt:i4>5</vt:i4>
      </vt:variant>
      <vt:variant>
        <vt:lpwstr/>
      </vt:variant>
      <vt:variant>
        <vt:lpwstr>_Toc408819252</vt:lpwstr>
      </vt:variant>
      <vt:variant>
        <vt:i4>1245247</vt:i4>
      </vt:variant>
      <vt:variant>
        <vt:i4>20</vt:i4>
      </vt:variant>
      <vt:variant>
        <vt:i4>0</vt:i4>
      </vt:variant>
      <vt:variant>
        <vt:i4>5</vt:i4>
      </vt:variant>
      <vt:variant>
        <vt:lpwstr/>
      </vt:variant>
      <vt:variant>
        <vt:lpwstr>_Toc408819251</vt:lpwstr>
      </vt:variant>
      <vt:variant>
        <vt:i4>1245247</vt:i4>
      </vt:variant>
      <vt:variant>
        <vt:i4>14</vt:i4>
      </vt:variant>
      <vt:variant>
        <vt:i4>0</vt:i4>
      </vt:variant>
      <vt:variant>
        <vt:i4>5</vt:i4>
      </vt:variant>
      <vt:variant>
        <vt:lpwstr/>
      </vt:variant>
      <vt:variant>
        <vt:lpwstr>_Toc408819250</vt:lpwstr>
      </vt:variant>
      <vt:variant>
        <vt:i4>1179711</vt:i4>
      </vt:variant>
      <vt:variant>
        <vt:i4>8</vt:i4>
      </vt:variant>
      <vt:variant>
        <vt:i4>0</vt:i4>
      </vt:variant>
      <vt:variant>
        <vt:i4>5</vt:i4>
      </vt:variant>
      <vt:variant>
        <vt:lpwstr/>
      </vt:variant>
      <vt:variant>
        <vt:lpwstr>_Toc408819249</vt:lpwstr>
      </vt:variant>
      <vt:variant>
        <vt:i4>1179711</vt:i4>
      </vt:variant>
      <vt:variant>
        <vt:i4>2</vt:i4>
      </vt:variant>
      <vt:variant>
        <vt:i4>0</vt:i4>
      </vt:variant>
      <vt:variant>
        <vt:i4>5</vt:i4>
      </vt:variant>
      <vt:variant>
        <vt:lpwstr/>
      </vt:variant>
      <vt:variant>
        <vt:lpwstr>_Toc408819248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徐晶</dc:creator>
  <cp:lastModifiedBy>陈红</cp:lastModifiedBy>
  <cp:revision>9</cp:revision>
  <cp:lastPrinted>2012-06-21T09:00:00Z</cp:lastPrinted>
  <dcterms:created xsi:type="dcterms:W3CDTF">2021-10-18T07:22:00Z</dcterms:created>
  <dcterms:modified xsi:type="dcterms:W3CDTF">2021-10-28T06:38:00Z</dcterms:modified>
</cp:coreProperties>
</file>