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1C" w:rsidRPr="00C664D3" w:rsidRDefault="00A1091C" w:rsidP="00AB77C1">
      <w:pPr>
        <w:tabs>
          <w:tab w:val="left" w:pos="7588"/>
        </w:tabs>
        <w:spacing w:line="360" w:lineRule="auto"/>
        <w:jc w:val="left"/>
        <w:rPr>
          <w:rFonts w:asciiTheme="minorEastAsia" w:eastAsiaTheme="minorEastAsia" w:hAnsiTheme="minorEastAsia"/>
          <w:b/>
          <w:color w:val="000000" w:themeColor="text1"/>
          <w:sz w:val="44"/>
        </w:rPr>
      </w:pPr>
    </w:p>
    <w:p w:rsidR="00A1091C" w:rsidRPr="00C664D3" w:rsidRDefault="00A1091C" w:rsidP="00AB77C1">
      <w:pPr>
        <w:spacing w:line="360" w:lineRule="auto"/>
        <w:ind w:firstLine="881"/>
        <w:jc w:val="center"/>
        <w:rPr>
          <w:rFonts w:asciiTheme="minorEastAsia" w:eastAsiaTheme="minorEastAsia" w:hAnsiTheme="minorEastAsia"/>
          <w:b/>
          <w:color w:val="000000" w:themeColor="text1"/>
          <w:sz w:val="44"/>
        </w:rPr>
      </w:pPr>
    </w:p>
    <w:p w:rsidR="00A1091C" w:rsidRPr="00C664D3" w:rsidRDefault="00A1091C" w:rsidP="00AB77C1">
      <w:pPr>
        <w:spacing w:line="360" w:lineRule="auto"/>
        <w:ind w:firstLine="881"/>
        <w:jc w:val="center"/>
        <w:rPr>
          <w:rFonts w:asciiTheme="minorEastAsia" w:eastAsiaTheme="minorEastAsia" w:hAnsiTheme="minorEastAsia"/>
          <w:b/>
          <w:color w:val="000000" w:themeColor="text1"/>
          <w:sz w:val="44"/>
        </w:rPr>
      </w:pPr>
    </w:p>
    <w:p w:rsidR="00A1091C" w:rsidRPr="00C664D3" w:rsidRDefault="00A1091C" w:rsidP="00AB77C1">
      <w:pPr>
        <w:spacing w:line="360" w:lineRule="auto"/>
        <w:ind w:firstLine="881"/>
        <w:jc w:val="center"/>
        <w:rPr>
          <w:rFonts w:asciiTheme="minorEastAsia" w:eastAsiaTheme="minorEastAsia" w:hAnsiTheme="minorEastAsia"/>
          <w:b/>
          <w:color w:val="000000" w:themeColor="text1"/>
          <w:sz w:val="44"/>
        </w:rPr>
      </w:pPr>
    </w:p>
    <w:p w:rsidR="00A1091C" w:rsidRPr="00C664D3" w:rsidRDefault="00D12A88" w:rsidP="00AB77C1">
      <w:pPr>
        <w:spacing w:line="360" w:lineRule="auto"/>
        <w:jc w:val="center"/>
        <w:rPr>
          <w:rFonts w:asciiTheme="minorEastAsia" w:eastAsiaTheme="minorEastAsia" w:hAnsiTheme="minorEastAsia"/>
          <w:b/>
          <w:color w:val="000000" w:themeColor="text1"/>
          <w:sz w:val="40"/>
          <w:szCs w:val="44"/>
        </w:rPr>
      </w:pPr>
      <w:r w:rsidRPr="00C664D3">
        <w:rPr>
          <w:rFonts w:asciiTheme="minorEastAsia" w:eastAsiaTheme="minorEastAsia" w:hAnsiTheme="minorEastAsia" w:hint="eastAsia"/>
          <w:b/>
          <w:color w:val="000000" w:themeColor="text1"/>
          <w:sz w:val="40"/>
          <w:szCs w:val="44"/>
        </w:rPr>
        <w:t>易方达</w:t>
      </w:r>
      <w:r w:rsidR="007B11AE" w:rsidRPr="00C664D3">
        <w:rPr>
          <w:rFonts w:asciiTheme="minorEastAsia" w:eastAsiaTheme="minorEastAsia" w:hAnsiTheme="minorEastAsia" w:hint="eastAsia"/>
          <w:b/>
          <w:color w:val="000000" w:themeColor="text1"/>
          <w:sz w:val="40"/>
          <w:szCs w:val="44"/>
        </w:rPr>
        <w:t>标普信息科技指数</w:t>
      </w:r>
      <w:r w:rsidRPr="00C664D3">
        <w:rPr>
          <w:rFonts w:asciiTheme="minorEastAsia" w:eastAsiaTheme="minorEastAsia" w:hAnsiTheme="minorEastAsia" w:hint="eastAsia"/>
          <w:b/>
          <w:color w:val="000000" w:themeColor="text1"/>
          <w:sz w:val="40"/>
          <w:szCs w:val="44"/>
        </w:rPr>
        <w:t>证券投资基金（LOF）</w:t>
      </w:r>
    </w:p>
    <w:p w:rsidR="00A1091C" w:rsidRPr="00C664D3" w:rsidRDefault="00D45AC8" w:rsidP="00AB77C1">
      <w:pPr>
        <w:spacing w:line="360" w:lineRule="auto"/>
        <w:jc w:val="center"/>
        <w:rPr>
          <w:rFonts w:asciiTheme="minorEastAsia" w:eastAsiaTheme="minorEastAsia" w:hAnsiTheme="minorEastAsia"/>
          <w:b/>
          <w:color w:val="000000" w:themeColor="text1"/>
          <w:sz w:val="44"/>
          <w:szCs w:val="44"/>
        </w:rPr>
      </w:pPr>
      <w:r w:rsidRPr="00C664D3">
        <w:rPr>
          <w:rFonts w:asciiTheme="minorEastAsia" w:eastAsiaTheme="minorEastAsia" w:hAnsiTheme="minorEastAsia" w:hint="eastAsia"/>
          <w:b/>
          <w:color w:val="000000" w:themeColor="text1"/>
          <w:sz w:val="40"/>
          <w:szCs w:val="44"/>
        </w:rPr>
        <w:t>更新</w:t>
      </w:r>
      <w:r w:rsidRPr="00C664D3">
        <w:rPr>
          <w:rFonts w:asciiTheme="minorEastAsia" w:eastAsiaTheme="minorEastAsia" w:hAnsiTheme="minorEastAsia"/>
          <w:b/>
          <w:color w:val="000000" w:themeColor="text1"/>
          <w:sz w:val="40"/>
          <w:szCs w:val="44"/>
        </w:rPr>
        <w:t>的</w:t>
      </w:r>
      <w:r w:rsidR="00A1091C" w:rsidRPr="00C664D3">
        <w:rPr>
          <w:rFonts w:asciiTheme="minorEastAsia" w:eastAsiaTheme="minorEastAsia" w:hAnsiTheme="minorEastAsia"/>
          <w:b/>
          <w:color w:val="000000" w:themeColor="text1"/>
          <w:sz w:val="40"/>
          <w:szCs w:val="44"/>
        </w:rPr>
        <w:t>招募说明书</w:t>
      </w:r>
    </w:p>
    <w:p w:rsidR="00A1091C" w:rsidRPr="00C664D3" w:rsidRDefault="00A1091C" w:rsidP="00AB77C1">
      <w:pPr>
        <w:spacing w:line="360" w:lineRule="auto"/>
        <w:jc w:val="center"/>
        <w:rPr>
          <w:rFonts w:asciiTheme="minorEastAsia" w:eastAsiaTheme="minorEastAsia" w:hAnsiTheme="minorEastAsia"/>
          <w:b/>
          <w:color w:val="000000" w:themeColor="text1"/>
          <w:sz w:val="44"/>
          <w:szCs w:val="44"/>
        </w:rPr>
      </w:pPr>
    </w:p>
    <w:p w:rsidR="00A1091C" w:rsidRPr="00C664D3" w:rsidRDefault="00A1091C" w:rsidP="00AB77C1">
      <w:pPr>
        <w:spacing w:line="360" w:lineRule="auto"/>
        <w:jc w:val="center"/>
        <w:rPr>
          <w:rFonts w:asciiTheme="minorEastAsia" w:eastAsiaTheme="minorEastAsia" w:hAnsiTheme="minorEastAsia"/>
          <w:color w:val="000000" w:themeColor="text1"/>
          <w:sz w:val="44"/>
          <w:szCs w:val="44"/>
        </w:rPr>
      </w:pPr>
    </w:p>
    <w:p w:rsidR="00A1091C" w:rsidRPr="00C664D3" w:rsidRDefault="00A1091C" w:rsidP="00AB77C1">
      <w:pPr>
        <w:spacing w:line="360" w:lineRule="auto"/>
        <w:jc w:val="center"/>
        <w:rPr>
          <w:rFonts w:asciiTheme="minorEastAsia" w:eastAsiaTheme="minorEastAsia" w:hAnsiTheme="minorEastAsia"/>
          <w:color w:val="000000" w:themeColor="text1"/>
          <w:sz w:val="44"/>
          <w:szCs w:val="44"/>
        </w:rPr>
      </w:pPr>
    </w:p>
    <w:p w:rsidR="00A1091C" w:rsidRPr="00C664D3" w:rsidRDefault="00A1091C" w:rsidP="00AB77C1">
      <w:pPr>
        <w:spacing w:line="360" w:lineRule="auto"/>
        <w:jc w:val="center"/>
        <w:rPr>
          <w:rFonts w:asciiTheme="minorEastAsia" w:eastAsiaTheme="minorEastAsia" w:hAnsiTheme="minorEastAsia"/>
          <w:color w:val="000000" w:themeColor="text1"/>
          <w:sz w:val="44"/>
          <w:szCs w:val="44"/>
        </w:rPr>
      </w:pPr>
    </w:p>
    <w:p w:rsidR="00A1091C" w:rsidRPr="00C664D3" w:rsidRDefault="00A1091C" w:rsidP="00AB77C1">
      <w:pPr>
        <w:spacing w:line="360" w:lineRule="auto"/>
        <w:jc w:val="center"/>
        <w:rPr>
          <w:rFonts w:asciiTheme="minorEastAsia" w:eastAsiaTheme="minorEastAsia" w:hAnsiTheme="minorEastAsia"/>
          <w:color w:val="000000" w:themeColor="text1"/>
          <w:sz w:val="44"/>
          <w:szCs w:val="44"/>
        </w:rPr>
      </w:pPr>
    </w:p>
    <w:p w:rsidR="00A1091C" w:rsidRPr="00C664D3" w:rsidRDefault="00A1091C" w:rsidP="00AB77C1">
      <w:pPr>
        <w:spacing w:line="360" w:lineRule="auto"/>
        <w:jc w:val="center"/>
        <w:rPr>
          <w:rFonts w:asciiTheme="minorEastAsia" w:eastAsiaTheme="minorEastAsia" w:hAnsiTheme="minorEastAsia"/>
          <w:color w:val="000000" w:themeColor="text1"/>
          <w:sz w:val="30"/>
          <w:szCs w:val="30"/>
        </w:rPr>
      </w:pPr>
      <w:r w:rsidRPr="00C664D3">
        <w:rPr>
          <w:rFonts w:asciiTheme="minorEastAsia" w:eastAsiaTheme="minorEastAsia" w:hAnsiTheme="minorEastAsia"/>
          <w:color w:val="000000" w:themeColor="text1"/>
          <w:sz w:val="30"/>
          <w:szCs w:val="30"/>
        </w:rPr>
        <w:t>基金管理人：易方达基金管理有限公司</w:t>
      </w:r>
    </w:p>
    <w:p w:rsidR="00A1091C" w:rsidRPr="00C664D3" w:rsidRDefault="008A3D86" w:rsidP="00AB77C1">
      <w:pPr>
        <w:spacing w:line="360" w:lineRule="auto"/>
        <w:jc w:val="center"/>
        <w:rPr>
          <w:rFonts w:asciiTheme="minorEastAsia" w:eastAsiaTheme="minorEastAsia" w:hAnsiTheme="minorEastAsia"/>
          <w:color w:val="000000" w:themeColor="text1"/>
          <w:sz w:val="30"/>
          <w:szCs w:val="30"/>
        </w:rPr>
      </w:pPr>
      <w:r w:rsidRPr="00C664D3">
        <w:rPr>
          <w:rFonts w:asciiTheme="minorEastAsia" w:eastAsiaTheme="minorEastAsia" w:hAnsiTheme="minorEastAsia"/>
          <w:color w:val="000000" w:themeColor="text1"/>
          <w:sz w:val="30"/>
          <w:szCs w:val="30"/>
        </w:rPr>
        <w:t>基金托管人：</w:t>
      </w:r>
      <w:r w:rsidR="006A68F9" w:rsidRPr="00C664D3">
        <w:rPr>
          <w:rFonts w:asciiTheme="minorEastAsia" w:eastAsiaTheme="minorEastAsia" w:hAnsiTheme="minorEastAsia" w:hint="eastAsia"/>
          <w:color w:val="000000" w:themeColor="text1"/>
          <w:sz w:val="30"/>
          <w:szCs w:val="30"/>
        </w:rPr>
        <w:t>中国建设</w:t>
      </w:r>
      <w:r w:rsidR="006A68F9" w:rsidRPr="00C664D3">
        <w:rPr>
          <w:rFonts w:asciiTheme="minorEastAsia" w:eastAsiaTheme="minorEastAsia" w:hAnsiTheme="minorEastAsia"/>
          <w:color w:val="000000" w:themeColor="text1"/>
          <w:sz w:val="30"/>
          <w:szCs w:val="30"/>
        </w:rPr>
        <w:t>银行股份有限公司</w:t>
      </w:r>
    </w:p>
    <w:p w:rsidR="00A1091C" w:rsidRPr="00C664D3" w:rsidRDefault="00A1091C" w:rsidP="00AB77C1">
      <w:pPr>
        <w:spacing w:line="360" w:lineRule="auto"/>
        <w:jc w:val="center"/>
        <w:rPr>
          <w:rFonts w:asciiTheme="minorEastAsia" w:eastAsiaTheme="minorEastAsia" w:hAnsiTheme="minorEastAsia"/>
          <w:color w:val="000000" w:themeColor="text1"/>
          <w:sz w:val="30"/>
          <w:szCs w:val="30"/>
        </w:rPr>
      </w:pPr>
    </w:p>
    <w:p w:rsidR="00144C72" w:rsidRPr="00C664D3" w:rsidRDefault="00144C72" w:rsidP="00BE4851">
      <w:pPr>
        <w:spacing w:line="360" w:lineRule="auto"/>
        <w:jc w:val="center"/>
        <w:rPr>
          <w:rFonts w:asciiTheme="minorEastAsia" w:eastAsiaTheme="minorEastAsia" w:hAnsiTheme="minorEastAsia"/>
          <w:color w:val="000000" w:themeColor="text1"/>
          <w:sz w:val="30"/>
          <w:szCs w:val="30"/>
        </w:rPr>
      </w:pPr>
      <w:r w:rsidRPr="00C664D3">
        <w:rPr>
          <w:rFonts w:asciiTheme="minorEastAsia" w:eastAsiaTheme="minorEastAsia" w:hAnsiTheme="minorEastAsia"/>
          <w:color w:val="000000" w:themeColor="text1"/>
          <w:sz w:val="30"/>
        </w:rPr>
        <w:t>二〇二一年</w:t>
      </w:r>
      <w:r w:rsidR="00AF6C0C" w:rsidRPr="00C664D3">
        <w:rPr>
          <w:rFonts w:asciiTheme="minorEastAsia" w:eastAsiaTheme="minorEastAsia" w:hAnsiTheme="minorEastAsia"/>
          <w:color w:val="000000" w:themeColor="text1"/>
          <w:sz w:val="30"/>
        </w:rPr>
        <w:t>十</w:t>
      </w:r>
      <w:r w:rsidRPr="00C664D3">
        <w:rPr>
          <w:rFonts w:asciiTheme="minorEastAsia" w:eastAsiaTheme="minorEastAsia" w:hAnsiTheme="minorEastAsia"/>
          <w:color w:val="000000" w:themeColor="text1"/>
          <w:sz w:val="30"/>
        </w:rPr>
        <w:t>月</w:t>
      </w:r>
    </w:p>
    <w:p w:rsidR="00537B1A" w:rsidRPr="00C664D3" w:rsidRDefault="00537B1A" w:rsidP="008D1E37">
      <w:pPr>
        <w:spacing w:line="360" w:lineRule="auto"/>
        <w:rPr>
          <w:rFonts w:asciiTheme="minorEastAsia" w:eastAsiaTheme="minorEastAsia" w:hAnsiTheme="minorEastAsia"/>
          <w:color w:val="000000" w:themeColor="text1"/>
          <w:sz w:val="30"/>
          <w:szCs w:val="30"/>
        </w:rPr>
        <w:sectPr w:rsidR="00537B1A" w:rsidRPr="00C664D3" w:rsidSect="00537B1A">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1134" w:footer="1247" w:gutter="0"/>
          <w:pgNumType w:fmt="upperRoman" w:start="1"/>
          <w:cols w:space="425"/>
          <w:titlePg/>
          <w:docGrid w:type="lines" w:linePitch="447"/>
        </w:sectPr>
      </w:pPr>
    </w:p>
    <w:p w:rsidR="00A1091C" w:rsidRPr="00C664D3" w:rsidRDefault="00A1091C" w:rsidP="00AB77C1">
      <w:pPr>
        <w:spacing w:line="360" w:lineRule="auto"/>
        <w:ind w:firstLine="561"/>
        <w:jc w:val="center"/>
        <w:rPr>
          <w:rFonts w:asciiTheme="minorEastAsia" w:eastAsiaTheme="minorEastAsia" w:hAnsiTheme="minorEastAsia"/>
          <w:b/>
          <w:color w:val="000000" w:themeColor="text1"/>
          <w:sz w:val="28"/>
          <w:szCs w:val="28"/>
        </w:rPr>
      </w:pPr>
      <w:r w:rsidRPr="00C664D3">
        <w:rPr>
          <w:rFonts w:asciiTheme="minorEastAsia" w:eastAsiaTheme="minorEastAsia" w:hAnsiTheme="minorEastAsia"/>
          <w:b/>
          <w:color w:val="000000" w:themeColor="text1"/>
          <w:sz w:val="28"/>
          <w:szCs w:val="28"/>
        </w:rPr>
        <w:lastRenderedPageBreak/>
        <w:t>重要提示</w:t>
      </w:r>
    </w:p>
    <w:p w:rsidR="00A1091C" w:rsidRPr="00C664D3" w:rsidRDefault="00A1091C" w:rsidP="00AD0E09">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本基金根据</w:t>
      </w:r>
      <w:r w:rsidR="00032708" w:rsidRPr="00C664D3">
        <w:rPr>
          <w:rFonts w:asciiTheme="minorEastAsia" w:eastAsiaTheme="minorEastAsia" w:hAnsiTheme="minorEastAsia" w:hint="eastAsia"/>
          <w:color w:val="000000" w:themeColor="text1"/>
          <w:szCs w:val="21"/>
        </w:rPr>
        <w:t>2</w:t>
      </w:r>
      <w:r w:rsidR="00032708" w:rsidRPr="00C664D3">
        <w:rPr>
          <w:rFonts w:asciiTheme="minorEastAsia" w:eastAsiaTheme="minorEastAsia" w:hAnsiTheme="minorEastAsia"/>
          <w:color w:val="000000" w:themeColor="text1"/>
          <w:szCs w:val="21"/>
        </w:rPr>
        <w:t>016</w:t>
      </w:r>
      <w:r w:rsidRPr="00C664D3">
        <w:rPr>
          <w:rFonts w:asciiTheme="minorEastAsia" w:eastAsiaTheme="minorEastAsia" w:hAnsiTheme="minorEastAsia"/>
          <w:color w:val="000000" w:themeColor="text1"/>
          <w:szCs w:val="21"/>
        </w:rPr>
        <w:t>年</w:t>
      </w:r>
      <w:r w:rsidR="00032708" w:rsidRPr="00C664D3">
        <w:rPr>
          <w:rFonts w:asciiTheme="minorEastAsia" w:eastAsiaTheme="minorEastAsia" w:hAnsiTheme="minorEastAsia"/>
          <w:color w:val="000000" w:themeColor="text1"/>
          <w:szCs w:val="21"/>
        </w:rPr>
        <w:t>9</w:t>
      </w:r>
      <w:r w:rsidRPr="00C664D3">
        <w:rPr>
          <w:rFonts w:asciiTheme="minorEastAsia" w:eastAsiaTheme="minorEastAsia" w:hAnsiTheme="minorEastAsia"/>
          <w:color w:val="000000" w:themeColor="text1"/>
          <w:szCs w:val="21"/>
        </w:rPr>
        <w:t>月</w:t>
      </w:r>
      <w:r w:rsidR="007B11AE" w:rsidRPr="00C664D3">
        <w:rPr>
          <w:rFonts w:asciiTheme="minorEastAsia" w:eastAsiaTheme="minorEastAsia" w:hAnsiTheme="minorEastAsia"/>
          <w:color w:val="000000" w:themeColor="text1"/>
          <w:szCs w:val="21"/>
        </w:rPr>
        <w:t>28</w:t>
      </w:r>
      <w:r w:rsidRPr="00C664D3">
        <w:rPr>
          <w:rFonts w:asciiTheme="minorEastAsia" w:eastAsiaTheme="minorEastAsia" w:hAnsiTheme="minorEastAsia"/>
          <w:color w:val="000000" w:themeColor="text1"/>
          <w:szCs w:val="21"/>
        </w:rPr>
        <w:t>日中国证券监督管理委员会《</w:t>
      </w:r>
      <w:r w:rsidR="00FC5AFA" w:rsidRPr="00C664D3">
        <w:rPr>
          <w:rFonts w:asciiTheme="minorEastAsia" w:eastAsiaTheme="minorEastAsia" w:hAnsiTheme="minorEastAsia" w:hint="eastAsia"/>
          <w:color w:val="000000" w:themeColor="text1"/>
          <w:szCs w:val="21"/>
        </w:rPr>
        <w:t>关于准予</w:t>
      </w:r>
      <w:r w:rsidR="00D12A88" w:rsidRPr="00C664D3">
        <w:rPr>
          <w:rFonts w:asciiTheme="minorEastAsia" w:eastAsiaTheme="minorEastAsia" w:hAnsiTheme="minorEastAsia"/>
          <w:color w:val="000000" w:themeColor="text1"/>
          <w:szCs w:val="21"/>
        </w:rPr>
        <w:t>易方达</w:t>
      </w:r>
      <w:r w:rsidR="007B11AE" w:rsidRPr="00C664D3">
        <w:rPr>
          <w:rFonts w:asciiTheme="minorEastAsia" w:eastAsiaTheme="minorEastAsia" w:hAnsiTheme="minorEastAsia" w:hint="eastAsia"/>
          <w:color w:val="000000" w:themeColor="text1"/>
          <w:szCs w:val="21"/>
        </w:rPr>
        <w:t>标普信息科技指数</w:t>
      </w:r>
      <w:r w:rsidR="00D12A88" w:rsidRPr="00C664D3">
        <w:rPr>
          <w:rFonts w:asciiTheme="minorEastAsia" w:eastAsiaTheme="minorEastAsia" w:hAnsiTheme="minorEastAsia"/>
          <w:color w:val="000000" w:themeColor="text1"/>
          <w:szCs w:val="21"/>
        </w:rPr>
        <w:t>证券投资基金（LOF）</w:t>
      </w:r>
      <w:r w:rsidR="00FC5AFA" w:rsidRPr="00C664D3">
        <w:rPr>
          <w:rFonts w:asciiTheme="minorEastAsia" w:eastAsiaTheme="minorEastAsia" w:hAnsiTheme="minorEastAsia" w:hint="eastAsia"/>
          <w:color w:val="000000" w:themeColor="text1"/>
          <w:szCs w:val="21"/>
        </w:rPr>
        <w:t>注册的批复</w:t>
      </w:r>
      <w:r w:rsidRPr="00C664D3">
        <w:rPr>
          <w:rFonts w:asciiTheme="minorEastAsia" w:eastAsiaTheme="minorEastAsia" w:hAnsiTheme="minorEastAsia"/>
          <w:color w:val="000000" w:themeColor="text1"/>
          <w:szCs w:val="21"/>
        </w:rPr>
        <w:t>》（证监许可</w:t>
      </w:r>
      <w:r w:rsidR="00032708" w:rsidRPr="00C664D3">
        <w:rPr>
          <w:rFonts w:asciiTheme="minorEastAsia" w:eastAsiaTheme="minorEastAsia" w:hAnsiTheme="minorEastAsia"/>
          <w:color w:val="000000" w:themeColor="text1"/>
          <w:szCs w:val="21"/>
        </w:rPr>
        <w:t>【</w:t>
      </w:r>
      <w:r w:rsidR="00032708" w:rsidRPr="00C664D3">
        <w:rPr>
          <w:rFonts w:asciiTheme="minorEastAsia" w:eastAsiaTheme="minorEastAsia" w:hAnsiTheme="minorEastAsia" w:hint="eastAsia"/>
          <w:color w:val="000000" w:themeColor="text1"/>
          <w:szCs w:val="21"/>
        </w:rPr>
        <w:t>2</w:t>
      </w:r>
      <w:r w:rsidR="00032708" w:rsidRPr="00C664D3">
        <w:rPr>
          <w:rFonts w:asciiTheme="minorEastAsia" w:eastAsiaTheme="minorEastAsia" w:hAnsiTheme="minorEastAsia"/>
          <w:color w:val="000000" w:themeColor="text1"/>
          <w:szCs w:val="21"/>
        </w:rPr>
        <w:t>016】</w:t>
      </w:r>
      <w:r w:rsidR="007B11AE" w:rsidRPr="00C664D3">
        <w:rPr>
          <w:rFonts w:asciiTheme="minorEastAsia" w:eastAsiaTheme="minorEastAsia" w:hAnsiTheme="minorEastAsia"/>
          <w:color w:val="000000" w:themeColor="text1"/>
          <w:szCs w:val="21"/>
        </w:rPr>
        <w:t>2236</w:t>
      </w:r>
      <w:r w:rsidRPr="00C664D3">
        <w:rPr>
          <w:rFonts w:asciiTheme="minorEastAsia" w:eastAsiaTheme="minorEastAsia" w:hAnsiTheme="minorEastAsia"/>
          <w:color w:val="000000" w:themeColor="text1"/>
          <w:szCs w:val="21"/>
        </w:rPr>
        <w:t>号）进行募集</w:t>
      </w:r>
      <w:r w:rsidR="00FE088F" w:rsidRPr="00C664D3">
        <w:rPr>
          <w:rFonts w:asciiTheme="minorEastAsia" w:eastAsiaTheme="minorEastAsia" w:hAnsiTheme="minorEastAsia" w:hint="eastAsia"/>
          <w:color w:val="000000" w:themeColor="text1"/>
          <w:szCs w:val="21"/>
        </w:rPr>
        <w:t>。</w:t>
      </w:r>
      <w:r w:rsidR="00FE088F" w:rsidRPr="00C664D3">
        <w:rPr>
          <w:rFonts w:asciiTheme="minorEastAsia" w:eastAsiaTheme="minorEastAsia" w:hAnsiTheme="minorEastAsia" w:hint="eastAsia"/>
          <w:color w:val="000000" w:themeColor="text1"/>
        </w:rPr>
        <w:t>本基金基金合同于201</w:t>
      </w:r>
      <w:r w:rsidR="00FE088F" w:rsidRPr="00C664D3">
        <w:rPr>
          <w:rFonts w:asciiTheme="minorEastAsia" w:eastAsiaTheme="minorEastAsia" w:hAnsiTheme="minorEastAsia"/>
          <w:color w:val="000000" w:themeColor="text1"/>
        </w:rPr>
        <w:t>6</w:t>
      </w:r>
      <w:r w:rsidR="00FE088F" w:rsidRPr="00C664D3">
        <w:rPr>
          <w:rFonts w:asciiTheme="minorEastAsia" w:eastAsiaTheme="minorEastAsia" w:hAnsiTheme="minorEastAsia" w:hint="eastAsia"/>
          <w:color w:val="000000" w:themeColor="text1"/>
        </w:rPr>
        <w:t>年12月</w:t>
      </w:r>
      <w:r w:rsidR="00FE088F" w:rsidRPr="00C664D3">
        <w:rPr>
          <w:rFonts w:asciiTheme="minorEastAsia" w:eastAsiaTheme="minorEastAsia" w:hAnsiTheme="minorEastAsia"/>
          <w:color w:val="000000" w:themeColor="text1"/>
        </w:rPr>
        <w:t>13</w:t>
      </w:r>
      <w:r w:rsidR="00FE088F" w:rsidRPr="00C664D3">
        <w:rPr>
          <w:rFonts w:asciiTheme="minorEastAsia" w:eastAsiaTheme="minorEastAsia" w:hAnsiTheme="minorEastAsia" w:hint="eastAsia"/>
          <w:color w:val="000000" w:themeColor="text1"/>
        </w:rPr>
        <w:t>日正式生效。</w:t>
      </w:r>
    </w:p>
    <w:p w:rsidR="00A1091C" w:rsidRPr="00C664D3" w:rsidRDefault="008A3D86" w:rsidP="00AD0E09">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基金管理人保证《招募说明书》的内容真实、准确、完整。本《招募说明书》经中国证监会注册，但中国证监会对本基金募集的注册，</w:t>
      </w:r>
      <w:r w:rsidR="007D0DA7" w:rsidRPr="00C664D3">
        <w:rPr>
          <w:rFonts w:asciiTheme="minorEastAsia" w:eastAsiaTheme="minorEastAsia" w:hAnsiTheme="minorEastAsia" w:hint="eastAsia"/>
          <w:color w:val="000000" w:themeColor="text1"/>
          <w:szCs w:val="21"/>
        </w:rPr>
        <w:t>并不表明其对本基金的投资价值、市场前景和收益作出实质性判断或保证</w:t>
      </w:r>
      <w:r w:rsidRPr="00C664D3">
        <w:rPr>
          <w:rFonts w:asciiTheme="minorEastAsia" w:eastAsiaTheme="minorEastAsia" w:hAnsiTheme="minorEastAsia" w:hint="eastAsia"/>
          <w:color w:val="000000" w:themeColor="text1"/>
          <w:szCs w:val="21"/>
        </w:rPr>
        <w:t>，也不表明投资于本基金没有风险。</w:t>
      </w:r>
    </w:p>
    <w:p w:rsidR="00A1091C" w:rsidRPr="00C664D3" w:rsidRDefault="00A1091C" w:rsidP="00AD0E09">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基金管理人依照恪尽职守、诚实信用、谨慎勤勉的原则管理和运用基金财产，但不保证基金一定盈利，也不保证最低收益。</w:t>
      </w:r>
    </w:p>
    <w:p w:rsidR="00783D63" w:rsidRPr="00C664D3" w:rsidRDefault="00783D63" w:rsidP="00783D63">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本基金标的指数为</w:t>
      </w:r>
      <w:r w:rsidR="006B402F" w:rsidRPr="00C664D3">
        <w:rPr>
          <w:rFonts w:asciiTheme="minorEastAsia" w:eastAsiaTheme="minorEastAsia" w:hAnsiTheme="minorEastAsia" w:hint="eastAsia"/>
          <w:color w:val="000000" w:themeColor="text1"/>
          <w:szCs w:val="21"/>
        </w:rPr>
        <w:t>标普500信息科技指数</w:t>
      </w:r>
      <w:r w:rsidRPr="00C664D3">
        <w:rPr>
          <w:rFonts w:asciiTheme="minorEastAsia" w:eastAsiaTheme="minorEastAsia" w:hAnsiTheme="minorEastAsia" w:hint="eastAsia"/>
          <w:color w:val="000000" w:themeColor="text1"/>
          <w:szCs w:val="21"/>
        </w:rPr>
        <w:t>。</w:t>
      </w:r>
    </w:p>
    <w:p w:rsidR="009B5126" w:rsidRPr="00C664D3" w:rsidRDefault="00D678B1" w:rsidP="009B5126">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编制方案：</w:t>
      </w:r>
    </w:p>
    <w:p w:rsidR="009B5126" w:rsidRPr="00C664D3" w:rsidRDefault="00D678B1" w:rsidP="009B5126">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指数成份与标普500指数相关GICS行业相同。倘标普500指数的GICS行业发生变动，相关成分股的变动将纳入标普500信息科技指数。</w:t>
      </w:r>
    </w:p>
    <w:p w:rsidR="009B5126" w:rsidRPr="00C664D3" w:rsidRDefault="00B86FE3" w:rsidP="009B5126">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加权</w:t>
      </w:r>
      <w:r w:rsidR="00354EC8" w:rsidRPr="00C664D3">
        <w:rPr>
          <w:rFonts w:asciiTheme="minorEastAsia" w:eastAsiaTheme="minorEastAsia" w:hAnsiTheme="minorEastAsia" w:hint="eastAsia"/>
          <w:color w:val="000000" w:themeColor="text1"/>
          <w:szCs w:val="21"/>
        </w:rPr>
        <w:t>采用</w:t>
      </w:r>
      <w:r w:rsidRPr="00C664D3">
        <w:rPr>
          <w:rFonts w:asciiTheme="minorEastAsia" w:eastAsiaTheme="minorEastAsia" w:hAnsiTheme="minorEastAsia" w:hint="eastAsia"/>
          <w:color w:val="000000" w:themeColor="text1"/>
          <w:szCs w:val="21"/>
        </w:rPr>
        <w:t>对市值设上限</w:t>
      </w:r>
      <w:r w:rsidR="00FD6B14" w:rsidRPr="00C664D3">
        <w:rPr>
          <w:rFonts w:asciiTheme="minorEastAsia" w:eastAsiaTheme="minorEastAsia" w:hAnsiTheme="minorEastAsia" w:hint="eastAsia"/>
          <w:color w:val="000000" w:themeColor="text1"/>
          <w:szCs w:val="21"/>
        </w:rPr>
        <w:t>方法</w:t>
      </w:r>
      <w:r w:rsidRPr="00C664D3">
        <w:rPr>
          <w:rFonts w:asciiTheme="minorEastAsia" w:eastAsiaTheme="minorEastAsia" w:hAnsiTheme="minorEastAsia" w:hint="eastAsia"/>
          <w:color w:val="000000" w:themeColor="text1"/>
          <w:szCs w:val="21"/>
        </w:rPr>
        <w:t>。有关指数计算方法的更多信息，请参阅标普道琼斯指数的指数计算方法中“具上限市值加权指数”一节。</w:t>
      </w:r>
    </w:p>
    <w:p w:rsidR="00783D63" w:rsidRPr="00C664D3" w:rsidRDefault="009B5126" w:rsidP="00783D63">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有关标的指数具体编制方案及成份股信息详见标普道琼斯指数网站，网址：</w:t>
      </w:r>
      <w:r w:rsidRPr="00C664D3">
        <w:rPr>
          <w:rFonts w:asciiTheme="minorEastAsia" w:eastAsiaTheme="minorEastAsia" w:hAnsiTheme="minorEastAsia"/>
          <w:color w:val="000000" w:themeColor="text1"/>
          <w:szCs w:val="21"/>
        </w:rPr>
        <w:t>www.spglobal.com</w:t>
      </w:r>
      <w:r w:rsidRPr="00C664D3">
        <w:rPr>
          <w:rFonts w:asciiTheme="minorEastAsia" w:eastAsiaTheme="minorEastAsia" w:hAnsiTheme="minorEastAsia" w:hint="eastAsia"/>
          <w:color w:val="000000" w:themeColor="text1"/>
          <w:szCs w:val="21"/>
        </w:rPr>
        <w:t>。</w:t>
      </w:r>
    </w:p>
    <w:p w:rsidR="00A1091C" w:rsidRPr="00C664D3" w:rsidRDefault="00AB5EED" w:rsidP="00AD0E09">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本基金投资于股票的比例不低于基金资产的80%；本基金投资标的指数成份股、备选成份股、</w:t>
      </w:r>
      <w:r w:rsidR="0087453F" w:rsidRPr="00C664D3">
        <w:rPr>
          <w:rFonts w:asciiTheme="minorEastAsia" w:eastAsiaTheme="minorEastAsia" w:hAnsiTheme="minorEastAsia" w:hint="eastAsia"/>
          <w:color w:val="000000" w:themeColor="text1"/>
          <w:szCs w:val="21"/>
        </w:rPr>
        <w:t>跟踪同一标的指数的公募基金</w:t>
      </w:r>
      <w:r w:rsidRPr="00C664D3">
        <w:rPr>
          <w:rFonts w:asciiTheme="minorEastAsia" w:eastAsiaTheme="minorEastAsia" w:hAnsiTheme="minorEastAsia" w:hint="eastAsia"/>
          <w:color w:val="000000" w:themeColor="text1"/>
          <w:szCs w:val="21"/>
        </w:rPr>
        <w:t>的资产不低于</w:t>
      </w:r>
      <w:r w:rsidRPr="00C664D3">
        <w:rPr>
          <w:rFonts w:asciiTheme="minorEastAsia" w:eastAsiaTheme="minorEastAsia" w:hAnsiTheme="minorEastAsia"/>
          <w:color w:val="000000" w:themeColor="text1"/>
          <w:szCs w:val="21"/>
        </w:rPr>
        <w:t>非现金基金资产的80%</w:t>
      </w:r>
      <w:r w:rsidR="00FC5AFA" w:rsidRPr="00C664D3">
        <w:rPr>
          <w:rFonts w:asciiTheme="minorEastAsia" w:eastAsiaTheme="minorEastAsia" w:hAnsiTheme="minorEastAsia" w:hint="eastAsia"/>
          <w:color w:val="000000" w:themeColor="text1"/>
          <w:szCs w:val="21"/>
        </w:rPr>
        <w:t>。</w:t>
      </w:r>
      <w:r w:rsidR="001A3262" w:rsidRPr="00C664D3">
        <w:rPr>
          <w:rFonts w:asciiTheme="minorEastAsia" w:eastAsiaTheme="minorEastAsia" w:hAnsiTheme="minorEastAsia" w:hint="eastAsia"/>
          <w:color w:val="000000" w:themeColor="text1"/>
          <w:szCs w:val="21"/>
        </w:rPr>
        <w:t>本</w:t>
      </w:r>
      <w:r w:rsidR="001A3262" w:rsidRPr="00C664D3">
        <w:rPr>
          <w:rFonts w:asciiTheme="minorEastAsia" w:eastAsiaTheme="minorEastAsia" w:hAnsiTheme="minorEastAsia"/>
          <w:color w:val="000000" w:themeColor="text1"/>
          <w:szCs w:val="21"/>
        </w:rPr>
        <w:t>基金</w:t>
      </w:r>
      <w:r w:rsidR="001A3262" w:rsidRPr="00C664D3">
        <w:rPr>
          <w:rFonts w:asciiTheme="minorEastAsia" w:eastAsiaTheme="minorEastAsia" w:hAnsiTheme="minorEastAsia" w:hint="eastAsia"/>
          <w:color w:val="000000" w:themeColor="text1"/>
          <w:szCs w:val="21"/>
        </w:rPr>
        <w:t>投资于证券期货市场，基金</w:t>
      </w:r>
      <w:r w:rsidR="001A3262" w:rsidRPr="00C664D3">
        <w:rPr>
          <w:rFonts w:asciiTheme="minorEastAsia" w:eastAsiaTheme="minorEastAsia" w:hAnsiTheme="minorEastAsia"/>
          <w:color w:val="000000" w:themeColor="text1"/>
          <w:szCs w:val="21"/>
        </w:rPr>
        <w:t>净值会因为证券</w:t>
      </w:r>
      <w:r w:rsidR="001A3262" w:rsidRPr="00C664D3">
        <w:rPr>
          <w:rFonts w:asciiTheme="minorEastAsia" w:eastAsiaTheme="minorEastAsia" w:hAnsiTheme="minorEastAsia" w:hint="eastAsia"/>
          <w:color w:val="000000" w:themeColor="text1"/>
          <w:szCs w:val="21"/>
        </w:rPr>
        <w:t>期货</w:t>
      </w:r>
      <w:r w:rsidR="001A3262" w:rsidRPr="00C664D3">
        <w:rPr>
          <w:rFonts w:asciiTheme="minorEastAsia" w:eastAsiaTheme="minorEastAsia" w:hAnsiTheme="minorEastAsia"/>
          <w:color w:val="000000" w:themeColor="text1"/>
          <w:szCs w:val="21"/>
        </w:rPr>
        <w:t>市场波动等因素产生波动，投资者在投资本基金前，</w:t>
      </w:r>
      <w:r w:rsidR="00094138" w:rsidRPr="00C664D3">
        <w:rPr>
          <w:rFonts w:asciiTheme="minorEastAsia" w:eastAsiaTheme="minorEastAsia" w:hAnsiTheme="minorEastAsia" w:hint="eastAsia"/>
          <w:color w:val="000000" w:themeColor="text1"/>
          <w:szCs w:val="21"/>
        </w:rPr>
        <w:t>请认真阅读本基金的招募说明书、基金合同和基金产品资料概要等信息披露文件</w:t>
      </w:r>
      <w:r w:rsidR="001A3262" w:rsidRPr="00C664D3">
        <w:rPr>
          <w:rFonts w:asciiTheme="minorEastAsia" w:eastAsiaTheme="minorEastAsia" w:hAnsiTheme="minorEastAsia"/>
          <w:color w:val="000000" w:themeColor="text1"/>
          <w:szCs w:val="21"/>
        </w:rPr>
        <w:t>，全面认识本基金产品的风险收益特征和产品特性，充分考虑自身的风险承受能力，理性判断市场，对认购（或申购）基金的意愿、时机、数量等投资行为作出独立决策，承担基金投资中</w:t>
      </w:r>
      <w:r w:rsidR="001A3262" w:rsidRPr="00C664D3">
        <w:rPr>
          <w:rFonts w:asciiTheme="minorEastAsia" w:eastAsiaTheme="minorEastAsia" w:hAnsiTheme="minorEastAsia" w:hint="eastAsia"/>
          <w:color w:val="000000" w:themeColor="text1"/>
          <w:szCs w:val="21"/>
        </w:rPr>
        <w:t>可能</w:t>
      </w:r>
      <w:r w:rsidR="001A3262" w:rsidRPr="00C664D3">
        <w:rPr>
          <w:rFonts w:asciiTheme="minorEastAsia" w:eastAsiaTheme="minorEastAsia" w:hAnsiTheme="minorEastAsia"/>
          <w:color w:val="000000" w:themeColor="text1"/>
          <w:szCs w:val="21"/>
        </w:rPr>
        <w:t>出现的各类风险。投资本基金可能遇到的主要风险包括：</w:t>
      </w:r>
      <w:r w:rsidR="001A3262" w:rsidRPr="00C664D3">
        <w:rPr>
          <w:rFonts w:asciiTheme="minorEastAsia" w:eastAsiaTheme="minorEastAsia" w:hAnsiTheme="minorEastAsia" w:hint="eastAsia"/>
          <w:color w:val="000000" w:themeColor="text1"/>
          <w:szCs w:val="21"/>
        </w:rPr>
        <w:t>（1）本基金</w:t>
      </w:r>
      <w:r w:rsidR="001A3262" w:rsidRPr="00C664D3">
        <w:rPr>
          <w:rFonts w:asciiTheme="minorEastAsia" w:eastAsiaTheme="minorEastAsia" w:hAnsiTheme="minorEastAsia"/>
          <w:color w:val="000000" w:themeColor="text1"/>
          <w:szCs w:val="21"/>
        </w:rPr>
        <w:t>特</w:t>
      </w:r>
      <w:r w:rsidR="001A3262" w:rsidRPr="00C664D3">
        <w:rPr>
          <w:rFonts w:asciiTheme="minorEastAsia" w:eastAsiaTheme="minorEastAsia" w:hAnsiTheme="minorEastAsia" w:hint="eastAsia"/>
          <w:color w:val="000000" w:themeColor="text1"/>
          <w:szCs w:val="21"/>
        </w:rPr>
        <w:t>有的风险，主要包括标的指数的风险、标的指数波动的风险、</w:t>
      </w:r>
      <w:r w:rsidR="00730C29" w:rsidRPr="00C664D3">
        <w:rPr>
          <w:rFonts w:asciiTheme="minorEastAsia" w:eastAsiaTheme="minorEastAsia" w:hAnsiTheme="minorEastAsia" w:hint="eastAsia"/>
          <w:color w:val="000000" w:themeColor="text1"/>
          <w:szCs w:val="21"/>
        </w:rPr>
        <w:t>标的指数成份股行业集中风险、</w:t>
      </w:r>
      <w:r w:rsidR="001A3262" w:rsidRPr="00C664D3">
        <w:rPr>
          <w:rFonts w:asciiTheme="minorEastAsia" w:eastAsiaTheme="minorEastAsia" w:hAnsiTheme="minorEastAsia" w:hint="eastAsia"/>
          <w:color w:val="000000" w:themeColor="text1"/>
          <w:szCs w:val="21"/>
        </w:rPr>
        <w:t>基金收益率与业绩比较基准收益率偏离的风险、</w:t>
      </w:r>
      <w:r w:rsidR="00992A39" w:rsidRPr="00C664D3">
        <w:rPr>
          <w:rFonts w:asciiTheme="minorEastAsia" w:eastAsiaTheme="minorEastAsia" w:hAnsiTheme="minorEastAsia" w:hint="eastAsia"/>
          <w:color w:val="000000" w:themeColor="text1"/>
          <w:szCs w:val="21"/>
        </w:rPr>
        <w:t>跟踪误差控制未达约定目标的风险、指数编制机构停止服务的风险、成份股停牌的风险、</w:t>
      </w:r>
      <w:r w:rsidR="001A3262" w:rsidRPr="00C664D3">
        <w:rPr>
          <w:rFonts w:asciiTheme="minorEastAsia" w:eastAsiaTheme="minorEastAsia" w:hAnsiTheme="minorEastAsia" w:hint="eastAsia"/>
          <w:color w:val="000000" w:themeColor="text1"/>
          <w:szCs w:val="21"/>
        </w:rPr>
        <w:t>基金份额二级市场交易价格折溢价的风险、退市风险、第三方机构服务的风险、管理风险、创新风险</w:t>
      </w:r>
      <w:r w:rsidR="00656152" w:rsidRPr="00C664D3">
        <w:rPr>
          <w:rFonts w:asciiTheme="minorEastAsia" w:eastAsiaTheme="minorEastAsia" w:hAnsiTheme="minorEastAsia" w:hint="eastAsia"/>
          <w:color w:val="000000" w:themeColor="text1"/>
          <w:szCs w:val="21"/>
        </w:rPr>
        <w:t>、</w:t>
      </w:r>
      <w:r w:rsidR="002D3838" w:rsidRPr="00C664D3">
        <w:rPr>
          <w:rFonts w:asciiTheme="minorEastAsia" w:eastAsiaTheme="minorEastAsia" w:hAnsiTheme="minorEastAsia" w:hint="eastAsia"/>
          <w:color w:val="000000" w:themeColor="text1"/>
          <w:szCs w:val="21"/>
        </w:rPr>
        <w:t>关于引入境外托管人的相关风险</w:t>
      </w:r>
      <w:r w:rsidR="001A3262" w:rsidRPr="00C664D3">
        <w:rPr>
          <w:rFonts w:asciiTheme="minorEastAsia" w:eastAsiaTheme="minorEastAsia" w:hAnsiTheme="minorEastAsia" w:hint="eastAsia"/>
          <w:color w:val="000000" w:themeColor="text1"/>
          <w:szCs w:val="21"/>
        </w:rPr>
        <w:t>等</w:t>
      </w:r>
      <w:r w:rsidR="001A3262" w:rsidRPr="00C664D3">
        <w:rPr>
          <w:rFonts w:asciiTheme="minorEastAsia" w:eastAsiaTheme="minorEastAsia" w:hAnsiTheme="minorEastAsia"/>
          <w:color w:val="000000" w:themeColor="text1"/>
          <w:szCs w:val="21"/>
        </w:rPr>
        <w:t>；</w:t>
      </w:r>
      <w:r w:rsidR="001A3262" w:rsidRPr="00C664D3">
        <w:rPr>
          <w:rFonts w:asciiTheme="minorEastAsia" w:eastAsiaTheme="minorEastAsia" w:hAnsiTheme="minorEastAsia" w:hint="eastAsia"/>
          <w:color w:val="000000" w:themeColor="text1"/>
          <w:szCs w:val="21"/>
        </w:rPr>
        <w:t>（2）</w:t>
      </w:r>
      <w:r w:rsidR="001A3262" w:rsidRPr="00C664D3">
        <w:rPr>
          <w:rFonts w:asciiTheme="minorEastAsia" w:eastAsiaTheme="minorEastAsia" w:hAnsiTheme="minorEastAsia"/>
          <w:color w:val="000000" w:themeColor="text1"/>
          <w:szCs w:val="21"/>
        </w:rPr>
        <w:t>投资风险</w:t>
      </w:r>
      <w:r w:rsidR="001A3262" w:rsidRPr="00C664D3">
        <w:rPr>
          <w:rFonts w:asciiTheme="minorEastAsia" w:eastAsiaTheme="minorEastAsia" w:hAnsiTheme="minorEastAsia" w:hint="eastAsia"/>
          <w:color w:val="000000" w:themeColor="text1"/>
          <w:szCs w:val="21"/>
        </w:rPr>
        <w:t>，</w:t>
      </w:r>
      <w:r w:rsidR="001A3262" w:rsidRPr="00C664D3">
        <w:rPr>
          <w:rFonts w:asciiTheme="minorEastAsia" w:eastAsiaTheme="minorEastAsia" w:hAnsiTheme="minorEastAsia"/>
          <w:color w:val="000000" w:themeColor="text1"/>
          <w:szCs w:val="21"/>
        </w:rPr>
        <w:t>主要包括市场风险</w:t>
      </w:r>
      <w:r w:rsidR="00FC5AFA" w:rsidRPr="00C664D3">
        <w:rPr>
          <w:rFonts w:asciiTheme="minorEastAsia" w:eastAsiaTheme="minorEastAsia" w:hAnsiTheme="minorEastAsia" w:hint="eastAsia"/>
          <w:color w:val="000000" w:themeColor="text1"/>
          <w:szCs w:val="21"/>
        </w:rPr>
        <w:t>、政府管制风险、监管风险、政治风险、汇率风险、利率风险、衍生品风险、金融模型风险、信用风险</w:t>
      </w:r>
      <w:r w:rsidR="001A3262" w:rsidRPr="00C664D3">
        <w:rPr>
          <w:rFonts w:asciiTheme="minorEastAsia" w:eastAsiaTheme="minorEastAsia" w:hAnsiTheme="minorEastAsia"/>
          <w:color w:val="000000" w:themeColor="text1"/>
          <w:szCs w:val="21"/>
        </w:rPr>
        <w:t>等；</w:t>
      </w:r>
      <w:r w:rsidR="00C81E1B" w:rsidRPr="00C664D3">
        <w:rPr>
          <w:rFonts w:asciiTheme="minorEastAsia" w:eastAsiaTheme="minorEastAsia" w:hAnsiTheme="minorEastAsia" w:hint="eastAsia"/>
          <w:color w:val="000000" w:themeColor="text1"/>
          <w:szCs w:val="21"/>
        </w:rPr>
        <w:t>（3）流动性风险；（4）</w:t>
      </w:r>
      <w:r w:rsidR="001A3262" w:rsidRPr="00C664D3">
        <w:rPr>
          <w:rFonts w:asciiTheme="minorEastAsia" w:eastAsiaTheme="minorEastAsia" w:hAnsiTheme="minorEastAsia"/>
          <w:color w:val="000000" w:themeColor="text1"/>
          <w:szCs w:val="21"/>
        </w:rPr>
        <w:t>运作风险</w:t>
      </w:r>
      <w:r w:rsidR="001A3262" w:rsidRPr="00C664D3">
        <w:rPr>
          <w:rFonts w:asciiTheme="minorEastAsia" w:eastAsiaTheme="minorEastAsia" w:hAnsiTheme="minorEastAsia" w:hint="eastAsia"/>
          <w:color w:val="000000" w:themeColor="text1"/>
          <w:szCs w:val="21"/>
        </w:rPr>
        <w:t>，</w:t>
      </w:r>
      <w:r w:rsidR="001A3262" w:rsidRPr="00C664D3">
        <w:rPr>
          <w:rFonts w:asciiTheme="minorEastAsia" w:eastAsiaTheme="minorEastAsia" w:hAnsiTheme="minorEastAsia"/>
          <w:color w:val="000000" w:themeColor="text1"/>
          <w:szCs w:val="21"/>
        </w:rPr>
        <w:t>主要包括操作风</w:t>
      </w:r>
      <w:r w:rsidR="001A3262" w:rsidRPr="00C664D3">
        <w:rPr>
          <w:rFonts w:asciiTheme="minorEastAsia" w:eastAsiaTheme="minorEastAsia" w:hAnsiTheme="minorEastAsia" w:hint="eastAsia"/>
          <w:color w:val="000000" w:themeColor="text1"/>
          <w:szCs w:val="21"/>
        </w:rPr>
        <w:t>险</w:t>
      </w:r>
      <w:r w:rsidR="00FC5AFA" w:rsidRPr="00C664D3">
        <w:rPr>
          <w:rFonts w:asciiTheme="minorEastAsia" w:eastAsiaTheme="minorEastAsia" w:hAnsiTheme="minorEastAsia" w:hint="eastAsia"/>
          <w:color w:val="000000" w:themeColor="text1"/>
          <w:szCs w:val="21"/>
        </w:rPr>
        <w:t>、会计核</w:t>
      </w:r>
      <w:r w:rsidR="00FC5AFA" w:rsidRPr="00C664D3">
        <w:rPr>
          <w:rFonts w:asciiTheme="minorEastAsia" w:eastAsiaTheme="minorEastAsia" w:hAnsiTheme="minorEastAsia" w:hint="eastAsia"/>
          <w:color w:val="000000" w:themeColor="text1"/>
          <w:szCs w:val="21"/>
        </w:rPr>
        <w:lastRenderedPageBreak/>
        <w:t>算风险、法务及税务风险、交易结算风险、</w:t>
      </w:r>
      <w:r w:rsidR="00FC5AFA" w:rsidRPr="00C664D3">
        <w:rPr>
          <w:rFonts w:asciiTheme="minorEastAsia" w:eastAsiaTheme="minorEastAsia" w:hAnsiTheme="minorEastAsia"/>
          <w:color w:val="000000" w:themeColor="text1"/>
          <w:szCs w:val="21"/>
        </w:rPr>
        <w:t>证券借贷/正回购/逆回购风险</w:t>
      </w:r>
      <w:r w:rsidR="001A3262" w:rsidRPr="00C664D3">
        <w:rPr>
          <w:rFonts w:asciiTheme="minorEastAsia" w:eastAsiaTheme="minorEastAsia" w:hAnsiTheme="minorEastAsia"/>
          <w:color w:val="000000" w:themeColor="text1"/>
          <w:szCs w:val="21"/>
        </w:rPr>
        <w:t>等；</w:t>
      </w:r>
      <w:r w:rsidR="00150C3F" w:rsidRPr="00C664D3">
        <w:rPr>
          <w:rFonts w:asciiTheme="minorEastAsia" w:eastAsiaTheme="minorEastAsia" w:hAnsiTheme="minorEastAsia" w:hint="eastAsia"/>
          <w:color w:val="000000" w:themeColor="text1"/>
          <w:szCs w:val="21"/>
        </w:rPr>
        <w:t>（5）本基金法律文件中涉及基金风险特征的表述与销售机构对基金的风险评级可能不一致的风险；（6）</w:t>
      </w:r>
      <w:r w:rsidR="00FC5AFA" w:rsidRPr="00C664D3">
        <w:rPr>
          <w:rFonts w:asciiTheme="minorEastAsia" w:eastAsiaTheme="minorEastAsia" w:hAnsiTheme="minorEastAsia" w:hint="eastAsia"/>
          <w:color w:val="000000" w:themeColor="text1"/>
          <w:szCs w:val="21"/>
        </w:rPr>
        <w:t>其他风险，包括</w:t>
      </w:r>
      <w:r w:rsidR="001A3262" w:rsidRPr="00C664D3">
        <w:rPr>
          <w:rFonts w:asciiTheme="minorEastAsia" w:eastAsiaTheme="minorEastAsia" w:hAnsiTheme="minorEastAsia" w:hint="eastAsia"/>
          <w:color w:val="000000" w:themeColor="text1"/>
          <w:szCs w:val="21"/>
        </w:rPr>
        <w:t>不可抗力风险</w:t>
      </w:r>
      <w:r w:rsidR="00FC5AFA" w:rsidRPr="00C664D3">
        <w:rPr>
          <w:rFonts w:asciiTheme="minorEastAsia" w:eastAsiaTheme="minorEastAsia" w:hAnsiTheme="minorEastAsia" w:hint="eastAsia"/>
          <w:color w:val="000000" w:themeColor="text1"/>
          <w:szCs w:val="21"/>
        </w:rPr>
        <w:t>、第三方风险</w:t>
      </w:r>
      <w:r w:rsidR="001A3262" w:rsidRPr="00C664D3">
        <w:rPr>
          <w:rFonts w:asciiTheme="minorEastAsia" w:eastAsiaTheme="minorEastAsia" w:hAnsiTheme="minorEastAsia"/>
          <w:color w:val="000000" w:themeColor="text1"/>
          <w:szCs w:val="21"/>
        </w:rPr>
        <w:t>等等。</w:t>
      </w:r>
      <w:r w:rsidR="001A3262" w:rsidRPr="00C664D3">
        <w:rPr>
          <w:rFonts w:asciiTheme="minorEastAsia" w:eastAsiaTheme="minorEastAsia" w:hAnsiTheme="minorEastAsia" w:hint="eastAsia"/>
          <w:color w:val="000000" w:themeColor="text1"/>
          <w:szCs w:val="21"/>
        </w:rPr>
        <w:t>本基金属股票指数基金，预期风险与收益水平高于混合基金、债券基金与货币市场基金。本基金跟踪境外市场股票指数，基金净值会因境外证券市场波动等因素而产生波动，同时面临汇率风险等投资境外市场的特殊风险。</w:t>
      </w:r>
    </w:p>
    <w:p w:rsidR="00A1091C" w:rsidRPr="00C664D3" w:rsidRDefault="008A3D86" w:rsidP="00AD0E09">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基金管理人提醒投资者基金投资的“买者自负”原则，在投资者作出投资决策后，基金运营状况与基金净值变化引致的投资风险，由投资者自行负责。</w:t>
      </w:r>
    </w:p>
    <w:p w:rsidR="00A1091C" w:rsidRPr="00C664D3" w:rsidRDefault="00A1091C" w:rsidP="00AD0E09">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本基金由易方达基金管理有限公司独立管理，未聘请境外投资顾问。</w:t>
      </w:r>
    </w:p>
    <w:p w:rsidR="00A1091C" w:rsidRPr="00C664D3" w:rsidRDefault="005F64CE" w:rsidP="00AD0E09">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投资有风险</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投资者</w:t>
      </w:r>
      <w:r w:rsidRPr="00C664D3">
        <w:rPr>
          <w:rFonts w:asciiTheme="minorEastAsia" w:eastAsiaTheme="minorEastAsia" w:hAnsiTheme="minorEastAsia" w:hint="eastAsia"/>
          <w:color w:val="000000" w:themeColor="text1"/>
          <w:szCs w:val="21"/>
        </w:rPr>
        <w:t>投资本</w:t>
      </w:r>
      <w:r w:rsidRPr="00C664D3">
        <w:rPr>
          <w:rFonts w:asciiTheme="minorEastAsia" w:eastAsiaTheme="minorEastAsia" w:hAnsiTheme="minorEastAsia"/>
          <w:color w:val="000000" w:themeColor="text1"/>
          <w:szCs w:val="21"/>
        </w:rPr>
        <w:t>基金时应认真阅读本招募说明书</w:t>
      </w:r>
      <w:r w:rsidRPr="00C664D3">
        <w:rPr>
          <w:rFonts w:asciiTheme="minorEastAsia" w:eastAsiaTheme="minorEastAsia" w:hAnsiTheme="minorEastAsia" w:hint="eastAsia"/>
          <w:color w:val="000000" w:themeColor="text1"/>
          <w:szCs w:val="21"/>
        </w:rPr>
        <w:t>；</w:t>
      </w:r>
      <w:r w:rsidR="00A1091C" w:rsidRPr="00C664D3">
        <w:rPr>
          <w:rFonts w:asciiTheme="minorEastAsia" w:eastAsiaTheme="minorEastAsia" w:hAnsiTheme="minorEastAsia"/>
          <w:color w:val="000000" w:themeColor="text1"/>
          <w:szCs w:val="21"/>
        </w:rPr>
        <w:t>基金的过往业绩并不预示其未来表现。</w:t>
      </w:r>
    </w:p>
    <w:p w:rsidR="00FE088F" w:rsidRPr="00C664D3" w:rsidRDefault="005D53A3" w:rsidP="00AD0E09">
      <w:pPr>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rPr>
        <w:t>本基金有关财务数据截止日为2021年6月30日，净值表现截止日为2020年12月31日，主要人员情况截止日为2021年9月</w:t>
      </w:r>
      <w:r w:rsidR="00AF6C0C" w:rsidRPr="00C664D3">
        <w:rPr>
          <w:rFonts w:asciiTheme="minorEastAsia" w:eastAsiaTheme="minorEastAsia" w:hAnsiTheme="minorEastAsia"/>
          <w:color w:val="000000" w:themeColor="text1"/>
        </w:rPr>
        <w:t>30</w:t>
      </w:r>
      <w:r w:rsidRPr="00C664D3">
        <w:rPr>
          <w:rFonts w:asciiTheme="minorEastAsia" w:eastAsiaTheme="minorEastAsia" w:hAnsiTheme="minorEastAsia"/>
          <w:color w:val="000000" w:themeColor="text1"/>
        </w:rPr>
        <w:t>日</w:t>
      </w:r>
      <w:r w:rsidR="00D329E6" w:rsidRPr="00216770">
        <w:rPr>
          <w:rFonts w:asciiTheme="minorEastAsia" w:eastAsiaTheme="minorEastAsia" w:hAnsiTheme="minorEastAsia"/>
          <w:color w:val="000000" w:themeColor="text1"/>
        </w:rPr>
        <w:t>，</w:t>
      </w:r>
      <w:r w:rsidR="00D329E6" w:rsidRPr="00224898">
        <w:rPr>
          <w:rFonts w:asciiTheme="minorEastAsia" w:eastAsiaTheme="minorEastAsia" w:hAnsiTheme="minorEastAsia" w:hint="eastAsia"/>
          <w:color w:val="000000" w:themeColor="text1"/>
        </w:rPr>
        <w:t>场内简称相关信息更新截止日为2021年8月23日</w:t>
      </w:r>
      <w:r w:rsidR="00D329E6">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除非另有说明，本招募说明书其他所载内容截止日为2021年8月16日。（本报告中财务数据未经审计）</w:t>
      </w:r>
    </w:p>
    <w:p w:rsidR="00FE088F" w:rsidRPr="00C664D3" w:rsidRDefault="00FE088F" w:rsidP="00AB77C1">
      <w:pPr>
        <w:spacing w:line="360" w:lineRule="auto"/>
        <w:ind w:firstLineChars="200" w:firstLine="560"/>
        <w:rPr>
          <w:rFonts w:asciiTheme="minorEastAsia" w:eastAsiaTheme="minorEastAsia" w:hAnsiTheme="minorEastAsia"/>
          <w:color w:val="000000" w:themeColor="text1"/>
          <w:sz w:val="28"/>
          <w:szCs w:val="28"/>
        </w:rPr>
        <w:sectPr w:rsidR="00FE088F" w:rsidRPr="00C664D3" w:rsidSect="00537B1A">
          <w:pgSz w:w="11906" w:h="16838" w:code="9"/>
          <w:pgMar w:top="1440" w:right="1800" w:bottom="1440" w:left="1800" w:header="1134" w:footer="1247" w:gutter="0"/>
          <w:pgNumType w:fmt="upperRoman" w:start="1"/>
          <w:cols w:space="425"/>
          <w:titlePg/>
          <w:docGrid w:type="lines" w:linePitch="447"/>
        </w:sectPr>
      </w:pPr>
    </w:p>
    <w:p w:rsidR="00A1091C" w:rsidRPr="00C664D3" w:rsidRDefault="00A1091C" w:rsidP="00AB77C1">
      <w:pPr>
        <w:adjustRightInd w:val="0"/>
        <w:snapToGrid w:val="0"/>
        <w:spacing w:line="360" w:lineRule="auto"/>
        <w:jc w:val="center"/>
        <w:rPr>
          <w:rFonts w:asciiTheme="minorEastAsia" w:eastAsiaTheme="minorEastAsia" w:hAnsiTheme="minorEastAsia"/>
          <w:b/>
          <w:color w:val="000000" w:themeColor="text1"/>
          <w:sz w:val="28"/>
          <w:szCs w:val="28"/>
        </w:rPr>
      </w:pPr>
      <w:r w:rsidRPr="00C664D3">
        <w:rPr>
          <w:rFonts w:asciiTheme="minorEastAsia" w:eastAsiaTheme="minorEastAsia" w:hAnsiTheme="minorEastAsia"/>
          <w:b/>
          <w:color w:val="000000" w:themeColor="text1"/>
          <w:sz w:val="28"/>
          <w:szCs w:val="28"/>
        </w:rPr>
        <w:lastRenderedPageBreak/>
        <w:t>目录</w:t>
      </w:r>
    </w:p>
    <w:p w:rsidR="00C664D3" w:rsidRDefault="00F61D22">
      <w:pPr>
        <w:pStyle w:val="10"/>
        <w:rPr>
          <w:rFonts w:asciiTheme="minorHAnsi" w:eastAsiaTheme="minorEastAsia" w:hAnsiTheme="minorHAnsi" w:cstheme="minorBidi"/>
          <w:caps w:val="0"/>
          <w:sz w:val="21"/>
          <w:szCs w:val="22"/>
        </w:rPr>
      </w:pPr>
      <w:r w:rsidRPr="00C664D3">
        <w:rPr>
          <w:rFonts w:asciiTheme="minorEastAsia" w:eastAsiaTheme="minorEastAsia" w:hAnsiTheme="minorEastAsia"/>
          <w:b/>
          <w:color w:val="000000" w:themeColor="text1"/>
          <w:szCs w:val="21"/>
        </w:rPr>
        <w:fldChar w:fldCharType="begin"/>
      </w:r>
      <w:r w:rsidR="000B3B07" w:rsidRPr="00C664D3">
        <w:rPr>
          <w:rFonts w:asciiTheme="minorEastAsia" w:eastAsiaTheme="minorEastAsia" w:hAnsiTheme="minorEastAsia"/>
          <w:b/>
          <w:color w:val="000000" w:themeColor="text1"/>
          <w:szCs w:val="21"/>
        </w:rPr>
        <w:instrText xml:space="preserve"> TOC \o "1-1" \h \z \u </w:instrText>
      </w:r>
      <w:r w:rsidRPr="00C664D3">
        <w:rPr>
          <w:rFonts w:asciiTheme="minorEastAsia" w:eastAsiaTheme="minorEastAsia" w:hAnsiTheme="minorEastAsia"/>
          <w:b/>
          <w:color w:val="000000" w:themeColor="text1"/>
          <w:szCs w:val="21"/>
        </w:rPr>
        <w:fldChar w:fldCharType="separate"/>
      </w:r>
      <w:hyperlink w:anchor="_Toc83904194" w:history="1">
        <w:r w:rsidR="00C664D3" w:rsidRPr="00E659A3">
          <w:rPr>
            <w:rStyle w:val="af2"/>
            <w:rFonts w:asciiTheme="minorEastAsia" w:hAnsiTheme="minorEastAsia" w:hint="eastAsia"/>
          </w:rPr>
          <w:t>第一节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绪言</w:t>
        </w:r>
        <w:r w:rsidR="00C664D3">
          <w:rPr>
            <w:webHidden/>
          </w:rPr>
          <w:tab/>
        </w:r>
        <w:r w:rsidR="00C664D3">
          <w:rPr>
            <w:webHidden/>
          </w:rPr>
          <w:fldChar w:fldCharType="begin"/>
        </w:r>
        <w:r w:rsidR="00C664D3">
          <w:rPr>
            <w:webHidden/>
          </w:rPr>
          <w:instrText xml:space="preserve"> PAGEREF _Toc83904194 \h </w:instrText>
        </w:r>
        <w:r w:rsidR="00C664D3">
          <w:rPr>
            <w:webHidden/>
          </w:rPr>
        </w:r>
        <w:r w:rsidR="00C664D3">
          <w:rPr>
            <w:webHidden/>
          </w:rPr>
          <w:fldChar w:fldCharType="separate"/>
        </w:r>
        <w:r w:rsidR="00C664D3">
          <w:rPr>
            <w:webHidden/>
          </w:rPr>
          <w:t>1</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195" w:history="1">
        <w:r w:rsidR="00C664D3" w:rsidRPr="00E659A3">
          <w:rPr>
            <w:rStyle w:val="af2"/>
            <w:rFonts w:asciiTheme="minorEastAsia" w:hAnsiTheme="minorEastAsia" w:hint="eastAsia"/>
          </w:rPr>
          <w:t>第二节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释义</w:t>
        </w:r>
        <w:r w:rsidR="00C664D3">
          <w:rPr>
            <w:webHidden/>
          </w:rPr>
          <w:tab/>
        </w:r>
        <w:r w:rsidR="00C664D3">
          <w:rPr>
            <w:webHidden/>
          </w:rPr>
          <w:fldChar w:fldCharType="begin"/>
        </w:r>
        <w:r w:rsidR="00C664D3">
          <w:rPr>
            <w:webHidden/>
          </w:rPr>
          <w:instrText xml:space="preserve"> PAGEREF _Toc83904195 \h </w:instrText>
        </w:r>
        <w:r w:rsidR="00C664D3">
          <w:rPr>
            <w:webHidden/>
          </w:rPr>
        </w:r>
        <w:r w:rsidR="00C664D3">
          <w:rPr>
            <w:webHidden/>
          </w:rPr>
          <w:fldChar w:fldCharType="separate"/>
        </w:r>
        <w:r w:rsidR="00C664D3">
          <w:rPr>
            <w:webHidden/>
          </w:rPr>
          <w:t>2</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196" w:history="1">
        <w:r w:rsidR="00C664D3" w:rsidRPr="00E659A3">
          <w:rPr>
            <w:rStyle w:val="af2"/>
            <w:rFonts w:asciiTheme="minorEastAsia" w:hAnsiTheme="minorEastAsia" w:hint="eastAsia"/>
          </w:rPr>
          <w:t>第三节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风险揭示</w:t>
        </w:r>
        <w:r w:rsidR="00C664D3">
          <w:rPr>
            <w:webHidden/>
          </w:rPr>
          <w:tab/>
        </w:r>
        <w:r w:rsidR="00C664D3">
          <w:rPr>
            <w:webHidden/>
          </w:rPr>
          <w:fldChar w:fldCharType="begin"/>
        </w:r>
        <w:r w:rsidR="00C664D3">
          <w:rPr>
            <w:webHidden/>
          </w:rPr>
          <w:instrText xml:space="preserve"> PAGEREF _Toc83904196 \h </w:instrText>
        </w:r>
        <w:r w:rsidR="00C664D3">
          <w:rPr>
            <w:webHidden/>
          </w:rPr>
        </w:r>
        <w:r w:rsidR="00C664D3">
          <w:rPr>
            <w:webHidden/>
          </w:rPr>
          <w:fldChar w:fldCharType="separate"/>
        </w:r>
        <w:r w:rsidR="00C664D3">
          <w:rPr>
            <w:webHidden/>
          </w:rPr>
          <w:t>8</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197" w:history="1">
        <w:r w:rsidR="00C664D3" w:rsidRPr="00E659A3">
          <w:rPr>
            <w:rStyle w:val="af2"/>
            <w:rFonts w:asciiTheme="minorEastAsia" w:hAnsiTheme="minorEastAsia" w:hint="eastAsia"/>
          </w:rPr>
          <w:t>第四节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基金的投资</w:t>
        </w:r>
        <w:r w:rsidR="00C664D3">
          <w:rPr>
            <w:webHidden/>
          </w:rPr>
          <w:tab/>
        </w:r>
        <w:r w:rsidR="00C664D3">
          <w:rPr>
            <w:webHidden/>
          </w:rPr>
          <w:fldChar w:fldCharType="begin"/>
        </w:r>
        <w:r w:rsidR="00C664D3">
          <w:rPr>
            <w:webHidden/>
          </w:rPr>
          <w:instrText xml:space="preserve"> PAGEREF _Toc83904197 \h </w:instrText>
        </w:r>
        <w:r w:rsidR="00C664D3">
          <w:rPr>
            <w:webHidden/>
          </w:rPr>
        </w:r>
        <w:r w:rsidR="00C664D3">
          <w:rPr>
            <w:webHidden/>
          </w:rPr>
          <w:fldChar w:fldCharType="separate"/>
        </w:r>
        <w:r w:rsidR="00C664D3">
          <w:rPr>
            <w:webHidden/>
          </w:rPr>
          <w:t>16</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198" w:history="1">
        <w:r w:rsidR="00C664D3" w:rsidRPr="00E659A3">
          <w:rPr>
            <w:rStyle w:val="af2"/>
            <w:rFonts w:asciiTheme="minorEastAsia" w:hAnsiTheme="minorEastAsia" w:hint="eastAsia"/>
          </w:rPr>
          <w:t>第五节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基金的业绩</w:t>
        </w:r>
        <w:r w:rsidR="00C664D3">
          <w:rPr>
            <w:webHidden/>
          </w:rPr>
          <w:tab/>
        </w:r>
        <w:r w:rsidR="00C664D3">
          <w:rPr>
            <w:webHidden/>
          </w:rPr>
          <w:fldChar w:fldCharType="begin"/>
        </w:r>
        <w:r w:rsidR="00C664D3">
          <w:rPr>
            <w:webHidden/>
          </w:rPr>
          <w:instrText xml:space="preserve"> PAGEREF _Toc83904198 \h </w:instrText>
        </w:r>
        <w:r w:rsidR="00C664D3">
          <w:rPr>
            <w:webHidden/>
          </w:rPr>
        </w:r>
        <w:r w:rsidR="00C664D3">
          <w:rPr>
            <w:webHidden/>
          </w:rPr>
          <w:fldChar w:fldCharType="separate"/>
        </w:r>
        <w:r w:rsidR="00C664D3">
          <w:rPr>
            <w:webHidden/>
          </w:rPr>
          <w:t>31</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199" w:history="1">
        <w:r w:rsidR="00C664D3" w:rsidRPr="00E659A3">
          <w:rPr>
            <w:rStyle w:val="af2"/>
            <w:rFonts w:asciiTheme="minorEastAsia" w:hAnsiTheme="minorEastAsia" w:hint="eastAsia"/>
          </w:rPr>
          <w:t>第六节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基金管理人</w:t>
        </w:r>
        <w:r w:rsidR="00C664D3">
          <w:rPr>
            <w:webHidden/>
          </w:rPr>
          <w:tab/>
        </w:r>
        <w:r w:rsidR="00C664D3">
          <w:rPr>
            <w:webHidden/>
          </w:rPr>
          <w:fldChar w:fldCharType="begin"/>
        </w:r>
        <w:r w:rsidR="00C664D3">
          <w:rPr>
            <w:webHidden/>
          </w:rPr>
          <w:instrText xml:space="preserve"> PAGEREF _Toc83904199 \h </w:instrText>
        </w:r>
        <w:r w:rsidR="00C664D3">
          <w:rPr>
            <w:webHidden/>
          </w:rPr>
        </w:r>
        <w:r w:rsidR="00C664D3">
          <w:rPr>
            <w:webHidden/>
          </w:rPr>
          <w:fldChar w:fldCharType="separate"/>
        </w:r>
        <w:r w:rsidR="00C664D3">
          <w:rPr>
            <w:webHidden/>
          </w:rPr>
          <w:t>33</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00" w:history="1">
        <w:r w:rsidR="00C664D3" w:rsidRPr="00E659A3">
          <w:rPr>
            <w:rStyle w:val="af2"/>
            <w:rFonts w:asciiTheme="minorEastAsia" w:hAnsiTheme="minorEastAsia" w:hint="eastAsia"/>
          </w:rPr>
          <w:t>第七节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基金的份额类别</w:t>
        </w:r>
        <w:r w:rsidR="00C664D3">
          <w:rPr>
            <w:webHidden/>
          </w:rPr>
          <w:tab/>
        </w:r>
        <w:r w:rsidR="00C664D3">
          <w:rPr>
            <w:webHidden/>
          </w:rPr>
          <w:fldChar w:fldCharType="begin"/>
        </w:r>
        <w:r w:rsidR="00C664D3">
          <w:rPr>
            <w:webHidden/>
          </w:rPr>
          <w:instrText xml:space="preserve"> PAGEREF _Toc83904200 \h </w:instrText>
        </w:r>
        <w:r w:rsidR="00C664D3">
          <w:rPr>
            <w:webHidden/>
          </w:rPr>
        </w:r>
        <w:r w:rsidR="00C664D3">
          <w:rPr>
            <w:webHidden/>
          </w:rPr>
          <w:fldChar w:fldCharType="separate"/>
        </w:r>
        <w:r w:rsidR="00C664D3">
          <w:rPr>
            <w:webHidden/>
          </w:rPr>
          <w:t>45</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01" w:history="1">
        <w:r w:rsidR="00C664D3" w:rsidRPr="00E659A3">
          <w:rPr>
            <w:rStyle w:val="af2"/>
            <w:rFonts w:asciiTheme="minorEastAsia" w:hAnsiTheme="minorEastAsia" w:hint="eastAsia"/>
          </w:rPr>
          <w:t>第八节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基金的募集</w:t>
        </w:r>
        <w:r w:rsidR="00C664D3">
          <w:rPr>
            <w:webHidden/>
          </w:rPr>
          <w:tab/>
        </w:r>
        <w:r w:rsidR="00C664D3">
          <w:rPr>
            <w:webHidden/>
          </w:rPr>
          <w:fldChar w:fldCharType="begin"/>
        </w:r>
        <w:r w:rsidR="00C664D3">
          <w:rPr>
            <w:webHidden/>
          </w:rPr>
          <w:instrText xml:space="preserve"> PAGEREF _Toc83904201 \h </w:instrText>
        </w:r>
        <w:r w:rsidR="00C664D3">
          <w:rPr>
            <w:webHidden/>
          </w:rPr>
        </w:r>
        <w:r w:rsidR="00C664D3">
          <w:rPr>
            <w:webHidden/>
          </w:rPr>
          <w:fldChar w:fldCharType="separate"/>
        </w:r>
        <w:r w:rsidR="00C664D3">
          <w:rPr>
            <w:webHidden/>
          </w:rPr>
          <w:t>46</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02" w:history="1">
        <w:r w:rsidR="00C664D3" w:rsidRPr="00E659A3">
          <w:rPr>
            <w:rStyle w:val="af2"/>
            <w:rFonts w:asciiTheme="minorEastAsia" w:hAnsiTheme="minorEastAsia" w:hint="eastAsia"/>
          </w:rPr>
          <w:t>第九节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基金合同的生效</w:t>
        </w:r>
        <w:r w:rsidR="00C664D3">
          <w:rPr>
            <w:webHidden/>
          </w:rPr>
          <w:tab/>
        </w:r>
        <w:r w:rsidR="00C664D3">
          <w:rPr>
            <w:webHidden/>
          </w:rPr>
          <w:fldChar w:fldCharType="begin"/>
        </w:r>
        <w:r w:rsidR="00C664D3">
          <w:rPr>
            <w:webHidden/>
          </w:rPr>
          <w:instrText xml:space="preserve"> PAGEREF _Toc83904202 \h </w:instrText>
        </w:r>
        <w:r w:rsidR="00C664D3">
          <w:rPr>
            <w:webHidden/>
          </w:rPr>
        </w:r>
        <w:r w:rsidR="00C664D3">
          <w:rPr>
            <w:webHidden/>
          </w:rPr>
          <w:fldChar w:fldCharType="separate"/>
        </w:r>
        <w:r w:rsidR="00C664D3">
          <w:rPr>
            <w:webHidden/>
          </w:rPr>
          <w:t>47</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03" w:history="1">
        <w:r w:rsidR="00C664D3" w:rsidRPr="00E659A3">
          <w:rPr>
            <w:rStyle w:val="af2"/>
            <w:rFonts w:asciiTheme="minorEastAsia" w:hAnsiTheme="minorEastAsia" w:hint="eastAsia"/>
          </w:rPr>
          <w:t>第十节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基金份额的上市交易</w:t>
        </w:r>
        <w:r w:rsidR="00C664D3">
          <w:rPr>
            <w:webHidden/>
          </w:rPr>
          <w:tab/>
        </w:r>
        <w:r w:rsidR="00C664D3">
          <w:rPr>
            <w:webHidden/>
          </w:rPr>
          <w:fldChar w:fldCharType="begin"/>
        </w:r>
        <w:r w:rsidR="00C664D3">
          <w:rPr>
            <w:webHidden/>
          </w:rPr>
          <w:instrText xml:space="preserve"> PAGEREF _Toc83904203 \h </w:instrText>
        </w:r>
        <w:r w:rsidR="00C664D3">
          <w:rPr>
            <w:webHidden/>
          </w:rPr>
        </w:r>
        <w:r w:rsidR="00C664D3">
          <w:rPr>
            <w:webHidden/>
          </w:rPr>
          <w:fldChar w:fldCharType="separate"/>
        </w:r>
        <w:r w:rsidR="00C664D3">
          <w:rPr>
            <w:webHidden/>
          </w:rPr>
          <w:t>48</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04" w:history="1">
        <w:r w:rsidR="00C664D3" w:rsidRPr="00E659A3">
          <w:rPr>
            <w:rStyle w:val="af2"/>
            <w:rFonts w:asciiTheme="minorEastAsia" w:hAnsiTheme="minorEastAsia" w:hint="eastAsia"/>
          </w:rPr>
          <w:t>第十一节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基金份额的申购、赎回</w:t>
        </w:r>
        <w:r w:rsidR="00C664D3">
          <w:rPr>
            <w:webHidden/>
          </w:rPr>
          <w:tab/>
        </w:r>
        <w:r w:rsidR="00C664D3">
          <w:rPr>
            <w:webHidden/>
          </w:rPr>
          <w:fldChar w:fldCharType="begin"/>
        </w:r>
        <w:r w:rsidR="00C664D3">
          <w:rPr>
            <w:webHidden/>
          </w:rPr>
          <w:instrText xml:space="preserve"> PAGEREF _Toc83904204 \h </w:instrText>
        </w:r>
        <w:r w:rsidR="00C664D3">
          <w:rPr>
            <w:webHidden/>
          </w:rPr>
        </w:r>
        <w:r w:rsidR="00C664D3">
          <w:rPr>
            <w:webHidden/>
          </w:rPr>
          <w:fldChar w:fldCharType="separate"/>
        </w:r>
        <w:r w:rsidR="00C664D3">
          <w:rPr>
            <w:webHidden/>
          </w:rPr>
          <w:t>49</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05" w:history="1">
        <w:r w:rsidR="00C664D3" w:rsidRPr="00E659A3">
          <w:rPr>
            <w:rStyle w:val="af2"/>
            <w:rFonts w:asciiTheme="minorEastAsia" w:hAnsiTheme="minorEastAsia" w:hint="eastAsia"/>
          </w:rPr>
          <w:t>第十二节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基金的费用与税收</w:t>
        </w:r>
        <w:r w:rsidR="00C664D3">
          <w:rPr>
            <w:webHidden/>
          </w:rPr>
          <w:tab/>
        </w:r>
        <w:r w:rsidR="00C664D3">
          <w:rPr>
            <w:webHidden/>
          </w:rPr>
          <w:fldChar w:fldCharType="begin"/>
        </w:r>
        <w:r w:rsidR="00C664D3">
          <w:rPr>
            <w:webHidden/>
          </w:rPr>
          <w:instrText xml:space="preserve"> PAGEREF _Toc83904205 \h </w:instrText>
        </w:r>
        <w:r w:rsidR="00C664D3">
          <w:rPr>
            <w:webHidden/>
          </w:rPr>
        </w:r>
        <w:r w:rsidR="00C664D3">
          <w:rPr>
            <w:webHidden/>
          </w:rPr>
          <w:fldChar w:fldCharType="separate"/>
        </w:r>
        <w:r w:rsidR="00C664D3">
          <w:rPr>
            <w:webHidden/>
          </w:rPr>
          <w:t>64</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06" w:history="1">
        <w:r w:rsidR="00C664D3" w:rsidRPr="00E659A3">
          <w:rPr>
            <w:rStyle w:val="af2"/>
            <w:rFonts w:asciiTheme="minorEastAsia" w:hAnsiTheme="minorEastAsia" w:hint="eastAsia"/>
          </w:rPr>
          <w:t>第十三节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基金的财产</w:t>
        </w:r>
        <w:r w:rsidR="00C664D3">
          <w:rPr>
            <w:webHidden/>
          </w:rPr>
          <w:tab/>
        </w:r>
        <w:r w:rsidR="00C664D3">
          <w:rPr>
            <w:webHidden/>
          </w:rPr>
          <w:fldChar w:fldCharType="begin"/>
        </w:r>
        <w:r w:rsidR="00C664D3">
          <w:rPr>
            <w:webHidden/>
          </w:rPr>
          <w:instrText xml:space="preserve"> PAGEREF _Toc83904206 \h </w:instrText>
        </w:r>
        <w:r w:rsidR="00C664D3">
          <w:rPr>
            <w:webHidden/>
          </w:rPr>
        </w:r>
        <w:r w:rsidR="00C664D3">
          <w:rPr>
            <w:webHidden/>
          </w:rPr>
          <w:fldChar w:fldCharType="separate"/>
        </w:r>
        <w:r w:rsidR="00C664D3">
          <w:rPr>
            <w:webHidden/>
          </w:rPr>
          <w:t>68</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07" w:history="1">
        <w:r w:rsidR="00C664D3" w:rsidRPr="00E659A3">
          <w:rPr>
            <w:rStyle w:val="af2"/>
            <w:rFonts w:asciiTheme="minorEastAsia" w:hAnsiTheme="minorEastAsia" w:hint="eastAsia"/>
          </w:rPr>
          <w:t>第十四节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基金资产估值</w:t>
        </w:r>
        <w:r w:rsidR="00C664D3">
          <w:rPr>
            <w:webHidden/>
          </w:rPr>
          <w:tab/>
        </w:r>
        <w:r w:rsidR="00C664D3">
          <w:rPr>
            <w:webHidden/>
          </w:rPr>
          <w:fldChar w:fldCharType="begin"/>
        </w:r>
        <w:r w:rsidR="00C664D3">
          <w:rPr>
            <w:webHidden/>
          </w:rPr>
          <w:instrText xml:space="preserve"> PAGEREF _Toc83904207 \h </w:instrText>
        </w:r>
        <w:r w:rsidR="00C664D3">
          <w:rPr>
            <w:webHidden/>
          </w:rPr>
        </w:r>
        <w:r w:rsidR="00C664D3">
          <w:rPr>
            <w:webHidden/>
          </w:rPr>
          <w:fldChar w:fldCharType="separate"/>
        </w:r>
        <w:r w:rsidR="00C664D3">
          <w:rPr>
            <w:webHidden/>
          </w:rPr>
          <w:t>69</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08" w:history="1">
        <w:r w:rsidR="00C664D3" w:rsidRPr="00E659A3">
          <w:rPr>
            <w:rStyle w:val="af2"/>
            <w:rFonts w:asciiTheme="minorEastAsia" w:hAnsiTheme="minorEastAsia" w:hint="eastAsia"/>
          </w:rPr>
          <w:t>第十五节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基金的收益与分配</w:t>
        </w:r>
        <w:r w:rsidR="00C664D3">
          <w:rPr>
            <w:webHidden/>
          </w:rPr>
          <w:tab/>
        </w:r>
        <w:r w:rsidR="00C664D3">
          <w:rPr>
            <w:webHidden/>
          </w:rPr>
          <w:fldChar w:fldCharType="begin"/>
        </w:r>
        <w:r w:rsidR="00C664D3">
          <w:rPr>
            <w:webHidden/>
          </w:rPr>
          <w:instrText xml:space="preserve"> PAGEREF _Toc83904208 \h </w:instrText>
        </w:r>
        <w:r w:rsidR="00C664D3">
          <w:rPr>
            <w:webHidden/>
          </w:rPr>
        </w:r>
        <w:r w:rsidR="00C664D3">
          <w:rPr>
            <w:webHidden/>
          </w:rPr>
          <w:fldChar w:fldCharType="separate"/>
        </w:r>
        <w:r w:rsidR="00C664D3">
          <w:rPr>
            <w:webHidden/>
          </w:rPr>
          <w:t>75</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09" w:history="1">
        <w:r w:rsidR="00C664D3" w:rsidRPr="00E659A3">
          <w:rPr>
            <w:rStyle w:val="af2"/>
            <w:rFonts w:asciiTheme="minorEastAsia" w:hAnsiTheme="minorEastAsia" w:hint="eastAsia"/>
          </w:rPr>
          <w:t>第十六节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基金的会计与审计</w:t>
        </w:r>
        <w:r w:rsidR="00C664D3">
          <w:rPr>
            <w:webHidden/>
          </w:rPr>
          <w:tab/>
        </w:r>
        <w:r w:rsidR="00C664D3">
          <w:rPr>
            <w:webHidden/>
          </w:rPr>
          <w:fldChar w:fldCharType="begin"/>
        </w:r>
        <w:r w:rsidR="00C664D3">
          <w:rPr>
            <w:webHidden/>
          </w:rPr>
          <w:instrText xml:space="preserve"> PAGEREF _Toc83904209 \h </w:instrText>
        </w:r>
        <w:r w:rsidR="00C664D3">
          <w:rPr>
            <w:webHidden/>
          </w:rPr>
        </w:r>
        <w:r w:rsidR="00C664D3">
          <w:rPr>
            <w:webHidden/>
          </w:rPr>
          <w:fldChar w:fldCharType="separate"/>
        </w:r>
        <w:r w:rsidR="00C664D3">
          <w:rPr>
            <w:webHidden/>
          </w:rPr>
          <w:t>77</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10" w:history="1">
        <w:r w:rsidR="00C664D3" w:rsidRPr="00E659A3">
          <w:rPr>
            <w:rStyle w:val="af2"/>
            <w:rFonts w:asciiTheme="minorEastAsia" w:hAnsiTheme="minorEastAsia" w:hint="eastAsia"/>
          </w:rPr>
          <w:t>第十七节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基金的信息披露</w:t>
        </w:r>
        <w:r w:rsidR="00C664D3">
          <w:rPr>
            <w:webHidden/>
          </w:rPr>
          <w:tab/>
        </w:r>
        <w:r w:rsidR="00C664D3">
          <w:rPr>
            <w:webHidden/>
          </w:rPr>
          <w:fldChar w:fldCharType="begin"/>
        </w:r>
        <w:r w:rsidR="00C664D3">
          <w:rPr>
            <w:webHidden/>
          </w:rPr>
          <w:instrText xml:space="preserve"> PAGEREF _Toc83904210 \h </w:instrText>
        </w:r>
        <w:r w:rsidR="00C664D3">
          <w:rPr>
            <w:webHidden/>
          </w:rPr>
        </w:r>
        <w:r w:rsidR="00C664D3">
          <w:rPr>
            <w:webHidden/>
          </w:rPr>
          <w:fldChar w:fldCharType="separate"/>
        </w:r>
        <w:r w:rsidR="00C664D3">
          <w:rPr>
            <w:webHidden/>
          </w:rPr>
          <w:t>78</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11" w:history="1">
        <w:r w:rsidR="00C664D3" w:rsidRPr="00E659A3">
          <w:rPr>
            <w:rStyle w:val="af2"/>
            <w:rFonts w:asciiTheme="minorEastAsia" w:hAnsiTheme="minorEastAsia" w:hint="eastAsia"/>
          </w:rPr>
          <w:t>第十八节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基金合同的变更、终止与基金财产的清算</w:t>
        </w:r>
        <w:r w:rsidR="00C664D3">
          <w:rPr>
            <w:webHidden/>
          </w:rPr>
          <w:tab/>
        </w:r>
        <w:r w:rsidR="00C664D3">
          <w:rPr>
            <w:webHidden/>
          </w:rPr>
          <w:fldChar w:fldCharType="begin"/>
        </w:r>
        <w:r w:rsidR="00C664D3">
          <w:rPr>
            <w:webHidden/>
          </w:rPr>
          <w:instrText xml:space="preserve"> PAGEREF _Toc83904211 \h </w:instrText>
        </w:r>
        <w:r w:rsidR="00C664D3">
          <w:rPr>
            <w:webHidden/>
          </w:rPr>
        </w:r>
        <w:r w:rsidR="00C664D3">
          <w:rPr>
            <w:webHidden/>
          </w:rPr>
          <w:fldChar w:fldCharType="separate"/>
        </w:r>
        <w:r w:rsidR="00C664D3">
          <w:rPr>
            <w:webHidden/>
          </w:rPr>
          <w:t>84</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12" w:history="1">
        <w:r w:rsidR="00C664D3" w:rsidRPr="00E659A3">
          <w:rPr>
            <w:rStyle w:val="af2"/>
            <w:rFonts w:asciiTheme="minorEastAsia" w:hAnsiTheme="minorEastAsia" w:hint="eastAsia"/>
          </w:rPr>
          <w:t>第十九节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基金托管人</w:t>
        </w:r>
        <w:r w:rsidR="00C664D3">
          <w:rPr>
            <w:webHidden/>
          </w:rPr>
          <w:tab/>
        </w:r>
        <w:r w:rsidR="00C664D3">
          <w:rPr>
            <w:webHidden/>
          </w:rPr>
          <w:fldChar w:fldCharType="begin"/>
        </w:r>
        <w:r w:rsidR="00C664D3">
          <w:rPr>
            <w:webHidden/>
          </w:rPr>
          <w:instrText xml:space="preserve"> PAGEREF _Toc83904212 \h </w:instrText>
        </w:r>
        <w:r w:rsidR="00C664D3">
          <w:rPr>
            <w:webHidden/>
          </w:rPr>
        </w:r>
        <w:r w:rsidR="00C664D3">
          <w:rPr>
            <w:webHidden/>
          </w:rPr>
          <w:fldChar w:fldCharType="separate"/>
        </w:r>
        <w:r w:rsidR="00C664D3">
          <w:rPr>
            <w:webHidden/>
          </w:rPr>
          <w:t>86</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13" w:history="1">
        <w:r w:rsidR="00C664D3" w:rsidRPr="00E659A3">
          <w:rPr>
            <w:rStyle w:val="af2"/>
            <w:rFonts w:asciiTheme="minorEastAsia" w:hAnsiTheme="minorEastAsia" w:hint="eastAsia"/>
          </w:rPr>
          <w:t>第二十节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境外资产托管人</w:t>
        </w:r>
        <w:r w:rsidR="00C664D3">
          <w:rPr>
            <w:webHidden/>
          </w:rPr>
          <w:tab/>
        </w:r>
        <w:r w:rsidR="00C664D3">
          <w:rPr>
            <w:webHidden/>
          </w:rPr>
          <w:fldChar w:fldCharType="begin"/>
        </w:r>
        <w:r w:rsidR="00C664D3">
          <w:rPr>
            <w:webHidden/>
          </w:rPr>
          <w:instrText xml:space="preserve"> PAGEREF _Toc83904213 \h </w:instrText>
        </w:r>
        <w:r w:rsidR="00C664D3">
          <w:rPr>
            <w:webHidden/>
          </w:rPr>
        </w:r>
        <w:r w:rsidR="00C664D3">
          <w:rPr>
            <w:webHidden/>
          </w:rPr>
          <w:fldChar w:fldCharType="separate"/>
        </w:r>
        <w:r w:rsidR="00C664D3">
          <w:rPr>
            <w:webHidden/>
          </w:rPr>
          <w:t>89</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14" w:history="1">
        <w:r w:rsidR="00C664D3" w:rsidRPr="00E659A3">
          <w:rPr>
            <w:rStyle w:val="af2"/>
            <w:rFonts w:asciiTheme="minorEastAsia" w:hAnsiTheme="minorEastAsia" w:hint="eastAsia"/>
          </w:rPr>
          <w:t>第二十一节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相关服务机构</w:t>
        </w:r>
        <w:r w:rsidR="00C664D3">
          <w:rPr>
            <w:webHidden/>
          </w:rPr>
          <w:tab/>
        </w:r>
        <w:r w:rsidR="00C664D3">
          <w:rPr>
            <w:webHidden/>
          </w:rPr>
          <w:fldChar w:fldCharType="begin"/>
        </w:r>
        <w:r w:rsidR="00C664D3">
          <w:rPr>
            <w:webHidden/>
          </w:rPr>
          <w:instrText xml:space="preserve"> PAGEREF _Toc83904214 \h </w:instrText>
        </w:r>
        <w:r w:rsidR="00C664D3">
          <w:rPr>
            <w:webHidden/>
          </w:rPr>
        </w:r>
        <w:r w:rsidR="00C664D3">
          <w:rPr>
            <w:webHidden/>
          </w:rPr>
          <w:fldChar w:fldCharType="separate"/>
        </w:r>
        <w:r w:rsidR="00C664D3">
          <w:rPr>
            <w:webHidden/>
          </w:rPr>
          <w:t>90</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15" w:history="1">
        <w:r w:rsidR="00C664D3" w:rsidRPr="00E659A3">
          <w:rPr>
            <w:rStyle w:val="af2"/>
            <w:rFonts w:asciiTheme="minorEastAsia" w:hAnsiTheme="minorEastAsia" w:hint="eastAsia"/>
          </w:rPr>
          <w:t>第二十二节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基金合同内容摘要</w:t>
        </w:r>
        <w:r w:rsidR="00C664D3">
          <w:rPr>
            <w:webHidden/>
          </w:rPr>
          <w:tab/>
        </w:r>
        <w:r w:rsidR="00C664D3">
          <w:rPr>
            <w:webHidden/>
          </w:rPr>
          <w:fldChar w:fldCharType="begin"/>
        </w:r>
        <w:r w:rsidR="00C664D3">
          <w:rPr>
            <w:webHidden/>
          </w:rPr>
          <w:instrText xml:space="preserve"> PAGEREF _Toc83904215 \h </w:instrText>
        </w:r>
        <w:r w:rsidR="00C664D3">
          <w:rPr>
            <w:webHidden/>
          </w:rPr>
        </w:r>
        <w:r w:rsidR="00C664D3">
          <w:rPr>
            <w:webHidden/>
          </w:rPr>
          <w:fldChar w:fldCharType="separate"/>
        </w:r>
        <w:r w:rsidR="00C664D3">
          <w:rPr>
            <w:webHidden/>
          </w:rPr>
          <w:t>128</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16" w:history="1">
        <w:r w:rsidR="00C664D3" w:rsidRPr="00E659A3">
          <w:rPr>
            <w:rStyle w:val="af2"/>
            <w:rFonts w:asciiTheme="minorEastAsia" w:hAnsiTheme="minorEastAsia" w:hint="eastAsia"/>
          </w:rPr>
          <w:t>第二十三节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基金托管协议的内容摘要</w:t>
        </w:r>
        <w:r w:rsidR="00C664D3">
          <w:rPr>
            <w:webHidden/>
          </w:rPr>
          <w:tab/>
        </w:r>
        <w:r w:rsidR="00C664D3">
          <w:rPr>
            <w:webHidden/>
          </w:rPr>
          <w:fldChar w:fldCharType="begin"/>
        </w:r>
        <w:r w:rsidR="00C664D3">
          <w:rPr>
            <w:webHidden/>
          </w:rPr>
          <w:instrText xml:space="preserve"> PAGEREF _Toc83904216 \h </w:instrText>
        </w:r>
        <w:r w:rsidR="00C664D3">
          <w:rPr>
            <w:webHidden/>
          </w:rPr>
        </w:r>
        <w:r w:rsidR="00C664D3">
          <w:rPr>
            <w:webHidden/>
          </w:rPr>
          <w:fldChar w:fldCharType="separate"/>
        </w:r>
        <w:r w:rsidR="00C664D3">
          <w:rPr>
            <w:webHidden/>
          </w:rPr>
          <w:t>142</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17" w:history="1">
        <w:r w:rsidR="00C664D3" w:rsidRPr="00E659A3">
          <w:rPr>
            <w:rStyle w:val="af2"/>
            <w:rFonts w:asciiTheme="minorEastAsia" w:hAnsiTheme="minorEastAsia" w:hint="eastAsia"/>
          </w:rPr>
          <w:t>第二十四节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对基金份额持有人的服务</w:t>
        </w:r>
        <w:r w:rsidR="00C664D3">
          <w:rPr>
            <w:webHidden/>
          </w:rPr>
          <w:tab/>
        </w:r>
        <w:r w:rsidR="00C664D3">
          <w:rPr>
            <w:webHidden/>
          </w:rPr>
          <w:fldChar w:fldCharType="begin"/>
        </w:r>
        <w:r w:rsidR="00C664D3">
          <w:rPr>
            <w:webHidden/>
          </w:rPr>
          <w:instrText xml:space="preserve"> PAGEREF _Toc83904217 \h </w:instrText>
        </w:r>
        <w:r w:rsidR="00C664D3">
          <w:rPr>
            <w:webHidden/>
          </w:rPr>
        </w:r>
        <w:r w:rsidR="00C664D3">
          <w:rPr>
            <w:webHidden/>
          </w:rPr>
          <w:fldChar w:fldCharType="separate"/>
        </w:r>
        <w:r w:rsidR="00C664D3">
          <w:rPr>
            <w:webHidden/>
          </w:rPr>
          <w:t>156</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18" w:history="1">
        <w:r w:rsidR="00C664D3" w:rsidRPr="00E659A3">
          <w:rPr>
            <w:rStyle w:val="af2"/>
            <w:rFonts w:asciiTheme="minorEastAsia" w:hAnsiTheme="minorEastAsia" w:hint="eastAsia"/>
          </w:rPr>
          <w:t>第二十五节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其他应披露事项</w:t>
        </w:r>
        <w:r w:rsidR="00C664D3">
          <w:rPr>
            <w:webHidden/>
          </w:rPr>
          <w:tab/>
        </w:r>
        <w:r w:rsidR="00C664D3">
          <w:rPr>
            <w:webHidden/>
          </w:rPr>
          <w:fldChar w:fldCharType="begin"/>
        </w:r>
        <w:r w:rsidR="00C664D3">
          <w:rPr>
            <w:webHidden/>
          </w:rPr>
          <w:instrText xml:space="preserve"> PAGEREF _Toc83904218 \h </w:instrText>
        </w:r>
        <w:r w:rsidR="00C664D3">
          <w:rPr>
            <w:webHidden/>
          </w:rPr>
        </w:r>
        <w:r w:rsidR="00C664D3">
          <w:rPr>
            <w:webHidden/>
          </w:rPr>
          <w:fldChar w:fldCharType="separate"/>
        </w:r>
        <w:r w:rsidR="00C664D3">
          <w:rPr>
            <w:webHidden/>
          </w:rPr>
          <w:t>157</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19" w:history="1">
        <w:r w:rsidR="00C664D3" w:rsidRPr="00E659A3">
          <w:rPr>
            <w:rStyle w:val="af2"/>
            <w:rFonts w:asciiTheme="minorEastAsia" w:hAnsiTheme="minorEastAsia" w:hint="eastAsia"/>
          </w:rPr>
          <w:t>第二十六节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招募说明书存放及查阅方式</w:t>
        </w:r>
        <w:r w:rsidR="00C664D3">
          <w:rPr>
            <w:webHidden/>
          </w:rPr>
          <w:tab/>
        </w:r>
        <w:r w:rsidR="00C664D3">
          <w:rPr>
            <w:webHidden/>
          </w:rPr>
          <w:fldChar w:fldCharType="begin"/>
        </w:r>
        <w:r w:rsidR="00C664D3">
          <w:rPr>
            <w:webHidden/>
          </w:rPr>
          <w:instrText xml:space="preserve"> PAGEREF _Toc83904219 \h </w:instrText>
        </w:r>
        <w:r w:rsidR="00C664D3">
          <w:rPr>
            <w:webHidden/>
          </w:rPr>
        </w:r>
        <w:r w:rsidR="00C664D3">
          <w:rPr>
            <w:webHidden/>
          </w:rPr>
          <w:fldChar w:fldCharType="separate"/>
        </w:r>
        <w:r w:rsidR="00C664D3">
          <w:rPr>
            <w:webHidden/>
          </w:rPr>
          <w:t>159</w:t>
        </w:r>
        <w:r w:rsidR="00C664D3">
          <w:rPr>
            <w:webHidden/>
          </w:rPr>
          <w:fldChar w:fldCharType="end"/>
        </w:r>
      </w:hyperlink>
    </w:p>
    <w:p w:rsidR="00C664D3" w:rsidRDefault="00424900">
      <w:pPr>
        <w:pStyle w:val="10"/>
        <w:rPr>
          <w:rFonts w:asciiTheme="minorHAnsi" w:eastAsiaTheme="minorEastAsia" w:hAnsiTheme="minorHAnsi" w:cstheme="minorBidi"/>
          <w:caps w:val="0"/>
          <w:sz w:val="21"/>
          <w:szCs w:val="22"/>
        </w:rPr>
      </w:pPr>
      <w:hyperlink w:anchor="_Toc83904220" w:history="1">
        <w:r w:rsidR="00C664D3" w:rsidRPr="00E659A3">
          <w:rPr>
            <w:rStyle w:val="af2"/>
            <w:rFonts w:asciiTheme="minorEastAsia" w:hAnsiTheme="minorEastAsia" w:hint="eastAsia"/>
          </w:rPr>
          <w:t>第二十七节</w:t>
        </w:r>
        <w:r w:rsidR="00C664D3">
          <w:rPr>
            <w:rFonts w:asciiTheme="minorHAnsi" w:eastAsiaTheme="minorEastAsia" w:hAnsiTheme="minorHAnsi" w:cstheme="minorBidi"/>
            <w:caps w:val="0"/>
            <w:sz w:val="21"/>
            <w:szCs w:val="22"/>
          </w:rPr>
          <w:tab/>
        </w:r>
        <w:r w:rsidR="00C664D3" w:rsidRPr="00E659A3">
          <w:rPr>
            <w:rStyle w:val="af2"/>
            <w:rFonts w:asciiTheme="minorEastAsia" w:hAnsiTheme="minorEastAsia" w:hint="eastAsia"/>
          </w:rPr>
          <w:t>备查文件</w:t>
        </w:r>
        <w:r w:rsidR="00C664D3">
          <w:rPr>
            <w:webHidden/>
          </w:rPr>
          <w:tab/>
        </w:r>
        <w:r w:rsidR="00C664D3">
          <w:rPr>
            <w:webHidden/>
          </w:rPr>
          <w:fldChar w:fldCharType="begin"/>
        </w:r>
        <w:r w:rsidR="00C664D3">
          <w:rPr>
            <w:webHidden/>
          </w:rPr>
          <w:instrText xml:space="preserve"> PAGEREF _Toc83904220 \h </w:instrText>
        </w:r>
        <w:r w:rsidR="00C664D3">
          <w:rPr>
            <w:webHidden/>
          </w:rPr>
        </w:r>
        <w:r w:rsidR="00C664D3">
          <w:rPr>
            <w:webHidden/>
          </w:rPr>
          <w:fldChar w:fldCharType="separate"/>
        </w:r>
        <w:r w:rsidR="00C664D3">
          <w:rPr>
            <w:webHidden/>
          </w:rPr>
          <w:t>160</w:t>
        </w:r>
        <w:r w:rsidR="00C664D3">
          <w:rPr>
            <w:webHidden/>
          </w:rPr>
          <w:fldChar w:fldCharType="end"/>
        </w:r>
      </w:hyperlink>
    </w:p>
    <w:p w:rsidR="00A1091C" w:rsidRPr="00C664D3" w:rsidRDefault="00F61D22" w:rsidP="00FC6265">
      <w:pPr>
        <w:pStyle w:val="10"/>
        <w:rPr>
          <w:rFonts w:asciiTheme="minorEastAsia" w:eastAsiaTheme="minorEastAsia" w:hAnsiTheme="minorEastAsia"/>
          <w:color w:val="000000" w:themeColor="text1"/>
        </w:rPr>
        <w:sectPr w:rsidR="00A1091C" w:rsidRPr="00C664D3" w:rsidSect="00537B1A">
          <w:footerReference w:type="default" r:id="rId15"/>
          <w:footerReference w:type="first" r:id="rId16"/>
          <w:pgSz w:w="11906" w:h="16838" w:code="9"/>
          <w:pgMar w:top="1440" w:right="1800" w:bottom="1440" w:left="1800" w:header="1134" w:footer="1247" w:gutter="0"/>
          <w:pgNumType w:fmt="upperRoman" w:start="1"/>
          <w:cols w:space="425"/>
          <w:docGrid w:type="lines" w:linePitch="447"/>
        </w:sectPr>
      </w:pPr>
      <w:r w:rsidRPr="00C664D3">
        <w:rPr>
          <w:rFonts w:asciiTheme="minorEastAsia" w:eastAsiaTheme="minorEastAsia" w:hAnsiTheme="minorEastAsia"/>
          <w:color w:val="000000" w:themeColor="text1"/>
        </w:rPr>
        <w:fldChar w:fldCharType="end"/>
      </w: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0" w:name="_Toc38432421"/>
      <w:bookmarkStart w:id="1" w:name="_Toc83904194"/>
      <w:r w:rsidRPr="00C664D3">
        <w:rPr>
          <w:rFonts w:asciiTheme="minorEastAsia" w:eastAsiaTheme="minorEastAsia" w:hAnsiTheme="minorEastAsia"/>
          <w:color w:val="000000" w:themeColor="text1"/>
        </w:rPr>
        <w:lastRenderedPageBreak/>
        <w:t>绪言</w:t>
      </w:r>
      <w:bookmarkEnd w:id="0"/>
      <w:bookmarkEnd w:id="1"/>
    </w:p>
    <w:p w:rsidR="00A1091C" w:rsidRPr="00C664D3" w:rsidRDefault="00A1091C"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本《招募说明书》依据《中华人民共和国证券投资基金法》（以下简称《基金法》）、《</w:t>
      </w:r>
      <w:r w:rsidR="008A3D86" w:rsidRPr="00C664D3">
        <w:rPr>
          <w:rFonts w:asciiTheme="minorEastAsia" w:eastAsiaTheme="minorEastAsia" w:hAnsiTheme="minorEastAsia" w:hint="eastAsia"/>
          <w:color w:val="000000" w:themeColor="text1"/>
          <w:szCs w:val="21"/>
        </w:rPr>
        <w:t>公开募集</w:t>
      </w:r>
      <w:r w:rsidRPr="00C664D3">
        <w:rPr>
          <w:rFonts w:asciiTheme="minorEastAsia" w:eastAsiaTheme="minorEastAsia" w:hAnsiTheme="minorEastAsia"/>
          <w:color w:val="000000" w:themeColor="text1"/>
          <w:szCs w:val="21"/>
        </w:rPr>
        <w:t>证券投资基金运作管理办法》（以下简称《运作办法》）、《</w:t>
      </w:r>
      <w:r w:rsidR="00DD0F81" w:rsidRPr="00C664D3">
        <w:rPr>
          <w:rFonts w:asciiTheme="minorEastAsia" w:eastAsiaTheme="minorEastAsia" w:hAnsiTheme="minorEastAsia"/>
          <w:color w:val="000000" w:themeColor="text1"/>
          <w:szCs w:val="21"/>
        </w:rPr>
        <w:t>公开募集</w:t>
      </w:r>
      <w:r w:rsidRPr="00C664D3">
        <w:rPr>
          <w:rFonts w:asciiTheme="minorEastAsia" w:eastAsiaTheme="minorEastAsia" w:hAnsiTheme="minorEastAsia"/>
          <w:color w:val="000000" w:themeColor="text1"/>
          <w:szCs w:val="21"/>
        </w:rPr>
        <w:t>证券投资基金销售</w:t>
      </w:r>
      <w:r w:rsidR="00DD0F81" w:rsidRPr="00C664D3">
        <w:rPr>
          <w:rFonts w:asciiTheme="minorEastAsia" w:eastAsiaTheme="minorEastAsia" w:hAnsiTheme="minorEastAsia"/>
          <w:color w:val="000000" w:themeColor="text1"/>
          <w:szCs w:val="21"/>
        </w:rPr>
        <w:t>机构监督</w:t>
      </w:r>
      <w:r w:rsidRPr="00C664D3">
        <w:rPr>
          <w:rFonts w:asciiTheme="minorEastAsia" w:eastAsiaTheme="minorEastAsia" w:hAnsiTheme="minorEastAsia"/>
          <w:color w:val="000000" w:themeColor="text1"/>
          <w:szCs w:val="21"/>
        </w:rPr>
        <w:t>管理办法》（以下简称《销售办法》）、《</w:t>
      </w:r>
      <w:r w:rsidR="007642E1" w:rsidRPr="00C664D3">
        <w:rPr>
          <w:rFonts w:asciiTheme="minorEastAsia" w:eastAsiaTheme="minorEastAsia" w:hAnsiTheme="minorEastAsia" w:hint="eastAsia"/>
          <w:color w:val="000000" w:themeColor="text1"/>
          <w:szCs w:val="21"/>
        </w:rPr>
        <w:t>公开募集</w:t>
      </w:r>
      <w:r w:rsidRPr="00C664D3">
        <w:rPr>
          <w:rFonts w:asciiTheme="minorEastAsia" w:eastAsiaTheme="minorEastAsia" w:hAnsiTheme="minorEastAsia"/>
          <w:color w:val="000000" w:themeColor="text1"/>
          <w:szCs w:val="21"/>
        </w:rPr>
        <w:t>证券投资基金信息披露管理办法》（以下简称《信息披露办法》）、</w:t>
      </w:r>
      <w:r w:rsidRPr="00C664D3">
        <w:rPr>
          <w:rFonts w:asciiTheme="minorEastAsia" w:eastAsiaTheme="minorEastAsia" w:hAnsiTheme="minorEastAsia"/>
          <w:color w:val="000000" w:themeColor="text1"/>
        </w:rPr>
        <w:t>《证券投资基金信息披露内容与格式准则第5号&lt;招募说明书的内容与格式&gt;》、《合格境内机构投资者境外证券投资管理试行办法》（以下简称“《试行办法》”）、《</w:t>
      </w:r>
      <w:r w:rsidRPr="00C664D3">
        <w:rPr>
          <w:rFonts w:asciiTheme="minorEastAsia" w:eastAsiaTheme="minorEastAsia" w:hAnsiTheme="minorEastAsia"/>
          <w:bCs/>
          <w:color w:val="000000" w:themeColor="text1"/>
          <w:szCs w:val="21"/>
        </w:rPr>
        <w:t>关于实施&lt;合格境内机构投资者境外证券投资管理试行办法&gt;有关问题的通知》（以下简称《通知》</w:t>
      </w:r>
      <w:r w:rsidR="00C81E1B" w:rsidRPr="00C664D3">
        <w:rPr>
          <w:rFonts w:asciiTheme="minorEastAsia" w:eastAsiaTheme="minorEastAsia" w:hAnsiTheme="minorEastAsia" w:hint="eastAsia"/>
          <w:bCs/>
          <w:color w:val="000000" w:themeColor="text1"/>
          <w:szCs w:val="21"/>
        </w:rPr>
        <w:t>、《公开募集开放式证券投资基金流动性风险管理规定》（以下简称“《管理规定》”）</w:t>
      </w:r>
      <w:r w:rsidR="00766528" w:rsidRPr="00C664D3">
        <w:rPr>
          <w:rFonts w:asciiTheme="minorEastAsia" w:eastAsiaTheme="minorEastAsia" w:hAnsiTheme="minorEastAsia" w:hint="eastAsia"/>
          <w:bCs/>
          <w:color w:val="000000" w:themeColor="text1"/>
          <w:szCs w:val="21"/>
        </w:rPr>
        <w:t>、《公开募集证券投资基金运作指引第3号——指数基金指引》（以下简称《指数基金指引》）</w:t>
      </w:r>
      <w:r w:rsidRPr="00C664D3">
        <w:rPr>
          <w:rFonts w:asciiTheme="minorEastAsia" w:eastAsiaTheme="minorEastAsia" w:hAnsiTheme="minorEastAsia"/>
          <w:color w:val="000000" w:themeColor="text1"/>
          <w:szCs w:val="21"/>
        </w:rPr>
        <w:t>等有关法律法规以及《</w:t>
      </w:r>
      <w:r w:rsidR="00D12A88" w:rsidRPr="00C664D3">
        <w:rPr>
          <w:rFonts w:asciiTheme="minorEastAsia" w:eastAsiaTheme="minorEastAsia" w:hAnsiTheme="minorEastAsia"/>
          <w:color w:val="000000" w:themeColor="text1"/>
          <w:szCs w:val="21"/>
        </w:rPr>
        <w:t>易方达</w:t>
      </w:r>
      <w:r w:rsidR="007B11AE" w:rsidRPr="00C664D3">
        <w:rPr>
          <w:rFonts w:asciiTheme="minorEastAsia" w:eastAsiaTheme="minorEastAsia" w:hAnsiTheme="minorEastAsia" w:hint="eastAsia"/>
          <w:color w:val="000000" w:themeColor="text1"/>
          <w:szCs w:val="21"/>
        </w:rPr>
        <w:t>标普信息科技指数</w:t>
      </w:r>
      <w:r w:rsidR="00D12A88" w:rsidRPr="00C664D3">
        <w:rPr>
          <w:rFonts w:asciiTheme="minorEastAsia" w:eastAsiaTheme="minorEastAsia" w:hAnsiTheme="minorEastAsia"/>
          <w:color w:val="000000" w:themeColor="text1"/>
          <w:szCs w:val="21"/>
        </w:rPr>
        <w:t>证券投资基金（LOF）</w:t>
      </w:r>
      <w:r w:rsidRPr="00C664D3">
        <w:rPr>
          <w:rFonts w:asciiTheme="minorEastAsia" w:eastAsiaTheme="minorEastAsia" w:hAnsiTheme="minorEastAsia"/>
          <w:color w:val="000000" w:themeColor="text1"/>
          <w:szCs w:val="21"/>
        </w:rPr>
        <w:t>基金合同》编写。</w:t>
      </w:r>
    </w:p>
    <w:p w:rsidR="00A1091C" w:rsidRPr="00C664D3" w:rsidRDefault="00A1091C" w:rsidP="00AB77C1">
      <w:pPr>
        <w:spacing w:line="360" w:lineRule="auto"/>
        <w:ind w:firstLine="482"/>
        <w:rPr>
          <w:rStyle w:val="da"/>
          <w:rFonts w:asciiTheme="minorEastAsia" w:eastAsiaTheme="minorEastAsia" w:hAnsiTheme="minorEastAsia"/>
          <w:color w:val="000000" w:themeColor="text1"/>
        </w:rPr>
      </w:pPr>
      <w:r w:rsidRPr="00C664D3">
        <w:rPr>
          <w:rStyle w:val="da"/>
          <w:rFonts w:asciiTheme="minorEastAsia" w:eastAsiaTheme="minorEastAsia" w:hAnsiTheme="minor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1091C" w:rsidRPr="00C664D3" w:rsidRDefault="00A1091C" w:rsidP="00AB77C1">
      <w:pPr>
        <w:spacing w:line="360" w:lineRule="auto"/>
        <w:ind w:firstLine="482"/>
        <w:rPr>
          <w:rFonts w:asciiTheme="minorEastAsia" w:eastAsiaTheme="minorEastAsia" w:hAnsiTheme="minorEastAsia"/>
          <w:b/>
          <w:color w:val="000000" w:themeColor="text1"/>
          <w:szCs w:val="21"/>
        </w:rPr>
      </w:pPr>
      <w:r w:rsidRPr="00C664D3">
        <w:rPr>
          <w:rStyle w:val="da"/>
          <w:rFonts w:asciiTheme="minorEastAsia" w:eastAsiaTheme="minorEastAsia" w:hAnsiTheme="minorEastAsia"/>
          <w:color w:val="000000" w:themeColor="text1"/>
        </w:rPr>
        <w:t>本招募说明书根据本基金的基金合同编写，并经中国证监会</w:t>
      </w:r>
      <w:r w:rsidR="00985CF6" w:rsidRPr="00C664D3">
        <w:rPr>
          <w:rStyle w:val="da"/>
          <w:rFonts w:asciiTheme="minorEastAsia" w:eastAsiaTheme="minorEastAsia" w:hAnsiTheme="minorEastAsia" w:hint="eastAsia"/>
          <w:color w:val="000000" w:themeColor="text1"/>
        </w:rPr>
        <w:t>注册</w:t>
      </w:r>
      <w:r w:rsidRPr="00C664D3">
        <w:rPr>
          <w:rStyle w:val="da"/>
          <w:rFonts w:asciiTheme="minorEastAsia" w:eastAsiaTheme="minorEastAsia" w:hAnsiTheme="minorEastAsia"/>
          <w:color w:val="000000" w:themeColor="text1"/>
        </w:rPr>
        <w:t>。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A1091C" w:rsidRPr="00C664D3" w:rsidRDefault="00A1091C" w:rsidP="00AB77C1">
      <w:pPr>
        <w:spacing w:line="360" w:lineRule="auto"/>
        <w:ind w:firstLine="482"/>
        <w:rPr>
          <w:rFonts w:asciiTheme="minorEastAsia" w:eastAsiaTheme="minorEastAsia" w:hAnsiTheme="minorEastAsia"/>
          <w:b/>
          <w:color w:val="000000" w:themeColor="text1"/>
          <w:szCs w:val="21"/>
        </w:rPr>
      </w:pP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2" w:name="_Toc38432422"/>
      <w:bookmarkStart w:id="3" w:name="_Toc83904195"/>
      <w:r w:rsidRPr="00C664D3">
        <w:rPr>
          <w:rFonts w:asciiTheme="minorEastAsia" w:eastAsiaTheme="minorEastAsia" w:hAnsiTheme="minorEastAsia"/>
          <w:color w:val="000000" w:themeColor="text1"/>
        </w:rPr>
        <w:lastRenderedPageBreak/>
        <w:t>释义</w:t>
      </w:r>
      <w:bookmarkEnd w:id="2"/>
      <w:bookmarkEnd w:id="3"/>
    </w:p>
    <w:p w:rsidR="00A1091C" w:rsidRPr="00C664D3" w:rsidRDefault="00A1091C" w:rsidP="00AB77C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本《招募说明书》中除非文意另有所指，下列词语有如下含义：</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1、基金或本基金：指易方达标普信息科技指数证券投资基金（LOF）</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2、基金管理人：指易方达基金管理有限公司        </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3、基金托管人：指中国建设银行股份有限公司      </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4、境外托管人：指符合法律法规规定的条件，根据基金托管人与其签订的合同，为本基金提供境外资产托管服务的境外金融机构</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5、基金合同或本基金合同：指《易方达标普信息科技指数证券投资基金（LOF）基金合同》及对本基金合同的任何有效修订和补充</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6、托管协议：指基金管理人与基金托管人就本基金签订之《易方达标普信息科技指数证券投资基金（LOF）托管协议》及对该托管协议的任何有效修订和补充</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7、招募说明书：指《易方达标普信息科技指数证券投资基金（LOF）招募说明书》及其更新</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8、基金产品资料概要：指《易方达标普信息科技指数证券投资基金（LOF）基金产品资料概要》及其更新</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9、基金份额发售公告：指《易方达标普信息科技指数证券投资基金（LOF）基金份额发售公告》</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10、法律法规：指中国现行有效并公布实施的法律、行政法规、规范性文件、司法解释、行政规章以及其他对基金合同当事人有约束力的决定、决议、通知等</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基金法》：指2003年10月28日第十届全国人民代表大会常务委员会第五次会议通过，2012年12月28日第十一届全国人民代表大会常务委员会第三十次会议修订，自2013年6月1日起实施的《中华人民共和国证券投资基金法》及颁布机关对其不时做出的修订</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12、《销售办法》：指中国证监会2020年8月28日颁布、同年10月1日实施的《公开募集证券投资基金销售机构监督管理办法》及颁布机关对其不时做出的修订</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13、《信息披露办法》：指中国证监会2019年7月26日颁布、同年9月1日实施的《公开募集证券投资基金信息披露管理办法》及颁布机关对其不时做出的修订</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14、《运作办法》：指中国证监会2014年7月7日颁布、同年8月8日实施的《公开募集证券投资基金运作管理办法》及颁布机关对其不时做出的修订</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15、《管理规定》：指中国证监会2017年8月31日颁布、同年10月1日实施的《公开</w:t>
      </w:r>
      <w:r w:rsidRPr="00C664D3">
        <w:rPr>
          <w:rFonts w:asciiTheme="minorEastAsia" w:eastAsiaTheme="minorEastAsia" w:hAnsiTheme="minorEastAsia" w:hint="eastAsia"/>
          <w:color w:val="000000" w:themeColor="text1"/>
          <w:szCs w:val="21"/>
        </w:rPr>
        <w:lastRenderedPageBreak/>
        <w:t>募集开放式证券投资基金流动性风险管理规定》及颁布机关对其不时做出的修订</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16、《试行办法》：</w:t>
      </w:r>
      <w:r w:rsidRPr="00C664D3">
        <w:rPr>
          <w:rFonts w:asciiTheme="minorEastAsia" w:eastAsiaTheme="minorEastAsia" w:hAnsiTheme="minorEastAsia" w:hint="eastAsia"/>
          <w:color w:val="000000" w:themeColor="text1"/>
          <w:szCs w:val="21"/>
        </w:rPr>
        <w:tab/>
        <w:t>指中国证监会于2007年6月18日公布、自同年7月5日起实施的《合格境内机构投资者境外证券投资管理试行办法》及颁布机关对其不时做出的修订</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17、《通知》：指中国证监会于2007年6月18日公布、自同年7月5日起实施的《关于实施&lt;合格境内机构投资者境外证券投资管理试行办法&gt;有关问题的通知》及颁布机关对其不时做出的修订</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18、《指数基金指引》：指中国证监会2021年1月22日颁布、同年2月1日实施的《公开募集证券投资基金运作指引第3号——指数基金指引》及颁布机关对其不时做出的修订</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19、中国证监会：指中国证券监督管理委员会</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20、银行业监督管理机构：指中国人民银行和/或中国银行业监督管理委员会</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21、外管局：指国家外汇管理局</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22、基金合同当事人：指受基金合同约束，根据基金合同享有权利并承担义务的法律主体，包括基金管理人、基金托管人和基金份额持有人</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23、个人投资者：指依据有关法律法规规定可投资于证券投资基金的自然人</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24、机构投资者：指依法可以投资证券投资基金的、在中华人民共和国境内合法登记并存续或经有关政府部门批准设立并存续的企业法人、事业法人、社会团体或其他组织</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25、合格境外机构投资者：指符合相关法律法规规定可以投资于在中国境内依法募集的证券投资基金的中国境外的机构投资者</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26、投资人、投资者：指个人投资者、机构投资者和合格境外机构投资者以及法律法规或中国证监会允许购买证券投资基金的其他投资人的合称</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27、基金份额持有人：指依基金合同和招募说明书合法取得基金份额的投资人</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28、基金销售业务：指基金管理人或销售机构宣传推介基金，发售基金份额，办理基金份额的申购、赎回、转换、非交易过户、转托管及定期定额投资等业务。</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29、销售机构：指易方达基金管理有限公司以及符合《销售办法》和中国证监会规定的其他条件，取得基金销售业务资格并与基金管理人签订了基金销售服务协议，办理基金销售业务的机构</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30、登记结算业务：指基金登记、存管、过户、清算和结算业务，具体内容包括投资人基金账户和/或深圳证券账户的建立和管理、基金份额登记、基金销售业务的确认、清算和结算、代理发放红利、建立并保管基金份额持有人名册和办理非交易过户等</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31、登记结算机构：指办理登记业务的机构。基金的登记结算机构为易方达基金管理</w:t>
      </w:r>
      <w:r w:rsidRPr="00C664D3">
        <w:rPr>
          <w:rFonts w:asciiTheme="minorEastAsia" w:eastAsiaTheme="minorEastAsia" w:hAnsiTheme="minorEastAsia" w:hint="eastAsia"/>
          <w:color w:val="000000" w:themeColor="text1"/>
          <w:szCs w:val="21"/>
        </w:rPr>
        <w:lastRenderedPageBreak/>
        <w:t>有限公司或接受易方达基金管理有限公司委托代为办理登记业务的机构。本基金A类人民币份额的登记结算机构为中国证券登记结算有限责任公司，A类美元份额、C类美元份额、C类人民币份额的登记结算机构为易方达基金管理有限公司</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32、登记结算系统：指中国证券登记结算有限责任公司开放式基金登记结算系统</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33、证券登记系统：指中国证券登记结算有限责任公司深圳分公司证券登记系统</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34、开放式基金账户或基金账户：指登记结算机构为投资人开立的、记录其持有的、基金管理人所管理的场外份额余额及其变动情况的账户，其中场外A类人民币份额记录在中国证券登记结算有限责任公司开立的基金账户并登记在中国证券登记结算有限责任公司的登记结算系统，场内A类人民币份额记录在基金份额持有人深圳证券账户并登记在中国结算深圳分公司证券登记系统，A类美元份额、C类美元份额、C类人民币份额记录在易方达基金管理有限公司开立的基金账户并登记在易方达基金管理有限公司的注册登记系统</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35、深圳证券账户：指在中国结算深圳分公司开设的深圳证券交易所人民币普通股票账户（即A股账户）或证券投资基金账户，本基金的场内A类人民币基金份额记录在该账户并登记在证券登记系统</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36、基金交易账户：指销售机构为投资人开立的、记录投资人通过该销售机构买卖基金的基金份额变动及结余情况的账户</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37、基金合同生效日：指基金募集达到法律法规规定及基金合同规定的条件，基金管理人向中国证监会办理基金备案手续完毕，并获得中国证监会书面确认的日期</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38、基金合同终止日：指基金合同规定的基金合同终止事由出现后，基金财产清算完毕，清算结果报中国证监会备案并予以公告的日期</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39、基金募集期：指自基金份额发售之日起至发售结束之日止的期间，最长不得超过3个月</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40、存续期：指基金合同生效至终止之间的不定期期限</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41、工作日：指上海证券交易所、深圳证券交易所的正常交易日</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42、T日：指销售机构在规定时间受理投资人申购、赎回或其他业务申请的开放日</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43、T+n日：指自T日起第n个工作日(不包含T日) ，n为自然数</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44、开放日：指为投资人办理基金份额申购、赎回或其他业务的工作日</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45、开放时间：指开放日基金接受申购、赎回或其他交易的时间段</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46、《业务规则》：指深圳证券交易所、登记结算机构、基金管理人及基金销售机构的相关业务规则，由基金管理人和投资者共同遵守</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47、场内：通过具有相应业务资格的深圳证券交易所会员单位利用深圳证券交易所交易系统办理本基金基金份额的认购、申购、赎回和上市交易等业务的场所。通过该等场所办理基金份额的认购、申购、赎回也称为场内认购、场内申购、场内赎回</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48、场外：指深圳证券交易所交易系统外的销售机构利用其自身柜台或者其他交易系统办理本基金基金份额认购、申购和赎回业务的基金销售机构和场所。通过该等场所办理基金份额的认购、申购和赎回也称为场外认购、场外申购和场外赎回</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49、场外份额：指登记在登记结算系统下的A类人民币份额和登记在易方达基金管理有限公司注册登记系统下的C类人民币份额，A类美元份额、C类美元份额</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50、场内份额：指登记在证券登记系统下的A类人民币份额</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51、基金份额类别：指本基金将基金份额分为不同的类别。在投资人申购基金时收取申购费用，并不再从本类别基金资产中计提销售服务费的基金份额，称为A类基金份额；从本类基金资产中计提销售服务费，并不收取申购费用的基金份额，称为C类基金份额。在每一份额类别内，根据申购、赎回计价币种的不同，分为人民币基金份额和美元基金份额。以人民币计价并进行申购、赎回的份额类别，称为人民币基金份额；以美元计价并进行申购、赎回的份额类别，称为美元基金份额（特指美元现汇基金份额）</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52、认购：指在基金募集期内，投资人申请购买基金份额的行为</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53、申购：指基金合同生效后，投资人根据基金合同和招募说明书的规定申请购买基金份额的行为</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54、赎回：指基金合同生效后，基金份额持有人按基金合同规定的条件要求将基金份额兑换为现金的行为</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55、基金转换：指基金份额持有人按照本基金合同和基金管理人届时有效公告规定的条件，申请将其持有基金管理人管理的、某一基金的基金份额转换为基金管理人管理的其他基金基金份额的行为</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56、转托管：指基金份额持有人在本基金的不同销售机构之间实施的变更所持基金份额销售机构的操作。对于A类人民币基金份额，转托管包括系统内转托管和跨系统转托管</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57、系统内转托管：基金份额持有人将持有的A类人民币基金份额在登记结算系统内不同销售机构（网点）之间或证券登记系统内不同会员单位（交易单元）之间进行转登记的行为，以及基金份额持有人将持有的A类美元份额、C类美元份额和C类人民币份额在易方达基金管理有限公司注册登记系统内不同销售机构之间进行转托管的行为</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58、跨系统转托管：基金份额持有人将持有的A类人民币基金份额在登记结算系统和</w:t>
      </w:r>
      <w:r w:rsidRPr="00C664D3">
        <w:rPr>
          <w:rFonts w:asciiTheme="minorEastAsia" w:eastAsiaTheme="minorEastAsia" w:hAnsiTheme="minorEastAsia" w:hint="eastAsia"/>
          <w:color w:val="000000" w:themeColor="text1"/>
          <w:szCs w:val="21"/>
        </w:rPr>
        <w:lastRenderedPageBreak/>
        <w:t>证券登记系统间进行转登记的行为。除非基金管理人另行公告，本基金不支持基金份额持有人将持有的基金份额在中国证券登记结算有限责任公司的证券登记系统或登记结算系统与易方达基金管理有限公司注册登记系统之间进行转托管</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59、定期定额投资计划：指投资人通过有关销售机构提出申请，约定每期申购日、扣款金额及扣款方式，由销售机构于每期约定扣款日在投资人指定银行账户内自动完成扣款及受理基金申购申请的一种投资方式</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60、巨额赎回：指本基金单个开放日，基金净赎回申请(赎回申请份额总数加上基金转换中转出申请份额总数后扣除申购申请份额总数及基金转换中转入申请份额总数后的余额)超过上一开放日基金总份额的10%</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61、上市交易：指投资者通过证券交易所会员单位以集中竞价的方式买卖A类人民币基金份额的行为</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62、《上市交易公告书》：指《易方达标普信息科技指数证券投资基金（LOF）上市交易公告书》</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63、元：如无特指，指人民币元</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64、人民币：指中国法定货币及法定货币单位</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65、美元：指美国法定货币及法定货币单位</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66、基金收益：指基金投资所得红利、股息、债券利息、买卖证券价差、银行存款利息、已实现的其他合法收入及因运用基金财产带来的成本和费用的节约</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67、基金资产总值：指基金拥有的各类有价证券、银行存款本息、基金应收申购款及其他资产的价值总和</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68、基金资产净值：指基金资产总值减去基金负债后的价值</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69、基金份额净值：A类人民币基金份额的基金份额净值指以估值日A类基金资产净值除以估值日A类基金份额余额后得出的单位基金份额的价值，估值日A类基金份额余额为估值日A类各币种基金份额余额的合计数；A类美元基金份额的基金份额净值以A类人民币基金份额的基金份额净值为基础，按照估值日的估值汇率进行折算；C类人民币基金份额的基金份额净值指以估值日C类基金份额的基金资产净值除以估值日C类基金份额余额后得出的单位基金份额的价值；估值日C类基金份额余额为估值日C类各币种基金份额余额的合计数；C类美元基金份额的基金份额净值以C类人民币基金份额的基金份额净值为基础，按照估值日的估值汇率进行折算</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70、基金资产估值：指计算评估基金资产和负债的价值，以确定基金资产净值和基金</w:t>
      </w:r>
      <w:r w:rsidRPr="00C664D3">
        <w:rPr>
          <w:rFonts w:asciiTheme="minorEastAsia" w:eastAsiaTheme="minorEastAsia" w:hAnsiTheme="minorEastAsia" w:hint="eastAsia"/>
          <w:color w:val="000000" w:themeColor="text1"/>
          <w:szCs w:val="21"/>
        </w:rPr>
        <w:lastRenderedPageBreak/>
        <w:t>份额净值的过程</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71、指定媒介：指中国证监会指定的用以进行信息披露的全国性报刊及指定互联网网站（包括基金管理人网站、基金托管人网站、中国证监会基金电子披露网站）等媒介</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72、基金份额折算：指基金管理人根据基金运作的需要，在基金资产净值不变的前提下，按照一定比例调整基金份额总额及基金份额净值</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73、境外投资顾问：指符合《试行办法》规定的条件，根据合同为基金管理人境外证券投资提供证券买卖建议或投资组合管理等服务并取得收入的境外金融机构</w:t>
      </w:r>
    </w:p>
    <w:p w:rsidR="00DD0F81" w:rsidRPr="00C664D3" w:rsidRDefault="00DD0F81" w:rsidP="00DD0F8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74、不可抗力：指合同当事人不能预见、不能避免且不能克服的客观事件</w:t>
      </w:r>
    </w:p>
    <w:p w:rsidR="00A1091C" w:rsidRPr="00C664D3" w:rsidRDefault="00DD0F81" w:rsidP="00223958">
      <w:pPr>
        <w:spacing w:line="360" w:lineRule="auto"/>
        <w:ind w:firstLineChars="200" w:firstLine="420"/>
        <w:jc w:val="left"/>
        <w:rPr>
          <w:rFonts w:asciiTheme="minorEastAsia" w:eastAsiaTheme="minorEastAsia" w:hAnsiTheme="minorEastAsia"/>
          <w:b/>
          <w:color w:val="000000" w:themeColor="text1"/>
          <w:szCs w:val="21"/>
        </w:rPr>
      </w:pPr>
      <w:r w:rsidRPr="00C664D3">
        <w:rPr>
          <w:rFonts w:asciiTheme="minorEastAsia" w:eastAsiaTheme="minorEastAsia" w:hAnsiTheme="minorEastAsia" w:hint="eastAsia"/>
          <w:color w:val="000000" w:themeColor="text1"/>
          <w:szCs w:val="21"/>
        </w:rPr>
        <w:t>75、流动性受限资产：指由于法律法规、监管、合同或操作障碍等原因无法以合理价格予以变现的资产，包括但不限于到期日在10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A1091C" w:rsidRPr="00C664D3" w:rsidRDefault="00A1091C" w:rsidP="00AB77C1">
      <w:pPr>
        <w:spacing w:line="360" w:lineRule="auto"/>
        <w:ind w:firstLine="480"/>
        <w:jc w:val="left"/>
        <w:rPr>
          <w:rFonts w:asciiTheme="minorEastAsia" w:eastAsiaTheme="minorEastAsia" w:hAnsiTheme="minorEastAsia"/>
          <w:b/>
          <w:color w:val="000000" w:themeColor="text1"/>
          <w:szCs w:val="21"/>
        </w:rPr>
      </w:pPr>
    </w:p>
    <w:p w:rsidR="00A1091C" w:rsidRPr="00C664D3" w:rsidRDefault="00A1091C" w:rsidP="00AB77C1">
      <w:pPr>
        <w:spacing w:line="360" w:lineRule="auto"/>
        <w:ind w:firstLine="480"/>
        <w:jc w:val="left"/>
        <w:rPr>
          <w:rFonts w:asciiTheme="minorEastAsia" w:eastAsiaTheme="minorEastAsia" w:hAnsiTheme="minorEastAsia"/>
          <w:b/>
          <w:color w:val="000000" w:themeColor="text1"/>
        </w:rPr>
        <w:sectPr w:rsidR="00A1091C" w:rsidRPr="00C664D3" w:rsidSect="00537B1A">
          <w:pgSz w:w="11906" w:h="16838" w:code="9"/>
          <w:pgMar w:top="1440" w:right="1800" w:bottom="1440" w:left="1800" w:header="851" w:footer="992" w:gutter="0"/>
          <w:pgNumType w:start="1"/>
          <w:cols w:space="425"/>
          <w:docGrid w:type="lines" w:linePitch="312"/>
        </w:sectPr>
      </w:pP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4" w:name="_Toc83904196"/>
      <w:r w:rsidRPr="00C664D3">
        <w:rPr>
          <w:rFonts w:asciiTheme="minorEastAsia" w:eastAsiaTheme="minorEastAsia" w:hAnsiTheme="minorEastAsia"/>
          <w:color w:val="000000" w:themeColor="text1"/>
        </w:rPr>
        <w:lastRenderedPageBreak/>
        <w:t>风险揭示</w:t>
      </w:r>
      <w:bookmarkEnd w:id="4"/>
    </w:p>
    <w:p w:rsidR="00A1091C" w:rsidRPr="00C664D3" w:rsidRDefault="00FD4F1F" w:rsidP="00AB77C1">
      <w:pPr>
        <w:spacing w:line="360" w:lineRule="auto"/>
        <w:ind w:firstLineChars="225" w:firstLine="473"/>
        <w:rPr>
          <w:rFonts w:asciiTheme="minorEastAsia" w:eastAsiaTheme="minorEastAsia" w:hAnsiTheme="minorEastAsia"/>
          <w:color w:val="000000" w:themeColor="text1"/>
          <w:szCs w:val="21"/>
        </w:rPr>
      </w:pPr>
      <w:bookmarkStart w:id="5" w:name="_Toc296440057"/>
      <w:bookmarkStart w:id="6" w:name="_Toc296526871"/>
      <w:bookmarkStart w:id="7" w:name="_Toc306614138"/>
      <w:r w:rsidRPr="00C664D3">
        <w:rPr>
          <w:rFonts w:asciiTheme="minorEastAsia" w:eastAsiaTheme="minorEastAsia" w:hAnsiTheme="minorEastAsia"/>
          <w:color w:val="000000" w:themeColor="text1"/>
          <w:szCs w:val="21"/>
        </w:rPr>
        <w:t>本基金的投资运作中可能出现的风险包括</w:t>
      </w:r>
      <w:r w:rsidRPr="00C664D3">
        <w:rPr>
          <w:rFonts w:asciiTheme="minorEastAsia" w:eastAsiaTheme="minorEastAsia" w:hAnsiTheme="minorEastAsia" w:hint="eastAsia"/>
          <w:color w:val="000000" w:themeColor="text1"/>
          <w:szCs w:val="21"/>
        </w:rPr>
        <w:t>本</w:t>
      </w:r>
      <w:r w:rsidRPr="00C664D3">
        <w:rPr>
          <w:rFonts w:asciiTheme="minorEastAsia" w:eastAsiaTheme="minorEastAsia" w:hAnsiTheme="minorEastAsia"/>
          <w:color w:val="000000" w:themeColor="text1"/>
          <w:szCs w:val="21"/>
        </w:rPr>
        <w:t>基金特有</w:t>
      </w:r>
      <w:r w:rsidRPr="00C664D3">
        <w:rPr>
          <w:rFonts w:asciiTheme="minorEastAsia" w:eastAsiaTheme="minorEastAsia" w:hAnsiTheme="minorEastAsia" w:hint="eastAsia"/>
          <w:color w:val="000000" w:themeColor="text1"/>
          <w:szCs w:val="21"/>
        </w:rPr>
        <w:t>的</w:t>
      </w:r>
      <w:r w:rsidRPr="00C664D3">
        <w:rPr>
          <w:rFonts w:asciiTheme="minorEastAsia" w:eastAsiaTheme="minorEastAsia" w:hAnsiTheme="minorEastAsia"/>
          <w:color w:val="000000" w:themeColor="text1"/>
          <w:szCs w:val="21"/>
        </w:rPr>
        <w:t>风险、投资风险、</w:t>
      </w:r>
      <w:r w:rsidR="00C81E1B" w:rsidRPr="00C664D3">
        <w:rPr>
          <w:rFonts w:asciiTheme="minorEastAsia" w:eastAsiaTheme="minorEastAsia" w:hAnsiTheme="minorEastAsia" w:hint="eastAsia"/>
          <w:color w:val="000000" w:themeColor="text1"/>
          <w:szCs w:val="21"/>
        </w:rPr>
        <w:t>流动性风险、</w:t>
      </w:r>
      <w:r w:rsidRPr="00C664D3">
        <w:rPr>
          <w:rFonts w:asciiTheme="minorEastAsia" w:eastAsiaTheme="minorEastAsia" w:hAnsiTheme="minorEastAsia"/>
          <w:color w:val="000000" w:themeColor="text1"/>
          <w:szCs w:val="21"/>
        </w:rPr>
        <w:t>运作风险</w:t>
      </w:r>
      <w:r w:rsidR="007642E1" w:rsidRPr="00C664D3">
        <w:rPr>
          <w:rFonts w:asciiTheme="minorEastAsia" w:eastAsiaTheme="minorEastAsia" w:hAnsiTheme="minorEastAsia" w:hint="eastAsia"/>
          <w:color w:val="000000" w:themeColor="text1"/>
          <w:szCs w:val="21"/>
        </w:rPr>
        <w:t>、本基金法律文件中涉及基金风险特征的表述与销售机构对基金的风险评级可能不一致的风险</w:t>
      </w:r>
      <w:r w:rsidRPr="00C664D3">
        <w:rPr>
          <w:rFonts w:asciiTheme="minorEastAsia" w:eastAsiaTheme="minorEastAsia" w:hAnsiTheme="minorEastAsia"/>
          <w:color w:val="000000" w:themeColor="text1"/>
          <w:szCs w:val="21"/>
        </w:rPr>
        <w:t>及</w:t>
      </w:r>
      <w:r w:rsidRPr="00C664D3">
        <w:rPr>
          <w:rFonts w:asciiTheme="minorEastAsia" w:eastAsiaTheme="minorEastAsia" w:hAnsiTheme="minorEastAsia" w:hint="eastAsia"/>
          <w:color w:val="000000" w:themeColor="text1"/>
          <w:szCs w:val="21"/>
        </w:rPr>
        <w:t>不可抗力风险</w:t>
      </w:r>
      <w:r w:rsidR="00C81E1B" w:rsidRPr="00C664D3">
        <w:rPr>
          <w:rFonts w:asciiTheme="minorEastAsia" w:eastAsiaTheme="minorEastAsia" w:hAnsiTheme="minorEastAsia" w:hint="eastAsia"/>
          <w:color w:val="000000" w:themeColor="text1"/>
          <w:szCs w:val="21"/>
        </w:rPr>
        <w:t>等</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其中</w:t>
      </w:r>
      <w:r w:rsidRPr="00C664D3">
        <w:rPr>
          <w:rFonts w:asciiTheme="minorEastAsia" w:eastAsiaTheme="minorEastAsia" w:hAnsiTheme="minorEastAsia" w:hint="eastAsia"/>
          <w:color w:val="000000" w:themeColor="text1"/>
          <w:szCs w:val="21"/>
        </w:rPr>
        <w:t>，本</w:t>
      </w:r>
      <w:r w:rsidRPr="00C664D3">
        <w:rPr>
          <w:rFonts w:asciiTheme="minorEastAsia" w:eastAsiaTheme="minorEastAsia" w:hAnsiTheme="minorEastAsia"/>
          <w:color w:val="000000" w:themeColor="text1"/>
          <w:szCs w:val="21"/>
        </w:rPr>
        <w:t>基金特</w:t>
      </w:r>
      <w:r w:rsidRPr="00C664D3">
        <w:rPr>
          <w:rFonts w:asciiTheme="minorEastAsia" w:eastAsiaTheme="minorEastAsia" w:hAnsiTheme="minorEastAsia" w:hint="eastAsia"/>
          <w:color w:val="000000" w:themeColor="text1"/>
          <w:szCs w:val="21"/>
        </w:rPr>
        <w:t>有的风险包括指数波动的风险</w:t>
      </w:r>
      <w:r w:rsidRPr="00C664D3">
        <w:rPr>
          <w:rFonts w:asciiTheme="minorEastAsia" w:eastAsiaTheme="minorEastAsia" w:hAnsiTheme="minorEastAsia"/>
          <w:color w:val="000000" w:themeColor="text1"/>
          <w:szCs w:val="21"/>
        </w:rPr>
        <w:t>、</w:t>
      </w:r>
      <w:r w:rsidRPr="00C664D3">
        <w:rPr>
          <w:rFonts w:asciiTheme="minorEastAsia" w:eastAsiaTheme="minorEastAsia" w:hAnsiTheme="minorEastAsia" w:hint="eastAsia"/>
          <w:color w:val="000000" w:themeColor="text1"/>
          <w:szCs w:val="21"/>
        </w:rPr>
        <w:t>指数编制机构发布数据错误的风险、基金收益率与业绩比较基准收益率偏离的风险</w:t>
      </w:r>
      <w:r w:rsidRPr="00C664D3">
        <w:rPr>
          <w:rFonts w:asciiTheme="minorEastAsia" w:eastAsiaTheme="minorEastAsia" w:hAnsiTheme="minorEastAsia"/>
          <w:color w:val="000000" w:themeColor="text1"/>
          <w:szCs w:val="21"/>
        </w:rPr>
        <w:t>等；投资风险主要包括</w:t>
      </w:r>
      <w:r w:rsidRPr="00C664D3">
        <w:rPr>
          <w:rFonts w:asciiTheme="minorEastAsia" w:eastAsiaTheme="minorEastAsia" w:hAnsiTheme="minorEastAsia" w:hint="eastAsia"/>
          <w:color w:val="000000" w:themeColor="text1"/>
          <w:szCs w:val="21"/>
        </w:rPr>
        <w:t>市场风险</w:t>
      </w:r>
      <w:r w:rsidRPr="00C664D3">
        <w:rPr>
          <w:rFonts w:asciiTheme="minorEastAsia" w:eastAsiaTheme="minorEastAsia" w:hAnsiTheme="minorEastAsia"/>
          <w:color w:val="000000" w:themeColor="text1"/>
          <w:szCs w:val="21"/>
        </w:rPr>
        <w:t>、政府管制风险、监管风险、政治风险、汇率风险、利率风险、衍生品风险、金融模型风险、信用风险等；</w:t>
      </w:r>
      <w:r w:rsidR="00C81E1B" w:rsidRPr="00C664D3">
        <w:rPr>
          <w:rFonts w:asciiTheme="minorEastAsia" w:eastAsiaTheme="minorEastAsia" w:hAnsiTheme="minorEastAsia" w:hint="eastAsia"/>
          <w:color w:val="000000" w:themeColor="text1"/>
          <w:szCs w:val="21"/>
        </w:rPr>
        <w:t>流动性风险主要包括投资标的的流动性风险以及基金管理人综合运用各类流动性风险管理工具可能对投资者带来的风险；</w:t>
      </w:r>
      <w:r w:rsidRPr="00C664D3">
        <w:rPr>
          <w:rFonts w:asciiTheme="minorEastAsia" w:eastAsiaTheme="minorEastAsia" w:hAnsiTheme="minorEastAsia"/>
          <w:color w:val="000000" w:themeColor="text1"/>
          <w:szCs w:val="21"/>
        </w:rPr>
        <w:t>运作风险主要包括操作风险、会计核算风险、税务风险、交易结算风险、法律风险、证券借贷/正回购/逆回购风险等。</w:t>
      </w:r>
      <w:bookmarkEnd w:id="5"/>
      <w:bookmarkEnd w:id="6"/>
      <w:bookmarkEnd w:id="7"/>
    </w:p>
    <w:p w:rsidR="00942587" w:rsidRPr="00C664D3" w:rsidRDefault="00A1091C" w:rsidP="00AB77C1">
      <w:pPr>
        <w:pStyle w:val="2"/>
        <w:numPr>
          <w:ilvl w:val="1"/>
          <w:numId w:val="3"/>
        </w:numPr>
        <w:tabs>
          <w:tab w:val="clear" w:pos="720"/>
          <w:tab w:val="num" w:pos="426"/>
        </w:tabs>
        <w:spacing w:beforeLines="0" w:afterLines="0" w:line="360" w:lineRule="auto"/>
        <w:ind w:left="0" w:firstLineChars="0" w:firstLine="0"/>
        <w:rPr>
          <w:rFonts w:asciiTheme="minorEastAsia" w:eastAsiaTheme="minorEastAsia" w:hAnsiTheme="minorEastAsia"/>
          <w:b w:val="0"/>
          <w:color w:val="000000" w:themeColor="text1"/>
        </w:rPr>
      </w:pPr>
      <w:bookmarkStart w:id="8" w:name="_Toc423335499"/>
      <w:r w:rsidRPr="00C664D3">
        <w:rPr>
          <w:rFonts w:asciiTheme="minorEastAsia" w:eastAsiaTheme="minorEastAsia" w:hAnsiTheme="minorEastAsia"/>
          <w:b w:val="0"/>
          <w:color w:val="000000" w:themeColor="text1"/>
        </w:rPr>
        <w:t>本基金特有风险</w:t>
      </w:r>
      <w:bookmarkEnd w:id="8"/>
    </w:p>
    <w:p w:rsidR="00FD4F1F" w:rsidRPr="00C664D3" w:rsidRDefault="00FD4F1F" w:rsidP="00AB77C1">
      <w:pPr>
        <w:spacing w:line="360" w:lineRule="auto"/>
        <w:ind w:firstLineChars="225" w:firstLine="473"/>
        <w:rPr>
          <w:rFonts w:asciiTheme="minorEastAsia" w:eastAsiaTheme="minorEastAsia" w:hAnsiTheme="minorEastAsia"/>
          <w:color w:val="000000" w:themeColor="text1"/>
          <w:szCs w:val="21"/>
        </w:rPr>
      </w:pPr>
      <w:bookmarkStart w:id="9" w:name="_Toc296440060"/>
      <w:bookmarkStart w:id="10" w:name="_Toc296526874"/>
      <w:bookmarkStart w:id="11" w:name="_Toc306614141"/>
      <w:bookmarkStart w:id="12" w:name="_Toc308079776"/>
      <w:bookmarkStart w:id="13" w:name="_Toc308190018"/>
      <w:bookmarkStart w:id="14" w:name="_Toc309285748"/>
      <w:bookmarkStart w:id="15" w:name="_Toc310510726"/>
      <w:r w:rsidRPr="00C664D3">
        <w:rPr>
          <w:rFonts w:asciiTheme="minorEastAsia" w:eastAsiaTheme="minorEastAsia" w:hAnsiTheme="minorEastAsia" w:hint="eastAsia"/>
          <w:color w:val="000000" w:themeColor="text1"/>
          <w:szCs w:val="21"/>
        </w:rPr>
        <w:t>1、标的指数的风险</w:t>
      </w:r>
      <w:bookmarkEnd w:id="9"/>
      <w:bookmarkEnd w:id="10"/>
      <w:bookmarkEnd w:id="11"/>
      <w:bookmarkEnd w:id="12"/>
      <w:bookmarkEnd w:id="13"/>
      <w:bookmarkEnd w:id="14"/>
      <w:bookmarkEnd w:id="15"/>
    </w:p>
    <w:p w:rsidR="00FD4F1F" w:rsidRPr="00C664D3" w:rsidRDefault="00FD4F1F" w:rsidP="00AB77C1">
      <w:pPr>
        <w:widowControl/>
        <w:spacing w:line="360" w:lineRule="auto"/>
        <w:ind w:firstLineChars="200" w:firstLine="420"/>
        <w:jc w:val="left"/>
        <w:rPr>
          <w:rFonts w:asciiTheme="minorEastAsia" w:eastAsiaTheme="minorEastAsia" w:hAnsiTheme="minorEastAsia"/>
          <w:color w:val="000000" w:themeColor="text1"/>
          <w:szCs w:val="21"/>
        </w:rPr>
      </w:pPr>
      <w:bookmarkStart w:id="16" w:name="_Toc296440061"/>
      <w:bookmarkStart w:id="17" w:name="_Toc296526875"/>
      <w:bookmarkStart w:id="18" w:name="_Toc306614142"/>
      <w:bookmarkStart w:id="19" w:name="_Toc308079777"/>
      <w:bookmarkStart w:id="20" w:name="_Toc308190019"/>
      <w:bookmarkStart w:id="21" w:name="_Toc309285749"/>
      <w:r w:rsidRPr="00C664D3">
        <w:rPr>
          <w:rFonts w:asciiTheme="minorEastAsia" w:eastAsiaTheme="minorEastAsia" w:hAnsiTheme="minorEastAsia" w:hint="eastAsia"/>
          <w:color w:val="000000" w:themeColor="text1"/>
          <w:szCs w:val="21"/>
        </w:rPr>
        <w:t>如果指数发布机构变更或停止该指数的编制及发布、或由于指数编制方法等重大变更导致该指数不宜继续作为标的指数，或证券市场有其他代表性更强、更适合投资的指数推出时，本基金管理人可以依据维护投资者合法权益的原则，变更本基金的标的指数。若基金标的指数发生变更，基金业绩比较基准随之变更。投资者须承担指数变更带来的风险。此外，如果指数公司提供的指数数据出现差错，基金管理人依据该数据进行投资，可能会对基金的投资运作产生不利影响。</w:t>
      </w:r>
      <w:bookmarkEnd w:id="16"/>
      <w:bookmarkEnd w:id="17"/>
      <w:bookmarkEnd w:id="18"/>
      <w:bookmarkEnd w:id="19"/>
      <w:bookmarkEnd w:id="20"/>
      <w:bookmarkEnd w:id="21"/>
    </w:p>
    <w:p w:rsidR="00FD4F1F" w:rsidRPr="00C664D3" w:rsidRDefault="00FD4F1F" w:rsidP="00AB77C1">
      <w:pPr>
        <w:spacing w:line="360" w:lineRule="auto"/>
        <w:ind w:firstLineChars="225" w:firstLine="473"/>
        <w:rPr>
          <w:rFonts w:asciiTheme="minorEastAsia" w:eastAsiaTheme="minorEastAsia" w:hAnsiTheme="minorEastAsia"/>
          <w:color w:val="000000" w:themeColor="text1"/>
          <w:szCs w:val="21"/>
        </w:rPr>
      </w:pPr>
      <w:bookmarkStart w:id="22" w:name="_Toc299547529"/>
      <w:bookmarkStart w:id="23" w:name="_Toc299616114"/>
      <w:bookmarkStart w:id="24" w:name="_Toc308079781"/>
      <w:bookmarkStart w:id="25" w:name="_Toc308190023"/>
      <w:bookmarkStart w:id="26" w:name="_Toc309285753"/>
      <w:bookmarkStart w:id="27" w:name="_Toc310510728"/>
      <w:r w:rsidRPr="00C664D3">
        <w:rPr>
          <w:rFonts w:asciiTheme="minorEastAsia" w:eastAsiaTheme="minorEastAsia" w:hAnsiTheme="minorEastAsia" w:hint="eastAsia"/>
          <w:color w:val="000000" w:themeColor="text1"/>
          <w:szCs w:val="21"/>
        </w:rPr>
        <w:t>2、标的指数波动的风险</w:t>
      </w:r>
      <w:bookmarkEnd w:id="22"/>
      <w:bookmarkEnd w:id="23"/>
      <w:bookmarkEnd w:id="24"/>
      <w:bookmarkEnd w:id="25"/>
      <w:bookmarkEnd w:id="26"/>
      <w:bookmarkEnd w:id="27"/>
    </w:p>
    <w:p w:rsidR="00FD4F1F" w:rsidRPr="00C664D3" w:rsidRDefault="00FD4F1F"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标的指数成份股的价格可能受到政治因素、经济因素、上市公司经营状况、投资者心理和交易制度等各种因素的影响而波动,导致指数波动,从而使基金收益水平发生变化，产生风险。</w:t>
      </w:r>
    </w:p>
    <w:p w:rsidR="00730C29" w:rsidRPr="00C664D3" w:rsidRDefault="00730C29"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3、标的指数成份股行业集中风险</w:t>
      </w:r>
    </w:p>
    <w:p w:rsidR="00730C29" w:rsidRPr="00C664D3" w:rsidRDefault="00730C29"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本基金标的指数成份股主要集中于信息科技行业，须承受因政府政策变化、行业景气度变化等影响信息科技行业的因素所带来的行业风险。</w:t>
      </w:r>
    </w:p>
    <w:p w:rsidR="00FD4F1F" w:rsidRPr="00C664D3" w:rsidRDefault="00730C29" w:rsidP="00AB77C1">
      <w:pPr>
        <w:spacing w:line="360" w:lineRule="auto"/>
        <w:ind w:firstLineChars="225" w:firstLine="473"/>
        <w:rPr>
          <w:rFonts w:asciiTheme="minorEastAsia" w:eastAsiaTheme="minorEastAsia" w:hAnsiTheme="minorEastAsia"/>
          <w:color w:val="000000" w:themeColor="text1"/>
          <w:szCs w:val="21"/>
        </w:rPr>
      </w:pPr>
      <w:bookmarkStart w:id="28" w:name="_DV_M91"/>
      <w:bookmarkEnd w:id="28"/>
      <w:r w:rsidRPr="00C664D3">
        <w:rPr>
          <w:rFonts w:asciiTheme="minorEastAsia" w:eastAsiaTheme="minorEastAsia" w:hAnsiTheme="minorEastAsia" w:hint="eastAsia"/>
          <w:color w:val="000000" w:themeColor="text1"/>
          <w:szCs w:val="21"/>
        </w:rPr>
        <w:t>4</w:t>
      </w:r>
      <w:r w:rsidR="00FD4F1F" w:rsidRPr="00C664D3">
        <w:rPr>
          <w:rFonts w:asciiTheme="minorEastAsia" w:eastAsiaTheme="minorEastAsia" w:hAnsiTheme="minorEastAsia" w:hint="eastAsia"/>
          <w:color w:val="000000" w:themeColor="text1"/>
          <w:szCs w:val="21"/>
        </w:rPr>
        <w:t>、基金收益率与业绩比较基准收益率偏离的风险，主要影响因素包括：</w:t>
      </w:r>
    </w:p>
    <w:p w:rsidR="00C90B8A" w:rsidRPr="00C664D3" w:rsidRDefault="00FD4F1F" w:rsidP="00AB77C1">
      <w:pPr>
        <w:spacing w:line="360" w:lineRule="auto"/>
        <w:ind w:firstLineChars="225" w:firstLine="473"/>
        <w:rPr>
          <w:rFonts w:asciiTheme="minorEastAsia" w:eastAsiaTheme="minorEastAsia" w:hAnsiTheme="minorEastAsia" w:cs="宋体"/>
          <w:color w:val="000000" w:themeColor="text1"/>
          <w:kern w:val="0"/>
          <w:szCs w:val="21"/>
        </w:rPr>
      </w:pPr>
      <w:r w:rsidRPr="00C664D3">
        <w:rPr>
          <w:rFonts w:asciiTheme="minorEastAsia" w:eastAsiaTheme="minorEastAsia" w:hAnsiTheme="minorEastAsia" w:hint="eastAsia"/>
          <w:color w:val="000000" w:themeColor="text1"/>
          <w:szCs w:val="21"/>
        </w:rPr>
        <w:t>（1）</w:t>
      </w:r>
      <w:r w:rsidR="00C90B8A" w:rsidRPr="00C664D3">
        <w:rPr>
          <w:rFonts w:asciiTheme="minorEastAsia" w:eastAsiaTheme="minorEastAsia" w:hAnsiTheme="minorEastAsia" w:cs="宋体" w:hint="eastAsia"/>
          <w:color w:val="000000" w:themeColor="text1"/>
          <w:kern w:val="0"/>
          <w:szCs w:val="21"/>
        </w:rPr>
        <w:t>本基金主要采取完全复制法进行投资，即参考标的指数的成份股组成及权重构建股票投资组合，并根据标的指数的成份股组成及权重变动对股票投资组合进行相应调整。当市场流动性不足、法规规定本基金不能投资关联方股票、基金管理人认定不适合投资的股票等情况导致本基金无法按照指数构成及权重进行组合构建时，基金管理人将通过投资其他成</w:t>
      </w:r>
      <w:r w:rsidR="00C90B8A" w:rsidRPr="00C664D3">
        <w:rPr>
          <w:rFonts w:asciiTheme="minorEastAsia" w:eastAsiaTheme="minorEastAsia" w:hAnsiTheme="minorEastAsia" w:cs="宋体" w:hint="eastAsia"/>
          <w:color w:val="000000" w:themeColor="text1"/>
          <w:kern w:val="0"/>
          <w:szCs w:val="21"/>
        </w:rPr>
        <w:lastRenderedPageBreak/>
        <w:t>份股、非成份股进行替代。基金投资组合与标的指数构成可能存在差异，从而可能导致基金实际收益率与业绩比较基准收益率产生偏离；</w:t>
      </w:r>
    </w:p>
    <w:p w:rsidR="00815070" w:rsidRPr="00C664D3" w:rsidRDefault="00815070"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（2）由于标的指数调整成份股或变更编制方法,使本基金在相应的组合调整中产生跟踪误差；</w:t>
      </w:r>
    </w:p>
    <w:p w:rsidR="00815070" w:rsidRPr="00C664D3" w:rsidRDefault="00815070"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（3）由于标的指数成份股发生配股、增发等行为导致成份股在标的指数中的权重发生变化,使本基金在相应的组合调整中产生跟踪误差；</w:t>
      </w:r>
    </w:p>
    <w:p w:rsidR="00815070" w:rsidRPr="00C664D3" w:rsidRDefault="00815070"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（4）由于</w:t>
      </w:r>
      <w:r w:rsidR="00E0338A" w:rsidRPr="00C664D3">
        <w:rPr>
          <w:rFonts w:asciiTheme="minorEastAsia" w:eastAsiaTheme="minorEastAsia" w:hAnsiTheme="minorEastAsia" w:hint="eastAsia"/>
          <w:color w:val="000000" w:themeColor="text1"/>
          <w:szCs w:val="21"/>
        </w:rPr>
        <w:t>成份股摘牌</w:t>
      </w:r>
      <w:r w:rsidRPr="00C664D3">
        <w:rPr>
          <w:rFonts w:asciiTheme="minorEastAsia" w:eastAsiaTheme="minorEastAsia" w:hAnsiTheme="minorEastAsia" w:hint="eastAsia"/>
          <w:color w:val="000000" w:themeColor="text1"/>
          <w:szCs w:val="21"/>
        </w:rPr>
        <w:t>或流动性差等原因使本基金无法及时调整投资组合或承担冲击成本而产生跟踪误差；</w:t>
      </w:r>
    </w:p>
    <w:p w:rsidR="00815070" w:rsidRPr="00C664D3" w:rsidRDefault="00815070"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（5）成份股派发现金红利、送配等所获收益可能导致基金收益率偏离业绩比较基准收益率，从而产生跟踪误差；</w:t>
      </w:r>
    </w:p>
    <w:p w:rsidR="00815070" w:rsidRPr="00C664D3" w:rsidRDefault="00815070"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（6）由于基金投资过程中的证券交易成本,以及基金管理费和托管费的存在,使基金投资组合与业绩比较基准产生跟踪误差；</w:t>
      </w:r>
    </w:p>
    <w:p w:rsidR="00815070" w:rsidRPr="00C664D3" w:rsidRDefault="00815070"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（7）在指数化投资过程中，基金管理人对指数基金的管理能力例如跟踪指数的技术手段、买入卖出的时机选择等都会对本基金的收益产生影响，从而影响本基金对业绩比较基准的跟踪程度；</w:t>
      </w:r>
    </w:p>
    <w:p w:rsidR="00815070" w:rsidRPr="00C664D3" w:rsidRDefault="00815070"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（8）其他因素产生的偏离。如因受到最低买入股数的限制，基金投资组合中个别股票的持有比例与标的指数中该股票的权重可能不完全相同；基金申购与赎回带来的现金变动等。</w:t>
      </w:r>
    </w:p>
    <w:p w:rsidR="00AC1E09" w:rsidRPr="00C664D3" w:rsidRDefault="00AC1E09" w:rsidP="00AC1E09">
      <w:pPr>
        <w:widowControl/>
        <w:spacing w:line="360" w:lineRule="auto"/>
        <w:ind w:firstLineChars="200" w:firstLine="420"/>
        <w:jc w:val="left"/>
        <w:rPr>
          <w:rFonts w:asciiTheme="minorEastAsia" w:eastAsiaTheme="minorEastAsia" w:hAnsiTheme="minorEastAsia"/>
          <w:color w:val="000000" w:themeColor="text1"/>
          <w:spacing w:val="-2"/>
          <w:szCs w:val="21"/>
        </w:rPr>
      </w:pPr>
      <w:bookmarkStart w:id="29" w:name="_Toc308190026"/>
      <w:bookmarkStart w:id="30" w:name="_Toc309285756"/>
      <w:bookmarkStart w:id="31" w:name="_Toc310510731"/>
      <w:r w:rsidRPr="00C664D3">
        <w:rPr>
          <w:rFonts w:asciiTheme="minorEastAsia" w:eastAsiaTheme="minorEastAsia" w:hAnsiTheme="minorEastAsia" w:hint="eastAsia"/>
          <w:color w:val="000000" w:themeColor="text1"/>
          <w:szCs w:val="21"/>
        </w:rPr>
        <w:t>5、</w:t>
      </w:r>
      <w:r w:rsidRPr="00C664D3">
        <w:rPr>
          <w:rFonts w:asciiTheme="minorEastAsia" w:eastAsiaTheme="minorEastAsia" w:hAnsiTheme="minorEastAsia" w:hint="eastAsia"/>
          <w:color w:val="000000" w:themeColor="text1"/>
          <w:spacing w:val="-2"/>
          <w:szCs w:val="21"/>
        </w:rPr>
        <w:t>跟踪误差控制未达约定目标的风险</w:t>
      </w:r>
    </w:p>
    <w:p w:rsidR="00AC1E09" w:rsidRPr="00C664D3" w:rsidRDefault="00AC1E09" w:rsidP="00AC1E09">
      <w:pPr>
        <w:widowControl/>
        <w:spacing w:line="360" w:lineRule="auto"/>
        <w:ind w:firstLineChars="200" w:firstLine="412"/>
        <w:jc w:val="left"/>
        <w:rPr>
          <w:rFonts w:asciiTheme="minorEastAsia" w:eastAsiaTheme="minorEastAsia" w:hAnsiTheme="minorEastAsia"/>
          <w:color w:val="000000" w:themeColor="text1"/>
          <w:spacing w:val="-2"/>
          <w:szCs w:val="21"/>
        </w:rPr>
      </w:pPr>
      <w:r w:rsidRPr="00C664D3">
        <w:rPr>
          <w:rFonts w:asciiTheme="minorEastAsia" w:eastAsiaTheme="minorEastAsia" w:hAnsiTheme="minorEastAsia" w:hint="eastAsia"/>
          <w:color w:val="000000" w:themeColor="text1"/>
          <w:spacing w:val="-2"/>
          <w:szCs w:val="21"/>
        </w:rPr>
        <w:t>本基金力争将年化跟踪误差控制在4%以内，日跟踪偏离度绝对值的平均值控制在0.35%以内，但因标的指数编制规则调整或其他因素可能导致跟踪误差超过上述范围，本基金净值表现与指数价格走势可能发生较大偏离。</w:t>
      </w:r>
    </w:p>
    <w:p w:rsidR="00AC1E09" w:rsidRPr="00C664D3" w:rsidRDefault="00AC1E09" w:rsidP="00AC1E09">
      <w:pPr>
        <w:widowControl/>
        <w:spacing w:line="360" w:lineRule="auto"/>
        <w:ind w:firstLineChars="200" w:firstLine="412"/>
        <w:jc w:val="left"/>
        <w:rPr>
          <w:rFonts w:asciiTheme="minorEastAsia" w:eastAsiaTheme="minorEastAsia" w:hAnsiTheme="minorEastAsia"/>
          <w:color w:val="000000" w:themeColor="text1"/>
          <w:spacing w:val="-2"/>
          <w:szCs w:val="21"/>
        </w:rPr>
      </w:pPr>
      <w:r w:rsidRPr="00C664D3">
        <w:rPr>
          <w:rFonts w:asciiTheme="minorEastAsia" w:eastAsiaTheme="minorEastAsia" w:hAnsiTheme="minorEastAsia" w:hint="eastAsia"/>
          <w:color w:val="000000" w:themeColor="text1"/>
          <w:spacing w:val="-2"/>
          <w:szCs w:val="21"/>
        </w:rPr>
        <w:t>6、指数编制机构停止服务的风险</w:t>
      </w:r>
    </w:p>
    <w:p w:rsidR="00AC1E09" w:rsidRPr="00C664D3" w:rsidRDefault="00AC1E09" w:rsidP="00AC1E09">
      <w:pPr>
        <w:widowControl/>
        <w:spacing w:line="360" w:lineRule="auto"/>
        <w:ind w:firstLineChars="200" w:firstLine="412"/>
        <w:jc w:val="left"/>
        <w:rPr>
          <w:rFonts w:asciiTheme="minorEastAsia" w:eastAsiaTheme="minorEastAsia" w:hAnsiTheme="minorEastAsia"/>
          <w:color w:val="000000" w:themeColor="text1"/>
          <w:spacing w:val="-2"/>
          <w:szCs w:val="21"/>
        </w:rPr>
      </w:pPr>
      <w:r w:rsidRPr="00C664D3">
        <w:rPr>
          <w:rFonts w:asciiTheme="minorEastAsia" w:eastAsiaTheme="minorEastAsia" w:hAnsiTheme="minorEastAsia" w:hint="eastAsia"/>
          <w:color w:val="000000" w:themeColor="text1"/>
          <w:spacing w:val="-2"/>
          <w:szCs w:val="21"/>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rsidR="00AC1E09" w:rsidRPr="00C664D3" w:rsidRDefault="00AC1E09" w:rsidP="00AC1E09">
      <w:pPr>
        <w:widowControl/>
        <w:spacing w:line="360" w:lineRule="auto"/>
        <w:ind w:firstLineChars="200" w:firstLine="412"/>
        <w:jc w:val="left"/>
        <w:rPr>
          <w:rFonts w:asciiTheme="minorEastAsia" w:eastAsiaTheme="minorEastAsia" w:hAnsiTheme="minorEastAsia"/>
          <w:color w:val="000000" w:themeColor="text1"/>
          <w:spacing w:val="-2"/>
          <w:szCs w:val="21"/>
        </w:rPr>
      </w:pPr>
      <w:r w:rsidRPr="00C664D3">
        <w:rPr>
          <w:rFonts w:asciiTheme="minorEastAsia" w:eastAsiaTheme="minorEastAsia" w:hAnsiTheme="minorEastAsia" w:hint="eastAsia"/>
          <w:color w:val="000000" w:themeColor="text1"/>
          <w:spacing w:val="-2"/>
          <w:szCs w:val="21"/>
        </w:rPr>
        <w:t>自指数编制机构停止标的指数的编制及发布至解决方案确定期间，基金管理人应按照指数编制机构提供的最近一个交易日的指数信息遵循基金份额持有人利益优先原则维持基金投</w:t>
      </w:r>
      <w:r w:rsidRPr="00C664D3">
        <w:rPr>
          <w:rFonts w:asciiTheme="minorEastAsia" w:eastAsiaTheme="minorEastAsia" w:hAnsiTheme="minorEastAsia" w:hint="eastAsia"/>
          <w:color w:val="000000" w:themeColor="text1"/>
          <w:spacing w:val="-2"/>
          <w:szCs w:val="21"/>
        </w:rPr>
        <w:lastRenderedPageBreak/>
        <w:t>资运作，该期间由于标的指数不再更新等原因可能导致指数表现与相关市场表现存在差异，影响投资收益。</w:t>
      </w:r>
    </w:p>
    <w:p w:rsidR="00AC1E09" w:rsidRPr="00C664D3" w:rsidRDefault="00AC1E09" w:rsidP="00AC1E09">
      <w:pPr>
        <w:widowControl/>
        <w:spacing w:line="360" w:lineRule="auto"/>
        <w:ind w:firstLineChars="200" w:firstLine="412"/>
        <w:jc w:val="left"/>
        <w:rPr>
          <w:rFonts w:asciiTheme="minorEastAsia" w:eastAsiaTheme="minorEastAsia" w:hAnsiTheme="minorEastAsia"/>
          <w:color w:val="000000" w:themeColor="text1"/>
          <w:spacing w:val="-2"/>
          <w:szCs w:val="21"/>
        </w:rPr>
      </w:pPr>
      <w:r w:rsidRPr="00C664D3">
        <w:rPr>
          <w:rFonts w:asciiTheme="minorEastAsia" w:eastAsiaTheme="minorEastAsia" w:hAnsiTheme="minorEastAsia" w:hint="eastAsia"/>
          <w:color w:val="000000" w:themeColor="text1"/>
          <w:spacing w:val="-2"/>
          <w:szCs w:val="21"/>
        </w:rPr>
        <w:t>7、成份股停牌的风险</w:t>
      </w:r>
    </w:p>
    <w:p w:rsidR="00AC1E09" w:rsidRPr="00C664D3" w:rsidRDefault="00AC1E09" w:rsidP="00AC1E09">
      <w:pPr>
        <w:widowControl/>
        <w:spacing w:line="360" w:lineRule="auto"/>
        <w:ind w:firstLineChars="200" w:firstLine="412"/>
        <w:jc w:val="left"/>
        <w:rPr>
          <w:rFonts w:asciiTheme="minorEastAsia" w:eastAsiaTheme="minorEastAsia" w:hAnsiTheme="minorEastAsia"/>
          <w:color w:val="000000" w:themeColor="text1"/>
          <w:spacing w:val="-2"/>
          <w:szCs w:val="21"/>
        </w:rPr>
      </w:pPr>
      <w:r w:rsidRPr="00C664D3">
        <w:rPr>
          <w:rFonts w:asciiTheme="minorEastAsia" w:eastAsiaTheme="minorEastAsia" w:hAnsiTheme="minorEastAsia" w:hint="eastAsia"/>
          <w:color w:val="000000" w:themeColor="text1"/>
          <w:spacing w:val="-2"/>
          <w:szCs w:val="21"/>
        </w:rPr>
        <w:t>标的指数成份股可能因各种原因临时或长期停牌，发生成份股停牌时可能面临如下风险：</w:t>
      </w:r>
    </w:p>
    <w:p w:rsidR="00AC1E09" w:rsidRPr="00C664D3" w:rsidRDefault="00AC1E09" w:rsidP="00AC1E09">
      <w:pPr>
        <w:widowControl/>
        <w:spacing w:line="360" w:lineRule="auto"/>
        <w:ind w:firstLineChars="200" w:firstLine="412"/>
        <w:jc w:val="left"/>
        <w:rPr>
          <w:rFonts w:asciiTheme="minorEastAsia" w:eastAsiaTheme="minorEastAsia" w:hAnsiTheme="minorEastAsia"/>
          <w:color w:val="000000" w:themeColor="text1"/>
          <w:spacing w:val="-2"/>
          <w:szCs w:val="21"/>
        </w:rPr>
      </w:pPr>
      <w:r w:rsidRPr="00C664D3">
        <w:rPr>
          <w:rFonts w:asciiTheme="minorEastAsia" w:eastAsiaTheme="minorEastAsia" w:hAnsiTheme="minorEastAsia" w:hint="eastAsia"/>
          <w:color w:val="000000" w:themeColor="text1"/>
          <w:spacing w:val="-2"/>
          <w:szCs w:val="21"/>
        </w:rPr>
        <w:t>（1）基金可能因无法及时调整投资组合而导致跟踪偏离度和跟踪误差扩大。</w:t>
      </w:r>
    </w:p>
    <w:p w:rsidR="00AC1E09" w:rsidRPr="00C664D3" w:rsidRDefault="00AC1E09" w:rsidP="00AC1E09">
      <w:pPr>
        <w:widowControl/>
        <w:spacing w:line="360" w:lineRule="auto"/>
        <w:ind w:firstLineChars="200" w:firstLine="412"/>
        <w:jc w:val="left"/>
        <w:rPr>
          <w:rFonts w:asciiTheme="minorEastAsia" w:eastAsiaTheme="minorEastAsia" w:hAnsiTheme="minorEastAsia"/>
          <w:color w:val="000000" w:themeColor="text1"/>
          <w:spacing w:val="-2"/>
          <w:szCs w:val="21"/>
        </w:rPr>
      </w:pPr>
      <w:r w:rsidRPr="00C664D3">
        <w:rPr>
          <w:rFonts w:asciiTheme="minorEastAsia" w:eastAsiaTheme="minorEastAsia" w:hAnsiTheme="minorEastAsia" w:hint="eastAsia"/>
          <w:color w:val="000000" w:themeColor="text1"/>
          <w:spacing w:val="-2"/>
          <w:szCs w:val="21"/>
        </w:rPr>
        <w:t>（2）停牌成份股可能因其权重占比、市场复牌预期等因素影响本基金二级市场价格的折溢价水平。</w:t>
      </w:r>
    </w:p>
    <w:p w:rsidR="00AC1E09" w:rsidRPr="00C664D3" w:rsidRDefault="00AC1E09" w:rsidP="00AC1E09">
      <w:pPr>
        <w:widowControl/>
        <w:spacing w:line="360" w:lineRule="auto"/>
        <w:ind w:firstLineChars="200" w:firstLine="412"/>
        <w:jc w:val="left"/>
        <w:rPr>
          <w:rFonts w:asciiTheme="minorEastAsia" w:eastAsiaTheme="minorEastAsia" w:hAnsiTheme="minorEastAsia"/>
          <w:color w:val="000000" w:themeColor="text1"/>
          <w:spacing w:val="-2"/>
          <w:szCs w:val="21"/>
        </w:rPr>
      </w:pPr>
      <w:r w:rsidRPr="00C664D3">
        <w:rPr>
          <w:rFonts w:asciiTheme="minorEastAsia" w:eastAsiaTheme="minorEastAsia" w:hAnsiTheme="minorEastAsia" w:hint="eastAsia"/>
          <w:color w:val="000000" w:themeColor="text1"/>
          <w:spacing w:val="-2"/>
          <w:szCs w:val="21"/>
        </w:rPr>
        <w:t>（3）在极端情况下，标的指数成份股可能大面积停牌，基金可能无法及时卖出成份股以获取足额的符合要求的赎回价格，由此基金管理人可能采取暂停赎回的措施，投资者将面临无法赎回全部或部分基金份额的风险。</w:t>
      </w:r>
    </w:p>
    <w:p w:rsidR="00815070" w:rsidRPr="00C664D3" w:rsidRDefault="00AC1E09" w:rsidP="00AB77C1">
      <w:pPr>
        <w:widowControl/>
        <w:spacing w:line="360" w:lineRule="auto"/>
        <w:ind w:firstLineChars="200" w:firstLine="420"/>
        <w:jc w:val="left"/>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w:t>
      </w:r>
      <w:r w:rsidR="00815070" w:rsidRPr="00C664D3">
        <w:rPr>
          <w:rFonts w:asciiTheme="minorEastAsia" w:eastAsiaTheme="minorEastAsia" w:hAnsiTheme="minorEastAsia" w:hint="eastAsia"/>
          <w:color w:val="000000" w:themeColor="text1"/>
          <w:szCs w:val="21"/>
        </w:rPr>
        <w:t>、基金份额二级市场交易价格折溢价的风险</w:t>
      </w:r>
      <w:bookmarkEnd w:id="29"/>
      <w:bookmarkEnd w:id="30"/>
      <w:bookmarkEnd w:id="31"/>
    </w:p>
    <w:p w:rsidR="00815070" w:rsidRPr="00C664D3" w:rsidRDefault="00815070" w:rsidP="00AB77C1">
      <w:pPr>
        <w:widowControl/>
        <w:spacing w:line="360" w:lineRule="auto"/>
        <w:ind w:firstLineChars="200" w:firstLine="420"/>
        <w:jc w:val="left"/>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尽管本基金的运作力求使基金份额二级市场交易价格的折溢价控制在一定范围内，但基金份额在证券交易所的交易价格受诸多因素影响，存在不同于基金份额净值的情形,即存在价格折溢价的风险。</w:t>
      </w:r>
    </w:p>
    <w:p w:rsidR="00815070" w:rsidRPr="00C664D3" w:rsidRDefault="00AC1E09" w:rsidP="00AB77C1">
      <w:pPr>
        <w:widowControl/>
        <w:spacing w:line="360" w:lineRule="auto"/>
        <w:ind w:firstLineChars="200" w:firstLine="420"/>
        <w:jc w:val="left"/>
        <w:rPr>
          <w:rFonts w:asciiTheme="minorEastAsia" w:eastAsiaTheme="minorEastAsia" w:hAnsiTheme="minorEastAsia"/>
          <w:color w:val="000000" w:themeColor="text1"/>
          <w:szCs w:val="21"/>
        </w:rPr>
      </w:pPr>
      <w:bookmarkStart w:id="32" w:name="_Toc299547534"/>
      <w:bookmarkStart w:id="33" w:name="_Toc299616122"/>
      <w:bookmarkStart w:id="34" w:name="_Toc308079784"/>
      <w:bookmarkStart w:id="35" w:name="_Toc308190027"/>
      <w:bookmarkStart w:id="36" w:name="_Toc309285757"/>
      <w:bookmarkStart w:id="37" w:name="_Toc310510732"/>
      <w:r w:rsidRPr="00C664D3">
        <w:rPr>
          <w:rFonts w:asciiTheme="minorEastAsia" w:eastAsiaTheme="minorEastAsia" w:hAnsiTheme="minorEastAsia" w:hint="eastAsia"/>
          <w:color w:val="000000" w:themeColor="text1"/>
          <w:szCs w:val="21"/>
        </w:rPr>
        <w:t>9</w:t>
      </w:r>
      <w:r w:rsidR="00815070" w:rsidRPr="00C664D3">
        <w:rPr>
          <w:rFonts w:asciiTheme="minorEastAsia" w:eastAsiaTheme="minorEastAsia" w:hAnsiTheme="minorEastAsia" w:hint="eastAsia"/>
          <w:color w:val="000000" w:themeColor="text1"/>
          <w:szCs w:val="21"/>
        </w:rPr>
        <w:t>、退市风险</w:t>
      </w:r>
      <w:bookmarkEnd w:id="32"/>
      <w:bookmarkEnd w:id="33"/>
      <w:bookmarkEnd w:id="34"/>
      <w:bookmarkEnd w:id="35"/>
      <w:bookmarkEnd w:id="36"/>
      <w:bookmarkEnd w:id="37"/>
    </w:p>
    <w:p w:rsidR="00815070" w:rsidRPr="00C664D3" w:rsidRDefault="00815070"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因本基金不再符合证券交易所上市条件被终止上市，或被基金份额持有人大会决议提前终止上，导致基金份额不能继续进行二级市场交易的风险。</w:t>
      </w:r>
    </w:p>
    <w:p w:rsidR="00901676" w:rsidRPr="00C664D3" w:rsidRDefault="00AC1E09" w:rsidP="00AB77C1">
      <w:pPr>
        <w:widowControl/>
        <w:spacing w:line="360" w:lineRule="auto"/>
        <w:ind w:firstLineChars="200" w:firstLine="420"/>
        <w:jc w:val="left"/>
        <w:rPr>
          <w:rFonts w:asciiTheme="minorEastAsia" w:eastAsiaTheme="minorEastAsia" w:hAnsiTheme="minorEastAsia"/>
          <w:color w:val="000000" w:themeColor="text1"/>
          <w:szCs w:val="21"/>
        </w:rPr>
      </w:pPr>
      <w:bookmarkStart w:id="38" w:name="_Toc299547541"/>
      <w:bookmarkStart w:id="39" w:name="_Toc299616127"/>
      <w:bookmarkStart w:id="40" w:name="_Toc308079789"/>
      <w:bookmarkStart w:id="41" w:name="_Toc308190032"/>
      <w:bookmarkStart w:id="42" w:name="_Toc309285761"/>
      <w:bookmarkStart w:id="43" w:name="_Toc310510736"/>
      <w:r w:rsidRPr="00C664D3">
        <w:rPr>
          <w:rFonts w:asciiTheme="minorEastAsia" w:eastAsiaTheme="minorEastAsia" w:hAnsiTheme="minorEastAsia" w:hint="eastAsia"/>
          <w:color w:val="000000" w:themeColor="text1"/>
          <w:szCs w:val="21"/>
        </w:rPr>
        <w:t>10</w:t>
      </w:r>
      <w:r w:rsidR="00901676" w:rsidRPr="00C664D3">
        <w:rPr>
          <w:rFonts w:asciiTheme="minorEastAsia" w:eastAsiaTheme="minorEastAsia" w:hAnsiTheme="minorEastAsia" w:hint="eastAsia"/>
          <w:color w:val="000000" w:themeColor="text1"/>
          <w:szCs w:val="21"/>
        </w:rPr>
        <w:t>、第三方机构服务的风险</w:t>
      </w:r>
      <w:bookmarkEnd w:id="38"/>
      <w:bookmarkEnd w:id="39"/>
      <w:bookmarkEnd w:id="40"/>
      <w:bookmarkEnd w:id="41"/>
      <w:bookmarkEnd w:id="42"/>
      <w:bookmarkEnd w:id="43"/>
    </w:p>
    <w:p w:rsidR="00901676" w:rsidRPr="00C664D3" w:rsidRDefault="00901676" w:rsidP="00AB77C1">
      <w:pPr>
        <w:widowControl/>
        <w:spacing w:line="360" w:lineRule="auto"/>
        <w:ind w:firstLineChars="200" w:firstLine="420"/>
        <w:jc w:val="left"/>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本基金的多项服务委托第三方机构办理,存在以下风险：</w:t>
      </w:r>
    </w:p>
    <w:p w:rsidR="00901676" w:rsidRPr="00C664D3" w:rsidRDefault="00901676" w:rsidP="00AB77C1">
      <w:pPr>
        <w:widowControl/>
        <w:spacing w:line="360" w:lineRule="auto"/>
        <w:ind w:firstLineChars="200" w:firstLine="420"/>
        <w:jc w:val="left"/>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（1）登记结算机构可能调整结算制度，从而对投资者基金份额、资金等的结算方式发生变化，制度调整可能给投资者带来理解偏差的风险。同样的风险还可能来自于证券交易所及其他代理机构。</w:t>
      </w:r>
    </w:p>
    <w:p w:rsidR="00815070" w:rsidRPr="00C664D3" w:rsidRDefault="00901676"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（2）证券交易所、期货交易所、证券与期货登记结算机构、基金托管人及其他代理机构可能违约，导致基金或投资者利益受损的风险。</w:t>
      </w:r>
    </w:p>
    <w:p w:rsidR="00901676" w:rsidRPr="00C664D3" w:rsidRDefault="00AC1E09" w:rsidP="00AB77C1">
      <w:pPr>
        <w:widowControl/>
        <w:spacing w:line="360" w:lineRule="auto"/>
        <w:ind w:firstLineChars="200" w:firstLine="420"/>
        <w:jc w:val="left"/>
        <w:rPr>
          <w:rFonts w:asciiTheme="minorEastAsia" w:eastAsiaTheme="minorEastAsia" w:hAnsiTheme="minorEastAsia"/>
          <w:color w:val="000000" w:themeColor="text1"/>
          <w:szCs w:val="21"/>
        </w:rPr>
      </w:pPr>
      <w:bookmarkStart w:id="44" w:name="_Toc299616128"/>
      <w:bookmarkStart w:id="45" w:name="_Toc308079790"/>
      <w:bookmarkStart w:id="46" w:name="_Toc308190033"/>
      <w:bookmarkStart w:id="47" w:name="_Toc309285762"/>
      <w:bookmarkStart w:id="48" w:name="_Toc310510737"/>
      <w:r w:rsidRPr="00C664D3">
        <w:rPr>
          <w:rFonts w:asciiTheme="minorEastAsia" w:eastAsiaTheme="minorEastAsia" w:hAnsiTheme="minorEastAsia" w:hint="eastAsia"/>
          <w:color w:val="000000" w:themeColor="text1"/>
          <w:szCs w:val="21"/>
        </w:rPr>
        <w:t>11</w:t>
      </w:r>
      <w:r w:rsidR="00901676" w:rsidRPr="00C664D3">
        <w:rPr>
          <w:rFonts w:asciiTheme="minorEastAsia" w:eastAsiaTheme="minorEastAsia" w:hAnsiTheme="minorEastAsia" w:hint="eastAsia"/>
          <w:color w:val="000000" w:themeColor="text1"/>
          <w:szCs w:val="21"/>
        </w:rPr>
        <w:t>、管理风险</w:t>
      </w:r>
      <w:bookmarkEnd w:id="44"/>
      <w:bookmarkEnd w:id="45"/>
      <w:bookmarkEnd w:id="46"/>
      <w:bookmarkEnd w:id="47"/>
      <w:bookmarkEnd w:id="48"/>
    </w:p>
    <w:p w:rsidR="00901676" w:rsidRPr="00C664D3" w:rsidRDefault="00901676" w:rsidP="00AB77C1">
      <w:pPr>
        <w:widowControl/>
        <w:spacing w:line="360" w:lineRule="auto"/>
        <w:ind w:firstLineChars="200" w:firstLine="420"/>
        <w:jc w:val="left"/>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rsidR="00901676" w:rsidRPr="00C664D3" w:rsidRDefault="00901676" w:rsidP="00AB77C1">
      <w:pPr>
        <w:widowControl/>
        <w:spacing w:line="360" w:lineRule="auto"/>
        <w:ind w:firstLineChars="200" w:firstLine="420"/>
        <w:jc w:val="left"/>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相关当事人在业务各环节操作过程中，可能因内部控制存在缺陷或者人为因素造成操作失误或违反操作规程等引致风险，例如，越权违规交易、欺诈行为及交易错误等风险。</w:t>
      </w:r>
    </w:p>
    <w:p w:rsidR="00901676" w:rsidRPr="00C664D3" w:rsidRDefault="00AC1E09" w:rsidP="00AB77C1">
      <w:pPr>
        <w:widowControl/>
        <w:spacing w:line="360" w:lineRule="auto"/>
        <w:ind w:firstLineChars="200" w:firstLine="420"/>
        <w:jc w:val="left"/>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12</w:t>
      </w:r>
      <w:r w:rsidR="00901676" w:rsidRPr="00C664D3">
        <w:rPr>
          <w:rFonts w:asciiTheme="minorEastAsia" w:eastAsiaTheme="minorEastAsia" w:hAnsiTheme="minorEastAsia" w:hint="eastAsia"/>
          <w:color w:val="000000" w:themeColor="text1"/>
          <w:szCs w:val="21"/>
        </w:rPr>
        <w:t>、创新风险</w:t>
      </w:r>
    </w:p>
    <w:p w:rsidR="00901676" w:rsidRPr="00C664D3" w:rsidRDefault="00901676"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是在境内募集和上市交易、投资于境外市场、跟踪境外特定指数的上市开放式指数基金，涉及到境内、境外两个市场，境外证券交易所、期货交易所、证券与期货登记结算机构的交易规则、业务规则和市场惯例与境内有较大差异，基金管理人和相关市场参</w:t>
      </w:r>
      <w:r w:rsidRPr="00C664D3">
        <w:rPr>
          <w:rFonts w:asciiTheme="minorEastAsia" w:eastAsiaTheme="minorEastAsia" w:hAnsiTheme="minorEastAsia" w:cs="Calibri" w:hint="eastAsia"/>
          <w:color w:val="000000" w:themeColor="text1"/>
        </w:rPr>
        <w:t>与主体涉及跨境业务的处理能力、经验、系统等有待验证，从而导致本基金的运作可能受</w:t>
      </w:r>
      <w:r w:rsidRPr="00C664D3">
        <w:rPr>
          <w:rFonts w:asciiTheme="minorEastAsia" w:eastAsiaTheme="minorEastAsia" w:hAnsiTheme="minorEastAsia" w:hint="eastAsia"/>
          <w:color w:val="000000" w:themeColor="text1"/>
          <w:szCs w:val="21"/>
        </w:rPr>
        <w:t>到影响而带来风险。</w:t>
      </w:r>
    </w:p>
    <w:p w:rsidR="002D3838" w:rsidRPr="00C664D3" w:rsidRDefault="00730C29"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00AC1E09" w:rsidRPr="00C664D3">
        <w:rPr>
          <w:rFonts w:asciiTheme="minorEastAsia" w:eastAsiaTheme="minorEastAsia" w:hAnsiTheme="minorEastAsia" w:hint="eastAsia"/>
          <w:color w:val="000000" w:themeColor="text1"/>
          <w:szCs w:val="21"/>
        </w:rPr>
        <w:t>3</w:t>
      </w:r>
      <w:r w:rsidRPr="00C664D3">
        <w:rPr>
          <w:rFonts w:asciiTheme="minorEastAsia" w:eastAsiaTheme="minorEastAsia" w:hAnsiTheme="minorEastAsia" w:hint="eastAsia"/>
          <w:color w:val="000000" w:themeColor="text1"/>
          <w:szCs w:val="21"/>
        </w:rPr>
        <w:t>、</w:t>
      </w:r>
      <w:r w:rsidR="002D3838" w:rsidRPr="00C664D3">
        <w:rPr>
          <w:rFonts w:asciiTheme="minorEastAsia" w:eastAsiaTheme="minorEastAsia" w:hAnsiTheme="minorEastAsia" w:hint="eastAsia"/>
          <w:color w:val="000000" w:themeColor="text1"/>
          <w:szCs w:val="21"/>
        </w:rPr>
        <w:t>关于引入境外托管人的相关风险</w:t>
      </w:r>
    </w:p>
    <w:p w:rsidR="002D3838" w:rsidRPr="00C664D3" w:rsidRDefault="002D3838"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本基金由境外托管人提供境外资产托管服务，存在以下风险：</w:t>
      </w:r>
    </w:p>
    <w:p w:rsidR="002D3838" w:rsidRPr="00C664D3" w:rsidRDefault="002D3838"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1</w:t>
      </w:r>
      <w:r w:rsidRPr="00C664D3">
        <w:rPr>
          <w:rFonts w:asciiTheme="minorEastAsia" w:eastAsiaTheme="minorEastAsia" w:hAnsiTheme="minorEastAsia" w:hint="eastAsia"/>
          <w:color w:val="000000" w:themeColor="text1"/>
          <w:szCs w:val="21"/>
        </w:rPr>
        <w:t>）税收风险</w:t>
      </w:r>
    </w:p>
    <w:p w:rsidR="002D3838" w:rsidRPr="00C664D3" w:rsidRDefault="002D3838"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投资所在国家或地区对基金投资征收的相关税费，根据中国与该国家或地区签署的相关税收协定履行。但基金托管人及境外托管人不对最终税务的处理的真实准确负责。因此，当出现相关税务处理差错时，可能造成基金资产损失的风险。</w:t>
      </w:r>
    </w:p>
    <w:p w:rsidR="002D3838" w:rsidRPr="00C664D3" w:rsidRDefault="002D3838"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2</w:t>
      </w:r>
      <w:r w:rsidRPr="00C664D3">
        <w:rPr>
          <w:rFonts w:asciiTheme="minorEastAsia" w:eastAsiaTheme="minorEastAsia" w:hAnsiTheme="minorEastAsia" w:hint="eastAsia"/>
          <w:color w:val="000000" w:themeColor="text1"/>
          <w:szCs w:val="21"/>
        </w:rPr>
        <w:t>）法律风险</w:t>
      </w:r>
    </w:p>
    <w:p w:rsidR="002D3838" w:rsidRPr="00C664D3" w:rsidRDefault="002D3838"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由于境外所适用法律法规与中国法律法规有所不同的原因，可能导致本基金的某些投资及运作行为在境外受到限制或合同不能正常执行，从而使得基金资产面临损失风险。包括但不限于：本基金涉及境外托管人，托管资产中的现金可能依据境外托管人注册地的法律法规，归入其清算财产，由此可能造成基金资产的损失。</w:t>
      </w:r>
    </w:p>
    <w:p w:rsidR="002D3838" w:rsidRPr="00C664D3" w:rsidRDefault="002D3838"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3</w:t>
      </w:r>
      <w:r w:rsidRPr="00C664D3">
        <w:rPr>
          <w:rFonts w:asciiTheme="minorEastAsia" w:eastAsiaTheme="minorEastAsia" w:hAnsiTheme="minorEastAsia" w:hint="eastAsia"/>
          <w:color w:val="000000" w:themeColor="text1"/>
          <w:szCs w:val="21"/>
        </w:rPr>
        <w:t>）基金托管人及境外托管人终止履行托管职责的风险</w:t>
      </w:r>
    </w:p>
    <w:p w:rsidR="002D3838" w:rsidRPr="00C664D3" w:rsidRDefault="002D3838"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根据基金合同约定，基金管理人将根据美国、欧盟、联合国等出台的相关制裁规定以及审慎、尽职的原则，对基金份额持有人及委托财产背后的客户进行制裁名单筛查。若基金管理人未能有效发现受制裁的主体，或发生其他违反相关制裁规定的情形，基金托管人和境外托管人将无法继续为本基金提供托管服务。如新任境外托管人、临时基金托管人或新任基金托管人无法及时办理基金财产和基金托管业务的移交手续，由此可能影响基金资产的正常运作或使基金资产遭受损失。</w:t>
      </w:r>
    </w:p>
    <w:p w:rsidR="00A1091C" w:rsidRPr="00C664D3" w:rsidRDefault="00A1091C" w:rsidP="00AB77C1">
      <w:pPr>
        <w:spacing w:line="360" w:lineRule="auto"/>
        <w:ind w:firstLineChars="225" w:firstLine="473"/>
        <w:rPr>
          <w:rFonts w:asciiTheme="minorEastAsia" w:eastAsiaTheme="minorEastAsia" w:hAnsiTheme="minorEastAsia"/>
          <w:color w:val="000000" w:themeColor="text1"/>
          <w:szCs w:val="21"/>
        </w:rPr>
      </w:pPr>
    </w:p>
    <w:p w:rsidR="00942587" w:rsidRPr="00C664D3" w:rsidRDefault="00A1091C" w:rsidP="00AB77C1">
      <w:pPr>
        <w:pStyle w:val="2"/>
        <w:numPr>
          <w:ilvl w:val="1"/>
          <w:numId w:val="3"/>
        </w:numPr>
        <w:tabs>
          <w:tab w:val="clear" w:pos="720"/>
          <w:tab w:val="num" w:pos="426"/>
        </w:tabs>
        <w:spacing w:beforeLines="0" w:afterLines="0" w:line="360" w:lineRule="auto"/>
        <w:ind w:left="0" w:firstLineChars="0" w:firstLine="0"/>
        <w:rPr>
          <w:rFonts w:asciiTheme="minorEastAsia" w:eastAsiaTheme="minorEastAsia" w:hAnsiTheme="minorEastAsia"/>
          <w:b w:val="0"/>
          <w:color w:val="000000" w:themeColor="text1"/>
        </w:rPr>
      </w:pPr>
      <w:bookmarkStart w:id="49" w:name="_Toc277752453"/>
      <w:bookmarkStart w:id="50" w:name="_Toc277786031"/>
      <w:bookmarkStart w:id="51" w:name="_Toc277787551"/>
      <w:bookmarkStart w:id="52" w:name="_Toc277787825"/>
      <w:bookmarkStart w:id="53" w:name="_Toc278409331"/>
      <w:bookmarkStart w:id="54" w:name="_Toc423335500"/>
      <w:bookmarkEnd w:id="49"/>
      <w:bookmarkEnd w:id="50"/>
      <w:bookmarkEnd w:id="51"/>
      <w:bookmarkEnd w:id="52"/>
      <w:bookmarkEnd w:id="53"/>
      <w:r w:rsidRPr="00C664D3">
        <w:rPr>
          <w:rFonts w:asciiTheme="minorEastAsia" w:eastAsiaTheme="minorEastAsia" w:hAnsiTheme="minorEastAsia"/>
          <w:b w:val="0"/>
          <w:color w:val="000000" w:themeColor="text1"/>
        </w:rPr>
        <w:t>投资风险</w:t>
      </w:r>
      <w:bookmarkEnd w:id="54"/>
    </w:p>
    <w:p w:rsidR="00A1091C" w:rsidRPr="00C664D3" w:rsidRDefault="00A1091C"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bookmarkStart w:id="55" w:name="_Toc296440076"/>
      <w:bookmarkStart w:id="56" w:name="_Toc296526890"/>
      <w:r w:rsidR="000A63BC" w:rsidRPr="00C664D3">
        <w:rPr>
          <w:rFonts w:asciiTheme="minorEastAsia" w:eastAsiaTheme="minorEastAsia" w:hAnsiTheme="minorEastAsia"/>
          <w:color w:val="000000" w:themeColor="text1"/>
          <w:szCs w:val="21"/>
        </w:rPr>
        <w:t>市场风险</w:t>
      </w:r>
      <w:r w:rsidR="000A63BC" w:rsidRPr="00C664D3">
        <w:rPr>
          <w:rFonts w:asciiTheme="minorEastAsia" w:eastAsiaTheme="minorEastAsia" w:hAnsiTheme="minorEastAsia" w:hint="eastAsia"/>
          <w:color w:val="000000" w:themeColor="text1"/>
          <w:szCs w:val="21"/>
        </w:rPr>
        <w:t>：本基金投资于海外市场，面临海外市场波动带来的风险。影响金融市场波</w:t>
      </w:r>
      <w:r w:rsidR="000A63BC" w:rsidRPr="00C664D3">
        <w:rPr>
          <w:rFonts w:asciiTheme="minorEastAsia" w:eastAsiaTheme="minorEastAsia" w:hAnsiTheme="minorEastAsia" w:hint="eastAsia"/>
          <w:color w:val="000000" w:themeColor="text1"/>
          <w:szCs w:val="21"/>
        </w:rPr>
        <w:lastRenderedPageBreak/>
        <w:t>动的因素比较复杂，包括经济发展、政策变化、资金供求、公司盈利的变化、利率汇率波动等，都将影响基金净值的升跌。</w:t>
      </w:r>
      <w:bookmarkEnd w:id="55"/>
      <w:bookmarkEnd w:id="56"/>
      <w:r w:rsidR="000A63BC" w:rsidRPr="00C664D3">
        <w:rPr>
          <w:rFonts w:asciiTheme="minorEastAsia" w:eastAsiaTheme="minorEastAsia" w:hAnsiTheme="minorEastAsia" w:hint="eastAsia"/>
          <w:color w:val="000000" w:themeColor="text1"/>
          <w:szCs w:val="21"/>
        </w:rPr>
        <w:t>此外，基金主要投资的海外证券市场可能对每日证券交易价格并无涨跌幅上下限的规定，因此对于无涨跌幅上下限的规定证券市场的证券，每日涨跌幅空间相对较大。这一因素可能会带来市场的急剧下跌，从而带来投资风险的增加。</w:t>
      </w:r>
    </w:p>
    <w:p w:rsidR="00A1091C" w:rsidRPr="00C664D3" w:rsidRDefault="00A1091C"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w:t>
      </w:r>
      <w:r w:rsidRPr="00C664D3">
        <w:rPr>
          <w:rFonts w:asciiTheme="minorEastAsia" w:eastAsiaTheme="minorEastAsia" w:hAnsiTheme="minorEastAsia"/>
          <w:color w:val="000000" w:themeColor="text1"/>
          <w:szCs w:val="21"/>
        </w:rPr>
        <w:t>政府管制风险：</w:t>
      </w:r>
      <w:r w:rsidR="000A63BC" w:rsidRPr="00C664D3">
        <w:rPr>
          <w:rFonts w:asciiTheme="minorEastAsia" w:eastAsiaTheme="minorEastAsia" w:hAnsiTheme="minorEastAsia"/>
          <w:color w:val="000000" w:themeColor="text1"/>
          <w:szCs w:val="21"/>
        </w:rPr>
        <w:t>在特殊情况下，</w:t>
      </w:r>
      <w:r w:rsidR="000A63BC" w:rsidRPr="00C664D3">
        <w:rPr>
          <w:rFonts w:asciiTheme="minorEastAsia" w:eastAsiaTheme="minorEastAsia" w:hAnsiTheme="minorEastAsia" w:hint="eastAsia"/>
          <w:color w:val="000000" w:themeColor="text1"/>
          <w:szCs w:val="21"/>
        </w:rPr>
        <w:t>基金所投资市场</w:t>
      </w:r>
      <w:r w:rsidR="000A63BC" w:rsidRPr="00C664D3">
        <w:rPr>
          <w:rFonts w:asciiTheme="minorEastAsia" w:eastAsiaTheme="minorEastAsia" w:hAnsiTheme="minorEastAsia"/>
          <w:color w:val="000000" w:themeColor="text1"/>
          <w:szCs w:val="21"/>
        </w:rPr>
        <w:t>有可能</w:t>
      </w:r>
      <w:r w:rsidR="000A63BC" w:rsidRPr="00C664D3">
        <w:rPr>
          <w:rFonts w:asciiTheme="minorEastAsia" w:eastAsiaTheme="minorEastAsia" w:hAnsiTheme="minorEastAsia" w:hint="eastAsia"/>
          <w:color w:val="000000" w:themeColor="text1"/>
          <w:szCs w:val="21"/>
        </w:rPr>
        <w:t>面临</w:t>
      </w:r>
      <w:r w:rsidR="000A63BC" w:rsidRPr="00C664D3">
        <w:rPr>
          <w:rFonts w:asciiTheme="minorEastAsia" w:eastAsiaTheme="minorEastAsia" w:hAnsiTheme="minorEastAsia"/>
          <w:color w:val="000000" w:themeColor="text1"/>
          <w:szCs w:val="21"/>
        </w:rPr>
        <w:t>政府管制措施，包括对货币兑换进行限制、限制资本外流、征收高额税收等，会对基金投资造成影响。</w:t>
      </w:r>
    </w:p>
    <w:p w:rsidR="00A1091C" w:rsidRPr="00C664D3" w:rsidRDefault="00A1091C"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w:t>
      </w:r>
      <w:r w:rsidRPr="00C664D3">
        <w:rPr>
          <w:rFonts w:asciiTheme="minorEastAsia" w:eastAsiaTheme="minorEastAsia" w:hAnsiTheme="minorEastAsia"/>
          <w:color w:val="000000" w:themeColor="text1"/>
          <w:szCs w:val="21"/>
        </w:rPr>
        <w:t>监管风险：由于监管层或监管模式出现非预期的变动，某些已经存在的或者运作的交易可能被新的监管层或监管体系认定为非法交易，或受到更严格的管理，将导致基金运作承受监管风险。基金运作可能被迫进行调整，由此可能对基金净值产生影响。</w:t>
      </w:r>
    </w:p>
    <w:p w:rsidR="00A1091C" w:rsidRPr="00C664D3" w:rsidRDefault="00A1091C"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w:t>
      </w:r>
      <w:r w:rsidRPr="00C664D3">
        <w:rPr>
          <w:rFonts w:asciiTheme="minorEastAsia" w:eastAsiaTheme="minorEastAsia" w:hAnsiTheme="minorEastAsia"/>
          <w:color w:val="000000" w:themeColor="text1"/>
          <w:szCs w:val="21"/>
        </w:rPr>
        <w:t>政治风险：</w:t>
      </w:r>
      <w:r w:rsidR="000A63BC" w:rsidRPr="00C664D3">
        <w:rPr>
          <w:rFonts w:asciiTheme="minorEastAsia" w:eastAsiaTheme="minorEastAsia" w:hAnsiTheme="minorEastAsia"/>
          <w:color w:val="000000" w:themeColor="text1"/>
          <w:szCs w:val="21"/>
        </w:rPr>
        <w:t>基金所</w:t>
      </w:r>
      <w:r w:rsidR="000A63BC" w:rsidRPr="00C664D3">
        <w:rPr>
          <w:rFonts w:asciiTheme="minorEastAsia" w:eastAsiaTheme="minorEastAsia" w:hAnsiTheme="minorEastAsia" w:hint="eastAsia"/>
          <w:color w:val="000000" w:themeColor="text1"/>
          <w:szCs w:val="21"/>
        </w:rPr>
        <w:t>投资市场因政治局势变化，如</w:t>
      </w:r>
      <w:r w:rsidR="000A63BC" w:rsidRPr="00C664D3">
        <w:rPr>
          <w:rFonts w:asciiTheme="minorEastAsia" w:eastAsiaTheme="minorEastAsia" w:hAnsiTheme="minorEastAsia"/>
          <w:color w:val="000000" w:themeColor="text1"/>
          <w:szCs w:val="21"/>
        </w:rPr>
        <w:t>政策变化、</w:t>
      </w:r>
      <w:r w:rsidR="000A63BC" w:rsidRPr="00C664D3">
        <w:rPr>
          <w:rFonts w:asciiTheme="minorEastAsia" w:eastAsiaTheme="minorEastAsia" w:hAnsiTheme="minorEastAsia" w:hint="eastAsia"/>
          <w:color w:val="000000" w:themeColor="text1"/>
          <w:szCs w:val="21"/>
        </w:rPr>
        <w:t>罢工、</w:t>
      </w:r>
      <w:r w:rsidR="000A63BC" w:rsidRPr="00C664D3">
        <w:rPr>
          <w:rFonts w:asciiTheme="minorEastAsia" w:eastAsiaTheme="minorEastAsia" w:hAnsiTheme="minorEastAsia"/>
          <w:color w:val="000000" w:themeColor="text1"/>
          <w:szCs w:val="21"/>
        </w:rPr>
        <w:t>恐怖袭击、战争、暴动等，</w:t>
      </w:r>
      <w:r w:rsidR="000A63BC" w:rsidRPr="00C664D3">
        <w:rPr>
          <w:rFonts w:asciiTheme="minorEastAsia" w:eastAsiaTheme="minorEastAsia" w:hAnsiTheme="minorEastAsia" w:hint="eastAsia"/>
          <w:color w:val="000000" w:themeColor="text1"/>
          <w:szCs w:val="21"/>
        </w:rPr>
        <w:t>可能出现</w:t>
      </w:r>
      <w:r w:rsidR="000A63BC" w:rsidRPr="00C664D3">
        <w:rPr>
          <w:rFonts w:asciiTheme="minorEastAsia" w:eastAsiaTheme="minorEastAsia" w:hAnsiTheme="minorEastAsia"/>
          <w:color w:val="000000" w:themeColor="text1"/>
          <w:szCs w:val="21"/>
        </w:rPr>
        <w:t>市场大幅波动，对基金净值产生不利影响。</w:t>
      </w:r>
    </w:p>
    <w:p w:rsidR="00A1091C" w:rsidRPr="00C664D3" w:rsidRDefault="00C81E1B"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w:t>
      </w:r>
      <w:r w:rsidR="00A1091C" w:rsidRPr="00C664D3">
        <w:rPr>
          <w:rFonts w:asciiTheme="minorEastAsia" w:eastAsiaTheme="minorEastAsia" w:hAnsiTheme="minorEastAsia" w:hint="eastAsia"/>
          <w:color w:val="000000" w:themeColor="text1"/>
          <w:szCs w:val="21"/>
        </w:rPr>
        <w:t>.</w:t>
      </w:r>
      <w:r w:rsidR="00A1091C" w:rsidRPr="00C664D3">
        <w:rPr>
          <w:rFonts w:asciiTheme="minorEastAsia" w:eastAsiaTheme="minorEastAsia" w:hAnsiTheme="minorEastAsia"/>
          <w:color w:val="000000" w:themeColor="text1"/>
          <w:szCs w:val="21"/>
        </w:rPr>
        <w:t>汇率风险：本基金投资的海外市场金融品种以外币计价，如果所投资市场的货币相对于人民币贬值，将对基金收益产生不利影响；此外，外币对人民币的汇率大幅波动也将加大基金净值波动的幅度。</w:t>
      </w:r>
    </w:p>
    <w:p w:rsidR="00A1091C" w:rsidRPr="00C664D3" w:rsidRDefault="00C81E1B"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w:t>
      </w:r>
      <w:r w:rsidR="00A1091C" w:rsidRPr="00C664D3">
        <w:rPr>
          <w:rFonts w:asciiTheme="minorEastAsia" w:eastAsiaTheme="minorEastAsia" w:hAnsiTheme="minorEastAsia" w:hint="eastAsia"/>
          <w:color w:val="000000" w:themeColor="text1"/>
          <w:szCs w:val="21"/>
        </w:rPr>
        <w:t>.</w:t>
      </w:r>
      <w:r w:rsidR="00A1091C" w:rsidRPr="00C664D3">
        <w:rPr>
          <w:rFonts w:asciiTheme="minorEastAsia" w:eastAsiaTheme="minorEastAsia" w:hAnsiTheme="minorEastAsia"/>
          <w:color w:val="000000" w:themeColor="text1"/>
          <w:szCs w:val="21"/>
        </w:rPr>
        <w:t>利率风险：金融市场利率的波动会导致证券市场价格和收益率的变动。利率直接影响着债券的价格和收益率，影响着企业的融资成本和利润。基金投资于债券和股票，其收益水平可能会受到利率变化的影响。</w:t>
      </w:r>
    </w:p>
    <w:p w:rsidR="00A1091C" w:rsidRPr="00C664D3" w:rsidRDefault="00C81E1B"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w:t>
      </w:r>
      <w:r w:rsidR="00A1091C" w:rsidRPr="00C664D3">
        <w:rPr>
          <w:rFonts w:asciiTheme="minorEastAsia" w:eastAsiaTheme="minorEastAsia" w:hAnsiTheme="minorEastAsia" w:hint="eastAsia"/>
          <w:color w:val="000000" w:themeColor="text1"/>
          <w:szCs w:val="21"/>
        </w:rPr>
        <w:t>.</w:t>
      </w:r>
      <w:r w:rsidR="00A1091C" w:rsidRPr="00C664D3">
        <w:rPr>
          <w:rFonts w:asciiTheme="minorEastAsia" w:eastAsiaTheme="minorEastAsia" w:hAnsiTheme="minorEastAsia"/>
          <w:color w:val="000000" w:themeColor="text1"/>
          <w:szCs w:val="21"/>
        </w:rPr>
        <w:t>衍生品风险：</w:t>
      </w:r>
      <w:r w:rsidR="000A63BC" w:rsidRPr="00C664D3">
        <w:rPr>
          <w:rFonts w:asciiTheme="minorEastAsia" w:eastAsiaTheme="minorEastAsia" w:hAnsiTheme="minorEastAsia"/>
          <w:color w:val="000000" w:themeColor="text1"/>
          <w:szCs w:val="21"/>
        </w:rPr>
        <w:t>本基金</w:t>
      </w:r>
      <w:r w:rsidR="000A63BC" w:rsidRPr="00C664D3">
        <w:rPr>
          <w:rFonts w:asciiTheme="minorEastAsia" w:eastAsiaTheme="minorEastAsia" w:hAnsiTheme="minorEastAsia" w:hint="eastAsia"/>
          <w:color w:val="000000" w:themeColor="text1"/>
          <w:szCs w:val="21"/>
        </w:rPr>
        <w:t>可投资于期货与</w:t>
      </w:r>
      <w:r w:rsidR="000A63BC" w:rsidRPr="00C664D3">
        <w:rPr>
          <w:rFonts w:asciiTheme="minorEastAsia" w:eastAsiaTheme="minorEastAsia" w:hAnsiTheme="minorEastAsia"/>
          <w:color w:val="000000" w:themeColor="text1"/>
          <w:szCs w:val="21"/>
        </w:rPr>
        <w:t>期权</w:t>
      </w:r>
      <w:r w:rsidR="00FB14B7" w:rsidRPr="00C664D3">
        <w:rPr>
          <w:rFonts w:asciiTheme="minorEastAsia" w:eastAsiaTheme="minorEastAsia" w:hAnsiTheme="minorEastAsia" w:hint="eastAsia"/>
          <w:color w:val="000000" w:themeColor="text1"/>
          <w:szCs w:val="21"/>
        </w:rPr>
        <w:t>等金融</w:t>
      </w:r>
      <w:r w:rsidR="000A63BC" w:rsidRPr="00C664D3">
        <w:rPr>
          <w:rFonts w:asciiTheme="minorEastAsia" w:eastAsiaTheme="minorEastAsia" w:hAnsiTheme="minorEastAsia"/>
          <w:color w:val="000000" w:themeColor="text1"/>
          <w:szCs w:val="21"/>
        </w:rPr>
        <w:t>衍生品。尽管本基金将谨慎地使用衍生品进行投资，但衍生品仍可能给基金带来额外风险，包括杠杆风险、交易对手的信用风险、衍生品价格与其基础品种的相关度降低带来的风险等，由此可能会增加基金净值的波动幅度。在本基金中，衍生品将仅用于避险和进行组合的有效管理。</w:t>
      </w:r>
    </w:p>
    <w:p w:rsidR="00A1091C" w:rsidRPr="00C664D3" w:rsidRDefault="00C81E1B"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w:t>
      </w:r>
      <w:r w:rsidR="00A1091C" w:rsidRPr="00C664D3">
        <w:rPr>
          <w:rFonts w:asciiTheme="minorEastAsia" w:eastAsiaTheme="minorEastAsia" w:hAnsiTheme="minorEastAsia" w:hint="eastAsia"/>
          <w:color w:val="000000" w:themeColor="text1"/>
          <w:szCs w:val="21"/>
        </w:rPr>
        <w:t>.</w:t>
      </w:r>
      <w:r w:rsidR="00A1091C" w:rsidRPr="00C664D3">
        <w:rPr>
          <w:rFonts w:asciiTheme="minorEastAsia" w:eastAsiaTheme="minorEastAsia" w:hAnsiTheme="minorEastAsia"/>
          <w:color w:val="000000" w:themeColor="text1"/>
          <w:szCs w:val="21"/>
        </w:rPr>
        <w:t>金融模型风险：基金管理人有时会使用金融模型来进行资产定价、趋势判断、风险评估等，辅助其做出投资决策。但是金融模型通常是建立在一系列的学术假设之上的，投资实践和学术假设之间存在一定的差距；而且金融模型结论的准确性往往受制于模型使用的数据的精确性。因此，基金管理人在使用金融模型时，面临出现错误结论的可能性，形成投资风险。</w:t>
      </w:r>
    </w:p>
    <w:p w:rsidR="00FE045C" w:rsidRPr="00C664D3" w:rsidRDefault="00C81E1B" w:rsidP="00AB77C1">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w:t>
      </w:r>
      <w:r w:rsidR="00A1091C" w:rsidRPr="00C664D3">
        <w:rPr>
          <w:rFonts w:asciiTheme="minorEastAsia" w:eastAsiaTheme="minorEastAsia" w:hAnsiTheme="minorEastAsia" w:hint="eastAsia"/>
          <w:color w:val="000000" w:themeColor="text1"/>
          <w:szCs w:val="21"/>
        </w:rPr>
        <w:t>.</w:t>
      </w:r>
      <w:r w:rsidR="00A1091C" w:rsidRPr="00C664D3">
        <w:rPr>
          <w:rFonts w:asciiTheme="minorEastAsia" w:eastAsiaTheme="minorEastAsia" w:hAnsiTheme="minorEastAsia"/>
          <w:color w:val="000000" w:themeColor="text1"/>
          <w:szCs w:val="21"/>
        </w:rPr>
        <w:t>信用风险：信用风险是指基金在交易过程发生交收违约，或者基金所投资债券之发行人出现违约、拒绝支付到期本息，都可能导致基金资产损失和收益变化。</w:t>
      </w:r>
    </w:p>
    <w:p w:rsidR="00C81E1B" w:rsidRPr="00C664D3" w:rsidRDefault="00C81E1B" w:rsidP="00C81E1B">
      <w:pPr>
        <w:pStyle w:val="2"/>
        <w:numPr>
          <w:ilvl w:val="1"/>
          <w:numId w:val="3"/>
        </w:numPr>
        <w:tabs>
          <w:tab w:val="clear" w:pos="720"/>
          <w:tab w:val="num" w:pos="426"/>
        </w:tabs>
        <w:spacing w:beforeLines="0" w:afterLines="0" w:line="360" w:lineRule="auto"/>
        <w:ind w:left="0" w:firstLineChars="0" w:firstLine="0"/>
        <w:rPr>
          <w:rFonts w:asciiTheme="minorEastAsia" w:eastAsiaTheme="minorEastAsia" w:hAnsiTheme="minorEastAsia"/>
          <w:b w:val="0"/>
          <w:color w:val="000000" w:themeColor="text1"/>
        </w:rPr>
      </w:pPr>
      <w:r w:rsidRPr="00C664D3">
        <w:rPr>
          <w:rFonts w:asciiTheme="minorEastAsia" w:eastAsiaTheme="minorEastAsia" w:hAnsiTheme="minorEastAsia" w:hint="eastAsia"/>
          <w:b w:val="0"/>
          <w:color w:val="000000" w:themeColor="text1"/>
        </w:rPr>
        <w:lastRenderedPageBreak/>
        <w:t>流动性风险</w:t>
      </w:r>
    </w:p>
    <w:p w:rsidR="00C81E1B" w:rsidRPr="00C664D3" w:rsidRDefault="00C81E1B" w:rsidP="00C81E1B">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1、流动性风险评估</w:t>
      </w:r>
    </w:p>
    <w:p w:rsidR="00C81E1B" w:rsidRPr="00C664D3" w:rsidRDefault="00C81E1B" w:rsidP="00C81E1B">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为境外股票指数基金，主要投资于标的指数成份股、备选成份股及跟踪同一标的指数的公募基金等，同时适度参与非成份股、固定收益品种、货币市场工具及金融衍生品等投资，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卖或申赎等；二是为应付投资者的赎回，基金被迫以不适当的价格卖出股票、债券、其他资产或赎回基金等。两者均可能使基金净值受到不利影响。</w:t>
      </w:r>
    </w:p>
    <w:p w:rsidR="00C81E1B" w:rsidRPr="00C664D3" w:rsidRDefault="00C81E1B" w:rsidP="00C81E1B">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2、巨额赎回情形下的流动性风险管理措施</w:t>
      </w:r>
    </w:p>
    <w:p w:rsidR="00C81E1B" w:rsidRPr="00C664D3" w:rsidRDefault="00C81E1B" w:rsidP="00C81E1B">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当本基金出现巨额赎回时，基金管理人可以根据基金当时的资产组合状况决定全额赎回或部分延期赎回；此外，如因市场剧烈波动或其他原因而出现连续两个或两个以上开放日巨额赎回，基金管理人可暂停接受投资者的赎回申</w:t>
      </w:r>
      <w:r w:rsidRPr="00C664D3">
        <w:rPr>
          <w:rFonts w:asciiTheme="minorEastAsia" w:eastAsiaTheme="minorEastAsia" w:hAnsiTheme="minorEastAsia" w:hint="eastAsia"/>
          <w:color w:val="000000" w:themeColor="text1"/>
        </w:rPr>
        <w:t>，现金不包括结算备付金、存出保证金、应收申购款等</w:t>
      </w:r>
      <w:r w:rsidRPr="00C664D3">
        <w:rPr>
          <w:rFonts w:asciiTheme="minorEastAsia" w:eastAsiaTheme="minorEastAsia" w:hAnsiTheme="minorEastAsia" w:hint="eastAsia"/>
          <w:color w:val="000000" w:themeColor="text1"/>
          <w:szCs w:val="21"/>
        </w:rPr>
        <w:t>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第十一节基金份额的申购、赎回”</w:t>
      </w:r>
      <w:r w:rsidR="00527455" w:rsidRPr="00C664D3">
        <w:rPr>
          <w:rFonts w:asciiTheme="minorEastAsia" w:eastAsiaTheme="minorEastAsia" w:hAnsiTheme="minorEastAsia" w:hint="eastAsia"/>
          <w:color w:val="000000" w:themeColor="text1"/>
          <w:szCs w:val="21"/>
        </w:rPr>
        <w:t>之</w:t>
      </w:r>
      <w:r w:rsidRPr="00C664D3">
        <w:rPr>
          <w:rFonts w:asciiTheme="minorEastAsia" w:eastAsiaTheme="minorEastAsia" w:hAnsiTheme="minorEastAsia" w:hint="eastAsia"/>
          <w:color w:val="000000" w:themeColor="text1"/>
          <w:szCs w:val="21"/>
        </w:rPr>
        <w:t>“十一、巨额赎回的认定及处理方式。”</w:t>
      </w:r>
    </w:p>
    <w:p w:rsidR="00C81E1B" w:rsidRPr="00C664D3" w:rsidRDefault="00C81E1B" w:rsidP="00C81E1B">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发生上述情形时，投资人面临无法全部赎回或无法及时获得赎回资金的风险。在本基金暂停或延期办理投资者赎回申请的情况下，投资者未能赎回的基金份额还将面临净值波动的风险。</w:t>
      </w:r>
    </w:p>
    <w:p w:rsidR="00C81E1B" w:rsidRPr="00C664D3" w:rsidRDefault="00C81E1B" w:rsidP="00C81E1B">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3、除巨额赎回情形外实施备用的流动性风险管理工具的情形、程序及对投资者的潜在影响</w:t>
      </w:r>
    </w:p>
    <w:p w:rsidR="00C81E1B" w:rsidRPr="00C664D3" w:rsidRDefault="00C81E1B" w:rsidP="00C81E1B">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除巨额赎回情形外，本基金备用流动性风险管理工具包括但不限于暂停接受赎回申请、延缓支付赎回款项、收取短期赎回费、暂停基金估值以及证监会认定的其他措施。</w:t>
      </w:r>
    </w:p>
    <w:p w:rsidR="00C81E1B" w:rsidRPr="00C664D3" w:rsidRDefault="00C81E1B" w:rsidP="00C81E1B">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暂停接受赎回申请、延缓支付赎回款项等工具的情形、程序见招募说明书“第十一节基金份额的申购、赎回”之“十、暂停赎回或者延缓支付赎回款项的情形”的相关规定。若本基金暂停赎回申请，投资者在暂停赎回期间将无法赎回其持有的基金份额。若本基金延缓支付赎回款项，赎回款支付时间将后延，可能对投资者的资金安排带来不利影响。</w:t>
      </w:r>
    </w:p>
    <w:p w:rsidR="00C81E1B" w:rsidRPr="00C664D3" w:rsidRDefault="00C81E1B" w:rsidP="00C81E1B">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短期赎回费适用于持续持有期少于7日的投资者，费率为1.5%。短期赎回费由赎回基</w:t>
      </w:r>
      <w:r w:rsidRPr="00C664D3">
        <w:rPr>
          <w:rFonts w:asciiTheme="minorEastAsia" w:eastAsiaTheme="minorEastAsia" w:hAnsiTheme="minorEastAsia" w:hint="eastAsia"/>
          <w:color w:val="000000" w:themeColor="text1"/>
          <w:szCs w:val="21"/>
        </w:rPr>
        <w:lastRenderedPageBreak/>
        <w:t>金份额的基金份额持有人承担，在基金份额持有人赎回基金份额时收取，并全额计入基金财产。短期赎回费的收取将使得投资者在持续持有期限少于7日时会承担较高的赎回费。</w:t>
      </w:r>
    </w:p>
    <w:p w:rsidR="00C81E1B" w:rsidRPr="00C664D3" w:rsidRDefault="00C81E1B" w:rsidP="00C81E1B">
      <w:pPr>
        <w:spacing w:line="360" w:lineRule="auto"/>
        <w:ind w:firstLineChars="225" w:firstLine="473"/>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暂停基金估值的情形、程序见招募说明书“第十四节基金资产估值”之“六、暂停估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942587" w:rsidRPr="00C664D3" w:rsidRDefault="00A1091C" w:rsidP="00AB77C1">
      <w:pPr>
        <w:pStyle w:val="2"/>
        <w:numPr>
          <w:ilvl w:val="1"/>
          <w:numId w:val="3"/>
        </w:numPr>
        <w:tabs>
          <w:tab w:val="clear" w:pos="720"/>
          <w:tab w:val="num" w:pos="426"/>
        </w:tabs>
        <w:spacing w:beforeLines="0" w:afterLines="0" w:line="360" w:lineRule="auto"/>
        <w:ind w:left="0" w:firstLineChars="0" w:firstLine="0"/>
        <w:rPr>
          <w:rFonts w:asciiTheme="minorEastAsia" w:eastAsiaTheme="minorEastAsia" w:hAnsiTheme="minorEastAsia"/>
          <w:b w:val="0"/>
          <w:color w:val="000000" w:themeColor="text1"/>
        </w:rPr>
      </w:pPr>
      <w:bookmarkStart w:id="57" w:name="_Toc423335501"/>
      <w:r w:rsidRPr="00C664D3">
        <w:rPr>
          <w:rFonts w:asciiTheme="minorEastAsia" w:eastAsiaTheme="minorEastAsia" w:hAnsiTheme="minorEastAsia"/>
          <w:b w:val="0"/>
          <w:color w:val="000000" w:themeColor="text1"/>
        </w:rPr>
        <w:t>基金运作风险</w:t>
      </w:r>
      <w:bookmarkEnd w:id="57"/>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Pr="00C664D3">
        <w:rPr>
          <w:rFonts w:asciiTheme="minorEastAsia" w:eastAsiaTheme="minorEastAsia" w:hAnsiTheme="minorEastAsia"/>
          <w:color w:val="000000" w:themeColor="text1"/>
          <w:szCs w:val="21"/>
        </w:rPr>
        <w:t>操作风险：在开放式基金的各种交易行为或者后台运作中，可能因为技术系统的故障或者差错而影响交易的正常进行或者导致投资者的利益受到影响。这种操作风险可能来自基金管理公司、基金登记结算机构、销售机构、交易对手、托管行、证券交易所、证券登记结算机构等等。</w:t>
      </w:r>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w:t>
      </w:r>
      <w:r w:rsidRPr="00C664D3">
        <w:rPr>
          <w:rFonts w:asciiTheme="minorEastAsia" w:eastAsiaTheme="minorEastAsia" w:hAnsiTheme="minorEastAsia"/>
          <w:color w:val="000000" w:themeColor="text1"/>
          <w:szCs w:val="21"/>
        </w:rPr>
        <w:t>会计核算风险：会计核算风险主要是指由于会计核算及会计管理上违规操作形成的风险或错误，通常是指基金管理人在计算、整理、制证、填单、登账、编表、保管及其相关业务处理中，由于客观原因与非主观故意所造成的行为过失，从而对基金收益造成影响的风险。</w:t>
      </w:r>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w:t>
      </w:r>
      <w:r w:rsidRPr="00C664D3">
        <w:rPr>
          <w:rFonts w:asciiTheme="minorEastAsia" w:eastAsiaTheme="minorEastAsia" w:hAnsiTheme="minorEastAsia"/>
          <w:color w:val="000000" w:themeColor="text1"/>
          <w:szCs w:val="21"/>
        </w:rPr>
        <w:t>法律及税务风险：基金所投资的国家/地区在法律法规、税务政策可能与国内不同，海外市场可能要求基金就股息、利息、资本利得等收益向当地税务机构缴纳税金，使基金收益受到一定影响。此外，各国/地区的法律及税收规定可能发生变化，有可能对基金造成不利影响。</w:t>
      </w:r>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w:t>
      </w:r>
      <w:r w:rsidRPr="00C664D3">
        <w:rPr>
          <w:rFonts w:asciiTheme="minorEastAsia" w:eastAsiaTheme="minorEastAsia" w:hAnsiTheme="minorEastAsia"/>
          <w:color w:val="000000" w:themeColor="text1"/>
          <w:szCs w:val="21"/>
        </w:rPr>
        <w:t>交易结算风险：海外的证券交易佣金可能比国内高。海外</w:t>
      </w:r>
      <w:r w:rsidR="00822AF2" w:rsidRPr="00C664D3">
        <w:rPr>
          <w:rFonts w:asciiTheme="minorEastAsia" w:eastAsiaTheme="minorEastAsia" w:hAnsiTheme="minorEastAsia" w:hint="eastAsia"/>
          <w:color w:val="000000" w:themeColor="text1"/>
          <w:szCs w:val="21"/>
        </w:rPr>
        <w:t>证券</w:t>
      </w:r>
      <w:r w:rsidRPr="00C664D3">
        <w:rPr>
          <w:rFonts w:asciiTheme="minorEastAsia" w:eastAsiaTheme="minorEastAsia" w:hAnsiTheme="minorEastAsia"/>
          <w:color w:val="000000" w:themeColor="text1"/>
          <w:szCs w:val="21"/>
        </w:rPr>
        <w:t>交易所、货币市场、证券交易体系以及证券经纪商的监管体系和制度与国内不同。证券交易交割时间、资金清算时间有可能比国内需要更长时间。此外，在基金的投资交易中，因交易的对手方无法履行对一位或多位的交易对手的支付义务而使得基金在投资交易中蒙受损失。</w:t>
      </w:r>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w:t>
      </w:r>
      <w:r w:rsidRPr="00C664D3">
        <w:rPr>
          <w:rFonts w:asciiTheme="minorEastAsia" w:eastAsiaTheme="minorEastAsia" w:hAnsiTheme="minorEastAsia"/>
          <w:color w:val="000000" w:themeColor="text1"/>
          <w:szCs w:val="21"/>
        </w:rPr>
        <w:t>证券借贷/正回购/逆回购风险：证券借贷的风险表现为，作为证券借出方，如果交易对手方（即证券借入方）违约，则基金可能面临到期无法获得证券借贷收入甚至借出证券无法归还的风险，从而导致基金资产发生损失。证券回购中的风险体现为，在回购交易中，交易对手方可能因财务状况或其它原因不能履行付款或结算的义务，从而对基金资产价值造成不利影响。</w:t>
      </w:r>
    </w:p>
    <w:p w:rsidR="00150C3F" w:rsidRPr="00C664D3" w:rsidRDefault="00150C3F" w:rsidP="00150C3F">
      <w:pPr>
        <w:pStyle w:val="2"/>
        <w:numPr>
          <w:ilvl w:val="1"/>
          <w:numId w:val="3"/>
        </w:numPr>
        <w:spacing w:beforeLines="0" w:afterLines="0" w:line="360" w:lineRule="auto"/>
        <w:ind w:firstLineChars="0"/>
        <w:rPr>
          <w:rFonts w:asciiTheme="minorEastAsia" w:eastAsiaTheme="minorEastAsia" w:hAnsiTheme="minorEastAsia"/>
          <w:b w:val="0"/>
          <w:color w:val="000000" w:themeColor="text1"/>
        </w:rPr>
      </w:pPr>
      <w:r w:rsidRPr="00C664D3">
        <w:rPr>
          <w:rFonts w:asciiTheme="minorEastAsia" w:eastAsiaTheme="minorEastAsia" w:hAnsiTheme="minorEastAsia" w:hint="eastAsia"/>
          <w:b w:val="0"/>
          <w:color w:val="000000" w:themeColor="text1"/>
        </w:rPr>
        <w:lastRenderedPageBreak/>
        <w:t>本基金法律文件中涉及基金风险特征的表述与销售机构对基金的风险评级可能不一致的风险</w:t>
      </w:r>
    </w:p>
    <w:p w:rsidR="00150C3F" w:rsidRPr="00C664D3" w:rsidRDefault="00150C3F" w:rsidP="00150C3F">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r w:rsidRPr="00C664D3">
        <w:rPr>
          <w:rFonts w:asciiTheme="minorEastAsia" w:eastAsiaTheme="minorEastAsia" w:hAnsiTheme="minorEastAsia"/>
          <w:color w:val="000000" w:themeColor="text1"/>
          <w:szCs w:val="21"/>
        </w:rPr>
        <w:t>。</w:t>
      </w:r>
    </w:p>
    <w:p w:rsidR="00942587" w:rsidRPr="00C664D3" w:rsidRDefault="00822AF2" w:rsidP="00AB77C1">
      <w:pPr>
        <w:pStyle w:val="2"/>
        <w:numPr>
          <w:ilvl w:val="1"/>
          <w:numId w:val="3"/>
        </w:numPr>
        <w:tabs>
          <w:tab w:val="clear" w:pos="720"/>
          <w:tab w:val="num" w:pos="426"/>
        </w:tabs>
        <w:spacing w:beforeLines="0" w:afterLines="0" w:line="360" w:lineRule="auto"/>
        <w:ind w:left="0" w:firstLineChars="0" w:firstLine="0"/>
        <w:rPr>
          <w:rFonts w:asciiTheme="minorEastAsia" w:eastAsiaTheme="minorEastAsia" w:hAnsiTheme="minorEastAsia"/>
          <w:b w:val="0"/>
          <w:color w:val="000000" w:themeColor="text1"/>
        </w:rPr>
      </w:pPr>
      <w:bookmarkStart w:id="58" w:name="_Toc277786034"/>
      <w:bookmarkStart w:id="59" w:name="_Toc277787554"/>
      <w:bookmarkStart w:id="60" w:name="_Toc277787828"/>
      <w:bookmarkStart w:id="61" w:name="_Toc278409334"/>
      <w:bookmarkStart w:id="62" w:name="_Toc423335502"/>
      <w:bookmarkEnd w:id="58"/>
      <w:bookmarkEnd w:id="59"/>
      <w:bookmarkEnd w:id="60"/>
      <w:bookmarkEnd w:id="61"/>
      <w:r w:rsidRPr="00C664D3">
        <w:rPr>
          <w:rFonts w:asciiTheme="minorEastAsia" w:eastAsiaTheme="minorEastAsia" w:hAnsiTheme="minorEastAsia" w:hint="eastAsia"/>
          <w:b w:val="0"/>
          <w:color w:val="000000" w:themeColor="text1"/>
        </w:rPr>
        <w:t>其他</w:t>
      </w:r>
      <w:r w:rsidR="00A1091C" w:rsidRPr="00C664D3">
        <w:rPr>
          <w:rFonts w:asciiTheme="minorEastAsia" w:eastAsiaTheme="minorEastAsia" w:hAnsiTheme="minorEastAsia"/>
          <w:b w:val="0"/>
          <w:color w:val="000000" w:themeColor="text1"/>
        </w:rPr>
        <w:t>风险</w:t>
      </w:r>
      <w:bookmarkEnd w:id="62"/>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00FE045C" w:rsidRPr="00C664D3">
        <w:rPr>
          <w:rFonts w:asciiTheme="minorEastAsia" w:eastAsiaTheme="minorEastAsia" w:hAnsiTheme="minorEastAsia" w:hint="eastAsia"/>
          <w:color w:val="000000" w:themeColor="text1"/>
          <w:szCs w:val="21"/>
        </w:rPr>
        <w:t>不可抗力风险</w:t>
      </w:r>
      <w:r w:rsidRPr="00C664D3">
        <w:rPr>
          <w:rFonts w:asciiTheme="minorEastAsia" w:eastAsiaTheme="minorEastAsia" w:hAnsiTheme="minorEastAsia"/>
          <w:color w:val="000000" w:themeColor="text1"/>
          <w:szCs w:val="21"/>
        </w:rPr>
        <w:t>：</w:t>
      </w:r>
      <w:r w:rsidR="00FE045C" w:rsidRPr="00C664D3">
        <w:rPr>
          <w:rFonts w:asciiTheme="minorEastAsia" w:eastAsiaTheme="minorEastAsia" w:hAnsiTheme="minorEastAsia" w:hint="eastAsia"/>
          <w:color w:val="000000" w:themeColor="text1"/>
        </w:rPr>
        <w:t>战争、自然灾害等不可抗力可能导致基金资产遭受损失。基金管理人、基金托管人、证券交易所、登记结算机构和</w:t>
      </w:r>
      <w:r w:rsidR="00EB29DA" w:rsidRPr="00C664D3">
        <w:rPr>
          <w:rFonts w:asciiTheme="minorEastAsia" w:eastAsiaTheme="minorEastAsia" w:hAnsiTheme="minorEastAsia" w:hint="eastAsia"/>
          <w:color w:val="000000" w:themeColor="text1"/>
        </w:rPr>
        <w:t>销售机构</w:t>
      </w:r>
      <w:r w:rsidR="00FE045C" w:rsidRPr="00C664D3">
        <w:rPr>
          <w:rFonts w:asciiTheme="minorEastAsia" w:eastAsiaTheme="minorEastAsia" w:hAnsiTheme="minorEastAsia" w:hint="eastAsia"/>
          <w:color w:val="000000" w:themeColor="text1"/>
        </w:rPr>
        <w:t>等可能因不可抗力无法正常工作,从而影响基金的各项业务按正常时限完成、使投资者和持有人无法及时查询权益、进行日常交易以致利益受损。</w:t>
      </w:r>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w:t>
      </w:r>
      <w:r w:rsidRPr="00C664D3">
        <w:rPr>
          <w:rFonts w:asciiTheme="minorEastAsia" w:eastAsiaTheme="minorEastAsia" w:hAnsiTheme="minorEastAsia"/>
          <w:color w:val="000000" w:themeColor="text1"/>
          <w:szCs w:val="21"/>
        </w:rPr>
        <w:t>第三方风险：本基金运作的当事人，如：管理人、境内/境外托管行和券商等，在合作中自身没有过错，但是当事人委托的或无任何关系的第三方的作为可能影响到当事人，并且进一步影响到基金的收益。</w:t>
      </w:r>
    </w:p>
    <w:p w:rsidR="00A1091C" w:rsidRPr="00C664D3" w:rsidRDefault="00A1091C" w:rsidP="00AB77C1">
      <w:pPr>
        <w:spacing w:line="360" w:lineRule="auto"/>
        <w:ind w:firstLine="200"/>
        <w:rPr>
          <w:rFonts w:asciiTheme="minorEastAsia" w:eastAsiaTheme="minorEastAsia" w:hAnsiTheme="minorEastAsia"/>
          <w:color w:val="000000" w:themeColor="text1"/>
          <w:szCs w:val="21"/>
        </w:rPr>
      </w:pP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63" w:name="_Toc83904197"/>
      <w:r w:rsidRPr="00C664D3">
        <w:rPr>
          <w:rFonts w:asciiTheme="minorEastAsia" w:eastAsiaTheme="minorEastAsia" w:hAnsiTheme="minorEastAsia"/>
          <w:color w:val="000000" w:themeColor="text1"/>
        </w:rPr>
        <w:lastRenderedPageBreak/>
        <w:t>基金的投资</w:t>
      </w:r>
      <w:bookmarkEnd w:id="63"/>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64" w:name="_Toc52310848"/>
      <w:bookmarkStart w:id="65" w:name="_Toc64861723"/>
      <w:bookmarkStart w:id="66" w:name="_Toc423335504"/>
      <w:r w:rsidRPr="00C664D3">
        <w:rPr>
          <w:rFonts w:asciiTheme="minorEastAsia" w:eastAsiaTheme="minorEastAsia" w:hAnsiTheme="minorEastAsia"/>
          <w:b w:val="0"/>
          <w:color w:val="000000" w:themeColor="text1"/>
        </w:rPr>
        <w:t>投资目标</w:t>
      </w:r>
      <w:bookmarkEnd w:id="64"/>
      <w:bookmarkEnd w:id="65"/>
      <w:bookmarkEnd w:id="66"/>
    </w:p>
    <w:p w:rsidR="00A1091C" w:rsidRPr="00C664D3" w:rsidRDefault="003D54DE" w:rsidP="00AB77C1">
      <w:pPr>
        <w:spacing w:line="360" w:lineRule="auto"/>
        <w:ind w:firstLineChars="200" w:firstLine="420"/>
        <w:rPr>
          <w:rFonts w:asciiTheme="minorEastAsia" w:eastAsiaTheme="minorEastAsia" w:hAnsiTheme="minorEastAsia"/>
          <w:color w:val="000000" w:themeColor="text1"/>
        </w:rPr>
      </w:pPr>
      <w:bookmarkStart w:id="67" w:name="_Toc52310849"/>
      <w:bookmarkStart w:id="68" w:name="_Toc64861724"/>
      <w:r w:rsidRPr="00C664D3">
        <w:rPr>
          <w:rFonts w:asciiTheme="minorEastAsia" w:eastAsiaTheme="minorEastAsia" w:hAnsiTheme="minorEastAsia" w:hint="eastAsia"/>
          <w:color w:val="000000" w:themeColor="text1"/>
        </w:rPr>
        <w:t>紧密跟踪业绩比较基准，追求跟踪偏离度及跟踪误差的最小化。</w:t>
      </w:r>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69" w:name="_Toc423335505"/>
      <w:r w:rsidRPr="00C664D3">
        <w:rPr>
          <w:rFonts w:asciiTheme="minorEastAsia" w:eastAsiaTheme="minorEastAsia" w:hAnsiTheme="minorEastAsia"/>
          <w:b w:val="0"/>
          <w:color w:val="000000" w:themeColor="text1"/>
        </w:rPr>
        <w:t>投资范围</w:t>
      </w:r>
      <w:bookmarkEnd w:id="67"/>
      <w:bookmarkEnd w:id="68"/>
      <w:bookmarkEnd w:id="69"/>
    </w:p>
    <w:p w:rsidR="003D54DE" w:rsidRPr="00C664D3" w:rsidRDefault="003D54DE" w:rsidP="00AB77C1">
      <w:pPr>
        <w:spacing w:line="360" w:lineRule="auto"/>
        <w:ind w:firstLineChars="200" w:firstLine="420"/>
        <w:rPr>
          <w:rFonts w:asciiTheme="minorEastAsia" w:eastAsiaTheme="minorEastAsia" w:hAnsiTheme="minorEastAsia"/>
          <w:color w:val="000000" w:themeColor="text1"/>
        </w:rPr>
      </w:pPr>
      <w:bookmarkStart w:id="70" w:name="_Toc52310850"/>
      <w:bookmarkStart w:id="71" w:name="_Toc64861725"/>
      <w:r w:rsidRPr="00C664D3">
        <w:rPr>
          <w:rFonts w:asciiTheme="minorEastAsia" w:eastAsiaTheme="minorEastAsia" w:hAnsiTheme="minorEastAsia" w:hint="eastAsia"/>
          <w:color w:val="000000" w:themeColor="text1"/>
        </w:rPr>
        <w:t>本基金投资于标的指数成份股、备选成份股、在已与中国证监会签署双边监管合作谅解备忘录的国家或地区证券监管机构登记注册的跟踪同一标的指数的公募基金、依法发行上市的其他股票、债券、存托凭证（包括全球存托凭证、美国存托凭证等）、银行存款、货币市场工具、经中国证监会认可的境外交易所上市交易的期权、期货等金融衍生产品和法律法规或中国证监会允许基金投资的其他金融工具。</w:t>
      </w:r>
    </w:p>
    <w:p w:rsidR="003D54DE" w:rsidRPr="00C664D3" w:rsidRDefault="003D54DE"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如法律法规或监管机构以后允许基金投资其他品种，</w:t>
      </w:r>
      <w:r w:rsidR="00822DC8" w:rsidRPr="00C664D3">
        <w:rPr>
          <w:rFonts w:asciiTheme="minorEastAsia" w:eastAsiaTheme="minorEastAsia" w:hAnsiTheme="minorEastAsia" w:hint="eastAsia"/>
          <w:color w:val="000000" w:themeColor="text1"/>
        </w:rPr>
        <w:t>在履行适当程序后，</w:t>
      </w:r>
      <w:r w:rsidRPr="00C664D3">
        <w:rPr>
          <w:rFonts w:asciiTheme="minorEastAsia" w:eastAsiaTheme="minorEastAsia" w:hAnsiTheme="minorEastAsia" w:hint="eastAsia"/>
          <w:color w:val="000000" w:themeColor="text1"/>
        </w:rPr>
        <w:t>本基金</w:t>
      </w:r>
      <w:r w:rsidRPr="00C664D3">
        <w:rPr>
          <w:rFonts w:asciiTheme="minorEastAsia" w:eastAsiaTheme="minorEastAsia" w:hAnsiTheme="minorEastAsia"/>
          <w:color w:val="000000" w:themeColor="text1"/>
        </w:rPr>
        <w:t>可以将其纳入投资范围</w:t>
      </w:r>
      <w:r w:rsidRPr="00C664D3">
        <w:rPr>
          <w:rFonts w:asciiTheme="minorEastAsia" w:eastAsiaTheme="minorEastAsia" w:hAnsiTheme="minorEastAsia" w:hint="eastAsia"/>
          <w:color w:val="000000" w:themeColor="text1"/>
        </w:rPr>
        <w:t>，其投资原则及投资比例按法律法规或监管机构的相关规定执行。</w:t>
      </w:r>
    </w:p>
    <w:p w:rsidR="00A1091C" w:rsidRPr="00C664D3" w:rsidRDefault="003D54DE"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本基金投资于股票的比例不低于基金资产的80%；本基金投资标的指数成份股、备选成份股、</w:t>
      </w:r>
      <w:r w:rsidR="00CB751B" w:rsidRPr="00C664D3">
        <w:rPr>
          <w:rFonts w:asciiTheme="minorEastAsia" w:eastAsiaTheme="minorEastAsia" w:hAnsiTheme="minorEastAsia" w:hint="eastAsia"/>
          <w:color w:val="000000" w:themeColor="text1"/>
        </w:rPr>
        <w:t>跟踪同一标的指数的公募基金</w:t>
      </w:r>
      <w:r w:rsidRPr="00C664D3">
        <w:rPr>
          <w:rFonts w:asciiTheme="minorEastAsia" w:eastAsiaTheme="minorEastAsia" w:hAnsiTheme="minorEastAsia" w:hint="eastAsia"/>
          <w:color w:val="000000" w:themeColor="text1"/>
        </w:rPr>
        <w:t>的资产不低于</w:t>
      </w:r>
      <w:r w:rsidRPr="00C664D3">
        <w:rPr>
          <w:rFonts w:asciiTheme="minorEastAsia" w:eastAsiaTheme="minorEastAsia" w:hAnsiTheme="minorEastAsia"/>
          <w:color w:val="000000" w:themeColor="text1"/>
        </w:rPr>
        <w:t>非现金基金资产的80%</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现金或到期日在一年以内的政府债券不低于基金资产净值的5%</w:t>
      </w:r>
      <w:r w:rsidR="00C81E1B" w:rsidRPr="00C664D3">
        <w:rPr>
          <w:rFonts w:asciiTheme="minorEastAsia" w:eastAsiaTheme="minorEastAsia" w:hAnsiTheme="minorEastAsia" w:hint="eastAsia"/>
          <w:color w:val="000000" w:themeColor="text1"/>
        </w:rPr>
        <w:t>，现金不包括结算备付金、存出保证金、应收申购款等</w:t>
      </w: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若法律法规的相关规定发生变更或监管机构允许，本基金可对上述资产配置比例进行调整。</w:t>
      </w:r>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72" w:name="_Toc423335506"/>
      <w:bookmarkStart w:id="73" w:name="_Toc423335507"/>
      <w:bookmarkStart w:id="74" w:name="_Toc423335508"/>
      <w:bookmarkStart w:id="75" w:name="_Toc52310851"/>
      <w:bookmarkStart w:id="76" w:name="_Toc64861726"/>
      <w:bookmarkEnd w:id="70"/>
      <w:bookmarkEnd w:id="71"/>
      <w:bookmarkEnd w:id="72"/>
      <w:bookmarkEnd w:id="73"/>
      <w:r w:rsidRPr="00C664D3">
        <w:rPr>
          <w:rFonts w:asciiTheme="minorEastAsia" w:eastAsiaTheme="minorEastAsia" w:hAnsiTheme="minorEastAsia"/>
          <w:b w:val="0"/>
          <w:color w:val="000000" w:themeColor="text1"/>
        </w:rPr>
        <w:t>投资策略</w:t>
      </w:r>
      <w:bookmarkEnd w:id="74"/>
    </w:p>
    <w:p w:rsidR="00CB751B" w:rsidRPr="00C664D3" w:rsidRDefault="00CB751B" w:rsidP="00AB77C1">
      <w:pPr>
        <w:spacing w:line="360" w:lineRule="auto"/>
        <w:ind w:firstLineChars="200" w:firstLine="420"/>
        <w:rPr>
          <w:rFonts w:asciiTheme="minorEastAsia" w:eastAsiaTheme="minorEastAsia" w:hAnsiTheme="minorEastAsia"/>
          <w:color w:val="000000" w:themeColor="text1"/>
        </w:rPr>
      </w:pPr>
      <w:bookmarkStart w:id="77" w:name="_Toc44900772"/>
      <w:bookmarkStart w:id="78" w:name="_Toc52616499"/>
      <w:r w:rsidRPr="00C664D3">
        <w:rPr>
          <w:rFonts w:asciiTheme="minorEastAsia" w:eastAsiaTheme="minorEastAsia" w:hAnsiTheme="minorEastAsia" w:hint="eastAsia"/>
          <w:color w:val="000000" w:themeColor="text1"/>
        </w:rPr>
        <w:t>本基金主要采用完全复制法进行投资。本基金力争将年化跟踪误差控制在4%以内，日跟踪偏离度绝对值的平均值控制在0.35%以内。</w:t>
      </w:r>
    </w:p>
    <w:p w:rsidR="00382129" w:rsidRPr="00C664D3" w:rsidRDefault="003821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1、资产配置策略</w:t>
      </w:r>
    </w:p>
    <w:p w:rsidR="003C79F2" w:rsidRPr="00C664D3" w:rsidRDefault="003C79F2"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以追求标的指数长期增长的稳定收益为宗旨，在降低跟踪误差和控制流动性风险的双重约束下构建指数化的投资组合。本基金主要按照标的指数的成份股组成及其权重构建股票投资组合,并根据指数成份股及其权重的变动而进行相应调整。但在因特殊情况（如股票停牌、流动性不足）导致无法获得足够数量的股票时，基金管理人将搭配使用其他合理方法进行适当的替代。</w:t>
      </w:r>
    </w:p>
    <w:p w:rsidR="003C79F2" w:rsidRPr="00C664D3" w:rsidRDefault="003C79F2"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本基金可能将一定比例的基金资产投资于以标的指数为跟踪标的的公募基金以及股指期货等金融衍生品，以优化投资组合的建立，达到节约交易成本和有效追踪标的指数表现的目的。</w:t>
      </w:r>
    </w:p>
    <w:p w:rsidR="00382129" w:rsidRPr="00C664D3" w:rsidRDefault="003C79F2"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lastRenderedPageBreak/>
        <w:t>本基金在实际管理过程中可能由于投资者申购而增加的资金可能不能及时地转化为目标指数的成份股票、或为了应对可能发生的较大规模赎回而持有较多现金，基于流动性管理及策略性投资的需要，本基金可适当投资于固定收益品种和货币市场工具。</w:t>
      </w:r>
    </w:p>
    <w:p w:rsidR="00382129" w:rsidRPr="00C664D3" w:rsidRDefault="003821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w:t>
      </w:r>
      <w:r w:rsidRPr="00C664D3">
        <w:rPr>
          <w:rFonts w:asciiTheme="minorEastAsia" w:eastAsiaTheme="minorEastAsia" w:hAnsiTheme="minorEastAsia" w:hint="eastAsia"/>
          <w:color w:val="000000" w:themeColor="text1"/>
        </w:rPr>
        <w:t>、权益类品种投资策略</w:t>
      </w:r>
    </w:p>
    <w:p w:rsidR="00382129" w:rsidRPr="00C664D3" w:rsidRDefault="003821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本基金主要采取组合复制策略和适当的替代性策略实现对标的指数的紧密跟踪。同时，本基金可适当借出证券，以更好实现本基金的投资目标。</w:t>
      </w:r>
    </w:p>
    <w:p w:rsidR="00382129" w:rsidRPr="00C664D3" w:rsidRDefault="003821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（1）组合复制策略</w:t>
      </w:r>
    </w:p>
    <w:p w:rsidR="00382129" w:rsidRPr="00C664D3" w:rsidRDefault="003821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本基金主要采取完全复制法进行投资，即参考标的指数的成份股组成及权重构建股票投资组合，并根据标的指数的成份股组成及权重变动对股票投资组合进行相应调整。</w:t>
      </w:r>
    </w:p>
    <w:p w:rsidR="00382129" w:rsidRPr="00C664D3" w:rsidRDefault="003821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（2）替代性策略</w:t>
      </w:r>
    </w:p>
    <w:p w:rsidR="00E61BFA" w:rsidRPr="00C664D3" w:rsidRDefault="003821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当市场流动性不足、法律法规限制投资某只股票、基金管理人认定不适合投资的股票等情况导致本基金无法按照指数构成及权重进行组合构建时，基金管理人将通过投资其他成份股、非成份股进行替代，并以降低跟踪误差为目标，优化投资组合的配置结构。在进行替代投资时，本基金所持有基金或金融衍生品应符合相关投资比例的限制。</w:t>
      </w:r>
    </w:p>
    <w:p w:rsidR="00E61BFA" w:rsidRPr="00C664D3" w:rsidRDefault="00E61BFA"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3、固定收益品种和货币市场工具投资策略</w:t>
      </w:r>
    </w:p>
    <w:p w:rsidR="00E61BFA" w:rsidRPr="00C664D3" w:rsidRDefault="00E61BFA"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本基金基于流动性管理及策略性投资的需要，将适当投资于</w:t>
      </w:r>
      <w:r w:rsidRPr="00C664D3">
        <w:rPr>
          <w:rFonts w:asciiTheme="minorEastAsia" w:eastAsiaTheme="minorEastAsia" w:hAnsiTheme="minorEastAsia" w:hint="eastAsia"/>
          <w:color w:val="000000" w:themeColor="text1"/>
        </w:rPr>
        <w:t>固定收益品种</w:t>
      </w:r>
      <w:r w:rsidRPr="00C664D3">
        <w:rPr>
          <w:rFonts w:asciiTheme="minorEastAsia" w:eastAsiaTheme="minorEastAsia" w:hAnsiTheme="minorEastAsia"/>
          <w:color w:val="000000" w:themeColor="text1"/>
        </w:rPr>
        <w:t>和货币市场工具，</w:t>
      </w:r>
      <w:r w:rsidRPr="00C664D3">
        <w:rPr>
          <w:rFonts w:asciiTheme="minorEastAsia" w:eastAsiaTheme="minorEastAsia" w:hAnsiTheme="minorEastAsia" w:hint="eastAsia"/>
          <w:color w:val="000000" w:themeColor="text1"/>
        </w:rPr>
        <w:t>主要</w:t>
      </w:r>
      <w:r w:rsidRPr="00C664D3">
        <w:rPr>
          <w:rFonts w:asciiTheme="minorEastAsia" w:eastAsiaTheme="minorEastAsia" w:hAnsiTheme="minorEastAsia"/>
          <w:color w:val="000000" w:themeColor="text1"/>
        </w:rPr>
        <w:t>目的是在保证基金资产流动性的同时有效利用基金资产，提高基金资产的投资收益。</w:t>
      </w:r>
    </w:p>
    <w:p w:rsidR="00382129" w:rsidRPr="00C664D3" w:rsidRDefault="00E61BFA"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w:t>
      </w:r>
      <w:r w:rsidR="00382129" w:rsidRPr="00C664D3">
        <w:rPr>
          <w:rFonts w:asciiTheme="minorEastAsia" w:eastAsiaTheme="minorEastAsia" w:hAnsiTheme="minorEastAsia" w:hint="eastAsia"/>
          <w:color w:val="000000" w:themeColor="text1"/>
        </w:rPr>
        <w:t>、金融衍生品投资策略</w:t>
      </w:r>
    </w:p>
    <w:p w:rsidR="00382129" w:rsidRPr="00C664D3" w:rsidRDefault="003821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（1）减少现金拖累</w:t>
      </w:r>
    </w:p>
    <w:p w:rsidR="00382129" w:rsidRPr="00C664D3" w:rsidRDefault="003821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考虑到申购赎回资金流动冲击、外汇汇兑、资金划转等操作问题，本基金将保留一定的现金，用于满足赎回资金及证券交易的交收要求，可能形成现金拖累，影响指数跟踪。为更好地实现投资目标，本基金可通过金融衍生品降低现金持仓对跟踪效果的影响。</w:t>
      </w:r>
    </w:p>
    <w:p w:rsidR="00382129" w:rsidRPr="00C664D3" w:rsidRDefault="003821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（2）投资替代</w:t>
      </w:r>
    </w:p>
    <w:p w:rsidR="00382129" w:rsidRPr="00C664D3" w:rsidRDefault="003821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如因法律法规限制、基金规模制约或流动性制约，导致本基金不能完全按照标的指数的构成投资于指数成份股，或出现境外市场相关法规、规则禁止本基金投资相关股票的情形时，为更好地实现投资目标，本基金可投资于</w:t>
      </w:r>
      <w:r w:rsidR="00C55DAB" w:rsidRPr="00C664D3">
        <w:rPr>
          <w:rFonts w:asciiTheme="minorEastAsia" w:eastAsiaTheme="minorEastAsia" w:hAnsiTheme="minorEastAsia" w:hint="eastAsia"/>
          <w:color w:val="000000" w:themeColor="text1"/>
        </w:rPr>
        <w:t>个股期权、互换等</w:t>
      </w:r>
      <w:r w:rsidRPr="00C664D3">
        <w:rPr>
          <w:rFonts w:asciiTheme="minorEastAsia" w:eastAsiaTheme="minorEastAsia" w:hAnsiTheme="minorEastAsia" w:hint="eastAsia"/>
          <w:color w:val="000000" w:themeColor="text1"/>
        </w:rPr>
        <w:t>金融衍生品，进行投资替代。</w:t>
      </w:r>
    </w:p>
    <w:p w:rsidR="00A1091C" w:rsidRPr="00C664D3" w:rsidRDefault="00E61BFA"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w:t>
      </w:r>
      <w:r w:rsidR="00382129" w:rsidRPr="00C664D3">
        <w:rPr>
          <w:rFonts w:asciiTheme="minorEastAsia" w:eastAsiaTheme="minorEastAsia" w:hAnsiTheme="minorEastAsia" w:hint="eastAsia"/>
          <w:color w:val="000000" w:themeColor="text1"/>
        </w:rPr>
        <w:t>、未来，随着市场的发展和基金管理运作的需要，基金管理人可以在不改变投资目标的前提下，遵循法律法规的规定，相应调整或更新投资策略，并在招募说明书更新中公告。</w:t>
      </w:r>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79" w:name="_Toc423335509"/>
      <w:bookmarkEnd w:id="77"/>
      <w:bookmarkEnd w:id="78"/>
      <w:r w:rsidRPr="00C664D3">
        <w:rPr>
          <w:rFonts w:asciiTheme="minorEastAsia" w:eastAsiaTheme="minorEastAsia" w:hAnsiTheme="minorEastAsia"/>
          <w:b w:val="0"/>
          <w:color w:val="000000" w:themeColor="text1"/>
        </w:rPr>
        <w:lastRenderedPageBreak/>
        <w:t>业绩比较基准</w:t>
      </w:r>
      <w:bookmarkEnd w:id="75"/>
      <w:bookmarkEnd w:id="76"/>
      <w:bookmarkEnd w:id="79"/>
    </w:p>
    <w:p w:rsidR="00EF7E88" w:rsidRPr="00C664D3" w:rsidRDefault="00EF7E88"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本基金的标的指数为</w:t>
      </w:r>
      <w:r w:rsidR="007B11AE" w:rsidRPr="00C664D3">
        <w:rPr>
          <w:rFonts w:asciiTheme="minorEastAsia" w:eastAsiaTheme="minorEastAsia" w:hAnsiTheme="minorEastAsia" w:hint="eastAsia"/>
          <w:color w:val="000000" w:themeColor="text1"/>
        </w:rPr>
        <w:t>标普500信息科技指数</w:t>
      </w:r>
      <w:r w:rsidRPr="00C664D3">
        <w:rPr>
          <w:rFonts w:asciiTheme="minorEastAsia" w:eastAsiaTheme="minorEastAsia" w:hAnsiTheme="minorEastAsia" w:hint="eastAsia"/>
          <w:color w:val="000000" w:themeColor="text1"/>
        </w:rPr>
        <w:t>（价格指数）。</w:t>
      </w:r>
    </w:p>
    <w:p w:rsidR="00EF7E88" w:rsidRPr="00C664D3" w:rsidRDefault="00EF7E88"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本基金业绩比较基准为：</w:t>
      </w:r>
    </w:p>
    <w:p w:rsidR="00EF7E88" w:rsidRPr="00C664D3" w:rsidRDefault="007B11AE"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标普500信息科技指数</w:t>
      </w:r>
      <w:r w:rsidR="00EF7E88" w:rsidRPr="00C664D3">
        <w:rPr>
          <w:rFonts w:asciiTheme="minorEastAsia" w:eastAsiaTheme="minorEastAsia" w:hAnsiTheme="minorEastAsia" w:hint="eastAsia"/>
          <w:color w:val="000000" w:themeColor="text1"/>
        </w:rPr>
        <w:t>收益率（使用估值汇率折算）×95%+活期存款利率（税后）×5%。</w:t>
      </w:r>
    </w:p>
    <w:p w:rsidR="006D33D8" w:rsidRPr="00C664D3" w:rsidRDefault="00E0338A" w:rsidP="006D33D8">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未来若出现标的指数</w:t>
      </w:r>
      <w:r w:rsidR="00792151" w:rsidRPr="00C664D3">
        <w:rPr>
          <w:rFonts w:asciiTheme="minorEastAsia" w:eastAsiaTheme="minorEastAsia" w:hAnsiTheme="minorEastAsia" w:hint="eastAsia"/>
          <w:color w:val="000000" w:themeColor="text1"/>
        </w:rPr>
        <w:t>不符合法律法规及监管的要求</w:t>
      </w:r>
      <w:r w:rsidRPr="00C664D3">
        <w:rPr>
          <w:rFonts w:asciiTheme="minorEastAsia" w:eastAsiaTheme="minorEastAsia" w:hAnsiTheme="minorEastAsia" w:hint="eastAsia"/>
          <w:color w:val="000000" w:themeColor="text1"/>
        </w:rPr>
        <w:t>（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rsidR="00A1091C" w:rsidRPr="00C664D3" w:rsidRDefault="006D33D8" w:rsidP="006D33D8">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自指数编制机构停止标的指数的编制及发布至解决方案确定期间，基金管理人应按照指数编制机构提供的最近一个交易日的指数信息遵循基金份额持有人利益优先原则维持基金投资运作。</w:t>
      </w:r>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80" w:name="_Toc87269125"/>
      <w:bookmarkStart w:id="81" w:name="_Toc423335510"/>
      <w:bookmarkStart w:id="82" w:name="_Toc84149642"/>
      <w:r w:rsidRPr="00C664D3">
        <w:rPr>
          <w:rFonts w:asciiTheme="minorEastAsia" w:eastAsiaTheme="minorEastAsia" w:hAnsiTheme="minorEastAsia"/>
          <w:b w:val="0"/>
          <w:color w:val="000000" w:themeColor="text1"/>
        </w:rPr>
        <w:t>风险收益特征</w:t>
      </w:r>
      <w:bookmarkEnd w:id="80"/>
      <w:bookmarkEnd w:id="81"/>
    </w:p>
    <w:bookmarkEnd w:id="82"/>
    <w:p w:rsidR="00AD3004" w:rsidRPr="00C664D3" w:rsidRDefault="00AD3004"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本基金属股票指数基金，预期风险与收益水平高于混合基金、债券基金与货币市场基金。本基金主要采用组合复制策略和适当的替代性策略实现对标的指数的紧密跟踪，具有与标的指数相似的风险收益特征。</w:t>
      </w:r>
    </w:p>
    <w:p w:rsidR="00A1091C" w:rsidRPr="00C664D3" w:rsidRDefault="00AD3004"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本基金主要投资美国证券市场，需承担汇率风险以及境外市场的风险。</w:t>
      </w:r>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83" w:name="_Toc52310852"/>
      <w:bookmarkStart w:id="84" w:name="_Toc64861727"/>
      <w:bookmarkStart w:id="85" w:name="_Toc423335511"/>
      <w:r w:rsidRPr="00C664D3">
        <w:rPr>
          <w:rFonts w:asciiTheme="minorEastAsia" w:eastAsiaTheme="minorEastAsia" w:hAnsiTheme="minorEastAsia"/>
          <w:b w:val="0"/>
          <w:color w:val="000000" w:themeColor="text1"/>
        </w:rPr>
        <w:t>投资决策</w:t>
      </w:r>
      <w:bookmarkEnd w:id="83"/>
      <w:bookmarkEnd w:id="84"/>
      <w:r w:rsidRPr="00C664D3">
        <w:rPr>
          <w:rFonts w:asciiTheme="minorEastAsia" w:eastAsiaTheme="minorEastAsia" w:hAnsiTheme="minorEastAsia"/>
          <w:b w:val="0"/>
          <w:color w:val="000000" w:themeColor="text1"/>
        </w:rPr>
        <w:t>依据与决策程序</w:t>
      </w:r>
      <w:bookmarkEnd w:id="85"/>
    </w:p>
    <w:p w:rsidR="00A1091C" w:rsidRPr="00C664D3" w:rsidRDefault="002B3467"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00A1091C" w:rsidRPr="00C664D3">
        <w:rPr>
          <w:rFonts w:asciiTheme="minorEastAsia" w:eastAsiaTheme="minorEastAsia" w:hAnsiTheme="minorEastAsia"/>
          <w:color w:val="000000" w:themeColor="text1"/>
          <w:szCs w:val="21"/>
        </w:rPr>
        <w:t>决策依据</w:t>
      </w:r>
    </w:p>
    <w:p w:rsidR="00A1091C" w:rsidRPr="00C664D3" w:rsidRDefault="002B3467"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00A1091C" w:rsidRPr="00C664D3">
        <w:rPr>
          <w:rFonts w:asciiTheme="minorEastAsia" w:eastAsiaTheme="minorEastAsia" w:hAnsiTheme="minorEastAsia"/>
          <w:color w:val="000000" w:themeColor="text1"/>
          <w:szCs w:val="21"/>
        </w:rPr>
        <w:t>国家有关法律法规和基金合同的有关规定。</w:t>
      </w:r>
    </w:p>
    <w:p w:rsidR="00A1091C" w:rsidRPr="00C664D3" w:rsidRDefault="002B3467"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w:t>
      </w:r>
      <w:r w:rsidR="00FA0552" w:rsidRPr="00C664D3">
        <w:rPr>
          <w:rFonts w:asciiTheme="minorEastAsia" w:eastAsiaTheme="minorEastAsia" w:hAnsiTheme="minorEastAsia" w:hint="eastAsia"/>
          <w:color w:val="000000" w:themeColor="text1"/>
        </w:rPr>
        <w:t>标的指数的编制方法及其调整公告等</w:t>
      </w:r>
      <w:r w:rsidR="00A1091C" w:rsidRPr="00C664D3">
        <w:rPr>
          <w:rFonts w:asciiTheme="minorEastAsia" w:eastAsiaTheme="minorEastAsia" w:hAnsiTheme="minorEastAsia"/>
          <w:color w:val="000000" w:themeColor="text1"/>
          <w:szCs w:val="21"/>
        </w:rPr>
        <w:t>。</w:t>
      </w:r>
    </w:p>
    <w:p w:rsidR="00FA0552" w:rsidRPr="00C664D3" w:rsidRDefault="00FA0552"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w:t>
      </w:r>
      <w:r w:rsidRPr="00C664D3">
        <w:rPr>
          <w:rFonts w:asciiTheme="minorEastAsia" w:eastAsiaTheme="minorEastAsia" w:hAnsiTheme="minorEastAsia" w:hint="eastAsia"/>
          <w:color w:val="000000" w:themeColor="text1"/>
        </w:rPr>
        <w:t>对证券市场发展趋势的研究与判断。</w:t>
      </w:r>
    </w:p>
    <w:p w:rsidR="00A1091C" w:rsidRPr="00C664D3" w:rsidRDefault="002B3467"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w:t>
      </w:r>
      <w:r w:rsidR="00A1091C" w:rsidRPr="00C664D3">
        <w:rPr>
          <w:rFonts w:asciiTheme="minorEastAsia" w:eastAsiaTheme="minorEastAsia" w:hAnsiTheme="minorEastAsia"/>
          <w:color w:val="000000" w:themeColor="text1"/>
          <w:szCs w:val="21"/>
        </w:rPr>
        <w:t>决策程序</w:t>
      </w:r>
    </w:p>
    <w:p w:rsidR="00FA0552" w:rsidRPr="00C664D3" w:rsidRDefault="00FA0552" w:rsidP="00AB77C1">
      <w:pPr>
        <w:pStyle w:val="aff1"/>
        <w:numPr>
          <w:ilvl w:val="0"/>
          <w:numId w:val="26"/>
        </w:numPr>
        <w:spacing w:line="360" w:lineRule="auto"/>
        <w:ind w:firstLineChars="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基金经理制定资产配置计划，按照公司制度提交审议并实施。</w:t>
      </w:r>
    </w:p>
    <w:p w:rsidR="00FA0552" w:rsidRPr="00C664D3" w:rsidRDefault="00FA0552" w:rsidP="00AB77C1">
      <w:pPr>
        <w:pStyle w:val="aff1"/>
        <w:numPr>
          <w:ilvl w:val="0"/>
          <w:numId w:val="26"/>
        </w:numPr>
        <w:spacing w:line="360" w:lineRule="auto"/>
        <w:ind w:firstLineChars="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基金经理依据指数成份股名单及权重，进行投资组合构建。</w:t>
      </w:r>
    </w:p>
    <w:p w:rsidR="00FA0552" w:rsidRPr="00C664D3" w:rsidRDefault="00FA0552" w:rsidP="00AB77C1">
      <w:pPr>
        <w:pStyle w:val="aff1"/>
        <w:numPr>
          <w:ilvl w:val="0"/>
          <w:numId w:val="26"/>
        </w:numPr>
        <w:spacing w:line="360" w:lineRule="auto"/>
        <w:ind w:firstLineChars="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当发生以下情况时，基金管理人将对投资组合进行调整，以降低跟踪误差,实现对标的指数的紧密跟踪。</w:t>
      </w:r>
    </w:p>
    <w:p w:rsidR="00FA0552" w:rsidRPr="00C664D3" w:rsidRDefault="00FA0552" w:rsidP="00AB77C1">
      <w:pPr>
        <w:pStyle w:val="aff1"/>
        <w:numPr>
          <w:ilvl w:val="0"/>
          <w:numId w:val="27"/>
        </w:numPr>
        <w:spacing w:line="360" w:lineRule="auto"/>
        <w:ind w:left="1259" w:firstLineChars="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指数编制方法发生变更。基金管理人将评估指数编制方法变更对指数成份股及权重的影响，适时进行投资组合调整。</w:t>
      </w:r>
    </w:p>
    <w:p w:rsidR="00FA0552" w:rsidRPr="00C664D3" w:rsidRDefault="00FA0552" w:rsidP="00AB77C1">
      <w:pPr>
        <w:pStyle w:val="aff1"/>
        <w:numPr>
          <w:ilvl w:val="0"/>
          <w:numId w:val="27"/>
        </w:numPr>
        <w:spacing w:line="360" w:lineRule="auto"/>
        <w:ind w:left="1259" w:firstLineChars="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lastRenderedPageBreak/>
        <w:t>指数成份股定期或临时调整。基金管理人将预测指数成份股调整方案，并判断指数成份股调整对投资组合的影响，在此基础上确定组合调整策略。</w:t>
      </w:r>
    </w:p>
    <w:p w:rsidR="00FA0552" w:rsidRPr="00C664D3" w:rsidRDefault="00FA0552" w:rsidP="00AB77C1">
      <w:pPr>
        <w:pStyle w:val="aff1"/>
        <w:numPr>
          <w:ilvl w:val="0"/>
          <w:numId w:val="27"/>
        </w:numPr>
        <w:spacing w:line="360" w:lineRule="auto"/>
        <w:ind w:left="1259" w:firstLineChars="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指数成份股出现股本变化、增发、配股、派发现金股息等情形。基金管理人将密切关注这些情形对指数的影响，并据此确定相应的投资组合调整策略。</w:t>
      </w:r>
    </w:p>
    <w:p w:rsidR="00FA0552" w:rsidRPr="00C664D3" w:rsidRDefault="00FA0552" w:rsidP="00AB77C1">
      <w:pPr>
        <w:pStyle w:val="aff1"/>
        <w:numPr>
          <w:ilvl w:val="0"/>
          <w:numId w:val="27"/>
        </w:numPr>
        <w:spacing w:line="360" w:lineRule="auto"/>
        <w:ind w:left="1259" w:firstLineChars="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当因法律法规限制本基金不能投资指数成份股或境外市场相关法规、规则禁止本基金投资相关股票时，基金管理人研究制定成份股替代策略，并适时进行组合调整。</w:t>
      </w:r>
    </w:p>
    <w:p w:rsidR="00FA0552" w:rsidRPr="00C664D3" w:rsidRDefault="00FA0552" w:rsidP="00AB77C1">
      <w:pPr>
        <w:pStyle w:val="aff1"/>
        <w:numPr>
          <w:ilvl w:val="0"/>
          <w:numId w:val="27"/>
        </w:numPr>
        <w:spacing w:line="360" w:lineRule="auto"/>
        <w:ind w:left="1259" w:firstLineChars="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基金参与新股申购、股票长期停牌、股票流动性不足等情形。基金管理人将分析这些情形对跟踪误差的影响，据此对投资组合进行相应调整。</w:t>
      </w:r>
    </w:p>
    <w:p w:rsidR="006D33D8" w:rsidRPr="00C664D3" w:rsidRDefault="006D33D8" w:rsidP="006D33D8">
      <w:pPr>
        <w:pStyle w:val="aff1"/>
        <w:numPr>
          <w:ilvl w:val="0"/>
          <w:numId w:val="26"/>
        </w:numPr>
        <w:spacing w:line="360" w:lineRule="auto"/>
        <w:ind w:firstLineChars="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指数成份股发生明显负面事件面临退市风险，且指数编制机构暂未作出调整的，基金管理人将按照基金份额持有人利益优先的原则，综合考虑成份股的退市风险、其在指数中的权重以及对跟踪误差的影响，据此制定成份股替代策略，并对投资组合进行相应调整</w:t>
      </w:r>
      <w:r w:rsidR="00ED58B8" w:rsidRPr="00C664D3">
        <w:rPr>
          <w:rFonts w:asciiTheme="minorEastAsia" w:eastAsiaTheme="minorEastAsia" w:hAnsiTheme="minorEastAsia" w:hint="eastAsia"/>
          <w:color w:val="000000" w:themeColor="text1"/>
        </w:rPr>
        <w:t>。</w:t>
      </w:r>
    </w:p>
    <w:p w:rsidR="00FA0552" w:rsidRPr="00C664D3" w:rsidRDefault="00FA0552" w:rsidP="006D33D8">
      <w:pPr>
        <w:pStyle w:val="aff1"/>
        <w:numPr>
          <w:ilvl w:val="0"/>
          <w:numId w:val="26"/>
        </w:numPr>
        <w:spacing w:line="360" w:lineRule="auto"/>
        <w:ind w:firstLineChars="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投资风险管理部门定期对投资组合的跟踪误差进行量化评估，提供基金经理参考。</w:t>
      </w:r>
    </w:p>
    <w:p w:rsidR="00FA0552" w:rsidRPr="00C664D3" w:rsidRDefault="00FA0552" w:rsidP="00AB77C1">
      <w:pPr>
        <w:pStyle w:val="aff1"/>
        <w:numPr>
          <w:ilvl w:val="0"/>
          <w:numId w:val="26"/>
        </w:numPr>
        <w:spacing w:line="360" w:lineRule="auto"/>
        <w:ind w:firstLineChars="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基金经理参考有关研究报告及投资风险管理部的报告，及时进行投资组合调整。</w:t>
      </w:r>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86" w:name="_Toc423335512"/>
      <w:r w:rsidRPr="00C664D3">
        <w:rPr>
          <w:rFonts w:asciiTheme="minorEastAsia" w:eastAsiaTheme="minorEastAsia" w:hAnsiTheme="minorEastAsia"/>
          <w:b w:val="0"/>
          <w:color w:val="000000" w:themeColor="text1"/>
        </w:rPr>
        <w:t>投资禁止与限制</w:t>
      </w:r>
      <w:bookmarkEnd w:id="86"/>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1、组合限制</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基金的投资组合应遵循以下限制：</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Pr="00C664D3">
        <w:rPr>
          <w:rFonts w:asciiTheme="minorEastAsia" w:eastAsiaTheme="minorEastAsia" w:hAnsiTheme="minorEastAsia" w:hint="eastAsia"/>
          <w:color w:val="000000" w:themeColor="text1"/>
          <w:szCs w:val="21"/>
        </w:rPr>
        <w:tab/>
        <w:t>基金持有同一家银行的存款不得超过基金净值的20%，银行应当是中资商业银行在境外设立的分行或在最近一个会计年度达到中国证监会认可的信用评级机构评级的境外银行。在基金托管账户的存款可以不受上述限制。</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w:t>
      </w:r>
      <w:r w:rsidRPr="00C664D3">
        <w:rPr>
          <w:rFonts w:asciiTheme="minorEastAsia" w:eastAsiaTheme="minorEastAsia" w:hAnsiTheme="minorEastAsia" w:hint="eastAsia"/>
          <w:color w:val="000000" w:themeColor="text1"/>
          <w:szCs w:val="21"/>
        </w:rPr>
        <w:tab/>
        <w:t>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w:t>
      </w:r>
      <w:r w:rsidRPr="00C664D3">
        <w:rPr>
          <w:rFonts w:asciiTheme="minorEastAsia" w:eastAsiaTheme="minorEastAsia" w:hAnsiTheme="minorEastAsia" w:hint="eastAsia"/>
          <w:color w:val="000000" w:themeColor="text1"/>
          <w:szCs w:val="21"/>
        </w:rPr>
        <w:tab/>
        <w:t>基金持有非流动性资产市值不得超过基金净值的10%。前项非流动性资产是指法律或《基金合同》规定的流通受限证券以及中国证监会认定的其他资产。</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w:t>
      </w:r>
      <w:r w:rsidRPr="00C664D3">
        <w:rPr>
          <w:rFonts w:asciiTheme="minorEastAsia" w:eastAsiaTheme="minorEastAsia" w:hAnsiTheme="minorEastAsia" w:hint="eastAsia"/>
          <w:color w:val="000000" w:themeColor="text1"/>
          <w:szCs w:val="21"/>
        </w:rPr>
        <w:tab/>
        <w:t>基金持有境外基金的市值合计不得超过基金净值的10%。持有货币市场基金可以不受前述限制。</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w:t>
      </w:r>
      <w:r w:rsidRPr="00C664D3">
        <w:rPr>
          <w:rFonts w:asciiTheme="minorEastAsia" w:eastAsiaTheme="minorEastAsia" w:hAnsiTheme="minorEastAsia" w:hint="eastAsia"/>
          <w:color w:val="000000" w:themeColor="text1"/>
          <w:szCs w:val="21"/>
        </w:rPr>
        <w:tab/>
        <w:t>基金管理人管理的全部基金持有任何一只境外基金，不得超过该境外基金总份</w:t>
      </w:r>
      <w:r w:rsidRPr="00C664D3">
        <w:rPr>
          <w:rFonts w:asciiTheme="minorEastAsia" w:eastAsiaTheme="minorEastAsia" w:hAnsiTheme="minorEastAsia" w:hint="eastAsia"/>
          <w:color w:val="000000" w:themeColor="text1"/>
          <w:szCs w:val="21"/>
        </w:rPr>
        <w:lastRenderedPageBreak/>
        <w:t>额的20％。</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w:t>
      </w:r>
      <w:r w:rsidRPr="00C664D3">
        <w:rPr>
          <w:rFonts w:asciiTheme="minorEastAsia" w:eastAsiaTheme="minorEastAsia" w:hAnsiTheme="minorEastAsia" w:hint="eastAsia"/>
          <w:color w:val="000000" w:themeColor="text1"/>
          <w:szCs w:val="21"/>
        </w:rPr>
        <w:tab/>
        <w:t>为应付赎回、交易清算等临时用途借入现金的比例不得超过基金资产净值的10%，临时借入现金的期限以中国证监会规定的期限为准。</w:t>
      </w:r>
    </w:p>
    <w:p w:rsidR="00C81E1B" w:rsidRPr="00C664D3" w:rsidRDefault="00C81E1B" w:rsidP="00C81E1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rsidR="00C81E1B" w:rsidRPr="00C664D3" w:rsidRDefault="00C81E1B" w:rsidP="00C81E1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（8）本基金与私募类证券资管产品及中国证监会认定的其他主体为交易对手开展逆回购交易的，可接受质押品的资质要求应当与基金合同约定的投资范围保持一致。</w:t>
      </w:r>
    </w:p>
    <w:p w:rsidR="00D4610D" w:rsidRPr="00C664D3" w:rsidRDefault="00C81E1B" w:rsidP="00C81E1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w:t>
      </w:r>
      <w:r w:rsidRPr="00C664D3">
        <w:rPr>
          <w:rFonts w:asciiTheme="minorEastAsia" w:eastAsiaTheme="minorEastAsia" w:hAnsiTheme="minorEastAsia" w:hint="eastAsia"/>
          <w:color w:val="000000" w:themeColor="text1"/>
          <w:szCs w:val="21"/>
        </w:rPr>
        <w:tab/>
      </w:r>
      <w:r w:rsidR="00D4610D" w:rsidRPr="00C664D3">
        <w:rPr>
          <w:rFonts w:asciiTheme="minorEastAsia" w:eastAsiaTheme="minorEastAsia" w:hAnsiTheme="minorEastAsia" w:hint="eastAsia"/>
          <w:color w:val="000000" w:themeColor="text1"/>
          <w:szCs w:val="21"/>
        </w:rPr>
        <w:t>法律法规另有规定时，从其规定。</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2、金融衍生品投资</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基金投资衍生品应当仅限于投资组合避险或有效管理，不得用于投机或放大交易，同时应当严格遵守下列规定：</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（1）基金的金融衍生品全部敞口不得高于基金资产净值的100％。</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（2）基金投资期货支付的初始保证金、投资期权支付或收取的期权费、投资柜台交易衍生品支付的初始费用的总额不得高于基金资产净值的10％。</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（3）基金投资于远期合约、互换等柜台交易金融衍生品，应当符合以下要求：</w:t>
      </w:r>
    </w:p>
    <w:p w:rsidR="00D4610D" w:rsidRPr="00C664D3" w:rsidRDefault="00D4610D" w:rsidP="00AB77C1">
      <w:pPr>
        <w:spacing w:line="360" w:lineRule="auto"/>
        <w:ind w:firstLineChars="300" w:firstLine="63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1）所有参与交易的对手方（中资商业银行除外）应当具有不低于中国证监会认可的信用评级机构评级。</w:t>
      </w:r>
    </w:p>
    <w:p w:rsidR="00D4610D" w:rsidRPr="00C664D3" w:rsidRDefault="00D4610D" w:rsidP="00AB77C1">
      <w:pPr>
        <w:spacing w:line="360" w:lineRule="auto"/>
        <w:ind w:firstLineChars="300" w:firstLine="63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2）交易对手方应当至少每个工作日对交易进行估值，并且基金可在任何时候以公允价值终止交易。</w:t>
      </w:r>
    </w:p>
    <w:p w:rsidR="00D4610D" w:rsidRPr="00C664D3" w:rsidRDefault="00D4610D" w:rsidP="00AB77C1">
      <w:pPr>
        <w:spacing w:line="360" w:lineRule="auto"/>
        <w:ind w:firstLineChars="300" w:firstLine="63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3）任一交易对手方的市值计价敞口不得超过基金资产净值的20％。</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（4）基金拟投资衍生品，基金管理人在产品募集申请中应当向中国证监会提交基金投资衍生品的风险管理流程、拟采用的组合避险、有效管理策略。</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（5）基金管理人应当在基金会计年度结束后60个工作日内向中国证监会提交包括衍生品头寸及风险分析年度报告。</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（6）基金不得直接投资与实物商品相关的衍生品。</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3、本基金可以参与证券借贷交易，并且应当遵守下列规定：</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（1）所有参与交易的对手方（中资商业银行除外）应当具有中国证监会认可的信用评级机构评级。</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（2）应当采取市值计价制度进行调整以确保担保物市值不低于已借出证券市值的</w:t>
      </w:r>
      <w:r w:rsidRPr="00C664D3">
        <w:rPr>
          <w:rFonts w:asciiTheme="minorEastAsia" w:eastAsiaTheme="minorEastAsia" w:hAnsiTheme="minorEastAsia" w:hint="eastAsia"/>
          <w:color w:val="000000" w:themeColor="text1"/>
          <w:szCs w:val="21"/>
        </w:rPr>
        <w:lastRenderedPageBreak/>
        <w:t>102％。</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（3）借方应当在交易期内及时向本基金支付已借出证券产生的所有股息、利息和分红。一旦借方违约，本基金根据协议和有关法律有权保留和处置担保物以满足索赔需要。</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（4）除中国证监会另有规定外，担保物可以是以下金融工具或品种：</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1）现金；</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2）存款证明；</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3）商业票据；</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4）政府债券；</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5）中资商业银行或由不低于中国证监会认可的信用评级机构评级的境外金融机构（作为交易对手方或其关联方的除外）出具的不可撤销信用证。</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（5）本基金有权在任何时候终止证券借贷交易并在正常市场惯例的合理期限内要求归还任一或所有已借出的证券。</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（6）基金管理人应当对基金参与证券借贷交易中发生的任何损失负相应责任。</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4、基金可以根据正常市场惯例参与正回购交易、逆回购交易，并且应当遵守下列规定：</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（1）所有参与正回购交易的对手方（中资商业银行除外）应当具有中国证监会认可的信用评级机构信用评级。</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（2）参与正回购交易，应当采取市值计价制度对卖出收益进行调整以确保现金不低于已售出证券市值的102％。一旦买方违约，本基金根据协议和有关法律有权保留或处置卖出收益以满足索赔需要。</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（3）买方应当在正回购交易期内及时向本基金支付售出证券产生的所有股息、利息和分红。</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（4）参与逆回购交易，应当对购入证券采取市值计价制度进行调整以确保已购入证券市值不低于支付现金的102％。一旦卖方违约，本基金根据协议和有关法律有权保留或处置已购入证券以满足索赔需要。</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（5）基金管理人应当对基金参与证券正回购交易、逆回购交易中发生的任何损失负相应责任。</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（6）基金参与证券借贷交易、正回购交易，所有已借出而未归还证券总市值或所有已售出而未回购证券总市值均不得超过基金总资产的50％。</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前项比例限制计算，基金因参与证券借贷交易、正回购交易而持有的担保物、现金不得计入基金总资产。</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lastRenderedPageBreak/>
        <w:t>5</w:t>
      </w:r>
      <w:r w:rsidRPr="00C664D3">
        <w:rPr>
          <w:rFonts w:asciiTheme="minorEastAsia" w:eastAsiaTheme="minorEastAsia" w:hAnsiTheme="minorEastAsia" w:hint="eastAsia"/>
          <w:color w:val="000000" w:themeColor="text1"/>
          <w:szCs w:val="21"/>
        </w:rPr>
        <w:t>、基金管理人应当自《基金合同》生效之日起六个月内使基金的投资组合比例符合《基金合同》的约定。上述期间，基金的投资范围、投资策略应当符合《基金合同》的约定。</w:t>
      </w:r>
      <w:r w:rsidR="00C81E1B" w:rsidRPr="00C664D3">
        <w:rPr>
          <w:rFonts w:asciiTheme="minorEastAsia" w:eastAsiaTheme="minorEastAsia" w:hAnsiTheme="minorEastAsia" w:hint="eastAsia"/>
          <w:color w:val="000000" w:themeColor="text1"/>
          <w:szCs w:val="21"/>
        </w:rPr>
        <w:t>除上述“1、组合限制”（7）、（8）以外</w:t>
      </w:r>
      <w:r w:rsidRPr="00C664D3">
        <w:rPr>
          <w:rFonts w:asciiTheme="minorEastAsia" w:eastAsiaTheme="minorEastAsia" w:hAnsiTheme="minorEastAsia" w:hint="eastAsia"/>
          <w:color w:val="000000" w:themeColor="text1"/>
          <w:szCs w:val="21"/>
        </w:rPr>
        <w:t>因证券市场波动、证券发行人合并、基金规模变动等基金管理人之外的因素致使基金投资不符合《基金合同》约定的投资比例规定的，应当在超过比例后三十个工作日内采用合理的商业措施进行调整，以符合投资比例限制要求。法律法规另有规定时，从其规定。</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w:t>
      </w:r>
      <w:r w:rsidRPr="00C664D3">
        <w:rPr>
          <w:rFonts w:asciiTheme="minorEastAsia" w:eastAsiaTheme="minorEastAsia" w:hAnsiTheme="minorEastAsia"/>
          <w:color w:val="000000" w:themeColor="text1"/>
          <w:szCs w:val="21"/>
        </w:rPr>
        <w:t>禁止行为</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为维护基金份额持有人的合法权益，基金财产不得用于下列投资或者活动：</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Pr="00C664D3">
        <w:rPr>
          <w:rFonts w:asciiTheme="minorEastAsia" w:eastAsiaTheme="minorEastAsia" w:hAnsiTheme="minorEastAsia" w:hint="eastAsia"/>
          <w:color w:val="000000" w:themeColor="text1"/>
          <w:szCs w:val="21"/>
        </w:rPr>
        <w:tab/>
        <w:t>承销证券；</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w:t>
      </w:r>
      <w:r w:rsidRPr="00C664D3">
        <w:rPr>
          <w:rFonts w:asciiTheme="minorEastAsia" w:eastAsiaTheme="minorEastAsia" w:hAnsiTheme="minorEastAsia" w:hint="eastAsia"/>
          <w:color w:val="000000" w:themeColor="text1"/>
          <w:szCs w:val="21"/>
        </w:rPr>
        <w:tab/>
        <w:t>违反规定向他人贷款或提供担保；</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w:t>
      </w:r>
      <w:r w:rsidRPr="00C664D3">
        <w:rPr>
          <w:rFonts w:asciiTheme="minorEastAsia" w:eastAsiaTheme="minorEastAsia" w:hAnsiTheme="minorEastAsia" w:hint="eastAsia"/>
          <w:color w:val="000000" w:themeColor="text1"/>
          <w:szCs w:val="21"/>
        </w:rPr>
        <w:tab/>
        <w:t>从事承担无限责任的投资；</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w:t>
      </w:r>
      <w:r w:rsidRPr="00C664D3">
        <w:rPr>
          <w:rFonts w:asciiTheme="minorEastAsia" w:eastAsiaTheme="minorEastAsia" w:hAnsiTheme="minorEastAsia" w:hint="eastAsia"/>
          <w:color w:val="000000" w:themeColor="text1"/>
          <w:szCs w:val="21"/>
        </w:rPr>
        <w:tab/>
        <w:t>购买不动产；</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w:t>
      </w:r>
      <w:r w:rsidRPr="00C664D3">
        <w:rPr>
          <w:rFonts w:asciiTheme="minorEastAsia" w:eastAsiaTheme="minorEastAsia" w:hAnsiTheme="minorEastAsia" w:hint="eastAsia"/>
          <w:color w:val="000000" w:themeColor="text1"/>
          <w:szCs w:val="21"/>
        </w:rPr>
        <w:tab/>
        <w:t>购买房地产抵押按揭；</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w:t>
      </w:r>
      <w:r w:rsidRPr="00C664D3">
        <w:rPr>
          <w:rFonts w:asciiTheme="minorEastAsia" w:eastAsiaTheme="minorEastAsia" w:hAnsiTheme="minorEastAsia" w:hint="eastAsia"/>
          <w:color w:val="000000" w:themeColor="text1"/>
          <w:szCs w:val="21"/>
        </w:rPr>
        <w:tab/>
        <w:t>购买贵重金属或代表贵重金属的凭证；</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w:t>
      </w:r>
      <w:r w:rsidRPr="00C664D3">
        <w:rPr>
          <w:rFonts w:asciiTheme="minorEastAsia" w:eastAsiaTheme="minorEastAsia" w:hAnsiTheme="minorEastAsia" w:hint="eastAsia"/>
          <w:color w:val="000000" w:themeColor="text1"/>
          <w:szCs w:val="21"/>
        </w:rPr>
        <w:tab/>
        <w:t>购买实物商品；</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w:t>
      </w:r>
      <w:r w:rsidRPr="00C664D3">
        <w:rPr>
          <w:rFonts w:asciiTheme="minorEastAsia" w:eastAsiaTheme="minorEastAsia" w:hAnsiTheme="minorEastAsia" w:hint="eastAsia"/>
          <w:color w:val="000000" w:themeColor="text1"/>
          <w:szCs w:val="21"/>
        </w:rPr>
        <w:tab/>
        <w:t>除应付赎回、交易清算等临时用途以外，借入现金；</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w:t>
      </w:r>
      <w:r w:rsidRPr="00C664D3">
        <w:rPr>
          <w:rFonts w:asciiTheme="minorEastAsia" w:eastAsiaTheme="minorEastAsia" w:hAnsiTheme="minorEastAsia" w:hint="eastAsia"/>
          <w:color w:val="000000" w:themeColor="text1"/>
          <w:szCs w:val="21"/>
        </w:rPr>
        <w:tab/>
        <w:t>利用融资购买证券，但投资金融衍生品除外；</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w:t>
      </w:r>
      <w:r w:rsidRPr="00C664D3">
        <w:rPr>
          <w:rFonts w:asciiTheme="minorEastAsia" w:eastAsiaTheme="minorEastAsia" w:hAnsiTheme="minorEastAsia" w:hint="eastAsia"/>
          <w:color w:val="000000" w:themeColor="text1"/>
          <w:szCs w:val="21"/>
        </w:rPr>
        <w:tab/>
        <w:t>参与未持有基础资产的卖空交易；</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w:t>
      </w:r>
      <w:r w:rsidRPr="00C664D3">
        <w:rPr>
          <w:rFonts w:asciiTheme="minorEastAsia" w:eastAsiaTheme="minorEastAsia" w:hAnsiTheme="minorEastAsia" w:hint="eastAsia"/>
          <w:color w:val="000000" w:themeColor="text1"/>
          <w:szCs w:val="21"/>
        </w:rPr>
        <w:tab/>
        <w:t>购买证券用于控制或影响发行该证券的机构或其管理层；</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（12）</w:t>
      </w:r>
      <w:r w:rsidRPr="00C664D3">
        <w:rPr>
          <w:rFonts w:asciiTheme="minorEastAsia" w:eastAsiaTheme="minorEastAsia" w:hAnsiTheme="minorEastAsia" w:hint="eastAsia"/>
          <w:color w:val="000000" w:themeColor="text1"/>
          <w:szCs w:val="21"/>
        </w:rPr>
        <w:tab/>
        <w:t>直接投资与实物商品相关的衍生品；</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（13）</w:t>
      </w:r>
      <w:r w:rsidRPr="00C664D3">
        <w:rPr>
          <w:rFonts w:asciiTheme="minorEastAsia" w:eastAsiaTheme="minorEastAsia" w:hAnsiTheme="minorEastAsia" w:hint="eastAsia"/>
          <w:color w:val="000000" w:themeColor="text1"/>
          <w:szCs w:val="21"/>
        </w:rPr>
        <w:tab/>
        <w:t>向基金管理人、基金托管人出资；</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（14）</w:t>
      </w:r>
      <w:r w:rsidRPr="00C664D3">
        <w:rPr>
          <w:rFonts w:asciiTheme="minorEastAsia" w:eastAsiaTheme="minorEastAsia" w:hAnsiTheme="minorEastAsia" w:hint="eastAsia"/>
          <w:color w:val="000000" w:themeColor="text1"/>
          <w:szCs w:val="21"/>
        </w:rPr>
        <w:tab/>
        <w:t>从事内幕交易、操纵证券价格及其他不正当的证券交易活动；</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（15）</w:t>
      </w:r>
      <w:r w:rsidRPr="00C664D3">
        <w:rPr>
          <w:rFonts w:asciiTheme="minorEastAsia" w:eastAsiaTheme="minorEastAsia" w:hAnsiTheme="minorEastAsia" w:hint="eastAsia"/>
          <w:color w:val="000000" w:themeColor="text1"/>
          <w:szCs w:val="21"/>
        </w:rPr>
        <w:tab/>
        <w:t>法律、行政法规和中国证监会规定禁止从事的其他活动。</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D4610D"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8、法律法规或监管部门取消上述投资组合限制、禁止行为规定或从事关联交易的条件</w:t>
      </w:r>
      <w:r w:rsidRPr="00C664D3">
        <w:rPr>
          <w:rFonts w:asciiTheme="minorEastAsia" w:eastAsiaTheme="minorEastAsia" w:hAnsiTheme="minorEastAsia" w:hint="eastAsia"/>
          <w:color w:val="000000" w:themeColor="text1"/>
          <w:szCs w:val="21"/>
        </w:rPr>
        <w:lastRenderedPageBreak/>
        <w:t>和要求，本基金可不受相关限制。法律法规或监管部门对上述投资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A1091C" w:rsidRPr="00C664D3" w:rsidRDefault="00D4610D"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9、本基金可以按照法律法规和监管部门的有关规定进行融资、融券以及参与转融通等相关业务，不需召开基金份额持有人大会审议。</w:t>
      </w:r>
    </w:p>
    <w:p w:rsidR="00942587" w:rsidRPr="00C664D3" w:rsidRDefault="00474081"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87" w:name="_Toc423335514"/>
      <w:r w:rsidRPr="00C664D3">
        <w:rPr>
          <w:rFonts w:asciiTheme="minorEastAsia" w:eastAsiaTheme="minorEastAsia" w:hAnsiTheme="minorEastAsia" w:hint="eastAsia"/>
          <w:b w:val="0"/>
          <w:color w:val="000000" w:themeColor="text1"/>
        </w:rPr>
        <w:t>基金管理人代表基金行使所投资证券产生权利的处理原则及方法</w:t>
      </w:r>
      <w:bookmarkEnd w:id="87"/>
    </w:p>
    <w:p w:rsidR="00474081" w:rsidRPr="00C664D3" w:rsidRDefault="00474081"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1、基金管理人按照国家有关规定代表基金独立行使所投资证券权利，保护基金份额持有人的利益；</w:t>
      </w:r>
    </w:p>
    <w:p w:rsidR="00474081" w:rsidRPr="00C664D3" w:rsidRDefault="00474081"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2、不谋求对上市公司的控股，不参与所投资上市公司的经营管理；</w:t>
      </w:r>
    </w:p>
    <w:p w:rsidR="00474081" w:rsidRPr="00C664D3" w:rsidRDefault="00474081"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3、有利于基金财产的安全与增值。</w:t>
      </w:r>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88" w:name="_Toc423335515"/>
      <w:bookmarkStart w:id="89" w:name="_Toc423335516"/>
      <w:bookmarkStart w:id="90" w:name="_Toc423335517"/>
      <w:bookmarkStart w:id="91" w:name="_Toc423335518"/>
      <w:bookmarkStart w:id="92" w:name="_Toc423335519"/>
      <w:bookmarkEnd w:id="88"/>
      <w:bookmarkEnd w:id="89"/>
      <w:bookmarkEnd w:id="90"/>
      <w:bookmarkEnd w:id="91"/>
      <w:r w:rsidRPr="00C664D3">
        <w:rPr>
          <w:rFonts w:asciiTheme="minorEastAsia" w:eastAsiaTheme="minorEastAsia" w:hAnsiTheme="minorEastAsia"/>
          <w:b w:val="0"/>
          <w:color w:val="000000" w:themeColor="text1"/>
        </w:rPr>
        <w:t>衍生品投资的风险管理与决策流程</w:t>
      </w:r>
      <w:bookmarkEnd w:id="92"/>
    </w:p>
    <w:p w:rsidR="00A1091C" w:rsidRPr="00C664D3" w:rsidRDefault="00D41048" w:rsidP="00AB77C1">
      <w:pPr>
        <w:spacing w:line="360" w:lineRule="auto"/>
        <w:ind w:firstLineChars="200" w:firstLine="420"/>
        <w:rPr>
          <w:rFonts w:asciiTheme="minorEastAsia" w:eastAsiaTheme="minorEastAsia" w:hAnsiTheme="minorEastAsia"/>
          <w:color w:val="000000" w:themeColor="text1"/>
        </w:rPr>
      </w:pPr>
      <w:bookmarkStart w:id="93" w:name="_Toc423335520"/>
      <w:r w:rsidRPr="00C664D3">
        <w:rPr>
          <w:rFonts w:asciiTheme="minorEastAsia" w:eastAsiaTheme="minorEastAsia" w:hAnsiTheme="minorEastAsia" w:hint="eastAsia"/>
          <w:color w:val="000000" w:themeColor="text1"/>
        </w:rPr>
        <w:t>（一）</w:t>
      </w:r>
      <w:r w:rsidR="00A1091C" w:rsidRPr="00C664D3">
        <w:rPr>
          <w:rFonts w:asciiTheme="minorEastAsia" w:eastAsiaTheme="minorEastAsia" w:hAnsiTheme="minorEastAsia"/>
          <w:color w:val="000000" w:themeColor="text1"/>
        </w:rPr>
        <w:t>投资衍生品的风险管理</w:t>
      </w:r>
      <w:bookmarkEnd w:id="93"/>
    </w:p>
    <w:p w:rsidR="00A1091C" w:rsidRPr="00C664D3" w:rsidRDefault="00A1091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金融衍生品的投资过程，同时也是风险管理的过程。在金融衍生品的投资业务中，包括了</w:t>
      </w:r>
      <w:r w:rsidR="006D52CB"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事前的风险定位、事中的风险管理和事后的风险评估</w:t>
      </w:r>
      <w:r w:rsidR="006D52CB"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的全过程、多角度、全方位的风险监控体系。</w:t>
      </w:r>
    </w:p>
    <w:p w:rsidR="00A1091C" w:rsidRPr="00C664D3" w:rsidRDefault="004F6FC1"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w:t>
      </w:r>
      <w:r w:rsidR="00A1091C" w:rsidRPr="00C664D3">
        <w:rPr>
          <w:rFonts w:asciiTheme="minorEastAsia" w:eastAsiaTheme="minorEastAsia" w:hAnsiTheme="minorEastAsia"/>
          <w:color w:val="000000" w:themeColor="text1"/>
        </w:rPr>
        <w:t>事前风险控制：投资决策前，投资研究人员必须对所运用的金融衍生品的原理、特性、运作机制、风险有深入的研究和分析。对拟投资方案可能蕴含的风险进行充分评估，并进行必要的情形分析和压力测试。金融衍生品的投资方案经审批后方可执行。</w:t>
      </w:r>
    </w:p>
    <w:p w:rsidR="00A1091C" w:rsidRPr="00C664D3" w:rsidRDefault="004F6FC1"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w:t>
      </w:r>
      <w:r w:rsidR="00A1091C" w:rsidRPr="00C664D3">
        <w:rPr>
          <w:rFonts w:asciiTheme="minorEastAsia" w:eastAsiaTheme="minorEastAsia" w:hAnsiTheme="minorEastAsia"/>
          <w:color w:val="000000" w:themeColor="text1"/>
        </w:rPr>
        <w:t>事中风险控制：衍生品研究组对交易对手的信用评级进行跟踪，防范信用风险的发生，并利用现代金融工程的手段对对组合进行风险评估。基金经理或衍生品研究组对衍生品头寸以及风险敞口进行监控，一旦衍生品的亏损超过投资方案防范的目标，</w:t>
      </w:r>
      <w:r w:rsidRPr="00C664D3">
        <w:rPr>
          <w:rFonts w:asciiTheme="minorEastAsia" w:eastAsiaTheme="minorEastAsia" w:hAnsiTheme="minorEastAsia" w:hint="eastAsia"/>
          <w:color w:val="000000" w:themeColor="text1"/>
        </w:rPr>
        <w:t>应按制度进行</w:t>
      </w:r>
      <w:r w:rsidR="00A1091C" w:rsidRPr="00C664D3">
        <w:rPr>
          <w:rFonts w:asciiTheme="minorEastAsia" w:eastAsiaTheme="minorEastAsia" w:hAnsiTheme="minorEastAsia"/>
          <w:color w:val="000000" w:themeColor="text1"/>
        </w:rPr>
        <w:t>汇报，</w:t>
      </w:r>
      <w:r w:rsidRPr="00C664D3">
        <w:rPr>
          <w:rFonts w:asciiTheme="minorEastAsia" w:eastAsiaTheme="minorEastAsia" w:hAnsiTheme="minorEastAsia" w:hint="eastAsia"/>
          <w:color w:val="000000" w:themeColor="text1"/>
        </w:rPr>
        <w:t>并</w:t>
      </w:r>
      <w:r w:rsidR="00A1091C" w:rsidRPr="00C664D3">
        <w:rPr>
          <w:rFonts w:asciiTheme="minorEastAsia" w:eastAsiaTheme="minorEastAsia" w:hAnsiTheme="minorEastAsia"/>
          <w:color w:val="000000" w:themeColor="text1"/>
        </w:rPr>
        <w:t>考虑采取强制平仓等措施以避免出现严重的风险事件。</w:t>
      </w:r>
    </w:p>
    <w:p w:rsidR="00A1091C" w:rsidRPr="00C664D3" w:rsidRDefault="004F6FC1"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w:t>
      </w:r>
      <w:r w:rsidR="00A1091C" w:rsidRPr="00C664D3">
        <w:rPr>
          <w:rFonts w:asciiTheme="minorEastAsia" w:eastAsiaTheme="minorEastAsia" w:hAnsiTheme="minorEastAsia"/>
          <w:color w:val="000000" w:themeColor="text1"/>
        </w:rPr>
        <w:t>事后风险控制：基金经理或衍生品研究组定期对基金的衍生品交易策略、运作情况做投资回顾分析和风险评估，识别内部控制中的弱点和系统中的不足，提供改进的建议；定期评估、审定和改进风险管理政策。</w:t>
      </w:r>
    </w:p>
    <w:p w:rsidR="00A1091C" w:rsidRPr="00C664D3" w:rsidRDefault="00D41048" w:rsidP="00AB77C1">
      <w:pPr>
        <w:spacing w:line="360" w:lineRule="auto"/>
        <w:ind w:firstLineChars="200" w:firstLine="420"/>
        <w:rPr>
          <w:rFonts w:asciiTheme="minorEastAsia" w:eastAsiaTheme="minorEastAsia" w:hAnsiTheme="minorEastAsia"/>
          <w:color w:val="000000" w:themeColor="text1"/>
        </w:rPr>
      </w:pPr>
      <w:bookmarkStart w:id="94" w:name="_Toc423335521"/>
      <w:r w:rsidRPr="00C664D3">
        <w:rPr>
          <w:rFonts w:asciiTheme="minorEastAsia" w:eastAsiaTheme="minorEastAsia" w:hAnsiTheme="minorEastAsia" w:hint="eastAsia"/>
          <w:color w:val="000000" w:themeColor="text1"/>
        </w:rPr>
        <w:t>（二）</w:t>
      </w:r>
      <w:r w:rsidR="00A1091C" w:rsidRPr="00C664D3">
        <w:rPr>
          <w:rFonts w:asciiTheme="minorEastAsia" w:eastAsiaTheme="minorEastAsia" w:hAnsiTheme="minorEastAsia"/>
          <w:color w:val="000000" w:themeColor="text1"/>
        </w:rPr>
        <w:t>投资衍生品的决策流程</w:t>
      </w:r>
      <w:bookmarkEnd w:id="94"/>
    </w:p>
    <w:p w:rsidR="00A1091C" w:rsidRPr="00C664D3" w:rsidRDefault="0096494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w:t>
      </w:r>
      <w:r w:rsidR="00A1091C" w:rsidRPr="00C664D3">
        <w:rPr>
          <w:rFonts w:asciiTheme="minorEastAsia" w:eastAsiaTheme="minorEastAsia" w:hAnsiTheme="minorEastAsia"/>
          <w:color w:val="000000" w:themeColor="text1"/>
        </w:rPr>
        <w:t>基金经理在内外部研究的支持下，本着组合避险和有效管理的策略原则，提出衍生品</w:t>
      </w:r>
      <w:r w:rsidR="00A1091C" w:rsidRPr="00C664D3">
        <w:rPr>
          <w:rFonts w:asciiTheme="minorEastAsia" w:eastAsiaTheme="minorEastAsia" w:hAnsiTheme="minorEastAsia"/>
          <w:color w:val="000000" w:themeColor="text1"/>
        </w:rPr>
        <w:lastRenderedPageBreak/>
        <w:t>投资需求</w:t>
      </w:r>
      <w:r w:rsidR="00CF54D3" w:rsidRPr="00C664D3">
        <w:rPr>
          <w:rFonts w:asciiTheme="minorEastAsia" w:eastAsiaTheme="minorEastAsia" w:hAnsiTheme="minorEastAsia" w:hint="eastAsia"/>
          <w:color w:val="000000" w:themeColor="text1"/>
        </w:rPr>
        <w:t>及相关报告</w:t>
      </w:r>
      <w:r w:rsidR="00D07EFD" w:rsidRPr="00C664D3">
        <w:rPr>
          <w:rFonts w:asciiTheme="minorEastAsia" w:eastAsiaTheme="minorEastAsia" w:hAnsiTheme="minorEastAsia" w:hint="eastAsia"/>
          <w:color w:val="000000" w:themeColor="text1"/>
        </w:rPr>
        <w:t>，</w:t>
      </w:r>
      <w:r w:rsidR="006D19E5" w:rsidRPr="00C664D3">
        <w:rPr>
          <w:rFonts w:asciiTheme="minorEastAsia" w:eastAsiaTheme="minorEastAsia" w:hAnsiTheme="minorEastAsia" w:hint="eastAsia"/>
          <w:color w:val="000000" w:themeColor="text1"/>
        </w:rPr>
        <w:t>并</w:t>
      </w:r>
      <w:r w:rsidR="00D07EFD" w:rsidRPr="00C664D3">
        <w:rPr>
          <w:rFonts w:asciiTheme="minorEastAsia" w:eastAsiaTheme="minorEastAsia" w:hAnsiTheme="minorEastAsia" w:hint="eastAsia"/>
          <w:color w:val="000000" w:themeColor="text1"/>
        </w:rPr>
        <w:t>按照</w:t>
      </w:r>
      <w:r w:rsidR="00253996" w:rsidRPr="00C664D3">
        <w:rPr>
          <w:rFonts w:asciiTheme="minorEastAsia" w:eastAsiaTheme="minorEastAsia" w:hAnsiTheme="minorEastAsia" w:hint="eastAsia"/>
          <w:color w:val="000000" w:themeColor="text1"/>
        </w:rPr>
        <w:t>公司</w:t>
      </w:r>
      <w:r w:rsidR="00D07EFD" w:rsidRPr="00C664D3">
        <w:rPr>
          <w:rFonts w:asciiTheme="minorEastAsia" w:eastAsiaTheme="minorEastAsia" w:hAnsiTheme="minorEastAsia" w:hint="eastAsia"/>
          <w:color w:val="000000" w:themeColor="text1"/>
        </w:rPr>
        <w:t>制度</w:t>
      </w:r>
      <w:r w:rsidR="00A1091C" w:rsidRPr="00C664D3">
        <w:rPr>
          <w:rFonts w:asciiTheme="minorEastAsia" w:eastAsiaTheme="minorEastAsia" w:hAnsiTheme="minorEastAsia"/>
          <w:color w:val="000000" w:themeColor="text1"/>
        </w:rPr>
        <w:t>提交审</w:t>
      </w:r>
      <w:r w:rsidR="00D07EFD" w:rsidRPr="00C664D3">
        <w:rPr>
          <w:rFonts w:asciiTheme="minorEastAsia" w:eastAsiaTheme="minorEastAsia" w:hAnsiTheme="minorEastAsia" w:hint="eastAsia"/>
          <w:color w:val="000000" w:themeColor="text1"/>
        </w:rPr>
        <w:t>议</w:t>
      </w:r>
      <w:r w:rsidR="00253996" w:rsidRPr="00C664D3">
        <w:rPr>
          <w:rFonts w:asciiTheme="minorEastAsia" w:eastAsiaTheme="minorEastAsia" w:hAnsiTheme="minorEastAsia" w:hint="eastAsia"/>
          <w:color w:val="000000" w:themeColor="text1"/>
        </w:rPr>
        <w:t>。审批通过后，</w:t>
      </w:r>
      <w:r w:rsidR="00213075" w:rsidRPr="00C664D3">
        <w:rPr>
          <w:rFonts w:asciiTheme="minorEastAsia" w:eastAsiaTheme="minorEastAsia" w:hAnsiTheme="minorEastAsia" w:hint="eastAsia"/>
          <w:color w:val="000000" w:themeColor="text1"/>
        </w:rPr>
        <w:t>基金经理将投资指令提交集中交易室执行</w:t>
      </w:r>
      <w:r w:rsidR="00D07EFD" w:rsidRPr="00C664D3">
        <w:rPr>
          <w:rFonts w:asciiTheme="minorEastAsia" w:eastAsiaTheme="minorEastAsia" w:hAnsiTheme="minorEastAsia" w:hint="eastAsia"/>
          <w:color w:val="000000" w:themeColor="text1"/>
        </w:rPr>
        <w:t>。</w:t>
      </w:r>
    </w:p>
    <w:p w:rsidR="00A1091C" w:rsidRPr="00C664D3" w:rsidRDefault="001E4D28"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w:t>
      </w:r>
      <w:r w:rsidR="00964940" w:rsidRPr="00C664D3">
        <w:rPr>
          <w:rFonts w:asciiTheme="minorEastAsia" w:eastAsiaTheme="minorEastAsia" w:hAnsiTheme="minorEastAsia" w:hint="eastAsia"/>
          <w:color w:val="000000" w:themeColor="text1"/>
        </w:rPr>
        <w:t>.</w:t>
      </w:r>
      <w:r w:rsidR="00A1091C" w:rsidRPr="00C664D3">
        <w:rPr>
          <w:rFonts w:asciiTheme="minorEastAsia" w:eastAsiaTheme="minorEastAsia" w:hAnsiTheme="minorEastAsia"/>
          <w:color w:val="000000" w:themeColor="text1"/>
        </w:rPr>
        <w:t>基金经理对衍生品的投资运作情况进行回顾和评估检讨。</w:t>
      </w:r>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95" w:name="_Toc423335522"/>
      <w:r w:rsidRPr="00C664D3">
        <w:rPr>
          <w:rFonts w:asciiTheme="minorEastAsia" w:eastAsiaTheme="minorEastAsia" w:hAnsiTheme="minorEastAsia"/>
          <w:b w:val="0"/>
          <w:color w:val="000000" w:themeColor="text1"/>
        </w:rPr>
        <w:t>代理投票</w:t>
      </w:r>
      <w:bookmarkEnd w:id="95"/>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Pr="00C664D3">
        <w:rPr>
          <w:rFonts w:asciiTheme="minorEastAsia" w:eastAsiaTheme="minorEastAsia" w:hAnsiTheme="minorEastAsia"/>
          <w:color w:val="000000" w:themeColor="text1"/>
          <w:szCs w:val="21"/>
        </w:rPr>
        <w:t>基金管理人行使代理投票权应遵循基金份额持有人利益最大化的原则。</w:t>
      </w:r>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w:t>
      </w:r>
      <w:r w:rsidRPr="00C664D3">
        <w:rPr>
          <w:rFonts w:asciiTheme="minorEastAsia" w:eastAsiaTheme="minorEastAsia" w:hAnsiTheme="minorEastAsia"/>
          <w:color w:val="000000" w:themeColor="text1"/>
          <w:szCs w:val="21"/>
        </w:rPr>
        <w:t>行使代理投票权应考虑不同地区市场上适用的法律或监管要求、公司治理标准、披露实务操作等存在的差异，充分研究提案的合理性，并综合考虑投资顾问、独立第三方研究机构等的意见后，选择合适的方式行使投票权。本着基金投资者利益最大化的原则，对持股比例较小或审议非重要事项、支付较高费用等情况时，基金管理人可以选择不参与上市公司的投票。</w:t>
      </w:r>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w:t>
      </w:r>
      <w:r w:rsidRPr="00C664D3">
        <w:rPr>
          <w:rFonts w:asciiTheme="minorEastAsia" w:eastAsiaTheme="minorEastAsia" w:hAnsiTheme="minorEastAsia"/>
          <w:color w:val="000000" w:themeColor="text1"/>
          <w:szCs w:val="21"/>
        </w:rPr>
        <w:t>代理投票权的执行，可选择实地投票、通过交易经纪商系统投票、委托境外投资顾问、托管人或第三方代理投票机构投票等方式。</w:t>
      </w:r>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w:t>
      </w:r>
      <w:r w:rsidRPr="00C664D3">
        <w:rPr>
          <w:rFonts w:asciiTheme="minorEastAsia" w:eastAsiaTheme="minorEastAsia" w:hAnsiTheme="minorEastAsia"/>
          <w:color w:val="000000" w:themeColor="text1"/>
          <w:szCs w:val="21"/>
        </w:rPr>
        <w:t>基金管理人应保留投票记录。</w:t>
      </w:r>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96" w:name="_Toc423335523"/>
      <w:bookmarkStart w:id="97" w:name="OLE_LINK3"/>
      <w:r w:rsidRPr="00C664D3">
        <w:rPr>
          <w:rFonts w:asciiTheme="minorEastAsia" w:eastAsiaTheme="minorEastAsia" w:hAnsiTheme="minorEastAsia"/>
          <w:b w:val="0"/>
          <w:color w:val="000000" w:themeColor="text1"/>
        </w:rPr>
        <w:t>证券交易管理</w:t>
      </w:r>
      <w:bookmarkEnd w:id="96"/>
    </w:p>
    <w:p w:rsidR="00A1091C" w:rsidRPr="00C664D3" w:rsidRDefault="00D410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00A1091C" w:rsidRPr="00C664D3">
        <w:rPr>
          <w:rFonts w:asciiTheme="minorEastAsia" w:eastAsiaTheme="minorEastAsia" w:hAnsiTheme="minorEastAsia"/>
          <w:color w:val="000000" w:themeColor="text1"/>
          <w:szCs w:val="21"/>
        </w:rPr>
        <w:t>基金管理人挑选证券经纪商主要考虑的因素包括：交易执行能力、研究报告质量、提供研究服务质量、法规监管资讯服务以及价值贡献等方面。</w:t>
      </w:r>
    </w:p>
    <w:p w:rsidR="00A1091C" w:rsidRPr="00C664D3" w:rsidRDefault="00D410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00A1091C" w:rsidRPr="00C664D3">
        <w:rPr>
          <w:rFonts w:asciiTheme="minorEastAsia" w:eastAsiaTheme="minorEastAsia" w:hAnsiTheme="minorEastAsia"/>
          <w:color w:val="000000" w:themeColor="text1"/>
          <w:szCs w:val="21"/>
        </w:rPr>
        <w:t>交易执行能力。主要指券商是否能够对投资指令进行有效的执行，以及能否取得较高质量的成交结果。衡量交易执行能力的指标主要有：是否完成交易、成交的及时性、成交价格、对市场的影响等；</w:t>
      </w:r>
    </w:p>
    <w:p w:rsidR="00A1091C" w:rsidRPr="00C664D3" w:rsidRDefault="00D410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w:t>
      </w:r>
      <w:r w:rsidR="00A1091C" w:rsidRPr="00C664D3">
        <w:rPr>
          <w:rFonts w:asciiTheme="minorEastAsia" w:eastAsiaTheme="minorEastAsia" w:hAnsiTheme="minorEastAsia"/>
          <w:color w:val="000000" w:themeColor="text1"/>
          <w:szCs w:val="21"/>
        </w:rPr>
        <w:t>研究报告的质量。主要是指券商能否提供高质量的宏观经济研究、行业研究及市场走向、个股分析报告和专题研究报告，报告内容是否详实，投资建议是否准确等；</w:t>
      </w:r>
    </w:p>
    <w:p w:rsidR="00A1091C" w:rsidRPr="00C664D3" w:rsidRDefault="00D410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w:t>
      </w:r>
      <w:r w:rsidR="00A1091C" w:rsidRPr="00C664D3">
        <w:rPr>
          <w:rFonts w:asciiTheme="minorEastAsia" w:eastAsiaTheme="minorEastAsia" w:hAnsiTheme="minorEastAsia"/>
          <w:color w:val="000000" w:themeColor="text1"/>
          <w:szCs w:val="21"/>
        </w:rPr>
        <w:t>提供研究服务的质量。主要包括协助安排上市公司调研、研究资料共享、路演服务、日常沟通交流、接受委托研究的服务质量等方面；</w:t>
      </w:r>
    </w:p>
    <w:p w:rsidR="00A1091C" w:rsidRPr="00C664D3" w:rsidRDefault="00D410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w:t>
      </w:r>
      <w:r w:rsidR="00A1091C" w:rsidRPr="00C664D3">
        <w:rPr>
          <w:rFonts w:asciiTheme="minorEastAsia" w:eastAsiaTheme="minorEastAsia" w:hAnsiTheme="minorEastAsia"/>
          <w:color w:val="000000" w:themeColor="text1"/>
          <w:szCs w:val="21"/>
        </w:rPr>
        <w:t>法规监管资讯服务。主要包括境外投资法律规定、交易监管规则、信息披露、个人利益冲突、税收等资讯的提供与培训；</w:t>
      </w:r>
    </w:p>
    <w:p w:rsidR="00A1091C" w:rsidRPr="00C664D3" w:rsidRDefault="00D410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w:t>
      </w:r>
      <w:r w:rsidR="00A1091C" w:rsidRPr="00C664D3">
        <w:rPr>
          <w:rFonts w:asciiTheme="minorEastAsia" w:eastAsiaTheme="minorEastAsia" w:hAnsiTheme="minorEastAsia"/>
          <w:color w:val="000000" w:themeColor="text1"/>
          <w:szCs w:val="21"/>
        </w:rPr>
        <w:t>价值贡献。主要是指证券经纪商对公司研究团队、投资团队在业务能力提升上所做的培训服务、对公司投资提升所作出的贡献；</w:t>
      </w:r>
    </w:p>
    <w:p w:rsidR="00A1091C" w:rsidRPr="00C664D3" w:rsidRDefault="00D410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w:t>
      </w:r>
      <w:r w:rsidR="00A1091C" w:rsidRPr="00C664D3">
        <w:rPr>
          <w:rFonts w:asciiTheme="minorEastAsia" w:eastAsiaTheme="minorEastAsia" w:hAnsiTheme="minorEastAsia"/>
          <w:color w:val="000000" w:themeColor="text1"/>
          <w:szCs w:val="21"/>
        </w:rPr>
        <w:t>其他因素。主要是证券经纪商的财务状况、经营行为规范、风险管理机制、近年内有无重大违规行为等。</w:t>
      </w:r>
    </w:p>
    <w:p w:rsidR="00A1091C" w:rsidRPr="00C664D3" w:rsidRDefault="00D410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2.</w:t>
      </w:r>
      <w:r w:rsidR="00A1091C" w:rsidRPr="00C664D3">
        <w:rPr>
          <w:rFonts w:asciiTheme="minorEastAsia" w:eastAsiaTheme="minorEastAsia" w:hAnsiTheme="minorEastAsia"/>
          <w:color w:val="000000" w:themeColor="text1"/>
          <w:szCs w:val="21"/>
        </w:rPr>
        <w:t>席位交易量的分配依据</w:t>
      </w:r>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基金管理人主要根据对证券经纪商的评价结果进行交易量分配。评价证券经纪商将重点依据其交易执行能力、研究报告质量、提供研究服务质量、法规监管资讯服务和价值贡献等方面的指标，并采用十分制进行评分。</w:t>
      </w:r>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评分的计算公式是：∑i(第i项评价项目×项目权重)，其中各项目权重由基金管理人根据相关法规要求和内部制度进行确定。</w:t>
      </w:r>
    </w:p>
    <w:p w:rsidR="00A1091C" w:rsidRPr="00C664D3" w:rsidRDefault="00D410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w:t>
      </w:r>
      <w:r w:rsidR="00A1091C" w:rsidRPr="00C664D3">
        <w:rPr>
          <w:rFonts w:asciiTheme="minorEastAsia" w:eastAsiaTheme="minorEastAsia" w:hAnsiTheme="minorEastAsia"/>
          <w:color w:val="000000" w:themeColor="text1"/>
          <w:szCs w:val="21"/>
        </w:rPr>
        <w:t>其他事项</w:t>
      </w:r>
    </w:p>
    <w:p w:rsidR="00151F94"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基金管理人将根据有关规定，在基金定期报告中对所选择的证券经纪商、基金通过该证券经纪商买卖证券的成交量以及所支付的佣金等进行披露。对于在证券经纪商选择和交易量分配中存在或潜在的利益冲突，管理人应该本着尽可能维护持有人的利益进行妥善处理，并按规定进行报告。</w:t>
      </w:r>
      <w:bookmarkEnd w:id="97"/>
    </w:p>
    <w:p w:rsidR="00942587" w:rsidRPr="00C664D3" w:rsidRDefault="00D738F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r w:rsidRPr="00C664D3">
        <w:rPr>
          <w:rFonts w:asciiTheme="minorEastAsia" w:eastAsiaTheme="minorEastAsia" w:hAnsiTheme="minorEastAsia" w:hint="eastAsia"/>
          <w:b w:val="0"/>
          <w:color w:val="000000" w:themeColor="text1"/>
        </w:rPr>
        <w:t>其他</w:t>
      </w:r>
    </w:p>
    <w:p w:rsidR="00D738FC" w:rsidRPr="00C664D3" w:rsidRDefault="00D738F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若基金管理人注册并成立追踪标的指数的交易型开放式指数基金（ETF），在不改变本基金投资目标的前提下，本基金可变更为该ETF的联接基金。该联接基金将其绝大部分基金财产投资于跟踪同一标的指数的ETF，紧密跟踪标的指数表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rsidR="00942587" w:rsidRPr="00C664D3" w:rsidRDefault="00FE088F"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98" w:name="_Toc481141439"/>
      <w:r w:rsidRPr="00C664D3">
        <w:rPr>
          <w:rFonts w:asciiTheme="minorEastAsia" w:eastAsiaTheme="minorEastAsia" w:hAnsiTheme="minorEastAsia" w:hint="eastAsia"/>
          <w:b w:val="0"/>
          <w:color w:val="000000" w:themeColor="text1"/>
        </w:rPr>
        <w:t>基金投资组合报告（未经审计）</w:t>
      </w:r>
      <w:bookmarkEnd w:id="98"/>
    </w:p>
    <w:p w:rsidR="00FE088F" w:rsidRPr="00C664D3" w:rsidRDefault="00FE088F"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FE088F" w:rsidRPr="00C664D3" w:rsidRDefault="00FE088F"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本基金的托管人中国建设银行股份有限公司根据本基金合同的规定，复核了本报告的内容，保证复核内容不存在虚假记载、误导性陈述或者重大遗漏。</w:t>
      </w:r>
    </w:p>
    <w:p w:rsidR="005D53A3" w:rsidRPr="00C664D3" w:rsidRDefault="00144C72" w:rsidP="00F32E3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rPr>
        <w:t>本投资组合报告有关数据的期间为2021年4月1日至2021年6月30日。</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1、 报告期末基金资产组合情况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402"/>
        <w:gridCol w:w="1701"/>
      </w:tblGrid>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序号</w:t>
            </w: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项目</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金额（</w:t>
            </w:r>
            <w:r w:rsidRPr="00C664D3">
              <w:rPr>
                <w:rFonts w:asciiTheme="minorEastAsia" w:eastAsiaTheme="minorEastAsia" w:hAnsiTheme="minorEastAsia"/>
                <w:color w:val="000000" w:themeColor="text1"/>
                <w:kern w:val="0"/>
              </w:rPr>
              <w:t>人民币元</w:t>
            </w: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占基金总资产的比例（%）</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1</w:t>
            </w: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权益投资</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712,069,779.23</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89.67</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2606E6">
            <w:pPr>
              <w:ind w:left="17"/>
              <w:jc w:val="center"/>
              <w:rPr>
                <w:rFonts w:asciiTheme="minorEastAsia" w:eastAsiaTheme="minorEastAsia" w:hAnsiTheme="minorEastAsia"/>
                <w:color w:val="000000" w:themeColor="text1"/>
                <w:sz w:val="24"/>
              </w:rPr>
            </w:pP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其中：普通股</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712,069,779.23</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89.67</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2606E6">
            <w:pPr>
              <w:ind w:left="17"/>
              <w:jc w:val="center"/>
              <w:rPr>
                <w:rFonts w:asciiTheme="minorEastAsia" w:eastAsiaTheme="minorEastAsia" w:hAnsiTheme="minorEastAsia"/>
                <w:color w:val="000000" w:themeColor="text1"/>
                <w:sz w:val="24"/>
              </w:rPr>
            </w:pP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存托凭证</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2606E6">
            <w:pPr>
              <w:ind w:left="17"/>
              <w:jc w:val="center"/>
              <w:rPr>
                <w:rFonts w:asciiTheme="minorEastAsia" w:eastAsiaTheme="minorEastAsia" w:hAnsiTheme="minorEastAsia"/>
                <w:color w:val="000000" w:themeColor="text1"/>
                <w:sz w:val="24"/>
              </w:rPr>
            </w:pP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优先股</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2606E6">
            <w:pPr>
              <w:ind w:left="17"/>
              <w:jc w:val="center"/>
              <w:rPr>
                <w:rFonts w:asciiTheme="minorEastAsia" w:eastAsiaTheme="minorEastAsia" w:hAnsiTheme="minorEastAsia"/>
                <w:color w:val="000000" w:themeColor="text1"/>
                <w:sz w:val="24"/>
              </w:rPr>
            </w:pP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房地产信托</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tcPr>
          <w:p w:rsidR="002606E6" w:rsidRPr="00C664D3" w:rsidRDefault="009528B0">
            <w:pPr>
              <w:adjustRightInd w:val="0"/>
              <w:snapToGrid w:val="0"/>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2</w:t>
            </w:r>
          </w:p>
        </w:tc>
        <w:tc>
          <w:tcPr>
            <w:tcW w:w="2552" w:type="dxa"/>
            <w:tcBorders>
              <w:top w:val="single" w:sz="0" w:space="0" w:color="000000"/>
              <w:left w:val="single" w:sz="0" w:space="0" w:color="000000"/>
              <w:bottom w:val="single" w:sz="0" w:space="0" w:color="000000"/>
              <w:right w:val="single" w:sz="0" w:space="0" w:color="000000"/>
            </w:tcBorders>
          </w:tcPr>
          <w:p w:rsidR="002606E6" w:rsidRPr="00C664D3" w:rsidRDefault="009528B0">
            <w:pPr>
              <w:adjustRightInd w:val="0"/>
              <w:snapToGrid w:val="0"/>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基金投资</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3</w:t>
            </w: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固定收益投资</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2606E6">
            <w:pPr>
              <w:ind w:left="17"/>
              <w:jc w:val="center"/>
              <w:rPr>
                <w:rFonts w:asciiTheme="minorEastAsia" w:eastAsiaTheme="minorEastAsia" w:hAnsiTheme="minorEastAsia"/>
                <w:color w:val="000000" w:themeColor="text1"/>
                <w:sz w:val="24"/>
              </w:rPr>
            </w:pP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其中：债券</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2606E6">
            <w:pPr>
              <w:ind w:left="17"/>
              <w:jc w:val="center"/>
              <w:rPr>
                <w:rFonts w:asciiTheme="minorEastAsia" w:eastAsiaTheme="minorEastAsia" w:hAnsiTheme="minorEastAsia"/>
                <w:color w:val="000000" w:themeColor="text1"/>
                <w:sz w:val="24"/>
              </w:rPr>
            </w:pP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7" w:firstLineChars="300" w:firstLine="630"/>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资产支持证券</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4</w:t>
            </w: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金融衍生品投资</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2606E6">
            <w:pPr>
              <w:ind w:left="17"/>
              <w:jc w:val="center"/>
              <w:rPr>
                <w:rFonts w:asciiTheme="minorEastAsia" w:eastAsiaTheme="minorEastAsia" w:hAnsiTheme="minorEastAsia"/>
                <w:color w:val="000000" w:themeColor="text1"/>
                <w:sz w:val="24"/>
              </w:rPr>
            </w:pPr>
          </w:p>
        </w:tc>
        <w:tc>
          <w:tcPr>
            <w:tcW w:w="2552" w:type="dxa"/>
            <w:tcBorders>
              <w:top w:val="single" w:sz="0" w:space="0" w:color="000000"/>
              <w:left w:val="single" w:sz="0" w:space="0" w:color="000000"/>
              <w:bottom w:val="single" w:sz="0" w:space="0" w:color="000000"/>
              <w:right w:val="single" w:sz="0" w:space="0" w:color="000000"/>
            </w:tcBorders>
          </w:tcPr>
          <w:p w:rsidR="002606E6" w:rsidRPr="00C664D3" w:rsidRDefault="009528B0">
            <w:pPr>
              <w:adjustRightInd w:val="0"/>
              <w:snapToGrid w:val="0"/>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其中：远期</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2606E6">
            <w:pPr>
              <w:ind w:left="17"/>
              <w:jc w:val="center"/>
              <w:rPr>
                <w:rFonts w:asciiTheme="minorEastAsia" w:eastAsiaTheme="minorEastAsia" w:hAnsiTheme="minorEastAsia"/>
                <w:color w:val="000000" w:themeColor="text1"/>
                <w:sz w:val="24"/>
              </w:rPr>
            </w:pPr>
          </w:p>
        </w:tc>
        <w:tc>
          <w:tcPr>
            <w:tcW w:w="2552" w:type="dxa"/>
            <w:tcBorders>
              <w:top w:val="single" w:sz="0" w:space="0" w:color="000000"/>
              <w:left w:val="single" w:sz="0" w:space="0" w:color="000000"/>
              <w:bottom w:val="single" w:sz="0" w:space="0" w:color="000000"/>
              <w:right w:val="single" w:sz="0" w:space="0" w:color="000000"/>
            </w:tcBorders>
          </w:tcPr>
          <w:p w:rsidR="002606E6" w:rsidRPr="00C664D3" w:rsidRDefault="009528B0">
            <w:pPr>
              <w:adjustRightInd w:val="0"/>
              <w:snapToGrid w:val="0"/>
              <w:ind w:firstLineChars="300" w:firstLine="630"/>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期货</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2606E6">
            <w:pPr>
              <w:ind w:left="17"/>
              <w:jc w:val="center"/>
              <w:rPr>
                <w:rFonts w:asciiTheme="minorEastAsia" w:eastAsiaTheme="minorEastAsia" w:hAnsiTheme="minorEastAsia"/>
                <w:color w:val="000000" w:themeColor="text1"/>
                <w:sz w:val="24"/>
              </w:rPr>
            </w:pPr>
          </w:p>
        </w:tc>
        <w:tc>
          <w:tcPr>
            <w:tcW w:w="2552" w:type="dxa"/>
            <w:tcBorders>
              <w:top w:val="single" w:sz="0" w:space="0" w:color="000000"/>
              <w:left w:val="single" w:sz="0" w:space="0" w:color="000000"/>
              <w:bottom w:val="single" w:sz="0" w:space="0" w:color="000000"/>
              <w:right w:val="single" w:sz="0" w:space="0" w:color="000000"/>
            </w:tcBorders>
          </w:tcPr>
          <w:p w:rsidR="002606E6" w:rsidRPr="00C664D3" w:rsidRDefault="009528B0">
            <w:pPr>
              <w:adjustRightInd w:val="0"/>
              <w:snapToGrid w:val="0"/>
              <w:ind w:firstLineChars="300" w:firstLine="630"/>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期权</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2606E6">
            <w:pPr>
              <w:ind w:left="17"/>
              <w:jc w:val="center"/>
              <w:rPr>
                <w:rFonts w:asciiTheme="minorEastAsia" w:eastAsiaTheme="minorEastAsia" w:hAnsiTheme="minorEastAsia"/>
                <w:color w:val="000000" w:themeColor="text1"/>
                <w:sz w:val="24"/>
              </w:rPr>
            </w:pPr>
          </w:p>
        </w:tc>
        <w:tc>
          <w:tcPr>
            <w:tcW w:w="2552" w:type="dxa"/>
            <w:tcBorders>
              <w:top w:val="single" w:sz="0" w:space="0" w:color="000000"/>
              <w:left w:val="single" w:sz="0" w:space="0" w:color="000000"/>
              <w:bottom w:val="single" w:sz="0" w:space="0" w:color="000000"/>
              <w:right w:val="single" w:sz="0" w:space="0" w:color="000000"/>
            </w:tcBorders>
          </w:tcPr>
          <w:p w:rsidR="002606E6" w:rsidRPr="00C664D3" w:rsidRDefault="009528B0">
            <w:pPr>
              <w:adjustRightInd w:val="0"/>
              <w:snapToGrid w:val="0"/>
              <w:ind w:firstLineChars="298" w:firstLine="626"/>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权证</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5</w:t>
            </w: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买入返售金融资产</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2606E6">
            <w:pPr>
              <w:ind w:left="17"/>
              <w:jc w:val="center"/>
              <w:rPr>
                <w:rFonts w:asciiTheme="minorEastAsia" w:eastAsiaTheme="minorEastAsia" w:hAnsiTheme="minorEastAsia"/>
                <w:color w:val="000000" w:themeColor="text1"/>
                <w:sz w:val="24"/>
              </w:rPr>
            </w:pP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其中：买断式回购的买入返售金融资产</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tcPr>
          <w:p w:rsidR="002606E6" w:rsidRPr="00C664D3" w:rsidRDefault="009528B0">
            <w:pPr>
              <w:adjustRightInd w:val="0"/>
              <w:snapToGrid w:val="0"/>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6</w:t>
            </w:r>
          </w:p>
        </w:tc>
        <w:tc>
          <w:tcPr>
            <w:tcW w:w="2552" w:type="dxa"/>
            <w:tcBorders>
              <w:top w:val="single" w:sz="0" w:space="0" w:color="000000"/>
              <w:left w:val="single" w:sz="0" w:space="0" w:color="000000"/>
              <w:bottom w:val="single" w:sz="0" w:space="0" w:color="000000"/>
              <w:right w:val="single" w:sz="0" w:space="0" w:color="000000"/>
            </w:tcBorders>
          </w:tcPr>
          <w:p w:rsidR="002606E6" w:rsidRPr="00C664D3" w:rsidRDefault="009528B0">
            <w:pPr>
              <w:adjustRightInd w:val="0"/>
              <w:snapToGrid w:val="0"/>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货币市场工具</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7</w:t>
            </w: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银行存款和结算备付金合计</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59,316,821.05</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7.47</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8</w:t>
            </w: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其他资产</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22,739,087.94</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2.86</w:t>
            </w:r>
          </w:p>
        </w:tc>
      </w:tr>
      <w:tr w:rsidR="002606E6" w:rsidRPr="00C664D3">
        <w:tc>
          <w:tcPr>
            <w:tcW w:w="8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ind w:left="17"/>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9</w:t>
            </w:r>
          </w:p>
        </w:tc>
        <w:tc>
          <w:tcPr>
            <w:tcW w:w="255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合计</w:t>
            </w:r>
          </w:p>
        </w:tc>
        <w:tc>
          <w:tcPr>
            <w:tcW w:w="34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794,125,688.22</w:t>
            </w:r>
          </w:p>
        </w:tc>
        <w:tc>
          <w:tcPr>
            <w:tcW w:w="170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100.00</w:t>
            </w:r>
          </w:p>
        </w:tc>
      </w:tr>
    </w:tbl>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2、 报告期末在各个国家（地区）证券市场的股票及存托凭证投资分布</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8"/>
        <w:gridCol w:w="3076"/>
      </w:tblGrid>
      <w:tr w:rsidR="002606E6" w:rsidRPr="00C664D3">
        <w:trPr>
          <w:jc w:val="center"/>
        </w:trPr>
        <w:tc>
          <w:tcPr>
            <w:tcW w:w="2410"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国家（地区）</w:t>
            </w:r>
          </w:p>
        </w:tc>
        <w:tc>
          <w:tcPr>
            <w:tcW w:w="3118"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公允价值（人民币元）</w:t>
            </w:r>
          </w:p>
        </w:tc>
        <w:tc>
          <w:tcPr>
            <w:tcW w:w="3076"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占基金资产净值比例（％）</w:t>
            </w:r>
          </w:p>
        </w:tc>
      </w:tr>
      <w:tr w:rsidR="002606E6" w:rsidRPr="00C664D3">
        <w:trPr>
          <w:jc w:val="center"/>
        </w:trPr>
        <w:tc>
          <w:tcPr>
            <w:tcW w:w="2410"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美国</w:t>
            </w:r>
          </w:p>
        </w:tc>
        <w:tc>
          <w:tcPr>
            <w:tcW w:w="3118"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712,069,779.23</w:t>
            </w:r>
          </w:p>
        </w:tc>
        <w:tc>
          <w:tcPr>
            <w:tcW w:w="3076"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92.67</w:t>
            </w:r>
          </w:p>
        </w:tc>
      </w:tr>
      <w:tr w:rsidR="002606E6" w:rsidRPr="00C664D3">
        <w:trPr>
          <w:jc w:val="center"/>
        </w:trPr>
        <w:tc>
          <w:tcPr>
            <w:tcW w:w="2410" w:type="dxa"/>
            <w:tcBorders>
              <w:top w:val="single" w:sz="0" w:space="0" w:color="000000"/>
              <w:left w:val="single" w:sz="0" w:space="0" w:color="000000"/>
              <w:bottom w:val="single" w:sz="0" w:space="0" w:color="000000"/>
              <w:right w:val="single" w:sz="0" w:space="0" w:color="000000"/>
            </w:tcBorders>
          </w:tcPr>
          <w:p w:rsidR="002606E6" w:rsidRPr="00C664D3" w:rsidRDefault="009528B0">
            <w:pPr>
              <w:autoSpaceDE w:val="0"/>
              <w:autoSpaceDN w:val="0"/>
              <w:adjustRightInd w:val="0"/>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合计</w:t>
            </w:r>
          </w:p>
        </w:tc>
        <w:tc>
          <w:tcPr>
            <w:tcW w:w="3118" w:type="dxa"/>
            <w:tcBorders>
              <w:top w:val="single" w:sz="0" w:space="0" w:color="000000"/>
              <w:left w:val="single" w:sz="0" w:space="0" w:color="000000"/>
              <w:bottom w:val="single" w:sz="0" w:space="0" w:color="000000"/>
              <w:right w:val="single" w:sz="0" w:space="0" w:color="000000"/>
            </w:tcBorders>
          </w:tcPr>
          <w:p w:rsidR="002606E6" w:rsidRPr="00C664D3" w:rsidRDefault="009528B0">
            <w:pPr>
              <w:autoSpaceDE w:val="0"/>
              <w:autoSpaceDN w:val="0"/>
              <w:adjustRightInd w:val="0"/>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712,069,779.23</w:t>
            </w:r>
          </w:p>
        </w:tc>
        <w:tc>
          <w:tcPr>
            <w:tcW w:w="3076" w:type="dxa"/>
            <w:tcBorders>
              <w:top w:val="single" w:sz="0" w:space="0" w:color="000000"/>
              <w:left w:val="single" w:sz="0" w:space="0" w:color="000000"/>
              <w:bottom w:val="single" w:sz="0" w:space="0" w:color="000000"/>
              <w:right w:val="single" w:sz="0" w:space="0" w:color="000000"/>
            </w:tcBorders>
          </w:tcPr>
          <w:p w:rsidR="002606E6" w:rsidRPr="00C664D3" w:rsidRDefault="009528B0">
            <w:pPr>
              <w:autoSpaceDE w:val="0"/>
              <w:autoSpaceDN w:val="0"/>
              <w:adjustRightInd w:val="0"/>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92.67</w:t>
            </w:r>
          </w:p>
        </w:tc>
      </w:tr>
    </w:tbl>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注：</w:t>
      </w:r>
      <w:r w:rsidR="008113B7">
        <w:rPr>
          <w:rFonts w:asciiTheme="minorEastAsia" w:eastAsiaTheme="minorEastAsia" w:hAnsiTheme="minorEastAsia" w:hint="eastAsia"/>
          <w:color w:val="000000" w:themeColor="text1"/>
          <w:szCs w:val="21"/>
        </w:rPr>
        <w:t>（1）</w:t>
      </w:r>
      <w:r w:rsidRPr="00C664D3">
        <w:rPr>
          <w:rFonts w:asciiTheme="minorEastAsia" w:eastAsiaTheme="minorEastAsia" w:hAnsiTheme="minorEastAsia"/>
          <w:color w:val="000000" w:themeColor="text1"/>
          <w:szCs w:val="21"/>
        </w:rPr>
        <w:t>国家（地区）类别根据其所在的证券交易所确定。</w:t>
      </w:r>
    </w:p>
    <w:p w:rsidR="002606E6" w:rsidRPr="00C664D3" w:rsidRDefault="008113B7" w:rsidP="00C664D3">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9528B0" w:rsidRPr="00C664D3">
        <w:rPr>
          <w:rFonts w:asciiTheme="minorEastAsia" w:eastAsiaTheme="minorEastAsia" w:hAnsiTheme="minorEastAsia"/>
          <w:color w:val="000000" w:themeColor="text1"/>
          <w:szCs w:val="21"/>
        </w:rPr>
        <w:t>ADR、GDR按照存托凭证本身挂牌的证券交易所确定。</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3、 报告期末按行业分类的股票及存托凭证投资组合</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7"/>
        <w:gridCol w:w="2551"/>
        <w:gridCol w:w="3175"/>
      </w:tblGrid>
      <w:tr w:rsidR="002606E6"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行业类别</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公允价值（人民币元）</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占基金资产净值比例（％）</w:t>
            </w:r>
          </w:p>
        </w:tc>
      </w:tr>
      <w:tr w:rsidR="002606E6"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能源</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r>
      <w:tr w:rsidR="002606E6"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材料</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r>
      <w:tr w:rsidR="002606E6"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工业</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r>
      <w:tr w:rsidR="002606E6"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非必需消费品</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r>
      <w:tr w:rsidR="002606E6"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必需消费品</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r>
      <w:tr w:rsidR="002606E6"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保健</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r>
      <w:tr w:rsidR="002606E6"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金融</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r>
      <w:tr w:rsidR="002606E6"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信息技术</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712,069,779.23</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92.67</w:t>
            </w:r>
          </w:p>
        </w:tc>
      </w:tr>
      <w:tr w:rsidR="002606E6"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电信服务</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r>
      <w:tr w:rsidR="002606E6"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公用事业</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r>
      <w:tr w:rsidR="002606E6"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房地产</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r>
      <w:tr w:rsidR="00C664D3" w:rsidRPr="00C664D3">
        <w:tc>
          <w:tcPr>
            <w:tcW w:w="2787"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rsidP="00C664D3">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合计</w:t>
            </w:r>
          </w:p>
        </w:tc>
        <w:tc>
          <w:tcPr>
            <w:tcW w:w="2551"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rsidP="00C664D3">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712,069,779.23</w:t>
            </w:r>
          </w:p>
        </w:tc>
        <w:tc>
          <w:tcPr>
            <w:tcW w:w="3175"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rsidP="00C664D3">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92.67</w:t>
            </w:r>
          </w:p>
        </w:tc>
      </w:tr>
    </w:tbl>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注：以上分类采用全球行业分类标准（GICS）。</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4、 期末按公允价值占基金资产净值比例大小排序的股票投资明细</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（1） 报告期末按公允价值占基金资产净值比例大小排序的前十名股票及存托凭证投资</w:t>
      </w:r>
      <w:r w:rsidRPr="00C664D3">
        <w:rPr>
          <w:rFonts w:asciiTheme="minorEastAsia" w:eastAsiaTheme="minorEastAsia" w:hAnsiTheme="minorEastAsia"/>
          <w:color w:val="000000" w:themeColor="text1"/>
          <w:szCs w:val="21"/>
        </w:rPr>
        <w:lastRenderedPageBreak/>
        <w:t>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716"/>
        <w:gridCol w:w="658"/>
        <w:gridCol w:w="654"/>
        <w:gridCol w:w="565"/>
        <w:gridCol w:w="726"/>
        <w:gridCol w:w="962"/>
        <w:gridCol w:w="1686"/>
        <w:gridCol w:w="877"/>
      </w:tblGrid>
      <w:tr w:rsidR="00C664D3" w:rsidRPr="00C664D3">
        <w:trPr>
          <w:jc w:val="center"/>
        </w:trPr>
        <w:tc>
          <w:tcPr>
            <w:tcW w:w="794"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序号</w:t>
            </w:r>
          </w:p>
        </w:tc>
        <w:tc>
          <w:tcPr>
            <w:tcW w:w="974"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djustRightInd w:val="0"/>
              <w:snapToGrid w:val="0"/>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公司名称（英文）</w:t>
            </w:r>
          </w:p>
        </w:tc>
        <w:tc>
          <w:tcPr>
            <w:tcW w:w="1019"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djustRightInd w:val="0"/>
              <w:snapToGrid w:val="0"/>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公司名称（中文）</w:t>
            </w:r>
          </w:p>
        </w:tc>
        <w:tc>
          <w:tcPr>
            <w:tcW w:w="703"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djustRightInd w:val="0"/>
              <w:snapToGrid w:val="0"/>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证券代码</w:t>
            </w:r>
          </w:p>
        </w:tc>
        <w:tc>
          <w:tcPr>
            <w:tcW w:w="793"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所在证</w:t>
            </w:r>
          </w:p>
          <w:p w:rsidR="002606E6" w:rsidRPr="00C664D3" w:rsidRDefault="009528B0">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sz w:val="24"/>
              </w:rPr>
              <w:t>券市场</w:t>
            </w:r>
          </w:p>
        </w:tc>
        <w:tc>
          <w:tcPr>
            <w:tcW w:w="969"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所属国家</w:t>
            </w:r>
          </w:p>
          <w:p w:rsidR="002606E6" w:rsidRPr="00C664D3" w:rsidRDefault="009528B0">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sz w:val="24"/>
              </w:rPr>
              <w:t>（地区)</w:t>
            </w:r>
          </w:p>
        </w:tc>
        <w:tc>
          <w:tcPr>
            <w:tcW w:w="1146"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数量</w:t>
            </w:r>
          </w:p>
          <w:p w:rsidR="002606E6" w:rsidRPr="00C664D3" w:rsidRDefault="009528B0">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sz w:val="24"/>
              </w:rPr>
              <w:t>（股）</w:t>
            </w:r>
          </w:p>
        </w:tc>
        <w:tc>
          <w:tcPr>
            <w:tcW w:w="969"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公允价值（人民币元）</w:t>
            </w:r>
          </w:p>
        </w:tc>
        <w:tc>
          <w:tcPr>
            <w:tcW w:w="1146"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占基金资产净值比例（％）</w:t>
            </w:r>
          </w:p>
        </w:tc>
      </w:tr>
      <w:tr w:rsidR="00C664D3" w:rsidRPr="00C664D3">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Apple Inc</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AAPL US</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纳斯达克证券交易所</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美国</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173,228</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153,267,854.98</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19.95</w:t>
            </w:r>
          </w:p>
        </w:tc>
      </w:tr>
      <w:tr w:rsidR="00C664D3" w:rsidRPr="00C664D3">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Microsoft Corp</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MSFT US</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纳斯达克证券交易所</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美国</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83,173</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145,556,167.58</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18.94</w:t>
            </w:r>
          </w:p>
        </w:tc>
      </w:tr>
      <w:tr w:rsidR="00C664D3" w:rsidRPr="00C664D3">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NVIDIA Corp</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NVDA US</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纳斯达克证券交易所</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美国</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6,880</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35,560,834.95</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4.63</w:t>
            </w:r>
          </w:p>
        </w:tc>
      </w:tr>
      <w:tr w:rsidR="00C664D3" w:rsidRPr="00C664D3">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Visa Inc</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V US</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纽约证券交易所</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美国</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18,683</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28,220,682.37</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3.67</w:t>
            </w:r>
          </w:p>
        </w:tc>
      </w:tr>
      <w:tr w:rsidR="00C664D3" w:rsidRPr="00C664D3">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 xml:space="preserve">PayPal </w:t>
            </w:r>
            <w:r w:rsidRPr="00C664D3">
              <w:rPr>
                <w:rFonts w:asciiTheme="minorEastAsia" w:eastAsiaTheme="minorEastAsia" w:hAnsiTheme="minorEastAsia"/>
                <w:color w:val="000000" w:themeColor="text1"/>
              </w:rPr>
              <w:lastRenderedPageBreak/>
              <w:t>Holdings Inc</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 xml:space="preserve">PYPL </w:t>
            </w:r>
            <w:r w:rsidRPr="00C664D3">
              <w:rPr>
                <w:rFonts w:asciiTheme="minorEastAsia" w:eastAsiaTheme="minorEastAsia" w:hAnsiTheme="minorEastAsia"/>
                <w:color w:val="000000" w:themeColor="text1"/>
              </w:rPr>
              <w:lastRenderedPageBreak/>
              <w:t>US</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纳</w:t>
            </w:r>
            <w:r w:rsidRPr="00C664D3">
              <w:rPr>
                <w:rFonts w:asciiTheme="minorEastAsia" w:eastAsiaTheme="minorEastAsia" w:hAnsiTheme="minorEastAsia"/>
                <w:color w:val="000000" w:themeColor="text1"/>
              </w:rPr>
              <w:lastRenderedPageBreak/>
              <w:t>斯达克证券交易所</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美国</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12,973</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24,428,028.60</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3.18</w:t>
            </w:r>
          </w:p>
        </w:tc>
      </w:tr>
      <w:tr w:rsidR="00C664D3" w:rsidRPr="00C664D3">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Mastercard Inc</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MA US</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纽约证券交易所</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美国</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9,661</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22,785,641.52</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2.97</w:t>
            </w:r>
          </w:p>
        </w:tc>
      </w:tr>
      <w:tr w:rsidR="00C664D3" w:rsidRPr="00C664D3">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Adobe Inc</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ADBE US</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纳斯达克证券交易所</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美国</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5,279</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19,972,003.56</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2.60</w:t>
            </w:r>
          </w:p>
        </w:tc>
      </w:tr>
      <w:tr w:rsidR="00C664D3" w:rsidRPr="00C664D3">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Intel Corp</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INTC US</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纳斯达克证券交易所</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美国</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44,593</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16,172,543.93</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2.10</w:t>
            </w:r>
          </w:p>
        </w:tc>
      </w:tr>
      <w:tr w:rsidR="00C664D3" w:rsidRPr="00C664D3">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salesforce.com Inc</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CRM US</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纽约证券交易所</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美国</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10,226</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16,136,716.22</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2.10</w:t>
            </w:r>
          </w:p>
        </w:tc>
      </w:tr>
      <w:tr w:rsidR="00C664D3" w:rsidRPr="00C664D3">
        <w:trPr>
          <w:jc w:val="center"/>
        </w:trPr>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10</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Cisco Systems Inc</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CSCO US</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纳斯达克</w:t>
            </w:r>
            <w:r w:rsidRPr="00C664D3">
              <w:rPr>
                <w:rFonts w:asciiTheme="minorEastAsia" w:eastAsiaTheme="minorEastAsia" w:hAnsiTheme="minorEastAsia"/>
                <w:color w:val="000000" w:themeColor="text1"/>
              </w:rPr>
              <w:lastRenderedPageBreak/>
              <w:t>证券交易所</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美国</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46,539</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15,934,269.48</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2.07</w:t>
            </w:r>
          </w:p>
        </w:tc>
      </w:tr>
    </w:tbl>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注：此处所用证券代码的类别是当地市场代码。</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5、 报告期末按债券信用等级分类的债券投资组合</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本基金本报告期末未持有债券。</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6、 报告期末按公允价值占基金资产净值比例大小排序的前五名债券投资明细</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本基金本报告期末未持有债券。</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7、 报告期末按公允价值占基金资产净值比例大小排序的前十名资产支持证券投资明细</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本基金本报告期末未持有资产支持证券。</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8、 报告期末按公允价值占基金资产净值比例大小排序的前五名金融衍生品投资明细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951"/>
        <w:gridCol w:w="2259"/>
        <w:gridCol w:w="1534"/>
        <w:gridCol w:w="1939"/>
      </w:tblGrid>
      <w:tr w:rsidR="00C664D3" w:rsidRPr="00C664D3">
        <w:tc>
          <w:tcPr>
            <w:tcW w:w="675" w:type="dxa"/>
            <w:tcBorders>
              <w:top w:val="single" w:sz="0" w:space="0" w:color="000000"/>
              <w:left w:val="single" w:sz="0" w:space="0" w:color="000000"/>
              <w:bottom w:val="single" w:sz="0" w:space="0" w:color="000000"/>
              <w:right w:val="single" w:sz="0" w:space="0" w:color="000000"/>
            </w:tcBorders>
          </w:tcPr>
          <w:p w:rsidR="002606E6" w:rsidRPr="00C664D3" w:rsidRDefault="009528B0">
            <w:pPr>
              <w:autoSpaceDE w:val="0"/>
              <w:autoSpaceDN w:val="0"/>
              <w:adjustRightInd w:val="0"/>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kern w:val="0"/>
              </w:rPr>
              <w:t>序号</w:t>
            </w:r>
          </w:p>
        </w:tc>
        <w:tc>
          <w:tcPr>
            <w:tcW w:w="2352" w:type="dxa"/>
            <w:tcBorders>
              <w:top w:val="single" w:sz="0" w:space="0" w:color="000000"/>
              <w:left w:val="single" w:sz="0" w:space="0" w:color="000000"/>
              <w:bottom w:val="single" w:sz="0" w:space="0" w:color="000000"/>
              <w:right w:val="single" w:sz="0" w:space="0" w:color="000000"/>
            </w:tcBorders>
          </w:tcPr>
          <w:p w:rsidR="002606E6" w:rsidRPr="00C664D3" w:rsidRDefault="009528B0">
            <w:pPr>
              <w:autoSpaceDE w:val="0"/>
              <w:autoSpaceDN w:val="0"/>
              <w:adjustRightInd w:val="0"/>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kern w:val="0"/>
              </w:rPr>
              <w:t>衍生品类别</w:t>
            </w:r>
          </w:p>
        </w:tc>
        <w:tc>
          <w:tcPr>
            <w:tcW w:w="1513" w:type="dxa"/>
            <w:tcBorders>
              <w:top w:val="single" w:sz="0" w:space="0" w:color="000000"/>
              <w:left w:val="single" w:sz="0" w:space="0" w:color="000000"/>
              <w:bottom w:val="single" w:sz="0" w:space="0" w:color="000000"/>
              <w:right w:val="single" w:sz="0" w:space="0" w:color="000000"/>
            </w:tcBorders>
          </w:tcPr>
          <w:p w:rsidR="002606E6" w:rsidRPr="00C664D3" w:rsidRDefault="009528B0">
            <w:pPr>
              <w:autoSpaceDE w:val="0"/>
              <w:autoSpaceDN w:val="0"/>
              <w:adjustRightInd w:val="0"/>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kern w:val="0"/>
              </w:rPr>
              <w:t>衍生品名称</w:t>
            </w:r>
          </w:p>
        </w:tc>
        <w:tc>
          <w:tcPr>
            <w:tcW w:w="1754" w:type="dxa"/>
            <w:tcBorders>
              <w:top w:val="single" w:sz="0" w:space="0" w:color="000000"/>
              <w:left w:val="single" w:sz="0" w:space="0" w:color="000000"/>
              <w:bottom w:val="single" w:sz="0" w:space="0" w:color="000000"/>
              <w:right w:val="single" w:sz="0" w:space="0" w:color="000000"/>
            </w:tcBorders>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公允价值</w:t>
            </w:r>
          </w:p>
          <w:p w:rsidR="002606E6" w:rsidRPr="00C664D3" w:rsidRDefault="009528B0">
            <w:pPr>
              <w:autoSpaceDE w:val="0"/>
              <w:autoSpaceDN w:val="0"/>
              <w:adjustRightInd w:val="0"/>
              <w:spacing w:line="360" w:lineRule="auto"/>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kern w:val="0"/>
                <w:sz w:val="24"/>
              </w:rPr>
              <w:t>（人民币元）</w:t>
            </w:r>
          </w:p>
        </w:tc>
        <w:tc>
          <w:tcPr>
            <w:tcW w:w="2234" w:type="dxa"/>
            <w:tcBorders>
              <w:top w:val="single" w:sz="0" w:space="0" w:color="000000"/>
              <w:left w:val="single" w:sz="0" w:space="0" w:color="000000"/>
              <w:bottom w:val="single" w:sz="0" w:space="0" w:color="000000"/>
              <w:right w:val="single" w:sz="0" w:space="0" w:color="000000"/>
            </w:tcBorders>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占基金资产</w:t>
            </w:r>
          </w:p>
          <w:p w:rsidR="002606E6" w:rsidRPr="00C664D3" w:rsidRDefault="009528B0">
            <w:pPr>
              <w:autoSpaceDE w:val="0"/>
              <w:autoSpaceDN w:val="0"/>
              <w:adjustRightInd w:val="0"/>
              <w:spacing w:line="360" w:lineRule="auto"/>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kern w:val="0"/>
                <w:sz w:val="24"/>
              </w:rPr>
              <w:t>净值比例（%）</w:t>
            </w:r>
          </w:p>
        </w:tc>
      </w:tr>
      <w:tr w:rsidR="00C664D3" w:rsidRPr="00C664D3">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 xml:space="preserve">股指期货 </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NASDAQ 100 E-MINI Sep21</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c>
          <w:tcPr>
            <w:tcW w:w="0" w:type="auto"/>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p>
        </w:tc>
      </w:tr>
    </w:tbl>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 xml:space="preserve">注：按照期货每日无负债结算的结算规则，根据《基金股指期货投资会计业务核算细则(试行)》及《企业会计准则-金融工具列报》的相关规定，“其他衍生工具-期货投资”与“证券清算款-期货每日无负债结算暂收暂付款”，符合金融资产与金融负债相抵销的条件，故将“其他衍生工具-期货投资”的期末公允价值以抵销后的净额列报，净额为零。期货投资的公允价值变动金额为494,039.76元，已包含在结算备付金中。 </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9、 报告期末按公允价值占基金资产净值比例大小排序的前十名基金投资明细</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本基金本报告期末未持有基金。</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10、 投资组合报告附注</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（1） 2020年12月20日，因PayPal涉嫌违反反洗钱法，被印度金融情报局罚款960万卢比。</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2021年3月2日，英特尔因侵犯专利被美国得克萨斯州一联邦法院作出裁决，判罚21.75亿美元。</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2021年3月20日，苹果因侵犯专利被美国得克萨斯州一联邦陪审团作出裁决，判罚3.085亿美元。</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lastRenderedPageBreak/>
        <w:t>2021年4月30日，苹果集团因垄断支付行为被欧盟发垄断委员会提出指控。</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基金为指数型基金，上述股票系标的指数成份股，上述股票的投资决策程序符合公司投资制度的规定。除苹果、英特尔、PayPal外，本基金投资的其他前十名证券的发行主体本期没有出现被监管部门立案调查，或在报告编制日前一年内受到公开谴责、处罚的情形。</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（2） 本基金投资的前十名股票没有超出基金合同规定的备选股票库。</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（3） 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903"/>
        <w:gridCol w:w="4808"/>
      </w:tblGrid>
      <w:tr w:rsidR="002606E6" w:rsidRPr="00C664D3">
        <w:tc>
          <w:tcPr>
            <w:tcW w:w="8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7"/>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序号</w:t>
            </w:r>
          </w:p>
        </w:tc>
        <w:tc>
          <w:tcPr>
            <w:tcW w:w="2903"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7"/>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7"/>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金额(人民币元)</w:t>
            </w:r>
          </w:p>
        </w:tc>
      </w:tr>
      <w:tr w:rsidR="002606E6" w:rsidRPr="00C664D3">
        <w:tc>
          <w:tcPr>
            <w:tcW w:w="8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rPr>
              <w:t>1</w:t>
            </w:r>
          </w:p>
        </w:tc>
        <w:tc>
          <w:tcPr>
            <w:tcW w:w="2903"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lef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righ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818,623.87</w:t>
            </w:r>
          </w:p>
        </w:tc>
      </w:tr>
      <w:tr w:rsidR="002606E6" w:rsidRPr="00C664D3">
        <w:tc>
          <w:tcPr>
            <w:tcW w:w="8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2</w:t>
            </w:r>
          </w:p>
        </w:tc>
        <w:tc>
          <w:tcPr>
            <w:tcW w:w="2903"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lef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righ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18,772,841.74</w:t>
            </w:r>
          </w:p>
        </w:tc>
      </w:tr>
      <w:tr w:rsidR="002606E6" w:rsidRPr="00C664D3">
        <w:tc>
          <w:tcPr>
            <w:tcW w:w="8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3</w:t>
            </w:r>
          </w:p>
        </w:tc>
        <w:tc>
          <w:tcPr>
            <w:tcW w:w="2903"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lef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righ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110,030.93</w:t>
            </w:r>
          </w:p>
        </w:tc>
      </w:tr>
      <w:tr w:rsidR="002606E6" w:rsidRPr="00C664D3">
        <w:tc>
          <w:tcPr>
            <w:tcW w:w="8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4</w:t>
            </w:r>
          </w:p>
        </w:tc>
        <w:tc>
          <w:tcPr>
            <w:tcW w:w="2903"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lef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righ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1,195.58</w:t>
            </w:r>
          </w:p>
        </w:tc>
      </w:tr>
      <w:tr w:rsidR="002606E6" w:rsidRPr="00C664D3">
        <w:tc>
          <w:tcPr>
            <w:tcW w:w="8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5</w:t>
            </w:r>
          </w:p>
        </w:tc>
        <w:tc>
          <w:tcPr>
            <w:tcW w:w="2903"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lef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righ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3,036,395.82</w:t>
            </w:r>
          </w:p>
        </w:tc>
      </w:tr>
      <w:tr w:rsidR="002606E6" w:rsidRPr="00C664D3">
        <w:tc>
          <w:tcPr>
            <w:tcW w:w="8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6</w:t>
            </w:r>
          </w:p>
        </w:tc>
        <w:tc>
          <w:tcPr>
            <w:tcW w:w="2903"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lef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righ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w:t>
            </w:r>
          </w:p>
        </w:tc>
      </w:tr>
      <w:tr w:rsidR="002606E6" w:rsidRPr="00C664D3">
        <w:tc>
          <w:tcPr>
            <w:tcW w:w="8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7</w:t>
            </w:r>
          </w:p>
        </w:tc>
        <w:tc>
          <w:tcPr>
            <w:tcW w:w="2903"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lef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right"/>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w:t>
            </w:r>
          </w:p>
        </w:tc>
      </w:tr>
      <w:tr w:rsidR="002606E6" w:rsidRPr="00C664D3">
        <w:tc>
          <w:tcPr>
            <w:tcW w:w="8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8</w:t>
            </w:r>
          </w:p>
        </w:tc>
        <w:tc>
          <w:tcPr>
            <w:tcW w:w="2903"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lef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righ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w:t>
            </w:r>
          </w:p>
        </w:tc>
      </w:tr>
      <w:tr w:rsidR="002606E6" w:rsidRPr="00C664D3">
        <w:tc>
          <w:tcPr>
            <w:tcW w:w="802"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center"/>
              <w:rPr>
                <w:rFonts w:asciiTheme="minorEastAsia" w:eastAsiaTheme="minorEastAsia" w:hAnsiTheme="minorEastAsia"/>
                <w:color w:val="000000" w:themeColor="text1"/>
                <w:sz w:val="24"/>
              </w:rPr>
            </w:pPr>
            <w:r w:rsidRPr="00C664D3">
              <w:rPr>
                <w:rFonts w:asciiTheme="minorEastAsia" w:eastAsiaTheme="minorEastAsia" w:hAnsiTheme="minorEastAsia"/>
                <w:color w:val="000000" w:themeColor="text1"/>
              </w:rPr>
              <w:t>9</w:t>
            </w:r>
          </w:p>
        </w:tc>
        <w:tc>
          <w:tcPr>
            <w:tcW w:w="2903"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lef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2606E6" w:rsidRPr="00C664D3" w:rsidRDefault="009528B0">
            <w:pPr>
              <w:autoSpaceDE w:val="0"/>
              <w:autoSpaceDN w:val="0"/>
              <w:adjustRightInd w:val="0"/>
              <w:ind w:left="15"/>
              <w:jc w:val="right"/>
              <w:rPr>
                <w:rFonts w:asciiTheme="minorEastAsia" w:eastAsiaTheme="minorEastAsia" w:hAnsiTheme="minorEastAsia"/>
                <w:color w:val="000000" w:themeColor="text1"/>
                <w:kern w:val="0"/>
                <w:sz w:val="24"/>
              </w:rPr>
            </w:pPr>
            <w:r w:rsidRPr="00C664D3">
              <w:rPr>
                <w:rFonts w:asciiTheme="minorEastAsia" w:eastAsiaTheme="minorEastAsia" w:hAnsiTheme="minorEastAsia"/>
                <w:color w:val="000000" w:themeColor="text1"/>
                <w:kern w:val="0"/>
              </w:rPr>
              <w:t>22,739,087.94</w:t>
            </w:r>
          </w:p>
        </w:tc>
      </w:tr>
    </w:tbl>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（4） 报告期末持有的处于转股期的可转换债券明细</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本基金本报告期末未持有处于转股期的可转换债券。</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（5） 报告期末前十名股票中存在流通受限情况的说明</w:t>
      </w:r>
    </w:p>
    <w:p w:rsidR="002606E6" w:rsidRPr="00C664D3" w:rsidRDefault="009528B0" w:rsidP="00C664D3">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本基金本报告期末前十名股票中不存在流通受限情况。</w:t>
      </w:r>
      <w:r w:rsidRPr="00C664D3">
        <w:rPr>
          <w:rFonts w:asciiTheme="minorEastAsia" w:eastAsiaTheme="minorEastAsia" w:hAnsiTheme="minorEastAsia"/>
          <w:color w:val="000000" w:themeColor="text1"/>
        </w:rPr>
        <w:br w:type="page"/>
      </w:r>
    </w:p>
    <w:p w:rsidR="00FE088F" w:rsidRPr="00C664D3" w:rsidRDefault="00FE088F"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99" w:name="_Toc32953332"/>
      <w:bookmarkStart w:id="100" w:name="_Toc32953337"/>
      <w:bookmarkStart w:id="101" w:name="_Toc32953342"/>
      <w:bookmarkStart w:id="102" w:name="_Toc32953347"/>
      <w:bookmarkStart w:id="103" w:name="_Toc32953362"/>
      <w:bookmarkStart w:id="104" w:name="_Toc32953367"/>
      <w:bookmarkStart w:id="105" w:name="_Toc32953377"/>
      <w:bookmarkStart w:id="106" w:name="_Toc32953382"/>
      <w:bookmarkStart w:id="107" w:name="_Toc32953387"/>
      <w:bookmarkStart w:id="108" w:name="_Toc32953392"/>
      <w:bookmarkStart w:id="109" w:name="_Toc32953402"/>
      <w:bookmarkStart w:id="110" w:name="_Toc32953427"/>
      <w:bookmarkStart w:id="111" w:name="_Toc32953440"/>
      <w:bookmarkStart w:id="112" w:name="_Toc32953441"/>
      <w:bookmarkStart w:id="113" w:name="_Toc32953442"/>
      <w:bookmarkStart w:id="114" w:name="_Toc32953495"/>
      <w:bookmarkStart w:id="115" w:name="_Toc32953496"/>
      <w:bookmarkStart w:id="116" w:name="_Toc32953610"/>
      <w:bookmarkStart w:id="117" w:name="_Toc32953611"/>
      <w:bookmarkStart w:id="118" w:name="_Toc32953612"/>
      <w:bookmarkStart w:id="119" w:name="_Toc32953613"/>
      <w:bookmarkStart w:id="120" w:name="_Toc32953614"/>
      <w:bookmarkStart w:id="121" w:name="_Toc32953615"/>
      <w:bookmarkStart w:id="122" w:name="_Toc32953616"/>
      <w:bookmarkStart w:id="123" w:name="_Toc32953617"/>
      <w:bookmarkStart w:id="124" w:name="_Toc32953618"/>
      <w:bookmarkStart w:id="125" w:name="_Toc32953619"/>
      <w:bookmarkStart w:id="126" w:name="_Toc32953620"/>
      <w:bookmarkStart w:id="127" w:name="_Toc32953621"/>
      <w:bookmarkStart w:id="128" w:name="_Toc32953622"/>
      <w:bookmarkStart w:id="129" w:name="_Toc32953623"/>
      <w:bookmarkStart w:id="130" w:name="_Toc32953624"/>
      <w:bookmarkStart w:id="131" w:name="_Toc32953665"/>
      <w:bookmarkStart w:id="132" w:name="_Toc32953666"/>
      <w:bookmarkStart w:id="133" w:name="_Toc32953667"/>
      <w:bookmarkStart w:id="134" w:name="_Toc32953668"/>
      <w:bookmarkStart w:id="135" w:name="_Toc481141440"/>
      <w:bookmarkStart w:id="136" w:name="_Toc483407853"/>
      <w:bookmarkStart w:id="137" w:name="_Toc485114354"/>
      <w:bookmarkStart w:id="138" w:name="_Toc839041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C664D3">
        <w:rPr>
          <w:rFonts w:asciiTheme="minorEastAsia" w:eastAsiaTheme="minorEastAsia" w:hAnsiTheme="minorEastAsia"/>
          <w:color w:val="000000" w:themeColor="text1"/>
        </w:rPr>
        <w:lastRenderedPageBreak/>
        <w:t>基金</w:t>
      </w:r>
      <w:r w:rsidRPr="00C664D3">
        <w:rPr>
          <w:rFonts w:asciiTheme="minorEastAsia" w:eastAsiaTheme="minorEastAsia" w:hAnsiTheme="minorEastAsia" w:hint="eastAsia"/>
          <w:color w:val="000000" w:themeColor="text1"/>
        </w:rPr>
        <w:t>的业绩</w:t>
      </w:r>
      <w:bookmarkEnd w:id="135"/>
      <w:bookmarkEnd w:id="136"/>
      <w:bookmarkEnd w:id="137"/>
      <w:bookmarkEnd w:id="138"/>
    </w:p>
    <w:p w:rsidR="00FE088F" w:rsidRPr="00C664D3" w:rsidRDefault="00FE088F"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FE088F" w:rsidRPr="00C664D3" w:rsidRDefault="00FE088F"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rPr>
        <w:t>本基金合同生效日为2016年12月13日，基金合同生效以来（截至2020年12月31日）的投资业绩及与同期基准的比较如下表所示：</w:t>
      </w:r>
    </w:p>
    <w:p w:rsidR="00301B9F" w:rsidRPr="00C664D3" w:rsidRDefault="00301B9F" w:rsidP="00301B9F">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1、易方达标普信息科技指数</w:t>
      </w:r>
      <w:r w:rsidR="00782D70" w:rsidRPr="00C664D3">
        <w:rPr>
          <w:rFonts w:asciiTheme="minorEastAsia" w:eastAsiaTheme="minorEastAsia" w:hAnsiTheme="minorEastAsia" w:hint="eastAsia"/>
          <w:color w:val="000000" w:themeColor="text1"/>
          <w:szCs w:val="21"/>
        </w:rPr>
        <w:t>（LOF）</w:t>
      </w:r>
      <w:r w:rsidRPr="00C664D3">
        <w:rPr>
          <w:rFonts w:asciiTheme="minorEastAsia" w:eastAsiaTheme="minorEastAsia" w:hAnsiTheme="minorEastAsia" w:hint="eastAsia"/>
          <w:color w:val="000000" w:themeColor="text1"/>
          <w:szCs w:val="21"/>
        </w:rPr>
        <w:t>A类基金份额净值增长率与同期业绩比较基准收益率比较</w:t>
      </w:r>
    </w:p>
    <w:tbl>
      <w:tblPr>
        <w:tblStyle w:val="aff"/>
        <w:tblW w:w="8377" w:type="dxa"/>
        <w:tblLook w:val="04A0" w:firstRow="1" w:lastRow="0" w:firstColumn="1" w:lastColumn="0" w:noHBand="0" w:noVBand="1"/>
      </w:tblPr>
      <w:tblGrid>
        <w:gridCol w:w="1288"/>
        <w:gridCol w:w="1164"/>
        <w:gridCol w:w="1072"/>
        <w:gridCol w:w="1120"/>
        <w:gridCol w:w="1338"/>
        <w:gridCol w:w="1232"/>
        <w:gridCol w:w="1163"/>
      </w:tblGrid>
      <w:tr w:rsidR="00C664D3" w:rsidRPr="00C664D3" w:rsidTr="00C664D3">
        <w:trPr>
          <w:trHeight w:val="705"/>
        </w:trPr>
        <w:tc>
          <w:tcPr>
            <w:tcW w:w="1288" w:type="dxa"/>
            <w:noWrap/>
            <w:hideMark/>
          </w:tcPr>
          <w:p w:rsidR="003E2C58" w:rsidRPr="00C664D3" w:rsidRDefault="003E2C58" w:rsidP="00AB77C1">
            <w:pPr>
              <w:spacing w:line="360" w:lineRule="auto"/>
              <w:jc w:val="center"/>
              <w:rPr>
                <w:rFonts w:asciiTheme="minorEastAsia" w:eastAsiaTheme="minorEastAsia" w:hAnsiTheme="minorEastAsia" w:cs="Arial Unicode MS"/>
                <w:color w:val="000000" w:themeColor="text1"/>
                <w:szCs w:val="21"/>
              </w:rPr>
            </w:pPr>
            <w:r w:rsidRPr="00C664D3">
              <w:rPr>
                <w:rFonts w:asciiTheme="minorEastAsia" w:eastAsiaTheme="minorEastAsia" w:hAnsiTheme="minorEastAsia" w:hint="eastAsia"/>
                <w:color w:val="000000" w:themeColor="text1"/>
              </w:rPr>
              <w:t>阶段</w:t>
            </w:r>
          </w:p>
        </w:tc>
        <w:tc>
          <w:tcPr>
            <w:tcW w:w="1164" w:type="dxa"/>
            <w:hideMark/>
          </w:tcPr>
          <w:p w:rsidR="003E2C58" w:rsidRPr="00C664D3" w:rsidRDefault="003E2C58" w:rsidP="00AB77C1">
            <w:pPr>
              <w:spacing w:line="360" w:lineRule="auto"/>
              <w:jc w:val="center"/>
              <w:rPr>
                <w:rFonts w:asciiTheme="minorEastAsia" w:eastAsiaTheme="minorEastAsia" w:hAnsiTheme="minorEastAsia" w:cs="Arial Unicode MS"/>
                <w:color w:val="000000" w:themeColor="text1"/>
                <w:szCs w:val="21"/>
              </w:rPr>
            </w:pPr>
            <w:r w:rsidRPr="00C664D3">
              <w:rPr>
                <w:rFonts w:asciiTheme="minorEastAsia" w:eastAsiaTheme="minorEastAsia" w:hAnsiTheme="minorEastAsia" w:hint="eastAsia"/>
                <w:color w:val="000000" w:themeColor="text1"/>
              </w:rPr>
              <w:t>净值增长率（1）</w:t>
            </w:r>
          </w:p>
        </w:tc>
        <w:tc>
          <w:tcPr>
            <w:tcW w:w="1072" w:type="dxa"/>
            <w:hideMark/>
          </w:tcPr>
          <w:p w:rsidR="003E2C58" w:rsidRPr="00C664D3" w:rsidRDefault="003E2C58" w:rsidP="00AB77C1">
            <w:pPr>
              <w:spacing w:line="360" w:lineRule="auto"/>
              <w:jc w:val="center"/>
              <w:rPr>
                <w:rFonts w:asciiTheme="minorEastAsia" w:eastAsiaTheme="minorEastAsia" w:hAnsiTheme="minorEastAsia" w:cs="Arial Unicode MS"/>
                <w:color w:val="000000" w:themeColor="text1"/>
                <w:szCs w:val="21"/>
              </w:rPr>
            </w:pPr>
            <w:r w:rsidRPr="00C664D3">
              <w:rPr>
                <w:rFonts w:asciiTheme="minorEastAsia" w:eastAsiaTheme="minorEastAsia" w:hAnsiTheme="minorEastAsia" w:hint="eastAsia"/>
                <w:color w:val="000000" w:themeColor="text1"/>
              </w:rPr>
              <w:t>净值增长率标准差（2）</w:t>
            </w:r>
          </w:p>
        </w:tc>
        <w:tc>
          <w:tcPr>
            <w:tcW w:w="1120" w:type="dxa"/>
            <w:hideMark/>
          </w:tcPr>
          <w:p w:rsidR="003E2C58" w:rsidRPr="00C664D3" w:rsidRDefault="003E2C58" w:rsidP="00AB77C1">
            <w:pPr>
              <w:spacing w:line="360" w:lineRule="auto"/>
              <w:jc w:val="center"/>
              <w:rPr>
                <w:rFonts w:asciiTheme="minorEastAsia" w:eastAsiaTheme="minorEastAsia" w:hAnsiTheme="minorEastAsia" w:cs="Arial Unicode MS"/>
                <w:color w:val="000000" w:themeColor="text1"/>
                <w:szCs w:val="21"/>
              </w:rPr>
            </w:pPr>
            <w:r w:rsidRPr="00C664D3">
              <w:rPr>
                <w:rFonts w:asciiTheme="minorEastAsia" w:eastAsiaTheme="minorEastAsia" w:hAnsiTheme="minorEastAsia" w:hint="eastAsia"/>
                <w:color w:val="000000" w:themeColor="text1"/>
              </w:rPr>
              <w:t>业绩比较基准收益率（3）</w:t>
            </w:r>
          </w:p>
        </w:tc>
        <w:tc>
          <w:tcPr>
            <w:tcW w:w="1338" w:type="dxa"/>
            <w:hideMark/>
          </w:tcPr>
          <w:p w:rsidR="003E2C58" w:rsidRPr="00C664D3" w:rsidRDefault="003E2C58" w:rsidP="00AB77C1">
            <w:pPr>
              <w:spacing w:line="360" w:lineRule="auto"/>
              <w:jc w:val="center"/>
              <w:rPr>
                <w:rFonts w:asciiTheme="minorEastAsia" w:eastAsiaTheme="minorEastAsia" w:hAnsiTheme="minorEastAsia" w:cs="Arial Unicode MS"/>
                <w:color w:val="000000" w:themeColor="text1"/>
                <w:szCs w:val="21"/>
              </w:rPr>
            </w:pPr>
            <w:r w:rsidRPr="00C664D3">
              <w:rPr>
                <w:rFonts w:asciiTheme="minorEastAsia" w:eastAsiaTheme="minorEastAsia" w:hAnsiTheme="minorEastAsia" w:hint="eastAsia"/>
                <w:color w:val="000000" w:themeColor="text1"/>
              </w:rPr>
              <w:t>业绩比较基准收益率标准差（4）</w:t>
            </w:r>
          </w:p>
        </w:tc>
        <w:tc>
          <w:tcPr>
            <w:tcW w:w="1232" w:type="dxa"/>
            <w:noWrap/>
            <w:hideMark/>
          </w:tcPr>
          <w:p w:rsidR="003E2C58" w:rsidRPr="00C664D3" w:rsidRDefault="003E2C58" w:rsidP="00AB77C1">
            <w:pPr>
              <w:spacing w:line="360" w:lineRule="auto"/>
              <w:jc w:val="center"/>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rPr>
              <w:t>(1)－(3)</w:t>
            </w:r>
          </w:p>
        </w:tc>
        <w:tc>
          <w:tcPr>
            <w:tcW w:w="1163" w:type="dxa"/>
            <w:noWrap/>
            <w:hideMark/>
          </w:tcPr>
          <w:p w:rsidR="003E2C58" w:rsidRPr="00C664D3" w:rsidRDefault="003E2C58" w:rsidP="00AB77C1">
            <w:pPr>
              <w:spacing w:line="360" w:lineRule="auto"/>
              <w:jc w:val="center"/>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rPr>
              <w:t>(2)－(4)</w:t>
            </w:r>
          </w:p>
        </w:tc>
      </w:tr>
      <w:tr w:rsidR="00C664D3" w:rsidRPr="00C664D3" w:rsidTr="00C664D3">
        <w:tc>
          <w:tcPr>
            <w:tcW w:w="1288"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自基金合同生效日至2016年12月31日</w:t>
            </w:r>
          </w:p>
        </w:tc>
        <w:tc>
          <w:tcPr>
            <w:tcW w:w="1164"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-0.13%</w:t>
            </w:r>
          </w:p>
        </w:tc>
        <w:tc>
          <w:tcPr>
            <w:tcW w:w="1072"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0.13%</w:t>
            </w:r>
          </w:p>
        </w:tc>
        <w:tc>
          <w:tcPr>
            <w:tcW w:w="1120"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0.03%</w:t>
            </w:r>
          </w:p>
        </w:tc>
        <w:tc>
          <w:tcPr>
            <w:tcW w:w="1338"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0.54%</w:t>
            </w:r>
          </w:p>
        </w:tc>
        <w:tc>
          <w:tcPr>
            <w:tcW w:w="1232"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-0.16%</w:t>
            </w:r>
          </w:p>
        </w:tc>
        <w:tc>
          <w:tcPr>
            <w:tcW w:w="1163"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-0.41%</w:t>
            </w:r>
          </w:p>
        </w:tc>
      </w:tr>
      <w:tr w:rsidR="00C664D3" w:rsidRPr="00C664D3" w:rsidTr="00C664D3">
        <w:tc>
          <w:tcPr>
            <w:tcW w:w="1288"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2017年1月1日至2017年12月31日</w:t>
            </w:r>
          </w:p>
        </w:tc>
        <w:tc>
          <w:tcPr>
            <w:tcW w:w="1164"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21.12%</w:t>
            </w:r>
          </w:p>
        </w:tc>
        <w:tc>
          <w:tcPr>
            <w:tcW w:w="1072"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0.72%</w:t>
            </w:r>
          </w:p>
        </w:tc>
        <w:tc>
          <w:tcPr>
            <w:tcW w:w="1120"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27.40%</w:t>
            </w:r>
          </w:p>
        </w:tc>
        <w:tc>
          <w:tcPr>
            <w:tcW w:w="1338"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0.73%</w:t>
            </w:r>
          </w:p>
        </w:tc>
        <w:tc>
          <w:tcPr>
            <w:tcW w:w="1232"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-6.28%</w:t>
            </w:r>
          </w:p>
        </w:tc>
        <w:tc>
          <w:tcPr>
            <w:tcW w:w="1163"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-0.01%</w:t>
            </w:r>
          </w:p>
        </w:tc>
      </w:tr>
      <w:tr w:rsidR="00C664D3" w:rsidRPr="00C664D3" w:rsidTr="00C664D3">
        <w:tc>
          <w:tcPr>
            <w:tcW w:w="1288"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2018年1月1日至2018年12月31日</w:t>
            </w:r>
          </w:p>
        </w:tc>
        <w:tc>
          <w:tcPr>
            <w:tcW w:w="1164"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2.64%</w:t>
            </w:r>
          </w:p>
        </w:tc>
        <w:tc>
          <w:tcPr>
            <w:tcW w:w="1072"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1.49%</w:t>
            </w:r>
          </w:p>
        </w:tc>
        <w:tc>
          <w:tcPr>
            <w:tcW w:w="1120"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3.33%</w:t>
            </w:r>
          </w:p>
        </w:tc>
        <w:tc>
          <w:tcPr>
            <w:tcW w:w="1338"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1.49%</w:t>
            </w:r>
          </w:p>
        </w:tc>
        <w:tc>
          <w:tcPr>
            <w:tcW w:w="1232"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-0.69%</w:t>
            </w:r>
          </w:p>
        </w:tc>
        <w:tc>
          <w:tcPr>
            <w:tcW w:w="1163"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0.00%</w:t>
            </w:r>
          </w:p>
        </w:tc>
      </w:tr>
      <w:tr w:rsidR="00C664D3" w:rsidRPr="00C664D3" w:rsidTr="00C664D3">
        <w:tc>
          <w:tcPr>
            <w:tcW w:w="1288"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2019年1月1日至2019年12月31日</w:t>
            </w:r>
          </w:p>
        </w:tc>
        <w:tc>
          <w:tcPr>
            <w:tcW w:w="1164"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48.01%</w:t>
            </w:r>
          </w:p>
        </w:tc>
        <w:tc>
          <w:tcPr>
            <w:tcW w:w="1072"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1.10%</w:t>
            </w:r>
          </w:p>
        </w:tc>
        <w:tc>
          <w:tcPr>
            <w:tcW w:w="1120"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47.58%</w:t>
            </w:r>
          </w:p>
        </w:tc>
        <w:tc>
          <w:tcPr>
            <w:tcW w:w="1338"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1.10%</w:t>
            </w:r>
          </w:p>
        </w:tc>
        <w:tc>
          <w:tcPr>
            <w:tcW w:w="1232"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0.43%</w:t>
            </w:r>
          </w:p>
        </w:tc>
        <w:tc>
          <w:tcPr>
            <w:tcW w:w="1163"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0.00%</w:t>
            </w:r>
          </w:p>
        </w:tc>
      </w:tr>
      <w:tr w:rsidR="00C664D3" w:rsidRPr="00C664D3" w:rsidTr="00C664D3">
        <w:tc>
          <w:tcPr>
            <w:tcW w:w="1288"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2020年1月1日至2020年12月31日</w:t>
            </w:r>
          </w:p>
        </w:tc>
        <w:tc>
          <w:tcPr>
            <w:tcW w:w="1164"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28.82%</w:t>
            </w:r>
          </w:p>
        </w:tc>
        <w:tc>
          <w:tcPr>
            <w:tcW w:w="1072"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2.46%</w:t>
            </w:r>
          </w:p>
        </w:tc>
        <w:tc>
          <w:tcPr>
            <w:tcW w:w="1120"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31.66%</w:t>
            </w:r>
          </w:p>
        </w:tc>
        <w:tc>
          <w:tcPr>
            <w:tcW w:w="1338"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2.44%</w:t>
            </w:r>
          </w:p>
        </w:tc>
        <w:tc>
          <w:tcPr>
            <w:tcW w:w="1232"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-2.84%</w:t>
            </w:r>
          </w:p>
        </w:tc>
        <w:tc>
          <w:tcPr>
            <w:tcW w:w="1163"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0.02%</w:t>
            </w:r>
          </w:p>
        </w:tc>
      </w:tr>
      <w:tr w:rsidR="00C664D3" w:rsidRPr="00C664D3" w:rsidTr="00C664D3">
        <w:tc>
          <w:tcPr>
            <w:tcW w:w="1288"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自基金合同生效</w:t>
            </w:r>
            <w:r w:rsidR="00AF6C0C" w:rsidRPr="00C664D3">
              <w:rPr>
                <w:rFonts w:asciiTheme="minorEastAsia" w:eastAsiaTheme="minorEastAsia" w:hAnsiTheme="minorEastAsia"/>
                <w:color w:val="000000" w:themeColor="text1"/>
              </w:rPr>
              <w:t>日</w:t>
            </w:r>
            <w:r w:rsidRPr="00C664D3">
              <w:rPr>
                <w:rFonts w:asciiTheme="minorEastAsia" w:eastAsiaTheme="minorEastAsia" w:hAnsiTheme="minorEastAsia"/>
                <w:color w:val="000000" w:themeColor="text1"/>
              </w:rPr>
              <w:t>至2020年12月31日</w:t>
            </w:r>
          </w:p>
        </w:tc>
        <w:tc>
          <w:tcPr>
            <w:tcW w:w="1164"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136.71%</w:t>
            </w:r>
          </w:p>
        </w:tc>
        <w:tc>
          <w:tcPr>
            <w:tcW w:w="1072"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1.57%</w:t>
            </w:r>
          </w:p>
        </w:tc>
        <w:tc>
          <w:tcPr>
            <w:tcW w:w="1120"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155.87%</w:t>
            </w:r>
          </w:p>
        </w:tc>
        <w:tc>
          <w:tcPr>
            <w:tcW w:w="1338"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1.57%</w:t>
            </w:r>
          </w:p>
        </w:tc>
        <w:tc>
          <w:tcPr>
            <w:tcW w:w="1232"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-19.16%</w:t>
            </w:r>
          </w:p>
        </w:tc>
        <w:tc>
          <w:tcPr>
            <w:tcW w:w="1163"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0.00%</w:t>
            </w:r>
          </w:p>
        </w:tc>
      </w:tr>
    </w:tbl>
    <w:p w:rsidR="00FE088F" w:rsidRPr="00C664D3" w:rsidRDefault="00FE088F" w:rsidP="00AB77C1">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注：（1）同期业绩比较基准已经转换为以人民币计价。</w:t>
      </w:r>
    </w:p>
    <w:p w:rsidR="00FE088F" w:rsidRDefault="00FE088F" w:rsidP="00AB77C1">
      <w:pPr>
        <w:autoSpaceDE w:val="0"/>
        <w:autoSpaceDN w:val="0"/>
        <w:adjustRightInd w:val="0"/>
        <w:snapToGrid w:val="0"/>
        <w:spacing w:line="360" w:lineRule="auto"/>
        <w:ind w:firstLineChars="350" w:firstLine="735"/>
        <w:jc w:val="left"/>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（2）上述净值表现数据按照《证券投资基金信息披露编报规则第2号&lt;基金净值表</w:t>
      </w:r>
      <w:r w:rsidRPr="00C664D3">
        <w:rPr>
          <w:rFonts w:asciiTheme="minorEastAsia" w:eastAsiaTheme="minorEastAsia" w:hAnsiTheme="minorEastAsia" w:hint="eastAsia"/>
          <w:color w:val="000000" w:themeColor="text1"/>
        </w:rPr>
        <w:lastRenderedPageBreak/>
        <w:t>现的编制及披露&gt;》的相关规定编制。</w:t>
      </w:r>
    </w:p>
    <w:p w:rsidR="008113B7" w:rsidRPr="00C664D3" w:rsidRDefault="008113B7" w:rsidP="00AB77C1">
      <w:pPr>
        <w:autoSpaceDE w:val="0"/>
        <w:autoSpaceDN w:val="0"/>
        <w:adjustRightInd w:val="0"/>
        <w:snapToGrid w:val="0"/>
        <w:spacing w:line="360" w:lineRule="auto"/>
        <w:ind w:firstLineChars="350" w:firstLine="735"/>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（3）</w:t>
      </w:r>
      <w:r w:rsidRPr="00C664D3">
        <w:rPr>
          <w:rFonts w:asciiTheme="minorEastAsia" w:eastAsiaTheme="minorEastAsia" w:hAnsiTheme="minorEastAsia"/>
          <w:color w:val="000000" w:themeColor="text1"/>
        </w:rPr>
        <w:t>本基金历任基金经理情况：林伟斌，管理时间为2016年12月13日至2018年8月10日；张胜记，管理时间为2016年12月15日至2018年8月10日；刘树荣，管理时间为2018年8月11日至2020年4月22日。</w:t>
      </w:r>
    </w:p>
    <w:p w:rsidR="005E24A3" w:rsidRPr="00C664D3" w:rsidRDefault="005E24A3" w:rsidP="00AB77C1">
      <w:pPr>
        <w:spacing w:line="360" w:lineRule="auto"/>
        <w:ind w:firstLineChars="200" w:firstLine="420"/>
        <w:rPr>
          <w:rFonts w:asciiTheme="minorEastAsia" w:eastAsiaTheme="minorEastAsia" w:hAnsiTheme="minorEastAsia"/>
          <w:color w:val="000000" w:themeColor="text1"/>
          <w:szCs w:val="21"/>
        </w:rPr>
      </w:pP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139" w:name="_Toc278409349"/>
      <w:bookmarkStart w:id="140" w:name="_Toc278409350"/>
      <w:bookmarkStart w:id="141" w:name="_Toc278409351"/>
      <w:bookmarkStart w:id="142" w:name="_Toc278409352"/>
      <w:bookmarkStart w:id="143" w:name="_Toc278409353"/>
      <w:bookmarkStart w:id="144" w:name="_Toc423335524"/>
      <w:bookmarkStart w:id="145" w:name="_Toc423335525"/>
      <w:bookmarkStart w:id="146" w:name="_Toc423335526"/>
      <w:bookmarkStart w:id="147" w:name="_Toc423335527"/>
      <w:bookmarkStart w:id="148" w:name="_Toc83904199"/>
      <w:bookmarkEnd w:id="139"/>
      <w:bookmarkEnd w:id="140"/>
      <w:bookmarkEnd w:id="141"/>
      <w:bookmarkEnd w:id="142"/>
      <w:bookmarkEnd w:id="143"/>
      <w:bookmarkEnd w:id="144"/>
      <w:bookmarkEnd w:id="145"/>
      <w:bookmarkEnd w:id="146"/>
      <w:bookmarkEnd w:id="147"/>
      <w:r w:rsidRPr="00C664D3">
        <w:rPr>
          <w:rFonts w:asciiTheme="minorEastAsia" w:eastAsiaTheme="minorEastAsia" w:hAnsiTheme="minorEastAsia"/>
          <w:color w:val="000000" w:themeColor="text1"/>
        </w:rPr>
        <w:lastRenderedPageBreak/>
        <w:t>基金管理人</w:t>
      </w:r>
      <w:bookmarkEnd w:id="148"/>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149" w:name="_Toc133292563"/>
      <w:bookmarkStart w:id="150" w:name="_Toc163189520"/>
      <w:bookmarkStart w:id="151" w:name="_Toc423335529"/>
      <w:r w:rsidRPr="00C664D3">
        <w:rPr>
          <w:rFonts w:asciiTheme="minorEastAsia" w:eastAsiaTheme="minorEastAsia" w:hAnsiTheme="minorEastAsia"/>
          <w:b w:val="0"/>
          <w:color w:val="000000" w:themeColor="text1"/>
        </w:rPr>
        <w:t>基金管理人基本情况</w:t>
      </w:r>
      <w:bookmarkEnd w:id="149"/>
      <w:bookmarkEnd w:id="150"/>
      <w:bookmarkEnd w:id="151"/>
    </w:p>
    <w:p w:rsidR="000A63BC" w:rsidRPr="00C664D3" w:rsidRDefault="000A63BC" w:rsidP="00AB77C1">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1.基金管理人：易方达基金管理有限公司</w:t>
      </w:r>
    </w:p>
    <w:p w:rsidR="006037F2" w:rsidRPr="00C664D3" w:rsidRDefault="006037F2" w:rsidP="00AB77C1">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w:t>
      </w:r>
      <w:r w:rsidR="00573C28" w:rsidRPr="00C664D3">
        <w:rPr>
          <w:rFonts w:asciiTheme="minorEastAsia" w:eastAsiaTheme="minorEastAsia" w:hAnsiTheme="minorEastAsia" w:hint="eastAsia"/>
          <w:color w:val="000000" w:themeColor="text1"/>
          <w:szCs w:val="21"/>
        </w:rPr>
        <w:t>广东省珠海市横琴新区宝华路6号105室－42891（集中办公区）</w:t>
      </w:r>
    </w:p>
    <w:p w:rsidR="006037F2" w:rsidRPr="00C664D3" w:rsidRDefault="006037F2" w:rsidP="00AB77C1">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办公地址：广州市天河区珠江新城珠江东路30号广州银行大厦40-43楼</w:t>
      </w:r>
    </w:p>
    <w:p w:rsidR="006037F2" w:rsidRPr="00C664D3" w:rsidRDefault="006037F2" w:rsidP="00AB77C1">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设立日期：</w:t>
      </w:r>
      <w:smartTag w:uri="urn:schemas-microsoft-com:office:smarttags" w:element="chsdate">
        <w:smartTagPr>
          <w:attr w:name="IsROCDate" w:val="False"/>
          <w:attr w:name="IsLunarDate" w:val="False"/>
          <w:attr w:name="Day" w:val="17"/>
          <w:attr w:name="Month" w:val="4"/>
          <w:attr w:name="Year" w:val="2001"/>
        </w:smartTagPr>
        <w:r w:rsidRPr="00C664D3">
          <w:rPr>
            <w:rFonts w:asciiTheme="minorEastAsia" w:eastAsiaTheme="minorEastAsia" w:hAnsiTheme="minorEastAsia" w:hint="eastAsia"/>
            <w:color w:val="000000" w:themeColor="text1"/>
            <w:szCs w:val="21"/>
          </w:rPr>
          <w:t>2001年4月17日</w:t>
        </w:r>
      </w:smartTag>
    </w:p>
    <w:p w:rsidR="006037F2" w:rsidRPr="00C664D3" w:rsidRDefault="006037F2" w:rsidP="00AB77C1">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法定代表人：刘晓艳</w:t>
      </w:r>
    </w:p>
    <w:p w:rsidR="006037F2" w:rsidRPr="00C664D3" w:rsidRDefault="006037F2" w:rsidP="00AB77C1">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联系电话：4008818088</w:t>
      </w:r>
    </w:p>
    <w:p w:rsidR="006037F2" w:rsidRPr="00C664D3" w:rsidRDefault="0078378E" w:rsidP="00AB77C1">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联系人：李红枫</w:t>
      </w:r>
    </w:p>
    <w:p w:rsidR="006037F2" w:rsidRPr="00C664D3" w:rsidRDefault="00972511" w:rsidP="00AB77C1">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注册资本：13,244.2万元人民币</w:t>
      </w:r>
    </w:p>
    <w:p w:rsidR="006037F2" w:rsidRPr="00C664D3" w:rsidRDefault="006037F2" w:rsidP="00AB77C1">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批准设立机关及文号：中国</w:t>
      </w:r>
      <w:r w:rsidRPr="00C664D3">
        <w:rPr>
          <w:rFonts w:asciiTheme="minorEastAsia" w:eastAsiaTheme="minorEastAsia" w:hAnsiTheme="minorEastAsia"/>
          <w:color w:val="000000" w:themeColor="text1"/>
          <w:szCs w:val="21"/>
        </w:rPr>
        <w:t>证券</w:t>
      </w:r>
      <w:r w:rsidRPr="00C664D3">
        <w:rPr>
          <w:rFonts w:asciiTheme="minorEastAsia" w:eastAsiaTheme="minorEastAsia" w:hAnsiTheme="minorEastAsia" w:hint="eastAsia"/>
          <w:color w:val="000000" w:themeColor="text1"/>
          <w:szCs w:val="21"/>
        </w:rPr>
        <w:t>监督管理</w:t>
      </w:r>
      <w:r w:rsidRPr="00C664D3">
        <w:rPr>
          <w:rFonts w:asciiTheme="minorEastAsia" w:eastAsiaTheme="minorEastAsia" w:hAnsiTheme="minorEastAsia"/>
          <w:color w:val="000000" w:themeColor="text1"/>
          <w:szCs w:val="21"/>
        </w:rPr>
        <w:t>委员会</w:t>
      </w:r>
      <w:r w:rsidRPr="00C664D3">
        <w:rPr>
          <w:rFonts w:asciiTheme="minorEastAsia" w:eastAsiaTheme="minorEastAsia" w:hAnsiTheme="minorEastAsia" w:hint="eastAsia"/>
          <w:color w:val="000000" w:themeColor="text1"/>
          <w:szCs w:val="21"/>
        </w:rPr>
        <w:t>，证监基金字[2001]4号</w:t>
      </w:r>
    </w:p>
    <w:p w:rsidR="00A1091C" w:rsidRPr="00C664D3" w:rsidRDefault="006037F2"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szCs w:val="21"/>
        </w:rPr>
        <w:t>经营范围：</w:t>
      </w:r>
      <w:r w:rsidR="00402DD5" w:rsidRPr="00C664D3">
        <w:rPr>
          <w:rFonts w:asciiTheme="minorEastAsia" w:eastAsiaTheme="minorEastAsia" w:hAnsiTheme="minorEastAsia" w:hint="eastAsia"/>
          <w:color w:val="000000" w:themeColor="text1"/>
          <w:szCs w:val="21"/>
        </w:rPr>
        <w:t>公开募集证券投资基金管理、基金销售、特定客户资产管理</w:t>
      </w:r>
    </w:p>
    <w:p w:rsidR="00A1091C" w:rsidRPr="00C664D3" w:rsidRDefault="00A1091C"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rPr>
        <w:t>2.股权结构：</w:t>
      </w:r>
    </w:p>
    <w:tbl>
      <w:tblPr>
        <w:tblW w:w="3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7"/>
        <w:gridCol w:w="1999"/>
      </w:tblGrid>
      <w:tr w:rsidR="00FB69A7" w:rsidRPr="00C664D3" w:rsidTr="00C951B6">
        <w:trPr>
          <w:trHeight w:val="283"/>
          <w:jc w:val="center"/>
        </w:trPr>
        <w:tc>
          <w:tcPr>
            <w:tcW w:w="3437" w:type="pct"/>
            <w:vAlign w:val="center"/>
          </w:tcPr>
          <w:p w:rsidR="001978AB" w:rsidRPr="00C664D3" w:rsidRDefault="001978AB"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股东名称</w:t>
            </w:r>
          </w:p>
        </w:tc>
        <w:tc>
          <w:tcPr>
            <w:tcW w:w="1563" w:type="pct"/>
            <w:vAlign w:val="center"/>
          </w:tcPr>
          <w:p w:rsidR="001978AB" w:rsidRPr="00C664D3" w:rsidRDefault="001978AB"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出资比例</w:t>
            </w:r>
          </w:p>
        </w:tc>
      </w:tr>
      <w:tr w:rsidR="002606E6" w:rsidRPr="00C664D3">
        <w:trPr>
          <w:jc w:val="center"/>
        </w:trPr>
        <w:tc>
          <w:tcPr>
            <w:tcW w:w="4397"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广东粤财信托有限公司</w:t>
            </w:r>
          </w:p>
        </w:tc>
        <w:tc>
          <w:tcPr>
            <w:tcW w:w="1999"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22.6514％</w:t>
            </w:r>
          </w:p>
        </w:tc>
      </w:tr>
      <w:tr w:rsidR="002606E6" w:rsidRPr="00C664D3">
        <w:trPr>
          <w:jc w:val="center"/>
        </w:trPr>
        <w:tc>
          <w:tcPr>
            <w:tcW w:w="4397"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广发证券股份有限公司</w:t>
            </w:r>
          </w:p>
        </w:tc>
        <w:tc>
          <w:tcPr>
            <w:tcW w:w="1999"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22.6514％</w:t>
            </w:r>
          </w:p>
        </w:tc>
      </w:tr>
      <w:tr w:rsidR="002606E6" w:rsidRPr="00C664D3">
        <w:trPr>
          <w:jc w:val="center"/>
        </w:trPr>
        <w:tc>
          <w:tcPr>
            <w:tcW w:w="4397"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盈峰集团有限公司</w:t>
            </w:r>
          </w:p>
        </w:tc>
        <w:tc>
          <w:tcPr>
            <w:tcW w:w="1999"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22.6514％</w:t>
            </w:r>
          </w:p>
        </w:tc>
      </w:tr>
      <w:tr w:rsidR="002606E6" w:rsidRPr="00C664D3">
        <w:trPr>
          <w:jc w:val="center"/>
        </w:trPr>
        <w:tc>
          <w:tcPr>
            <w:tcW w:w="4397"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广东省广晟控股集团有限公司</w:t>
            </w:r>
          </w:p>
        </w:tc>
        <w:tc>
          <w:tcPr>
            <w:tcW w:w="1999"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15.1010％</w:t>
            </w:r>
          </w:p>
        </w:tc>
      </w:tr>
      <w:tr w:rsidR="002606E6" w:rsidRPr="00C664D3">
        <w:trPr>
          <w:jc w:val="center"/>
        </w:trPr>
        <w:tc>
          <w:tcPr>
            <w:tcW w:w="4397"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广州市广永国有资产经营有限公司</w:t>
            </w:r>
          </w:p>
        </w:tc>
        <w:tc>
          <w:tcPr>
            <w:tcW w:w="1999"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7.5505％</w:t>
            </w:r>
          </w:p>
        </w:tc>
      </w:tr>
      <w:tr w:rsidR="002606E6" w:rsidRPr="00C664D3">
        <w:trPr>
          <w:jc w:val="center"/>
        </w:trPr>
        <w:tc>
          <w:tcPr>
            <w:tcW w:w="4397"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珠海祺荣宝股权投资合伙企业（有限合伙）</w:t>
            </w:r>
          </w:p>
        </w:tc>
        <w:tc>
          <w:tcPr>
            <w:tcW w:w="1999"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1.5087％</w:t>
            </w:r>
          </w:p>
        </w:tc>
      </w:tr>
      <w:tr w:rsidR="002606E6" w:rsidRPr="00C664D3">
        <w:trPr>
          <w:jc w:val="center"/>
        </w:trPr>
        <w:tc>
          <w:tcPr>
            <w:tcW w:w="4397"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珠海祺泰宝股权投资合伙企业（有限合伙）</w:t>
            </w:r>
          </w:p>
        </w:tc>
        <w:tc>
          <w:tcPr>
            <w:tcW w:w="1999"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1.6205％</w:t>
            </w:r>
          </w:p>
        </w:tc>
      </w:tr>
      <w:tr w:rsidR="002606E6" w:rsidRPr="00C664D3">
        <w:trPr>
          <w:jc w:val="center"/>
        </w:trPr>
        <w:tc>
          <w:tcPr>
            <w:tcW w:w="4397"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珠海祺丰宝股权投资合伙企业（有限合伙）</w:t>
            </w:r>
          </w:p>
        </w:tc>
        <w:tc>
          <w:tcPr>
            <w:tcW w:w="1999"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1.5309％</w:t>
            </w:r>
          </w:p>
        </w:tc>
      </w:tr>
      <w:tr w:rsidR="002606E6" w:rsidRPr="00C664D3">
        <w:trPr>
          <w:jc w:val="center"/>
        </w:trPr>
        <w:tc>
          <w:tcPr>
            <w:tcW w:w="4397"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珠海聚莱康股权投资合伙企业（有限合伙）</w:t>
            </w:r>
          </w:p>
        </w:tc>
        <w:tc>
          <w:tcPr>
            <w:tcW w:w="1999"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1.7558％</w:t>
            </w:r>
          </w:p>
        </w:tc>
      </w:tr>
      <w:tr w:rsidR="002606E6" w:rsidRPr="00C664D3">
        <w:trPr>
          <w:jc w:val="center"/>
        </w:trPr>
        <w:tc>
          <w:tcPr>
            <w:tcW w:w="4397"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珠海聚宁康股权投资合伙企业（有限合伙）</w:t>
            </w:r>
          </w:p>
        </w:tc>
        <w:tc>
          <w:tcPr>
            <w:tcW w:w="1999"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1.4396％</w:t>
            </w:r>
          </w:p>
        </w:tc>
      </w:tr>
      <w:tr w:rsidR="002606E6" w:rsidRPr="00C664D3">
        <w:trPr>
          <w:jc w:val="center"/>
        </w:trPr>
        <w:tc>
          <w:tcPr>
            <w:tcW w:w="4397"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珠海聚弘康股权投资合伙企业（有限合伙）</w:t>
            </w:r>
          </w:p>
        </w:tc>
        <w:tc>
          <w:tcPr>
            <w:tcW w:w="1999"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1.5388％</w:t>
            </w:r>
          </w:p>
        </w:tc>
      </w:tr>
      <w:tr w:rsidR="002606E6" w:rsidRPr="00C664D3">
        <w:trPr>
          <w:jc w:val="center"/>
        </w:trPr>
        <w:tc>
          <w:tcPr>
            <w:tcW w:w="4397"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总   计</w:t>
            </w:r>
          </w:p>
        </w:tc>
        <w:tc>
          <w:tcPr>
            <w:tcW w:w="1999" w:type="dxa"/>
          </w:tcPr>
          <w:p w:rsidR="002606E6" w:rsidRPr="00C664D3" w:rsidRDefault="009528B0">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100%</w:t>
            </w:r>
          </w:p>
        </w:tc>
      </w:tr>
    </w:tbl>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152" w:name="_Toc209424036"/>
      <w:bookmarkStart w:id="153" w:name="_Toc423335530"/>
      <w:r w:rsidRPr="00C664D3">
        <w:rPr>
          <w:rFonts w:asciiTheme="minorEastAsia" w:eastAsiaTheme="minorEastAsia" w:hAnsiTheme="minorEastAsia"/>
          <w:b w:val="0"/>
          <w:color w:val="000000" w:themeColor="text1"/>
        </w:rPr>
        <w:t>主要人员情况</w:t>
      </w:r>
      <w:bookmarkEnd w:id="152"/>
      <w:bookmarkEnd w:id="153"/>
    </w:p>
    <w:p w:rsidR="00A1091C" w:rsidRPr="00C664D3" w:rsidRDefault="00BF3BAF" w:rsidP="002C1E3F">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1、董事、监事及高级管理人员</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w:t>
      </w:r>
      <w:r w:rsidRPr="00C664D3">
        <w:rPr>
          <w:rFonts w:asciiTheme="minorEastAsia" w:eastAsiaTheme="minorEastAsia" w:hAnsiTheme="minorEastAsia" w:hint="eastAsia"/>
          <w:color w:val="000000" w:themeColor="text1"/>
        </w:rPr>
        <w:lastRenderedPageBreak/>
        <w:t>会保障基金理事会投资部资产配置处处长、投资部副主任、境外投资部主任、投资部主任、证券投资部主任。</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刘晓艳女士，经济学博士。现任易方达基金管理有限公司副董事长、总裁，易方达国际控股有限公司董事。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周泽群先生，高级管理人员工商管理硕士（EMBA）。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秦力先生，经济学博士。现任易方达基金管理有限公司董事，广发证券股份有限公司执行董事、公司总监，广发控股（香港）有限公司董事长。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曾任中富证券有限责任公司投行部经理，鸿商产业控股集团有限公司产业投资部执行董事，名力中国成长基金合伙人，复星能源环境与智能装备集团总裁。</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潘文皓先生，经济学硕士。现任易方达基金管理有限公司董事，广东省广晟控股集团有限公司资本运营部副部长（主持工作），广东南粤银行股份有限公司董事，澳大利亚泛澳公司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忻榕女士，工商行政管理博士。现任易方达基金管理有限公司独立董事，中欧国际工商学院教授，复星旅游文化集团（开曼）有限公司独立董事，上海汇招信息技术有限公司董事，上海卡恩文化传播股份有限公司独立董事，上海智篆文化传播有限公司董事。曾任中科院研</w:t>
      </w:r>
      <w:r w:rsidRPr="00C664D3">
        <w:rPr>
          <w:rFonts w:asciiTheme="minorEastAsia" w:eastAsiaTheme="minorEastAsia" w:hAnsiTheme="minorEastAsia" w:hint="eastAsia"/>
          <w:color w:val="000000" w:themeColor="text1"/>
        </w:rPr>
        <w:lastRenderedPageBreak/>
        <w:t>究生院讲师，美国加州高温橡胶公司市场部经理，美国加州大学讲师，美国南加州大学助理教授，香港科技大学副教授，中欧国际工商学院教授，瑞士洛桑管理学院教授。</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谭劲松先生，管理学博士（会计学）。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曾任邵阳市财会学校教师，中山大学管理学院助教、讲师、副教授。</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曾任美国天普大学法学院访问副教授。</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w:t>
      </w:r>
      <w:r w:rsidRPr="00C664D3">
        <w:rPr>
          <w:rFonts w:asciiTheme="minorEastAsia" w:eastAsiaTheme="minorEastAsia" w:hAnsiTheme="minorEastAsia" w:hint="eastAsia"/>
          <w:color w:val="000000" w:themeColor="text1"/>
        </w:rPr>
        <w:lastRenderedPageBreak/>
        <w:t>金融部总经理、综合管理部总经理。</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刘炜先生，工商管理硕士（</w:t>
      </w:r>
      <w:r w:rsidRPr="00C664D3">
        <w:rPr>
          <w:rFonts w:asciiTheme="minorEastAsia" w:eastAsiaTheme="minorEastAsia" w:hAnsiTheme="minorEastAsia"/>
          <w:color w:val="000000" w:themeColor="text1"/>
        </w:rPr>
        <w:t>EMBA</w:t>
      </w:r>
      <w:r w:rsidRPr="00C664D3">
        <w:rPr>
          <w:rFonts w:asciiTheme="minorEastAsia" w:eastAsiaTheme="minorEastAsia" w:hAnsiTheme="minorEastAsia" w:hint="eastAsia"/>
          <w:color w:val="000000" w:themeColor="text1"/>
        </w:rPr>
        <w:t>）、法学硕士。现任易方达基金管理有限公司监事、人力资源部总经理。曾任易方达基金管理有限公司监察部监察员、上海分公司销售经理、市场部总经理助理、人力资源部副总经理、综合管理部总经理。</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马骏先生，工商管理硕士（</w:t>
      </w:r>
      <w:r w:rsidRPr="00C664D3">
        <w:rPr>
          <w:rFonts w:asciiTheme="minorEastAsia" w:eastAsiaTheme="minorEastAsia" w:hAnsiTheme="minorEastAsia"/>
          <w:color w:val="000000" w:themeColor="text1"/>
        </w:rPr>
        <w:t>EMBA</w:t>
      </w:r>
      <w:r w:rsidRPr="00C664D3">
        <w:rPr>
          <w:rFonts w:asciiTheme="minorEastAsia" w:eastAsiaTheme="minorEastAsia" w:hAnsiTheme="minorEastAsia" w:hint="eastAsia"/>
          <w:color w:val="000000" w:themeColor="text1"/>
        </w:rPr>
        <w:t>）。现任易方达基金管理有限公司常务副总裁、固定收益投资决策委员会委员，易方达资产管理（香港）有限公司董事长、人民币合格境外投资者（</w:t>
      </w:r>
      <w:r w:rsidRPr="00C664D3">
        <w:rPr>
          <w:rFonts w:asciiTheme="minorEastAsia" w:eastAsiaTheme="minorEastAsia" w:hAnsiTheme="minorEastAsia"/>
          <w:color w:val="000000" w:themeColor="text1"/>
        </w:rPr>
        <w:t>RQFII</w:t>
      </w:r>
      <w:r w:rsidRPr="00C664D3">
        <w:rPr>
          <w:rFonts w:asciiTheme="minorEastAsia" w:eastAsiaTheme="minorEastAsia" w:hAnsiTheme="minorEastAsia" w:hint="eastAsia"/>
          <w:color w:val="000000" w:themeColor="text1"/>
        </w:rPr>
        <w:t>）业务负责人、证券交易负责人员（</w:t>
      </w:r>
      <w:r w:rsidRPr="00C664D3">
        <w:rPr>
          <w:rFonts w:asciiTheme="minorEastAsia" w:eastAsiaTheme="minorEastAsia" w:hAnsiTheme="minorEastAsia"/>
          <w:color w:val="000000" w:themeColor="text1"/>
        </w:rPr>
        <w:t>RO</w:t>
      </w:r>
      <w:r w:rsidRPr="00C664D3">
        <w:rPr>
          <w:rFonts w:asciiTheme="minorEastAsia" w:eastAsiaTheme="minorEastAsia" w:hAnsiTheme="minorEastAsia" w:hint="eastAsia"/>
          <w:color w:val="000000" w:themeColor="text1"/>
        </w:rPr>
        <w:t>）、就证券提供意见负责人员（</w:t>
      </w:r>
      <w:r w:rsidRPr="00C664D3">
        <w:rPr>
          <w:rFonts w:asciiTheme="minorEastAsia" w:eastAsiaTheme="minorEastAsia" w:hAnsiTheme="minorEastAsia"/>
          <w:color w:val="000000" w:themeColor="text1"/>
        </w:rPr>
        <w:t>RO</w:t>
      </w:r>
      <w:r w:rsidRPr="00C664D3">
        <w:rPr>
          <w:rFonts w:asciiTheme="minorEastAsia" w:eastAsiaTheme="minorEastAsia" w:hAnsiTheme="minorEastAsia" w:hint="eastAsia"/>
          <w:color w:val="000000" w:themeColor="text1"/>
        </w:rPr>
        <w:t>）、提供资产管理负责人员（</w:t>
      </w:r>
      <w:r w:rsidRPr="00C664D3">
        <w:rPr>
          <w:rFonts w:asciiTheme="minorEastAsia" w:eastAsiaTheme="minorEastAsia" w:hAnsiTheme="minorEastAsia"/>
          <w:color w:val="000000" w:themeColor="text1"/>
        </w:rPr>
        <w:t>RO</w:t>
      </w:r>
      <w:r w:rsidRPr="00C664D3">
        <w:rPr>
          <w:rFonts w:asciiTheme="minorEastAsia" w:eastAsiaTheme="minorEastAsia" w:hAnsiTheme="minorEastAsia" w:hint="eastAsia"/>
          <w:color w:val="000000" w:themeColor="text1"/>
        </w:rP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张南女士，经济学博士。现任易方达基金管理有限公司督察长。曾任广东省经济贸易委员会主任科员、副处长，易方达基金管理有限公司市场拓展部副总经理、监察部总经理。</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范岳先生，工商管理硕士。现任易方达基金管理有限公司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lastRenderedPageBreak/>
        <w:t>高松凡先生，工商管理硕士（</w:t>
      </w:r>
      <w:r w:rsidRPr="00C664D3">
        <w:rPr>
          <w:rFonts w:asciiTheme="minorEastAsia" w:eastAsiaTheme="minorEastAsia" w:hAnsiTheme="minorEastAsia"/>
          <w:color w:val="000000" w:themeColor="text1"/>
        </w:rPr>
        <w:t>EMBA</w:t>
      </w:r>
      <w:r w:rsidRPr="00C664D3">
        <w:rPr>
          <w:rFonts w:asciiTheme="minorEastAsia" w:eastAsiaTheme="minorEastAsia" w:hAnsiTheme="minorEastAsia" w:hint="eastAsia"/>
          <w:color w:val="000000" w:themeColor="text1"/>
        </w:rPr>
        <w:t>）。现任易方达基金管理有限公司副总经理级高级管理人员。曾任招商银行总行人事部高级经理、企业年金中心副主任，浦东发展银行总行企业年金部总经理，长江养老保险公司首席市场总监，易方达基金管理有限公司养老金业务总监。</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关秀霞女士，工商管理硕士、金融学硕士。现任易方达基金管理有限公司副总经理级高级管理人员。曾任中国银行（香港）有限公司分析员，</w:t>
      </w:r>
      <w:r w:rsidRPr="00C664D3">
        <w:rPr>
          <w:rFonts w:asciiTheme="minorEastAsia" w:eastAsiaTheme="minorEastAsia" w:hAnsiTheme="minorEastAsia"/>
          <w:color w:val="000000" w:themeColor="text1"/>
        </w:rPr>
        <w:t>Daniel Dennis</w:t>
      </w:r>
      <w:r w:rsidRPr="00C664D3">
        <w:rPr>
          <w:rFonts w:asciiTheme="minorEastAsia" w:eastAsiaTheme="minorEastAsia" w:hAnsiTheme="minorEastAsia" w:hint="eastAsia"/>
          <w:color w:val="000000" w:themeColor="text1"/>
        </w:rPr>
        <w:t>高级审计师，美国道富银行公司内部审计部高级审计师、美国共同基金业务风险经理、亚洲区（除日本外）机构服务主管、亚洲区（除日本外）副总裁、大中华地区董事总经理、大中华地区高级副总裁、中国区行长。</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陈荣女士，经济学博士。现任易方达基金管理有限公司副总经理级高级管理人员，易方达国际控股有限公司董事，易方达资产管理（香港）有限公司董事，易方达资产管理有限公司监事，易方达海外投资（深圳）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张坤先生，理学硕士。现任易方达基金管理有限公司副总经理级高级管理人员、权益投资决策委员会委员、基金经理。曾任易方达基金管理有限公司行业研究员、基金经理助理、研究部总经理助理。</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陈皓先生，管理学硕士。现任易方达基金管理有限公司副总经理级高级管理人员、投资一部总经理、权益投资决策委员会委员、基金经理。曾任易方达基金管理有限公司行业研究</w:t>
      </w:r>
      <w:r w:rsidRPr="00C664D3">
        <w:rPr>
          <w:rFonts w:asciiTheme="minorEastAsia" w:eastAsiaTheme="minorEastAsia" w:hAnsiTheme="minorEastAsia" w:hint="eastAsia"/>
          <w:color w:val="000000" w:themeColor="text1"/>
        </w:rPr>
        <w:lastRenderedPageBreak/>
        <w:t>员、基金经理助理、投资一部总经理助理、投资一部副总经理、投资经理。</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娄利舟女士，工商管理硕士（</w:t>
      </w:r>
      <w:r w:rsidRPr="00C664D3">
        <w:rPr>
          <w:rFonts w:asciiTheme="minorEastAsia" w:eastAsiaTheme="minorEastAsia" w:hAnsiTheme="minorEastAsia"/>
          <w:color w:val="000000" w:themeColor="text1"/>
        </w:rPr>
        <w:t>EMBA</w:t>
      </w:r>
      <w:r w:rsidRPr="00C664D3">
        <w:rPr>
          <w:rFonts w:asciiTheme="minorEastAsia" w:eastAsiaTheme="minorEastAsia" w:hAnsiTheme="minorEastAsia" w:hint="eastAsia"/>
          <w:color w:val="000000" w:themeColor="text1"/>
        </w:rPr>
        <w:t>）、经济学硕士。现任易方达基金管理有限公司副总经理级高级管理人员、</w:t>
      </w:r>
      <w:r w:rsidRPr="00C664D3">
        <w:rPr>
          <w:rFonts w:asciiTheme="minorEastAsia" w:eastAsiaTheme="minorEastAsia" w:hAnsiTheme="minorEastAsia"/>
          <w:color w:val="000000" w:themeColor="text1"/>
        </w:rPr>
        <w:t>FOF</w:t>
      </w:r>
      <w:r w:rsidRPr="00C664D3">
        <w:rPr>
          <w:rFonts w:asciiTheme="minorEastAsia" w:eastAsiaTheme="minorEastAsia" w:hAnsiTheme="minorEastAsia" w:hint="eastAsia"/>
          <w:color w:val="000000" w:themeColor="text1"/>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萧楠先生，经济学硕士。现任易方达基金管理有限公司副总经理级高级管理人员、投资三部总经理、研究部副总经理、基金经理。曾任易方达基金管理有限公司行业研究员、基金经理助理、投资经理。</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管勇先生，理学硕士。现任易方达基金管理有限公司首席信息官、数据平台研发中心总经理、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w:t>
      </w:r>
    </w:p>
    <w:p w:rsidR="000E2E31" w:rsidRPr="00C664D3" w:rsidRDefault="000E2E31" w:rsidP="00C664D3">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8D16F2" w:rsidRPr="00C664D3" w:rsidRDefault="008D16F2" w:rsidP="001A714A">
      <w:pPr>
        <w:pStyle w:val="af"/>
        <w:autoSpaceDE w:val="0"/>
        <w:autoSpaceDN w:val="0"/>
        <w:adjustRightInd w:val="0"/>
        <w:spacing w:line="360" w:lineRule="auto"/>
        <w:ind w:firstLineChars="200"/>
        <w:rPr>
          <w:rFonts w:asciiTheme="minorEastAsia" w:eastAsiaTheme="minorEastAsia" w:hAnsiTheme="minorEastAsia"/>
          <w:color w:val="000000" w:themeColor="text1"/>
          <w:szCs w:val="24"/>
        </w:rPr>
      </w:pPr>
      <w:r w:rsidRPr="00C664D3">
        <w:rPr>
          <w:rFonts w:asciiTheme="minorEastAsia" w:eastAsiaTheme="minorEastAsia" w:hAnsiTheme="minorEastAsia"/>
          <w:color w:val="000000" w:themeColor="text1"/>
          <w:szCs w:val="24"/>
        </w:rPr>
        <w:t>2、基金经理</w:t>
      </w:r>
    </w:p>
    <w:p w:rsidR="00412D99" w:rsidRPr="00C664D3" w:rsidRDefault="009E7C22">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FAN BING（范冰）先生，商学硕士，本基金的基金经理。现任易方达基金管理有限公司指数投资决策委员会委员、易方达黄金交易型开放式证券投资基金基金经理（自2017年3月25日起任职）、易方达黄金交易型开放式证券投资基金联接基金基金经理（自2017年3月25日起任职）、易方达标普500指数证券投资基金（LOF）基金经理（自2017年3月25日起任职）、易方达标普信息科技指数证券投资基金（LOF）基金经理（自2017年3月25日起任职）、易方达原油证券投资基金（QDII）基金经理（自2017年3月25日起任职）、易方达中证海外中国互联网50交易型开放式指数证券投资基金基金经理（自2017年3月25日起任职）、易方达纳斯达克100指数证券投资基金（LOF）基金经理（自2017年6月27日起</w:t>
      </w:r>
      <w:r w:rsidRPr="00C664D3">
        <w:rPr>
          <w:rFonts w:asciiTheme="minorEastAsia" w:eastAsiaTheme="minorEastAsia" w:hAnsiTheme="minorEastAsia"/>
          <w:color w:val="000000" w:themeColor="text1"/>
        </w:rPr>
        <w:lastRenderedPageBreak/>
        <w:t>任职）、易方达MSCI中国A股国际通交易型开放式指数证券投资基金基金经理（自2018年5月17日起任职）、易方达中证海外中国互联网50交易型开放式指数证券投资基金联接基金基金经理（自2019年1月18日起任职）、易方达MSCI中国A股国际通交易型开放式指数证券投资基金发起式联接基金基金经理（自2019年3月13日起任职）、易方达日兴资管日经225交易型开放式指数证券投资基金（QDII）基金经理（自2019年6月12日起任职）、易方达中证香港证券投资主题交易型开放式指数证券投资基金基金经理（自2020年3月13日起任职）、易方达恒生科技交易型开放式指数证券投资基金（QDII）基金经理（自2021年5月18日起任职）。曾任皇家加拿大银行托管部核算专员，美国道富集团中台交易支持专员，巴克莱资产管理公司悉尼金融数据部高级金融数据分析员、悉尼金融数据部主管、新加坡金融数据部主管，贝莱德集团金融数据运营部部门经理、风险控制与咨询部客户经理、亚太股票指数基金部基金经理，易方达基金管理有限公司易方达标普全球高端消费品指数增强型证券投资基金基金经理（自2017年3月25日至2020年3月19日）、易方达标普医疗保健指数证券投资基金（LOF）基金经理（自2017年3月25日至2021年4月14日）、易方达标普生物科技指数证券投资基金（LOF）基金经理（自2017年3月25日至2021年4月14日）。</w:t>
      </w:r>
    </w:p>
    <w:p w:rsidR="00412D99" w:rsidRPr="00C664D3" w:rsidRDefault="009E7C22">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本基金历任基金经理情况：林伟斌，管理时间为2016年12月13日至2018年8月10日；张胜记，管理时间为2016年12月15日至2018年8月10日；刘树荣，管理时间为2018年8月11日至2020年4月22日。</w:t>
      </w:r>
    </w:p>
    <w:p w:rsidR="00412D99" w:rsidRPr="00C664D3" w:rsidRDefault="009E7C22">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3、指数投资决策委员会成员</w:t>
      </w:r>
    </w:p>
    <w:p w:rsidR="00412D99" w:rsidRPr="00C664D3" w:rsidRDefault="009E7C22">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本公司指数投资决策委员会成员包括：林伟斌先生、余海燕女士、FAN BING（范冰）先生。</w:t>
      </w:r>
    </w:p>
    <w:p w:rsidR="00412D99" w:rsidRPr="00C664D3" w:rsidRDefault="009E7C22">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林伟斌先生，易方达基金管理有限公司指数投资部总经理、基金经理。</w:t>
      </w:r>
    </w:p>
    <w:p w:rsidR="00412D99" w:rsidRPr="00C664D3" w:rsidRDefault="009E7C22">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余海燕女士，易方达基金管理有限公司指数投资部副总经理、基金经理。</w:t>
      </w:r>
    </w:p>
    <w:p w:rsidR="00412D99" w:rsidRPr="00C664D3" w:rsidRDefault="009E7C22">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FAN BING（范冰）先生，同上。</w:t>
      </w:r>
    </w:p>
    <w:p w:rsidR="00A1091C" w:rsidRPr="00C664D3" w:rsidRDefault="00A1091C" w:rsidP="001A714A">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4、上述人员之间均不存在近亲属关系。</w:t>
      </w:r>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154" w:name="_Toc133292565"/>
      <w:bookmarkStart w:id="155" w:name="_Toc163189522"/>
      <w:bookmarkStart w:id="156" w:name="_Toc423335531"/>
      <w:r w:rsidRPr="00C664D3">
        <w:rPr>
          <w:rFonts w:asciiTheme="minorEastAsia" w:eastAsiaTheme="minorEastAsia" w:hAnsiTheme="minorEastAsia"/>
          <w:b w:val="0"/>
          <w:color w:val="000000" w:themeColor="text1"/>
        </w:rPr>
        <w:t>基金管理人的职责</w:t>
      </w:r>
      <w:bookmarkEnd w:id="154"/>
      <w:bookmarkEnd w:id="155"/>
      <w:bookmarkEnd w:id="156"/>
    </w:p>
    <w:p w:rsidR="00474081" w:rsidRPr="00C664D3" w:rsidRDefault="00474081" w:rsidP="00AB77C1">
      <w:pPr>
        <w:numPr>
          <w:ilvl w:val="0"/>
          <w:numId w:val="28"/>
        </w:numPr>
        <w:tabs>
          <w:tab w:val="left" w:pos="735"/>
        </w:tabs>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依法募集</w:t>
      </w:r>
      <w:r w:rsidRPr="00C664D3">
        <w:rPr>
          <w:rFonts w:asciiTheme="minorEastAsia" w:eastAsiaTheme="minorEastAsia" w:hAnsiTheme="minorEastAsia" w:hint="eastAsia"/>
          <w:color w:val="000000" w:themeColor="text1"/>
        </w:rPr>
        <w:t>资</w:t>
      </w:r>
      <w:r w:rsidRPr="00C664D3">
        <w:rPr>
          <w:rFonts w:asciiTheme="minorEastAsia" w:eastAsiaTheme="minorEastAsia" w:hAnsiTheme="minorEastAsia"/>
          <w:color w:val="000000" w:themeColor="text1"/>
        </w:rPr>
        <w:t>金，办理或者委托经国务院证券监督管理机构认定的其他机构代为办理基金份额的发售、申购、赎回、转换和登记事宜；</w:t>
      </w:r>
    </w:p>
    <w:p w:rsidR="00474081" w:rsidRPr="00C664D3" w:rsidRDefault="00474081" w:rsidP="00AB77C1">
      <w:pPr>
        <w:numPr>
          <w:ilvl w:val="0"/>
          <w:numId w:val="28"/>
        </w:numPr>
        <w:tabs>
          <w:tab w:val="left" w:pos="735"/>
        </w:tabs>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办理基金备案手续；</w:t>
      </w:r>
    </w:p>
    <w:p w:rsidR="00474081" w:rsidRPr="00C664D3" w:rsidRDefault="00474081" w:rsidP="00AB77C1">
      <w:pPr>
        <w:numPr>
          <w:ilvl w:val="0"/>
          <w:numId w:val="28"/>
        </w:numPr>
        <w:tabs>
          <w:tab w:val="left" w:pos="735"/>
        </w:tabs>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对所管理的不同基金财产分别管理、分别记账，进行证券投资；</w:t>
      </w:r>
    </w:p>
    <w:p w:rsidR="00474081" w:rsidRPr="00C664D3" w:rsidRDefault="00474081" w:rsidP="00AB77C1">
      <w:pPr>
        <w:numPr>
          <w:ilvl w:val="0"/>
          <w:numId w:val="28"/>
        </w:numPr>
        <w:tabs>
          <w:tab w:val="left" w:pos="735"/>
        </w:tabs>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按照基金合同的约定确定基金收益分配方案，及时向基金份额持有人分配收益；</w:t>
      </w:r>
    </w:p>
    <w:p w:rsidR="00474081" w:rsidRPr="00C664D3" w:rsidRDefault="00474081" w:rsidP="00AB77C1">
      <w:pPr>
        <w:numPr>
          <w:ilvl w:val="0"/>
          <w:numId w:val="28"/>
        </w:numPr>
        <w:tabs>
          <w:tab w:val="left" w:pos="735"/>
        </w:tabs>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进行基金会计核算并编制基金财务会计报告；</w:t>
      </w:r>
    </w:p>
    <w:p w:rsidR="00474081" w:rsidRPr="00C664D3" w:rsidRDefault="00474081" w:rsidP="00AB77C1">
      <w:pPr>
        <w:numPr>
          <w:ilvl w:val="0"/>
          <w:numId w:val="28"/>
        </w:numPr>
        <w:tabs>
          <w:tab w:val="left" w:pos="735"/>
        </w:tabs>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编制季度</w:t>
      </w:r>
      <w:r w:rsidR="007642E1" w:rsidRPr="00C664D3">
        <w:rPr>
          <w:rFonts w:asciiTheme="minorEastAsia" w:eastAsiaTheme="minorEastAsia" w:hAnsiTheme="minorEastAsia" w:hint="eastAsia"/>
          <w:color w:val="000000" w:themeColor="text1"/>
        </w:rPr>
        <w:t>报告</w:t>
      </w:r>
      <w:r w:rsidRPr="00C664D3">
        <w:rPr>
          <w:rFonts w:asciiTheme="minorEastAsia" w:eastAsiaTheme="minorEastAsia" w:hAnsiTheme="minorEastAsia"/>
          <w:color w:val="000000" w:themeColor="text1"/>
        </w:rPr>
        <w:t>、</w:t>
      </w:r>
      <w:r w:rsidR="007642E1" w:rsidRPr="00C664D3">
        <w:rPr>
          <w:rFonts w:asciiTheme="minorEastAsia" w:eastAsiaTheme="minorEastAsia" w:hAnsiTheme="minorEastAsia" w:hint="eastAsia"/>
          <w:color w:val="000000" w:themeColor="text1"/>
        </w:rPr>
        <w:t>中期报告</w:t>
      </w:r>
      <w:r w:rsidRPr="00C664D3">
        <w:rPr>
          <w:rFonts w:asciiTheme="minorEastAsia" w:eastAsiaTheme="minorEastAsia" w:hAnsiTheme="minorEastAsia"/>
          <w:color w:val="000000" w:themeColor="text1"/>
        </w:rPr>
        <w:t>和年度报告；</w:t>
      </w:r>
    </w:p>
    <w:p w:rsidR="00474081" w:rsidRPr="00C664D3" w:rsidRDefault="00474081" w:rsidP="00AB77C1">
      <w:pPr>
        <w:numPr>
          <w:ilvl w:val="0"/>
          <w:numId w:val="28"/>
        </w:numPr>
        <w:tabs>
          <w:tab w:val="left" w:pos="735"/>
        </w:tabs>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计算并公告基金净值</w:t>
      </w:r>
      <w:r w:rsidR="007642E1" w:rsidRPr="00C664D3">
        <w:rPr>
          <w:rFonts w:asciiTheme="minorEastAsia" w:eastAsiaTheme="minorEastAsia" w:hAnsiTheme="minorEastAsia" w:hint="eastAsia"/>
          <w:color w:val="000000" w:themeColor="text1"/>
        </w:rPr>
        <w:t>信息</w:t>
      </w:r>
      <w:r w:rsidRPr="00C664D3">
        <w:rPr>
          <w:rFonts w:asciiTheme="minorEastAsia" w:eastAsiaTheme="minorEastAsia" w:hAnsiTheme="minorEastAsia"/>
          <w:color w:val="000000" w:themeColor="text1"/>
        </w:rPr>
        <w:t>，确定基金份额申购、赎回价格；</w:t>
      </w:r>
    </w:p>
    <w:p w:rsidR="00474081" w:rsidRPr="00C664D3" w:rsidRDefault="00474081" w:rsidP="00AB77C1">
      <w:pPr>
        <w:numPr>
          <w:ilvl w:val="0"/>
          <w:numId w:val="28"/>
        </w:numPr>
        <w:tabs>
          <w:tab w:val="left" w:pos="735"/>
        </w:tabs>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办理与基金财产管理业务活动有关的信息披露事项；</w:t>
      </w:r>
    </w:p>
    <w:p w:rsidR="00474081" w:rsidRPr="00C664D3" w:rsidRDefault="00474081" w:rsidP="00AB77C1">
      <w:pPr>
        <w:numPr>
          <w:ilvl w:val="0"/>
          <w:numId w:val="28"/>
        </w:numPr>
        <w:tabs>
          <w:tab w:val="left" w:pos="735"/>
        </w:tabs>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召集基金份额持有人大会；</w:t>
      </w:r>
    </w:p>
    <w:p w:rsidR="00474081" w:rsidRPr="00C664D3" w:rsidRDefault="00474081" w:rsidP="00AB77C1">
      <w:pPr>
        <w:tabs>
          <w:tab w:val="left" w:pos="735"/>
        </w:tabs>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10、</w:t>
      </w:r>
      <w:r w:rsidRPr="00C664D3">
        <w:rPr>
          <w:rFonts w:asciiTheme="minorEastAsia" w:eastAsiaTheme="minorEastAsia" w:hAnsiTheme="minorEastAsia" w:hint="eastAsia"/>
          <w:color w:val="000000" w:themeColor="text1"/>
        </w:rPr>
        <w:t>保存</w:t>
      </w:r>
      <w:r w:rsidRPr="00C664D3">
        <w:rPr>
          <w:rFonts w:asciiTheme="minorEastAsia" w:eastAsiaTheme="minorEastAsia" w:hAnsiTheme="minorEastAsia"/>
          <w:color w:val="000000" w:themeColor="text1"/>
        </w:rPr>
        <w:t>基金财产管理业务活动的记录、账册、报表和其他相关资料；</w:t>
      </w:r>
    </w:p>
    <w:p w:rsidR="00474081" w:rsidRPr="00C664D3" w:rsidRDefault="00474081" w:rsidP="00AB77C1">
      <w:pPr>
        <w:tabs>
          <w:tab w:val="left" w:pos="735"/>
        </w:tabs>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11、以基金管理人名义，代表基金份额持有人利益行使诉讼权利或者实施其他法律行为；</w:t>
      </w:r>
    </w:p>
    <w:p w:rsidR="00474081" w:rsidRPr="00C664D3" w:rsidRDefault="00474081" w:rsidP="00AB77C1">
      <w:pPr>
        <w:tabs>
          <w:tab w:val="left" w:pos="735"/>
        </w:tabs>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12、选择、更换或撤销境外投资顾问；</w:t>
      </w:r>
    </w:p>
    <w:p w:rsidR="00A1091C" w:rsidRPr="00C664D3" w:rsidRDefault="00474081" w:rsidP="00AB77C1">
      <w:pPr>
        <w:autoSpaceDE w:val="0"/>
        <w:autoSpaceDN w:val="0"/>
        <w:adjustRightInd w:val="0"/>
        <w:spacing w:line="360" w:lineRule="auto"/>
        <w:ind w:firstLineChars="200" w:firstLine="420"/>
        <w:jc w:val="left"/>
        <w:rPr>
          <w:rFonts w:asciiTheme="minorEastAsia" w:eastAsiaTheme="minorEastAsia" w:hAnsiTheme="minorEastAsia" w:cs="TT54AB0ED3tCID-WinCharSetFFFF-H"/>
          <w:color w:val="000000" w:themeColor="text1"/>
          <w:kern w:val="0"/>
          <w:szCs w:val="21"/>
        </w:rPr>
      </w:pPr>
      <w:r w:rsidRPr="00C664D3">
        <w:rPr>
          <w:rFonts w:asciiTheme="minorEastAsia" w:eastAsiaTheme="minorEastAsia" w:hAnsiTheme="minorEastAsia"/>
          <w:color w:val="000000" w:themeColor="text1"/>
        </w:rPr>
        <w:t>13、国务院证券监督管理机构规定的其他职责。</w:t>
      </w:r>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157" w:name="_Toc272569765"/>
      <w:bookmarkStart w:id="158" w:name="_Toc272569766"/>
      <w:bookmarkStart w:id="159" w:name="_Toc272569767"/>
      <w:bookmarkStart w:id="160" w:name="_Toc272569768"/>
      <w:bookmarkStart w:id="161" w:name="_Toc272569769"/>
      <w:bookmarkStart w:id="162" w:name="_Toc272569770"/>
      <w:bookmarkStart w:id="163" w:name="_Toc272569771"/>
      <w:bookmarkStart w:id="164" w:name="_Toc272569772"/>
      <w:bookmarkStart w:id="165" w:name="_Toc272569773"/>
      <w:bookmarkStart w:id="166" w:name="_Toc133292566"/>
      <w:bookmarkStart w:id="167" w:name="_Toc163189523"/>
      <w:bookmarkStart w:id="168" w:name="_Toc423335532"/>
      <w:bookmarkEnd w:id="157"/>
      <w:bookmarkEnd w:id="158"/>
      <w:bookmarkEnd w:id="159"/>
      <w:bookmarkEnd w:id="160"/>
      <w:bookmarkEnd w:id="161"/>
      <w:bookmarkEnd w:id="162"/>
      <w:bookmarkEnd w:id="163"/>
      <w:bookmarkEnd w:id="164"/>
      <w:bookmarkEnd w:id="165"/>
      <w:r w:rsidRPr="00C664D3">
        <w:rPr>
          <w:rFonts w:asciiTheme="minorEastAsia" w:eastAsiaTheme="minorEastAsia" w:hAnsiTheme="minorEastAsia"/>
          <w:b w:val="0"/>
          <w:color w:val="000000" w:themeColor="text1"/>
        </w:rPr>
        <w:t>基金管理人的承诺</w:t>
      </w:r>
      <w:bookmarkEnd w:id="166"/>
      <w:bookmarkEnd w:id="167"/>
      <w:bookmarkEnd w:id="168"/>
    </w:p>
    <w:p w:rsidR="00474081" w:rsidRPr="00C664D3" w:rsidRDefault="00474081" w:rsidP="00AB77C1">
      <w:pPr>
        <w:autoSpaceDE w:val="0"/>
        <w:autoSpaceDN w:val="0"/>
        <w:adjustRightInd w:val="0"/>
        <w:spacing w:line="360" w:lineRule="auto"/>
        <w:ind w:firstLine="420"/>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474081" w:rsidRPr="00C664D3" w:rsidRDefault="00474081" w:rsidP="00AB77C1">
      <w:pPr>
        <w:autoSpaceDE w:val="0"/>
        <w:autoSpaceDN w:val="0"/>
        <w:adjustRightInd w:val="0"/>
        <w:spacing w:line="360" w:lineRule="auto"/>
        <w:ind w:firstLineChars="200" w:firstLine="420"/>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kern w:val="0"/>
          <w:szCs w:val="21"/>
        </w:rPr>
        <w:t>2、</w:t>
      </w:r>
      <w:r w:rsidRPr="00C664D3">
        <w:rPr>
          <w:rFonts w:asciiTheme="minorEastAsia" w:eastAsiaTheme="minorEastAsia" w:hAnsiTheme="minorEastAsia"/>
          <w:color w:val="000000" w:themeColor="text1"/>
        </w:rPr>
        <w:t>本基金管理人承诺严格遵守《证券法》、《基金法》及有关法律法规，建立健全内部控制制度，采取有效措施，防止下列行为发生：</w:t>
      </w:r>
    </w:p>
    <w:p w:rsidR="00474081" w:rsidRPr="00C664D3" w:rsidRDefault="00474081" w:rsidP="00AB77C1">
      <w:pPr>
        <w:autoSpaceDE w:val="0"/>
        <w:autoSpaceDN w:val="0"/>
        <w:adjustRightInd w:val="0"/>
        <w:spacing w:line="360" w:lineRule="auto"/>
        <w:ind w:firstLine="426"/>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（1）</w:t>
      </w:r>
      <w:r w:rsidRPr="00C664D3">
        <w:rPr>
          <w:rFonts w:asciiTheme="minorEastAsia" w:eastAsiaTheme="minorEastAsia" w:hAnsiTheme="minorEastAsia"/>
          <w:color w:val="000000" w:themeColor="text1"/>
          <w:kern w:val="0"/>
          <w:szCs w:val="21"/>
        </w:rPr>
        <w:t>将其固有财产或者他人财产混同于基金财产从事证券投资；</w:t>
      </w:r>
    </w:p>
    <w:p w:rsidR="00474081" w:rsidRPr="00C664D3" w:rsidRDefault="00474081" w:rsidP="00AB77C1">
      <w:pPr>
        <w:autoSpaceDE w:val="0"/>
        <w:autoSpaceDN w:val="0"/>
        <w:adjustRightInd w:val="0"/>
        <w:spacing w:line="360" w:lineRule="auto"/>
        <w:ind w:firstLine="426"/>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（2）</w:t>
      </w:r>
      <w:r w:rsidRPr="00C664D3">
        <w:rPr>
          <w:rFonts w:asciiTheme="minorEastAsia" w:eastAsiaTheme="minorEastAsia" w:hAnsiTheme="minorEastAsia"/>
          <w:color w:val="000000" w:themeColor="text1"/>
          <w:kern w:val="0"/>
          <w:szCs w:val="21"/>
        </w:rPr>
        <w:t>不公平地对待其管理的不同基金财产；</w:t>
      </w:r>
    </w:p>
    <w:p w:rsidR="00474081" w:rsidRPr="00C664D3" w:rsidRDefault="00474081" w:rsidP="00AB77C1">
      <w:pPr>
        <w:autoSpaceDE w:val="0"/>
        <w:autoSpaceDN w:val="0"/>
        <w:adjustRightInd w:val="0"/>
        <w:spacing w:line="360" w:lineRule="auto"/>
        <w:ind w:firstLine="426"/>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（3）</w:t>
      </w:r>
      <w:r w:rsidRPr="00C664D3">
        <w:rPr>
          <w:rFonts w:asciiTheme="minorEastAsia" w:eastAsiaTheme="minorEastAsia" w:hAnsiTheme="minorEastAsia"/>
          <w:color w:val="000000" w:themeColor="text1"/>
          <w:kern w:val="0"/>
          <w:szCs w:val="21"/>
        </w:rPr>
        <w:t>利用基金财产为基金份额持有人以外的第三人谋取利益；</w:t>
      </w:r>
    </w:p>
    <w:p w:rsidR="00474081" w:rsidRPr="00C664D3" w:rsidRDefault="00474081" w:rsidP="00AB77C1">
      <w:pPr>
        <w:autoSpaceDE w:val="0"/>
        <w:autoSpaceDN w:val="0"/>
        <w:adjustRightInd w:val="0"/>
        <w:spacing w:line="360" w:lineRule="auto"/>
        <w:ind w:firstLine="426"/>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（4）</w:t>
      </w:r>
      <w:r w:rsidRPr="00C664D3">
        <w:rPr>
          <w:rFonts w:asciiTheme="minorEastAsia" w:eastAsiaTheme="minorEastAsia" w:hAnsiTheme="minorEastAsia"/>
          <w:color w:val="000000" w:themeColor="text1"/>
          <w:kern w:val="0"/>
          <w:szCs w:val="21"/>
        </w:rPr>
        <w:t>向基金份额持有人违规承诺收益或者承担损失；</w:t>
      </w:r>
    </w:p>
    <w:p w:rsidR="00474081" w:rsidRPr="00C664D3" w:rsidRDefault="00474081" w:rsidP="00AB77C1">
      <w:pPr>
        <w:autoSpaceDE w:val="0"/>
        <w:autoSpaceDN w:val="0"/>
        <w:adjustRightInd w:val="0"/>
        <w:spacing w:line="360" w:lineRule="auto"/>
        <w:ind w:firstLine="426"/>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（5）</w:t>
      </w:r>
      <w:r w:rsidRPr="00C664D3">
        <w:rPr>
          <w:rFonts w:asciiTheme="minorEastAsia" w:eastAsiaTheme="minorEastAsia" w:hAnsiTheme="minorEastAsia"/>
          <w:color w:val="000000" w:themeColor="text1"/>
          <w:kern w:val="0"/>
          <w:szCs w:val="21"/>
        </w:rPr>
        <w:t>法律法规或中国证监会禁止的其他行为。</w:t>
      </w:r>
    </w:p>
    <w:p w:rsidR="00474081" w:rsidRPr="00C664D3" w:rsidRDefault="00474081" w:rsidP="00AB77C1">
      <w:pPr>
        <w:autoSpaceDE w:val="0"/>
        <w:autoSpaceDN w:val="0"/>
        <w:adjustRightInd w:val="0"/>
        <w:spacing w:line="360" w:lineRule="auto"/>
        <w:ind w:firstLineChars="200" w:firstLine="420"/>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3、本基金管理人承诺加强人员管理，强化职业操守，督促和约束员工遵守国家有关法律、法规及行业规范，诚实信用、勤勉尽责，不从事以下活动：</w:t>
      </w:r>
    </w:p>
    <w:p w:rsidR="00474081" w:rsidRPr="00C664D3" w:rsidRDefault="00474081" w:rsidP="00AB77C1">
      <w:pPr>
        <w:autoSpaceDE w:val="0"/>
        <w:autoSpaceDN w:val="0"/>
        <w:adjustRightInd w:val="0"/>
        <w:spacing w:line="360" w:lineRule="auto"/>
        <w:ind w:firstLine="426"/>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（1）越权或违规经营；</w:t>
      </w:r>
    </w:p>
    <w:p w:rsidR="00474081" w:rsidRPr="00C664D3" w:rsidRDefault="00474081" w:rsidP="00AB77C1">
      <w:pPr>
        <w:autoSpaceDE w:val="0"/>
        <w:autoSpaceDN w:val="0"/>
        <w:adjustRightInd w:val="0"/>
        <w:spacing w:line="360" w:lineRule="auto"/>
        <w:ind w:firstLine="426"/>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（2）违反基金合同或托管协议；</w:t>
      </w:r>
    </w:p>
    <w:p w:rsidR="00474081" w:rsidRPr="00C664D3" w:rsidRDefault="00474081" w:rsidP="00AB77C1">
      <w:pPr>
        <w:autoSpaceDE w:val="0"/>
        <w:autoSpaceDN w:val="0"/>
        <w:adjustRightInd w:val="0"/>
        <w:spacing w:line="360" w:lineRule="auto"/>
        <w:ind w:firstLine="426"/>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（3）故意损害基金份额持有人或其他基金相关机构的合法利益；</w:t>
      </w:r>
    </w:p>
    <w:p w:rsidR="00474081" w:rsidRPr="00C664D3" w:rsidRDefault="00474081" w:rsidP="00AB77C1">
      <w:pPr>
        <w:autoSpaceDE w:val="0"/>
        <w:autoSpaceDN w:val="0"/>
        <w:adjustRightInd w:val="0"/>
        <w:spacing w:line="360" w:lineRule="auto"/>
        <w:ind w:firstLine="426"/>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（4）在向中国证监会报送的资料中弄虚作假；</w:t>
      </w:r>
    </w:p>
    <w:p w:rsidR="00474081" w:rsidRPr="00C664D3" w:rsidRDefault="00474081" w:rsidP="00AB77C1">
      <w:pPr>
        <w:autoSpaceDE w:val="0"/>
        <w:autoSpaceDN w:val="0"/>
        <w:adjustRightInd w:val="0"/>
        <w:spacing w:line="360" w:lineRule="auto"/>
        <w:ind w:firstLine="426"/>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（5）拒绝、干扰、阻挠或严重影响中国证监会依法监管；</w:t>
      </w:r>
    </w:p>
    <w:p w:rsidR="00474081" w:rsidRPr="00C664D3" w:rsidRDefault="00474081" w:rsidP="00AB77C1">
      <w:pPr>
        <w:autoSpaceDE w:val="0"/>
        <w:autoSpaceDN w:val="0"/>
        <w:adjustRightInd w:val="0"/>
        <w:spacing w:line="360" w:lineRule="auto"/>
        <w:ind w:firstLine="426"/>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（6）玩忽职守、滥用职权；</w:t>
      </w:r>
    </w:p>
    <w:p w:rsidR="00474081" w:rsidRPr="00C664D3" w:rsidRDefault="00474081" w:rsidP="00AB77C1">
      <w:pPr>
        <w:tabs>
          <w:tab w:val="left" w:pos="851"/>
        </w:tabs>
        <w:autoSpaceDE w:val="0"/>
        <w:autoSpaceDN w:val="0"/>
        <w:adjustRightInd w:val="0"/>
        <w:spacing w:line="360" w:lineRule="auto"/>
        <w:ind w:firstLine="426"/>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lastRenderedPageBreak/>
        <w:t>（7）违反现行有效的有关法律、法规、规章、基金合同和中国证监会的有关规定，泄漏在任职期间知悉的有关证券、基金的商业秘密，尚未依法公开的基金投资内容、基金投资计划等信息；</w:t>
      </w:r>
    </w:p>
    <w:p w:rsidR="00474081" w:rsidRPr="00C664D3" w:rsidRDefault="00474081" w:rsidP="00AB77C1">
      <w:pPr>
        <w:tabs>
          <w:tab w:val="left" w:pos="851"/>
        </w:tabs>
        <w:autoSpaceDE w:val="0"/>
        <w:autoSpaceDN w:val="0"/>
        <w:adjustRightInd w:val="0"/>
        <w:spacing w:line="360" w:lineRule="auto"/>
        <w:ind w:firstLineChars="202" w:firstLine="424"/>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（8）违反证券交易场所业务规则，利用对敲、倒仓等手段操纵市场价格，扰乱市场秩序；</w:t>
      </w:r>
    </w:p>
    <w:p w:rsidR="00474081" w:rsidRPr="00C664D3" w:rsidRDefault="00474081" w:rsidP="00AB77C1">
      <w:pPr>
        <w:tabs>
          <w:tab w:val="left" w:pos="851"/>
        </w:tabs>
        <w:autoSpaceDE w:val="0"/>
        <w:autoSpaceDN w:val="0"/>
        <w:adjustRightInd w:val="0"/>
        <w:spacing w:line="360" w:lineRule="auto"/>
        <w:ind w:firstLineChars="202" w:firstLine="424"/>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（9）贬损同行，以抬高自己；</w:t>
      </w:r>
    </w:p>
    <w:p w:rsidR="00474081" w:rsidRPr="00C664D3" w:rsidRDefault="00474081" w:rsidP="00AB77C1">
      <w:pPr>
        <w:tabs>
          <w:tab w:val="left" w:pos="851"/>
        </w:tabs>
        <w:autoSpaceDE w:val="0"/>
        <w:autoSpaceDN w:val="0"/>
        <w:adjustRightInd w:val="0"/>
        <w:spacing w:line="360" w:lineRule="auto"/>
        <w:ind w:firstLineChars="202" w:firstLine="424"/>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（10）以不正当手段谋求业务发展；</w:t>
      </w:r>
    </w:p>
    <w:p w:rsidR="00474081" w:rsidRPr="00C664D3" w:rsidRDefault="00474081" w:rsidP="00AB77C1">
      <w:pPr>
        <w:tabs>
          <w:tab w:val="left" w:pos="851"/>
        </w:tabs>
        <w:autoSpaceDE w:val="0"/>
        <w:autoSpaceDN w:val="0"/>
        <w:adjustRightInd w:val="0"/>
        <w:spacing w:line="360" w:lineRule="auto"/>
        <w:ind w:firstLineChars="202" w:firstLine="424"/>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（11）有悖社会公德，损害证券投资基金人员形象；</w:t>
      </w:r>
    </w:p>
    <w:p w:rsidR="00474081" w:rsidRPr="00C664D3" w:rsidRDefault="00474081" w:rsidP="00AB77C1">
      <w:pPr>
        <w:tabs>
          <w:tab w:val="left" w:pos="851"/>
        </w:tabs>
        <w:autoSpaceDE w:val="0"/>
        <w:autoSpaceDN w:val="0"/>
        <w:adjustRightInd w:val="0"/>
        <w:spacing w:line="360" w:lineRule="auto"/>
        <w:ind w:firstLineChars="202" w:firstLine="424"/>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（12）在公开信息披露和广告中故意含有虚假、误导、欺诈成分；</w:t>
      </w:r>
    </w:p>
    <w:p w:rsidR="00474081" w:rsidRPr="00C664D3" w:rsidRDefault="00474081" w:rsidP="00AB77C1">
      <w:pPr>
        <w:tabs>
          <w:tab w:val="left" w:pos="851"/>
        </w:tabs>
        <w:autoSpaceDE w:val="0"/>
        <w:autoSpaceDN w:val="0"/>
        <w:adjustRightInd w:val="0"/>
        <w:spacing w:line="360" w:lineRule="auto"/>
        <w:ind w:firstLineChars="202" w:firstLine="424"/>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（13）其他法律、行政法规以及中国证监会禁止的行为。</w:t>
      </w:r>
    </w:p>
    <w:p w:rsidR="00474081" w:rsidRPr="00C664D3" w:rsidRDefault="00474081" w:rsidP="00AB77C1">
      <w:pPr>
        <w:autoSpaceDE w:val="0"/>
        <w:autoSpaceDN w:val="0"/>
        <w:adjustRightInd w:val="0"/>
        <w:spacing w:line="360" w:lineRule="auto"/>
        <w:ind w:firstLineChars="200" w:firstLine="420"/>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4、基金经理承诺</w:t>
      </w:r>
    </w:p>
    <w:p w:rsidR="00474081" w:rsidRPr="00C664D3" w:rsidRDefault="00474081" w:rsidP="00AB77C1">
      <w:pPr>
        <w:autoSpaceDE w:val="0"/>
        <w:autoSpaceDN w:val="0"/>
        <w:adjustRightInd w:val="0"/>
        <w:spacing w:line="360" w:lineRule="auto"/>
        <w:ind w:firstLineChars="200" w:firstLine="420"/>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（1）依照有关法律、法规和基金合同的规定，本着谨慎的原则为基金份额持有人谋取最大利益；</w:t>
      </w:r>
    </w:p>
    <w:p w:rsidR="00474081" w:rsidRPr="00C664D3" w:rsidRDefault="00474081" w:rsidP="00AB77C1">
      <w:pPr>
        <w:autoSpaceDE w:val="0"/>
        <w:autoSpaceDN w:val="0"/>
        <w:adjustRightInd w:val="0"/>
        <w:spacing w:line="360" w:lineRule="auto"/>
        <w:ind w:firstLineChars="200" w:firstLine="420"/>
        <w:jc w:val="left"/>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（2）不利用职务之便为自己及其代理人、受雇人或任何第三人谋取利益；</w:t>
      </w:r>
    </w:p>
    <w:p w:rsidR="00474081" w:rsidRPr="00C664D3" w:rsidRDefault="00474081" w:rsidP="00AB77C1">
      <w:pPr>
        <w:autoSpaceDE w:val="0"/>
        <w:autoSpaceDN w:val="0"/>
        <w:adjustRightInd w:val="0"/>
        <w:spacing w:line="360" w:lineRule="auto"/>
        <w:ind w:firstLineChars="200" w:firstLine="420"/>
        <w:jc w:val="left"/>
        <w:rPr>
          <w:rFonts w:asciiTheme="minorEastAsia" w:eastAsiaTheme="minorEastAsia" w:hAnsiTheme="minorEastAsia"/>
          <w:color w:val="000000" w:themeColor="text1"/>
          <w:kern w:val="0"/>
        </w:rPr>
      </w:pPr>
      <w:r w:rsidRPr="00C664D3">
        <w:rPr>
          <w:rFonts w:asciiTheme="minorEastAsia" w:eastAsiaTheme="minorEastAsia" w:hAnsiTheme="minorEastAsia"/>
          <w:color w:val="000000" w:themeColor="text1"/>
          <w:kern w:val="0"/>
        </w:rPr>
        <w:t>（3）不</w:t>
      </w:r>
      <w:r w:rsidRPr="00C664D3">
        <w:rPr>
          <w:rFonts w:asciiTheme="minorEastAsia" w:eastAsiaTheme="minorEastAsia" w:hAnsiTheme="minorEastAsia"/>
          <w:color w:val="000000" w:themeColor="text1"/>
          <w:kern w:val="0"/>
          <w:szCs w:val="21"/>
        </w:rPr>
        <w:t>违反现行有效的有关法律、法规、规章、基金合同和中国证监会的有关规定，</w:t>
      </w:r>
      <w:r w:rsidRPr="00C664D3">
        <w:rPr>
          <w:rFonts w:asciiTheme="minorEastAsia" w:eastAsiaTheme="minorEastAsia" w:hAnsiTheme="minorEastAsia"/>
          <w:color w:val="000000" w:themeColor="text1"/>
          <w:kern w:val="0"/>
        </w:rPr>
        <w:t>泄漏在任职期间知悉的有关证券、基金的商业秘密、尚未依法公开的基金投资内容、基金投资计划等信息；</w:t>
      </w:r>
    </w:p>
    <w:p w:rsidR="00A1091C" w:rsidRPr="00C664D3" w:rsidRDefault="00474081" w:rsidP="00AB77C1">
      <w:pPr>
        <w:autoSpaceDE w:val="0"/>
        <w:autoSpaceDN w:val="0"/>
        <w:adjustRightInd w:val="0"/>
        <w:spacing w:line="360" w:lineRule="auto"/>
        <w:ind w:firstLineChars="200" w:firstLine="420"/>
        <w:jc w:val="left"/>
        <w:rPr>
          <w:rFonts w:asciiTheme="minorEastAsia" w:eastAsiaTheme="minorEastAsia" w:hAnsiTheme="minorEastAsia" w:cs="TT54AB0ED3tCID-WinCharSetFFFF-H"/>
          <w:color w:val="000000" w:themeColor="text1"/>
          <w:kern w:val="0"/>
          <w:szCs w:val="21"/>
        </w:rPr>
      </w:pPr>
      <w:r w:rsidRPr="00C664D3">
        <w:rPr>
          <w:rFonts w:asciiTheme="minorEastAsia" w:eastAsiaTheme="minorEastAsia" w:hAnsiTheme="minorEastAsia"/>
          <w:color w:val="000000" w:themeColor="text1"/>
          <w:kern w:val="0"/>
        </w:rPr>
        <w:t>（4）不从事损害基金财产和基金份额持有人利益的证券交易及其他活动。</w:t>
      </w:r>
    </w:p>
    <w:p w:rsidR="00942587" w:rsidRPr="00C664D3" w:rsidRDefault="00A1091C"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169" w:name="_Toc133292567"/>
      <w:bookmarkStart w:id="170" w:name="_Toc163189524"/>
      <w:bookmarkStart w:id="171" w:name="_Toc423335533"/>
      <w:r w:rsidRPr="00C664D3">
        <w:rPr>
          <w:rFonts w:asciiTheme="minorEastAsia" w:eastAsiaTheme="minorEastAsia" w:hAnsiTheme="minorEastAsia"/>
          <w:b w:val="0"/>
          <w:color w:val="000000" w:themeColor="text1"/>
        </w:rPr>
        <w:t>基金管理人的内部控制制度</w:t>
      </w:r>
      <w:bookmarkEnd w:id="169"/>
      <w:bookmarkEnd w:id="170"/>
      <w:bookmarkEnd w:id="171"/>
    </w:p>
    <w:p w:rsidR="001F493A" w:rsidRPr="00C664D3" w:rsidRDefault="001F493A" w:rsidP="00FB69A7">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1、公司内部控制的总体目标</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（1）保证公司经营管理活动的合法合规性；</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（2）保证各类基金份额持有人及委托人的合法权益不受侵犯；</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（3）防范和化解经营风险，提高经营管理效率，确保业务稳健经营运行和受托资产安全完整，实现公司的持续、健康发展，促进公司实现发展战略；</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（4）督促公司全体员工恪守职业操守，正直诚信，廉洁自律，勤勉尽责；</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（5）维护公司的声誉，保持公司的良好形象。</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2、公司内部控制遵循的原则</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（1）健全性原则。内部控制应当包括公司的各项业务、各个部门或机构和各级人员,并涵盖到决策、执行、监督、反馈等各个环节。</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（2）有效性原则。通过科学的内控手段和方法，建立合理的内控程序，维护内控制度的有效执行。</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（3）独立性原则。公司机构、部门和岗位职责应当保持相对独立，除非法律法规另有规定，公司基金资产、自有资产、其他资产的运作应当分离。</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（4）相互制约原则。公司内部部门和岗位的设置应当体现权责分明、相互制衡。</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（5）成本效益原则。公司运用科学化的经营管理方法降低运作成本，提高经济效益，力争以合理的控制成本达到最佳的内部控制效果。</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3、内部控制的制度体系</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4、关于授权、研究、投资、交易等方面的控制点</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（1）授权制度</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（2）公司研究业务</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w:t>
      </w:r>
      <w:r w:rsidRPr="00C664D3">
        <w:rPr>
          <w:rFonts w:asciiTheme="minorEastAsia" w:eastAsiaTheme="minorEastAsia" w:hAnsiTheme="minorEastAsia"/>
          <w:color w:val="000000" w:themeColor="text1"/>
        </w:rPr>
        <w:lastRenderedPageBreak/>
        <w:t>通的交流渠道；建立研究报告质量评价体系，不断提高研究水平。</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（3）基金投资业务</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（4）交易业务</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（5）基金会计核算</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（6）信息披露</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（7）监察与合规管理</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公司设立监察合规管理部门，并保障其独立性。监察合规管理部门按照公司规定和督察长的安排履行监察与合规管理职责。</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公司董事会和管理层充分重视和支持监察与合规管理工作，对违反法律、法规和公司内</w:t>
      </w:r>
      <w:r w:rsidRPr="00C664D3">
        <w:rPr>
          <w:rFonts w:asciiTheme="minorEastAsia" w:eastAsiaTheme="minorEastAsia" w:hAnsiTheme="minorEastAsia"/>
          <w:color w:val="000000" w:themeColor="text1"/>
        </w:rPr>
        <w:lastRenderedPageBreak/>
        <w:t>部控制制度的，追究有关部门和人员的责任。</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5、基金管理人关于内部控制制度声明书</w:t>
      </w:r>
    </w:p>
    <w:p w:rsidR="002606E6" w:rsidRPr="00C664D3" w:rsidRDefault="009528B0">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（1）本公司承诺以上关于内部控制制度的披露真实、准确；</w:t>
      </w:r>
    </w:p>
    <w:p w:rsidR="001F493A" w:rsidRPr="00C664D3" w:rsidRDefault="001F493A" w:rsidP="001F493A">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2</w:t>
      </w:r>
      <w:r w:rsidRPr="00C664D3">
        <w:rPr>
          <w:rFonts w:asciiTheme="minorEastAsia" w:eastAsiaTheme="minorEastAsia" w:hAnsiTheme="minorEastAsia" w:hint="eastAsia"/>
          <w:color w:val="000000" w:themeColor="text1"/>
          <w:szCs w:val="21"/>
        </w:rPr>
        <w:t>）本公司承诺根据市场变化和公司业务发展不断完善内部控制制度。</w:t>
      </w:r>
    </w:p>
    <w:p w:rsidR="00C90129" w:rsidRPr="00C664D3" w:rsidRDefault="00C90129" w:rsidP="00C90129">
      <w:pPr>
        <w:pStyle w:val="af0"/>
        <w:rPr>
          <w:rFonts w:asciiTheme="minorEastAsia" w:eastAsiaTheme="minorEastAsia" w:hAnsiTheme="minorEastAsia"/>
          <w:color w:val="000000" w:themeColor="text1"/>
        </w:rPr>
      </w:pPr>
      <w:bookmarkStart w:id="172" w:name="_Toc296526926"/>
      <w:bookmarkStart w:id="173" w:name="_Toc296526927"/>
      <w:bookmarkStart w:id="174" w:name="_Toc296526928"/>
      <w:bookmarkStart w:id="175" w:name="_Toc296526929"/>
      <w:bookmarkStart w:id="176" w:name="_Toc296526931"/>
      <w:bookmarkStart w:id="177" w:name="_Toc296526932"/>
      <w:bookmarkStart w:id="178" w:name="_Toc296526933"/>
      <w:bookmarkStart w:id="179" w:name="_Toc296526934"/>
      <w:bookmarkStart w:id="180" w:name="_Toc296526936"/>
      <w:bookmarkStart w:id="181" w:name="_Toc296526958"/>
      <w:bookmarkStart w:id="182" w:name="_Toc296440126"/>
      <w:bookmarkStart w:id="183" w:name="_Toc296526963"/>
      <w:bookmarkStart w:id="184" w:name="_Toc296526974"/>
      <w:bookmarkStart w:id="185" w:name="_Toc323051000"/>
      <w:bookmarkStart w:id="186" w:name="_Toc308697488"/>
      <w:bookmarkStart w:id="187" w:name="_Toc309286010"/>
      <w:bookmarkStart w:id="188" w:name="_Toc296526989"/>
      <w:bookmarkStart w:id="189" w:name="_Toc323051008"/>
      <w:bookmarkStart w:id="190" w:name="_Toc296526992"/>
      <w:bookmarkStart w:id="191" w:name="_Toc296526993"/>
      <w:bookmarkStart w:id="192" w:name="_Toc308697497"/>
      <w:bookmarkStart w:id="193" w:name="_Toc309286019"/>
      <w:bookmarkStart w:id="194" w:name="_Toc308697498"/>
      <w:bookmarkStart w:id="195" w:name="_Toc309286020"/>
      <w:bookmarkStart w:id="196" w:name="_Toc308697499"/>
      <w:bookmarkStart w:id="197" w:name="_Toc309286021"/>
      <w:bookmarkStart w:id="198" w:name="_Toc308697500"/>
      <w:bookmarkStart w:id="199" w:name="_Toc309286022"/>
      <w:bookmarkStart w:id="200" w:name="_Toc308697501"/>
      <w:bookmarkStart w:id="201" w:name="_Toc309286023"/>
      <w:bookmarkStart w:id="202" w:name="_Toc308697502"/>
      <w:bookmarkStart w:id="203" w:name="_Toc309286024"/>
      <w:bookmarkStart w:id="204" w:name="_Toc308697503"/>
      <w:bookmarkStart w:id="205" w:name="_Toc309286025"/>
      <w:bookmarkStart w:id="206" w:name="_Toc308697504"/>
      <w:bookmarkStart w:id="207" w:name="_Toc309286026"/>
      <w:bookmarkStart w:id="208" w:name="_Toc308697505"/>
      <w:bookmarkStart w:id="209" w:name="_Toc309286027"/>
      <w:bookmarkStart w:id="210" w:name="_Toc308697506"/>
      <w:bookmarkStart w:id="211" w:name="_Toc309286028"/>
      <w:bookmarkStart w:id="212" w:name="_Toc308697507"/>
      <w:bookmarkStart w:id="213" w:name="_Toc309286029"/>
      <w:bookmarkStart w:id="214" w:name="_Toc308697508"/>
      <w:bookmarkStart w:id="215" w:name="_Toc309286030"/>
      <w:bookmarkStart w:id="216" w:name="_Toc308697509"/>
      <w:bookmarkStart w:id="217" w:name="_Toc309286031"/>
      <w:bookmarkStart w:id="218" w:name="_Toc308697510"/>
      <w:bookmarkStart w:id="219" w:name="_Toc309286032"/>
      <w:bookmarkStart w:id="220" w:name="_Toc308697511"/>
      <w:bookmarkStart w:id="221" w:name="_Toc309286033"/>
      <w:bookmarkStart w:id="222" w:name="_Toc308697512"/>
      <w:bookmarkStart w:id="223" w:name="_Toc309286034"/>
      <w:bookmarkStart w:id="224" w:name="_Toc308697513"/>
      <w:bookmarkStart w:id="225" w:name="_Toc309286035"/>
      <w:bookmarkStart w:id="226" w:name="_Toc308697516"/>
      <w:bookmarkStart w:id="227" w:name="_Toc309286038"/>
      <w:bookmarkStart w:id="228" w:name="_Toc308697517"/>
      <w:bookmarkStart w:id="229" w:name="_Toc309286039"/>
      <w:bookmarkStart w:id="230" w:name="_Toc296527004"/>
      <w:bookmarkStart w:id="231" w:name="_Toc308697541"/>
      <w:bookmarkStart w:id="232" w:name="_Toc309286063"/>
      <w:bookmarkStart w:id="233" w:name="_Toc308697542"/>
      <w:bookmarkStart w:id="234" w:name="_Toc309286064"/>
      <w:bookmarkStart w:id="235" w:name="_Toc308697543"/>
      <w:bookmarkStart w:id="236" w:name="_Toc309286065"/>
      <w:bookmarkStart w:id="237" w:name="_Toc306614238"/>
      <w:bookmarkStart w:id="238" w:name="_Toc310512463"/>
      <w:bookmarkStart w:id="239" w:name="_Toc310512627"/>
      <w:bookmarkStart w:id="240" w:name="_Toc310512780"/>
      <w:bookmarkStart w:id="241" w:name="_Toc310512933"/>
      <w:bookmarkStart w:id="242" w:name="_Toc310513073"/>
      <w:bookmarkStart w:id="243" w:name="_Toc310513212"/>
      <w:bookmarkStart w:id="244" w:name="_Toc310513348"/>
      <w:bookmarkStart w:id="245" w:name="_Toc323051024"/>
      <w:bookmarkStart w:id="246" w:name="_Toc310512464"/>
      <w:bookmarkStart w:id="247" w:name="_Toc310512628"/>
      <w:bookmarkStart w:id="248" w:name="_Toc310512781"/>
      <w:bookmarkStart w:id="249" w:name="_Toc310512934"/>
      <w:bookmarkStart w:id="250" w:name="_Toc310513074"/>
      <w:bookmarkStart w:id="251" w:name="_Toc310513213"/>
      <w:bookmarkStart w:id="252" w:name="_Toc310513349"/>
      <w:bookmarkStart w:id="253" w:name="_Toc323051025"/>
      <w:bookmarkStart w:id="254" w:name="_Toc310512465"/>
      <w:bookmarkStart w:id="255" w:name="_Toc310512629"/>
      <w:bookmarkStart w:id="256" w:name="_Toc310512782"/>
      <w:bookmarkStart w:id="257" w:name="_Toc310512935"/>
      <w:bookmarkStart w:id="258" w:name="_Toc310513075"/>
      <w:bookmarkStart w:id="259" w:name="_Toc310513214"/>
      <w:bookmarkStart w:id="260" w:name="_Toc310513350"/>
      <w:bookmarkStart w:id="261" w:name="_Toc323051026"/>
      <w:bookmarkStart w:id="262" w:name="_Hlt88841837"/>
      <w:bookmarkStart w:id="263" w:name="_Hlt88900062"/>
      <w:bookmarkStart w:id="264" w:name="_Toc308697560"/>
      <w:bookmarkStart w:id="265" w:name="_Toc309286082"/>
      <w:bookmarkStart w:id="266" w:name="_Toc308697561"/>
      <w:bookmarkStart w:id="267" w:name="_Toc309286083"/>
      <w:bookmarkStart w:id="268" w:name="_Toc308697562"/>
      <w:bookmarkStart w:id="269" w:name="_Toc309286084"/>
      <w:bookmarkStart w:id="270" w:name="_Toc323051053"/>
      <w:bookmarkStart w:id="271" w:name="_Toc323051054"/>
      <w:bookmarkStart w:id="272" w:name="_Toc323051055"/>
      <w:bookmarkStart w:id="273" w:name="_Toc308697583"/>
      <w:bookmarkStart w:id="274" w:name="_Toc309286105"/>
      <w:bookmarkStart w:id="275" w:name="_Toc308697584"/>
      <w:bookmarkStart w:id="276" w:name="_Toc309286106"/>
      <w:bookmarkStart w:id="277" w:name="_Toc308697585"/>
      <w:bookmarkStart w:id="278" w:name="_Toc309286107"/>
      <w:bookmarkStart w:id="279" w:name="_Toc308697586"/>
      <w:bookmarkStart w:id="280" w:name="_Toc309286108"/>
      <w:bookmarkStart w:id="281" w:name="_Toc308697587"/>
      <w:bookmarkStart w:id="282" w:name="_Toc309286109"/>
      <w:bookmarkStart w:id="283" w:name="_Toc308697588"/>
      <w:bookmarkStart w:id="284" w:name="_Toc309286110"/>
      <w:bookmarkStart w:id="285" w:name="_Toc308697589"/>
      <w:bookmarkStart w:id="286" w:name="_Toc309286111"/>
      <w:bookmarkStart w:id="287" w:name="_Toc308697590"/>
      <w:bookmarkStart w:id="288" w:name="_Toc309286112"/>
      <w:bookmarkStart w:id="289" w:name="_Toc308697591"/>
      <w:bookmarkStart w:id="290" w:name="_Toc309286113"/>
      <w:bookmarkStart w:id="291" w:name="_Toc308697592"/>
      <w:bookmarkStart w:id="292" w:name="_Toc309286114"/>
      <w:bookmarkStart w:id="293" w:name="_Toc308697593"/>
      <w:bookmarkStart w:id="294" w:name="_Toc309286115"/>
      <w:bookmarkStart w:id="295" w:name="_Toc308697594"/>
      <w:bookmarkStart w:id="296" w:name="_Toc309286116"/>
      <w:bookmarkStart w:id="297" w:name="_Toc308697595"/>
      <w:bookmarkStart w:id="298" w:name="_Toc309286117"/>
      <w:bookmarkStart w:id="299" w:name="_Toc308697596"/>
      <w:bookmarkStart w:id="300" w:name="_Toc309286118"/>
      <w:bookmarkStart w:id="301" w:name="_Toc308697597"/>
      <w:bookmarkStart w:id="302" w:name="_Toc309286119"/>
      <w:bookmarkStart w:id="303" w:name="_Toc308697598"/>
      <w:bookmarkStart w:id="304" w:name="_Toc309286120"/>
      <w:bookmarkStart w:id="305" w:name="_Toc308697599"/>
      <w:bookmarkStart w:id="306" w:name="_Toc309286121"/>
      <w:bookmarkStart w:id="307" w:name="_Toc308697600"/>
      <w:bookmarkStart w:id="308" w:name="_Toc309286122"/>
      <w:bookmarkStart w:id="309" w:name="_Toc308697601"/>
      <w:bookmarkStart w:id="310" w:name="_Toc309286123"/>
      <w:bookmarkStart w:id="311" w:name="_Toc308697602"/>
      <w:bookmarkStart w:id="312" w:name="_Toc309286124"/>
      <w:bookmarkStart w:id="313" w:name="_Toc308697603"/>
      <w:bookmarkStart w:id="314" w:name="_Toc309286125"/>
      <w:bookmarkStart w:id="315" w:name="_Toc308697604"/>
      <w:bookmarkStart w:id="316" w:name="_Toc309286126"/>
      <w:bookmarkStart w:id="317" w:name="_Toc308697605"/>
      <w:bookmarkStart w:id="318" w:name="_Toc309286127"/>
      <w:bookmarkStart w:id="319" w:name="_Toc308697606"/>
      <w:bookmarkStart w:id="320" w:name="_Toc309286128"/>
      <w:bookmarkStart w:id="321" w:name="_Toc308697607"/>
      <w:bookmarkStart w:id="322" w:name="_Toc309286129"/>
      <w:bookmarkStart w:id="323" w:name="_Toc308697608"/>
      <w:bookmarkStart w:id="324" w:name="_Toc309286130"/>
      <w:bookmarkStart w:id="325" w:name="_Toc308697609"/>
      <w:bookmarkStart w:id="326" w:name="_Toc309286131"/>
      <w:bookmarkStart w:id="327" w:name="_Toc308697610"/>
      <w:bookmarkStart w:id="328" w:name="_Toc309286132"/>
      <w:bookmarkStart w:id="329" w:name="_Toc308697611"/>
      <w:bookmarkStart w:id="330" w:name="_Toc309286133"/>
      <w:bookmarkStart w:id="331" w:name="_Toc308697612"/>
      <w:bookmarkStart w:id="332" w:name="_Toc309286134"/>
      <w:bookmarkStart w:id="333" w:name="_Toc308697613"/>
      <w:bookmarkStart w:id="334" w:name="_Toc309286135"/>
      <w:bookmarkStart w:id="335" w:name="_Toc308697614"/>
      <w:bookmarkStart w:id="336" w:name="_Toc309286136"/>
      <w:bookmarkStart w:id="337" w:name="_Toc308697615"/>
      <w:bookmarkStart w:id="338" w:name="_Toc309286137"/>
      <w:bookmarkStart w:id="339" w:name="_Toc308697616"/>
      <w:bookmarkStart w:id="340" w:name="_Toc309286138"/>
      <w:bookmarkStart w:id="341" w:name="_Toc308697617"/>
      <w:bookmarkStart w:id="342" w:name="_Toc309286139"/>
      <w:bookmarkStart w:id="343" w:name="_Toc308697618"/>
      <w:bookmarkStart w:id="344" w:name="_Toc309286140"/>
      <w:bookmarkStart w:id="345" w:name="_Toc308697619"/>
      <w:bookmarkStart w:id="346" w:name="_Toc309286141"/>
      <w:bookmarkStart w:id="347" w:name="_Toc308697620"/>
      <w:bookmarkStart w:id="348" w:name="_Toc309286142"/>
      <w:bookmarkStart w:id="349" w:name="_Toc308697621"/>
      <w:bookmarkStart w:id="350" w:name="_Toc309286143"/>
      <w:bookmarkStart w:id="351" w:name="_Toc308697622"/>
      <w:bookmarkStart w:id="352" w:name="_Toc309286144"/>
      <w:bookmarkStart w:id="353" w:name="_Toc308697623"/>
      <w:bookmarkStart w:id="354" w:name="_Toc309286145"/>
      <w:bookmarkStart w:id="355" w:name="_Toc308697624"/>
      <w:bookmarkStart w:id="356" w:name="_Toc309286146"/>
      <w:bookmarkStart w:id="357" w:name="_Toc308697625"/>
      <w:bookmarkStart w:id="358" w:name="_Toc309286147"/>
      <w:bookmarkStart w:id="359" w:name="_Toc308697626"/>
      <w:bookmarkStart w:id="360" w:name="_Toc309286148"/>
      <w:bookmarkStart w:id="361" w:name="_Toc308697627"/>
      <w:bookmarkStart w:id="362" w:name="_Toc309286149"/>
      <w:bookmarkStart w:id="363" w:name="_Toc308697628"/>
      <w:bookmarkStart w:id="364" w:name="_Toc309286150"/>
      <w:bookmarkStart w:id="365" w:name="_Toc308697629"/>
      <w:bookmarkStart w:id="366" w:name="_Toc309286151"/>
      <w:bookmarkStart w:id="367" w:name="_Toc308697630"/>
      <w:bookmarkStart w:id="368" w:name="_Toc309286152"/>
      <w:bookmarkStart w:id="369" w:name="_Toc308697631"/>
      <w:bookmarkStart w:id="370" w:name="_Toc309286153"/>
      <w:bookmarkStart w:id="371" w:name="_Toc308697632"/>
      <w:bookmarkStart w:id="372" w:name="_Toc309286154"/>
      <w:bookmarkStart w:id="373" w:name="_Toc308697633"/>
      <w:bookmarkStart w:id="374" w:name="_Toc309286155"/>
      <w:bookmarkStart w:id="375" w:name="_Toc308697634"/>
      <w:bookmarkStart w:id="376" w:name="_Toc309286156"/>
      <w:bookmarkStart w:id="377" w:name="_Toc308697635"/>
      <w:bookmarkStart w:id="378" w:name="_Toc309286157"/>
      <w:bookmarkStart w:id="379" w:name="_Toc308697636"/>
      <w:bookmarkStart w:id="380" w:name="_Toc309286158"/>
      <w:bookmarkStart w:id="381" w:name="_Toc308697637"/>
      <w:bookmarkStart w:id="382" w:name="_Toc309286159"/>
      <w:bookmarkStart w:id="383" w:name="_Toc308697638"/>
      <w:bookmarkStart w:id="384" w:name="_Toc309286160"/>
      <w:bookmarkStart w:id="385" w:name="_Toc308697639"/>
      <w:bookmarkStart w:id="386" w:name="_Toc309286161"/>
      <w:bookmarkStart w:id="387" w:name="_Toc308697640"/>
      <w:bookmarkStart w:id="388" w:name="_Toc309286162"/>
      <w:bookmarkStart w:id="389" w:name="_Toc308697641"/>
      <w:bookmarkStart w:id="390" w:name="_Toc309286163"/>
      <w:bookmarkStart w:id="391" w:name="_Toc308697642"/>
      <w:bookmarkStart w:id="392" w:name="_Toc309286164"/>
      <w:bookmarkStart w:id="393" w:name="_Toc308697643"/>
      <w:bookmarkStart w:id="394" w:name="_Toc309286165"/>
      <w:bookmarkStart w:id="395" w:name="_Toc308697644"/>
      <w:bookmarkStart w:id="396" w:name="_Toc309286166"/>
      <w:bookmarkStart w:id="397" w:name="_Toc308697645"/>
      <w:bookmarkStart w:id="398" w:name="_Toc309286167"/>
      <w:bookmarkStart w:id="399" w:name="_Toc308697646"/>
      <w:bookmarkStart w:id="400" w:name="_Toc309286168"/>
      <w:bookmarkStart w:id="401" w:name="_Toc308697647"/>
      <w:bookmarkStart w:id="402" w:name="_Toc309286169"/>
      <w:bookmarkStart w:id="403" w:name="_Toc308697648"/>
      <w:bookmarkStart w:id="404" w:name="_Toc309286170"/>
      <w:bookmarkStart w:id="405" w:name="_Toc308697649"/>
      <w:bookmarkStart w:id="406" w:name="_Toc309286171"/>
      <w:bookmarkStart w:id="407" w:name="_Toc308697650"/>
      <w:bookmarkStart w:id="408" w:name="_Toc309286172"/>
      <w:bookmarkStart w:id="409" w:name="_Toc308697651"/>
      <w:bookmarkStart w:id="410" w:name="_Toc309286173"/>
      <w:bookmarkStart w:id="411" w:name="_Toc308697652"/>
      <w:bookmarkStart w:id="412" w:name="_Toc309286174"/>
      <w:bookmarkStart w:id="413" w:name="_Toc308697653"/>
      <w:bookmarkStart w:id="414" w:name="_Toc309286175"/>
      <w:bookmarkStart w:id="415" w:name="_Toc308697654"/>
      <w:bookmarkStart w:id="416" w:name="_Toc309286176"/>
      <w:bookmarkStart w:id="417" w:name="_Toc308697655"/>
      <w:bookmarkStart w:id="418" w:name="_Toc309286177"/>
      <w:bookmarkStart w:id="419" w:name="_Toc308697656"/>
      <w:bookmarkStart w:id="420" w:name="_Toc309286178"/>
      <w:bookmarkStart w:id="421" w:name="_Toc308697657"/>
      <w:bookmarkStart w:id="422" w:name="_Toc309286179"/>
      <w:bookmarkStart w:id="423" w:name="_Toc308697658"/>
      <w:bookmarkStart w:id="424" w:name="_Toc309286180"/>
      <w:bookmarkStart w:id="425" w:name="_Toc308697659"/>
      <w:bookmarkStart w:id="426" w:name="_Toc309286181"/>
      <w:bookmarkStart w:id="427" w:name="_Toc308697660"/>
      <w:bookmarkStart w:id="428" w:name="_Toc309286182"/>
      <w:bookmarkStart w:id="429" w:name="_Toc308697661"/>
      <w:bookmarkStart w:id="430" w:name="_Toc309286183"/>
      <w:bookmarkStart w:id="431" w:name="_Toc308697662"/>
      <w:bookmarkStart w:id="432" w:name="_Toc309286184"/>
      <w:bookmarkStart w:id="433" w:name="_Toc308697663"/>
      <w:bookmarkStart w:id="434" w:name="_Toc309286185"/>
      <w:bookmarkStart w:id="435" w:name="_Toc308697664"/>
      <w:bookmarkStart w:id="436" w:name="_Toc309286186"/>
      <w:bookmarkStart w:id="437" w:name="_Toc308697665"/>
      <w:bookmarkStart w:id="438" w:name="_Toc309286187"/>
      <w:bookmarkStart w:id="439" w:name="_Toc308697666"/>
      <w:bookmarkStart w:id="440" w:name="_Toc309286188"/>
      <w:bookmarkStart w:id="441" w:name="_Toc308697667"/>
      <w:bookmarkStart w:id="442" w:name="_Toc309286189"/>
      <w:bookmarkStart w:id="443" w:name="_Toc308697668"/>
      <w:bookmarkStart w:id="444" w:name="_Toc309286190"/>
      <w:bookmarkStart w:id="445" w:name="_Toc308697669"/>
      <w:bookmarkStart w:id="446" w:name="_Toc309286191"/>
      <w:bookmarkStart w:id="447" w:name="_Toc308697670"/>
      <w:bookmarkStart w:id="448" w:name="_Toc309286192"/>
      <w:bookmarkStart w:id="449" w:name="_Toc308697671"/>
      <w:bookmarkStart w:id="450" w:name="_Toc309286193"/>
      <w:bookmarkStart w:id="451" w:name="_Toc308697672"/>
      <w:bookmarkStart w:id="452" w:name="_Toc309286194"/>
      <w:bookmarkStart w:id="453" w:name="_Toc308697673"/>
      <w:bookmarkStart w:id="454" w:name="_Toc309286195"/>
      <w:bookmarkStart w:id="455" w:name="_Toc308697674"/>
      <w:bookmarkStart w:id="456" w:name="_Toc309286196"/>
      <w:bookmarkStart w:id="457" w:name="_Toc308697675"/>
      <w:bookmarkStart w:id="458" w:name="_Toc309286197"/>
      <w:bookmarkStart w:id="459" w:name="_Toc308697676"/>
      <w:bookmarkStart w:id="460" w:name="_Toc309286198"/>
      <w:bookmarkStart w:id="461" w:name="_Toc308697677"/>
      <w:bookmarkStart w:id="462" w:name="_Toc309286199"/>
      <w:bookmarkStart w:id="463" w:name="_Toc308697678"/>
      <w:bookmarkStart w:id="464" w:name="_Toc309286200"/>
      <w:bookmarkStart w:id="465" w:name="_Toc308697679"/>
      <w:bookmarkStart w:id="466" w:name="_Toc309286201"/>
      <w:bookmarkStart w:id="467" w:name="_Toc308697680"/>
      <w:bookmarkStart w:id="468" w:name="_Toc309286202"/>
      <w:bookmarkStart w:id="469" w:name="_Toc308697681"/>
      <w:bookmarkStart w:id="470" w:name="_Toc309286203"/>
      <w:bookmarkStart w:id="471" w:name="_Toc308697682"/>
      <w:bookmarkStart w:id="472" w:name="_Toc309286204"/>
      <w:bookmarkStart w:id="473" w:name="_Toc308697683"/>
      <w:bookmarkStart w:id="474" w:name="_Toc309286205"/>
      <w:bookmarkStart w:id="475" w:name="_Toc308697684"/>
      <w:bookmarkStart w:id="476" w:name="_Toc309286206"/>
      <w:bookmarkStart w:id="477" w:name="_Toc308697685"/>
      <w:bookmarkStart w:id="478" w:name="_Toc309286207"/>
      <w:bookmarkStart w:id="479" w:name="_Toc308697698"/>
      <w:bookmarkStart w:id="480" w:name="_Toc309286220"/>
      <w:bookmarkStart w:id="481" w:name="_Toc308697699"/>
      <w:bookmarkStart w:id="482" w:name="_Toc309286221"/>
      <w:bookmarkStart w:id="483" w:name="_Toc308697700"/>
      <w:bookmarkStart w:id="484" w:name="_Toc309286222"/>
      <w:bookmarkStart w:id="485" w:name="_Toc308697701"/>
      <w:bookmarkStart w:id="486" w:name="_Toc309286223"/>
      <w:bookmarkStart w:id="487" w:name="_Toc308697702"/>
      <w:bookmarkStart w:id="488" w:name="_Toc309286224"/>
      <w:bookmarkStart w:id="489" w:name="_Toc308697703"/>
      <w:bookmarkStart w:id="490" w:name="_Toc309286225"/>
      <w:bookmarkStart w:id="491" w:name="_Toc308697704"/>
      <w:bookmarkStart w:id="492" w:name="_Toc309286226"/>
      <w:bookmarkStart w:id="493" w:name="_Toc308697705"/>
      <w:bookmarkStart w:id="494" w:name="_Toc309286227"/>
      <w:bookmarkStart w:id="495" w:name="_Toc308697706"/>
      <w:bookmarkStart w:id="496" w:name="_Toc309286228"/>
      <w:bookmarkStart w:id="497" w:name="_Toc296440221"/>
      <w:bookmarkStart w:id="498" w:name="_Toc308697714"/>
      <w:bookmarkStart w:id="499" w:name="_Toc309286236"/>
      <w:bookmarkStart w:id="500" w:name="_Toc308697716"/>
      <w:bookmarkStart w:id="501" w:name="_Toc309286238"/>
      <w:bookmarkStart w:id="502" w:name="_Toc308697717"/>
      <w:bookmarkStart w:id="503" w:name="_Toc309286239"/>
      <w:bookmarkStart w:id="504" w:name="_Toc308697718"/>
      <w:bookmarkStart w:id="505" w:name="_Toc309286240"/>
      <w:bookmarkStart w:id="506" w:name="_Toc308697719"/>
      <w:bookmarkStart w:id="507" w:name="_Toc309286241"/>
      <w:bookmarkStart w:id="508" w:name="_Toc308697720"/>
      <w:bookmarkStart w:id="509" w:name="_Toc309286242"/>
      <w:bookmarkStart w:id="510" w:name="_Toc308697721"/>
      <w:bookmarkStart w:id="511" w:name="_Toc309286243"/>
      <w:bookmarkStart w:id="512" w:name="_Toc308697722"/>
      <w:bookmarkStart w:id="513" w:name="_Toc309286244"/>
      <w:bookmarkStart w:id="514" w:name="_Toc308697723"/>
      <w:bookmarkStart w:id="515" w:name="_Toc30928624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9413A1" w:rsidRPr="00C664D3" w:rsidRDefault="009413A1"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516" w:name="_Toc83904200"/>
      <w:r w:rsidRPr="00C664D3">
        <w:rPr>
          <w:rFonts w:asciiTheme="minorEastAsia" w:eastAsiaTheme="minorEastAsia" w:hAnsiTheme="minorEastAsia"/>
          <w:color w:val="000000" w:themeColor="text1"/>
        </w:rPr>
        <w:lastRenderedPageBreak/>
        <w:t>基金的</w:t>
      </w:r>
      <w:r w:rsidRPr="00C664D3">
        <w:rPr>
          <w:rFonts w:asciiTheme="minorEastAsia" w:eastAsiaTheme="minorEastAsia" w:hAnsiTheme="minorEastAsia" w:hint="eastAsia"/>
          <w:color w:val="000000" w:themeColor="text1"/>
        </w:rPr>
        <w:t>份额类别</w:t>
      </w:r>
      <w:bookmarkEnd w:id="516"/>
    </w:p>
    <w:p w:rsidR="000F1010" w:rsidRPr="00C664D3" w:rsidRDefault="000F1010" w:rsidP="00AB77C1">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p>
    <w:p w:rsidR="000F1010" w:rsidRPr="00C664D3" w:rsidRDefault="000F1010" w:rsidP="000F1010">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一、本基金将基金份额分为不同的类别。在投资人申购基金时收取申购费用，并不再从本类别基金资产中计提销售服务费的基金份额，称为A类基金份额；从本类基金资产中计提销售服务费，并不收取申购费用的基金份额，称为C类基金份额。在每一份额类别内，根据申购、赎回计价币种的不同，分为人民币基金份额和美元基金份额。以人民币计价并进行申购、赎回的份额类别，称为人民币基金份额；以美元计价并进行申购、赎回的份额类别，称为美元基金份额（特指美元现汇基金份额，下同）。</w:t>
      </w:r>
    </w:p>
    <w:p w:rsidR="000F1010" w:rsidRPr="00C664D3" w:rsidRDefault="000F1010" w:rsidP="000F1010">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本基金对A类人民币份额、A类美元份额、C类人民币份额、C类美元份额分别设置代码，分别披露基金份额净值和基金份额累计净值。</w:t>
      </w:r>
      <w:r w:rsidR="00033330" w:rsidRPr="00C664D3">
        <w:rPr>
          <w:rFonts w:asciiTheme="minorEastAsia" w:eastAsiaTheme="minorEastAsia" w:hAnsiTheme="minorEastAsia" w:hint="eastAsia"/>
          <w:color w:val="000000" w:themeColor="text1"/>
          <w:szCs w:val="21"/>
        </w:rPr>
        <w:t>所有类别的人民币基金份额和美元基金份额合并投资运作</w:t>
      </w:r>
      <w:r w:rsidRPr="00C664D3">
        <w:rPr>
          <w:rFonts w:asciiTheme="minorEastAsia" w:eastAsiaTheme="minorEastAsia" w:hAnsiTheme="minorEastAsia" w:hint="eastAsia"/>
          <w:color w:val="000000" w:themeColor="text1"/>
          <w:szCs w:val="21"/>
        </w:rPr>
        <w:t>，共同承担投资换汇产生的费用。投资者在申购基金份额时可自行选择基金份额类别，并交付相应币种的款项。</w:t>
      </w:r>
    </w:p>
    <w:p w:rsidR="000F1010" w:rsidRPr="00C664D3" w:rsidRDefault="000F1010" w:rsidP="000F1010">
      <w:pPr>
        <w:tabs>
          <w:tab w:val="left" w:pos="420"/>
        </w:tabs>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每类基金份额的具体规定详见下表：</w:t>
      </w:r>
    </w:p>
    <w:tbl>
      <w:tblPr>
        <w:tblpPr w:leftFromText="180" w:rightFromText="180"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661"/>
        <w:gridCol w:w="1516"/>
        <w:gridCol w:w="1661"/>
        <w:gridCol w:w="1569"/>
      </w:tblGrid>
      <w:tr w:rsidR="00FB69A7" w:rsidRPr="00C664D3" w:rsidTr="00237FD4">
        <w:trPr>
          <w:trHeight w:hRule="exact" w:val="454"/>
        </w:trPr>
        <w:tc>
          <w:tcPr>
            <w:tcW w:w="195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份额类别</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szCs w:val="21"/>
              </w:rPr>
              <w:t>A类人民币份额</w:t>
            </w:r>
          </w:p>
        </w:tc>
        <w:tc>
          <w:tcPr>
            <w:tcW w:w="1559"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bCs/>
                <w:color w:val="000000" w:themeColor="text1"/>
                <w:kern w:val="0"/>
                <w:szCs w:val="21"/>
              </w:rPr>
            </w:pPr>
            <w:r w:rsidRPr="00C664D3">
              <w:rPr>
                <w:rFonts w:asciiTheme="minorEastAsia" w:eastAsiaTheme="minorEastAsia" w:hAnsiTheme="minorEastAsia" w:hint="eastAsia"/>
                <w:color w:val="000000" w:themeColor="text1"/>
                <w:szCs w:val="21"/>
              </w:rPr>
              <w:t>A类美元份额</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bCs/>
                <w:color w:val="000000" w:themeColor="text1"/>
                <w:kern w:val="0"/>
                <w:szCs w:val="21"/>
              </w:rPr>
            </w:pPr>
            <w:r w:rsidRPr="00C664D3">
              <w:rPr>
                <w:rFonts w:asciiTheme="minorEastAsia" w:eastAsiaTheme="minorEastAsia" w:hAnsiTheme="minorEastAsia" w:hint="eastAsia"/>
                <w:color w:val="000000" w:themeColor="text1"/>
                <w:szCs w:val="21"/>
              </w:rPr>
              <w:t>C类人民币份额</w:t>
            </w:r>
          </w:p>
        </w:tc>
        <w:tc>
          <w:tcPr>
            <w:tcW w:w="1610"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bCs/>
                <w:color w:val="000000" w:themeColor="text1"/>
                <w:kern w:val="0"/>
                <w:szCs w:val="21"/>
              </w:rPr>
            </w:pPr>
            <w:r w:rsidRPr="00C664D3">
              <w:rPr>
                <w:rFonts w:asciiTheme="minorEastAsia" w:eastAsiaTheme="minorEastAsia" w:hAnsiTheme="minorEastAsia" w:hint="eastAsia"/>
                <w:color w:val="000000" w:themeColor="text1"/>
                <w:szCs w:val="21"/>
              </w:rPr>
              <w:t>C类美元份额</w:t>
            </w:r>
          </w:p>
        </w:tc>
      </w:tr>
      <w:tr w:rsidR="00FB69A7" w:rsidRPr="00C664D3" w:rsidTr="00237FD4">
        <w:trPr>
          <w:trHeight w:hRule="exact" w:val="454"/>
        </w:trPr>
        <w:tc>
          <w:tcPr>
            <w:tcW w:w="195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申购费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收取</w:t>
            </w:r>
          </w:p>
        </w:tc>
        <w:tc>
          <w:tcPr>
            <w:tcW w:w="1559"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收取</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不收取</w:t>
            </w:r>
          </w:p>
        </w:tc>
        <w:tc>
          <w:tcPr>
            <w:tcW w:w="1610"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不收取</w:t>
            </w:r>
          </w:p>
        </w:tc>
      </w:tr>
      <w:tr w:rsidR="00FB69A7" w:rsidRPr="00C664D3" w:rsidTr="00237FD4">
        <w:trPr>
          <w:trHeight w:hRule="exact" w:val="658"/>
        </w:trPr>
        <w:tc>
          <w:tcPr>
            <w:tcW w:w="195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首次申购最低金额</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w:t>
            </w:r>
            <w:r w:rsidRPr="00C664D3">
              <w:rPr>
                <w:rFonts w:asciiTheme="minorEastAsia" w:eastAsiaTheme="minorEastAsia" w:hAnsiTheme="minorEastAsia" w:hint="eastAsia"/>
                <w:color w:val="000000" w:themeColor="text1"/>
                <w:kern w:val="0"/>
                <w:szCs w:val="21"/>
              </w:rPr>
              <w:t>元（直销中心为</w:t>
            </w:r>
            <w:r w:rsidRPr="00C664D3">
              <w:rPr>
                <w:rFonts w:asciiTheme="minorEastAsia" w:eastAsiaTheme="minorEastAsia" w:hAnsiTheme="minorEastAsia"/>
                <w:color w:val="000000" w:themeColor="text1"/>
                <w:kern w:val="0"/>
                <w:szCs w:val="21"/>
              </w:rPr>
              <w:t>50,000</w:t>
            </w:r>
            <w:r w:rsidRPr="00C664D3">
              <w:rPr>
                <w:rFonts w:asciiTheme="minorEastAsia" w:eastAsiaTheme="minorEastAsia" w:hAnsiTheme="minorEastAsia" w:hint="eastAsia"/>
                <w:color w:val="000000" w:themeColor="text1"/>
                <w:kern w:val="0"/>
                <w:szCs w:val="21"/>
              </w:rPr>
              <w:t>元）</w:t>
            </w:r>
          </w:p>
        </w:tc>
        <w:tc>
          <w:tcPr>
            <w:tcW w:w="1559"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1美元</w:t>
            </w:r>
            <w:r w:rsidRPr="00C664D3">
              <w:rPr>
                <w:rFonts w:asciiTheme="minorEastAsia" w:eastAsiaTheme="minorEastAsia" w:hAnsiTheme="minorEastAsia" w:hint="eastAsia"/>
                <w:color w:val="000000" w:themeColor="text1"/>
                <w:kern w:val="0"/>
                <w:szCs w:val="21"/>
              </w:rPr>
              <w:t>（直销中心为100美元）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w:t>
            </w:r>
            <w:r w:rsidRPr="00C664D3">
              <w:rPr>
                <w:rFonts w:asciiTheme="minorEastAsia" w:eastAsiaTheme="minorEastAsia" w:hAnsiTheme="minorEastAsia" w:hint="eastAsia"/>
                <w:color w:val="000000" w:themeColor="text1"/>
                <w:kern w:val="0"/>
                <w:szCs w:val="21"/>
              </w:rPr>
              <w:t>元（直销中心为</w:t>
            </w:r>
            <w:r w:rsidRPr="00C664D3">
              <w:rPr>
                <w:rFonts w:asciiTheme="minorEastAsia" w:eastAsiaTheme="minorEastAsia" w:hAnsiTheme="minorEastAsia"/>
                <w:color w:val="000000" w:themeColor="text1"/>
                <w:kern w:val="0"/>
                <w:szCs w:val="21"/>
              </w:rPr>
              <w:t>50,000</w:t>
            </w:r>
            <w:r w:rsidRPr="00C664D3">
              <w:rPr>
                <w:rFonts w:asciiTheme="minorEastAsia" w:eastAsiaTheme="minorEastAsia" w:hAnsiTheme="minorEastAsia" w:hint="eastAsia"/>
                <w:color w:val="000000" w:themeColor="text1"/>
                <w:kern w:val="0"/>
                <w:szCs w:val="21"/>
              </w:rPr>
              <w:t>元）</w:t>
            </w:r>
          </w:p>
        </w:tc>
        <w:tc>
          <w:tcPr>
            <w:tcW w:w="1610"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1美元</w:t>
            </w:r>
            <w:r w:rsidRPr="00C664D3">
              <w:rPr>
                <w:rFonts w:asciiTheme="minorEastAsia" w:eastAsiaTheme="minorEastAsia" w:hAnsiTheme="minorEastAsia" w:hint="eastAsia"/>
                <w:color w:val="000000" w:themeColor="text1"/>
                <w:kern w:val="0"/>
                <w:szCs w:val="21"/>
              </w:rPr>
              <w:t>（直销中心为100美元）</w:t>
            </w:r>
          </w:p>
        </w:tc>
      </w:tr>
      <w:tr w:rsidR="00FB69A7" w:rsidRPr="00C664D3" w:rsidTr="00237FD4">
        <w:trPr>
          <w:trHeight w:hRule="exact" w:val="569"/>
        </w:trPr>
        <w:tc>
          <w:tcPr>
            <w:tcW w:w="195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追加申购最低金额</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w:t>
            </w:r>
            <w:r w:rsidRPr="00C664D3">
              <w:rPr>
                <w:rFonts w:asciiTheme="minorEastAsia" w:eastAsiaTheme="minorEastAsia" w:hAnsiTheme="minorEastAsia" w:hint="eastAsia"/>
                <w:color w:val="000000" w:themeColor="text1"/>
                <w:kern w:val="0"/>
                <w:szCs w:val="21"/>
              </w:rPr>
              <w:t>元（直销中心为</w:t>
            </w:r>
            <w:r w:rsidRPr="00C664D3">
              <w:rPr>
                <w:rFonts w:asciiTheme="minorEastAsia" w:eastAsiaTheme="minorEastAsia" w:hAnsiTheme="minorEastAsia"/>
                <w:color w:val="000000" w:themeColor="text1"/>
                <w:kern w:val="0"/>
                <w:szCs w:val="21"/>
              </w:rPr>
              <w:t>1000</w:t>
            </w:r>
            <w:r w:rsidRPr="00C664D3">
              <w:rPr>
                <w:rFonts w:asciiTheme="minorEastAsia" w:eastAsiaTheme="minorEastAsia" w:hAnsiTheme="minorEastAsia" w:hint="eastAsia"/>
                <w:color w:val="000000" w:themeColor="text1"/>
                <w:kern w:val="0"/>
                <w:szCs w:val="21"/>
              </w:rPr>
              <w:t>元）</w:t>
            </w:r>
          </w:p>
        </w:tc>
        <w:tc>
          <w:tcPr>
            <w:tcW w:w="1559"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1美元</w:t>
            </w:r>
            <w:r w:rsidRPr="00C664D3">
              <w:rPr>
                <w:rFonts w:asciiTheme="minorEastAsia" w:eastAsiaTheme="minorEastAsia" w:hAnsiTheme="minorEastAsia" w:hint="eastAsia"/>
                <w:color w:val="000000" w:themeColor="text1"/>
                <w:kern w:val="0"/>
                <w:szCs w:val="21"/>
              </w:rPr>
              <w:t>（直销中心为100美元）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w:t>
            </w:r>
            <w:r w:rsidRPr="00C664D3">
              <w:rPr>
                <w:rFonts w:asciiTheme="minorEastAsia" w:eastAsiaTheme="minorEastAsia" w:hAnsiTheme="minorEastAsia" w:hint="eastAsia"/>
                <w:color w:val="000000" w:themeColor="text1"/>
                <w:kern w:val="0"/>
                <w:szCs w:val="21"/>
              </w:rPr>
              <w:t>元（直销中心为</w:t>
            </w:r>
            <w:r w:rsidRPr="00C664D3">
              <w:rPr>
                <w:rFonts w:asciiTheme="minorEastAsia" w:eastAsiaTheme="minorEastAsia" w:hAnsiTheme="minorEastAsia"/>
                <w:color w:val="000000" w:themeColor="text1"/>
                <w:kern w:val="0"/>
                <w:szCs w:val="21"/>
              </w:rPr>
              <w:t>1000</w:t>
            </w:r>
            <w:r w:rsidRPr="00C664D3">
              <w:rPr>
                <w:rFonts w:asciiTheme="minorEastAsia" w:eastAsiaTheme="minorEastAsia" w:hAnsiTheme="minorEastAsia" w:hint="eastAsia"/>
                <w:color w:val="000000" w:themeColor="text1"/>
                <w:kern w:val="0"/>
                <w:szCs w:val="21"/>
              </w:rPr>
              <w:t>元）</w:t>
            </w:r>
          </w:p>
        </w:tc>
        <w:tc>
          <w:tcPr>
            <w:tcW w:w="1610"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1美元</w:t>
            </w:r>
            <w:r w:rsidRPr="00C664D3">
              <w:rPr>
                <w:rFonts w:asciiTheme="minorEastAsia" w:eastAsiaTheme="minorEastAsia" w:hAnsiTheme="minorEastAsia" w:hint="eastAsia"/>
                <w:color w:val="000000" w:themeColor="text1"/>
                <w:kern w:val="0"/>
                <w:szCs w:val="21"/>
              </w:rPr>
              <w:t>（直销中心为100美元）</w:t>
            </w:r>
          </w:p>
        </w:tc>
      </w:tr>
      <w:tr w:rsidR="00FB69A7" w:rsidRPr="00C664D3" w:rsidTr="00237FD4">
        <w:trPr>
          <w:trHeight w:hRule="exact" w:val="454"/>
        </w:trPr>
        <w:tc>
          <w:tcPr>
            <w:tcW w:w="195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单笔赎回最低份额</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w:t>
            </w:r>
            <w:r w:rsidRPr="00C664D3">
              <w:rPr>
                <w:rFonts w:asciiTheme="minorEastAsia" w:eastAsiaTheme="minorEastAsia" w:hAnsiTheme="minorEastAsia" w:hint="eastAsia"/>
                <w:color w:val="000000" w:themeColor="text1"/>
                <w:kern w:val="0"/>
                <w:szCs w:val="21"/>
              </w:rPr>
              <w:t>份</w:t>
            </w:r>
          </w:p>
        </w:tc>
        <w:tc>
          <w:tcPr>
            <w:tcW w:w="1559"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w:t>
            </w:r>
            <w:r w:rsidR="00237FD4" w:rsidRPr="00C664D3">
              <w:rPr>
                <w:rFonts w:asciiTheme="minorEastAsia" w:eastAsiaTheme="minorEastAsia" w:hAnsiTheme="minorEastAsia"/>
                <w:color w:val="000000" w:themeColor="text1"/>
                <w:kern w:val="0"/>
                <w:szCs w:val="21"/>
              </w:rPr>
              <w:t>0</w:t>
            </w:r>
            <w:r w:rsidRPr="00C664D3">
              <w:rPr>
                <w:rFonts w:asciiTheme="minorEastAsia" w:eastAsiaTheme="minorEastAsia" w:hAnsiTheme="minorEastAsia"/>
                <w:color w:val="000000" w:themeColor="text1"/>
                <w:kern w:val="0"/>
                <w:szCs w:val="21"/>
              </w:rPr>
              <w:t>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w:t>
            </w:r>
            <w:r w:rsidRPr="00C664D3">
              <w:rPr>
                <w:rFonts w:asciiTheme="minorEastAsia" w:eastAsiaTheme="minorEastAsia" w:hAnsiTheme="minorEastAsia" w:hint="eastAsia"/>
                <w:color w:val="000000" w:themeColor="text1"/>
                <w:kern w:val="0"/>
                <w:szCs w:val="21"/>
              </w:rPr>
              <w:t>份</w:t>
            </w:r>
          </w:p>
        </w:tc>
        <w:tc>
          <w:tcPr>
            <w:tcW w:w="1610"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w:t>
            </w:r>
            <w:r w:rsidR="00237FD4" w:rsidRPr="00C664D3">
              <w:rPr>
                <w:rFonts w:asciiTheme="minorEastAsia" w:eastAsiaTheme="minorEastAsia" w:hAnsiTheme="minorEastAsia"/>
                <w:color w:val="000000" w:themeColor="text1"/>
                <w:kern w:val="0"/>
                <w:szCs w:val="21"/>
              </w:rPr>
              <w:t>0</w:t>
            </w:r>
            <w:r w:rsidRPr="00C664D3">
              <w:rPr>
                <w:rFonts w:asciiTheme="minorEastAsia" w:eastAsiaTheme="minorEastAsia" w:hAnsiTheme="minorEastAsia"/>
                <w:color w:val="000000" w:themeColor="text1"/>
                <w:kern w:val="0"/>
                <w:szCs w:val="21"/>
              </w:rPr>
              <w:t>份</w:t>
            </w:r>
          </w:p>
        </w:tc>
      </w:tr>
      <w:tr w:rsidR="00FB69A7" w:rsidRPr="00C664D3" w:rsidTr="00237FD4">
        <w:trPr>
          <w:trHeight w:hRule="exact" w:val="682"/>
        </w:trPr>
        <w:tc>
          <w:tcPr>
            <w:tcW w:w="195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kern w:val="0"/>
                <w:szCs w:val="21"/>
              </w:rPr>
              <w:t>基金交易账户最低基金份额余额</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w:t>
            </w:r>
            <w:r w:rsidRPr="00C664D3">
              <w:rPr>
                <w:rFonts w:asciiTheme="minorEastAsia" w:eastAsiaTheme="minorEastAsia" w:hAnsiTheme="minorEastAsia" w:hint="eastAsia"/>
                <w:color w:val="000000" w:themeColor="text1"/>
                <w:kern w:val="0"/>
                <w:szCs w:val="21"/>
              </w:rPr>
              <w:t>份</w:t>
            </w:r>
          </w:p>
        </w:tc>
        <w:tc>
          <w:tcPr>
            <w:tcW w:w="1559"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w:t>
            </w:r>
            <w:r w:rsidR="00237FD4" w:rsidRPr="00C664D3">
              <w:rPr>
                <w:rFonts w:asciiTheme="minorEastAsia" w:eastAsiaTheme="minorEastAsia" w:hAnsiTheme="minorEastAsia"/>
                <w:color w:val="000000" w:themeColor="text1"/>
                <w:kern w:val="0"/>
                <w:szCs w:val="21"/>
              </w:rPr>
              <w:t>0</w:t>
            </w:r>
            <w:r w:rsidRPr="00C664D3">
              <w:rPr>
                <w:rFonts w:asciiTheme="minorEastAsia" w:eastAsiaTheme="minorEastAsia" w:hAnsiTheme="minorEastAsia"/>
                <w:color w:val="000000" w:themeColor="text1"/>
                <w:kern w:val="0"/>
                <w:szCs w:val="21"/>
              </w:rPr>
              <w:t>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w:t>
            </w:r>
            <w:r w:rsidRPr="00C664D3">
              <w:rPr>
                <w:rFonts w:asciiTheme="minorEastAsia" w:eastAsiaTheme="minorEastAsia" w:hAnsiTheme="minorEastAsia" w:hint="eastAsia"/>
                <w:color w:val="000000" w:themeColor="text1"/>
                <w:kern w:val="0"/>
                <w:szCs w:val="21"/>
              </w:rPr>
              <w:t>份</w:t>
            </w:r>
          </w:p>
        </w:tc>
        <w:tc>
          <w:tcPr>
            <w:tcW w:w="1610"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color w:val="000000" w:themeColor="text1"/>
                <w:kern w:val="0"/>
                <w:szCs w:val="21"/>
              </w:rPr>
            </w:pPr>
            <w:r w:rsidRPr="00C664D3">
              <w:rPr>
                <w:rFonts w:asciiTheme="minorEastAsia" w:eastAsiaTheme="minorEastAsia" w:hAnsiTheme="minorEastAsia"/>
                <w:color w:val="000000" w:themeColor="text1"/>
                <w:kern w:val="0"/>
                <w:szCs w:val="21"/>
              </w:rPr>
              <w:t>1</w:t>
            </w:r>
            <w:r w:rsidR="00237FD4" w:rsidRPr="00C664D3">
              <w:rPr>
                <w:rFonts w:asciiTheme="minorEastAsia" w:eastAsiaTheme="minorEastAsia" w:hAnsiTheme="minorEastAsia"/>
                <w:color w:val="000000" w:themeColor="text1"/>
                <w:kern w:val="0"/>
                <w:szCs w:val="21"/>
              </w:rPr>
              <w:t>0</w:t>
            </w:r>
            <w:r w:rsidRPr="00C664D3">
              <w:rPr>
                <w:rFonts w:asciiTheme="minorEastAsia" w:eastAsiaTheme="minorEastAsia" w:hAnsiTheme="minorEastAsia"/>
                <w:color w:val="000000" w:themeColor="text1"/>
                <w:kern w:val="0"/>
                <w:szCs w:val="21"/>
              </w:rPr>
              <w:t>份</w:t>
            </w:r>
          </w:p>
        </w:tc>
      </w:tr>
      <w:tr w:rsidR="00FB69A7" w:rsidRPr="00C664D3" w:rsidTr="00237FD4">
        <w:trPr>
          <w:trHeight w:hRule="exact" w:val="707"/>
        </w:trPr>
        <w:tc>
          <w:tcPr>
            <w:tcW w:w="195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bCs/>
                <w:color w:val="000000" w:themeColor="text1"/>
                <w:szCs w:val="20"/>
              </w:rPr>
            </w:pPr>
            <w:r w:rsidRPr="00C664D3">
              <w:rPr>
                <w:rFonts w:asciiTheme="minorEastAsia" w:eastAsiaTheme="minorEastAsia" w:hAnsiTheme="minorEastAsia" w:hint="eastAsia"/>
                <w:bCs/>
                <w:color w:val="000000" w:themeColor="text1"/>
                <w:szCs w:val="20"/>
              </w:rPr>
              <w:t>销售服务费（年费率）</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bCs/>
                <w:color w:val="000000" w:themeColor="text1"/>
                <w:szCs w:val="20"/>
              </w:rPr>
            </w:pPr>
            <w:r w:rsidRPr="00C664D3">
              <w:rPr>
                <w:rFonts w:asciiTheme="minorEastAsia" w:eastAsiaTheme="minorEastAsia" w:hAnsiTheme="minorEastAsia" w:hint="eastAsia"/>
                <w:bCs/>
                <w:color w:val="000000" w:themeColor="text1"/>
                <w:szCs w:val="20"/>
              </w:rPr>
              <w:t>无</w:t>
            </w:r>
          </w:p>
        </w:tc>
        <w:tc>
          <w:tcPr>
            <w:tcW w:w="1559"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bCs/>
                <w:color w:val="000000" w:themeColor="text1"/>
                <w:szCs w:val="20"/>
              </w:rPr>
            </w:pPr>
            <w:r w:rsidRPr="00C664D3">
              <w:rPr>
                <w:rFonts w:asciiTheme="minorEastAsia" w:eastAsiaTheme="minorEastAsia" w:hAnsiTheme="minorEastAsia"/>
                <w:bCs/>
                <w:color w:val="000000" w:themeColor="text1"/>
                <w:szCs w:val="20"/>
              </w:rPr>
              <w:t>无</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1010" w:rsidRPr="00C664D3" w:rsidRDefault="000F1010" w:rsidP="00237FD4">
            <w:pPr>
              <w:autoSpaceDE w:val="0"/>
              <w:autoSpaceDN w:val="0"/>
              <w:adjustRightInd w:val="0"/>
              <w:snapToGrid w:val="0"/>
              <w:jc w:val="center"/>
              <w:rPr>
                <w:rFonts w:asciiTheme="minorEastAsia" w:eastAsiaTheme="minorEastAsia" w:hAnsiTheme="minorEastAsia"/>
                <w:bCs/>
                <w:color w:val="000000" w:themeColor="text1"/>
                <w:szCs w:val="20"/>
              </w:rPr>
            </w:pPr>
            <w:r w:rsidRPr="00C664D3">
              <w:rPr>
                <w:rFonts w:asciiTheme="minorEastAsia" w:eastAsiaTheme="minorEastAsia" w:hAnsiTheme="minorEastAsia"/>
                <w:bCs/>
                <w:color w:val="000000" w:themeColor="text1"/>
                <w:szCs w:val="20"/>
              </w:rPr>
              <w:t>0.35%</w:t>
            </w:r>
          </w:p>
        </w:tc>
        <w:tc>
          <w:tcPr>
            <w:tcW w:w="1610" w:type="dxa"/>
            <w:tcBorders>
              <w:top w:val="single" w:sz="4" w:space="0" w:color="auto"/>
              <w:left w:val="single" w:sz="4" w:space="0" w:color="auto"/>
              <w:bottom w:val="single" w:sz="4" w:space="0" w:color="auto"/>
              <w:right w:val="single" w:sz="4" w:space="0" w:color="auto"/>
            </w:tcBorders>
            <w:vAlign w:val="center"/>
          </w:tcPr>
          <w:p w:rsidR="000F1010" w:rsidRPr="00C664D3" w:rsidRDefault="000F1010" w:rsidP="00237FD4">
            <w:pPr>
              <w:autoSpaceDE w:val="0"/>
              <w:autoSpaceDN w:val="0"/>
              <w:adjustRightInd w:val="0"/>
              <w:snapToGrid w:val="0"/>
              <w:jc w:val="center"/>
              <w:rPr>
                <w:rFonts w:asciiTheme="minorEastAsia" w:eastAsiaTheme="minorEastAsia" w:hAnsiTheme="minorEastAsia"/>
                <w:bCs/>
                <w:color w:val="000000" w:themeColor="text1"/>
                <w:szCs w:val="20"/>
              </w:rPr>
            </w:pPr>
            <w:r w:rsidRPr="00C664D3">
              <w:rPr>
                <w:rFonts w:asciiTheme="minorEastAsia" w:eastAsiaTheme="minorEastAsia" w:hAnsiTheme="minorEastAsia"/>
                <w:bCs/>
                <w:color w:val="000000" w:themeColor="text1"/>
                <w:szCs w:val="20"/>
              </w:rPr>
              <w:t>0.35%</w:t>
            </w:r>
          </w:p>
        </w:tc>
      </w:tr>
    </w:tbl>
    <w:p w:rsidR="000F1010" w:rsidRPr="00C664D3" w:rsidRDefault="000F1010" w:rsidP="000F1010">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注：本基金不同份额类别的最低申购限额、交易级差、适用费率及销售渠道等有所差异，并可能不时发生调整，敬请投资者予以关注。</w:t>
      </w:r>
    </w:p>
    <w:p w:rsidR="00A1091C" w:rsidRPr="00C664D3" w:rsidRDefault="000F1010" w:rsidP="00AB77C1">
      <w:pPr>
        <w:pStyle w:val="af"/>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二、</w:t>
      </w:r>
      <w:r w:rsidRPr="00C664D3">
        <w:rPr>
          <w:rFonts w:asciiTheme="minorEastAsia" w:eastAsiaTheme="minorEastAsia" w:hAnsiTheme="minorEastAsia" w:hint="eastAsia"/>
          <w:color w:val="000000" w:themeColor="text1"/>
          <w:szCs w:val="21"/>
        </w:rPr>
        <w:t>除非基金管理人在未来条件成熟后另行公告开通相关业务，本基金不同基金份额类别之间不得互相转换。在未来市场和技术成熟时，本基金可增设美元现钞或其他外币种类的基金份额，通过指定的销售渠道接受投资者申购与赎回，该事项无须召开基金份额持有人大会审议批准。美元现钞或其他外币种类的基金份额申赎的原则、费用等业务规则届时由基金管理人确定并提前公告</w:t>
      </w:r>
      <w:r w:rsidRPr="00C664D3">
        <w:rPr>
          <w:rFonts w:asciiTheme="minorEastAsia" w:eastAsiaTheme="minorEastAsia" w:hAnsiTheme="minorEastAsia"/>
          <w:color w:val="000000" w:themeColor="text1"/>
          <w:szCs w:val="21"/>
        </w:rPr>
        <w:t>。</w:t>
      </w:r>
      <w:bookmarkStart w:id="517" w:name="_Toc38432432"/>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518" w:name="_Toc83904201"/>
      <w:r w:rsidRPr="00C664D3">
        <w:rPr>
          <w:rFonts w:asciiTheme="minorEastAsia" w:eastAsiaTheme="minorEastAsia" w:hAnsiTheme="minorEastAsia"/>
          <w:color w:val="000000" w:themeColor="text1"/>
        </w:rPr>
        <w:lastRenderedPageBreak/>
        <w:t>基金的募集</w:t>
      </w:r>
      <w:bookmarkEnd w:id="517"/>
      <w:bookmarkEnd w:id="518"/>
    </w:p>
    <w:p w:rsidR="00942587" w:rsidRPr="00C664D3" w:rsidRDefault="007022AC" w:rsidP="00AB77C1">
      <w:pPr>
        <w:snapToGrid w:val="0"/>
        <w:spacing w:line="360" w:lineRule="auto"/>
        <w:ind w:firstLineChars="200" w:firstLine="420"/>
        <w:rPr>
          <w:rFonts w:asciiTheme="minorEastAsia" w:eastAsiaTheme="minorEastAsia" w:hAnsiTheme="minorEastAsia"/>
          <w:color w:val="000000" w:themeColor="text1"/>
          <w:szCs w:val="21"/>
        </w:rPr>
      </w:pPr>
      <w:bookmarkStart w:id="519" w:name="_Toc278409362"/>
      <w:bookmarkStart w:id="520" w:name="_Toc423335535"/>
      <w:bookmarkStart w:id="521" w:name="_Toc38432433"/>
      <w:r w:rsidRPr="00C664D3">
        <w:rPr>
          <w:rFonts w:asciiTheme="minorEastAsia" w:eastAsiaTheme="minorEastAsia" w:hAnsiTheme="minorEastAsia" w:hint="eastAsia"/>
          <w:color w:val="000000" w:themeColor="text1"/>
          <w:szCs w:val="21"/>
        </w:rPr>
        <w:t>本基金由基金管理人依照《基金法》、《运作办法》、《销售办法》、基金合同的相关规定，并根据中国证券监督管理委员会</w:t>
      </w:r>
      <w:r w:rsidR="00BE4851" w:rsidRPr="00C664D3">
        <w:rPr>
          <w:rFonts w:asciiTheme="minorEastAsia" w:eastAsiaTheme="minorEastAsia" w:hAnsiTheme="minorEastAsia" w:hint="eastAsia"/>
          <w:color w:val="000000" w:themeColor="text1"/>
          <w:szCs w:val="21"/>
        </w:rPr>
        <w:t>2016年9月28日</w:t>
      </w:r>
      <w:r w:rsidR="004F49E8" w:rsidRPr="00C664D3">
        <w:rPr>
          <w:rFonts w:asciiTheme="minorEastAsia" w:eastAsiaTheme="minorEastAsia" w:hAnsiTheme="minorEastAsia"/>
          <w:color w:val="000000" w:themeColor="text1"/>
          <w:szCs w:val="21"/>
        </w:rPr>
        <w:t>《</w:t>
      </w:r>
      <w:r w:rsidR="004F49E8" w:rsidRPr="00C664D3">
        <w:rPr>
          <w:rFonts w:asciiTheme="minorEastAsia" w:eastAsiaTheme="minorEastAsia" w:hAnsiTheme="minorEastAsia" w:hint="eastAsia"/>
          <w:color w:val="000000" w:themeColor="text1"/>
          <w:szCs w:val="21"/>
        </w:rPr>
        <w:t>关于准予</w:t>
      </w:r>
      <w:r w:rsidR="004F49E8" w:rsidRPr="00C664D3">
        <w:rPr>
          <w:rFonts w:asciiTheme="minorEastAsia" w:eastAsiaTheme="minorEastAsia" w:hAnsiTheme="minorEastAsia"/>
          <w:color w:val="000000" w:themeColor="text1"/>
          <w:szCs w:val="21"/>
        </w:rPr>
        <w:t>易方达</w:t>
      </w:r>
      <w:r w:rsidR="004F49E8" w:rsidRPr="00C664D3">
        <w:rPr>
          <w:rFonts w:asciiTheme="minorEastAsia" w:eastAsiaTheme="minorEastAsia" w:hAnsiTheme="minorEastAsia" w:hint="eastAsia"/>
          <w:color w:val="000000" w:themeColor="text1"/>
          <w:szCs w:val="21"/>
        </w:rPr>
        <w:t>标普信息科技指数</w:t>
      </w:r>
      <w:r w:rsidR="004F49E8" w:rsidRPr="00C664D3">
        <w:rPr>
          <w:rFonts w:asciiTheme="minorEastAsia" w:eastAsiaTheme="minorEastAsia" w:hAnsiTheme="minorEastAsia"/>
          <w:color w:val="000000" w:themeColor="text1"/>
          <w:szCs w:val="21"/>
        </w:rPr>
        <w:t>证券投资基金（LOF）</w:t>
      </w:r>
      <w:r w:rsidR="004F49E8" w:rsidRPr="00C664D3">
        <w:rPr>
          <w:rFonts w:asciiTheme="minorEastAsia" w:eastAsiaTheme="minorEastAsia" w:hAnsiTheme="minorEastAsia" w:hint="eastAsia"/>
          <w:color w:val="000000" w:themeColor="text1"/>
          <w:szCs w:val="21"/>
        </w:rPr>
        <w:t>注册的批复</w:t>
      </w:r>
      <w:r w:rsidR="004F49E8" w:rsidRPr="00C664D3">
        <w:rPr>
          <w:rFonts w:asciiTheme="minorEastAsia" w:eastAsiaTheme="minorEastAsia" w:hAnsiTheme="minorEastAsia"/>
          <w:color w:val="000000" w:themeColor="text1"/>
          <w:szCs w:val="21"/>
        </w:rPr>
        <w:t>》（证监许可【</w:t>
      </w:r>
      <w:r w:rsidR="004F49E8" w:rsidRPr="00C664D3">
        <w:rPr>
          <w:rFonts w:asciiTheme="minorEastAsia" w:eastAsiaTheme="minorEastAsia" w:hAnsiTheme="minorEastAsia" w:hint="eastAsia"/>
          <w:color w:val="000000" w:themeColor="text1"/>
          <w:szCs w:val="21"/>
        </w:rPr>
        <w:t>2</w:t>
      </w:r>
      <w:r w:rsidR="004F49E8" w:rsidRPr="00C664D3">
        <w:rPr>
          <w:rFonts w:asciiTheme="minorEastAsia" w:eastAsiaTheme="minorEastAsia" w:hAnsiTheme="minorEastAsia"/>
          <w:color w:val="000000" w:themeColor="text1"/>
          <w:szCs w:val="21"/>
        </w:rPr>
        <w:t>016】2236号）</w:t>
      </w:r>
      <w:r w:rsidRPr="00C664D3">
        <w:rPr>
          <w:rFonts w:asciiTheme="minorEastAsia" w:eastAsiaTheme="minorEastAsia" w:hAnsiTheme="minorEastAsia" w:hint="eastAsia"/>
          <w:color w:val="000000" w:themeColor="text1"/>
          <w:szCs w:val="21"/>
        </w:rPr>
        <w:t>进行募集。</w:t>
      </w:r>
    </w:p>
    <w:bookmarkEnd w:id="519"/>
    <w:bookmarkEnd w:id="520"/>
    <w:p w:rsidR="004F49E8" w:rsidRPr="00C664D3" w:rsidRDefault="00EE7D45"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本基金为</w:t>
      </w:r>
      <w:r w:rsidRPr="00C664D3">
        <w:rPr>
          <w:rFonts w:asciiTheme="minorEastAsia" w:eastAsiaTheme="minorEastAsia" w:hAnsiTheme="minorEastAsia" w:hint="eastAsia"/>
          <w:color w:val="000000" w:themeColor="text1"/>
          <w:szCs w:val="21"/>
        </w:rPr>
        <w:t>境外股票指数基金</w:t>
      </w:r>
      <w:r w:rsidR="002E6C13" w:rsidRPr="00C664D3">
        <w:rPr>
          <w:rFonts w:asciiTheme="minorEastAsia" w:eastAsiaTheme="minorEastAsia" w:hAnsiTheme="minorEastAsia"/>
          <w:color w:val="000000" w:themeColor="text1"/>
        </w:rPr>
        <w:t>，基金运作方式为契约型、上市开放式（LOF）</w:t>
      </w:r>
      <w:r w:rsidR="004F49E8" w:rsidRPr="00C664D3">
        <w:rPr>
          <w:rFonts w:asciiTheme="minorEastAsia" w:eastAsiaTheme="minorEastAsia" w:hAnsiTheme="minorEastAsia" w:hint="eastAsia"/>
          <w:color w:val="000000" w:themeColor="text1"/>
        </w:rPr>
        <w:t>，</w:t>
      </w:r>
      <w:r w:rsidR="004F49E8" w:rsidRPr="00C664D3">
        <w:rPr>
          <w:rFonts w:asciiTheme="minorEastAsia" w:eastAsiaTheme="minorEastAsia" w:hAnsiTheme="minorEastAsia"/>
          <w:color w:val="000000" w:themeColor="text1"/>
        </w:rPr>
        <w:t>基金的存续期为不定期。</w:t>
      </w:r>
    </w:p>
    <w:p w:rsidR="00942587" w:rsidRPr="00C664D3" w:rsidRDefault="004F49E8" w:rsidP="00AB77C1">
      <w:pPr>
        <w:snapToGrid w:val="0"/>
        <w:spacing w:line="360" w:lineRule="auto"/>
        <w:ind w:firstLineChars="200" w:firstLine="420"/>
        <w:rPr>
          <w:rFonts w:asciiTheme="minorEastAsia" w:eastAsiaTheme="minorEastAsia" w:hAnsiTheme="minorEastAsia"/>
          <w:color w:val="000000" w:themeColor="text1"/>
        </w:rPr>
      </w:pPr>
      <w:bookmarkStart w:id="522" w:name="_Toc278409363"/>
      <w:bookmarkStart w:id="523" w:name="_Toc423335536"/>
      <w:r w:rsidRPr="00C664D3">
        <w:rPr>
          <w:rStyle w:val="da"/>
          <w:rFonts w:asciiTheme="minorEastAsia" w:eastAsiaTheme="minorEastAsia" w:hAnsiTheme="minorEastAsia" w:hint="eastAsia"/>
          <w:color w:val="000000" w:themeColor="text1"/>
        </w:rPr>
        <w:t>本基金人民币基金份额发售面值为人民币</w:t>
      </w:r>
      <w:r w:rsidRPr="00C664D3">
        <w:rPr>
          <w:rStyle w:val="da"/>
          <w:rFonts w:asciiTheme="minorEastAsia" w:eastAsiaTheme="minorEastAsia" w:hAnsiTheme="minorEastAsia"/>
          <w:color w:val="000000" w:themeColor="text1"/>
        </w:rPr>
        <w:t>1.00</w:t>
      </w:r>
      <w:r w:rsidRPr="00C664D3">
        <w:rPr>
          <w:rStyle w:val="da"/>
          <w:rFonts w:asciiTheme="minorEastAsia" w:eastAsiaTheme="minorEastAsia" w:hAnsiTheme="minorEastAsia" w:hint="eastAsia"/>
          <w:color w:val="000000" w:themeColor="text1"/>
        </w:rPr>
        <w:t>元。美元基金份额的初始面值为人民币基金份额的初始面值按照募集期最后一日美元估值汇率进行折算，以美元为单位，四舍五入保留小数点后</w:t>
      </w:r>
      <w:r w:rsidRPr="00C664D3">
        <w:rPr>
          <w:rStyle w:val="da"/>
          <w:rFonts w:asciiTheme="minorEastAsia" w:eastAsiaTheme="minorEastAsia" w:hAnsiTheme="minorEastAsia"/>
          <w:color w:val="000000" w:themeColor="text1"/>
        </w:rPr>
        <w:t>8</w:t>
      </w:r>
      <w:r w:rsidRPr="00C664D3">
        <w:rPr>
          <w:rStyle w:val="da"/>
          <w:rFonts w:asciiTheme="minorEastAsia" w:eastAsiaTheme="minorEastAsia" w:hAnsiTheme="minorEastAsia" w:hint="eastAsia"/>
          <w:color w:val="000000" w:themeColor="text1"/>
        </w:rPr>
        <w:t>位。</w:t>
      </w:r>
      <w:bookmarkStart w:id="524" w:name="_Toc38432435"/>
      <w:bookmarkEnd w:id="522"/>
      <w:bookmarkEnd w:id="523"/>
    </w:p>
    <w:p w:rsidR="00942587" w:rsidRPr="00C664D3" w:rsidRDefault="004F49E8" w:rsidP="00AB77C1">
      <w:pPr>
        <w:snapToGrid w:val="0"/>
        <w:spacing w:line="360" w:lineRule="auto"/>
        <w:ind w:firstLineChars="200" w:firstLine="420"/>
        <w:rPr>
          <w:rFonts w:asciiTheme="minorEastAsia" w:eastAsiaTheme="minorEastAsia" w:hAnsiTheme="minorEastAsia"/>
          <w:color w:val="000000" w:themeColor="text1"/>
        </w:rPr>
      </w:pPr>
      <w:r w:rsidRPr="00C664D3">
        <w:rPr>
          <w:rStyle w:val="da"/>
          <w:rFonts w:asciiTheme="minorEastAsia" w:eastAsiaTheme="minorEastAsia" w:hAnsiTheme="minorEastAsia" w:hint="eastAsia"/>
          <w:color w:val="000000" w:themeColor="text1"/>
        </w:rPr>
        <w:t>本基金募集期</w:t>
      </w:r>
      <w:r w:rsidRPr="00C664D3">
        <w:rPr>
          <w:rFonts w:asciiTheme="minorEastAsia" w:eastAsiaTheme="minorEastAsia" w:hAnsiTheme="minorEastAsia" w:hint="eastAsia"/>
          <w:color w:val="000000" w:themeColor="text1"/>
        </w:rPr>
        <w:t>自2016年</w:t>
      </w:r>
      <w:r w:rsidRPr="00C664D3">
        <w:rPr>
          <w:rFonts w:asciiTheme="minorEastAsia" w:eastAsiaTheme="minorEastAsia" w:hAnsiTheme="minorEastAsia"/>
          <w:color w:val="000000" w:themeColor="text1"/>
        </w:rPr>
        <w:t>11</w:t>
      </w:r>
      <w:r w:rsidRPr="00C664D3">
        <w:rPr>
          <w:rFonts w:asciiTheme="minorEastAsia" w:eastAsiaTheme="minorEastAsia" w:hAnsiTheme="minorEastAsia" w:hint="eastAsia"/>
          <w:color w:val="000000" w:themeColor="text1"/>
        </w:rPr>
        <w:t>月</w:t>
      </w:r>
      <w:r w:rsidRPr="00C664D3">
        <w:rPr>
          <w:rFonts w:asciiTheme="minorEastAsia" w:eastAsiaTheme="minorEastAsia" w:hAnsiTheme="minorEastAsia"/>
          <w:color w:val="000000" w:themeColor="text1"/>
        </w:rPr>
        <w:t>28</w:t>
      </w:r>
      <w:r w:rsidRPr="00C664D3">
        <w:rPr>
          <w:rFonts w:asciiTheme="minorEastAsia" w:eastAsiaTheme="minorEastAsia" w:hAnsiTheme="minorEastAsia" w:hint="eastAsia"/>
          <w:color w:val="000000" w:themeColor="text1"/>
        </w:rPr>
        <w:t>日至2016年</w:t>
      </w:r>
      <w:r w:rsidRPr="00C664D3">
        <w:rPr>
          <w:rFonts w:asciiTheme="minorEastAsia" w:eastAsiaTheme="minorEastAsia" w:hAnsiTheme="minorEastAsia"/>
          <w:color w:val="000000" w:themeColor="text1"/>
        </w:rPr>
        <w:t>12</w:t>
      </w:r>
      <w:r w:rsidRPr="00C664D3">
        <w:rPr>
          <w:rFonts w:asciiTheme="minorEastAsia" w:eastAsiaTheme="minorEastAsia" w:hAnsiTheme="minorEastAsia" w:hint="eastAsia"/>
          <w:color w:val="000000" w:themeColor="text1"/>
        </w:rPr>
        <w:t>月6日。</w:t>
      </w:r>
      <w:r w:rsidR="002E6C13" w:rsidRPr="00C664D3">
        <w:rPr>
          <w:rFonts w:asciiTheme="minorEastAsia" w:eastAsiaTheme="minorEastAsia" w:hAnsiTheme="minorEastAsia"/>
          <w:color w:val="000000" w:themeColor="text1"/>
        </w:rPr>
        <w:t>募集对象</w:t>
      </w:r>
      <w:r w:rsidRPr="00C664D3">
        <w:rPr>
          <w:rFonts w:asciiTheme="minorEastAsia" w:eastAsiaTheme="minorEastAsia" w:hAnsiTheme="minorEastAsia" w:hint="eastAsia"/>
          <w:color w:val="000000" w:themeColor="text1"/>
        </w:rPr>
        <w:t>为</w:t>
      </w:r>
      <w:bookmarkStart w:id="525" w:name="OLE_LINK1"/>
      <w:bookmarkEnd w:id="524"/>
      <w:r w:rsidR="00040353" w:rsidRPr="00C664D3">
        <w:rPr>
          <w:rStyle w:val="da"/>
          <w:rFonts w:asciiTheme="minorEastAsia" w:eastAsiaTheme="minorEastAsia" w:hAnsiTheme="minorEastAsia"/>
          <w:color w:val="000000" w:themeColor="text1"/>
        </w:rPr>
        <w:t>符合法律法规规定的可投资于证券投资基金的个人投资者、机构投资者和合格境外机构投资者以及法律法规或中国证监会允许购买证券投资基金的其他投资人</w:t>
      </w:r>
      <w:r w:rsidR="00040353" w:rsidRPr="00C664D3">
        <w:rPr>
          <w:rStyle w:val="da"/>
          <w:rFonts w:asciiTheme="minorEastAsia" w:eastAsiaTheme="minorEastAsia" w:hAnsiTheme="minorEastAsia" w:hint="eastAsia"/>
          <w:color w:val="000000" w:themeColor="text1"/>
        </w:rPr>
        <w:t>。</w:t>
      </w:r>
      <w:bookmarkEnd w:id="525"/>
    </w:p>
    <w:bookmarkEnd w:id="521"/>
    <w:p w:rsidR="00A1091C" w:rsidRPr="00C664D3" w:rsidRDefault="00A1091C" w:rsidP="00AB77C1">
      <w:pPr>
        <w:pStyle w:val="af"/>
        <w:autoSpaceDE w:val="0"/>
        <w:autoSpaceDN w:val="0"/>
        <w:adjustRightInd w:val="0"/>
        <w:spacing w:line="360" w:lineRule="auto"/>
        <w:ind w:firstLineChars="200" w:firstLine="400"/>
        <w:rPr>
          <w:rFonts w:asciiTheme="minorEastAsia" w:eastAsiaTheme="minorEastAsia" w:hAnsiTheme="minorEastAsia"/>
          <w:color w:val="000000" w:themeColor="text1"/>
          <w:kern w:val="0"/>
          <w:sz w:val="20"/>
        </w:rPr>
      </w:pPr>
    </w:p>
    <w:p w:rsidR="00A1091C" w:rsidRPr="00C664D3" w:rsidRDefault="00EC2EC2"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526" w:name="_Toc83904202"/>
      <w:r w:rsidRPr="00C664D3">
        <w:rPr>
          <w:rFonts w:asciiTheme="minorEastAsia" w:eastAsiaTheme="minorEastAsia" w:hAnsiTheme="minorEastAsia"/>
          <w:color w:val="000000" w:themeColor="text1"/>
        </w:rPr>
        <w:lastRenderedPageBreak/>
        <w:t>基金</w:t>
      </w:r>
      <w:r w:rsidRPr="00C664D3">
        <w:rPr>
          <w:rFonts w:asciiTheme="minorEastAsia" w:eastAsiaTheme="minorEastAsia" w:hAnsiTheme="minorEastAsia" w:hint="eastAsia"/>
          <w:color w:val="000000" w:themeColor="text1"/>
        </w:rPr>
        <w:t>合同的</w:t>
      </w:r>
      <w:r w:rsidRPr="00C664D3">
        <w:rPr>
          <w:rFonts w:asciiTheme="minorEastAsia" w:eastAsiaTheme="minorEastAsia" w:hAnsiTheme="minorEastAsia"/>
          <w:color w:val="000000" w:themeColor="text1"/>
        </w:rPr>
        <w:t>生效</w:t>
      </w:r>
      <w:bookmarkEnd w:id="526"/>
    </w:p>
    <w:p w:rsidR="00942587" w:rsidRPr="00C664D3" w:rsidRDefault="002B1B1F"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527" w:name="_Toc481141449"/>
      <w:bookmarkStart w:id="528" w:name="_Toc339893390"/>
      <w:bookmarkStart w:id="529" w:name="_Toc423335556"/>
      <w:bookmarkStart w:id="530" w:name="_Toc133292585"/>
      <w:bookmarkStart w:id="531" w:name="_Toc38432438"/>
      <w:r w:rsidRPr="00C664D3">
        <w:rPr>
          <w:rFonts w:asciiTheme="minorEastAsia" w:eastAsiaTheme="minorEastAsia" w:hAnsiTheme="minorEastAsia"/>
          <w:b w:val="0"/>
          <w:color w:val="000000" w:themeColor="text1"/>
        </w:rPr>
        <w:t>基金</w:t>
      </w:r>
      <w:r w:rsidRPr="00C664D3">
        <w:rPr>
          <w:rFonts w:asciiTheme="minorEastAsia" w:eastAsiaTheme="minorEastAsia" w:hAnsiTheme="minorEastAsia" w:hint="eastAsia"/>
          <w:b w:val="0"/>
          <w:bCs/>
          <w:color w:val="000000" w:themeColor="text1"/>
        </w:rPr>
        <w:t>合同</w:t>
      </w:r>
      <w:r w:rsidRPr="00C664D3">
        <w:rPr>
          <w:rFonts w:asciiTheme="minorEastAsia" w:eastAsiaTheme="minorEastAsia" w:hAnsiTheme="minorEastAsia"/>
          <w:b w:val="0"/>
          <w:bCs/>
          <w:color w:val="000000" w:themeColor="text1"/>
        </w:rPr>
        <w:t>的生效</w:t>
      </w:r>
      <w:bookmarkEnd w:id="527"/>
    </w:p>
    <w:p w:rsidR="00A1091C" w:rsidRPr="00C664D3" w:rsidRDefault="002B1B1F"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本基金</w:t>
      </w:r>
      <w:r w:rsidRPr="00C664D3">
        <w:rPr>
          <w:rFonts w:asciiTheme="minorEastAsia" w:eastAsiaTheme="minorEastAsia" w:hAnsiTheme="minorEastAsia" w:hint="eastAsia"/>
          <w:color w:val="000000" w:themeColor="text1"/>
        </w:rPr>
        <w:t>基金合同于201</w:t>
      </w:r>
      <w:r w:rsidRPr="00C664D3">
        <w:rPr>
          <w:rFonts w:asciiTheme="minorEastAsia" w:eastAsiaTheme="minorEastAsia" w:hAnsiTheme="minorEastAsia"/>
          <w:color w:val="000000" w:themeColor="text1"/>
        </w:rPr>
        <w:t>6</w:t>
      </w:r>
      <w:r w:rsidRPr="00C664D3">
        <w:rPr>
          <w:rFonts w:asciiTheme="minorEastAsia" w:eastAsiaTheme="minorEastAsia" w:hAnsiTheme="minorEastAsia" w:hint="eastAsia"/>
          <w:color w:val="000000" w:themeColor="text1"/>
        </w:rPr>
        <w:t>年</w:t>
      </w:r>
      <w:r w:rsidRPr="00C664D3">
        <w:rPr>
          <w:rFonts w:asciiTheme="minorEastAsia" w:eastAsiaTheme="minorEastAsia" w:hAnsiTheme="minorEastAsia"/>
          <w:color w:val="000000" w:themeColor="text1"/>
        </w:rPr>
        <w:t>12</w:t>
      </w:r>
      <w:r w:rsidRPr="00C664D3">
        <w:rPr>
          <w:rFonts w:asciiTheme="minorEastAsia" w:eastAsiaTheme="minorEastAsia" w:hAnsiTheme="minorEastAsia" w:hint="eastAsia"/>
          <w:color w:val="000000" w:themeColor="text1"/>
        </w:rPr>
        <w:t>月13日正式生效。自基金合同生效日起，本基金管理人正式开始管理本基金。</w:t>
      </w:r>
      <w:bookmarkEnd w:id="528"/>
      <w:bookmarkEnd w:id="529"/>
      <w:bookmarkEnd w:id="530"/>
      <w:bookmarkEnd w:id="531"/>
    </w:p>
    <w:p w:rsidR="00942587" w:rsidRPr="00C664D3" w:rsidRDefault="00122611" w:rsidP="00AB77C1">
      <w:pPr>
        <w:pStyle w:val="2"/>
        <w:numPr>
          <w:ilvl w:val="1"/>
          <w:numId w:val="3"/>
        </w:numPr>
        <w:spacing w:beforeLines="0" w:afterLines="0" w:line="360" w:lineRule="auto"/>
        <w:ind w:left="0" w:firstLineChars="0" w:firstLine="0"/>
        <w:rPr>
          <w:rFonts w:asciiTheme="minorEastAsia" w:eastAsiaTheme="minorEastAsia" w:hAnsiTheme="minorEastAsia"/>
          <w:b w:val="0"/>
          <w:color w:val="000000" w:themeColor="text1"/>
        </w:rPr>
      </w:pPr>
      <w:bookmarkStart w:id="532" w:name="_Toc423335558"/>
      <w:r w:rsidRPr="00C664D3">
        <w:rPr>
          <w:rFonts w:asciiTheme="minorEastAsia" w:eastAsiaTheme="minorEastAsia" w:hAnsiTheme="minorEastAsia"/>
          <w:b w:val="0"/>
          <w:color w:val="000000" w:themeColor="text1"/>
        </w:rPr>
        <w:t>基金存续期内的基金份额持有人数量和资产规模</w:t>
      </w:r>
      <w:bookmarkEnd w:id="532"/>
    </w:p>
    <w:p w:rsidR="00590662" w:rsidRPr="00C664D3" w:rsidRDefault="00590662"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《基金合同》生效后，</w:t>
      </w:r>
      <w:r w:rsidRPr="00C664D3">
        <w:rPr>
          <w:rFonts w:asciiTheme="minorEastAsia" w:eastAsiaTheme="minorEastAsia" w:hAnsiTheme="minorEastAsia" w:hint="eastAsia"/>
          <w:color w:val="000000" w:themeColor="text1"/>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1622D5" w:rsidRPr="00C664D3" w:rsidRDefault="00590662"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法律法规</w:t>
      </w:r>
      <w:r w:rsidRPr="00C664D3">
        <w:rPr>
          <w:rFonts w:asciiTheme="minorEastAsia" w:eastAsiaTheme="minorEastAsia" w:hAnsiTheme="minorEastAsia" w:hint="eastAsia"/>
          <w:color w:val="000000" w:themeColor="text1"/>
        </w:rPr>
        <w:t>或基金合同</w:t>
      </w:r>
      <w:r w:rsidRPr="00C664D3">
        <w:rPr>
          <w:rFonts w:asciiTheme="minorEastAsia" w:eastAsiaTheme="minorEastAsia" w:hAnsiTheme="minorEastAsia"/>
          <w:color w:val="000000" w:themeColor="text1"/>
        </w:rPr>
        <w:t>另有规定时，从其规定。</w:t>
      </w: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533" w:name="_Toc83904203"/>
      <w:r w:rsidRPr="00C664D3">
        <w:rPr>
          <w:rFonts w:asciiTheme="minorEastAsia" w:eastAsiaTheme="minorEastAsia" w:hAnsiTheme="minorEastAsia"/>
          <w:color w:val="000000" w:themeColor="text1"/>
        </w:rPr>
        <w:lastRenderedPageBreak/>
        <w:t>基金份额的上市交易</w:t>
      </w:r>
      <w:bookmarkEnd w:id="533"/>
    </w:p>
    <w:p w:rsidR="00A1091C" w:rsidRPr="00C664D3" w:rsidRDefault="00EC0B18" w:rsidP="00AB77C1">
      <w:pPr>
        <w:spacing w:line="360" w:lineRule="auto"/>
        <w:ind w:firstLine="420"/>
        <w:rPr>
          <w:rFonts w:asciiTheme="minorEastAsia" w:eastAsiaTheme="minorEastAsia" w:hAnsiTheme="minorEastAsia"/>
          <w:color w:val="000000" w:themeColor="text1"/>
          <w:sz w:val="28"/>
          <w:szCs w:val="28"/>
        </w:rPr>
      </w:pPr>
      <w:bookmarkStart w:id="534" w:name="_Toc423335560"/>
      <w:r w:rsidRPr="00C664D3">
        <w:rPr>
          <w:rFonts w:asciiTheme="minorEastAsia" w:eastAsiaTheme="minorEastAsia" w:hAnsiTheme="minorEastAsia" w:hint="eastAsia"/>
          <w:color w:val="000000" w:themeColor="text1"/>
          <w:sz w:val="28"/>
          <w:szCs w:val="28"/>
        </w:rPr>
        <w:t>一、</w:t>
      </w:r>
      <w:r w:rsidR="00A1091C" w:rsidRPr="00C664D3">
        <w:rPr>
          <w:rFonts w:asciiTheme="minorEastAsia" w:eastAsiaTheme="minorEastAsia" w:hAnsiTheme="minorEastAsia"/>
          <w:color w:val="000000" w:themeColor="text1"/>
          <w:sz w:val="28"/>
          <w:szCs w:val="28"/>
        </w:rPr>
        <w:t>基金</w:t>
      </w:r>
      <w:r w:rsidR="00B90CCA" w:rsidRPr="00C664D3">
        <w:rPr>
          <w:rFonts w:asciiTheme="minorEastAsia" w:eastAsiaTheme="minorEastAsia" w:hAnsiTheme="minorEastAsia" w:hint="eastAsia"/>
          <w:color w:val="000000" w:themeColor="text1"/>
          <w:sz w:val="28"/>
          <w:szCs w:val="28"/>
        </w:rPr>
        <w:t>份额</w:t>
      </w:r>
      <w:r w:rsidR="00A1091C" w:rsidRPr="00C664D3">
        <w:rPr>
          <w:rFonts w:asciiTheme="minorEastAsia" w:eastAsiaTheme="minorEastAsia" w:hAnsiTheme="minorEastAsia"/>
          <w:color w:val="000000" w:themeColor="text1"/>
          <w:sz w:val="28"/>
          <w:szCs w:val="28"/>
        </w:rPr>
        <w:t>的上市</w:t>
      </w:r>
      <w:bookmarkEnd w:id="534"/>
    </w:p>
    <w:p w:rsidR="00A1091C" w:rsidRPr="00C664D3" w:rsidRDefault="00B5180D" w:rsidP="00AB77C1">
      <w:pPr>
        <w:spacing w:line="360" w:lineRule="auto"/>
        <w:ind w:firstLine="420"/>
        <w:rPr>
          <w:rFonts w:asciiTheme="minorEastAsia" w:eastAsiaTheme="minorEastAsia" w:hAnsiTheme="minorEastAsia"/>
          <w:color w:val="000000" w:themeColor="text1"/>
        </w:rPr>
      </w:pPr>
      <w:bookmarkStart w:id="535" w:name="_Toc423335561"/>
      <w:r w:rsidRPr="00C664D3">
        <w:rPr>
          <w:rFonts w:asciiTheme="minorEastAsia" w:eastAsiaTheme="minorEastAsia" w:hAnsiTheme="minorEastAsia" w:hint="eastAsia"/>
          <w:color w:val="000000" w:themeColor="text1"/>
        </w:rPr>
        <w:t>根据有关规定，本基金合同生效后，</w:t>
      </w:r>
      <w:r w:rsidR="000F1010" w:rsidRPr="00C664D3">
        <w:rPr>
          <w:rFonts w:asciiTheme="minorEastAsia" w:eastAsiaTheme="minorEastAsia" w:hAnsiTheme="minorEastAsia" w:hint="eastAsia"/>
          <w:color w:val="000000" w:themeColor="text1"/>
        </w:rPr>
        <w:t>本基金A类</w:t>
      </w:r>
      <w:r w:rsidRPr="00C664D3">
        <w:rPr>
          <w:rFonts w:asciiTheme="minorEastAsia" w:eastAsiaTheme="minorEastAsia" w:hAnsiTheme="minorEastAsia" w:hint="eastAsia"/>
          <w:color w:val="000000" w:themeColor="text1"/>
        </w:rPr>
        <w:t>人民币基金份额具备上市条件，自</w:t>
      </w:r>
      <w:r w:rsidRPr="00C664D3">
        <w:rPr>
          <w:rFonts w:asciiTheme="minorEastAsia" w:eastAsiaTheme="minorEastAsia" w:hAnsiTheme="minorEastAsia"/>
          <w:color w:val="000000" w:themeColor="text1"/>
        </w:rPr>
        <w:t>2016</w:t>
      </w:r>
      <w:r w:rsidRPr="00C664D3">
        <w:rPr>
          <w:rFonts w:asciiTheme="minorEastAsia" w:eastAsiaTheme="minorEastAsia" w:hAnsiTheme="minorEastAsia" w:hint="eastAsia"/>
          <w:color w:val="000000" w:themeColor="text1"/>
        </w:rPr>
        <w:t>年</w:t>
      </w:r>
      <w:r w:rsidRPr="00C664D3">
        <w:rPr>
          <w:rFonts w:asciiTheme="minorEastAsia" w:eastAsiaTheme="minorEastAsia" w:hAnsiTheme="minorEastAsia"/>
          <w:color w:val="000000" w:themeColor="text1"/>
        </w:rPr>
        <w:t>12</w:t>
      </w:r>
      <w:r w:rsidRPr="00C664D3">
        <w:rPr>
          <w:rFonts w:asciiTheme="minorEastAsia" w:eastAsiaTheme="minorEastAsia" w:hAnsiTheme="minorEastAsia" w:hint="eastAsia"/>
          <w:color w:val="000000" w:themeColor="text1"/>
        </w:rPr>
        <w:t>月</w:t>
      </w:r>
      <w:r w:rsidRPr="00C664D3">
        <w:rPr>
          <w:rFonts w:asciiTheme="minorEastAsia" w:eastAsiaTheme="minorEastAsia" w:hAnsiTheme="minorEastAsia"/>
          <w:color w:val="000000" w:themeColor="text1"/>
        </w:rPr>
        <w:t>27</w:t>
      </w:r>
      <w:r w:rsidRPr="00C664D3">
        <w:rPr>
          <w:rFonts w:asciiTheme="minorEastAsia" w:eastAsiaTheme="minorEastAsia" w:hAnsiTheme="minorEastAsia" w:hint="eastAsia"/>
          <w:color w:val="000000" w:themeColor="text1"/>
        </w:rPr>
        <w:t>日起在深圳证券交易所上市交易（</w:t>
      </w:r>
      <w:r w:rsidR="001F0750" w:rsidRPr="00C664D3">
        <w:rPr>
          <w:rFonts w:asciiTheme="minorEastAsia" w:eastAsiaTheme="minorEastAsia" w:hAnsiTheme="minorEastAsia" w:hint="eastAsia"/>
          <w:color w:val="000000" w:themeColor="text1"/>
        </w:rPr>
        <w:t>场内简称：标普信息科技</w:t>
      </w:r>
      <w:r w:rsidR="001F0750" w:rsidRPr="00C664D3">
        <w:rPr>
          <w:rFonts w:asciiTheme="minorEastAsia" w:eastAsiaTheme="minorEastAsia" w:hAnsiTheme="minorEastAsia"/>
          <w:color w:val="000000" w:themeColor="text1"/>
        </w:rPr>
        <w:t>LOF，</w:t>
      </w:r>
      <w:r w:rsidR="001F0750" w:rsidRPr="00C664D3">
        <w:rPr>
          <w:rFonts w:asciiTheme="minorEastAsia" w:eastAsiaTheme="minorEastAsia" w:hAnsiTheme="minorEastAsia" w:hint="eastAsia"/>
          <w:color w:val="000000" w:themeColor="text1"/>
        </w:rPr>
        <w:t>基金代码：</w:t>
      </w:r>
      <w:r w:rsidR="001F0750" w:rsidRPr="00C664D3">
        <w:rPr>
          <w:rFonts w:asciiTheme="minorEastAsia" w:eastAsiaTheme="minorEastAsia" w:hAnsiTheme="minorEastAsia"/>
          <w:color w:val="000000" w:themeColor="text1"/>
        </w:rPr>
        <w:t>161128</w:t>
      </w:r>
      <w:r w:rsidRPr="00C664D3">
        <w:rPr>
          <w:rFonts w:asciiTheme="minorEastAsia" w:eastAsiaTheme="minorEastAsia" w:hAnsiTheme="minorEastAsia" w:hint="eastAsia"/>
          <w:color w:val="000000" w:themeColor="text1"/>
        </w:rPr>
        <w:t>）</w:t>
      </w:r>
      <w:bookmarkEnd w:id="535"/>
      <w:r w:rsidR="002C3D33" w:rsidRPr="00C664D3">
        <w:rPr>
          <w:rFonts w:asciiTheme="minorEastAsia" w:eastAsiaTheme="minorEastAsia" w:hAnsiTheme="minorEastAsia" w:hint="eastAsia"/>
          <w:color w:val="000000" w:themeColor="text1"/>
        </w:rPr>
        <w:t>。</w:t>
      </w:r>
    </w:p>
    <w:p w:rsidR="00D12A88" w:rsidRPr="00C664D3" w:rsidRDefault="00EC0B18" w:rsidP="00AB77C1">
      <w:pPr>
        <w:spacing w:line="360" w:lineRule="auto"/>
        <w:ind w:firstLine="420"/>
        <w:rPr>
          <w:rFonts w:asciiTheme="minorEastAsia" w:eastAsiaTheme="minorEastAsia" w:hAnsiTheme="minorEastAsia"/>
          <w:color w:val="000000" w:themeColor="text1"/>
          <w:sz w:val="28"/>
          <w:szCs w:val="28"/>
        </w:rPr>
      </w:pPr>
      <w:bookmarkStart w:id="536" w:name="_Toc423335565"/>
      <w:r w:rsidRPr="00C664D3">
        <w:rPr>
          <w:rFonts w:asciiTheme="minorEastAsia" w:eastAsiaTheme="minorEastAsia" w:hAnsiTheme="minorEastAsia" w:hint="eastAsia"/>
          <w:color w:val="000000" w:themeColor="text1"/>
          <w:sz w:val="28"/>
          <w:szCs w:val="28"/>
        </w:rPr>
        <w:t>二、</w:t>
      </w:r>
      <w:r w:rsidR="00D12A88" w:rsidRPr="00C664D3">
        <w:rPr>
          <w:rFonts w:asciiTheme="minorEastAsia" w:eastAsiaTheme="minorEastAsia" w:hAnsiTheme="minorEastAsia" w:hint="eastAsia"/>
          <w:color w:val="000000" w:themeColor="text1"/>
          <w:sz w:val="28"/>
          <w:szCs w:val="28"/>
        </w:rPr>
        <w:t>上市交易的基金份额</w:t>
      </w:r>
      <w:bookmarkEnd w:id="536"/>
    </w:p>
    <w:p w:rsidR="00D12A88" w:rsidRPr="00C664D3" w:rsidRDefault="00CF4939" w:rsidP="00AB77C1">
      <w:pPr>
        <w:spacing w:line="360" w:lineRule="auto"/>
        <w:ind w:firstLine="420"/>
        <w:rPr>
          <w:rFonts w:asciiTheme="minorEastAsia" w:eastAsiaTheme="minorEastAsia" w:hAnsiTheme="minorEastAsia"/>
          <w:color w:val="000000" w:themeColor="text1"/>
        </w:rPr>
      </w:pPr>
      <w:bookmarkStart w:id="537" w:name="_Toc423335566"/>
      <w:r w:rsidRPr="00C664D3">
        <w:rPr>
          <w:rFonts w:asciiTheme="minorEastAsia" w:eastAsiaTheme="minorEastAsia" w:hAnsiTheme="minorEastAsia" w:hint="eastAsia"/>
          <w:color w:val="000000" w:themeColor="text1"/>
        </w:rPr>
        <w:t>基金上市后，</w:t>
      </w:r>
      <w:r w:rsidR="000F1010" w:rsidRPr="00C664D3">
        <w:rPr>
          <w:rFonts w:asciiTheme="minorEastAsia" w:eastAsiaTheme="minorEastAsia" w:hAnsiTheme="minorEastAsia" w:hint="eastAsia"/>
          <w:color w:val="000000" w:themeColor="text1"/>
        </w:rPr>
        <w:t>登记在证券登记系统中的场内A类人民币基金份额可直接在深圳证券交易所上市交易；登记在登记结算系统中的场外A类人民币基金份额通过办理跨系统转托管业务将基金份额转至证券登记系统后，方可上市交易</w:t>
      </w:r>
      <w:r w:rsidRPr="00C664D3">
        <w:rPr>
          <w:rFonts w:asciiTheme="minorEastAsia" w:eastAsiaTheme="minorEastAsia" w:hAnsiTheme="minorEastAsia" w:hint="eastAsia"/>
          <w:color w:val="000000" w:themeColor="text1"/>
        </w:rPr>
        <w:t>。</w:t>
      </w:r>
      <w:bookmarkEnd w:id="537"/>
    </w:p>
    <w:p w:rsidR="00A1091C" w:rsidRPr="00C664D3" w:rsidRDefault="00D12A88" w:rsidP="00AB77C1">
      <w:pPr>
        <w:spacing w:line="360" w:lineRule="auto"/>
        <w:ind w:firstLine="420"/>
        <w:rPr>
          <w:rFonts w:asciiTheme="minorEastAsia" w:eastAsiaTheme="minorEastAsia" w:hAnsiTheme="minorEastAsia"/>
          <w:color w:val="000000" w:themeColor="text1"/>
          <w:sz w:val="28"/>
          <w:szCs w:val="28"/>
        </w:rPr>
      </w:pPr>
      <w:bookmarkStart w:id="538" w:name="_Toc423335567"/>
      <w:r w:rsidRPr="00C664D3">
        <w:rPr>
          <w:rFonts w:asciiTheme="minorEastAsia" w:eastAsiaTheme="minorEastAsia" w:hAnsiTheme="minorEastAsia" w:hint="eastAsia"/>
          <w:color w:val="000000" w:themeColor="text1"/>
          <w:sz w:val="28"/>
          <w:szCs w:val="28"/>
        </w:rPr>
        <w:t>三、</w:t>
      </w:r>
      <w:bookmarkStart w:id="539" w:name="_Toc423335568"/>
      <w:bookmarkEnd w:id="538"/>
      <w:r w:rsidR="00A1091C" w:rsidRPr="00C664D3">
        <w:rPr>
          <w:rFonts w:asciiTheme="minorEastAsia" w:eastAsiaTheme="minorEastAsia" w:hAnsiTheme="minorEastAsia"/>
          <w:color w:val="000000" w:themeColor="text1"/>
          <w:sz w:val="28"/>
          <w:szCs w:val="28"/>
        </w:rPr>
        <w:t>上市交易的规则</w:t>
      </w:r>
      <w:bookmarkEnd w:id="539"/>
    </w:p>
    <w:p w:rsidR="00A1091C" w:rsidRPr="00C664D3" w:rsidRDefault="00CF4939" w:rsidP="00AB77C1">
      <w:pPr>
        <w:spacing w:line="360" w:lineRule="auto"/>
        <w:ind w:firstLine="420"/>
        <w:rPr>
          <w:rFonts w:asciiTheme="minorEastAsia" w:eastAsiaTheme="minorEastAsia" w:hAnsiTheme="minorEastAsia"/>
          <w:color w:val="000000" w:themeColor="text1"/>
        </w:rPr>
      </w:pPr>
      <w:bookmarkStart w:id="540" w:name="_Toc423335569"/>
      <w:r w:rsidRPr="00C664D3">
        <w:rPr>
          <w:rFonts w:asciiTheme="minorEastAsia" w:eastAsiaTheme="minorEastAsia" w:hAnsiTheme="minorEastAsia" w:hint="eastAsia"/>
          <w:color w:val="000000" w:themeColor="text1"/>
        </w:rPr>
        <w:t>本基金</w:t>
      </w:r>
      <w:r w:rsidR="000F1010" w:rsidRPr="00C664D3">
        <w:rPr>
          <w:rFonts w:asciiTheme="minorEastAsia" w:eastAsiaTheme="minorEastAsia" w:hAnsiTheme="minorEastAsia" w:hint="eastAsia"/>
          <w:color w:val="000000" w:themeColor="text1"/>
        </w:rPr>
        <w:t>A类人民币</w:t>
      </w:r>
      <w:r w:rsidRPr="00C664D3">
        <w:rPr>
          <w:rFonts w:asciiTheme="minorEastAsia" w:eastAsiaTheme="minorEastAsia" w:hAnsiTheme="minorEastAsia" w:hint="eastAsia"/>
          <w:color w:val="000000" w:themeColor="text1"/>
        </w:rPr>
        <w:t>份额在深圳证券交易所的上市交易需遵循《深圳证券交易所证券投资基金上市规则》、《深圳证券交易所交易规则》等有关规定。</w:t>
      </w:r>
      <w:bookmarkEnd w:id="540"/>
    </w:p>
    <w:p w:rsidR="00A1091C" w:rsidRPr="00C664D3" w:rsidRDefault="00CF4939" w:rsidP="00AB77C1">
      <w:pPr>
        <w:spacing w:line="360" w:lineRule="auto"/>
        <w:ind w:firstLine="420"/>
        <w:rPr>
          <w:rFonts w:asciiTheme="minorEastAsia" w:eastAsiaTheme="minorEastAsia" w:hAnsiTheme="minorEastAsia"/>
          <w:color w:val="000000" w:themeColor="text1"/>
          <w:sz w:val="28"/>
          <w:szCs w:val="28"/>
        </w:rPr>
      </w:pPr>
      <w:r w:rsidRPr="00C664D3">
        <w:rPr>
          <w:rFonts w:asciiTheme="minorEastAsia" w:eastAsiaTheme="minorEastAsia" w:hAnsiTheme="minorEastAsia" w:hint="eastAsia"/>
          <w:color w:val="000000" w:themeColor="text1"/>
          <w:sz w:val="28"/>
          <w:szCs w:val="28"/>
        </w:rPr>
        <w:t>四</w:t>
      </w:r>
      <w:r w:rsidR="00EC0B18" w:rsidRPr="00C664D3">
        <w:rPr>
          <w:rFonts w:asciiTheme="minorEastAsia" w:eastAsiaTheme="minorEastAsia" w:hAnsiTheme="minorEastAsia" w:hint="eastAsia"/>
          <w:color w:val="000000" w:themeColor="text1"/>
          <w:sz w:val="28"/>
          <w:szCs w:val="28"/>
        </w:rPr>
        <w:t>、</w:t>
      </w:r>
      <w:r w:rsidR="00A1091C" w:rsidRPr="00C664D3">
        <w:rPr>
          <w:rFonts w:asciiTheme="minorEastAsia" w:eastAsiaTheme="minorEastAsia" w:hAnsiTheme="minorEastAsia"/>
          <w:color w:val="000000" w:themeColor="text1"/>
          <w:sz w:val="28"/>
          <w:szCs w:val="28"/>
        </w:rPr>
        <w:t>上市交易的费用</w:t>
      </w:r>
    </w:p>
    <w:p w:rsidR="00A1091C" w:rsidRPr="00C664D3" w:rsidRDefault="000F1010"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A类人民币</w:t>
      </w:r>
      <w:r w:rsidR="00CF4939" w:rsidRPr="00C664D3">
        <w:rPr>
          <w:rFonts w:asciiTheme="minorEastAsia" w:eastAsiaTheme="minorEastAsia" w:hAnsiTheme="minorEastAsia" w:hint="eastAsia"/>
          <w:color w:val="000000" w:themeColor="text1"/>
        </w:rPr>
        <w:t>份额上市交易的费用按照深圳证券交易所有关规定办理。</w:t>
      </w:r>
    </w:p>
    <w:p w:rsidR="00A1091C" w:rsidRPr="00C664D3" w:rsidRDefault="00CF4939" w:rsidP="00AB77C1">
      <w:pPr>
        <w:spacing w:line="360" w:lineRule="auto"/>
        <w:ind w:firstLine="420"/>
        <w:rPr>
          <w:rFonts w:asciiTheme="minorEastAsia" w:eastAsiaTheme="minorEastAsia" w:hAnsiTheme="minorEastAsia"/>
          <w:color w:val="000000" w:themeColor="text1"/>
          <w:sz w:val="28"/>
          <w:szCs w:val="28"/>
        </w:rPr>
      </w:pPr>
      <w:r w:rsidRPr="00C664D3">
        <w:rPr>
          <w:rFonts w:asciiTheme="minorEastAsia" w:eastAsiaTheme="minorEastAsia" w:hAnsiTheme="minorEastAsia" w:hint="eastAsia"/>
          <w:color w:val="000000" w:themeColor="text1"/>
          <w:sz w:val="28"/>
          <w:szCs w:val="28"/>
        </w:rPr>
        <w:t>五</w:t>
      </w:r>
      <w:r w:rsidR="00EC0B18" w:rsidRPr="00C664D3">
        <w:rPr>
          <w:rFonts w:asciiTheme="minorEastAsia" w:eastAsiaTheme="minorEastAsia" w:hAnsiTheme="minorEastAsia" w:hint="eastAsia"/>
          <w:color w:val="000000" w:themeColor="text1"/>
          <w:sz w:val="28"/>
          <w:szCs w:val="28"/>
        </w:rPr>
        <w:t>、</w:t>
      </w:r>
      <w:r w:rsidR="00526D27" w:rsidRPr="00C664D3">
        <w:rPr>
          <w:rFonts w:asciiTheme="minorEastAsia" w:eastAsiaTheme="minorEastAsia" w:hAnsiTheme="minorEastAsia" w:hint="eastAsia"/>
          <w:color w:val="000000" w:themeColor="text1"/>
          <w:sz w:val="28"/>
          <w:szCs w:val="28"/>
        </w:rPr>
        <w:t>上市交易的停复牌、暂停上市、恢复上市和终止上市</w:t>
      </w:r>
    </w:p>
    <w:p w:rsidR="00A1091C" w:rsidRPr="00C664D3" w:rsidRDefault="000F1010" w:rsidP="00AB77C1">
      <w:pPr>
        <w:spacing w:line="360" w:lineRule="auto"/>
        <w:ind w:firstLine="420"/>
        <w:rPr>
          <w:rFonts w:asciiTheme="minorEastAsia" w:eastAsiaTheme="minorEastAsia" w:hAnsiTheme="minorEastAsia"/>
          <w:color w:val="000000" w:themeColor="text1"/>
        </w:rPr>
      </w:pPr>
      <w:bookmarkStart w:id="541" w:name="_Toc423335570"/>
      <w:r w:rsidRPr="00C664D3">
        <w:rPr>
          <w:rFonts w:asciiTheme="minorEastAsia" w:eastAsiaTheme="minorEastAsia" w:hAnsiTheme="minorEastAsia" w:hint="eastAsia"/>
          <w:color w:val="000000" w:themeColor="text1"/>
        </w:rPr>
        <w:t>A类人民币</w:t>
      </w:r>
      <w:r w:rsidR="000E2D81" w:rsidRPr="00C664D3">
        <w:rPr>
          <w:rFonts w:asciiTheme="minorEastAsia" w:eastAsiaTheme="minorEastAsia" w:hAnsiTheme="minorEastAsia" w:hint="eastAsia"/>
          <w:color w:val="000000" w:themeColor="text1"/>
        </w:rPr>
        <w:t>份额的停复牌、暂停上市、恢复上市和终止上市等事项按照《基金法》相关规定和深圳证券交易所的相关规定执行。具体情况见基金管理人届时相关公告。</w:t>
      </w:r>
      <w:bookmarkEnd w:id="541"/>
    </w:p>
    <w:p w:rsidR="00526D27" w:rsidRPr="00C664D3" w:rsidRDefault="008B6877" w:rsidP="00AB77C1">
      <w:pPr>
        <w:spacing w:line="360" w:lineRule="auto"/>
        <w:ind w:firstLine="420"/>
        <w:rPr>
          <w:rFonts w:asciiTheme="minorEastAsia" w:eastAsiaTheme="minorEastAsia" w:hAnsiTheme="minorEastAsia"/>
          <w:color w:val="000000" w:themeColor="text1"/>
          <w:sz w:val="28"/>
          <w:szCs w:val="28"/>
        </w:rPr>
      </w:pPr>
      <w:r w:rsidRPr="00C664D3">
        <w:rPr>
          <w:rFonts w:asciiTheme="minorEastAsia" w:eastAsiaTheme="minorEastAsia" w:hAnsiTheme="minorEastAsia" w:hint="eastAsia"/>
          <w:color w:val="000000" w:themeColor="text1"/>
          <w:sz w:val="28"/>
          <w:szCs w:val="28"/>
        </w:rPr>
        <w:t>六</w:t>
      </w:r>
      <w:r w:rsidR="00EC0B18" w:rsidRPr="00C664D3">
        <w:rPr>
          <w:rFonts w:asciiTheme="minorEastAsia" w:eastAsiaTheme="minorEastAsia" w:hAnsiTheme="minorEastAsia" w:hint="eastAsia"/>
          <w:color w:val="000000" w:themeColor="text1"/>
          <w:sz w:val="28"/>
          <w:szCs w:val="28"/>
        </w:rPr>
        <w:t>、</w:t>
      </w:r>
      <w:r w:rsidR="00526D27" w:rsidRPr="00C664D3">
        <w:rPr>
          <w:rFonts w:asciiTheme="minorEastAsia" w:eastAsiaTheme="minorEastAsia" w:hAnsiTheme="minorEastAsia" w:hint="eastAsia"/>
          <w:color w:val="000000" w:themeColor="text1"/>
          <w:sz w:val="28"/>
          <w:szCs w:val="28"/>
        </w:rPr>
        <w:t>其他</w:t>
      </w:r>
    </w:p>
    <w:p w:rsidR="008031EA" w:rsidRPr="00C664D3" w:rsidRDefault="008031EA" w:rsidP="00AB77C1">
      <w:pPr>
        <w:spacing w:line="360" w:lineRule="auto"/>
        <w:ind w:firstLine="420"/>
        <w:rPr>
          <w:rFonts w:asciiTheme="minorEastAsia" w:eastAsiaTheme="minorEastAsia" w:hAnsiTheme="minorEastAsia"/>
          <w:color w:val="000000" w:themeColor="text1"/>
        </w:rPr>
      </w:pPr>
      <w:bookmarkStart w:id="542" w:name="_Toc423335571"/>
      <w:r w:rsidRPr="00C664D3">
        <w:rPr>
          <w:rFonts w:asciiTheme="minorEastAsia" w:eastAsiaTheme="minorEastAsia" w:hAnsiTheme="minorEastAsia"/>
          <w:color w:val="000000" w:themeColor="text1"/>
        </w:rPr>
        <w:t>1、</w:t>
      </w:r>
      <w:r w:rsidRPr="00C664D3">
        <w:rPr>
          <w:rFonts w:asciiTheme="minorEastAsia" w:eastAsiaTheme="minorEastAsia" w:hAnsiTheme="minorEastAsia" w:hint="eastAsia"/>
          <w:color w:val="000000" w:themeColor="text1"/>
        </w:rPr>
        <w:t>相关法律法规、《业务规则》、中国证监会及深圳证券交易所对基金上市交易的规则等相关规定内容进行调整的，《基金合同》可相应予以修改，此事项无须召开基金份额持有人大会审议。</w:t>
      </w:r>
    </w:p>
    <w:p w:rsidR="008031EA" w:rsidRPr="00C664D3" w:rsidRDefault="008031EA"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w:t>
      </w:r>
      <w:r w:rsidRPr="00C664D3">
        <w:rPr>
          <w:rFonts w:asciiTheme="minorEastAsia" w:eastAsiaTheme="minorEastAsia" w:hAnsiTheme="minorEastAsia" w:hint="eastAsia"/>
          <w:color w:val="000000" w:themeColor="text1"/>
        </w:rPr>
        <w:t>若深圳证券交易所、登记结算机构增加了基金上市交易的新功能，本基金可以增加相应功能，无需召开基金份额持有人大会审议。</w:t>
      </w:r>
    </w:p>
    <w:p w:rsidR="00A1091C" w:rsidRPr="00C664D3" w:rsidRDefault="008031EA"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w:t>
      </w:r>
      <w:r w:rsidRPr="00C664D3">
        <w:rPr>
          <w:rFonts w:asciiTheme="minorEastAsia" w:eastAsiaTheme="minorEastAsia" w:hAnsiTheme="minorEastAsia" w:hint="eastAsia"/>
          <w:color w:val="000000" w:themeColor="text1"/>
        </w:rPr>
        <w:t>、在不违反法律法规及不损害基金份额持有人利益的前提下，本基金可以申请在包括境外交易所在内的其他交易场所上市交易，无需召开基金份额持有人大会审议。</w:t>
      </w:r>
      <w:bookmarkEnd w:id="542"/>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543" w:name="_Toc83904204"/>
      <w:r w:rsidRPr="00C664D3">
        <w:rPr>
          <w:rFonts w:asciiTheme="minorEastAsia" w:eastAsiaTheme="minorEastAsia" w:hAnsiTheme="minorEastAsia"/>
          <w:color w:val="000000" w:themeColor="text1"/>
        </w:rPr>
        <w:lastRenderedPageBreak/>
        <w:t>基金份额的申购、赎回</w:t>
      </w:r>
      <w:bookmarkEnd w:id="543"/>
    </w:p>
    <w:p w:rsidR="000F1010" w:rsidRPr="00C664D3" w:rsidRDefault="000F1010" w:rsidP="00FB69A7">
      <w:pPr>
        <w:spacing w:line="360" w:lineRule="auto"/>
        <w:ind w:firstLine="420"/>
        <w:rPr>
          <w:rFonts w:asciiTheme="minorEastAsia" w:eastAsiaTheme="minorEastAsia" w:hAnsiTheme="minorEastAsia"/>
          <w:color w:val="000000" w:themeColor="text1"/>
        </w:rPr>
      </w:pPr>
      <w:bookmarkStart w:id="544" w:name="_Toc423335575"/>
      <w:bookmarkStart w:id="545" w:name="_Toc423335577"/>
      <w:bookmarkEnd w:id="544"/>
    </w:p>
    <w:p w:rsidR="000F1010" w:rsidRPr="00C664D3" w:rsidRDefault="000F1010" w:rsidP="00FB69A7">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本基金基金份额的申购与赎回包括场外和场内两种方式。投资者可通过场外方式申购与赎回场外</w:t>
      </w:r>
      <w:r w:rsidRPr="00C664D3">
        <w:rPr>
          <w:rFonts w:asciiTheme="minorEastAsia" w:eastAsiaTheme="minorEastAsia" w:hAnsiTheme="minorEastAsia"/>
          <w:color w:val="000000" w:themeColor="text1"/>
        </w:rPr>
        <w:t>A</w:t>
      </w:r>
      <w:r w:rsidRPr="00C664D3">
        <w:rPr>
          <w:rFonts w:asciiTheme="minorEastAsia" w:eastAsiaTheme="minorEastAsia" w:hAnsiTheme="minorEastAsia" w:hint="eastAsia"/>
          <w:color w:val="000000" w:themeColor="text1"/>
        </w:rPr>
        <w:t>类人民币基金份额、</w:t>
      </w:r>
      <w:r w:rsidRPr="00C664D3">
        <w:rPr>
          <w:rFonts w:asciiTheme="minorEastAsia" w:eastAsiaTheme="minorEastAsia" w:hAnsiTheme="minorEastAsia"/>
          <w:color w:val="000000" w:themeColor="text1"/>
        </w:rPr>
        <w:t>A</w:t>
      </w:r>
      <w:r w:rsidRPr="00C664D3">
        <w:rPr>
          <w:rFonts w:asciiTheme="minorEastAsia" w:eastAsiaTheme="minorEastAsia" w:hAnsiTheme="minorEastAsia" w:hint="eastAsia"/>
          <w:color w:val="000000" w:themeColor="text1"/>
        </w:rPr>
        <w:t>类美元基金份额、</w:t>
      </w:r>
      <w:r w:rsidRPr="00C664D3">
        <w:rPr>
          <w:rFonts w:asciiTheme="minorEastAsia" w:eastAsiaTheme="minorEastAsia" w:hAnsiTheme="minorEastAsia"/>
          <w:color w:val="000000" w:themeColor="text1"/>
        </w:rPr>
        <w:t>C</w:t>
      </w:r>
      <w:r w:rsidRPr="00C664D3">
        <w:rPr>
          <w:rFonts w:asciiTheme="minorEastAsia" w:eastAsiaTheme="minorEastAsia" w:hAnsiTheme="minorEastAsia" w:hint="eastAsia"/>
          <w:color w:val="000000" w:themeColor="text1"/>
        </w:rPr>
        <w:t>类人民币基金份额和</w:t>
      </w:r>
      <w:r w:rsidRPr="00C664D3">
        <w:rPr>
          <w:rFonts w:asciiTheme="minorEastAsia" w:eastAsiaTheme="minorEastAsia" w:hAnsiTheme="minorEastAsia"/>
          <w:color w:val="000000" w:themeColor="text1"/>
        </w:rPr>
        <w:t>C</w:t>
      </w:r>
      <w:r w:rsidRPr="00C664D3">
        <w:rPr>
          <w:rFonts w:asciiTheme="minorEastAsia" w:eastAsiaTheme="minorEastAsia" w:hAnsiTheme="minorEastAsia" w:hint="eastAsia"/>
          <w:color w:val="000000" w:themeColor="text1"/>
        </w:rPr>
        <w:t>类美元基金份额，通过场内方式申购与赎回场内</w:t>
      </w:r>
      <w:r w:rsidRPr="00C664D3">
        <w:rPr>
          <w:rFonts w:asciiTheme="minorEastAsia" w:eastAsiaTheme="minorEastAsia" w:hAnsiTheme="minorEastAsia"/>
          <w:color w:val="000000" w:themeColor="text1"/>
        </w:rPr>
        <w:t>A</w:t>
      </w:r>
      <w:r w:rsidRPr="00C664D3">
        <w:rPr>
          <w:rFonts w:asciiTheme="minorEastAsia" w:eastAsiaTheme="minorEastAsia" w:hAnsiTheme="minorEastAsia" w:hint="eastAsia"/>
          <w:color w:val="000000" w:themeColor="text1"/>
        </w:rPr>
        <w:t>类人民币基金份额。</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r w:rsidRPr="00C664D3">
        <w:rPr>
          <w:rFonts w:asciiTheme="minorEastAsia" w:eastAsiaTheme="minorEastAsia" w:hAnsiTheme="minorEastAsia"/>
          <w:b w:val="0"/>
          <w:bCs/>
          <w:color w:val="000000" w:themeColor="text1"/>
        </w:rPr>
        <w:t>申购与赎回的场所</w:t>
      </w:r>
      <w:bookmarkEnd w:id="545"/>
    </w:p>
    <w:p w:rsidR="00200C32" w:rsidRPr="00C664D3" w:rsidRDefault="00200C32"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本基金的申购与赎回将通过销售机构进行。</w:t>
      </w:r>
      <w:r w:rsidRPr="00C664D3">
        <w:rPr>
          <w:rFonts w:asciiTheme="minorEastAsia" w:eastAsiaTheme="minorEastAsia" w:hAnsiTheme="minorEastAsia" w:hint="eastAsia"/>
          <w:color w:val="000000" w:themeColor="text1"/>
        </w:rPr>
        <w:t>其中，场外人民币基金份额和美元基金份额的申购和赎回场所为场外基金销售机构的基金销售网点；场内人民币基金份额的申购和赎回场所为具有基金销售业务资格，且经深圳证券交易所及其指定的登记结算机构认可的会员单位</w:t>
      </w:r>
      <w:r w:rsidRPr="00C664D3">
        <w:rPr>
          <w:rFonts w:asciiTheme="minorEastAsia" w:eastAsiaTheme="minorEastAsia" w:hAnsiTheme="minorEastAsia"/>
          <w:color w:val="000000" w:themeColor="text1"/>
        </w:rPr>
        <w:t>。</w:t>
      </w:r>
    </w:p>
    <w:p w:rsidR="00A1091C" w:rsidRPr="00C664D3" w:rsidRDefault="00200C32"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具体的销售</w:t>
      </w:r>
      <w:r w:rsidRPr="00C664D3">
        <w:rPr>
          <w:rFonts w:asciiTheme="minorEastAsia" w:eastAsiaTheme="minorEastAsia" w:hAnsiTheme="minorEastAsia" w:hint="eastAsia"/>
          <w:color w:val="000000" w:themeColor="text1"/>
        </w:rPr>
        <w:t>机构</w:t>
      </w:r>
      <w:r w:rsidRPr="00C664D3">
        <w:rPr>
          <w:rFonts w:asciiTheme="minorEastAsia" w:eastAsiaTheme="minorEastAsia" w:hAnsiTheme="minorEastAsia"/>
          <w:color w:val="000000" w:themeColor="text1"/>
        </w:rPr>
        <w:t>将由基金管理人在</w:t>
      </w:r>
      <w:r w:rsidR="00021EA4" w:rsidRPr="00C664D3">
        <w:rPr>
          <w:rFonts w:asciiTheme="minorEastAsia" w:eastAsiaTheme="minorEastAsia" w:hAnsiTheme="minorEastAsia" w:hint="eastAsia"/>
          <w:color w:val="000000" w:themeColor="text1"/>
        </w:rPr>
        <w:t>《基金份额发售公告》</w:t>
      </w:r>
      <w:r w:rsidRPr="00C664D3">
        <w:rPr>
          <w:rFonts w:asciiTheme="minorEastAsia" w:eastAsiaTheme="minorEastAsia" w:hAnsiTheme="minorEastAsia"/>
          <w:color w:val="000000" w:themeColor="text1"/>
        </w:rPr>
        <w:t>或其他相关公告中列明。基金管理人可根据情况变更或增减销售机构，</w:t>
      </w:r>
      <w:r w:rsidR="007642E1" w:rsidRPr="00C664D3">
        <w:rPr>
          <w:rFonts w:asciiTheme="minorEastAsia" w:eastAsiaTheme="minorEastAsia" w:hAnsiTheme="minorEastAsia" w:hint="eastAsia"/>
          <w:color w:val="000000" w:themeColor="text1"/>
        </w:rPr>
        <w:t>并在基金管理人网站公示</w:t>
      </w:r>
      <w:r w:rsidRPr="00C664D3">
        <w:rPr>
          <w:rFonts w:asciiTheme="minorEastAsia" w:eastAsiaTheme="minorEastAsia" w:hAnsiTheme="minorEastAsia"/>
          <w:color w:val="000000" w:themeColor="text1"/>
        </w:rPr>
        <w:t>。基金投资者应当</w:t>
      </w:r>
      <w:r w:rsidRPr="00C664D3">
        <w:rPr>
          <w:rFonts w:asciiTheme="minorEastAsia" w:eastAsiaTheme="minorEastAsia" w:hAnsiTheme="minorEastAsia" w:hint="eastAsia"/>
          <w:color w:val="000000" w:themeColor="text1"/>
        </w:rPr>
        <w:t>在</w:t>
      </w:r>
      <w:r w:rsidRPr="00C664D3">
        <w:rPr>
          <w:rFonts w:asciiTheme="minorEastAsia" w:eastAsiaTheme="minorEastAsia" w:hAnsiTheme="minorEastAsia"/>
          <w:color w:val="000000" w:themeColor="text1"/>
        </w:rPr>
        <w:t>销售机构办理基金销售业务的营业场所或按销售机构提供的其他方式办理基金份额的申购与赎回。</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546" w:name="_Toc423335578"/>
      <w:r w:rsidRPr="00C664D3">
        <w:rPr>
          <w:rFonts w:asciiTheme="minorEastAsia" w:eastAsiaTheme="minorEastAsia" w:hAnsiTheme="minorEastAsia"/>
          <w:b w:val="0"/>
          <w:bCs/>
          <w:color w:val="000000" w:themeColor="text1"/>
        </w:rPr>
        <w:t>申购和赎回的开放日及时间</w:t>
      </w:r>
      <w:bookmarkEnd w:id="546"/>
    </w:p>
    <w:p w:rsidR="008F2068" w:rsidRPr="00C664D3" w:rsidRDefault="008F2068"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开放日及开放时间</w:t>
      </w:r>
    </w:p>
    <w:p w:rsidR="00021EA4" w:rsidRPr="00C664D3" w:rsidRDefault="00021EA4"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投资人在开放日办理基金份额的申购和赎回</w:t>
      </w:r>
      <w:r w:rsidRPr="00C664D3">
        <w:rPr>
          <w:rFonts w:asciiTheme="minorEastAsia" w:eastAsiaTheme="minorEastAsia" w:hAnsiTheme="minorEastAsia" w:hint="eastAsia"/>
          <w:color w:val="000000" w:themeColor="text1"/>
        </w:rPr>
        <w:t>。申购和赎回的开放日为上海证券交易所、深圳证券交易所和美国主要证券交易所同时开放交易的每个工作日（基金管理人决定暂停申购或赎回时除外）。开放日的具体业务办理时间在《招募说明书》或相关公告中载明。</w:t>
      </w:r>
    </w:p>
    <w:p w:rsidR="008F2068" w:rsidRPr="00C664D3" w:rsidRDefault="00021EA4"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若出现新的证券交易市场、证券交易所交易时间变更</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其他特殊情况</w:t>
      </w:r>
      <w:r w:rsidRPr="00C664D3">
        <w:rPr>
          <w:rFonts w:asciiTheme="minorEastAsia" w:eastAsiaTheme="minorEastAsia" w:hAnsiTheme="minorEastAsia" w:hint="eastAsia"/>
          <w:color w:val="000000" w:themeColor="text1"/>
        </w:rPr>
        <w:t>或根据业务需要</w:t>
      </w:r>
      <w:r w:rsidRPr="00C664D3">
        <w:rPr>
          <w:rFonts w:asciiTheme="minorEastAsia" w:eastAsiaTheme="minorEastAsia" w:hAnsiTheme="minorEastAsia"/>
          <w:color w:val="000000" w:themeColor="text1"/>
        </w:rPr>
        <w:t>，基金管理人</w:t>
      </w:r>
      <w:r w:rsidRPr="00C664D3">
        <w:rPr>
          <w:rFonts w:asciiTheme="minorEastAsia" w:eastAsiaTheme="minorEastAsia" w:hAnsiTheme="minorEastAsia" w:hint="eastAsia"/>
          <w:color w:val="000000" w:themeColor="text1"/>
        </w:rPr>
        <w:t>有权</w:t>
      </w:r>
      <w:r w:rsidRPr="00C664D3">
        <w:rPr>
          <w:rFonts w:asciiTheme="minorEastAsia" w:eastAsiaTheme="minorEastAsia" w:hAnsiTheme="minorEastAsia"/>
          <w:color w:val="000000" w:themeColor="text1"/>
        </w:rPr>
        <w:t>视情况对前述开放日及开放时间进行相应的调整，但应在实施前依照《信息披露办法》的有关规定在指定媒介上公告。</w:t>
      </w:r>
    </w:p>
    <w:p w:rsidR="008F2068" w:rsidRPr="00C664D3" w:rsidRDefault="008F2068"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申购、赎回开始日及业务办理时间</w:t>
      </w:r>
    </w:p>
    <w:p w:rsidR="00237FD4" w:rsidRPr="00C664D3" w:rsidRDefault="00237FD4"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本基金A类人民币份额、A类美元份额已于2016年12月27日开放日常申购、赎回业务，本基金C类人民币份额、C类美元份额已于2021年7月21日开放日常申购、赎回业务。</w:t>
      </w:r>
    </w:p>
    <w:p w:rsidR="00A1091C" w:rsidRPr="00C664D3" w:rsidRDefault="00FD4E32"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基金管理人不得在基金合同约定之外的日期或者时间办理基金份额的申购或者赎回或者转换。投资人在基金合同约定之外的日期和时间提出申购、赎回或转换申请</w:t>
      </w:r>
      <w:r w:rsidRPr="00C664D3">
        <w:rPr>
          <w:rFonts w:asciiTheme="minorEastAsia" w:eastAsiaTheme="minorEastAsia" w:hAnsiTheme="minorEastAsia" w:hint="eastAsia"/>
          <w:color w:val="000000" w:themeColor="text1"/>
        </w:rPr>
        <w:t>且登记结算机构确认接受</w:t>
      </w:r>
      <w:r w:rsidRPr="00C664D3">
        <w:rPr>
          <w:rFonts w:asciiTheme="minorEastAsia" w:eastAsiaTheme="minorEastAsia" w:hAnsiTheme="minorEastAsia"/>
          <w:color w:val="000000" w:themeColor="text1"/>
        </w:rPr>
        <w:t>的，其基金份额申购、赎回价格为下一开放日</w:t>
      </w:r>
      <w:r w:rsidR="007852AA" w:rsidRPr="00C664D3">
        <w:rPr>
          <w:rFonts w:asciiTheme="minorEastAsia" w:eastAsiaTheme="minorEastAsia" w:hAnsiTheme="minorEastAsia"/>
          <w:color w:val="000000" w:themeColor="text1"/>
        </w:rPr>
        <w:t>该类</w:t>
      </w:r>
      <w:r w:rsidRPr="00C664D3">
        <w:rPr>
          <w:rFonts w:asciiTheme="minorEastAsia" w:eastAsiaTheme="minorEastAsia" w:hAnsiTheme="minorEastAsia"/>
          <w:color w:val="000000" w:themeColor="text1"/>
        </w:rPr>
        <w:t>基金份额申购、赎回的价格。</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547" w:name="_Toc423335579"/>
      <w:r w:rsidRPr="00C664D3">
        <w:rPr>
          <w:rFonts w:asciiTheme="minorEastAsia" w:eastAsiaTheme="minorEastAsia" w:hAnsiTheme="minorEastAsia"/>
          <w:b w:val="0"/>
          <w:bCs/>
          <w:color w:val="000000" w:themeColor="text1"/>
        </w:rPr>
        <w:lastRenderedPageBreak/>
        <w:t>申购与赎回的原则</w:t>
      </w:r>
      <w:bookmarkEnd w:id="547"/>
    </w:p>
    <w:p w:rsidR="0099384C" w:rsidRPr="00C664D3" w:rsidRDefault="0099384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“未知价”原则，即申购、赎回价格以申请当日收市后计算的</w:t>
      </w:r>
      <w:r w:rsidRPr="00C664D3">
        <w:rPr>
          <w:rFonts w:asciiTheme="minorEastAsia" w:eastAsiaTheme="minorEastAsia" w:hAnsiTheme="minorEastAsia" w:hint="eastAsia"/>
          <w:color w:val="000000" w:themeColor="text1"/>
        </w:rPr>
        <w:t>对应份额类别的</w:t>
      </w:r>
      <w:r w:rsidRPr="00C664D3">
        <w:rPr>
          <w:rFonts w:asciiTheme="minorEastAsia" w:eastAsiaTheme="minorEastAsia" w:hAnsiTheme="minorEastAsia"/>
          <w:color w:val="000000" w:themeColor="text1"/>
        </w:rPr>
        <w:t>基金份额净值为基准进行计算</w:t>
      </w:r>
      <w:r w:rsidR="007852AA" w:rsidRPr="00C664D3">
        <w:rPr>
          <w:rFonts w:asciiTheme="minorEastAsia" w:eastAsiaTheme="minorEastAsia" w:hAnsiTheme="minorEastAsia" w:hint="eastAsia"/>
          <w:color w:val="000000" w:themeColor="text1"/>
        </w:rPr>
        <w:t>，其中C类任一币种份额首笔申购当日为C类人民币份额和C类美元份额的首笔申购日，C类人民币份额于首笔申购日的申购价格为当日A类人民币份额的基金份额净值，C类美元份额于首笔申购日的申购价格为当日A类美元份额的基金份额净值</w:t>
      </w:r>
      <w:r w:rsidRPr="00C664D3">
        <w:rPr>
          <w:rFonts w:asciiTheme="minorEastAsia" w:eastAsiaTheme="minorEastAsia" w:hAnsiTheme="minorEastAsia"/>
          <w:color w:val="000000" w:themeColor="text1"/>
        </w:rPr>
        <w:t>；</w:t>
      </w:r>
    </w:p>
    <w:p w:rsidR="0099384C" w:rsidRPr="00C664D3" w:rsidRDefault="0099384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“金额申购、份额赎回”原则，即申购以金额申请，赎回以份额申请；</w:t>
      </w:r>
    </w:p>
    <w:p w:rsidR="0099384C" w:rsidRPr="00C664D3" w:rsidRDefault="0099384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当日的申购与赎回申请可以在基金管理人规定的时间以内撤销；</w:t>
      </w:r>
    </w:p>
    <w:p w:rsidR="0099384C" w:rsidRPr="00C664D3" w:rsidRDefault="0099384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w:t>
      </w:r>
      <w:r w:rsidRPr="00C664D3">
        <w:rPr>
          <w:rFonts w:asciiTheme="minorEastAsia" w:eastAsiaTheme="minorEastAsia" w:hAnsiTheme="minorEastAsia" w:hint="eastAsia"/>
          <w:color w:val="000000" w:themeColor="text1"/>
        </w:rPr>
        <w:t>、场外基金份额持有人赎回时，除指定赎回外，基金管理人按先进先出的原则，对该持有人账户在该销售机构托管的基金份额进行处理，即先确认的份额先赎回，后确认的份额后赎回，以确定所适用的赎回费率；</w:t>
      </w:r>
    </w:p>
    <w:p w:rsidR="0099384C" w:rsidRPr="00C664D3" w:rsidRDefault="0099384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投资者申购、赎回场内基金份额时，需遵守深圳证券交易所和登记结算机构的相关《业务规则》。若相关法律法规、中国证监会、深圳证券交易所或登记结算机构对申购、赎回业务等规则有新的规定，按新规定执行</w:t>
      </w:r>
      <w:r w:rsidRPr="00C664D3">
        <w:rPr>
          <w:rFonts w:asciiTheme="minorEastAsia" w:eastAsiaTheme="minorEastAsia" w:hAnsiTheme="minorEastAsia"/>
          <w:color w:val="000000" w:themeColor="text1"/>
        </w:rPr>
        <w:t>。</w:t>
      </w:r>
    </w:p>
    <w:p w:rsidR="00A1091C" w:rsidRPr="00C664D3" w:rsidRDefault="0099384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基金管理人可在</w:t>
      </w:r>
      <w:r w:rsidRPr="00C664D3">
        <w:rPr>
          <w:rFonts w:asciiTheme="minorEastAsia" w:eastAsiaTheme="minorEastAsia" w:hAnsiTheme="minorEastAsia" w:hint="eastAsia"/>
          <w:color w:val="000000" w:themeColor="text1"/>
        </w:rPr>
        <w:t>不违反</w:t>
      </w:r>
      <w:r w:rsidRPr="00C664D3">
        <w:rPr>
          <w:rFonts w:asciiTheme="minorEastAsia" w:eastAsiaTheme="minorEastAsia" w:hAnsiTheme="minorEastAsia"/>
          <w:color w:val="000000" w:themeColor="text1"/>
        </w:rPr>
        <w:t>法律法规的情况下，对上述原则进行调整。基金管理人必须在新规则开始实施前依照《信息披露办法》的有关规定在指定媒介上公告。</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548" w:name="_Toc423335580"/>
      <w:r w:rsidRPr="00C664D3">
        <w:rPr>
          <w:rFonts w:asciiTheme="minorEastAsia" w:eastAsiaTheme="minorEastAsia" w:hAnsiTheme="minorEastAsia"/>
          <w:b w:val="0"/>
          <w:bCs/>
          <w:color w:val="000000" w:themeColor="text1"/>
        </w:rPr>
        <w:t>申购和赎回的程序</w:t>
      </w:r>
      <w:bookmarkEnd w:id="548"/>
    </w:p>
    <w:p w:rsidR="00BB2382" w:rsidRPr="00C664D3" w:rsidRDefault="00BB2382" w:rsidP="00AB77C1">
      <w:pPr>
        <w:spacing w:line="360" w:lineRule="auto"/>
        <w:ind w:firstLine="420"/>
        <w:rPr>
          <w:rFonts w:asciiTheme="minorEastAsia" w:eastAsiaTheme="minorEastAsia" w:hAnsiTheme="minorEastAsia"/>
          <w:color w:val="000000" w:themeColor="text1"/>
        </w:rPr>
      </w:pPr>
      <w:bookmarkStart w:id="549" w:name="_Toc423335581"/>
      <w:r w:rsidRPr="00C664D3">
        <w:rPr>
          <w:rFonts w:asciiTheme="minorEastAsia" w:eastAsiaTheme="minorEastAsia" w:hAnsiTheme="minorEastAsia" w:hint="eastAsia"/>
          <w:color w:val="000000" w:themeColor="text1"/>
        </w:rPr>
        <w:t>1.</w:t>
      </w:r>
      <w:r w:rsidRPr="00C664D3">
        <w:rPr>
          <w:rFonts w:asciiTheme="minorEastAsia" w:eastAsiaTheme="minorEastAsia" w:hAnsiTheme="minorEastAsia" w:hint="eastAsia"/>
          <w:color w:val="000000" w:themeColor="text1"/>
        </w:rPr>
        <w:tab/>
        <w:t>申购和赎回的申请方式</w:t>
      </w:r>
      <w:bookmarkEnd w:id="549"/>
    </w:p>
    <w:p w:rsidR="00BB2382" w:rsidRPr="00C664D3" w:rsidRDefault="00BE7AD3"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投资人必须根据销售机构规定的程序，在开放日的具体业务办理时间内提出申购或赎回的申请。</w:t>
      </w:r>
    </w:p>
    <w:p w:rsidR="00BB2382" w:rsidRPr="00C664D3" w:rsidRDefault="00BB2382"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2.申购和赎回的款项支付</w:t>
      </w:r>
    </w:p>
    <w:p w:rsidR="00F83DEB" w:rsidRPr="00C664D3" w:rsidRDefault="00F83DEB"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投资者申购人民币基金份额时从人民币账户缴款，赎回人民币基金份额时，赎回款划往投资者人民币账户。投资者申购美元基金份额时从美元账户缴款，赎回美元基金份额时，赎回款划往投资者美元账户。</w:t>
      </w:r>
    </w:p>
    <w:p w:rsidR="00F83DEB" w:rsidRPr="00C664D3" w:rsidRDefault="00F83DEB"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投资人申购基金份额时，必须全额交付申购款项，投资人交付</w:t>
      </w:r>
      <w:r w:rsidRPr="00C664D3">
        <w:rPr>
          <w:rFonts w:asciiTheme="minorEastAsia" w:eastAsiaTheme="minorEastAsia" w:hAnsiTheme="minorEastAsia" w:hint="eastAsia"/>
          <w:color w:val="000000" w:themeColor="text1"/>
        </w:rPr>
        <w:t>申购</w:t>
      </w:r>
      <w:r w:rsidRPr="00C664D3">
        <w:rPr>
          <w:rFonts w:asciiTheme="minorEastAsia" w:eastAsiaTheme="minorEastAsia" w:hAnsiTheme="minorEastAsia"/>
          <w:color w:val="000000" w:themeColor="text1"/>
        </w:rPr>
        <w:t>款项，申购</w:t>
      </w:r>
      <w:r w:rsidRPr="00C664D3">
        <w:rPr>
          <w:rFonts w:asciiTheme="minorEastAsia" w:eastAsiaTheme="minorEastAsia" w:hAnsiTheme="minorEastAsia" w:hint="eastAsia"/>
          <w:color w:val="000000" w:themeColor="text1"/>
        </w:rPr>
        <w:t>成立；登记结算机构确认基金份额时，申购生效</w:t>
      </w:r>
      <w:r w:rsidRPr="00C664D3">
        <w:rPr>
          <w:rFonts w:asciiTheme="minorEastAsia" w:eastAsiaTheme="minorEastAsia" w:hAnsiTheme="minorEastAsia"/>
          <w:color w:val="000000" w:themeColor="text1"/>
        </w:rPr>
        <w:t>。</w:t>
      </w:r>
    </w:p>
    <w:p w:rsidR="00BB2382" w:rsidRPr="00C664D3" w:rsidRDefault="00F83DEB"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份额持有人递交赎回申请，赎回成立，赎回是否生效以登记结算机构确认为准。基金份额持有人赎回申请成功后，基金管理人将指示基金托管人在法律法规规定的期限内向基金份额持有人支付赎回款项。如国家外汇局相关规定有变更或本基金境外投资主要市场的交</w:t>
      </w:r>
      <w:r w:rsidRPr="00C664D3">
        <w:rPr>
          <w:rFonts w:asciiTheme="minorEastAsia" w:eastAsiaTheme="minorEastAsia" w:hAnsiTheme="minorEastAsia" w:hint="eastAsia"/>
          <w:color w:val="000000" w:themeColor="text1"/>
        </w:rPr>
        <w:lastRenderedPageBreak/>
        <w:t>易清算规则有变更、基金境外投资主要市场及外汇市场休市或暂停交易、交易所或交易市场数据传输延迟、通讯系统故障、银行数据交换系统故障或其它非基金管理人及基金托管人所能控制的因素影响业务处理流程，则赎回款项的支付时间可相应顺延。</w:t>
      </w:r>
      <w:r w:rsidRPr="00C664D3">
        <w:rPr>
          <w:rFonts w:asciiTheme="minorEastAsia" w:eastAsiaTheme="minorEastAsia" w:hAnsiTheme="minorEastAsia"/>
          <w:color w:val="000000" w:themeColor="text1"/>
        </w:rPr>
        <w:t>在发生巨额赎回</w:t>
      </w:r>
      <w:r w:rsidRPr="00C664D3">
        <w:rPr>
          <w:rFonts w:asciiTheme="minorEastAsia" w:eastAsiaTheme="minorEastAsia" w:hAnsiTheme="minorEastAsia" w:hint="eastAsia"/>
          <w:color w:val="000000" w:themeColor="text1"/>
        </w:rPr>
        <w:t>或基金合同载明的其他暂停赎回或延缓支付赎回款项的情形</w:t>
      </w:r>
      <w:r w:rsidRPr="00C664D3">
        <w:rPr>
          <w:rFonts w:asciiTheme="minorEastAsia" w:eastAsiaTheme="minorEastAsia" w:hAnsiTheme="minorEastAsia"/>
          <w:color w:val="000000" w:themeColor="text1"/>
        </w:rPr>
        <w:t>时，款项的支付办法参照基金合同有关条款处理。</w:t>
      </w:r>
    </w:p>
    <w:p w:rsidR="00BB2382" w:rsidRPr="00C664D3" w:rsidRDefault="00BB2382"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3.申购和赎回申请的确认</w:t>
      </w:r>
    </w:p>
    <w:p w:rsidR="008B392B" w:rsidRPr="00C664D3" w:rsidRDefault="008B392B"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基金管理人应以交易时间结束前受理</w:t>
      </w:r>
      <w:r w:rsidRPr="00C664D3">
        <w:rPr>
          <w:rFonts w:asciiTheme="minorEastAsia" w:eastAsiaTheme="minorEastAsia" w:hAnsiTheme="minorEastAsia" w:hint="eastAsia"/>
          <w:color w:val="000000" w:themeColor="text1"/>
        </w:rPr>
        <w:t>有效</w:t>
      </w:r>
      <w:r w:rsidRPr="00C664D3">
        <w:rPr>
          <w:rFonts w:asciiTheme="minorEastAsia" w:eastAsiaTheme="minorEastAsia" w:hAnsiTheme="minorEastAsia"/>
          <w:color w:val="000000" w:themeColor="text1"/>
        </w:rPr>
        <w:t>申购和赎回申请的当天作为申购或赎回申请日(T日)，在正常情况下，本基金登记结算机构在T+</w:t>
      </w:r>
      <w:r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color w:val="000000" w:themeColor="text1"/>
        </w:rPr>
        <w:t>日内对该交易的有效性进行确认。T日提交的有效申请，投资人</w:t>
      </w:r>
      <w:r w:rsidRPr="00C664D3">
        <w:rPr>
          <w:rFonts w:asciiTheme="minorEastAsia" w:eastAsiaTheme="minorEastAsia" w:hAnsiTheme="minorEastAsia" w:hint="eastAsia"/>
          <w:color w:val="000000" w:themeColor="text1"/>
        </w:rPr>
        <w:t>应及时</w:t>
      </w:r>
      <w:r w:rsidRPr="00C664D3">
        <w:rPr>
          <w:rFonts w:asciiTheme="minorEastAsia" w:eastAsiaTheme="minorEastAsia" w:hAnsiTheme="minorEastAsia"/>
          <w:color w:val="000000" w:themeColor="text1"/>
        </w:rPr>
        <w:t>到销售网点柜台或以销售机构规定的其他方式查询申请的确认情况。若申购不成功，则申购款项</w:t>
      </w:r>
      <w:r w:rsidRPr="00C664D3">
        <w:rPr>
          <w:rFonts w:asciiTheme="minorEastAsia" w:eastAsiaTheme="minorEastAsia" w:hAnsiTheme="minorEastAsia" w:hint="eastAsia"/>
          <w:color w:val="000000" w:themeColor="text1"/>
        </w:rPr>
        <w:t>本金</w:t>
      </w:r>
      <w:r w:rsidRPr="00C664D3">
        <w:rPr>
          <w:rFonts w:asciiTheme="minorEastAsia" w:eastAsiaTheme="minorEastAsia" w:hAnsiTheme="minorEastAsia"/>
          <w:color w:val="000000" w:themeColor="text1"/>
        </w:rPr>
        <w:t>退还给投资人。</w:t>
      </w:r>
    </w:p>
    <w:p w:rsidR="008B392B" w:rsidRPr="00C664D3" w:rsidRDefault="008B392B"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销售机构对申购、赎回申请的受理并不代表该申请一定成功，而仅代表销售机构确实接收到申购、赎回申请。申购、赎回的确认以登记结算机构的确认结果为准。对于申购申请及申购份额的确认情况，投资人应及时查询并妥善行使合法权利。</w:t>
      </w:r>
    </w:p>
    <w:p w:rsidR="00A1091C" w:rsidRPr="00C664D3" w:rsidRDefault="008B392B"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基金管理人在不违反法律法规的前提下，可对上述程序规则进行调整。基金管理人应在新规则开始实施前依照《信息披露办法》的有关规定在指定媒介上公告。</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color w:val="000000" w:themeColor="text1"/>
        </w:rPr>
      </w:pPr>
      <w:bookmarkStart w:id="550" w:name="_Toc423335582"/>
      <w:r w:rsidRPr="00C664D3">
        <w:rPr>
          <w:rFonts w:asciiTheme="minorEastAsia" w:eastAsiaTheme="minorEastAsia" w:hAnsiTheme="minorEastAsia"/>
          <w:b w:val="0"/>
          <w:bCs/>
          <w:color w:val="000000" w:themeColor="text1"/>
        </w:rPr>
        <w:t>申购和赎回的数额限制</w:t>
      </w:r>
      <w:bookmarkEnd w:id="550"/>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00F04555"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申购基金的金额限制</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申购</w:t>
      </w:r>
      <w:r w:rsidR="001667C0" w:rsidRPr="00C664D3">
        <w:rPr>
          <w:rFonts w:asciiTheme="minorEastAsia" w:eastAsiaTheme="minorEastAsia" w:hAnsiTheme="minorEastAsia" w:hint="eastAsia"/>
          <w:color w:val="000000" w:themeColor="text1"/>
        </w:rPr>
        <w:t>本基金场外</w:t>
      </w:r>
      <w:r w:rsidR="00237FD4" w:rsidRPr="00C664D3">
        <w:rPr>
          <w:rFonts w:asciiTheme="minorEastAsia" w:eastAsiaTheme="minorEastAsia" w:hAnsiTheme="minorEastAsia" w:hint="eastAsia"/>
          <w:color w:val="000000" w:themeColor="text1"/>
        </w:rPr>
        <w:t>A类人民币份额、C类人民币份额</w:t>
      </w:r>
      <w:r w:rsidRPr="00C664D3">
        <w:rPr>
          <w:rFonts w:asciiTheme="minorEastAsia" w:eastAsiaTheme="minorEastAsia" w:hAnsiTheme="minorEastAsia"/>
          <w:color w:val="000000" w:themeColor="text1"/>
        </w:rPr>
        <w:t>时，投资者通过直销中心首次申购的单笔最低金额为50,000元人民币，</w:t>
      </w:r>
      <w:r w:rsidR="00A908AE" w:rsidRPr="00C664D3">
        <w:rPr>
          <w:rFonts w:asciiTheme="minorEastAsia" w:eastAsiaTheme="minorEastAsia" w:hAnsiTheme="minorEastAsia" w:hint="eastAsia"/>
          <w:color w:val="000000" w:themeColor="text1"/>
        </w:rPr>
        <w:t>追加申购单笔最低金额为1000元人民币；</w:t>
      </w:r>
      <w:r w:rsidR="00D747EF" w:rsidRPr="00C664D3">
        <w:rPr>
          <w:rFonts w:asciiTheme="minorEastAsia" w:eastAsiaTheme="minorEastAsia" w:hAnsiTheme="minorEastAsia"/>
          <w:color w:val="000000" w:themeColor="text1"/>
        </w:rPr>
        <w:t>通过</w:t>
      </w:r>
      <w:r w:rsidR="00D747EF" w:rsidRPr="00C664D3">
        <w:rPr>
          <w:rFonts w:asciiTheme="minorEastAsia" w:eastAsiaTheme="minorEastAsia" w:hAnsiTheme="minorEastAsia" w:hint="eastAsia"/>
          <w:color w:val="000000" w:themeColor="text1"/>
        </w:rPr>
        <w:t>非直销销售机构销售</w:t>
      </w:r>
      <w:r w:rsidR="00D747EF" w:rsidRPr="00C664D3">
        <w:rPr>
          <w:rFonts w:asciiTheme="minorEastAsia" w:eastAsiaTheme="minorEastAsia" w:hAnsiTheme="minorEastAsia"/>
          <w:color w:val="000000" w:themeColor="text1"/>
        </w:rPr>
        <w:t>网点或本公司网上交易系统首次申购的单笔最低金额为</w:t>
      </w:r>
      <w:r w:rsidR="00391270" w:rsidRPr="00C664D3">
        <w:rPr>
          <w:rFonts w:asciiTheme="minorEastAsia" w:eastAsiaTheme="minorEastAsia" w:hAnsiTheme="minorEastAsia" w:hint="eastAsia"/>
          <w:color w:val="000000" w:themeColor="text1"/>
        </w:rPr>
        <w:t>1</w:t>
      </w:r>
      <w:r w:rsidRPr="00C664D3">
        <w:rPr>
          <w:rFonts w:asciiTheme="minorEastAsia" w:eastAsiaTheme="minorEastAsia" w:hAnsiTheme="minorEastAsia"/>
          <w:color w:val="000000" w:themeColor="text1"/>
        </w:rPr>
        <w:t>元人民币</w:t>
      </w:r>
      <w:r w:rsidR="0004666A" w:rsidRPr="00C664D3">
        <w:rPr>
          <w:rFonts w:asciiTheme="minorEastAsia" w:eastAsiaTheme="minorEastAsia" w:hAnsiTheme="minorEastAsia" w:hint="eastAsia"/>
          <w:color w:val="000000" w:themeColor="text1"/>
        </w:rPr>
        <w:t>,</w:t>
      </w:r>
      <w:r w:rsidR="00A908AE" w:rsidRPr="00C664D3">
        <w:rPr>
          <w:rFonts w:asciiTheme="minorEastAsia" w:eastAsiaTheme="minorEastAsia" w:hAnsiTheme="minorEastAsia"/>
          <w:color w:val="000000" w:themeColor="text1"/>
        </w:rPr>
        <w:t>追加申购单笔最低金额</w:t>
      </w:r>
      <w:r w:rsidR="00A908AE" w:rsidRPr="00C664D3">
        <w:rPr>
          <w:rFonts w:asciiTheme="minorEastAsia" w:eastAsiaTheme="minorEastAsia" w:hAnsiTheme="minorEastAsia" w:hint="eastAsia"/>
          <w:color w:val="000000" w:themeColor="text1"/>
        </w:rPr>
        <w:t>为</w:t>
      </w:r>
      <w:r w:rsidR="00391270" w:rsidRPr="00C664D3">
        <w:rPr>
          <w:rFonts w:asciiTheme="minorEastAsia" w:eastAsiaTheme="minorEastAsia" w:hAnsiTheme="minorEastAsia" w:hint="eastAsia"/>
          <w:color w:val="000000" w:themeColor="text1"/>
        </w:rPr>
        <w:t>1</w:t>
      </w:r>
      <w:r w:rsidRPr="00C664D3">
        <w:rPr>
          <w:rFonts w:asciiTheme="minorEastAsia" w:eastAsiaTheme="minorEastAsia" w:hAnsiTheme="minorEastAsia"/>
          <w:color w:val="000000" w:themeColor="text1"/>
        </w:rPr>
        <w:t>元人民币。</w:t>
      </w:r>
      <w:r w:rsidR="00962F4A" w:rsidRPr="00C664D3">
        <w:rPr>
          <w:rFonts w:asciiTheme="minorEastAsia" w:eastAsiaTheme="minorEastAsia" w:hAnsiTheme="minorEastAsia" w:hint="eastAsia"/>
          <w:color w:val="000000" w:themeColor="text1"/>
        </w:rPr>
        <w:t>在符合法律法规规定的前提下，</w:t>
      </w:r>
      <w:r w:rsidR="0000240E" w:rsidRPr="00C664D3">
        <w:rPr>
          <w:rFonts w:asciiTheme="minorEastAsia" w:eastAsiaTheme="minorEastAsia" w:hAnsiTheme="minorEastAsia" w:hint="eastAsia"/>
          <w:color w:val="000000" w:themeColor="text1"/>
        </w:rPr>
        <w:t>各销售机构对申购限额及交易级差有其他规定的，</w:t>
      </w:r>
      <w:r w:rsidR="003C2C03" w:rsidRPr="00C664D3">
        <w:rPr>
          <w:rFonts w:asciiTheme="minorEastAsia" w:eastAsiaTheme="minorEastAsia" w:hAnsiTheme="minorEastAsia" w:hint="eastAsia"/>
          <w:color w:val="000000" w:themeColor="text1"/>
        </w:rPr>
        <w:t>需同时遵循该销售机构的相关规定</w:t>
      </w:r>
      <w:r w:rsidR="0000240E" w:rsidRPr="00C664D3">
        <w:rPr>
          <w:rFonts w:asciiTheme="minorEastAsia" w:eastAsiaTheme="minorEastAsia" w:hAnsiTheme="minorEastAsia" w:hint="eastAsia"/>
          <w:color w:val="000000" w:themeColor="text1"/>
        </w:rPr>
        <w:t>。</w:t>
      </w:r>
    </w:p>
    <w:p w:rsidR="001667C0" w:rsidRPr="00C664D3" w:rsidRDefault="001E0EBA"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申购本基金</w:t>
      </w:r>
      <w:r w:rsidR="00237FD4" w:rsidRPr="00C664D3">
        <w:rPr>
          <w:rFonts w:asciiTheme="minorEastAsia" w:eastAsiaTheme="minorEastAsia" w:hAnsiTheme="minorEastAsia" w:hint="eastAsia"/>
          <w:color w:val="000000" w:themeColor="text1"/>
        </w:rPr>
        <w:t>A类美元份额、C类美元份额</w:t>
      </w:r>
      <w:r w:rsidRPr="00C664D3">
        <w:rPr>
          <w:rFonts w:asciiTheme="minorEastAsia" w:eastAsiaTheme="minorEastAsia" w:hAnsiTheme="minorEastAsia" w:hint="eastAsia"/>
          <w:color w:val="000000" w:themeColor="text1"/>
          <w:szCs w:val="21"/>
        </w:rPr>
        <w:t>时，</w:t>
      </w:r>
      <w:r w:rsidR="001667C0" w:rsidRPr="00C664D3">
        <w:rPr>
          <w:rFonts w:asciiTheme="minorEastAsia" w:eastAsiaTheme="minorEastAsia" w:hAnsiTheme="minorEastAsia" w:hint="eastAsia"/>
          <w:color w:val="000000" w:themeColor="text1"/>
          <w:szCs w:val="21"/>
        </w:rPr>
        <w:t>投资者通过</w:t>
      </w:r>
      <w:r w:rsidR="00B31257" w:rsidRPr="00C664D3">
        <w:rPr>
          <w:rFonts w:asciiTheme="minorEastAsia" w:eastAsiaTheme="minorEastAsia" w:hAnsiTheme="minorEastAsia" w:hint="eastAsia"/>
          <w:color w:val="000000" w:themeColor="text1"/>
          <w:szCs w:val="21"/>
        </w:rPr>
        <w:t>非直销</w:t>
      </w:r>
      <w:r w:rsidR="00B31257" w:rsidRPr="00C664D3">
        <w:rPr>
          <w:rFonts w:asciiTheme="minorEastAsia" w:eastAsiaTheme="minorEastAsia" w:hAnsiTheme="minorEastAsia"/>
          <w:color w:val="000000" w:themeColor="text1"/>
          <w:szCs w:val="21"/>
        </w:rPr>
        <w:t>销售</w:t>
      </w:r>
      <w:r w:rsidR="001667C0" w:rsidRPr="00C664D3">
        <w:rPr>
          <w:rFonts w:asciiTheme="minorEastAsia" w:eastAsiaTheme="minorEastAsia" w:hAnsiTheme="minorEastAsia" w:hint="eastAsia"/>
          <w:color w:val="000000" w:themeColor="text1"/>
          <w:szCs w:val="21"/>
        </w:rPr>
        <w:t>机构</w:t>
      </w:r>
      <w:r w:rsidRPr="00C664D3">
        <w:rPr>
          <w:rFonts w:asciiTheme="minorEastAsia" w:eastAsiaTheme="minorEastAsia" w:hAnsiTheme="minorEastAsia" w:hint="eastAsia"/>
          <w:color w:val="000000" w:themeColor="text1"/>
          <w:szCs w:val="21"/>
        </w:rPr>
        <w:t>首次申购</w:t>
      </w:r>
      <w:r w:rsidR="001667C0" w:rsidRPr="00C664D3">
        <w:rPr>
          <w:rFonts w:asciiTheme="minorEastAsia" w:eastAsiaTheme="minorEastAsia" w:hAnsiTheme="minorEastAsia" w:hint="eastAsia"/>
          <w:color w:val="000000" w:themeColor="text1"/>
          <w:szCs w:val="21"/>
        </w:rPr>
        <w:t>的单笔最低限额为</w:t>
      </w:r>
      <w:r w:rsidR="00391270" w:rsidRPr="00C664D3">
        <w:rPr>
          <w:rFonts w:asciiTheme="minorEastAsia" w:eastAsiaTheme="minorEastAsia" w:hAnsiTheme="minorEastAsia"/>
          <w:color w:val="000000" w:themeColor="text1"/>
          <w:szCs w:val="21"/>
        </w:rPr>
        <w:t>1</w:t>
      </w:r>
      <w:r w:rsidR="001667C0" w:rsidRPr="00C664D3">
        <w:rPr>
          <w:rFonts w:asciiTheme="minorEastAsia" w:eastAsiaTheme="minorEastAsia" w:hAnsiTheme="minorEastAsia" w:hint="eastAsia"/>
          <w:color w:val="000000" w:themeColor="text1"/>
          <w:szCs w:val="21"/>
        </w:rPr>
        <w:t>美元，追加申购单笔最低限额为</w:t>
      </w:r>
      <w:r w:rsidR="00391270" w:rsidRPr="00C664D3">
        <w:rPr>
          <w:rFonts w:asciiTheme="minorEastAsia" w:eastAsiaTheme="minorEastAsia" w:hAnsiTheme="minorEastAsia"/>
          <w:color w:val="000000" w:themeColor="text1"/>
          <w:szCs w:val="21"/>
        </w:rPr>
        <w:t>1</w:t>
      </w:r>
      <w:r w:rsidR="001667C0" w:rsidRPr="00C664D3">
        <w:rPr>
          <w:rFonts w:asciiTheme="minorEastAsia" w:eastAsiaTheme="minorEastAsia" w:hAnsiTheme="minorEastAsia" w:hint="eastAsia"/>
          <w:color w:val="000000" w:themeColor="text1"/>
          <w:szCs w:val="21"/>
        </w:rPr>
        <w:t>美元；机构投资者通过本公司直销中心首次申购的单笔最低限额为</w:t>
      </w:r>
      <w:r w:rsidR="002009B6" w:rsidRPr="00C664D3">
        <w:rPr>
          <w:rFonts w:asciiTheme="minorEastAsia" w:eastAsiaTheme="minorEastAsia" w:hAnsiTheme="minorEastAsia" w:hint="eastAsia"/>
          <w:color w:val="000000" w:themeColor="text1"/>
          <w:szCs w:val="21"/>
        </w:rPr>
        <w:t>1</w:t>
      </w:r>
      <w:r w:rsidR="001667C0" w:rsidRPr="00C664D3">
        <w:rPr>
          <w:rFonts w:asciiTheme="minorEastAsia" w:eastAsiaTheme="minorEastAsia" w:hAnsiTheme="minorEastAsia"/>
          <w:color w:val="000000" w:themeColor="text1"/>
          <w:szCs w:val="21"/>
        </w:rPr>
        <w:t>00</w:t>
      </w:r>
      <w:r w:rsidR="001667C0" w:rsidRPr="00C664D3">
        <w:rPr>
          <w:rFonts w:asciiTheme="minorEastAsia" w:eastAsiaTheme="minorEastAsia" w:hAnsiTheme="minorEastAsia" w:hint="eastAsia"/>
          <w:color w:val="000000" w:themeColor="text1"/>
          <w:szCs w:val="21"/>
        </w:rPr>
        <w:t>美元，追加申购单笔最低限额为</w:t>
      </w:r>
      <w:r w:rsidR="001667C0" w:rsidRPr="00C664D3">
        <w:rPr>
          <w:rFonts w:asciiTheme="minorEastAsia" w:eastAsiaTheme="minorEastAsia" w:hAnsiTheme="minorEastAsia"/>
          <w:color w:val="000000" w:themeColor="text1"/>
          <w:szCs w:val="21"/>
        </w:rPr>
        <w:t>100</w:t>
      </w:r>
      <w:r w:rsidR="001667C0" w:rsidRPr="00C664D3">
        <w:rPr>
          <w:rFonts w:asciiTheme="minorEastAsia" w:eastAsiaTheme="minorEastAsia" w:hAnsiTheme="minorEastAsia" w:hint="eastAsia"/>
          <w:color w:val="000000" w:themeColor="text1"/>
          <w:szCs w:val="21"/>
        </w:rPr>
        <w:t>美元（直销中心暂不开通个人投资者外币申购业务）。</w:t>
      </w:r>
    </w:p>
    <w:p w:rsidR="00E25634" w:rsidRPr="00C664D3" w:rsidRDefault="00962F4A"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szCs w:val="21"/>
        </w:rPr>
        <w:t>在符合法律法规规定的前提下，</w:t>
      </w:r>
      <w:r w:rsidR="00E25634" w:rsidRPr="00C664D3">
        <w:rPr>
          <w:rFonts w:asciiTheme="minorEastAsia" w:eastAsiaTheme="minorEastAsia" w:hAnsiTheme="minorEastAsia" w:hint="eastAsia"/>
          <w:color w:val="000000" w:themeColor="text1"/>
          <w:szCs w:val="21"/>
        </w:rPr>
        <w:t>各销售机构对最低申购限额及交易级差有其他规定的</w:t>
      </w:r>
      <w:r w:rsidR="00E25634" w:rsidRPr="00C664D3">
        <w:rPr>
          <w:rFonts w:asciiTheme="minorEastAsia" w:eastAsiaTheme="minorEastAsia" w:hAnsiTheme="minorEastAsia"/>
          <w:color w:val="000000" w:themeColor="text1"/>
          <w:szCs w:val="21"/>
        </w:rPr>
        <w:t>,</w:t>
      </w:r>
      <w:r w:rsidR="00E25634" w:rsidRPr="00C664D3">
        <w:rPr>
          <w:rFonts w:asciiTheme="minorEastAsia" w:eastAsiaTheme="minorEastAsia" w:hAnsiTheme="minorEastAsia" w:hint="eastAsia"/>
          <w:color w:val="000000" w:themeColor="text1"/>
          <w:szCs w:val="21"/>
        </w:rPr>
        <w:t>以各销售机构的业务规定为准。（以上金额均含申购费）</w:t>
      </w:r>
    </w:p>
    <w:p w:rsidR="00A1091C" w:rsidRPr="00C664D3" w:rsidRDefault="00A1091C">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投资者将当期分配的基金收益转购基金份额或采用定期定额投资计划时，不受最低申购</w:t>
      </w:r>
      <w:r w:rsidRPr="00C664D3">
        <w:rPr>
          <w:rFonts w:asciiTheme="minorEastAsia" w:eastAsiaTheme="minorEastAsia" w:hAnsiTheme="minorEastAsia"/>
          <w:color w:val="000000" w:themeColor="text1"/>
        </w:rPr>
        <w:lastRenderedPageBreak/>
        <w:t>金额的限制</w:t>
      </w:r>
      <w:r w:rsidR="005259D4" w:rsidRPr="00C664D3">
        <w:rPr>
          <w:rFonts w:asciiTheme="minorEastAsia" w:eastAsiaTheme="minorEastAsia" w:hAnsiTheme="minorEastAsia" w:hint="eastAsia"/>
          <w:color w:val="000000" w:themeColor="text1"/>
        </w:rPr>
        <w:t>。</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投资者可多次申购，对单个投资者累计持有份额不设上限限制。</w:t>
      </w:r>
      <w:r w:rsidR="00C81E1B" w:rsidRPr="00C664D3">
        <w:rPr>
          <w:rFonts w:asciiTheme="minorEastAsia" w:eastAsiaTheme="minorEastAsia" w:hAnsiTheme="minorEastAsia" w:hint="eastAsia"/>
          <w:color w:val="000000" w:themeColor="text1"/>
        </w:rPr>
        <w:t>对于可能导致单一投资者持有基金份额的比例达到或者超过50%，或者变相规避50%集中度的情形，基金管理人有权按照相关法律法规采取控制措施。</w:t>
      </w:r>
      <w:r w:rsidRPr="00C664D3">
        <w:rPr>
          <w:rFonts w:asciiTheme="minorEastAsia" w:eastAsiaTheme="minorEastAsia" w:hAnsiTheme="minorEastAsia"/>
          <w:color w:val="000000" w:themeColor="text1"/>
        </w:rPr>
        <w:t>法律法规、中国证监会另有规定的除外。</w:t>
      </w:r>
    </w:p>
    <w:p w:rsidR="00A1091C" w:rsidRPr="00C664D3" w:rsidRDefault="001551A5"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申购本基金场内</w:t>
      </w:r>
      <w:r w:rsidR="00237FD4" w:rsidRPr="00C664D3">
        <w:rPr>
          <w:rFonts w:asciiTheme="minorEastAsia" w:eastAsiaTheme="minorEastAsia" w:hAnsiTheme="minorEastAsia" w:hint="eastAsia"/>
          <w:color w:val="000000" w:themeColor="text1"/>
        </w:rPr>
        <w:t>A类</w:t>
      </w:r>
      <w:r w:rsidRPr="00C664D3">
        <w:rPr>
          <w:rFonts w:asciiTheme="minorEastAsia" w:eastAsiaTheme="minorEastAsia" w:hAnsiTheme="minorEastAsia" w:hint="eastAsia"/>
          <w:color w:val="000000" w:themeColor="text1"/>
        </w:rPr>
        <w:t>人民币基金份额</w:t>
      </w:r>
      <w:r w:rsidRPr="00C664D3">
        <w:rPr>
          <w:rFonts w:asciiTheme="minorEastAsia" w:eastAsiaTheme="minorEastAsia" w:hAnsiTheme="minorEastAsia"/>
          <w:color w:val="000000" w:themeColor="text1"/>
        </w:rPr>
        <w:t>时</w:t>
      </w:r>
      <w:r w:rsidR="00A1091C" w:rsidRPr="00C664D3">
        <w:rPr>
          <w:rFonts w:asciiTheme="minorEastAsia" w:eastAsiaTheme="minorEastAsia" w:hAnsiTheme="minorEastAsia"/>
          <w:color w:val="000000" w:themeColor="text1"/>
        </w:rPr>
        <w:t>，每笔申购金额最低为1元</w:t>
      </w:r>
      <w:r w:rsidR="00924758" w:rsidRPr="00C664D3">
        <w:rPr>
          <w:rFonts w:asciiTheme="minorEastAsia" w:eastAsiaTheme="minorEastAsia" w:hAnsiTheme="minorEastAsia" w:hint="eastAsia"/>
          <w:color w:val="000000" w:themeColor="text1"/>
        </w:rPr>
        <w:t>，同时申购金额必须是整数金额</w:t>
      </w:r>
      <w:r w:rsidR="00C40E7E" w:rsidRPr="00C664D3">
        <w:rPr>
          <w:rFonts w:asciiTheme="minorEastAsia" w:eastAsiaTheme="minorEastAsia" w:hAnsiTheme="minorEastAsia" w:hint="eastAsia"/>
          <w:color w:val="000000" w:themeColor="text1"/>
        </w:rPr>
        <w:t>（</w:t>
      </w:r>
      <w:r w:rsidR="00C40E7E" w:rsidRPr="00C664D3">
        <w:rPr>
          <w:rFonts w:asciiTheme="minorEastAsia" w:eastAsiaTheme="minorEastAsia" w:hAnsiTheme="minorEastAsia"/>
          <w:color w:val="000000" w:themeColor="text1"/>
        </w:rPr>
        <w:t>含申购费</w:t>
      </w:r>
      <w:r w:rsidR="00C40E7E" w:rsidRPr="00C664D3">
        <w:rPr>
          <w:rFonts w:asciiTheme="minorEastAsia" w:eastAsiaTheme="minorEastAsia" w:hAnsiTheme="minorEastAsia" w:hint="eastAsia"/>
          <w:color w:val="000000" w:themeColor="text1"/>
        </w:rPr>
        <w:t>)</w:t>
      </w:r>
      <w:r w:rsidR="00A1091C" w:rsidRPr="00C664D3">
        <w:rPr>
          <w:rFonts w:asciiTheme="minorEastAsia" w:eastAsiaTheme="minorEastAsia" w:hAnsiTheme="minorEastAsia"/>
          <w:color w:val="000000" w:themeColor="text1"/>
        </w:rPr>
        <w:t>。</w:t>
      </w:r>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551" w:name="OLE_LINK2"/>
      <w:r w:rsidRPr="00C664D3">
        <w:rPr>
          <w:rFonts w:asciiTheme="minorEastAsia" w:eastAsiaTheme="minorEastAsia" w:hAnsiTheme="minorEastAsia"/>
          <w:color w:val="000000" w:themeColor="text1"/>
        </w:rPr>
        <w:t>2</w:t>
      </w:r>
      <w:r w:rsidR="00F04555"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赎回的份额限制</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基金份额持有人办理场外</w:t>
      </w:r>
      <w:r w:rsidR="00237FD4" w:rsidRPr="00C664D3">
        <w:rPr>
          <w:rFonts w:asciiTheme="minorEastAsia" w:eastAsiaTheme="minorEastAsia" w:hAnsiTheme="minorEastAsia" w:hint="eastAsia"/>
          <w:color w:val="000000" w:themeColor="text1"/>
        </w:rPr>
        <w:t>A类人民币份额、C类人民币份额</w:t>
      </w:r>
      <w:r w:rsidRPr="00C664D3">
        <w:rPr>
          <w:rFonts w:asciiTheme="minorEastAsia" w:eastAsiaTheme="minorEastAsia" w:hAnsiTheme="minorEastAsia"/>
          <w:color w:val="000000" w:themeColor="text1"/>
        </w:rPr>
        <w:t>赎回时，每笔赎回申请的最低份额为</w:t>
      </w:r>
      <w:r w:rsidR="00B62A27" w:rsidRPr="00C664D3">
        <w:rPr>
          <w:rFonts w:asciiTheme="minorEastAsia" w:eastAsiaTheme="minorEastAsia" w:hAnsiTheme="minorEastAsia" w:hint="eastAsia"/>
          <w:color w:val="000000" w:themeColor="text1"/>
        </w:rPr>
        <w:t>1</w:t>
      </w:r>
      <w:r w:rsidRPr="00C664D3">
        <w:rPr>
          <w:rFonts w:asciiTheme="minorEastAsia" w:eastAsiaTheme="minorEastAsia" w:hAnsiTheme="minorEastAsia"/>
          <w:color w:val="000000" w:themeColor="text1"/>
        </w:rPr>
        <w:t>份基金份额；基金份额持有人办理场内</w:t>
      </w:r>
      <w:r w:rsidR="000123B4" w:rsidRPr="00C664D3">
        <w:rPr>
          <w:rFonts w:asciiTheme="minorEastAsia" w:eastAsiaTheme="minorEastAsia" w:hAnsiTheme="minorEastAsia" w:hint="eastAsia"/>
          <w:color w:val="000000" w:themeColor="text1"/>
        </w:rPr>
        <w:t>A类</w:t>
      </w:r>
      <w:r w:rsidR="00391270" w:rsidRPr="00C664D3">
        <w:rPr>
          <w:rFonts w:asciiTheme="minorEastAsia" w:eastAsiaTheme="minorEastAsia" w:hAnsiTheme="minorEastAsia" w:hint="eastAsia"/>
          <w:color w:val="000000" w:themeColor="text1"/>
        </w:rPr>
        <w:t>人民币基金份额</w:t>
      </w:r>
      <w:r w:rsidRPr="00C664D3">
        <w:rPr>
          <w:rFonts w:asciiTheme="minorEastAsia" w:eastAsiaTheme="minorEastAsia" w:hAnsiTheme="minorEastAsia"/>
          <w:color w:val="000000" w:themeColor="text1"/>
        </w:rPr>
        <w:t>赎回时，每笔赎回申请的最低份额为</w:t>
      </w:r>
      <w:r w:rsidR="00B62A27" w:rsidRPr="00C664D3">
        <w:rPr>
          <w:rFonts w:asciiTheme="minorEastAsia" w:eastAsiaTheme="minorEastAsia" w:hAnsiTheme="minorEastAsia" w:hint="eastAsia"/>
          <w:color w:val="000000" w:themeColor="text1"/>
        </w:rPr>
        <w:t>1</w:t>
      </w:r>
      <w:r w:rsidRPr="00C664D3">
        <w:rPr>
          <w:rFonts w:asciiTheme="minorEastAsia" w:eastAsiaTheme="minorEastAsia" w:hAnsiTheme="minorEastAsia"/>
          <w:color w:val="000000" w:themeColor="text1"/>
        </w:rPr>
        <w:t>份基金份额，同时赎回份额必须是整数份额</w:t>
      </w:r>
      <w:r w:rsidR="00391270" w:rsidRPr="00C664D3">
        <w:rPr>
          <w:rFonts w:asciiTheme="minorEastAsia" w:eastAsiaTheme="minorEastAsia" w:hAnsiTheme="minorEastAsia" w:hint="eastAsia"/>
          <w:color w:val="000000" w:themeColor="text1"/>
        </w:rPr>
        <w:t>；基金份额持有人办理美元基金份额赎回时，每笔赎回申请的最低份额为10份基金份额。</w:t>
      </w:r>
      <w:r w:rsidR="005D2335" w:rsidRPr="00C664D3">
        <w:rPr>
          <w:rFonts w:asciiTheme="minorEastAsia" w:eastAsiaTheme="minorEastAsia" w:hAnsiTheme="minorEastAsia" w:hint="eastAsia"/>
          <w:color w:val="000000" w:themeColor="text1"/>
        </w:rPr>
        <w:t>如该账户在该销售机构托管的</w:t>
      </w:r>
      <w:r w:rsidR="00830158" w:rsidRPr="00C664D3">
        <w:rPr>
          <w:rFonts w:asciiTheme="minorEastAsia" w:eastAsiaTheme="minorEastAsia" w:hAnsiTheme="minorEastAsia" w:hint="eastAsia"/>
          <w:color w:val="000000" w:themeColor="text1"/>
        </w:rPr>
        <w:t>该</w:t>
      </w:r>
      <w:r w:rsidR="00237FD4" w:rsidRPr="00C664D3">
        <w:rPr>
          <w:rFonts w:asciiTheme="minorEastAsia" w:eastAsiaTheme="minorEastAsia" w:hAnsiTheme="minorEastAsia" w:hint="eastAsia"/>
          <w:color w:val="000000" w:themeColor="text1"/>
        </w:rPr>
        <w:t>类</w:t>
      </w:r>
      <w:r w:rsidR="00830158" w:rsidRPr="00C664D3">
        <w:rPr>
          <w:rFonts w:asciiTheme="minorEastAsia" w:eastAsiaTheme="minorEastAsia" w:hAnsiTheme="minorEastAsia" w:hint="eastAsia"/>
          <w:color w:val="000000" w:themeColor="text1"/>
        </w:rPr>
        <w:t>人民币基金份额余额不足1份或该</w:t>
      </w:r>
      <w:r w:rsidR="00237FD4" w:rsidRPr="00C664D3">
        <w:rPr>
          <w:rFonts w:asciiTheme="minorEastAsia" w:eastAsiaTheme="minorEastAsia" w:hAnsiTheme="minorEastAsia" w:hint="eastAsia"/>
          <w:color w:val="000000" w:themeColor="text1"/>
        </w:rPr>
        <w:t>类</w:t>
      </w:r>
      <w:r w:rsidR="00830158" w:rsidRPr="00C664D3">
        <w:rPr>
          <w:rFonts w:asciiTheme="minorEastAsia" w:eastAsiaTheme="minorEastAsia" w:hAnsiTheme="minorEastAsia" w:hint="eastAsia"/>
          <w:color w:val="000000" w:themeColor="text1"/>
        </w:rPr>
        <w:t>美元基金份额余额不足10份</w:t>
      </w:r>
      <w:r w:rsidR="005D2335" w:rsidRPr="00C664D3">
        <w:rPr>
          <w:rFonts w:asciiTheme="minorEastAsia" w:eastAsiaTheme="minorEastAsia" w:hAnsiTheme="minorEastAsia" w:hint="eastAsia"/>
          <w:color w:val="000000" w:themeColor="text1"/>
        </w:rPr>
        <w:t>，则必须一次性赎回该类基金全部份额。</w:t>
      </w:r>
    </w:p>
    <w:p w:rsidR="003C15E2" w:rsidRPr="00C664D3" w:rsidRDefault="002C2287"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基金份额持有人可将其全部或部分基金份额赎回，但某笔交易类业务（如赎回、基金转换、转托管等)导致单个交易账户的</w:t>
      </w:r>
      <w:r w:rsidR="00237FD4" w:rsidRPr="00C664D3">
        <w:rPr>
          <w:rFonts w:asciiTheme="minorEastAsia" w:eastAsiaTheme="minorEastAsia" w:hAnsiTheme="minorEastAsia" w:hint="eastAsia"/>
          <w:color w:val="000000" w:themeColor="text1"/>
        </w:rPr>
        <w:t>某类别</w:t>
      </w:r>
      <w:r w:rsidRPr="00C664D3">
        <w:rPr>
          <w:rFonts w:asciiTheme="minorEastAsia" w:eastAsiaTheme="minorEastAsia" w:hAnsiTheme="minorEastAsia" w:hint="eastAsia"/>
          <w:color w:val="000000" w:themeColor="text1"/>
        </w:rPr>
        <w:t>人民币基金份额余额少于1份或单个交易账户的</w:t>
      </w:r>
      <w:r w:rsidR="00237FD4" w:rsidRPr="00C664D3">
        <w:rPr>
          <w:rFonts w:asciiTheme="minorEastAsia" w:eastAsiaTheme="minorEastAsia" w:hAnsiTheme="minorEastAsia" w:hint="eastAsia"/>
          <w:color w:val="000000" w:themeColor="text1"/>
        </w:rPr>
        <w:t>某类别</w:t>
      </w:r>
      <w:r w:rsidRPr="00C664D3">
        <w:rPr>
          <w:rFonts w:asciiTheme="minorEastAsia" w:eastAsiaTheme="minorEastAsia" w:hAnsiTheme="minorEastAsia" w:hint="eastAsia"/>
          <w:color w:val="000000" w:themeColor="text1"/>
        </w:rPr>
        <w:t>美元基金份额余额少于10份时，基金管理人有权将基金份额持有人在该销售机构托管的</w:t>
      </w:r>
      <w:r w:rsidR="00237FD4" w:rsidRPr="00C664D3">
        <w:rPr>
          <w:rFonts w:asciiTheme="minorEastAsia" w:eastAsiaTheme="minorEastAsia" w:hAnsiTheme="minorEastAsia" w:hint="eastAsia"/>
          <w:color w:val="000000" w:themeColor="text1"/>
        </w:rPr>
        <w:t>该类别该币种</w:t>
      </w:r>
      <w:r w:rsidRPr="00C664D3">
        <w:rPr>
          <w:rFonts w:asciiTheme="minorEastAsia" w:eastAsiaTheme="minorEastAsia" w:hAnsiTheme="minorEastAsia" w:hint="eastAsia"/>
          <w:color w:val="000000" w:themeColor="text1"/>
        </w:rPr>
        <w:t>基金剩余份额一次性全部赎回。</w:t>
      </w:r>
      <w:r w:rsidR="003C15E2" w:rsidRPr="00C664D3">
        <w:rPr>
          <w:rFonts w:asciiTheme="minorEastAsia" w:eastAsiaTheme="minorEastAsia" w:hAnsiTheme="minorEastAsia" w:hint="eastAsia"/>
          <w:color w:val="000000" w:themeColor="text1"/>
        </w:rPr>
        <w:t>在符合法律法规规定的前提下，各销售机构对赎回份额限制有其他规定的，需同时遵循该销售机构的相关规定。</w:t>
      </w:r>
    </w:p>
    <w:bookmarkEnd w:id="551"/>
    <w:p w:rsidR="00C81E1B"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w:t>
      </w:r>
      <w:r w:rsidR="00F04555"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基金管理人、深圳证券交易所或基金登记结算机构可根据市场情况，在法律法规允许的情况下，调整上述对申购金额和赎回份额、最低基金份额余额和累计持有基金份额上限的数量限制</w:t>
      </w:r>
      <w:r w:rsidR="00C81E1B" w:rsidRPr="00C664D3">
        <w:rPr>
          <w:rFonts w:asciiTheme="minorEastAsia" w:eastAsiaTheme="minorEastAsia" w:hAnsiTheme="minorEastAsia" w:hint="eastAsia"/>
          <w:color w:val="000000" w:themeColor="text1"/>
        </w:rPr>
        <w:t>，或者新增基金规模控制措施</w:t>
      </w:r>
      <w:r w:rsidRPr="00C664D3">
        <w:rPr>
          <w:rFonts w:asciiTheme="minorEastAsia" w:eastAsiaTheme="minorEastAsia" w:hAnsiTheme="minorEastAsia"/>
          <w:color w:val="000000" w:themeColor="text1"/>
        </w:rPr>
        <w:t>，基金管理人必须在调整生效前依照《信息披露办法》的有关规定在指定</w:t>
      </w:r>
      <w:r w:rsidR="007642E1" w:rsidRPr="00C664D3">
        <w:rPr>
          <w:rFonts w:asciiTheme="minorEastAsia" w:eastAsiaTheme="minorEastAsia" w:hAnsiTheme="minorEastAsia" w:hint="eastAsia"/>
          <w:color w:val="000000" w:themeColor="text1"/>
        </w:rPr>
        <w:t>媒介</w:t>
      </w:r>
      <w:r w:rsidRPr="00C664D3">
        <w:rPr>
          <w:rFonts w:asciiTheme="minorEastAsia" w:eastAsiaTheme="minorEastAsia" w:hAnsiTheme="minorEastAsia"/>
          <w:color w:val="000000" w:themeColor="text1"/>
        </w:rPr>
        <w:t>公告。</w:t>
      </w:r>
    </w:p>
    <w:p w:rsidR="00A1091C" w:rsidRPr="00C664D3" w:rsidRDefault="00C81E1B"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552" w:name="_Toc423335583"/>
      <w:r w:rsidRPr="00C664D3">
        <w:rPr>
          <w:rFonts w:asciiTheme="minorEastAsia" w:eastAsiaTheme="minorEastAsia" w:hAnsiTheme="minorEastAsia"/>
          <w:b w:val="0"/>
          <w:bCs/>
          <w:color w:val="000000" w:themeColor="text1"/>
        </w:rPr>
        <w:t>申购与赎回的费率</w:t>
      </w:r>
      <w:bookmarkEnd w:id="552"/>
    </w:p>
    <w:p w:rsidR="007852AA" w:rsidRPr="00C664D3" w:rsidRDefault="00A1091C" w:rsidP="007852AA">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00937623" w:rsidRPr="00C664D3">
        <w:rPr>
          <w:rFonts w:asciiTheme="minorEastAsia" w:eastAsiaTheme="minorEastAsia" w:hAnsiTheme="minorEastAsia" w:hint="eastAsia"/>
          <w:color w:val="000000" w:themeColor="text1"/>
        </w:rPr>
        <w:t>.</w:t>
      </w:r>
      <w:r w:rsidR="007852AA" w:rsidRPr="00C664D3">
        <w:rPr>
          <w:rFonts w:asciiTheme="minorEastAsia" w:eastAsiaTheme="minorEastAsia" w:hAnsiTheme="minorEastAsia" w:hint="eastAsia"/>
          <w:color w:val="000000" w:themeColor="text1"/>
          <w:szCs w:val="21"/>
        </w:rPr>
        <w:t>本基金的基金份额分为A类人民币份额、A类美元份额、C类人民币份额、C类美元份额。</w:t>
      </w:r>
    </w:p>
    <w:p w:rsidR="007852AA" w:rsidRPr="00C664D3" w:rsidRDefault="007852AA" w:rsidP="007852AA">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A类人民币份额、A类美元份额收取申购费用，并不再从本类别基金资产中计提销售服</w:t>
      </w:r>
      <w:r w:rsidRPr="00C664D3">
        <w:rPr>
          <w:rFonts w:asciiTheme="minorEastAsia" w:eastAsiaTheme="minorEastAsia" w:hAnsiTheme="minorEastAsia" w:hint="eastAsia"/>
          <w:color w:val="000000" w:themeColor="text1"/>
          <w:szCs w:val="21"/>
        </w:rPr>
        <w:lastRenderedPageBreak/>
        <w:t>务费；C类人民币份额、C类美元份额从本类别基金资产中计提销售服务费、不收取申购费用。</w:t>
      </w:r>
    </w:p>
    <w:p w:rsidR="007852AA" w:rsidRPr="00C664D3" w:rsidRDefault="007852AA" w:rsidP="007852A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bCs/>
          <w:color w:val="000000" w:themeColor="text1"/>
          <w:szCs w:val="21"/>
        </w:rPr>
        <w:t>本基金</w:t>
      </w:r>
      <w:r w:rsidRPr="00C664D3">
        <w:rPr>
          <w:rFonts w:asciiTheme="minorEastAsia" w:eastAsiaTheme="minorEastAsia" w:hAnsiTheme="minorEastAsia" w:hint="eastAsia"/>
          <w:color w:val="000000" w:themeColor="text1"/>
          <w:szCs w:val="21"/>
        </w:rPr>
        <w:t>A类人民币份额、A类美元份额</w:t>
      </w:r>
      <w:r w:rsidRPr="00C664D3">
        <w:rPr>
          <w:rFonts w:asciiTheme="minorEastAsia" w:eastAsiaTheme="minorEastAsia" w:hAnsiTheme="minorEastAsia" w:hint="eastAsia"/>
          <w:bCs/>
          <w:color w:val="000000" w:themeColor="text1"/>
          <w:szCs w:val="21"/>
        </w:rPr>
        <w:t>的申购费用由申购基金份额的投资人承担</w:t>
      </w:r>
      <w:r w:rsidRPr="00C664D3">
        <w:rPr>
          <w:rFonts w:asciiTheme="minorEastAsia" w:eastAsiaTheme="minorEastAsia" w:hAnsiTheme="minorEastAsia" w:hint="eastAsia"/>
          <w:color w:val="000000" w:themeColor="text1"/>
          <w:szCs w:val="21"/>
        </w:rPr>
        <w:t>，不列入基金财产，主要用于本基金的市场推广、销售、注册登记等各项费用。本基金赎回费用由基金赎回人承担，对持续持有期少于</w:t>
      </w:r>
      <w:r w:rsidRPr="00C664D3">
        <w:rPr>
          <w:rFonts w:asciiTheme="minorEastAsia" w:eastAsiaTheme="minorEastAsia" w:hAnsiTheme="minorEastAsia"/>
          <w:color w:val="000000" w:themeColor="text1"/>
          <w:szCs w:val="21"/>
        </w:rPr>
        <w:t>7</w:t>
      </w:r>
      <w:r w:rsidRPr="00C664D3">
        <w:rPr>
          <w:rFonts w:asciiTheme="minorEastAsia" w:eastAsiaTheme="minorEastAsia" w:hAnsiTheme="minorEastAsia" w:hint="eastAsia"/>
          <w:color w:val="000000" w:themeColor="text1"/>
          <w:szCs w:val="21"/>
        </w:rPr>
        <w:t>日的投资者收取不低于</w:t>
      </w:r>
      <w:r w:rsidRPr="00C664D3">
        <w:rPr>
          <w:rFonts w:asciiTheme="minorEastAsia" w:eastAsiaTheme="minorEastAsia" w:hAnsiTheme="minorEastAsia"/>
          <w:color w:val="000000" w:themeColor="text1"/>
          <w:szCs w:val="21"/>
        </w:rPr>
        <w:t>1.5%</w:t>
      </w:r>
      <w:r w:rsidRPr="00C664D3">
        <w:rPr>
          <w:rFonts w:asciiTheme="minorEastAsia" w:eastAsiaTheme="minorEastAsia" w:hAnsiTheme="minorEastAsia" w:hint="eastAsia"/>
          <w:color w:val="000000" w:themeColor="text1"/>
          <w:szCs w:val="21"/>
        </w:rPr>
        <w:t>的赎回费，并将上述赎回费全额计入基金财产。</w:t>
      </w:r>
    </w:p>
    <w:p w:rsidR="00A1091C" w:rsidRPr="00C664D3" w:rsidRDefault="007852AA" w:rsidP="007852A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w:t>
      </w:r>
      <w:r w:rsidR="00A1091C" w:rsidRPr="00C664D3">
        <w:rPr>
          <w:rFonts w:asciiTheme="minorEastAsia" w:eastAsiaTheme="minorEastAsia" w:hAnsiTheme="minorEastAsia"/>
          <w:color w:val="000000" w:themeColor="text1"/>
        </w:rPr>
        <w:t>本基金的申购费率</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投资者在申购本基金</w:t>
      </w:r>
      <w:r w:rsidR="007852AA" w:rsidRPr="00C664D3">
        <w:rPr>
          <w:rFonts w:asciiTheme="minorEastAsia" w:eastAsiaTheme="minorEastAsia" w:hAnsiTheme="minorEastAsia" w:hint="eastAsia"/>
          <w:color w:val="000000" w:themeColor="text1"/>
          <w:szCs w:val="21"/>
        </w:rPr>
        <w:t>A类人民币份额、A类美元份额</w:t>
      </w:r>
      <w:r w:rsidRPr="00C664D3">
        <w:rPr>
          <w:rFonts w:asciiTheme="minorEastAsia" w:eastAsiaTheme="minorEastAsia" w:hAnsiTheme="minorEastAsia"/>
          <w:color w:val="000000" w:themeColor="text1"/>
        </w:rPr>
        <w:t>时需交纳申购费，本基金的申购费用由基金申购人承担，不列入基金财产，主要用于本基金的市场推广、销售、登记结算等各项费用。具体费率如下：</w:t>
      </w:r>
    </w:p>
    <w:p w:rsidR="00A963B5" w:rsidRPr="00C664D3" w:rsidRDefault="00A963B5"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（1）场外</w:t>
      </w:r>
      <w:r w:rsidR="007852AA" w:rsidRPr="00C664D3">
        <w:rPr>
          <w:rFonts w:asciiTheme="minorEastAsia" w:eastAsiaTheme="minorEastAsia" w:hAnsiTheme="minorEastAsia" w:hint="eastAsia"/>
          <w:color w:val="000000" w:themeColor="text1"/>
          <w:szCs w:val="21"/>
        </w:rPr>
        <w:t>A类人民币份额、A类美元份额</w:t>
      </w:r>
      <w:r w:rsidRPr="00C664D3">
        <w:rPr>
          <w:rFonts w:asciiTheme="minorEastAsia" w:eastAsiaTheme="minorEastAsia" w:hAnsiTheme="minorEastAsia" w:hint="eastAsia"/>
          <w:color w:val="000000" w:themeColor="text1"/>
        </w:rPr>
        <w:t>申购费率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835"/>
        <w:gridCol w:w="2835"/>
      </w:tblGrid>
      <w:tr w:rsidR="00FB69A7" w:rsidRPr="00C664D3" w:rsidTr="00DA5AD5">
        <w:tc>
          <w:tcPr>
            <w:tcW w:w="2552" w:type="dxa"/>
            <w:vAlign w:val="center"/>
          </w:tcPr>
          <w:p w:rsidR="00A963B5" w:rsidRPr="00C664D3" w:rsidRDefault="00A963B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场外</w:t>
            </w:r>
            <w:r w:rsidR="007852AA" w:rsidRPr="00C664D3">
              <w:rPr>
                <w:rFonts w:asciiTheme="minorEastAsia" w:eastAsiaTheme="minorEastAsia" w:hAnsiTheme="minorEastAsia" w:hint="eastAsia"/>
                <w:color w:val="000000" w:themeColor="text1"/>
                <w:szCs w:val="21"/>
              </w:rPr>
              <w:t>A类人民币份额</w:t>
            </w:r>
          </w:p>
          <w:p w:rsidR="00A963B5" w:rsidRPr="00C664D3" w:rsidRDefault="00A963B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申购金额</w:t>
            </w:r>
            <w:r w:rsidR="000F3678" w:rsidRPr="00C664D3">
              <w:rPr>
                <w:rFonts w:asciiTheme="minorEastAsia" w:eastAsiaTheme="minorEastAsia" w:hAnsiTheme="minorEastAsia" w:hint="eastAsia"/>
                <w:color w:val="000000" w:themeColor="text1"/>
              </w:rPr>
              <w:t>M</w:t>
            </w:r>
            <w:r w:rsidRPr="00C664D3">
              <w:rPr>
                <w:rFonts w:asciiTheme="minorEastAsia" w:eastAsiaTheme="minorEastAsia" w:hAnsiTheme="minorEastAsia"/>
                <w:color w:val="000000" w:themeColor="text1"/>
              </w:rPr>
              <w:t>(含申购费)</w:t>
            </w:r>
          </w:p>
        </w:tc>
        <w:tc>
          <w:tcPr>
            <w:tcW w:w="2835" w:type="dxa"/>
            <w:vAlign w:val="center"/>
          </w:tcPr>
          <w:p w:rsidR="00A963B5" w:rsidRPr="00C664D3" w:rsidRDefault="007852AA"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szCs w:val="21"/>
              </w:rPr>
              <w:t>A类美元份额</w:t>
            </w:r>
          </w:p>
          <w:p w:rsidR="000F3678" w:rsidRPr="00C664D3" w:rsidDel="00A963B5" w:rsidRDefault="000F3678"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申购金额M（含申购费）</w:t>
            </w:r>
          </w:p>
        </w:tc>
        <w:tc>
          <w:tcPr>
            <w:tcW w:w="2835" w:type="dxa"/>
            <w:vAlign w:val="center"/>
          </w:tcPr>
          <w:p w:rsidR="00A963B5" w:rsidRPr="00C664D3" w:rsidRDefault="00A963B5" w:rsidP="007852AA">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申购费率</w:t>
            </w:r>
          </w:p>
        </w:tc>
      </w:tr>
      <w:tr w:rsidR="00FB69A7" w:rsidRPr="00C664D3" w:rsidTr="00DA5AD5">
        <w:tc>
          <w:tcPr>
            <w:tcW w:w="2552" w:type="dxa"/>
            <w:vAlign w:val="center"/>
          </w:tcPr>
          <w:p w:rsidR="000F3678" w:rsidRPr="00C664D3" w:rsidRDefault="000F3678"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100</w:t>
            </w:r>
            <w:r w:rsidRPr="00C664D3">
              <w:rPr>
                <w:rFonts w:asciiTheme="minorEastAsia" w:eastAsiaTheme="minorEastAsia" w:hAnsiTheme="minorEastAsia" w:hint="eastAsia"/>
                <w:color w:val="000000" w:themeColor="text1"/>
                <w:szCs w:val="21"/>
              </w:rPr>
              <w:t>万元</w:t>
            </w:r>
          </w:p>
        </w:tc>
        <w:tc>
          <w:tcPr>
            <w:tcW w:w="2835" w:type="dxa"/>
            <w:vAlign w:val="center"/>
          </w:tcPr>
          <w:p w:rsidR="000F3678" w:rsidRPr="00C664D3" w:rsidRDefault="000F3678"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20</w:t>
            </w:r>
            <w:r w:rsidRPr="00C664D3">
              <w:rPr>
                <w:rFonts w:asciiTheme="minorEastAsia" w:eastAsiaTheme="minorEastAsia" w:hAnsiTheme="minorEastAsia" w:hint="eastAsia"/>
                <w:color w:val="000000" w:themeColor="text1"/>
                <w:szCs w:val="21"/>
              </w:rPr>
              <w:t>万</w:t>
            </w:r>
            <w:r w:rsidR="00DA5AD5" w:rsidRPr="00C664D3">
              <w:rPr>
                <w:rFonts w:asciiTheme="minorEastAsia" w:eastAsiaTheme="minorEastAsia" w:hAnsiTheme="minorEastAsia" w:hint="eastAsia"/>
                <w:color w:val="000000" w:themeColor="text1"/>
                <w:szCs w:val="21"/>
              </w:rPr>
              <w:t>美元</w:t>
            </w:r>
          </w:p>
        </w:tc>
        <w:tc>
          <w:tcPr>
            <w:tcW w:w="2835" w:type="dxa"/>
            <w:vAlign w:val="center"/>
          </w:tcPr>
          <w:p w:rsidR="000F3678" w:rsidRPr="00C664D3" w:rsidRDefault="000F3678"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color w:val="000000" w:themeColor="text1"/>
              </w:rPr>
              <w:t>%</w:t>
            </w:r>
          </w:p>
        </w:tc>
      </w:tr>
      <w:tr w:rsidR="00FB69A7" w:rsidRPr="00C664D3" w:rsidTr="00DA5AD5">
        <w:tc>
          <w:tcPr>
            <w:tcW w:w="2552" w:type="dxa"/>
            <w:vAlign w:val="center"/>
          </w:tcPr>
          <w:p w:rsidR="000F3678" w:rsidRPr="00C664D3" w:rsidRDefault="000F3678"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100</w:t>
            </w:r>
            <w:r w:rsidRPr="00C664D3">
              <w:rPr>
                <w:rFonts w:asciiTheme="minorEastAsia" w:eastAsiaTheme="minorEastAsia" w:hAnsiTheme="minorEastAsia" w:hint="eastAsia"/>
                <w:color w:val="000000" w:themeColor="text1"/>
                <w:szCs w:val="21"/>
              </w:rPr>
              <w:t>万元</w:t>
            </w: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200</w:t>
            </w:r>
            <w:r w:rsidRPr="00C664D3">
              <w:rPr>
                <w:rFonts w:asciiTheme="minorEastAsia" w:eastAsiaTheme="minorEastAsia" w:hAnsiTheme="minorEastAsia" w:hint="eastAsia"/>
                <w:color w:val="000000" w:themeColor="text1"/>
                <w:szCs w:val="21"/>
              </w:rPr>
              <w:t>万元</w:t>
            </w:r>
          </w:p>
        </w:tc>
        <w:tc>
          <w:tcPr>
            <w:tcW w:w="2835" w:type="dxa"/>
            <w:vAlign w:val="center"/>
          </w:tcPr>
          <w:p w:rsidR="000F3678" w:rsidRPr="00C664D3" w:rsidRDefault="000F3678"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20</w:t>
            </w:r>
            <w:r w:rsidRPr="00C664D3">
              <w:rPr>
                <w:rFonts w:asciiTheme="minorEastAsia" w:eastAsiaTheme="minorEastAsia" w:hAnsiTheme="minorEastAsia" w:hint="eastAsia"/>
                <w:color w:val="000000" w:themeColor="text1"/>
                <w:szCs w:val="21"/>
              </w:rPr>
              <w:t>万</w:t>
            </w:r>
            <w:r w:rsidR="00DA5AD5" w:rsidRPr="00C664D3">
              <w:rPr>
                <w:rFonts w:asciiTheme="minorEastAsia" w:eastAsiaTheme="minorEastAsia" w:hAnsiTheme="minorEastAsia" w:hint="eastAsia"/>
                <w:color w:val="000000" w:themeColor="text1"/>
                <w:szCs w:val="21"/>
              </w:rPr>
              <w:t>美元</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100</w:t>
            </w:r>
            <w:r w:rsidRPr="00C664D3">
              <w:rPr>
                <w:rFonts w:asciiTheme="minorEastAsia" w:eastAsiaTheme="minorEastAsia" w:hAnsiTheme="minorEastAsia" w:hint="eastAsia"/>
                <w:color w:val="000000" w:themeColor="text1"/>
                <w:szCs w:val="21"/>
              </w:rPr>
              <w:t>万</w:t>
            </w:r>
            <w:r w:rsidR="00DA5AD5" w:rsidRPr="00C664D3">
              <w:rPr>
                <w:rFonts w:asciiTheme="minorEastAsia" w:eastAsiaTheme="minorEastAsia" w:hAnsiTheme="minorEastAsia" w:hint="eastAsia"/>
                <w:color w:val="000000" w:themeColor="text1"/>
                <w:szCs w:val="21"/>
              </w:rPr>
              <w:t>美元</w:t>
            </w:r>
          </w:p>
        </w:tc>
        <w:tc>
          <w:tcPr>
            <w:tcW w:w="2835" w:type="dxa"/>
            <w:vAlign w:val="center"/>
          </w:tcPr>
          <w:p w:rsidR="000F3678" w:rsidRPr="00C664D3" w:rsidRDefault="000F3678"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w:t>
            </w:r>
            <w:r w:rsidRPr="00C664D3">
              <w:rPr>
                <w:rFonts w:asciiTheme="minorEastAsia" w:eastAsiaTheme="minorEastAsia" w:hAnsiTheme="minorEastAsia" w:hint="eastAsia"/>
                <w:color w:val="000000" w:themeColor="text1"/>
              </w:rPr>
              <w:t>8</w:t>
            </w:r>
            <w:r w:rsidRPr="00C664D3">
              <w:rPr>
                <w:rFonts w:asciiTheme="minorEastAsia" w:eastAsiaTheme="minorEastAsia" w:hAnsiTheme="minorEastAsia"/>
                <w:color w:val="000000" w:themeColor="text1"/>
              </w:rPr>
              <w:t>%</w:t>
            </w:r>
          </w:p>
        </w:tc>
      </w:tr>
      <w:tr w:rsidR="00FB69A7" w:rsidRPr="00C664D3" w:rsidTr="00DA5AD5">
        <w:tc>
          <w:tcPr>
            <w:tcW w:w="2552" w:type="dxa"/>
            <w:vAlign w:val="center"/>
          </w:tcPr>
          <w:p w:rsidR="000F3678" w:rsidRPr="00C664D3" w:rsidRDefault="000F3678"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200</w:t>
            </w:r>
            <w:r w:rsidRPr="00C664D3">
              <w:rPr>
                <w:rFonts w:asciiTheme="minorEastAsia" w:eastAsiaTheme="minorEastAsia" w:hAnsiTheme="minorEastAsia" w:hint="eastAsia"/>
                <w:color w:val="000000" w:themeColor="text1"/>
                <w:szCs w:val="21"/>
              </w:rPr>
              <w:t>万元</w:t>
            </w: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500</w:t>
            </w:r>
            <w:r w:rsidRPr="00C664D3">
              <w:rPr>
                <w:rFonts w:asciiTheme="minorEastAsia" w:eastAsiaTheme="minorEastAsia" w:hAnsiTheme="minorEastAsia" w:hint="eastAsia"/>
                <w:color w:val="000000" w:themeColor="text1"/>
                <w:szCs w:val="21"/>
              </w:rPr>
              <w:t>万元</w:t>
            </w:r>
          </w:p>
        </w:tc>
        <w:tc>
          <w:tcPr>
            <w:tcW w:w="2835" w:type="dxa"/>
            <w:vAlign w:val="center"/>
          </w:tcPr>
          <w:p w:rsidR="000F3678" w:rsidRPr="00C664D3" w:rsidRDefault="000F3678"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100</w:t>
            </w:r>
            <w:r w:rsidRPr="00C664D3">
              <w:rPr>
                <w:rFonts w:asciiTheme="minorEastAsia" w:eastAsiaTheme="minorEastAsia" w:hAnsiTheme="minorEastAsia" w:hint="eastAsia"/>
                <w:color w:val="000000" w:themeColor="text1"/>
                <w:szCs w:val="21"/>
              </w:rPr>
              <w:t>万</w:t>
            </w:r>
            <w:r w:rsidR="00DA5AD5" w:rsidRPr="00C664D3">
              <w:rPr>
                <w:rFonts w:asciiTheme="minorEastAsia" w:eastAsiaTheme="minorEastAsia" w:hAnsiTheme="minorEastAsia" w:hint="eastAsia"/>
                <w:color w:val="000000" w:themeColor="text1"/>
                <w:szCs w:val="21"/>
              </w:rPr>
              <w:t>美元</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200</w:t>
            </w:r>
            <w:r w:rsidRPr="00C664D3">
              <w:rPr>
                <w:rFonts w:asciiTheme="minorEastAsia" w:eastAsiaTheme="minorEastAsia" w:hAnsiTheme="minorEastAsia" w:hint="eastAsia"/>
                <w:color w:val="000000" w:themeColor="text1"/>
                <w:szCs w:val="21"/>
              </w:rPr>
              <w:t>万</w:t>
            </w:r>
            <w:r w:rsidR="00DA5AD5" w:rsidRPr="00C664D3">
              <w:rPr>
                <w:rFonts w:asciiTheme="minorEastAsia" w:eastAsiaTheme="minorEastAsia" w:hAnsiTheme="minorEastAsia" w:hint="eastAsia"/>
                <w:color w:val="000000" w:themeColor="text1"/>
                <w:szCs w:val="21"/>
              </w:rPr>
              <w:t>美元</w:t>
            </w:r>
          </w:p>
        </w:tc>
        <w:tc>
          <w:tcPr>
            <w:tcW w:w="2835" w:type="dxa"/>
            <w:vAlign w:val="center"/>
          </w:tcPr>
          <w:p w:rsidR="000F3678" w:rsidRPr="00C664D3" w:rsidRDefault="000F3678"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w:t>
            </w:r>
            <w:r w:rsidRPr="00C664D3">
              <w:rPr>
                <w:rFonts w:asciiTheme="minorEastAsia" w:eastAsiaTheme="minorEastAsia" w:hAnsiTheme="minorEastAsia" w:hint="eastAsia"/>
                <w:color w:val="000000" w:themeColor="text1"/>
              </w:rPr>
              <w:t>5</w:t>
            </w:r>
            <w:r w:rsidRPr="00C664D3">
              <w:rPr>
                <w:rFonts w:asciiTheme="minorEastAsia" w:eastAsiaTheme="minorEastAsia" w:hAnsiTheme="minorEastAsia"/>
                <w:color w:val="000000" w:themeColor="text1"/>
              </w:rPr>
              <w:t>%</w:t>
            </w:r>
          </w:p>
        </w:tc>
      </w:tr>
      <w:tr w:rsidR="00FB69A7" w:rsidRPr="00C664D3" w:rsidTr="00DA5AD5">
        <w:tc>
          <w:tcPr>
            <w:tcW w:w="2552" w:type="dxa"/>
            <w:vAlign w:val="center"/>
          </w:tcPr>
          <w:p w:rsidR="000F3678" w:rsidRPr="00C664D3" w:rsidRDefault="000F3678"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M≥500</w:t>
            </w:r>
            <w:r w:rsidRPr="00C664D3">
              <w:rPr>
                <w:rFonts w:asciiTheme="minorEastAsia" w:eastAsiaTheme="minorEastAsia" w:hAnsiTheme="minorEastAsia" w:hint="eastAsia"/>
                <w:color w:val="000000" w:themeColor="text1"/>
                <w:szCs w:val="21"/>
              </w:rPr>
              <w:t>万元</w:t>
            </w:r>
          </w:p>
        </w:tc>
        <w:tc>
          <w:tcPr>
            <w:tcW w:w="2835" w:type="dxa"/>
            <w:vAlign w:val="center"/>
          </w:tcPr>
          <w:p w:rsidR="000F3678" w:rsidRPr="00C664D3" w:rsidRDefault="000F3678"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200</w:t>
            </w:r>
            <w:r w:rsidRPr="00C664D3">
              <w:rPr>
                <w:rFonts w:asciiTheme="minorEastAsia" w:eastAsiaTheme="minorEastAsia" w:hAnsiTheme="minorEastAsia" w:hint="eastAsia"/>
                <w:color w:val="000000" w:themeColor="text1"/>
                <w:szCs w:val="21"/>
              </w:rPr>
              <w:t>万</w:t>
            </w:r>
            <w:r w:rsidR="00DA5AD5" w:rsidRPr="00C664D3">
              <w:rPr>
                <w:rFonts w:asciiTheme="minorEastAsia" w:eastAsiaTheme="minorEastAsia" w:hAnsiTheme="minorEastAsia" w:hint="eastAsia"/>
                <w:color w:val="000000" w:themeColor="text1"/>
                <w:szCs w:val="21"/>
              </w:rPr>
              <w:t>美元</w:t>
            </w:r>
          </w:p>
        </w:tc>
        <w:tc>
          <w:tcPr>
            <w:tcW w:w="2835"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人民币基金份额1,000元/笔</w:t>
            </w:r>
          </w:p>
          <w:p w:rsidR="000F3678"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szCs w:val="21"/>
              </w:rPr>
              <w:t>美元基金份额200美元/笔</w:t>
            </w:r>
          </w:p>
        </w:tc>
      </w:tr>
    </w:tbl>
    <w:p w:rsidR="007D0DA7" w:rsidRPr="00C664D3" w:rsidRDefault="007D0DA7"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szCs w:val="21"/>
        </w:rPr>
        <w:t>本基金对通过</w:t>
      </w:r>
      <w:r w:rsidR="002C2287" w:rsidRPr="00C664D3">
        <w:rPr>
          <w:rFonts w:asciiTheme="minorEastAsia" w:eastAsiaTheme="minorEastAsia" w:hAnsiTheme="minorEastAsia" w:hint="eastAsia"/>
          <w:color w:val="000000" w:themeColor="text1"/>
          <w:szCs w:val="21"/>
        </w:rPr>
        <w:t>本公司</w:t>
      </w:r>
      <w:r w:rsidRPr="00C664D3">
        <w:rPr>
          <w:rFonts w:asciiTheme="minorEastAsia" w:eastAsiaTheme="minorEastAsia" w:hAnsiTheme="minorEastAsia" w:hint="eastAsia"/>
          <w:color w:val="000000" w:themeColor="text1"/>
          <w:szCs w:val="21"/>
        </w:rPr>
        <w:t>直销中心申购</w:t>
      </w:r>
      <w:r w:rsidR="007852AA" w:rsidRPr="00C664D3">
        <w:rPr>
          <w:rFonts w:asciiTheme="minorEastAsia" w:eastAsiaTheme="minorEastAsia" w:hAnsiTheme="minorEastAsia" w:hint="eastAsia"/>
          <w:color w:val="000000" w:themeColor="text1"/>
          <w:szCs w:val="21"/>
        </w:rPr>
        <w:t>A类人民币份额、A类美元份额</w:t>
      </w:r>
      <w:r w:rsidRPr="00C664D3">
        <w:rPr>
          <w:rFonts w:asciiTheme="minorEastAsia" w:eastAsiaTheme="minorEastAsia" w:hAnsiTheme="minorEastAsia" w:hint="eastAsia"/>
          <w:color w:val="000000" w:themeColor="text1"/>
          <w:szCs w:val="21"/>
        </w:rPr>
        <w:t>的</w:t>
      </w:r>
      <w:r w:rsidRPr="00C664D3">
        <w:rPr>
          <w:rStyle w:val="da"/>
          <w:rFonts w:asciiTheme="minorEastAsia" w:eastAsiaTheme="minorEastAsia" w:hAnsiTheme="minorEastAsia" w:hint="eastAsia"/>
          <w:color w:val="000000" w:themeColor="text1"/>
        </w:rPr>
        <w:t>特定投资群体</w:t>
      </w:r>
      <w:r w:rsidRPr="00C664D3">
        <w:rPr>
          <w:rFonts w:asciiTheme="minorEastAsia" w:eastAsiaTheme="minorEastAsia" w:hAnsiTheme="minorEastAsia" w:hint="eastAsia"/>
          <w:color w:val="000000" w:themeColor="text1"/>
          <w:szCs w:val="21"/>
        </w:rPr>
        <w:t>与除此之外的其他投资者实施差别的申购费率。</w:t>
      </w:r>
    </w:p>
    <w:p w:rsidR="003C15E2" w:rsidRPr="00C664D3" w:rsidRDefault="00392DE4"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392DE4" w:rsidRPr="00C664D3" w:rsidRDefault="00392DE4"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通过</w:t>
      </w:r>
      <w:r w:rsidR="002C2287" w:rsidRPr="00C664D3">
        <w:rPr>
          <w:rFonts w:asciiTheme="minorEastAsia" w:eastAsiaTheme="minorEastAsia" w:hAnsiTheme="minorEastAsia" w:hint="eastAsia"/>
          <w:color w:val="000000" w:themeColor="text1"/>
        </w:rPr>
        <w:t>本公司</w:t>
      </w:r>
      <w:r w:rsidRPr="00C664D3">
        <w:rPr>
          <w:rFonts w:asciiTheme="minorEastAsia" w:eastAsiaTheme="minorEastAsia" w:hAnsiTheme="minorEastAsia" w:hint="eastAsia"/>
          <w:color w:val="000000" w:themeColor="text1"/>
        </w:rPr>
        <w:t>直销中心申购本基金</w:t>
      </w:r>
      <w:r w:rsidR="007852AA" w:rsidRPr="00C664D3">
        <w:rPr>
          <w:rFonts w:asciiTheme="minorEastAsia" w:eastAsiaTheme="minorEastAsia" w:hAnsiTheme="minorEastAsia" w:hint="eastAsia"/>
          <w:color w:val="000000" w:themeColor="text1"/>
          <w:szCs w:val="21"/>
        </w:rPr>
        <w:t>A类人民币份额、A类美元份额</w:t>
      </w:r>
      <w:r w:rsidRPr="00C664D3">
        <w:rPr>
          <w:rFonts w:asciiTheme="minorEastAsia" w:eastAsiaTheme="minorEastAsia" w:hAnsiTheme="minorEastAsia" w:hint="eastAsia"/>
          <w:color w:val="000000" w:themeColor="text1"/>
        </w:rPr>
        <w:t>的特定投资群体具体费率如下：</w:t>
      </w:r>
    </w:p>
    <w:tbl>
      <w:tblPr>
        <w:tblW w:w="82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2835"/>
        <w:gridCol w:w="2835"/>
      </w:tblGrid>
      <w:tr w:rsidR="00FB69A7" w:rsidRPr="00C664D3" w:rsidTr="00DA5AD5">
        <w:tc>
          <w:tcPr>
            <w:tcW w:w="2557" w:type="dxa"/>
            <w:vAlign w:val="center"/>
          </w:tcPr>
          <w:p w:rsidR="007852AA" w:rsidRPr="00C664D3" w:rsidRDefault="007852AA" w:rsidP="007852AA">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场外</w:t>
            </w:r>
            <w:r w:rsidRPr="00C664D3">
              <w:rPr>
                <w:rFonts w:asciiTheme="minorEastAsia" w:eastAsiaTheme="minorEastAsia" w:hAnsiTheme="minorEastAsia" w:hint="eastAsia"/>
                <w:color w:val="000000" w:themeColor="text1"/>
                <w:szCs w:val="21"/>
              </w:rPr>
              <w:t>A类人民币份额</w:t>
            </w:r>
          </w:p>
          <w:p w:rsidR="007852AA" w:rsidRPr="00C664D3" w:rsidRDefault="007852AA" w:rsidP="007852AA">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申购金额</w:t>
            </w:r>
            <w:r w:rsidRPr="00C664D3">
              <w:rPr>
                <w:rFonts w:asciiTheme="minorEastAsia" w:eastAsiaTheme="minorEastAsia" w:hAnsiTheme="minorEastAsia" w:hint="eastAsia"/>
                <w:color w:val="000000" w:themeColor="text1"/>
              </w:rPr>
              <w:t>M</w:t>
            </w:r>
            <w:r w:rsidRPr="00C664D3">
              <w:rPr>
                <w:rFonts w:asciiTheme="minorEastAsia" w:eastAsiaTheme="minorEastAsia" w:hAnsiTheme="minorEastAsia"/>
                <w:color w:val="000000" w:themeColor="text1"/>
              </w:rPr>
              <w:t>(含申购费)</w:t>
            </w:r>
          </w:p>
        </w:tc>
        <w:tc>
          <w:tcPr>
            <w:tcW w:w="2835" w:type="dxa"/>
            <w:vAlign w:val="center"/>
          </w:tcPr>
          <w:p w:rsidR="007852AA" w:rsidRPr="00C664D3" w:rsidRDefault="007852AA" w:rsidP="007852AA">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szCs w:val="21"/>
              </w:rPr>
              <w:lastRenderedPageBreak/>
              <w:t>A类美元份额</w:t>
            </w:r>
          </w:p>
          <w:p w:rsidR="007852AA" w:rsidRPr="00C664D3" w:rsidDel="00A963B5" w:rsidRDefault="007852AA" w:rsidP="007852AA">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lastRenderedPageBreak/>
              <w:t>申购金额M（含申购费）</w:t>
            </w:r>
          </w:p>
        </w:tc>
        <w:tc>
          <w:tcPr>
            <w:tcW w:w="2835" w:type="dxa"/>
            <w:vAlign w:val="center"/>
          </w:tcPr>
          <w:p w:rsidR="007852AA" w:rsidRPr="00C664D3" w:rsidRDefault="007852AA" w:rsidP="007852AA">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申购费率</w:t>
            </w:r>
          </w:p>
        </w:tc>
      </w:tr>
      <w:tr w:rsidR="00FB69A7" w:rsidRPr="00C664D3" w:rsidTr="00DA5AD5">
        <w:tc>
          <w:tcPr>
            <w:tcW w:w="2557"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100</w:t>
            </w:r>
            <w:r w:rsidRPr="00C664D3">
              <w:rPr>
                <w:rFonts w:asciiTheme="minorEastAsia" w:eastAsiaTheme="minorEastAsia" w:hAnsiTheme="minorEastAsia" w:hint="eastAsia"/>
                <w:color w:val="000000" w:themeColor="text1"/>
                <w:szCs w:val="21"/>
              </w:rPr>
              <w:t>万元</w:t>
            </w:r>
          </w:p>
        </w:tc>
        <w:tc>
          <w:tcPr>
            <w:tcW w:w="2835"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20</w:t>
            </w:r>
            <w:r w:rsidRPr="00C664D3">
              <w:rPr>
                <w:rFonts w:asciiTheme="minorEastAsia" w:eastAsiaTheme="minorEastAsia" w:hAnsiTheme="minorEastAsia" w:hint="eastAsia"/>
                <w:color w:val="000000" w:themeColor="text1"/>
                <w:szCs w:val="21"/>
              </w:rPr>
              <w:t>万美元</w:t>
            </w:r>
          </w:p>
        </w:tc>
        <w:tc>
          <w:tcPr>
            <w:tcW w:w="2835"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0.12</w:t>
            </w:r>
            <w:r w:rsidRPr="00C664D3">
              <w:rPr>
                <w:rFonts w:asciiTheme="minorEastAsia" w:eastAsiaTheme="minorEastAsia" w:hAnsiTheme="minorEastAsia"/>
                <w:color w:val="000000" w:themeColor="text1"/>
              </w:rPr>
              <w:t>%</w:t>
            </w:r>
          </w:p>
        </w:tc>
      </w:tr>
      <w:tr w:rsidR="00FB69A7" w:rsidRPr="00C664D3" w:rsidTr="00DA5AD5">
        <w:tc>
          <w:tcPr>
            <w:tcW w:w="2557"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100</w:t>
            </w:r>
            <w:r w:rsidRPr="00C664D3">
              <w:rPr>
                <w:rFonts w:asciiTheme="minorEastAsia" w:eastAsiaTheme="minorEastAsia" w:hAnsiTheme="minorEastAsia" w:hint="eastAsia"/>
                <w:color w:val="000000" w:themeColor="text1"/>
                <w:szCs w:val="21"/>
              </w:rPr>
              <w:t>万元</w:t>
            </w: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200</w:t>
            </w:r>
            <w:r w:rsidRPr="00C664D3">
              <w:rPr>
                <w:rFonts w:asciiTheme="minorEastAsia" w:eastAsiaTheme="minorEastAsia" w:hAnsiTheme="minorEastAsia" w:hint="eastAsia"/>
                <w:color w:val="000000" w:themeColor="text1"/>
                <w:szCs w:val="21"/>
              </w:rPr>
              <w:t>万元</w:t>
            </w:r>
          </w:p>
        </w:tc>
        <w:tc>
          <w:tcPr>
            <w:tcW w:w="2835"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20</w:t>
            </w:r>
            <w:r w:rsidRPr="00C664D3">
              <w:rPr>
                <w:rFonts w:asciiTheme="minorEastAsia" w:eastAsiaTheme="minorEastAsia" w:hAnsiTheme="minorEastAsia" w:hint="eastAsia"/>
                <w:color w:val="000000" w:themeColor="text1"/>
                <w:szCs w:val="21"/>
              </w:rPr>
              <w:t>万美元≤</w:t>
            </w: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100</w:t>
            </w:r>
            <w:r w:rsidRPr="00C664D3">
              <w:rPr>
                <w:rFonts w:asciiTheme="minorEastAsia" w:eastAsiaTheme="minorEastAsia" w:hAnsiTheme="minorEastAsia" w:hint="eastAsia"/>
                <w:color w:val="000000" w:themeColor="text1"/>
                <w:szCs w:val="21"/>
              </w:rPr>
              <w:t>万美元</w:t>
            </w:r>
          </w:p>
        </w:tc>
        <w:tc>
          <w:tcPr>
            <w:tcW w:w="2835"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w:t>
            </w:r>
            <w:r w:rsidRPr="00C664D3">
              <w:rPr>
                <w:rFonts w:asciiTheme="minorEastAsia" w:eastAsiaTheme="minorEastAsia" w:hAnsiTheme="minorEastAsia" w:hint="eastAsia"/>
                <w:color w:val="000000" w:themeColor="text1"/>
              </w:rPr>
              <w:t>08</w:t>
            </w:r>
            <w:r w:rsidRPr="00C664D3">
              <w:rPr>
                <w:rFonts w:asciiTheme="minorEastAsia" w:eastAsiaTheme="minorEastAsia" w:hAnsiTheme="minorEastAsia"/>
                <w:color w:val="000000" w:themeColor="text1"/>
              </w:rPr>
              <w:t>%</w:t>
            </w:r>
          </w:p>
        </w:tc>
      </w:tr>
      <w:tr w:rsidR="00FB69A7" w:rsidRPr="00C664D3" w:rsidTr="00DA5AD5">
        <w:tc>
          <w:tcPr>
            <w:tcW w:w="2557"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200</w:t>
            </w:r>
            <w:r w:rsidRPr="00C664D3">
              <w:rPr>
                <w:rFonts w:asciiTheme="minorEastAsia" w:eastAsiaTheme="minorEastAsia" w:hAnsiTheme="minorEastAsia" w:hint="eastAsia"/>
                <w:color w:val="000000" w:themeColor="text1"/>
                <w:szCs w:val="21"/>
              </w:rPr>
              <w:t>万元</w:t>
            </w: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500</w:t>
            </w:r>
            <w:r w:rsidRPr="00C664D3">
              <w:rPr>
                <w:rFonts w:asciiTheme="minorEastAsia" w:eastAsiaTheme="minorEastAsia" w:hAnsiTheme="minorEastAsia" w:hint="eastAsia"/>
                <w:color w:val="000000" w:themeColor="text1"/>
                <w:szCs w:val="21"/>
              </w:rPr>
              <w:t>万元</w:t>
            </w:r>
          </w:p>
        </w:tc>
        <w:tc>
          <w:tcPr>
            <w:tcW w:w="2835"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100</w:t>
            </w:r>
            <w:r w:rsidRPr="00C664D3">
              <w:rPr>
                <w:rFonts w:asciiTheme="minorEastAsia" w:eastAsiaTheme="minorEastAsia" w:hAnsiTheme="minorEastAsia" w:hint="eastAsia"/>
                <w:color w:val="000000" w:themeColor="text1"/>
                <w:szCs w:val="21"/>
              </w:rPr>
              <w:t>万美元≤</w:t>
            </w: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200</w:t>
            </w:r>
            <w:r w:rsidRPr="00C664D3">
              <w:rPr>
                <w:rFonts w:asciiTheme="minorEastAsia" w:eastAsiaTheme="minorEastAsia" w:hAnsiTheme="minorEastAsia" w:hint="eastAsia"/>
                <w:color w:val="000000" w:themeColor="text1"/>
                <w:szCs w:val="21"/>
              </w:rPr>
              <w:t>万美元</w:t>
            </w:r>
          </w:p>
        </w:tc>
        <w:tc>
          <w:tcPr>
            <w:tcW w:w="2835"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w:t>
            </w:r>
            <w:r w:rsidRPr="00C664D3">
              <w:rPr>
                <w:rFonts w:asciiTheme="minorEastAsia" w:eastAsiaTheme="minorEastAsia" w:hAnsiTheme="minorEastAsia" w:hint="eastAsia"/>
                <w:color w:val="000000" w:themeColor="text1"/>
              </w:rPr>
              <w:t>05</w:t>
            </w:r>
            <w:r w:rsidRPr="00C664D3">
              <w:rPr>
                <w:rFonts w:asciiTheme="minorEastAsia" w:eastAsiaTheme="minorEastAsia" w:hAnsiTheme="minorEastAsia"/>
                <w:color w:val="000000" w:themeColor="text1"/>
              </w:rPr>
              <w:t>%</w:t>
            </w:r>
          </w:p>
        </w:tc>
      </w:tr>
      <w:tr w:rsidR="00FB69A7" w:rsidRPr="00C664D3" w:rsidTr="00DA5AD5">
        <w:tc>
          <w:tcPr>
            <w:tcW w:w="2557"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M≥500</w:t>
            </w:r>
            <w:r w:rsidRPr="00C664D3">
              <w:rPr>
                <w:rFonts w:asciiTheme="minorEastAsia" w:eastAsiaTheme="minorEastAsia" w:hAnsiTheme="minorEastAsia" w:hint="eastAsia"/>
                <w:color w:val="000000" w:themeColor="text1"/>
                <w:szCs w:val="21"/>
              </w:rPr>
              <w:t>万元</w:t>
            </w:r>
          </w:p>
        </w:tc>
        <w:tc>
          <w:tcPr>
            <w:tcW w:w="2835"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szCs w:val="21"/>
              </w:rPr>
              <w:t>M</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200</w:t>
            </w:r>
            <w:r w:rsidRPr="00C664D3">
              <w:rPr>
                <w:rFonts w:asciiTheme="minorEastAsia" w:eastAsiaTheme="minorEastAsia" w:hAnsiTheme="minorEastAsia" w:hint="eastAsia"/>
                <w:color w:val="000000" w:themeColor="text1"/>
                <w:szCs w:val="21"/>
              </w:rPr>
              <w:t>万美元</w:t>
            </w:r>
          </w:p>
        </w:tc>
        <w:tc>
          <w:tcPr>
            <w:tcW w:w="2835" w:type="dxa"/>
            <w:vAlign w:val="center"/>
          </w:tcPr>
          <w:p w:rsidR="00DA5AD5" w:rsidRPr="00C664D3" w:rsidRDefault="00DA5AD5" w:rsidP="00AB77C1">
            <w:pPr>
              <w:spacing w:line="360" w:lineRule="auto"/>
              <w:jc w:val="center"/>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人民币基金份额1,000元/笔</w:t>
            </w:r>
          </w:p>
          <w:p w:rsidR="00DA5AD5" w:rsidRPr="00C664D3" w:rsidRDefault="00DA5AD5" w:rsidP="00AB77C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szCs w:val="21"/>
              </w:rPr>
              <w:t>美元基金份额200美元/笔</w:t>
            </w:r>
          </w:p>
        </w:tc>
      </w:tr>
    </w:tbl>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在申购费按金额分档的情况下，如果投资者多次申购，申购费适用单笔申购金额所对应的费率。</w:t>
      </w:r>
    </w:p>
    <w:p w:rsidR="007852AA" w:rsidRPr="00C664D3" w:rsidRDefault="007852AA" w:rsidP="007852A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（2）场内</w:t>
      </w:r>
      <w:r w:rsidRPr="00C664D3">
        <w:rPr>
          <w:rFonts w:asciiTheme="minorEastAsia" w:eastAsiaTheme="minorEastAsia" w:hAnsiTheme="minorEastAsia" w:hint="eastAsia"/>
          <w:color w:val="000000" w:themeColor="text1"/>
          <w:szCs w:val="21"/>
        </w:rPr>
        <w:t>A类人民币份额</w:t>
      </w:r>
      <w:r w:rsidRPr="00C664D3">
        <w:rPr>
          <w:rFonts w:asciiTheme="minorEastAsia" w:eastAsiaTheme="minorEastAsia" w:hAnsiTheme="minorEastAsia" w:hint="eastAsia"/>
          <w:color w:val="000000" w:themeColor="text1"/>
        </w:rPr>
        <w:t>申购费率</w:t>
      </w:r>
    </w:p>
    <w:p w:rsidR="007852AA" w:rsidRPr="00C664D3" w:rsidRDefault="007852AA" w:rsidP="007852A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本基金场内</w:t>
      </w:r>
      <w:r w:rsidRPr="00C664D3">
        <w:rPr>
          <w:rFonts w:asciiTheme="minorEastAsia" w:eastAsiaTheme="minorEastAsia" w:hAnsiTheme="minorEastAsia" w:hint="eastAsia"/>
          <w:color w:val="000000" w:themeColor="text1"/>
          <w:szCs w:val="21"/>
        </w:rPr>
        <w:t>A类人民币份额</w:t>
      </w:r>
      <w:r w:rsidRPr="00C664D3">
        <w:rPr>
          <w:rFonts w:asciiTheme="minorEastAsia" w:eastAsiaTheme="minorEastAsia" w:hAnsiTheme="minorEastAsia" w:hint="eastAsia"/>
          <w:color w:val="000000" w:themeColor="text1"/>
        </w:rPr>
        <w:t>的申购费率比照场外A类人民币份额其他投资者（非特定投资群体）的申购费率执行。</w:t>
      </w:r>
    </w:p>
    <w:p w:rsidR="0009186D" w:rsidRPr="00C664D3" w:rsidRDefault="007852AA"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w:t>
      </w:r>
      <w:r w:rsidRPr="00C664D3">
        <w:rPr>
          <w:rFonts w:asciiTheme="minorEastAsia" w:eastAsiaTheme="minorEastAsia" w:hAnsiTheme="minorEastAsia" w:hint="eastAsia"/>
          <w:color w:val="000000" w:themeColor="text1"/>
          <w:szCs w:val="21"/>
        </w:rPr>
        <w:t>本基金C类人民币份额、C类美元份额不收取申购费用。</w:t>
      </w:r>
    </w:p>
    <w:p w:rsidR="00A1091C" w:rsidRPr="00C664D3" w:rsidRDefault="00237FD4"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w:t>
      </w:r>
      <w:r w:rsidR="00937623" w:rsidRPr="00C664D3">
        <w:rPr>
          <w:rFonts w:asciiTheme="minorEastAsia" w:eastAsiaTheme="minorEastAsia" w:hAnsiTheme="minorEastAsia" w:hint="eastAsia"/>
          <w:color w:val="000000" w:themeColor="text1"/>
        </w:rPr>
        <w:t>.</w:t>
      </w:r>
      <w:r w:rsidR="00A1091C" w:rsidRPr="00C664D3">
        <w:rPr>
          <w:rFonts w:asciiTheme="minorEastAsia" w:eastAsiaTheme="minorEastAsia" w:hAnsiTheme="minorEastAsia"/>
          <w:color w:val="000000" w:themeColor="text1"/>
        </w:rPr>
        <w:t>本基金的赎回费率</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赎回费用由基金赎回人承担，</w:t>
      </w:r>
      <w:r w:rsidR="00261D5E" w:rsidRPr="00C664D3">
        <w:rPr>
          <w:rFonts w:asciiTheme="minorEastAsia" w:eastAsiaTheme="minorEastAsia" w:hAnsiTheme="minorEastAsia" w:hint="eastAsia"/>
          <w:color w:val="000000" w:themeColor="text1"/>
          <w:szCs w:val="21"/>
        </w:rPr>
        <w:t>在基金份额持有人赎回基金份额时收取，</w:t>
      </w:r>
      <w:r w:rsidR="00C81E1B" w:rsidRPr="00C664D3">
        <w:rPr>
          <w:rFonts w:asciiTheme="minorEastAsia" w:eastAsiaTheme="minorEastAsia" w:hAnsiTheme="minorEastAsia" w:hint="eastAsia"/>
          <w:color w:val="000000" w:themeColor="text1"/>
        </w:rPr>
        <w:t>基金管理人对持有期少于7天（不含）的基金份额持有人所收取赎回费全额计入基金财产，对持有期在7天以上（含）的基金份额持有人所收取赎回费用总额的25%计入基金资产</w:t>
      </w:r>
      <w:r w:rsidRPr="00C664D3">
        <w:rPr>
          <w:rFonts w:asciiTheme="minorEastAsia" w:eastAsiaTheme="minorEastAsia" w:hAnsiTheme="minorEastAsia"/>
          <w:color w:val="000000" w:themeColor="text1"/>
        </w:rPr>
        <w:t>，其余用于支付登记结算费和其他必要的手续费。</w:t>
      </w:r>
    </w:p>
    <w:p w:rsidR="00C81E1B" w:rsidRPr="00C664D3" w:rsidRDefault="007852AA" w:rsidP="00C81E1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00A1091C" w:rsidRPr="00C664D3">
        <w:rPr>
          <w:rFonts w:asciiTheme="minorEastAsia" w:eastAsiaTheme="minorEastAsia" w:hAnsiTheme="minorEastAsia"/>
          <w:color w:val="000000" w:themeColor="text1"/>
        </w:rPr>
        <w:t>本基金场内</w:t>
      </w:r>
      <w:r w:rsidRPr="00C664D3">
        <w:rPr>
          <w:rFonts w:asciiTheme="minorEastAsia" w:eastAsiaTheme="minorEastAsia" w:hAnsiTheme="minorEastAsia" w:hint="eastAsia"/>
          <w:color w:val="000000" w:themeColor="text1"/>
          <w:szCs w:val="21"/>
        </w:rPr>
        <w:t>A类人民币份额</w:t>
      </w:r>
      <w:r w:rsidR="001160B6" w:rsidRPr="00C664D3">
        <w:rPr>
          <w:rFonts w:asciiTheme="minorEastAsia" w:eastAsiaTheme="minorEastAsia" w:hAnsiTheme="minorEastAsia"/>
          <w:color w:val="000000" w:themeColor="text1"/>
        </w:rPr>
        <w:t>的</w:t>
      </w:r>
      <w:r w:rsidR="00A1091C" w:rsidRPr="00C664D3">
        <w:rPr>
          <w:rFonts w:asciiTheme="minorEastAsia" w:eastAsiaTheme="minorEastAsia" w:hAnsiTheme="minorEastAsia"/>
          <w:color w:val="000000" w:themeColor="text1"/>
        </w:rPr>
        <w:t>赎回</w:t>
      </w:r>
      <w:r w:rsidR="00C81E1B" w:rsidRPr="00C664D3">
        <w:rPr>
          <w:rFonts w:asciiTheme="minorEastAsia" w:eastAsiaTheme="minorEastAsia" w:hAnsiTheme="minorEastAsia"/>
          <w:color w:val="000000" w:themeColor="text1"/>
        </w:rPr>
        <w:t>费率按持有时间递减，具体费率如下</w:t>
      </w:r>
      <w:r w:rsidR="00C81E1B" w:rsidRPr="00C664D3">
        <w:rPr>
          <w:rFonts w:asciiTheme="minorEastAsia" w:eastAsiaTheme="minorEastAsia" w:hAnsiTheme="minorEastAsia" w:hint="eastAsia"/>
          <w:color w:val="000000" w:themeColor="text1"/>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117"/>
      </w:tblGrid>
      <w:tr w:rsidR="00FB69A7" w:rsidRPr="00C664D3" w:rsidTr="00FB69A7">
        <w:tc>
          <w:tcPr>
            <w:tcW w:w="3600"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持有时间（天）</w:t>
            </w:r>
          </w:p>
        </w:tc>
        <w:tc>
          <w:tcPr>
            <w:tcW w:w="3117"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场</w:t>
            </w:r>
            <w:r w:rsidRPr="00C664D3">
              <w:rPr>
                <w:rFonts w:asciiTheme="minorEastAsia" w:eastAsiaTheme="minorEastAsia" w:hAnsiTheme="minorEastAsia" w:hint="eastAsia"/>
                <w:color w:val="000000" w:themeColor="text1"/>
              </w:rPr>
              <w:t>内</w:t>
            </w:r>
            <w:r w:rsidR="007852AA" w:rsidRPr="00C664D3">
              <w:rPr>
                <w:rFonts w:asciiTheme="minorEastAsia" w:eastAsiaTheme="minorEastAsia" w:hAnsiTheme="minorEastAsia"/>
                <w:color w:val="000000" w:themeColor="text1"/>
              </w:rPr>
              <w:t>A</w:t>
            </w:r>
            <w:r w:rsidR="007852AA" w:rsidRPr="00C664D3">
              <w:rPr>
                <w:rFonts w:asciiTheme="minorEastAsia" w:eastAsiaTheme="minorEastAsia" w:hAnsiTheme="minorEastAsia" w:hint="eastAsia"/>
                <w:color w:val="000000" w:themeColor="text1"/>
              </w:rPr>
              <w:t>类人民币份额</w:t>
            </w:r>
            <w:r w:rsidRPr="00C664D3">
              <w:rPr>
                <w:rFonts w:asciiTheme="minorEastAsia" w:eastAsiaTheme="minorEastAsia" w:hAnsiTheme="minorEastAsia"/>
                <w:color w:val="000000" w:themeColor="text1"/>
              </w:rPr>
              <w:t>赎回费率</w:t>
            </w:r>
          </w:p>
        </w:tc>
      </w:tr>
      <w:tr w:rsidR="00FB69A7" w:rsidRPr="00C664D3" w:rsidTr="00FB69A7">
        <w:tc>
          <w:tcPr>
            <w:tcW w:w="3600"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w:t>
            </w:r>
            <w:r w:rsidRPr="00C664D3">
              <w:rPr>
                <w:rFonts w:asciiTheme="minorEastAsia" w:eastAsiaTheme="minorEastAsia" w:hAnsiTheme="minorEastAsia" w:hint="eastAsia"/>
                <w:color w:val="000000" w:themeColor="text1"/>
              </w:rPr>
              <w:t>6</w:t>
            </w:r>
          </w:p>
        </w:tc>
        <w:tc>
          <w:tcPr>
            <w:tcW w:w="3117"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w:t>
            </w: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50</w:t>
            </w:r>
            <w:r w:rsidRPr="00C664D3">
              <w:rPr>
                <w:rFonts w:asciiTheme="minorEastAsia" w:eastAsiaTheme="minorEastAsia" w:hAnsiTheme="minorEastAsia"/>
                <w:color w:val="000000" w:themeColor="text1"/>
              </w:rPr>
              <w:t>%</w:t>
            </w:r>
          </w:p>
        </w:tc>
      </w:tr>
      <w:tr w:rsidR="00FB69A7" w:rsidRPr="00C664D3" w:rsidTr="00FB69A7">
        <w:tc>
          <w:tcPr>
            <w:tcW w:w="3600"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7</w:t>
            </w:r>
            <w:r w:rsidRPr="00C664D3">
              <w:rPr>
                <w:rFonts w:asciiTheme="minorEastAsia" w:eastAsiaTheme="minorEastAsia" w:hAnsiTheme="minorEastAsia"/>
                <w:color w:val="000000" w:themeColor="text1"/>
              </w:rPr>
              <w:t>及以上</w:t>
            </w:r>
          </w:p>
        </w:tc>
        <w:tc>
          <w:tcPr>
            <w:tcW w:w="3117"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w:t>
            </w:r>
            <w:r w:rsidRPr="00C664D3">
              <w:rPr>
                <w:rFonts w:asciiTheme="minorEastAsia" w:eastAsiaTheme="minorEastAsia" w:hAnsiTheme="minorEastAsia" w:hint="eastAsia"/>
                <w:color w:val="000000" w:themeColor="text1"/>
              </w:rPr>
              <w:t>.50</w:t>
            </w:r>
            <w:r w:rsidRPr="00C664D3">
              <w:rPr>
                <w:rFonts w:asciiTheme="minorEastAsia" w:eastAsiaTheme="minorEastAsia" w:hAnsiTheme="minorEastAsia"/>
                <w:color w:val="000000" w:themeColor="text1"/>
              </w:rPr>
              <w:t>%</w:t>
            </w:r>
          </w:p>
        </w:tc>
      </w:tr>
    </w:tbl>
    <w:p w:rsidR="00A1091C" w:rsidRPr="00C664D3" w:rsidRDefault="007852AA"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w:t>
      </w:r>
      <w:r w:rsidR="00A1091C" w:rsidRPr="00C664D3">
        <w:rPr>
          <w:rFonts w:asciiTheme="minorEastAsia" w:eastAsiaTheme="minorEastAsia" w:hAnsiTheme="minorEastAsia"/>
          <w:color w:val="000000" w:themeColor="text1"/>
        </w:rPr>
        <w:t>本基金</w:t>
      </w:r>
      <w:r w:rsidR="001160B6" w:rsidRPr="00C664D3">
        <w:rPr>
          <w:rFonts w:asciiTheme="minorEastAsia" w:eastAsiaTheme="minorEastAsia" w:hAnsiTheme="minorEastAsia" w:hint="eastAsia"/>
          <w:color w:val="000000" w:themeColor="text1"/>
        </w:rPr>
        <w:t>（包含场外</w:t>
      </w:r>
      <w:r w:rsidRPr="00C664D3">
        <w:rPr>
          <w:rFonts w:asciiTheme="minorEastAsia" w:eastAsiaTheme="minorEastAsia" w:hAnsiTheme="minorEastAsia" w:hint="eastAsia"/>
          <w:color w:val="000000" w:themeColor="text1"/>
          <w:szCs w:val="21"/>
        </w:rPr>
        <w:t>A类人民币份额、A类美元份额</w:t>
      </w:r>
      <w:r w:rsidR="001160B6" w:rsidRPr="00C664D3">
        <w:rPr>
          <w:rFonts w:asciiTheme="minorEastAsia" w:eastAsiaTheme="minorEastAsia" w:hAnsiTheme="minorEastAsia" w:hint="eastAsia"/>
          <w:color w:val="000000" w:themeColor="text1"/>
        </w:rPr>
        <w:t>）</w:t>
      </w:r>
      <w:r w:rsidR="00A1091C" w:rsidRPr="00C664D3">
        <w:rPr>
          <w:rFonts w:asciiTheme="minorEastAsia" w:eastAsiaTheme="minorEastAsia" w:hAnsiTheme="minorEastAsia"/>
          <w:color w:val="000000" w:themeColor="text1"/>
        </w:rPr>
        <w:t>的场外赎回费率按持有时间递减，具体费率如下：</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117"/>
      </w:tblGrid>
      <w:tr w:rsidR="00FB69A7" w:rsidRPr="00C664D3" w:rsidTr="00FB69A7">
        <w:tc>
          <w:tcPr>
            <w:tcW w:w="3600" w:type="dxa"/>
            <w:vAlign w:val="center"/>
          </w:tcPr>
          <w:p w:rsidR="00A1091C" w:rsidRPr="00C664D3" w:rsidRDefault="00A1091C" w:rsidP="00FB69A7">
            <w:pPr>
              <w:spacing w:line="360" w:lineRule="auto"/>
              <w:jc w:val="center"/>
              <w:rPr>
                <w:rFonts w:asciiTheme="minorEastAsia" w:eastAsiaTheme="minorEastAsia" w:hAnsiTheme="minorEastAsia"/>
                <w:color w:val="000000" w:themeColor="text1"/>
              </w:rPr>
            </w:pPr>
            <w:bookmarkStart w:id="553" w:name="_Hlk187491086"/>
            <w:r w:rsidRPr="00C664D3">
              <w:rPr>
                <w:rFonts w:asciiTheme="minorEastAsia" w:eastAsiaTheme="minorEastAsia" w:hAnsiTheme="minorEastAsia"/>
                <w:color w:val="000000" w:themeColor="text1"/>
              </w:rPr>
              <w:t>持有时间（天）</w:t>
            </w:r>
          </w:p>
        </w:tc>
        <w:tc>
          <w:tcPr>
            <w:tcW w:w="3117" w:type="dxa"/>
            <w:vAlign w:val="center"/>
          </w:tcPr>
          <w:p w:rsidR="00A1091C" w:rsidRPr="00C664D3" w:rsidRDefault="00A1091C"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场外</w:t>
            </w:r>
            <w:r w:rsidR="007852AA" w:rsidRPr="00C664D3">
              <w:rPr>
                <w:rFonts w:asciiTheme="minorEastAsia" w:eastAsiaTheme="minorEastAsia" w:hAnsiTheme="minorEastAsia"/>
                <w:color w:val="000000" w:themeColor="text1"/>
              </w:rPr>
              <w:t>A</w:t>
            </w:r>
            <w:r w:rsidR="007852AA" w:rsidRPr="00C664D3">
              <w:rPr>
                <w:rFonts w:asciiTheme="minorEastAsia" w:eastAsiaTheme="minorEastAsia" w:hAnsiTheme="minorEastAsia" w:hint="eastAsia"/>
                <w:color w:val="000000" w:themeColor="text1"/>
              </w:rPr>
              <w:t>类人民币份额、</w:t>
            </w:r>
            <w:r w:rsidR="007852AA" w:rsidRPr="00C664D3">
              <w:rPr>
                <w:rFonts w:asciiTheme="minorEastAsia" w:eastAsiaTheme="minorEastAsia" w:hAnsiTheme="minorEastAsia"/>
                <w:color w:val="000000" w:themeColor="text1"/>
              </w:rPr>
              <w:t>A</w:t>
            </w:r>
            <w:r w:rsidR="007852AA" w:rsidRPr="00C664D3">
              <w:rPr>
                <w:rFonts w:asciiTheme="minorEastAsia" w:eastAsiaTheme="minorEastAsia" w:hAnsiTheme="minorEastAsia" w:hint="eastAsia"/>
                <w:color w:val="000000" w:themeColor="text1"/>
              </w:rPr>
              <w:t>类美元份额</w:t>
            </w:r>
            <w:r w:rsidRPr="00C664D3">
              <w:rPr>
                <w:rFonts w:asciiTheme="minorEastAsia" w:eastAsiaTheme="minorEastAsia" w:hAnsiTheme="minorEastAsia"/>
                <w:color w:val="000000" w:themeColor="text1"/>
              </w:rPr>
              <w:t>赎回费率</w:t>
            </w:r>
          </w:p>
        </w:tc>
      </w:tr>
      <w:tr w:rsidR="00FB69A7" w:rsidRPr="00C664D3" w:rsidTr="00FB69A7">
        <w:tc>
          <w:tcPr>
            <w:tcW w:w="3600"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w:t>
            </w:r>
            <w:r w:rsidRPr="00C664D3">
              <w:rPr>
                <w:rFonts w:asciiTheme="minorEastAsia" w:eastAsiaTheme="minorEastAsia" w:hAnsiTheme="minorEastAsia" w:hint="eastAsia"/>
                <w:color w:val="000000" w:themeColor="text1"/>
              </w:rPr>
              <w:t>6</w:t>
            </w:r>
          </w:p>
        </w:tc>
        <w:tc>
          <w:tcPr>
            <w:tcW w:w="3117"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w:t>
            </w: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50</w:t>
            </w:r>
            <w:r w:rsidRPr="00C664D3">
              <w:rPr>
                <w:rFonts w:asciiTheme="minorEastAsia" w:eastAsiaTheme="minorEastAsia" w:hAnsiTheme="minorEastAsia"/>
                <w:color w:val="000000" w:themeColor="text1"/>
              </w:rPr>
              <w:t>%</w:t>
            </w:r>
          </w:p>
        </w:tc>
      </w:tr>
      <w:tr w:rsidR="00FB69A7" w:rsidRPr="00C664D3" w:rsidTr="00FB69A7">
        <w:tc>
          <w:tcPr>
            <w:tcW w:w="3600"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7</w:t>
            </w:r>
            <w:r w:rsidRPr="00C664D3">
              <w:rPr>
                <w:rFonts w:asciiTheme="minorEastAsia" w:eastAsiaTheme="minorEastAsia" w:hAnsiTheme="minorEastAsia"/>
                <w:color w:val="000000" w:themeColor="text1"/>
              </w:rPr>
              <w:t>-364</w:t>
            </w:r>
          </w:p>
        </w:tc>
        <w:tc>
          <w:tcPr>
            <w:tcW w:w="3117"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w:t>
            </w:r>
            <w:r w:rsidRPr="00C664D3">
              <w:rPr>
                <w:rFonts w:asciiTheme="minorEastAsia" w:eastAsiaTheme="minorEastAsia" w:hAnsiTheme="minorEastAsia" w:hint="eastAsia"/>
                <w:color w:val="000000" w:themeColor="text1"/>
              </w:rPr>
              <w:t>50</w:t>
            </w:r>
            <w:r w:rsidRPr="00C664D3">
              <w:rPr>
                <w:rFonts w:asciiTheme="minorEastAsia" w:eastAsiaTheme="minorEastAsia" w:hAnsiTheme="minorEastAsia"/>
                <w:color w:val="000000" w:themeColor="text1"/>
              </w:rPr>
              <w:t>%</w:t>
            </w:r>
          </w:p>
        </w:tc>
      </w:tr>
      <w:tr w:rsidR="00FB69A7" w:rsidRPr="00C664D3" w:rsidTr="00FB69A7">
        <w:tc>
          <w:tcPr>
            <w:tcW w:w="3600"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365-729</w:t>
            </w:r>
          </w:p>
        </w:tc>
        <w:tc>
          <w:tcPr>
            <w:tcW w:w="3117"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w:t>
            </w:r>
            <w:r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color w:val="000000" w:themeColor="text1"/>
              </w:rPr>
              <w:t>5%</w:t>
            </w:r>
          </w:p>
        </w:tc>
      </w:tr>
      <w:tr w:rsidR="00FB69A7" w:rsidRPr="00C664D3" w:rsidTr="00FB69A7">
        <w:tc>
          <w:tcPr>
            <w:tcW w:w="3600"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730及以上</w:t>
            </w:r>
          </w:p>
        </w:tc>
        <w:tc>
          <w:tcPr>
            <w:tcW w:w="3117" w:type="dxa"/>
            <w:vAlign w:val="center"/>
          </w:tcPr>
          <w:p w:rsidR="00C81E1B" w:rsidRPr="00C664D3" w:rsidRDefault="00C81E1B" w:rsidP="00FB69A7">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0%</w:t>
            </w:r>
          </w:p>
        </w:tc>
      </w:tr>
    </w:tbl>
    <w:bookmarkEnd w:id="553"/>
    <w:p w:rsidR="007852AA" w:rsidRPr="00C664D3" w:rsidRDefault="007852AA" w:rsidP="007852AA">
      <w:pPr>
        <w:snapToGrid w:val="0"/>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（3）本基金</w:t>
      </w:r>
      <w:r w:rsidRPr="00C664D3">
        <w:rPr>
          <w:rFonts w:asciiTheme="minorEastAsia" w:eastAsiaTheme="minorEastAsia" w:hAnsiTheme="minorEastAsia" w:hint="eastAsia"/>
          <w:color w:val="000000" w:themeColor="text1"/>
          <w:szCs w:val="21"/>
        </w:rPr>
        <w:t>C类人民币份额、C类美元份额</w:t>
      </w:r>
      <w:r w:rsidRPr="00C664D3">
        <w:rPr>
          <w:rFonts w:asciiTheme="minorEastAsia" w:eastAsiaTheme="minorEastAsia" w:hAnsiTheme="minorEastAsia"/>
          <w:color w:val="000000" w:themeColor="text1"/>
        </w:rPr>
        <w:t>赎回费率按持有时间递减，具体费率如下：</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117"/>
      </w:tblGrid>
      <w:tr w:rsidR="00FB69A7" w:rsidRPr="00C664D3" w:rsidTr="00237FD4">
        <w:tc>
          <w:tcPr>
            <w:tcW w:w="3600" w:type="dxa"/>
            <w:vAlign w:val="center"/>
          </w:tcPr>
          <w:p w:rsidR="007852AA" w:rsidRPr="00C664D3" w:rsidRDefault="007852AA" w:rsidP="00237FD4">
            <w:pPr>
              <w:spacing w:line="360" w:lineRule="auto"/>
              <w:jc w:val="center"/>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持有时间（天）</w:t>
            </w:r>
          </w:p>
        </w:tc>
        <w:tc>
          <w:tcPr>
            <w:tcW w:w="3117" w:type="dxa"/>
            <w:vAlign w:val="center"/>
          </w:tcPr>
          <w:p w:rsidR="007852AA" w:rsidRPr="00C664D3" w:rsidRDefault="007852AA" w:rsidP="00237FD4">
            <w:pPr>
              <w:spacing w:line="360" w:lineRule="auto"/>
              <w:jc w:val="center"/>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C类人民币份额、C类美元份额</w:t>
            </w:r>
            <w:r w:rsidRPr="00C664D3">
              <w:rPr>
                <w:rFonts w:asciiTheme="minorEastAsia" w:eastAsiaTheme="minorEastAsia" w:hAnsiTheme="minorEastAsia"/>
                <w:color w:val="000000" w:themeColor="text1"/>
                <w:szCs w:val="21"/>
              </w:rPr>
              <w:t>赎回费率</w:t>
            </w:r>
          </w:p>
        </w:tc>
      </w:tr>
      <w:tr w:rsidR="00FB69A7" w:rsidRPr="00C664D3" w:rsidTr="00237FD4">
        <w:tc>
          <w:tcPr>
            <w:tcW w:w="3600" w:type="dxa"/>
          </w:tcPr>
          <w:p w:rsidR="007852AA" w:rsidRPr="00C664D3" w:rsidRDefault="007852AA" w:rsidP="00237FD4">
            <w:pPr>
              <w:spacing w:line="360" w:lineRule="auto"/>
              <w:jc w:val="center"/>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0-6</w:t>
            </w:r>
          </w:p>
        </w:tc>
        <w:tc>
          <w:tcPr>
            <w:tcW w:w="3117" w:type="dxa"/>
          </w:tcPr>
          <w:p w:rsidR="007852AA" w:rsidRPr="00C664D3" w:rsidRDefault="007852AA" w:rsidP="00237FD4">
            <w:pPr>
              <w:spacing w:line="360" w:lineRule="auto"/>
              <w:jc w:val="center"/>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1.50%</w:t>
            </w:r>
          </w:p>
        </w:tc>
      </w:tr>
      <w:tr w:rsidR="00FB69A7" w:rsidRPr="00C664D3" w:rsidTr="00237FD4">
        <w:tc>
          <w:tcPr>
            <w:tcW w:w="3600" w:type="dxa"/>
          </w:tcPr>
          <w:p w:rsidR="007852AA" w:rsidRPr="00C664D3" w:rsidRDefault="007852AA" w:rsidP="00237FD4">
            <w:pPr>
              <w:spacing w:line="360" w:lineRule="auto"/>
              <w:jc w:val="center"/>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7及以上</w:t>
            </w:r>
          </w:p>
        </w:tc>
        <w:tc>
          <w:tcPr>
            <w:tcW w:w="3117" w:type="dxa"/>
          </w:tcPr>
          <w:p w:rsidR="007852AA" w:rsidRPr="00C664D3" w:rsidRDefault="007852AA" w:rsidP="00237FD4">
            <w:pPr>
              <w:spacing w:line="360" w:lineRule="auto"/>
              <w:jc w:val="center"/>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0%</w:t>
            </w:r>
          </w:p>
        </w:tc>
      </w:tr>
    </w:tbl>
    <w:p w:rsidR="007852AA" w:rsidRPr="00C664D3" w:rsidRDefault="007852AA" w:rsidP="007852A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（4）赎回费用由基金赎回人承担，</w:t>
      </w:r>
      <w:r w:rsidRPr="00C664D3">
        <w:rPr>
          <w:rFonts w:asciiTheme="minorEastAsia" w:eastAsiaTheme="minorEastAsia" w:hAnsiTheme="minorEastAsia" w:hint="eastAsia"/>
          <w:color w:val="000000" w:themeColor="text1"/>
          <w:szCs w:val="21"/>
        </w:rPr>
        <w:t>在基金份额持有人赎回基金份额时收取，</w:t>
      </w:r>
      <w:r w:rsidRPr="00C664D3">
        <w:rPr>
          <w:rFonts w:asciiTheme="minorEastAsia" w:eastAsiaTheme="minorEastAsia" w:hAnsiTheme="minorEastAsia" w:hint="eastAsia"/>
          <w:color w:val="000000" w:themeColor="text1"/>
        </w:rPr>
        <w:t>基金管理人对持有期少于7天（不含）的基金份额持有人所收取赎回费全额计入基金财产，对持有期在7天以上（含）的基金份额持有人所收取赎回费用总额的25%计入基金资产</w:t>
      </w:r>
      <w:r w:rsidRPr="00C664D3">
        <w:rPr>
          <w:rFonts w:asciiTheme="minorEastAsia" w:eastAsiaTheme="minorEastAsia" w:hAnsiTheme="minorEastAsia"/>
          <w:color w:val="000000" w:themeColor="text1"/>
        </w:rPr>
        <w:t>，其余用于支付登记结算费和其他必要的手续费。</w:t>
      </w:r>
    </w:p>
    <w:p w:rsidR="003C15E2" w:rsidRPr="00C664D3" w:rsidRDefault="007852AA" w:rsidP="007852A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w:t>
      </w:r>
      <w:r w:rsidR="002C2287" w:rsidRPr="00C664D3">
        <w:rPr>
          <w:rFonts w:asciiTheme="minorEastAsia" w:eastAsiaTheme="minorEastAsia" w:hAnsiTheme="minorEastAsia" w:hint="eastAsia"/>
          <w:color w:val="000000" w:themeColor="text1"/>
        </w:rPr>
        <w:t>投资者份额持有时间记录规则以登记结算机构最新业务规则为准，具体持有时间以登记结算机构系统记录为准。</w:t>
      </w:r>
    </w:p>
    <w:p w:rsidR="00A1091C" w:rsidRPr="00C664D3" w:rsidRDefault="00237FD4" w:rsidP="00AB77C1">
      <w:pPr>
        <w:spacing w:line="360" w:lineRule="auto"/>
        <w:ind w:firstLine="420"/>
        <w:rPr>
          <w:rFonts w:asciiTheme="minorEastAsia" w:eastAsiaTheme="minorEastAsia" w:hAnsiTheme="minorEastAsia"/>
          <w:color w:val="000000" w:themeColor="text1"/>
        </w:rPr>
      </w:pPr>
      <w:bookmarkStart w:id="554" w:name="_Toc423335584"/>
      <w:r w:rsidRPr="00C664D3">
        <w:rPr>
          <w:rFonts w:asciiTheme="minorEastAsia" w:eastAsiaTheme="minorEastAsia" w:hAnsiTheme="minorEastAsia"/>
          <w:color w:val="000000" w:themeColor="text1"/>
        </w:rPr>
        <w:t>4</w:t>
      </w:r>
      <w:r w:rsidR="00937623" w:rsidRPr="00C664D3">
        <w:rPr>
          <w:rFonts w:asciiTheme="minorEastAsia" w:eastAsiaTheme="minorEastAsia" w:hAnsiTheme="minorEastAsia" w:hint="eastAsia"/>
          <w:color w:val="000000" w:themeColor="text1"/>
        </w:rPr>
        <w:t>.</w:t>
      </w:r>
      <w:r w:rsidR="007D0DA7" w:rsidRPr="00C664D3">
        <w:rPr>
          <w:rFonts w:asciiTheme="minorEastAsia" w:eastAsiaTheme="minorEastAsia" w:hAnsiTheme="minorEastAsia" w:hint="eastAsia"/>
          <w:color w:val="000000" w:themeColor="text1"/>
        </w:rPr>
        <w:t>基金管理人可以在基金合同约定的范围内调整费率或收费方式，并最迟应于新的费率或收费方式实施前依照《信息披露办法》的有关规定在指定媒介上公告。</w:t>
      </w:r>
      <w:bookmarkEnd w:id="554"/>
    </w:p>
    <w:p w:rsidR="00A1091C" w:rsidRPr="00C664D3" w:rsidRDefault="00237FD4"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w:t>
      </w:r>
      <w:r w:rsidR="00962F4A" w:rsidRPr="00C664D3">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555" w:name="_Toc423335585"/>
      <w:r w:rsidRPr="00C664D3">
        <w:rPr>
          <w:rFonts w:asciiTheme="minorEastAsia" w:eastAsiaTheme="minorEastAsia" w:hAnsiTheme="minorEastAsia"/>
          <w:b w:val="0"/>
          <w:bCs/>
          <w:color w:val="000000" w:themeColor="text1"/>
        </w:rPr>
        <w:t>申购份额与赎回金额的计算</w:t>
      </w:r>
      <w:bookmarkEnd w:id="555"/>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00F04555"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申购和赎回数额、余额的处理方式</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（1）申购份额余额的处理方式：申购的有效份额为按实际确认的申购金额在扣除相应的费用后，以申请当日</w:t>
      </w:r>
      <w:r w:rsidR="009D6EAC" w:rsidRPr="00C664D3">
        <w:rPr>
          <w:rFonts w:asciiTheme="minorEastAsia" w:eastAsiaTheme="minorEastAsia" w:hAnsiTheme="minorEastAsia" w:hint="eastAsia"/>
          <w:color w:val="000000" w:themeColor="text1"/>
        </w:rPr>
        <w:t>对应份额类别的</w:t>
      </w:r>
      <w:r w:rsidRPr="00C664D3">
        <w:rPr>
          <w:rFonts w:asciiTheme="minorEastAsia" w:eastAsiaTheme="minorEastAsia" w:hAnsiTheme="minorEastAsia"/>
          <w:color w:val="000000" w:themeColor="text1"/>
        </w:rPr>
        <w:t>基金份额净值为基准计算。场外</w:t>
      </w:r>
      <w:r w:rsidR="002709CF" w:rsidRPr="00C664D3">
        <w:rPr>
          <w:rFonts w:asciiTheme="minorEastAsia" w:eastAsiaTheme="minorEastAsia" w:hAnsiTheme="minorEastAsia" w:hint="eastAsia"/>
          <w:color w:val="000000" w:themeColor="text1"/>
          <w:szCs w:val="21"/>
        </w:rPr>
        <w:t>A类人民币份额、A类美元份额、C类人民币份额、C类美元份额</w:t>
      </w:r>
      <w:r w:rsidRPr="00C664D3">
        <w:rPr>
          <w:rFonts w:asciiTheme="minorEastAsia" w:eastAsiaTheme="minorEastAsia" w:hAnsiTheme="minorEastAsia"/>
          <w:color w:val="000000" w:themeColor="text1"/>
        </w:rPr>
        <w:t>申购涉及金额、份额的计算结果均保留到小数点后两位，小数点后两位以后的部分四舍五入，由此产生的误差计入基金财产。场内</w:t>
      </w:r>
      <w:r w:rsidR="002709CF" w:rsidRPr="00C664D3">
        <w:rPr>
          <w:rFonts w:asciiTheme="minorEastAsia" w:eastAsiaTheme="minorEastAsia" w:hAnsiTheme="minorEastAsia"/>
          <w:color w:val="000000" w:themeColor="text1"/>
        </w:rPr>
        <w:t>A类人民币份额</w:t>
      </w:r>
      <w:r w:rsidRPr="00C664D3">
        <w:rPr>
          <w:rFonts w:asciiTheme="minorEastAsia" w:eastAsiaTheme="minorEastAsia" w:hAnsiTheme="minorEastAsia"/>
          <w:color w:val="000000" w:themeColor="text1"/>
        </w:rPr>
        <w:t>申购涉及金额的计算结果保留到小数点后两位，小数点后两位以后的部分四舍五入，由此产生的误差计入基金财产；场内</w:t>
      </w:r>
      <w:r w:rsidR="002709CF" w:rsidRPr="00C664D3">
        <w:rPr>
          <w:rFonts w:asciiTheme="minorEastAsia" w:eastAsiaTheme="minorEastAsia" w:hAnsiTheme="minorEastAsia"/>
          <w:color w:val="000000" w:themeColor="text1"/>
        </w:rPr>
        <w:t>A类人民币份额</w:t>
      </w:r>
      <w:r w:rsidRPr="00C664D3">
        <w:rPr>
          <w:rFonts w:asciiTheme="minorEastAsia" w:eastAsiaTheme="minorEastAsia" w:hAnsiTheme="minorEastAsia"/>
          <w:color w:val="000000" w:themeColor="text1"/>
        </w:rPr>
        <w:t>申购涉及份额的计算结果采用截位法保留到整数位，整数位后小数部分的份额对应的资金返还至投资者资金账户。</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（2）赎回金额的处理方式：赎回金额为按实际确认的有效赎回份额乘以申请当日</w:t>
      </w:r>
      <w:r w:rsidR="00EF1A38" w:rsidRPr="00C664D3">
        <w:rPr>
          <w:rFonts w:asciiTheme="minorEastAsia" w:eastAsiaTheme="minorEastAsia" w:hAnsiTheme="minorEastAsia" w:hint="eastAsia"/>
          <w:color w:val="000000" w:themeColor="text1"/>
        </w:rPr>
        <w:t>对应份额类别的</w:t>
      </w:r>
      <w:r w:rsidRPr="00C664D3">
        <w:rPr>
          <w:rFonts w:asciiTheme="minorEastAsia" w:eastAsiaTheme="minorEastAsia" w:hAnsiTheme="minorEastAsia"/>
          <w:color w:val="000000" w:themeColor="text1"/>
        </w:rPr>
        <w:t>基金份额净值并扣除相应的费用后的余额，计算结果保留到小数点后两位，小数</w:t>
      </w:r>
      <w:r w:rsidRPr="00C664D3">
        <w:rPr>
          <w:rFonts w:asciiTheme="minorEastAsia" w:eastAsiaTheme="minorEastAsia" w:hAnsiTheme="minorEastAsia"/>
          <w:color w:val="000000" w:themeColor="text1"/>
        </w:rPr>
        <w:lastRenderedPageBreak/>
        <w:t>点后第三位四舍五入，由此误差产生的收益或损失计入基金财产。</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w:t>
      </w:r>
      <w:r w:rsidR="00F04555"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申购份额的计算</w:t>
      </w:r>
    </w:p>
    <w:p w:rsidR="002709CF" w:rsidRPr="00C664D3" w:rsidRDefault="002709CF" w:rsidP="002709CF">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（1）A类人民币份额、A类美元份额</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净申购金额=申购金额/（1+申购费率）</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（注：</w:t>
      </w:r>
      <w:r w:rsidR="002709CF" w:rsidRPr="00C664D3">
        <w:rPr>
          <w:rFonts w:asciiTheme="minorEastAsia" w:eastAsiaTheme="minorEastAsia" w:hAnsiTheme="minorEastAsia"/>
          <w:color w:val="000000" w:themeColor="text1"/>
        </w:rPr>
        <w:t>对于A类人民币份额、A类美元份额，</w:t>
      </w:r>
      <w:r w:rsidR="003F0999" w:rsidRPr="00C664D3">
        <w:rPr>
          <w:rFonts w:asciiTheme="minorEastAsia" w:eastAsiaTheme="minorEastAsia" w:hAnsiTheme="minorEastAsia" w:hint="eastAsia"/>
          <w:color w:val="000000" w:themeColor="text1"/>
        </w:rPr>
        <w:t>5</w:t>
      </w:r>
      <w:r w:rsidR="003F0999" w:rsidRPr="00C664D3">
        <w:rPr>
          <w:rFonts w:asciiTheme="minorEastAsia" w:eastAsiaTheme="minorEastAsia" w:hAnsiTheme="minorEastAsia"/>
          <w:color w:val="000000" w:themeColor="text1"/>
        </w:rPr>
        <w:t>00</w:t>
      </w:r>
      <w:r w:rsidRPr="00C664D3">
        <w:rPr>
          <w:rFonts w:asciiTheme="minorEastAsia" w:eastAsiaTheme="minorEastAsia" w:hAnsiTheme="minorEastAsia"/>
          <w:color w:val="000000" w:themeColor="text1"/>
        </w:rPr>
        <w:t>万（含）</w:t>
      </w:r>
      <w:r w:rsidR="00EF1A38" w:rsidRPr="00C664D3">
        <w:rPr>
          <w:rFonts w:asciiTheme="minorEastAsia" w:eastAsiaTheme="minorEastAsia" w:hAnsiTheme="minorEastAsia" w:hint="eastAsia"/>
          <w:color w:val="000000" w:themeColor="text1"/>
        </w:rPr>
        <w:t>或200万美元（含）</w:t>
      </w:r>
      <w:r w:rsidRPr="00C664D3">
        <w:rPr>
          <w:rFonts w:asciiTheme="minorEastAsia" w:eastAsiaTheme="minorEastAsia" w:hAnsiTheme="minorEastAsia"/>
          <w:color w:val="000000" w:themeColor="text1"/>
        </w:rPr>
        <w:t>以上适用固定金额申购费的申购，净申购金额＝申购金额－固定申购费金额）</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申购费用=申购金额-净申购金额</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申购份额=净申购金额/T日</w:t>
      </w:r>
      <w:r w:rsidR="00386000" w:rsidRPr="00C664D3">
        <w:rPr>
          <w:rFonts w:asciiTheme="minorEastAsia" w:eastAsiaTheme="minorEastAsia" w:hAnsiTheme="minorEastAsia"/>
          <w:color w:val="000000" w:themeColor="text1"/>
        </w:rPr>
        <w:t>该类</w:t>
      </w:r>
      <w:r w:rsidRPr="00C664D3">
        <w:rPr>
          <w:rFonts w:asciiTheme="minorEastAsia" w:eastAsiaTheme="minorEastAsia" w:hAnsiTheme="minorEastAsia"/>
          <w:color w:val="000000" w:themeColor="text1"/>
        </w:rPr>
        <w:t>基金份额净值</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举例说明：</w:t>
      </w:r>
    </w:p>
    <w:p w:rsidR="00A1091C" w:rsidRPr="00C664D3" w:rsidRDefault="00392DE4"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例：</w:t>
      </w:r>
      <w:r w:rsidR="00A1091C" w:rsidRPr="00C664D3">
        <w:rPr>
          <w:rFonts w:asciiTheme="minorEastAsia" w:eastAsiaTheme="minorEastAsia" w:hAnsiTheme="minorEastAsia"/>
          <w:color w:val="000000" w:themeColor="text1"/>
        </w:rPr>
        <w:t>某投资人</w:t>
      </w:r>
      <w:r w:rsidRPr="00C664D3">
        <w:rPr>
          <w:rFonts w:asciiTheme="minorEastAsia" w:eastAsiaTheme="minorEastAsia" w:hAnsiTheme="minorEastAsia" w:hint="eastAsia"/>
          <w:color w:val="000000" w:themeColor="text1"/>
        </w:rPr>
        <w:t>（非特定投资群体）</w:t>
      </w:r>
      <w:r w:rsidR="00A1091C" w:rsidRPr="00C664D3">
        <w:rPr>
          <w:rFonts w:asciiTheme="minorEastAsia" w:eastAsiaTheme="minorEastAsia" w:hAnsiTheme="minorEastAsia"/>
          <w:color w:val="000000" w:themeColor="text1"/>
        </w:rPr>
        <w:t>投资4万元</w:t>
      </w:r>
      <w:r w:rsidR="00824906" w:rsidRPr="00C664D3">
        <w:rPr>
          <w:rFonts w:asciiTheme="minorEastAsia" w:eastAsiaTheme="minorEastAsia" w:hAnsiTheme="minorEastAsia" w:hint="eastAsia"/>
          <w:color w:val="000000" w:themeColor="text1"/>
        </w:rPr>
        <w:t>人民币</w:t>
      </w:r>
      <w:r w:rsidR="00A1091C" w:rsidRPr="00C664D3">
        <w:rPr>
          <w:rFonts w:asciiTheme="minorEastAsia" w:eastAsiaTheme="minorEastAsia" w:hAnsiTheme="minorEastAsia"/>
          <w:color w:val="000000" w:themeColor="text1"/>
        </w:rPr>
        <w:t>申购本基金</w:t>
      </w:r>
      <w:r w:rsidR="00824906" w:rsidRPr="00C664D3">
        <w:rPr>
          <w:rFonts w:asciiTheme="minorEastAsia" w:eastAsiaTheme="minorEastAsia" w:hAnsiTheme="minorEastAsia" w:hint="eastAsia"/>
          <w:color w:val="000000" w:themeColor="text1"/>
        </w:rPr>
        <w:t>场外</w:t>
      </w:r>
      <w:r w:rsidR="002709CF" w:rsidRPr="00C664D3">
        <w:rPr>
          <w:rFonts w:asciiTheme="minorEastAsia" w:eastAsiaTheme="minorEastAsia" w:hAnsiTheme="minorEastAsia" w:hint="eastAsia"/>
          <w:color w:val="000000" w:themeColor="text1"/>
        </w:rPr>
        <w:t>A类</w:t>
      </w:r>
      <w:r w:rsidR="00824906" w:rsidRPr="00C664D3">
        <w:rPr>
          <w:rFonts w:asciiTheme="minorEastAsia" w:eastAsiaTheme="minorEastAsia" w:hAnsiTheme="minorEastAsia" w:hint="eastAsia"/>
          <w:color w:val="000000" w:themeColor="text1"/>
        </w:rPr>
        <w:t>人民币基金份额</w:t>
      </w:r>
      <w:r w:rsidR="00A1091C" w:rsidRPr="00C664D3">
        <w:rPr>
          <w:rFonts w:asciiTheme="minorEastAsia" w:eastAsiaTheme="minorEastAsia" w:hAnsiTheme="minorEastAsia"/>
          <w:color w:val="000000" w:themeColor="text1"/>
        </w:rPr>
        <w:t>，申购费率为1</w:t>
      </w:r>
      <w:r w:rsidR="003F0999" w:rsidRPr="00C664D3">
        <w:rPr>
          <w:rFonts w:asciiTheme="minorEastAsia" w:eastAsiaTheme="minorEastAsia" w:hAnsiTheme="minorEastAsia" w:hint="eastAsia"/>
          <w:color w:val="000000" w:themeColor="text1"/>
        </w:rPr>
        <w:t>.2</w:t>
      </w:r>
      <w:r w:rsidR="00A1091C" w:rsidRPr="00C664D3">
        <w:rPr>
          <w:rFonts w:asciiTheme="minorEastAsia" w:eastAsiaTheme="minorEastAsia" w:hAnsiTheme="minorEastAsia"/>
          <w:color w:val="000000" w:themeColor="text1"/>
        </w:rPr>
        <w:t>%，假设申购当日</w:t>
      </w:r>
      <w:r w:rsidR="002709CF" w:rsidRPr="00C664D3">
        <w:rPr>
          <w:rFonts w:asciiTheme="minorEastAsia" w:eastAsiaTheme="minorEastAsia" w:hAnsiTheme="minorEastAsia" w:hint="eastAsia"/>
          <w:color w:val="000000" w:themeColor="text1"/>
        </w:rPr>
        <w:t>A类人民币份额</w:t>
      </w:r>
      <w:r w:rsidR="00A1091C" w:rsidRPr="00C664D3">
        <w:rPr>
          <w:rFonts w:asciiTheme="minorEastAsia" w:eastAsiaTheme="minorEastAsia" w:hAnsiTheme="minorEastAsia"/>
          <w:color w:val="000000" w:themeColor="text1"/>
        </w:rPr>
        <w:t>净值为1.04</w:t>
      </w:r>
      <w:r w:rsidR="00C40E7E" w:rsidRPr="00C664D3">
        <w:rPr>
          <w:rFonts w:asciiTheme="minorEastAsia" w:eastAsiaTheme="minorEastAsia" w:hAnsiTheme="minorEastAsia" w:hint="eastAsia"/>
          <w:color w:val="000000" w:themeColor="text1"/>
        </w:rPr>
        <w:t>0</w:t>
      </w:r>
      <w:r w:rsidR="00A1091C" w:rsidRPr="00C664D3">
        <w:rPr>
          <w:rFonts w:asciiTheme="minorEastAsia" w:eastAsiaTheme="minorEastAsia" w:hAnsiTheme="minorEastAsia"/>
          <w:color w:val="000000" w:themeColor="text1"/>
        </w:rPr>
        <w:t>0元，则其可得到的</w:t>
      </w:r>
      <w:r w:rsidR="0067478A" w:rsidRPr="00C664D3">
        <w:rPr>
          <w:rFonts w:asciiTheme="minorEastAsia" w:eastAsiaTheme="minorEastAsia" w:hAnsiTheme="minorEastAsia" w:hint="eastAsia"/>
          <w:color w:val="000000" w:themeColor="text1"/>
        </w:rPr>
        <w:t>A类人民币份额</w:t>
      </w:r>
      <w:r w:rsidR="00A1091C" w:rsidRPr="00C664D3">
        <w:rPr>
          <w:rFonts w:asciiTheme="minorEastAsia" w:eastAsiaTheme="minorEastAsia" w:hAnsiTheme="minorEastAsia"/>
          <w:color w:val="000000" w:themeColor="text1"/>
        </w:rPr>
        <w:t>为：</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净申购金额=40,000/（1+1</w:t>
      </w:r>
      <w:r w:rsidR="003F0999"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color w:val="000000" w:themeColor="text1"/>
        </w:rPr>
        <w:t>%）=39,</w:t>
      </w:r>
      <w:r w:rsidR="003F0999" w:rsidRPr="00C664D3">
        <w:rPr>
          <w:rFonts w:asciiTheme="minorEastAsia" w:eastAsiaTheme="minorEastAsia" w:hAnsiTheme="minorEastAsia" w:hint="eastAsia"/>
          <w:color w:val="000000" w:themeColor="text1"/>
        </w:rPr>
        <w:t>525</w:t>
      </w:r>
      <w:r w:rsidRPr="00C664D3">
        <w:rPr>
          <w:rFonts w:asciiTheme="minorEastAsia" w:eastAsiaTheme="minorEastAsia" w:hAnsiTheme="minorEastAsia"/>
          <w:color w:val="000000" w:themeColor="text1"/>
        </w:rPr>
        <w:t>.</w:t>
      </w:r>
      <w:r w:rsidR="003F0999" w:rsidRPr="00C664D3">
        <w:rPr>
          <w:rFonts w:asciiTheme="minorEastAsia" w:eastAsiaTheme="minorEastAsia" w:hAnsiTheme="minorEastAsia" w:hint="eastAsia"/>
          <w:color w:val="000000" w:themeColor="text1"/>
        </w:rPr>
        <w:t>69</w:t>
      </w:r>
      <w:r w:rsidRPr="00C664D3">
        <w:rPr>
          <w:rFonts w:asciiTheme="minorEastAsia" w:eastAsiaTheme="minorEastAsia" w:hAnsiTheme="minorEastAsia"/>
          <w:color w:val="000000" w:themeColor="text1"/>
        </w:rPr>
        <w:t>元</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申购费用=40,000-</w:t>
      </w:r>
      <w:r w:rsidR="003F0999" w:rsidRPr="00C664D3">
        <w:rPr>
          <w:rFonts w:asciiTheme="minorEastAsia" w:eastAsiaTheme="minorEastAsia" w:hAnsiTheme="minorEastAsia"/>
          <w:color w:val="000000" w:themeColor="text1"/>
        </w:rPr>
        <w:t>39,</w:t>
      </w:r>
      <w:r w:rsidR="003F0999" w:rsidRPr="00C664D3">
        <w:rPr>
          <w:rFonts w:asciiTheme="minorEastAsia" w:eastAsiaTheme="minorEastAsia" w:hAnsiTheme="minorEastAsia" w:hint="eastAsia"/>
          <w:color w:val="000000" w:themeColor="text1"/>
        </w:rPr>
        <w:t>525</w:t>
      </w:r>
      <w:r w:rsidR="003F0999" w:rsidRPr="00C664D3">
        <w:rPr>
          <w:rFonts w:asciiTheme="minorEastAsia" w:eastAsiaTheme="minorEastAsia" w:hAnsiTheme="minorEastAsia"/>
          <w:color w:val="000000" w:themeColor="text1"/>
        </w:rPr>
        <w:t>.</w:t>
      </w:r>
      <w:r w:rsidR="003F0999" w:rsidRPr="00C664D3">
        <w:rPr>
          <w:rFonts w:asciiTheme="minorEastAsia" w:eastAsiaTheme="minorEastAsia" w:hAnsiTheme="minorEastAsia" w:hint="eastAsia"/>
          <w:color w:val="000000" w:themeColor="text1"/>
        </w:rPr>
        <w:t>69</w:t>
      </w:r>
      <w:r w:rsidRPr="00C664D3">
        <w:rPr>
          <w:rFonts w:asciiTheme="minorEastAsia" w:eastAsiaTheme="minorEastAsia" w:hAnsiTheme="minorEastAsia"/>
          <w:color w:val="000000" w:themeColor="text1"/>
        </w:rPr>
        <w:t>=</w:t>
      </w:r>
      <w:r w:rsidR="003F0999" w:rsidRPr="00C664D3">
        <w:rPr>
          <w:rFonts w:asciiTheme="minorEastAsia" w:eastAsiaTheme="minorEastAsia" w:hAnsiTheme="minorEastAsia" w:hint="eastAsia"/>
          <w:color w:val="000000" w:themeColor="text1"/>
        </w:rPr>
        <w:t>474</w:t>
      </w:r>
      <w:r w:rsidRPr="00C664D3">
        <w:rPr>
          <w:rFonts w:asciiTheme="minorEastAsia" w:eastAsiaTheme="minorEastAsia" w:hAnsiTheme="minorEastAsia"/>
          <w:color w:val="000000" w:themeColor="text1"/>
        </w:rPr>
        <w:t>.</w:t>
      </w:r>
      <w:r w:rsidR="003F0999" w:rsidRPr="00C664D3">
        <w:rPr>
          <w:rFonts w:asciiTheme="minorEastAsia" w:eastAsiaTheme="minorEastAsia" w:hAnsiTheme="minorEastAsia" w:hint="eastAsia"/>
          <w:color w:val="000000" w:themeColor="text1"/>
        </w:rPr>
        <w:t>31</w:t>
      </w:r>
      <w:r w:rsidRPr="00C664D3">
        <w:rPr>
          <w:rFonts w:asciiTheme="minorEastAsia" w:eastAsiaTheme="minorEastAsia" w:hAnsiTheme="minorEastAsia"/>
          <w:color w:val="000000" w:themeColor="text1"/>
        </w:rPr>
        <w:t>元</w:t>
      </w:r>
    </w:p>
    <w:p w:rsidR="00A1091C" w:rsidRPr="00C664D3" w:rsidRDefault="00386000"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申购份额</w:t>
      </w:r>
      <w:r w:rsidR="00A1091C" w:rsidRPr="00C664D3">
        <w:rPr>
          <w:rFonts w:asciiTheme="minorEastAsia" w:eastAsiaTheme="minorEastAsia" w:hAnsiTheme="minorEastAsia"/>
          <w:color w:val="000000" w:themeColor="text1"/>
        </w:rPr>
        <w:t>=</w:t>
      </w:r>
      <w:r w:rsidR="003F0999" w:rsidRPr="00C664D3">
        <w:rPr>
          <w:rFonts w:asciiTheme="minorEastAsia" w:eastAsiaTheme="minorEastAsia" w:hAnsiTheme="minorEastAsia"/>
          <w:color w:val="000000" w:themeColor="text1"/>
        </w:rPr>
        <w:t>39,</w:t>
      </w:r>
      <w:r w:rsidR="003F0999" w:rsidRPr="00C664D3">
        <w:rPr>
          <w:rFonts w:asciiTheme="minorEastAsia" w:eastAsiaTheme="minorEastAsia" w:hAnsiTheme="minorEastAsia" w:hint="eastAsia"/>
          <w:color w:val="000000" w:themeColor="text1"/>
        </w:rPr>
        <w:t>525</w:t>
      </w:r>
      <w:r w:rsidR="003F0999" w:rsidRPr="00C664D3">
        <w:rPr>
          <w:rFonts w:asciiTheme="minorEastAsia" w:eastAsiaTheme="minorEastAsia" w:hAnsiTheme="minorEastAsia"/>
          <w:color w:val="000000" w:themeColor="text1"/>
        </w:rPr>
        <w:t>.</w:t>
      </w:r>
      <w:r w:rsidR="003F0999" w:rsidRPr="00C664D3">
        <w:rPr>
          <w:rFonts w:asciiTheme="minorEastAsia" w:eastAsiaTheme="minorEastAsia" w:hAnsiTheme="minorEastAsia" w:hint="eastAsia"/>
          <w:color w:val="000000" w:themeColor="text1"/>
        </w:rPr>
        <w:t>69</w:t>
      </w:r>
      <w:r w:rsidR="00A1091C" w:rsidRPr="00C664D3">
        <w:rPr>
          <w:rFonts w:asciiTheme="minorEastAsia" w:eastAsiaTheme="minorEastAsia" w:hAnsiTheme="minorEastAsia"/>
          <w:color w:val="000000" w:themeColor="text1"/>
        </w:rPr>
        <w:t>/1.04</w:t>
      </w:r>
      <w:r w:rsidR="00C40E7E" w:rsidRPr="00C664D3">
        <w:rPr>
          <w:rFonts w:asciiTheme="minorEastAsia" w:eastAsiaTheme="minorEastAsia" w:hAnsiTheme="minorEastAsia" w:hint="eastAsia"/>
          <w:color w:val="000000" w:themeColor="text1"/>
        </w:rPr>
        <w:t>0</w:t>
      </w:r>
      <w:r w:rsidR="00A1091C" w:rsidRPr="00C664D3">
        <w:rPr>
          <w:rFonts w:asciiTheme="minorEastAsia" w:eastAsiaTheme="minorEastAsia" w:hAnsiTheme="minorEastAsia"/>
          <w:color w:val="000000" w:themeColor="text1"/>
        </w:rPr>
        <w:t>0=38,</w:t>
      </w:r>
      <w:r w:rsidR="003F0999" w:rsidRPr="00C664D3">
        <w:rPr>
          <w:rFonts w:asciiTheme="minorEastAsia" w:eastAsiaTheme="minorEastAsia" w:hAnsiTheme="minorEastAsia" w:hint="eastAsia"/>
          <w:color w:val="000000" w:themeColor="text1"/>
        </w:rPr>
        <w:t>005</w:t>
      </w:r>
      <w:r w:rsidR="00A1091C" w:rsidRPr="00C664D3">
        <w:rPr>
          <w:rFonts w:asciiTheme="minorEastAsia" w:eastAsiaTheme="minorEastAsia" w:hAnsiTheme="minorEastAsia"/>
          <w:color w:val="000000" w:themeColor="text1"/>
        </w:rPr>
        <w:t>.</w:t>
      </w:r>
      <w:r w:rsidR="003F0999" w:rsidRPr="00C664D3">
        <w:rPr>
          <w:rFonts w:asciiTheme="minorEastAsia" w:eastAsiaTheme="minorEastAsia" w:hAnsiTheme="minorEastAsia" w:hint="eastAsia"/>
          <w:color w:val="000000" w:themeColor="text1"/>
        </w:rPr>
        <w:t>47</w:t>
      </w:r>
      <w:r w:rsidR="00A1091C" w:rsidRPr="00C664D3">
        <w:rPr>
          <w:rFonts w:asciiTheme="minorEastAsia" w:eastAsiaTheme="minorEastAsia" w:hAnsiTheme="minorEastAsia"/>
          <w:color w:val="000000" w:themeColor="text1"/>
        </w:rPr>
        <w:t>份</w:t>
      </w:r>
    </w:p>
    <w:p w:rsidR="00354450" w:rsidRPr="00C664D3" w:rsidRDefault="00354450"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如果投资人是申购场内</w:t>
      </w:r>
      <w:r w:rsidR="002709CF" w:rsidRPr="00C664D3">
        <w:rPr>
          <w:rFonts w:asciiTheme="minorEastAsia" w:eastAsiaTheme="minorEastAsia" w:hAnsiTheme="minorEastAsia" w:hint="eastAsia"/>
          <w:color w:val="000000" w:themeColor="text1"/>
        </w:rPr>
        <w:t>A类人民币份额</w:t>
      </w: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则</w:t>
      </w:r>
      <w:r w:rsidRPr="00C664D3">
        <w:rPr>
          <w:rFonts w:asciiTheme="minorEastAsia" w:eastAsiaTheme="minorEastAsia" w:hAnsiTheme="minorEastAsia"/>
          <w:color w:val="000000" w:themeColor="text1"/>
        </w:rPr>
        <w:t>申购份额为38,</w:t>
      </w:r>
      <w:r w:rsidR="005D2335" w:rsidRPr="00C664D3">
        <w:rPr>
          <w:rFonts w:asciiTheme="minorEastAsia" w:eastAsiaTheme="minorEastAsia" w:hAnsiTheme="minorEastAsia" w:hint="eastAsia"/>
          <w:color w:val="000000" w:themeColor="text1"/>
        </w:rPr>
        <w:t>005</w:t>
      </w:r>
      <w:r w:rsidRPr="00C664D3">
        <w:rPr>
          <w:rFonts w:asciiTheme="minorEastAsia" w:eastAsiaTheme="minorEastAsia" w:hAnsiTheme="minorEastAsia"/>
          <w:color w:val="000000" w:themeColor="text1"/>
        </w:rPr>
        <w:t>份，其余0.</w:t>
      </w:r>
      <w:r w:rsidR="005D2335" w:rsidRPr="00C664D3">
        <w:rPr>
          <w:rFonts w:asciiTheme="minorEastAsia" w:eastAsiaTheme="minorEastAsia" w:hAnsiTheme="minorEastAsia" w:hint="eastAsia"/>
          <w:color w:val="000000" w:themeColor="text1"/>
        </w:rPr>
        <w:t>47</w:t>
      </w:r>
      <w:r w:rsidRPr="00C664D3">
        <w:rPr>
          <w:rFonts w:asciiTheme="minorEastAsia" w:eastAsiaTheme="minorEastAsia" w:hAnsiTheme="minorEastAsia"/>
          <w:color w:val="000000" w:themeColor="text1"/>
        </w:rPr>
        <w:t>份对应金额返回给投资人。具体计算公式为：</w:t>
      </w:r>
    </w:p>
    <w:p w:rsidR="00354450" w:rsidRPr="00C664D3" w:rsidRDefault="00354450"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实际净申购金额=</w:t>
      </w:r>
      <w:r w:rsidR="005D2335" w:rsidRPr="00C664D3">
        <w:rPr>
          <w:rFonts w:asciiTheme="minorEastAsia" w:eastAsiaTheme="minorEastAsia" w:hAnsiTheme="minorEastAsia"/>
          <w:color w:val="000000" w:themeColor="text1"/>
        </w:rPr>
        <w:t>38,005</w:t>
      </w:r>
      <w:r w:rsidR="005D2335" w:rsidRPr="00C664D3">
        <w:rPr>
          <w:rFonts w:asciiTheme="minorEastAsia" w:eastAsiaTheme="minorEastAsia" w:hAnsiTheme="minorEastAsia" w:hint="eastAsia"/>
          <w:color w:val="000000" w:themeColor="text1"/>
        </w:rPr>
        <w:t>×</w:t>
      </w:r>
      <w:r w:rsidR="005D2335" w:rsidRPr="00C664D3">
        <w:rPr>
          <w:rFonts w:asciiTheme="minorEastAsia" w:eastAsiaTheme="minorEastAsia" w:hAnsiTheme="minorEastAsia"/>
          <w:color w:val="000000" w:themeColor="text1"/>
        </w:rPr>
        <w:t>1.0400=39,525.20</w:t>
      </w:r>
      <w:r w:rsidR="005D2335" w:rsidRPr="00C664D3">
        <w:rPr>
          <w:rFonts w:asciiTheme="minorEastAsia" w:eastAsiaTheme="minorEastAsia" w:hAnsiTheme="minorEastAsia" w:hint="eastAsia"/>
          <w:color w:val="000000" w:themeColor="text1"/>
        </w:rPr>
        <w:t>元</w:t>
      </w:r>
    </w:p>
    <w:p w:rsidR="00A1091C" w:rsidRPr="00C664D3" w:rsidRDefault="00354450"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退款金额＝</w:t>
      </w:r>
      <w:r w:rsidR="005D2335" w:rsidRPr="00C664D3">
        <w:rPr>
          <w:rFonts w:asciiTheme="minorEastAsia" w:eastAsiaTheme="minorEastAsia" w:hAnsiTheme="minorEastAsia"/>
          <w:color w:val="000000" w:themeColor="text1"/>
        </w:rPr>
        <w:t>40,000</w:t>
      </w:r>
      <w:r w:rsidR="005D2335" w:rsidRPr="00C664D3">
        <w:rPr>
          <w:rFonts w:asciiTheme="minorEastAsia" w:eastAsiaTheme="minorEastAsia" w:hAnsiTheme="minorEastAsia" w:hint="eastAsia"/>
          <w:color w:val="000000" w:themeColor="text1"/>
        </w:rPr>
        <w:t>－</w:t>
      </w:r>
      <w:r w:rsidR="005D2335" w:rsidRPr="00C664D3">
        <w:rPr>
          <w:rFonts w:asciiTheme="minorEastAsia" w:eastAsiaTheme="minorEastAsia" w:hAnsiTheme="minorEastAsia"/>
          <w:color w:val="000000" w:themeColor="text1"/>
        </w:rPr>
        <w:t>39,525.20</w:t>
      </w:r>
      <w:r w:rsidR="005D2335" w:rsidRPr="00C664D3">
        <w:rPr>
          <w:rFonts w:asciiTheme="minorEastAsia" w:eastAsiaTheme="minorEastAsia" w:hAnsiTheme="minorEastAsia" w:hint="eastAsia"/>
          <w:color w:val="000000" w:themeColor="text1"/>
        </w:rPr>
        <w:t>－</w:t>
      </w:r>
      <w:r w:rsidR="005D2335" w:rsidRPr="00C664D3">
        <w:rPr>
          <w:rFonts w:asciiTheme="minorEastAsia" w:eastAsiaTheme="minorEastAsia" w:hAnsiTheme="minorEastAsia"/>
          <w:color w:val="000000" w:themeColor="text1"/>
        </w:rPr>
        <w:t>474.31</w:t>
      </w:r>
      <w:r w:rsidR="005D2335" w:rsidRPr="00C664D3">
        <w:rPr>
          <w:rFonts w:asciiTheme="minorEastAsia" w:eastAsiaTheme="minorEastAsia" w:hAnsiTheme="minorEastAsia" w:hint="eastAsia"/>
          <w:color w:val="000000" w:themeColor="text1"/>
        </w:rPr>
        <w:t>＝</w:t>
      </w:r>
      <w:r w:rsidR="005D2335" w:rsidRPr="00C664D3">
        <w:rPr>
          <w:rFonts w:asciiTheme="minorEastAsia" w:eastAsiaTheme="minorEastAsia" w:hAnsiTheme="minorEastAsia"/>
          <w:color w:val="000000" w:themeColor="text1"/>
        </w:rPr>
        <w:t>0.49</w:t>
      </w:r>
      <w:r w:rsidR="005D2335" w:rsidRPr="00C664D3">
        <w:rPr>
          <w:rFonts w:asciiTheme="minorEastAsia" w:eastAsiaTheme="minorEastAsia" w:hAnsiTheme="minorEastAsia" w:hint="eastAsia"/>
          <w:color w:val="000000" w:themeColor="text1"/>
        </w:rPr>
        <w:t>元</w:t>
      </w:r>
    </w:p>
    <w:p w:rsidR="00392DE4" w:rsidRPr="00C664D3" w:rsidRDefault="00392DE4"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例：某投资人（特定投资群体）通过基金管理人的直销中心投资5万元</w:t>
      </w:r>
      <w:r w:rsidR="00824906" w:rsidRPr="00C664D3">
        <w:rPr>
          <w:rFonts w:asciiTheme="minorEastAsia" w:eastAsiaTheme="minorEastAsia" w:hAnsiTheme="minorEastAsia" w:hint="eastAsia"/>
          <w:color w:val="000000" w:themeColor="text1"/>
        </w:rPr>
        <w:t>人民币</w:t>
      </w:r>
      <w:r w:rsidRPr="00C664D3">
        <w:rPr>
          <w:rFonts w:asciiTheme="minorEastAsia" w:eastAsiaTheme="minorEastAsia" w:hAnsiTheme="minorEastAsia" w:hint="eastAsia"/>
          <w:color w:val="000000" w:themeColor="text1"/>
        </w:rPr>
        <w:t>申购本基金</w:t>
      </w:r>
      <w:r w:rsidR="00824906" w:rsidRPr="00C664D3">
        <w:rPr>
          <w:rFonts w:asciiTheme="minorEastAsia" w:eastAsiaTheme="minorEastAsia" w:hAnsiTheme="minorEastAsia" w:hint="eastAsia"/>
          <w:color w:val="000000" w:themeColor="text1"/>
        </w:rPr>
        <w:t>场外</w:t>
      </w:r>
      <w:r w:rsidR="002709CF" w:rsidRPr="00C664D3">
        <w:rPr>
          <w:rFonts w:asciiTheme="minorEastAsia" w:eastAsiaTheme="minorEastAsia" w:hAnsiTheme="minorEastAsia" w:hint="eastAsia"/>
          <w:color w:val="000000" w:themeColor="text1"/>
        </w:rPr>
        <w:t>A类人民币份额</w:t>
      </w:r>
      <w:r w:rsidRPr="00C664D3">
        <w:rPr>
          <w:rFonts w:asciiTheme="minorEastAsia" w:eastAsiaTheme="minorEastAsia" w:hAnsiTheme="minorEastAsia" w:hint="eastAsia"/>
          <w:color w:val="000000" w:themeColor="text1"/>
        </w:rPr>
        <w:t>，申购费率为0.1</w:t>
      </w:r>
      <w:r w:rsidR="00662D32"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hint="eastAsia"/>
          <w:color w:val="000000" w:themeColor="text1"/>
        </w:rPr>
        <w:t>%，假设申购当日</w:t>
      </w:r>
      <w:r w:rsidR="002709CF" w:rsidRPr="00C664D3">
        <w:rPr>
          <w:rFonts w:asciiTheme="minorEastAsia" w:eastAsiaTheme="minorEastAsia" w:hAnsiTheme="minorEastAsia" w:hint="eastAsia"/>
          <w:color w:val="000000" w:themeColor="text1"/>
        </w:rPr>
        <w:t>A类人民币份额</w:t>
      </w:r>
      <w:r w:rsidRPr="00C664D3">
        <w:rPr>
          <w:rFonts w:asciiTheme="minorEastAsia" w:eastAsiaTheme="minorEastAsia" w:hAnsiTheme="minorEastAsia" w:hint="eastAsia"/>
          <w:color w:val="000000" w:themeColor="text1"/>
        </w:rPr>
        <w:t>净值为1.040</w:t>
      </w:r>
      <w:r w:rsidR="00C40E7E" w:rsidRPr="00C664D3">
        <w:rPr>
          <w:rFonts w:asciiTheme="minorEastAsia" w:eastAsiaTheme="minorEastAsia" w:hAnsiTheme="minorEastAsia" w:hint="eastAsia"/>
          <w:color w:val="000000" w:themeColor="text1"/>
        </w:rPr>
        <w:t>0</w:t>
      </w:r>
      <w:r w:rsidRPr="00C664D3">
        <w:rPr>
          <w:rFonts w:asciiTheme="minorEastAsia" w:eastAsiaTheme="minorEastAsia" w:hAnsiTheme="minorEastAsia" w:hint="eastAsia"/>
          <w:color w:val="000000" w:themeColor="text1"/>
        </w:rPr>
        <w:t>元，则其可得到的</w:t>
      </w:r>
      <w:r w:rsidR="0067478A" w:rsidRPr="00C664D3">
        <w:rPr>
          <w:rFonts w:asciiTheme="minorEastAsia" w:eastAsiaTheme="minorEastAsia" w:hAnsiTheme="minorEastAsia" w:hint="eastAsia"/>
          <w:color w:val="000000" w:themeColor="text1"/>
        </w:rPr>
        <w:t>A类人民币份额</w:t>
      </w:r>
      <w:r w:rsidRPr="00C664D3">
        <w:rPr>
          <w:rFonts w:asciiTheme="minorEastAsia" w:eastAsiaTheme="minorEastAsia" w:hAnsiTheme="minorEastAsia" w:hint="eastAsia"/>
          <w:color w:val="000000" w:themeColor="text1"/>
        </w:rPr>
        <w:t>为：</w:t>
      </w:r>
    </w:p>
    <w:p w:rsidR="00392DE4" w:rsidRPr="00C664D3" w:rsidRDefault="00392DE4"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净申购金额=50,000/（1+0.1</w:t>
      </w:r>
      <w:r w:rsidR="00662D32"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hint="eastAsia"/>
          <w:color w:val="000000" w:themeColor="text1"/>
        </w:rPr>
        <w:t>%）=49,9</w:t>
      </w:r>
      <w:r w:rsidR="00662D32" w:rsidRPr="00C664D3">
        <w:rPr>
          <w:rFonts w:asciiTheme="minorEastAsia" w:eastAsiaTheme="minorEastAsia" w:hAnsiTheme="minorEastAsia" w:hint="eastAsia"/>
          <w:color w:val="000000" w:themeColor="text1"/>
        </w:rPr>
        <w:t>4</w:t>
      </w:r>
      <w:r w:rsidRPr="00C664D3">
        <w:rPr>
          <w:rFonts w:asciiTheme="minorEastAsia" w:eastAsiaTheme="minorEastAsia" w:hAnsiTheme="minorEastAsia" w:hint="eastAsia"/>
          <w:color w:val="000000" w:themeColor="text1"/>
        </w:rPr>
        <w:t>0.0</w:t>
      </w:r>
      <w:r w:rsidR="00662D32" w:rsidRPr="00C664D3">
        <w:rPr>
          <w:rFonts w:asciiTheme="minorEastAsia" w:eastAsiaTheme="minorEastAsia" w:hAnsiTheme="minorEastAsia" w:hint="eastAsia"/>
          <w:color w:val="000000" w:themeColor="text1"/>
        </w:rPr>
        <w:t>7</w:t>
      </w:r>
      <w:r w:rsidRPr="00C664D3">
        <w:rPr>
          <w:rFonts w:asciiTheme="minorEastAsia" w:eastAsiaTheme="minorEastAsia" w:hAnsiTheme="minorEastAsia" w:hint="eastAsia"/>
          <w:color w:val="000000" w:themeColor="text1"/>
        </w:rPr>
        <w:t>元</w:t>
      </w:r>
    </w:p>
    <w:p w:rsidR="00392DE4" w:rsidRPr="00C664D3" w:rsidRDefault="00392DE4"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申购费用=50,000-49,9</w:t>
      </w:r>
      <w:r w:rsidR="00662D32" w:rsidRPr="00C664D3">
        <w:rPr>
          <w:rFonts w:asciiTheme="minorEastAsia" w:eastAsiaTheme="minorEastAsia" w:hAnsiTheme="minorEastAsia" w:hint="eastAsia"/>
          <w:color w:val="000000" w:themeColor="text1"/>
        </w:rPr>
        <w:t>4</w:t>
      </w:r>
      <w:r w:rsidRPr="00C664D3">
        <w:rPr>
          <w:rFonts w:asciiTheme="minorEastAsia" w:eastAsiaTheme="minorEastAsia" w:hAnsiTheme="minorEastAsia" w:hint="eastAsia"/>
          <w:color w:val="000000" w:themeColor="text1"/>
        </w:rPr>
        <w:t>0.0</w:t>
      </w:r>
      <w:r w:rsidR="00662D32" w:rsidRPr="00C664D3">
        <w:rPr>
          <w:rFonts w:asciiTheme="minorEastAsia" w:eastAsiaTheme="minorEastAsia" w:hAnsiTheme="minorEastAsia" w:hint="eastAsia"/>
          <w:color w:val="000000" w:themeColor="text1"/>
        </w:rPr>
        <w:t>7</w:t>
      </w:r>
      <w:r w:rsidRPr="00C664D3">
        <w:rPr>
          <w:rFonts w:asciiTheme="minorEastAsia" w:eastAsiaTheme="minorEastAsia" w:hAnsiTheme="minorEastAsia" w:hint="eastAsia"/>
          <w:color w:val="000000" w:themeColor="text1"/>
        </w:rPr>
        <w:t>=</w:t>
      </w:r>
      <w:r w:rsidR="00662D32" w:rsidRPr="00C664D3">
        <w:rPr>
          <w:rFonts w:asciiTheme="minorEastAsia" w:eastAsiaTheme="minorEastAsia" w:hAnsiTheme="minorEastAsia" w:hint="eastAsia"/>
          <w:color w:val="000000" w:themeColor="text1"/>
        </w:rPr>
        <w:t>5</w:t>
      </w:r>
      <w:r w:rsidRPr="00C664D3">
        <w:rPr>
          <w:rFonts w:asciiTheme="minorEastAsia" w:eastAsiaTheme="minorEastAsia" w:hAnsiTheme="minorEastAsia" w:hint="eastAsia"/>
          <w:color w:val="000000" w:themeColor="text1"/>
        </w:rPr>
        <w:t>9.9</w:t>
      </w:r>
      <w:r w:rsidR="00662D32" w:rsidRPr="00C664D3">
        <w:rPr>
          <w:rFonts w:asciiTheme="minorEastAsia" w:eastAsiaTheme="minorEastAsia" w:hAnsiTheme="minorEastAsia" w:hint="eastAsia"/>
          <w:color w:val="000000" w:themeColor="text1"/>
        </w:rPr>
        <w:t>3</w:t>
      </w:r>
      <w:r w:rsidRPr="00C664D3">
        <w:rPr>
          <w:rFonts w:asciiTheme="minorEastAsia" w:eastAsiaTheme="minorEastAsia" w:hAnsiTheme="minorEastAsia" w:hint="eastAsia"/>
          <w:color w:val="000000" w:themeColor="text1"/>
        </w:rPr>
        <w:t>元</w:t>
      </w:r>
    </w:p>
    <w:p w:rsidR="00392DE4" w:rsidRPr="00C664D3" w:rsidRDefault="00386000"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申购份额</w:t>
      </w:r>
      <w:r w:rsidR="00392DE4" w:rsidRPr="00C664D3">
        <w:rPr>
          <w:rFonts w:asciiTheme="minorEastAsia" w:eastAsiaTheme="minorEastAsia" w:hAnsiTheme="minorEastAsia" w:hint="eastAsia"/>
          <w:color w:val="000000" w:themeColor="text1"/>
        </w:rPr>
        <w:t>=</w:t>
      </w:r>
      <w:r w:rsidR="00662D32" w:rsidRPr="00C664D3">
        <w:rPr>
          <w:rFonts w:asciiTheme="minorEastAsia" w:eastAsiaTheme="minorEastAsia" w:hAnsiTheme="minorEastAsia" w:hint="eastAsia"/>
          <w:color w:val="000000" w:themeColor="text1"/>
        </w:rPr>
        <w:t>49,940.07</w:t>
      </w:r>
      <w:r w:rsidR="00392DE4" w:rsidRPr="00C664D3">
        <w:rPr>
          <w:rFonts w:asciiTheme="minorEastAsia" w:eastAsiaTheme="minorEastAsia" w:hAnsiTheme="minorEastAsia" w:hint="eastAsia"/>
          <w:color w:val="000000" w:themeColor="text1"/>
        </w:rPr>
        <w:t>/1.040</w:t>
      </w:r>
      <w:r w:rsidR="00C40E7E" w:rsidRPr="00C664D3">
        <w:rPr>
          <w:rFonts w:asciiTheme="minorEastAsia" w:eastAsiaTheme="minorEastAsia" w:hAnsiTheme="minorEastAsia" w:hint="eastAsia"/>
          <w:color w:val="000000" w:themeColor="text1"/>
        </w:rPr>
        <w:t>0</w:t>
      </w:r>
      <w:r w:rsidR="00392DE4" w:rsidRPr="00C664D3">
        <w:rPr>
          <w:rFonts w:asciiTheme="minorEastAsia" w:eastAsiaTheme="minorEastAsia" w:hAnsiTheme="minorEastAsia" w:hint="eastAsia"/>
          <w:color w:val="000000" w:themeColor="text1"/>
        </w:rPr>
        <w:t>=48,</w:t>
      </w:r>
      <w:r w:rsidR="00662D32" w:rsidRPr="00C664D3">
        <w:rPr>
          <w:rFonts w:asciiTheme="minorEastAsia" w:eastAsiaTheme="minorEastAsia" w:hAnsiTheme="minorEastAsia" w:hint="eastAsia"/>
          <w:color w:val="000000" w:themeColor="text1"/>
        </w:rPr>
        <w:t>019</w:t>
      </w:r>
      <w:r w:rsidR="00392DE4" w:rsidRPr="00C664D3">
        <w:rPr>
          <w:rFonts w:asciiTheme="minorEastAsia" w:eastAsiaTheme="minorEastAsia" w:hAnsiTheme="minorEastAsia" w:hint="eastAsia"/>
          <w:color w:val="000000" w:themeColor="text1"/>
        </w:rPr>
        <w:t>.</w:t>
      </w:r>
      <w:r w:rsidR="00662D32" w:rsidRPr="00C664D3">
        <w:rPr>
          <w:rFonts w:asciiTheme="minorEastAsia" w:eastAsiaTheme="minorEastAsia" w:hAnsiTheme="minorEastAsia" w:hint="eastAsia"/>
          <w:color w:val="000000" w:themeColor="text1"/>
        </w:rPr>
        <w:t>30</w:t>
      </w:r>
      <w:r w:rsidR="00392DE4" w:rsidRPr="00C664D3">
        <w:rPr>
          <w:rFonts w:asciiTheme="minorEastAsia" w:eastAsiaTheme="minorEastAsia" w:hAnsiTheme="minorEastAsia" w:hint="eastAsia"/>
          <w:color w:val="000000" w:themeColor="text1"/>
        </w:rPr>
        <w:t>份</w:t>
      </w:r>
    </w:p>
    <w:p w:rsidR="00824906" w:rsidRPr="00C664D3" w:rsidRDefault="00824906"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例：某投资者投资</w:t>
      </w:r>
      <w:r w:rsidRPr="00C664D3">
        <w:rPr>
          <w:rFonts w:asciiTheme="minorEastAsia" w:eastAsiaTheme="minorEastAsia" w:hAnsiTheme="minorEastAsia"/>
          <w:color w:val="000000" w:themeColor="text1"/>
        </w:rPr>
        <w:t>4</w:t>
      </w:r>
      <w:r w:rsidRPr="00C664D3">
        <w:rPr>
          <w:rFonts w:asciiTheme="minorEastAsia" w:eastAsiaTheme="minorEastAsia" w:hAnsiTheme="minorEastAsia" w:hint="eastAsia"/>
          <w:color w:val="000000" w:themeColor="text1"/>
        </w:rPr>
        <w:t>万美元申购本基金</w:t>
      </w:r>
      <w:r w:rsidR="0067478A" w:rsidRPr="00C664D3">
        <w:rPr>
          <w:rFonts w:asciiTheme="minorEastAsia" w:eastAsiaTheme="minorEastAsia" w:hAnsiTheme="minorEastAsia" w:hint="eastAsia"/>
          <w:color w:val="000000" w:themeColor="text1"/>
        </w:rPr>
        <w:t>A类</w:t>
      </w:r>
      <w:r w:rsidRPr="00C664D3">
        <w:rPr>
          <w:rFonts w:asciiTheme="minorEastAsia" w:eastAsiaTheme="minorEastAsia" w:hAnsiTheme="minorEastAsia" w:hint="eastAsia"/>
          <w:color w:val="000000" w:themeColor="text1"/>
        </w:rPr>
        <w:t>美元份额，申购费率为</w:t>
      </w:r>
      <w:r w:rsidRPr="00C664D3">
        <w:rPr>
          <w:rFonts w:asciiTheme="minorEastAsia" w:eastAsiaTheme="minorEastAsia" w:hAnsiTheme="minorEastAsia"/>
          <w:color w:val="000000" w:themeColor="text1"/>
        </w:rPr>
        <w:t>1.2%</w:t>
      </w:r>
      <w:r w:rsidRPr="00C664D3">
        <w:rPr>
          <w:rFonts w:asciiTheme="minorEastAsia" w:eastAsiaTheme="minorEastAsia" w:hAnsiTheme="minorEastAsia" w:hint="eastAsia"/>
          <w:color w:val="000000" w:themeColor="text1"/>
        </w:rPr>
        <w:t>，假设申购当日</w:t>
      </w:r>
      <w:r w:rsidR="0067478A" w:rsidRPr="00C664D3">
        <w:rPr>
          <w:rFonts w:asciiTheme="minorEastAsia" w:eastAsiaTheme="minorEastAsia" w:hAnsiTheme="minorEastAsia" w:hint="eastAsia"/>
          <w:color w:val="000000" w:themeColor="text1"/>
        </w:rPr>
        <w:t>A类</w:t>
      </w:r>
      <w:r w:rsidRPr="00C664D3">
        <w:rPr>
          <w:rFonts w:asciiTheme="minorEastAsia" w:eastAsiaTheme="minorEastAsia" w:hAnsiTheme="minorEastAsia" w:hint="eastAsia"/>
          <w:color w:val="000000" w:themeColor="text1"/>
        </w:rPr>
        <w:t>美元基金份额净值为</w:t>
      </w:r>
      <w:r w:rsidRPr="00C664D3">
        <w:rPr>
          <w:rFonts w:asciiTheme="minorEastAsia" w:eastAsiaTheme="minorEastAsia" w:hAnsiTheme="minorEastAsia"/>
          <w:color w:val="000000" w:themeColor="text1"/>
        </w:rPr>
        <w:t>0.1645</w:t>
      </w:r>
      <w:r w:rsidRPr="00C664D3">
        <w:rPr>
          <w:rFonts w:asciiTheme="minorEastAsia" w:eastAsiaTheme="minorEastAsia" w:hAnsiTheme="minorEastAsia" w:hint="eastAsia"/>
          <w:color w:val="000000" w:themeColor="text1"/>
        </w:rPr>
        <w:t>美元，则其可得到的</w:t>
      </w:r>
      <w:r w:rsidR="0067478A" w:rsidRPr="00C664D3">
        <w:rPr>
          <w:rFonts w:asciiTheme="minorEastAsia" w:eastAsiaTheme="minorEastAsia" w:hAnsiTheme="minorEastAsia" w:hint="eastAsia"/>
          <w:color w:val="000000" w:themeColor="text1"/>
        </w:rPr>
        <w:t>A类</w:t>
      </w:r>
      <w:r w:rsidRPr="00C664D3">
        <w:rPr>
          <w:rFonts w:asciiTheme="minorEastAsia" w:eastAsiaTheme="minorEastAsia" w:hAnsiTheme="minorEastAsia" w:hint="eastAsia"/>
          <w:color w:val="000000" w:themeColor="text1"/>
        </w:rPr>
        <w:t>美元份额为：</w:t>
      </w:r>
    </w:p>
    <w:p w:rsidR="00392DE4" w:rsidRPr="00C664D3" w:rsidRDefault="00824906"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净申购金额</w:t>
      </w:r>
      <w:r w:rsidRPr="00C664D3">
        <w:rPr>
          <w:rFonts w:asciiTheme="minorEastAsia" w:eastAsiaTheme="minorEastAsia" w:hAnsiTheme="minorEastAsia"/>
          <w:color w:val="000000" w:themeColor="text1"/>
        </w:rPr>
        <w:t>=40,000/</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1+1.2%</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=39,525.69</w:t>
      </w:r>
      <w:r w:rsidRPr="00C664D3">
        <w:rPr>
          <w:rFonts w:asciiTheme="minorEastAsia" w:eastAsiaTheme="minorEastAsia" w:hAnsiTheme="minorEastAsia" w:hint="eastAsia"/>
          <w:color w:val="000000" w:themeColor="text1"/>
        </w:rPr>
        <w:t>美元</w:t>
      </w:r>
    </w:p>
    <w:p w:rsidR="00824906" w:rsidRPr="00C664D3" w:rsidRDefault="00824906"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申购费用</w:t>
      </w:r>
      <w:r w:rsidRPr="00C664D3">
        <w:rPr>
          <w:rFonts w:asciiTheme="minorEastAsia" w:eastAsiaTheme="minorEastAsia" w:hAnsiTheme="minorEastAsia"/>
          <w:color w:val="000000" w:themeColor="text1"/>
        </w:rPr>
        <w:t>=40,000-39,525.69=474.31</w:t>
      </w:r>
      <w:r w:rsidRPr="00C664D3">
        <w:rPr>
          <w:rFonts w:asciiTheme="minorEastAsia" w:eastAsiaTheme="minorEastAsia" w:hAnsiTheme="minorEastAsia" w:hint="eastAsia"/>
          <w:color w:val="000000" w:themeColor="text1"/>
        </w:rPr>
        <w:t>美元</w:t>
      </w:r>
    </w:p>
    <w:p w:rsidR="00824906" w:rsidRPr="00C664D3" w:rsidRDefault="00386000"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申购份额</w:t>
      </w:r>
      <w:r w:rsidR="00824906" w:rsidRPr="00C664D3">
        <w:rPr>
          <w:rFonts w:asciiTheme="minorEastAsia" w:eastAsiaTheme="minorEastAsia" w:hAnsiTheme="minorEastAsia"/>
          <w:color w:val="000000" w:themeColor="text1"/>
        </w:rPr>
        <w:t>=39,525.69/0.1645=240,277.75</w:t>
      </w:r>
      <w:r w:rsidR="00824906" w:rsidRPr="00C664D3">
        <w:rPr>
          <w:rFonts w:asciiTheme="minorEastAsia" w:eastAsiaTheme="minorEastAsia" w:hAnsiTheme="minorEastAsia" w:hint="eastAsia"/>
          <w:color w:val="000000" w:themeColor="text1"/>
        </w:rPr>
        <w:t>份</w:t>
      </w:r>
    </w:p>
    <w:p w:rsidR="0067478A" w:rsidRPr="00C664D3" w:rsidRDefault="0067478A" w:rsidP="0067478A">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w:t>
      </w:r>
      <w:r w:rsidRPr="00C664D3">
        <w:rPr>
          <w:rFonts w:asciiTheme="minorEastAsia" w:eastAsiaTheme="minorEastAsia" w:hAnsiTheme="minorEastAsia"/>
          <w:color w:val="000000" w:themeColor="text1"/>
          <w:szCs w:val="21"/>
        </w:rPr>
        <w:t>2</w:t>
      </w:r>
      <w:r w:rsidRPr="00C664D3">
        <w:rPr>
          <w:rFonts w:asciiTheme="minorEastAsia" w:eastAsiaTheme="minorEastAsia" w:hAnsiTheme="minorEastAsia" w:hint="eastAsia"/>
          <w:color w:val="000000" w:themeColor="text1"/>
          <w:szCs w:val="21"/>
        </w:rPr>
        <w:t>）若投资人选择</w:t>
      </w:r>
      <w:r w:rsidRPr="00C664D3">
        <w:rPr>
          <w:rFonts w:asciiTheme="minorEastAsia" w:eastAsiaTheme="minorEastAsia" w:hAnsiTheme="minorEastAsia"/>
          <w:color w:val="000000" w:themeColor="text1"/>
          <w:szCs w:val="21"/>
        </w:rPr>
        <w:t>C</w:t>
      </w:r>
      <w:r w:rsidRPr="00C664D3">
        <w:rPr>
          <w:rFonts w:asciiTheme="minorEastAsia" w:eastAsiaTheme="minorEastAsia" w:hAnsiTheme="minorEastAsia" w:hint="eastAsia"/>
          <w:color w:val="000000" w:themeColor="text1"/>
        </w:rPr>
        <w:t>类人民币份额、C类</w:t>
      </w:r>
      <w:r w:rsidR="00386000" w:rsidRPr="00C664D3">
        <w:rPr>
          <w:rFonts w:asciiTheme="minorEastAsia" w:eastAsiaTheme="minorEastAsia" w:hAnsiTheme="minorEastAsia"/>
          <w:color w:val="000000" w:themeColor="text1"/>
        </w:rPr>
        <w:t>美元</w:t>
      </w:r>
      <w:r w:rsidRPr="00C664D3">
        <w:rPr>
          <w:rFonts w:asciiTheme="minorEastAsia" w:eastAsiaTheme="minorEastAsia" w:hAnsiTheme="minorEastAsia" w:hint="eastAsia"/>
          <w:color w:val="000000" w:themeColor="text1"/>
        </w:rPr>
        <w:t>份额</w:t>
      </w:r>
      <w:r w:rsidRPr="00C664D3">
        <w:rPr>
          <w:rFonts w:asciiTheme="minorEastAsia" w:eastAsiaTheme="minorEastAsia" w:hAnsiTheme="minorEastAsia" w:hint="eastAsia"/>
          <w:color w:val="000000" w:themeColor="text1"/>
          <w:szCs w:val="21"/>
        </w:rPr>
        <w:t>，则申购份额的计算公式如下：</w:t>
      </w:r>
    </w:p>
    <w:p w:rsidR="0067478A" w:rsidRPr="00C664D3" w:rsidRDefault="0067478A" w:rsidP="0067478A">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申购份额</w:t>
      </w:r>
      <w:r w:rsidRPr="00C664D3">
        <w:rPr>
          <w:rFonts w:asciiTheme="minorEastAsia" w:eastAsiaTheme="minorEastAsia" w:hAnsiTheme="minorEastAsia"/>
          <w:color w:val="000000" w:themeColor="text1"/>
          <w:szCs w:val="21"/>
        </w:rPr>
        <w:t>=</w:t>
      </w:r>
      <w:r w:rsidRPr="00C664D3">
        <w:rPr>
          <w:rFonts w:asciiTheme="minorEastAsia" w:eastAsiaTheme="minorEastAsia" w:hAnsiTheme="minorEastAsia" w:hint="eastAsia"/>
          <w:color w:val="000000" w:themeColor="text1"/>
          <w:szCs w:val="21"/>
        </w:rPr>
        <w:t>申购金额</w:t>
      </w:r>
      <w:r w:rsidRPr="00C664D3">
        <w:rPr>
          <w:rFonts w:asciiTheme="minorEastAsia" w:eastAsiaTheme="minorEastAsia" w:hAnsiTheme="minorEastAsia"/>
          <w:color w:val="000000" w:themeColor="text1"/>
          <w:szCs w:val="21"/>
        </w:rPr>
        <w:t>/ T</w:t>
      </w:r>
      <w:r w:rsidRPr="00C664D3">
        <w:rPr>
          <w:rFonts w:asciiTheme="minorEastAsia" w:eastAsiaTheme="minorEastAsia" w:hAnsiTheme="minorEastAsia" w:hint="eastAsia"/>
          <w:color w:val="000000" w:themeColor="text1"/>
          <w:szCs w:val="21"/>
        </w:rPr>
        <w:t>日</w:t>
      </w:r>
      <w:r w:rsidR="00386000" w:rsidRPr="00C664D3">
        <w:rPr>
          <w:rFonts w:asciiTheme="minorEastAsia" w:eastAsiaTheme="minorEastAsia" w:hAnsiTheme="minorEastAsia"/>
          <w:color w:val="000000" w:themeColor="text1"/>
          <w:szCs w:val="21"/>
        </w:rPr>
        <w:t>该</w:t>
      </w:r>
      <w:r w:rsidRPr="00C664D3">
        <w:rPr>
          <w:rFonts w:asciiTheme="minorEastAsia" w:eastAsiaTheme="minorEastAsia" w:hAnsiTheme="minorEastAsia" w:hint="eastAsia"/>
          <w:color w:val="000000" w:themeColor="text1"/>
          <w:szCs w:val="21"/>
        </w:rPr>
        <w:t>类基金份额净值</w:t>
      </w:r>
      <w:r w:rsidRPr="00C664D3">
        <w:rPr>
          <w:rFonts w:asciiTheme="minorEastAsia" w:eastAsiaTheme="minorEastAsia" w:hAnsiTheme="minorEastAsia"/>
          <w:color w:val="000000" w:themeColor="text1"/>
          <w:szCs w:val="21"/>
        </w:rPr>
        <w:t xml:space="preserve"> </w:t>
      </w:r>
    </w:p>
    <w:p w:rsidR="0067478A" w:rsidRPr="00C664D3" w:rsidRDefault="0067478A" w:rsidP="0067478A">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举例说明：</w:t>
      </w:r>
    </w:p>
    <w:p w:rsidR="0067478A" w:rsidRPr="00C664D3" w:rsidRDefault="0067478A" w:rsidP="0067478A">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例：某投资人投资</w:t>
      </w:r>
      <w:r w:rsidRPr="00C664D3">
        <w:rPr>
          <w:rFonts w:asciiTheme="minorEastAsia" w:eastAsiaTheme="minorEastAsia" w:hAnsiTheme="minorEastAsia"/>
          <w:color w:val="000000" w:themeColor="text1"/>
          <w:szCs w:val="21"/>
        </w:rPr>
        <w:t>100,000</w:t>
      </w:r>
      <w:r w:rsidRPr="00C664D3">
        <w:rPr>
          <w:rFonts w:asciiTheme="minorEastAsia" w:eastAsiaTheme="minorEastAsia" w:hAnsiTheme="minorEastAsia" w:hint="eastAsia"/>
          <w:color w:val="000000" w:themeColor="text1"/>
          <w:szCs w:val="21"/>
        </w:rPr>
        <w:t>元申购本基金</w:t>
      </w:r>
      <w:r w:rsidRPr="00C664D3">
        <w:rPr>
          <w:rFonts w:asciiTheme="minorEastAsia" w:eastAsiaTheme="minorEastAsia" w:hAnsiTheme="minorEastAsia"/>
          <w:color w:val="000000" w:themeColor="text1"/>
          <w:szCs w:val="21"/>
        </w:rPr>
        <w:t>C</w:t>
      </w:r>
      <w:r w:rsidRPr="00C664D3">
        <w:rPr>
          <w:rFonts w:asciiTheme="minorEastAsia" w:eastAsiaTheme="minorEastAsia" w:hAnsiTheme="minorEastAsia" w:hint="eastAsia"/>
          <w:color w:val="000000" w:themeColor="text1"/>
        </w:rPr>
        <w:t>类人民币份额</w:t>
      </w:r>
      <w:r w:rsidRPr="00C664D3">
        <w:rPr>
          <w:rFonts w:asciiTheme="minorEastAsia" w:eastAsiaTheme="minorEastAsia" w:hAnsiTheme="minorEastAsia" w:hint="eastAsia"/>
          <w:color w:val="000000" w:themeColor="text1"/>
          <w:szCs w:val="21"/>
        </w:rPr>
        <w:t>，假设申购当日</w:t>
      </w:r>
      <w:r w:rsidRPr="00C664D3">
        <w:rPr>
          <w:rFonts w:asciiTheme="minorEastAsia" w:eastAsiaTheme="minorEastAsia" w:hAnsiTheme="minorEastAsia"/>
          <w:color w:val="000000" w:themeColor="text1"/>
          <w:szCs w:val="21"/>
        </w:rPr>
        <w:t>C</w:t>
      </w:r>
      <w:r w:rsidRPr="00C664D3">
        <w:rPr>
          <w:rFonts w:asciiTheme="minorEastAsia" w:eastAsiaTheme="minorEastAsia" w:hAnsiTheme="minorEastAsia" w:hint="eastAsia"/>
          <w:color w:val="000000" w:themeColor="text1"/>
        </w:rPr>
        <w:t>类人民币份额</w:t>
      </w:r>
      <w:r w:rsidRPr="00C664D3">
        <w:rPr>
          <w:rFonts w:asciiTheme="minorEastAsia" w:eastAsiaTheme="minorEastAsia" w:hAnsiTheme="minorEastAsia" w:hint="eastAsia"/>
          <w:color w:val="000000" w:themeColor="text1"/>
          <w:szCs w:val="21"/>
        </w:rPr>
        <w:t>净值为</w:t>
      </w:r>
      <w:r w:rsidRPr="00C664D3">
        <w:rPr>
          <w:rFonts w:asciiTheme="minorEastAsia" w:eastAsiaTheme="minorEastAsia" w:hAnsiTheme="minorEastAsia"/>
          <w:color w:val="000000" w:themeColor="text1"/>
          <w:szCs w:val="21"/>
        </w:rPr>
        <w:t>1.0400</w:t>
      </w:r>
      <w:r w:rsidRPr="00C664D3">
        <w:rPr>
          <w:rFonts w:asciiTheme="minorEastAsia" w:eastAsiaTheme="minorEastAsia" w:hAnsiTheme="minorEastAsia" w:hint="eastAsia"/>
          <w:color w:val="000000" w:themeColor="text1"/>
          <w:szCs w:val="21"/>
        </w:rPr>
        <w:t>元，则其可得到的</w:t>
      </w:r>
      <w:r w:rsidRPr="00C664D3">
        <w:rPr>
          <w:rFonts w:asciiTheme="minorEastAsia" w:eastAsiaTheme="minorEastAsia" w:hAnsiTheme="minorEastAsia"/>
          <w:color w:val="000000" w:themeColor="text1"/>
          <w:szCs w:val="21"/>
        </w:rPr>
        <w:t>C</w:t>
      </w:r>
      <w:r w:rsidRPr="00C664D3">
        <w:rPr>
          <w:rFonts w:asciiTheme="minorEastAsia" w:eastAsiaTheme="minorEastAsia" w:hAnsiTheme="minorEastAsia" w:hint="eastAsia"/>
          <w:color w:val="000000" w:themeColor="text1"/>
        </w:rPr>
        <w:t>类人民币份额</w:t>
      </w:r>
      <w:r w:rsidRPr="00C664D3">
        <w:rPr>
          <w:rFonts w:asciiTheme="minorEastAsia" w:eastAsiaTheme="minorEastAsia" w:hAnsiTheme="minorEastAsia" w:hint="eastAsia"/>
          <w:color w:val="000000" w:themeColor="text1"/>
          <w:szCs w:val="21"/>
        </w:rPr>
        <w:t>为：</w:t>
      </w:r>
      <w:r w:rsidRPr="00C664D3">
        <w:rPr>
          <w:rFonts w:asciiTheme="minorEastAsia" w:eastAsiaTheme="minorEastAsia" w:hAnsiTheme="minorEastAsia"/>
          <w:color w:val="000000" w:themeColor="text1"/>
          <w:szCs w:val="21"/>
        </w:rPr>
        <w:t xml:space="preserve"> </w:t>
      </w:r>
    </w:p>
    <w:p w:rsidR="0067478A" w:rsidRPr="00C664D3" w:rsidRDefault="00386000"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rPr>
        <w:t>申购份额</w:t>
      </w:r>
      <w:r w:rsidR="0067478A" w:rsidRPr="00C664D3">
        <w:rPr>
          <w:rFonts w:asciiTheme="minorEastAsia" w:eastAsiaTheme="minorEastAsia" w:hAnsiTheme="minorEastAsia"/>
          <w:color w:val="000000" w:themeColor="text1"/>
          <w:szCs w:val="21"/>
        </w:rPr>
        <w:t>=100,000/1.0400=96,153.85</w:t>
      </w:r>
      <w:r w:rsidR="0067478A" w:rsidRPr="00C664D3">
        <w:rPr>
          <w:rFonts w:asciiTheme="minorEastAsia" w:eastAsiaTheme="minorEastAsia" w:hAnsiTheme="minorEastAsia" w:hint="eastAsia"/>
          <w:color w:val="000000" w:themeColor="text1"/>
          <w:szCs w:val="21"/>
        </w:rPr>
        <w:t>份</w:t>
      </w:r>
    </w:p>
    <w:p w:rsidR="00A1091C" w:rsidRPr="00C664D3" w:rsidRDefault="00A1091C" w:rsidP="0067478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w:t>
      </w:r>
      <w:r w:rsidR="00F04555"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赎回金额的计算</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赎回费用=赎回份额×T日</w:t>
      </w:r>
      <w:r w:rsidR="00386000" w:rsidRPr="00C664D3">
        <w:rPr>
          <w:rFonts w:asciiTheme="minorEastAsia" w:eastAsiaTheme="minorEastAsia" w:hAnsiTheme="minorEastAsia"/>
          <w:color w:val="000000" w:themeColor="text1"/>
          <w:szCs w:val="21"/>
        </w:rPr>
        <w:t>该</w:t>
      </w:r>
      <w:r w:rsidR="00386000" w:rsidRPr="00C664D3">
        <w:rPr>
          <w:rFonts w:asciiTheme="minorEastAsia" w:eastAsiaTheme="minorEastAsia" w:hAnsiTheme="minorEastAsia" w:hint="eastAsia"/>
          <w:color w:val="000000" w:themeColor="text1"/>
          <w:szCs w:val="21"/>
        </w:rPr>
        <w:t>类</w:t>
      </w:r>
      <w:r w:rsidRPr="00C664D3">
        <w:rPr>
          <w:rFonts w:asciiTheme="minorEastAsia" w:eastAsiaTheme="minorEastAsia" w:hAnsiTheme="minorEastAsia"/>
          <w:color w:val="000000" w:themeColor="text1"/>
        </w:rPr>
        <w:t>基金份额净值×赎回费率</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赎回金额=赎回份额×T日</w:t>
      </w:r>
      <w:r w:rsidR="00386000" w:rsidRPr="00C664D3">
        <w:rPr>
          <w:rFonts w:asciiTheme="minorEastAsia" w:eastAsiaTheme="minorEastAsia" w:hAnsiTheme="minorEastAsia"/>
          <w:color w:val="000000" w:themeColor="text1"/>
          <w:szCs w:val="21"/>
        </w:rPr>
        <w:t>该</w:t>
      </w:r>
      <w:r w:rsidR="00386000" w:rsidRPr="00C664D3">
        <w:rPr>
          <w:rFonts w:asciiTheme="minorEastAsia" w:eastAsiaTheme="minorEastAsia" w:hAnsiTheme="minorEastAsia" w:hint="eastAsia"/>
          <w:color w:val="000000" w:themeColor="text1"/>
          <w:szCs w:val="21"/>
        </w:rPr>
        <w:t>类</w:t>
      </w:r>
      <w:r w:rsidRPr="00C664D3">
        <w:rPr>
          <w:rFonts w:asciiTheme="minorEastAsia" w:eastAsiaTheme="minorEastAsia" w:hAnsiTheme="minorEastAsia"/>
          <w:color w:val="000000" w:themeColor="text1"/>
        </w:rPr>
        <w:t>基金份额净值-赎回费用</w:t>
      </w:r>
    </w:p>
    <w:p w:rsidR="0067478A" w:rsidRPr="00C664D3" w:rsidRDefault="0067478A" w:rsidP="0067478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例：某投资者T日赎回1万份A类</w:t>
      </w:r>
      <w:r w:rsidRPr="00C664D3">
        <w:rPr>
          <w:rFonts w:asciiTheme="minorEastAsia" w:eastAsiaTheme="minorEastAsia" w:hAnsiTheme="minorEastAsia" w:hint="eastAsia"/>
          <w:color w:val="000000" w:themeColor="text1"/>
        </w:rPr>
        <w:t>人民币</w:t>
      </w:r>
      <w:r w:rsidRPr="00C664D3">
        <w:rPr>
          <w:rFonts w:asciiTheme="minorEastAsia" w:eastAsiaTheme="minorEastAsia" w:hAnsiTheme="minorEastAsia"/>
          <w:color w:val="000000" w:themeColor="text1"/>
        </w:rPr>
        <w:t>份额，对应的赎回费率为0.</w:t>
      </w:r>
      <w:r w:rsidRPr="00C664D3">
        <w:rPr>
          <w:rFonts w:asciiTheme="minorEastAsia" w:eastAsiaTheme="minorEastAsia" w:hAnsiTheme="minorEastAsia" w:hint="eastAsia"/>
          <w:color w:val="000000" w:themeColor="text1"/>
        </w:rPr>
        <w:t>5</w:t>
      </w:r>
      <w:r w:rsidRPr="00C664D3">
        <w:rPr>
          <w:rFonts w:asciiTheme="minorEastAsia" w:eastAsiaTheme="minorEastAsia" w:hAnsiTheme="minorEastAsia"/>
          <w:color w:val="000000" w:themeColor="text1"/>
        </w:rPr>
        <w:t>%，T日A类</w:t>
      </w:r>
      <w:r w:rsidRPr="00C664D3">
        <w:rPr>
          <w:rFonts w:asciiTheme="minorEastAsia" w:eastAsiaTheme="minorEastAsia" w:hAnsiTheme="minorEastAsia" w:hint="eastAsia"/>
          <w:color w:val="000000" w:themeColor="text1"/>
        </w:rPr>
        <w:t>人民币</w:t>
      </w:r>
      <w:r w:rsidRPr="00C664D3">
        <w:rPr>
          <w:rFonts w:asciiTheme="minorEastAsia" w:eastAsiaTheme="minorEastAsia" w:hAnsiTheme="minorEastAsia"/>
          <w:color w:val="000000" w:themeColor="text1"/>
        </w:rPr>
        <w:t>份额净值是1.016</w:t>
      </w:r>
      <w:r w:rsidRPr="00C664D3">
        <w:rPr>
          <w:rFonts w:asciiTheme="minorEastAsia" w:eastAsiaTheme="minorEastAsia" w:hAnsiTheme="minorEastAsia" w:hint="eastAsia"/>
          <w:color w:val="000000" w:themeColor="text1"/>
        </w:rPr>
        <w:t>0</w:t>
      </w:r>
      <w:r w:rsidRPr="00C664D3">
        <w:rPr>
          <w:rFonts w:asciiTheme="minorEastAsia" w:eastAsiaTheme="minorEastAsia" w:hAnsiTheme="minorEastAsia"/>
          <w:color w:val="000000" w:themeColor="text1"/>
        </w:rPr>
        <w:t>元，则其可得到的赎回金额计算如下：</w:t>
      </w:r>
    </w:p>
    <w:p w:rsidR="0067478A" w:rsidRPr="00C664D3" w:rsidRDefault="0067478A" w:rsidP="0067478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赎回费用=10,000×1.016</w:t>
      </w:r>
      <w:r w:rsidRPr="00C664D3">
        <w:rPr>
          <w:rFonts w:asciiTheme="minorEastAsia" w:eastAsiaTheme="minorEastAsia" w:hAnsiTheme="minorEastAsia" w:hint="eastAsia"/>
          <w:color w:val="000000" w:themeColor="text1"/>
        </w:rPr>
        <w:t>0</w:t>
      </w:r>
      <w:r w:rsidRPr="00C664D3">
        <w:rPr>
          <w:rFonts w:asciiTheme="minorEastAsia" w:eastAsiaTheme="minorEastAsia" w:hAnsiTheme="minorEastAsia"/>
          <w:color w:val="000000" w:themeColor="text1"/>
        </w:rPr>
        <w:t>×0.</w:t>
      </w:r>
      <w:r w:rsidRPr="00C664D3">
        <w:rPr>
          <w:rFonts w:asciiTheme="minorEastAsia" w:eastAsiaTheme="minorEastAsia" w:hAnsiTheme="minorEastAsia" w:hint="eastAsia"/>
          <w:color w:val="000000" w:themeColor="text1"/>
        </w:rPr>
        <w:t>5</w:t>
      </w: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5</w:t>
      </w:r>
      <w:r w:rsidRPr="00C664D3">
        <w:rPr>
          <w:rFonts w:asciiTheme="minorEastAsia" w:eastAsiaTheme="minorEastAsia" w:hAnsiTheme="minorEastAsia"/>
          <w:color w:val="000000" w:themeColor="text1"/>
        </w:rPr>
        <w:t>0.</w:t>
      </w:r>
      <w:r w:rsidRPr="00C664D3">
        <w:rPr>
          <w:rFonts w:asciiTheme="minorEastAsia" w:eastAsiaTheme="minorEastAsia" w:hAnsiTheme="minorEastAsia" w:hint="eastAsia"/>
          <w:color w:val="000000" w:themeColor="text1"/>
        </w:rPr>
        <w:t>80</w:t>
      </w:r>
      <w:r w:rsidRPr="00C664D3">
        <w:rPr>
          <w:rFonts w:asciiTheme="minorEastAsia" w:eastAsiaTheme="minorEastAsia" w:hAnsiTheme="minorEastAsia"/>
          <w:color w:val="000000" w:themeColor="text1"/>
        </w:rPr>
        <w:t>元</w:t>
      </w:r>
    </w:p>
    <w:p w:rsidR="0067478A" w:rsidRPr="00C664D3" w:rsidRDefault="0067478A" w:rsidP="0067478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赎回金额=10,000×1.016</w:t>
      </w:r>
      <w:r w:rsidRPr="00C664D3">
        <w:rPr>
          <w:rFonts w:asciiTheme="minorEastAsia" w:eastAsiaTheme="minorEastAsia" w:hAnsiTheme="minorEastAsia" w:hint="eastAsia"/>
          <w:color w:val="000000" w:themeColor="text1"/>
        </w:rPr>
        <w:t>0</w:t>
      </w: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5</w:t>
      </w:r>
      <w:r w:rsidRPr="00C664D3">
        <w:rPr>
          <w:rFonts w:asciiTheme="minorEastAsia" w:eastAsiaTheme="minorEastAsia" w:hAnsiTheme="minorEastAsia"/>
          <w:color w:val="000000" w:themeColor="text1"/>
        </w:rPr>
        <w:t>0.</w:t>
      </w:r>
      <w:r w:rsidRPr="00C664D3">
        <w:rPr>
          <w:rFonts w:asciiTheme="minorEastAsia" w:eastAsiaTheme="minorEastAsia" w:hAnsiTheme="minorEastAsia" w:hint="eastAsia"/>
          <w:color w:val="000000" w:themeColor="text1"/>
        </w:rPr>
        <w:t>80</w:t>
      </w:r>
      <w:r w:rsidRPr="00C664D3">
        <w:rPr>
          <w:rFonts w:asciiTheme="minorEastAsia" w:eastAsiaTheme="minorEastAsia" w:hAnsiTheme="minorEastAsia"/>
          <w:color w:val="000000" w:themeColor="text1"/>
        </w:rPr>
        <w:t>=10,1</w:t>
      </w:r>
      <w:r w:rsidRPr="00C664D3">
        <w:rPr>
          <w:rFonts w:asciiTheme="minorEastAsia" w:eastAsiaTheme="minorEastAsia" w:hAnsiTheme="minorEastAsia" w:hint="eastAsia"/>
          <w:color w:val="000000" w:themeColor="text1"/>
        </w:rPr>
        <w:t>0</w:t>
      </w:r>
      <w:r w:rsidRPr="00C664D3">
        <w:rPr>
          <w:rFonts w:asciiTheme="minorEastAsia" w:eastAsiaTheme="minorEastAsia" w:hAnsiTheme="minorEastAsia"/>
          <w:color w:val="000000" w:themeColor="text1"/>
        </w:rPr>
        <w:t>9.</w:t>
      </w:r>
      <w:r w:rsidRPr="00C664D3">
        <w:rPr>
          <w:rFonts w:asciiTheme="minorEastAsia" w:eastAsiaTheme="minorEastAsia" w:hAnsiTheme="minorEastAsia" w:hint="eastAsia"/>
          <w:color w:val="000000" w:themeColor="text1"/>
        </w:rPr>
        <w:t>20</w:t>
      </w:r>
      <w:r w:rsidRPr="00C664D3">
        <w:rPr>
          <w:rFonts w:asciiTheme="minorEastAsia" w:eastAsiaTheme="minorEastAsia" w:hAnsiTheme="minorEastAsia"/>
          <w:color w:val="000000" w:themeColor="text1"/>
        </w:rPr>
        <w:t>元</w:t>
      </w:r>
    </w:p>
    <w:p w:rsidR="0067478A" w:rsidRPr="00C664D3" w:rsidRDefault="0067478A" w:rsidP="0067478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即：投资人赎回本基金1万份A类</w:t>
      </w:r>
      <w:r w:rsidRPr="00C664D3">
        <w:rPr>
          <w:rFonts w:asciiTheme="minorEastAsia" w:eastAsiaTheme="minorEastAsia" w:hAnsiTheme="minorEastAsia" w:hint="eastAsia"/>
          <w:color w:val="000000" w:themeColor="text1"/>
        </w:rPr>
        <w:t>人民币</w:t>
      </w:r>
      <w:r w:rsidRPr="00C664D3">
        <w:rPr>
          <w:rFonts w:asciiTheme="minorEastAsia" w:eastAsiaTheme="minorEastAsia" w:hAnsiTheme="minorEastAsia"/>
          <w:color w:val="000000" w:themeColor="text1"/>
        </w:rPr>
        <w:t>份额，假设赎回当日A类</w:t>
      </w:r>
      <w:r w:rsidRPr="00C664D3">
        <w:rPr>
          <w:rFonts w:asciiTheme="minorEastAsia" w:eastAsiaTheme="minorEastAsia" w:hAnsiTheme="minorEastAsia" w:hint="eastAsia"/>
          <w:color w:val="000000" w:themeColor="text1"/>
        </w:rPr>
        <w:t>人民币</w:t>
      </w:r>
      <w:r w:rsidRPr="00C664D3">
        <w:rPr>
          <w:rFonts w:asciiTheme="minorEastAsia" w:eastAsiaTheme="minorEastAsia" w:hAnsiTheme="minorEastAsia"/>
          <w:color w:val="000000" w:themeColor="text1"/>
        </w:rPr>
        <w:t>份额净值是1.016</w:t>
      </w:r>
      <w:r w:rsidRPr="00C664D3">
        <w:rPr>
          <w:rFonts w:asciiTheme="minorEastAsia" w:eastAsiaTheme="minorEastAsia" w:hAnsiTheme="minorEastAsia" w:hint="eastAsia"/>
          <w:color w:val="000000" w:themeColor="text1"/>
        </w:rPr>
        <w:t>0</w:t>
      </w:r>
      <w:r w:rsidRPr="00C664D3">
        <w:rPr>
          <w:rFonts w:asciiTheme="minorEastAsia" w:eastAsiaTheme="minorEastAsia" w:hAnsiTheme="minorEastAsia"/>
          <w:color w:val="000000" w:themeColor="text1"/>
        </w:rPr>
        <w:t>元，则其可得到的赎回金额为10,1</w:t>
      </w:r>
      <w:r w:rsidRPr="00C664D3">
        <w:rPr>
          <w:rFonts w:asciiTheme="minorEastAsia" w:eastAsiaTheme="minorEastAsia" w:hAnsiTheme="minorEastAsia" w:hint="eastAsia"/>
          <w:color w:val="000000" w:themeColor="text1"/>
        </w:rPr>
        <w:t>0</w:t>
      </w:r>
      <w:r w:rsidRPr="00C664D3">
        <w:rPr>
          <w:rFonts w:asciiTheme="minorEastAsia" w:eastAsiaTheme="minorEastAsia" w:hAnsiTheme="minorEastAsia"/>
          <w:color w:val="000000" w:themeColor="text1"/>
        </w:rPr>
        <w:t>9.</w:t>
      </w:r>
      <w:r w:rsidRPr="00C664D3">
        <w:rPr>
          <w:rFonts w:asciiTheme="minorEastAsia" w:eastAsiaTheme="minorEastAsia" w:hAnsiTheme="minorEastAsia" w:hint="eastAsia"/>
          <w:color w:val="000000" w:themeColor="text1"/>
        </w:rPr>
        <w:t>20</w:t>
      </w:r>
      <w:r w:rsidRPr="00C664D3">
        <w:rPr>
          <w:rFonts w:asciiTheme="minorEastAsia" w:eastAsiaTheme="minorEastAsia" w:hAnsiTheme="minorEastAsia"/>
          <w:color w:val="000000" w:themeColor="text1"/>
        </w:rPr>
        <w:t>元。</w:t>
      </w:r>
    </w:p>
    <w:p w:rsidR="0067478A" w:rsidRPr="00C664D3" w:rsidRDefault="0067478A" w:rsidP="0067478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例：某投资者</w:t>
      </w:r>
      <w:r w:rsidRPr="00C664D3">
        <w:rPr>
          <w:rFonts w:asciiTheme="minorEastAsia" w:eastAsiaTheme="minorEastAsia" w:hAnsiTheme="minorEastAsia"/>
          <w:color w:val="000000" w:themeColor="text1"/>
        </w:rPr>
        <w:t>T</w:t>
      </w:r>
      <w:r w:rsidRPr="00C664D3">
        <w:rPr>
          <w:rFonts w:asciiTheme="minorEastAsia" w:eastAsiaTheme="minorEastAsia" w:hAnsiTheme="minorEastAsia" w:hint="eastAsia"/>
          <w:color w:val="000000" w:themeColor="text1"/>
        </w:rPr>
        <w:t>日赎回</w:t>
      </w:r>
      <w:r w:rsidRPr="00C664D3">
        <w:rPr>
          <w:rFonts w:asciiTheme="minorEastAsia" w:eastAsiaTheme="minorEastAsia" w:hAnsiTheme="minorEastAsia"/>
          <w:color w:val="000000" w:themeColor="text1"/>
        </w:rPr>
        <w:t>1</w:t>
      </w:r>
      <w:r w:rsidRPr="00C664D3">
        <w:rPr>
          <w:rFonts w:asciiTheme="minorEastAsia" w:eastAsiaTheme="minorEastAsia" w:hAnsiTheme="minorEastAsia" w:hint="eastAsia"/>
          <w:color w:val="000000" w:themeColor="text1"/>
        </w:rPr>
        <w:t>万份A类美元份额，对应的赎回费率为</w:t>
      </w:r>
      <w:r w:rsidRPr="00C664D3">
        <w:rPr>
          <w:rFonts w:asciiTheme="minorEastAsia" w:eastAsiaTheme="minorEastAsia" w:hAnsiTheme="minorEastAsia"/>
          <w:color w:val="000000" w:themeColor="text1"/>
        </w:rPr>
        <w:t>0.5%</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T</w:t>
      </w:r>
      <w:r w:rsidRPr="00C664D3">
        <w:rPr>
          <w:rFonts w:asciiTheme="minorEastAsia" w:eastAsiaTheme="minorEastAsia" w:hAnsiTheme="minorEastAsia" w:hint="eastAsia"/>
          <w:color w:val="000000" w:themeColor="text1"/>
        </w:rPr>
        <w:t>日A类美元份额净值为</w:t>
      </w:r>
      <w:r w:rsidRPr="00C664D3">
        <w:rPr>
          <w:rFonts w:asciiTheme="minorEastAsia" w:eastAsiaTheme="minorEastAsia" w:hAnsiTheme="minorEastAsia"/>
          <w:color w:val="000000" w:themeColor="text1"/>
        </w:rPr>
        <w:t>0.1607</w:t>
      </w:r>
      <w:r w:rsidRPr="00C664D3">
        <w:rPr>
          <w:rFonts w:asciiTheme="minorEastAsia" w:eastAsiaTheme="minorEastAsia" w:hAnsiTheme="minorEastAsia" w:hint="eastAsia"/>
          <w:color w:val="000000" w:themeColor="text1"/>
        </w:rPr>
        <w:t>美元，则其可得到的赎回金额计算如下：</w:t>
      </w:r>
    </w:p>
    <w:p w:rsidR="0067478A" w:rsidRPr="00C664D3" w:rsidRDefault="0067478A" w:rsidP="0067478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赎回费用</w:t>
      </w:r>
      <w:r w:rsidRPr="00C664D3">
        <w:rPr>
          <w:rFonts w:asciiTheme="minorEastAsia" w:eastAsiaTheme="minorEastAsia" w:hAnsiTheme="minorEastAsia"/>
          <w:color w:val="000000" w:themeColor="text1"/>
        </w:rPr>
        <w:t>=10,000×0.1607×0.5%=8.04</w:t>
      </w:r>
      <w:r w:rsidRPr="00C664D3">
        <w:rPr>
          <w:rFonts w:asciiTheme="minorEastAsia" w:eastAsiaTheme="minorEastAsia" w:hAnsiTheme="minorEastAsia" w:hint="eastAsia"/>
          <w:color w:val="000000" w:themeColor="text1"/>
        </w:rPr>
        <w:t>美元</w:t>
      </w:r>
    </w:p>
    <w:p w:rsidR="0067478A" w:rsidRPr="00C664D3" w:rsidRDefault="0067478A" w:rsidP="0067478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赎回金额</w:t>
      </w:r>
      <w:r w:rsidRPr="00C664D3">
        <w:rPr>
          <w:rFonts w:asciiTheme="minorEastAsia" w:eastAsiaTheme="minorEastAsia" w:hAnsiTheme="minorEastAsia"/>
          <w:color w:val="000000" w:themeColor="text1"/>
        </w:rPr>
        <w:t>=10,000×0.1607-8.04=1598.96</w:t>
      </w:r>
      <w:r w:rsidRPr="00C664D3">
        <w:rPr>
          <w:rFonts w:asciiTheme="minorEastAsia" w:eastAsiaTheme="minorEastAsia" w:hAnsiTheme="minorEastAsia" w:hint="eastAsia"/>
          <w:color w:val="000000" w:themeColor="text1"/>
        </w:rPr>
        <w:t>美元</w:t>
      </w:r>
    </w:p>
    <w:p w:rsidR="0067478A" w:rsidRPr="00C664D3" w:rsidRDefault="0067478A" w:rsidP="0067478A">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即：投资人赎回本基金1万份</w:t>
      </w:r>
      <w:r w:rsidRPr="00C664D3">
        <w:rPr>
          <w:rFonts w:asciiTheme="minorEastAsia" w:eastAsiaTheme="minorEastAsia" w:hAnsiTheme="minorEastAsia" w:hint="eastAsia"/>
          <w:color w:val="000000" w:themeColor="text1"/>
        </w:rPr>
        <w:t>A类美元份额</w:t>
      </w:r>
      <w:r w:rsidRPr="00C664D3">
        <w:rPr>
          <w:rFonts w:asciiTheme="minorEastAsia" w:eastAsiaTheme="minorEastAsia" w:hAnsiTheme="minorEastAsia"/>
          <w:color w:val="000000" w:themeColor="text1"/>
        </w:rPr>
        <w:t>，假设赎回当日</w:t>
      </w:r>
      <w:r w:rsidRPr="00C664D3">
        <w:rPr>
          <w:rFonts w:asciiTheme="minorEastAsia" w:eastAsiaTheme="minorEastAsia" w:hAnsiTheme="minorEastAsia" w:hint="eastAsia"/>
          <w:color w:val="000000" w:themeColor="text1"/>
        </w:rPr>
        <w:t>A类美元份额</w:t>
      </w:r>
      <w:r w:rsidRPr="00C664D3">
        <w:rPr>
          <w:rFonts w:asciiTheme="minorEastAsia" w:eastAsiaTheme="minorEastAsia" w:hAnsiTheme="minorEastAsia"/>
          <w:color w:val="000000" w:themeColor="text1"/>
        </w:rPr>
        <w:t>净值是</w:t>
      </w:r>
      <w:r w:rsidRPr="00C664D3">
        <w:rPr>
          <w:rFonts w:asciiTheme="minorEastAsia" w:eastAsiaTheme="minorEastAsia" w:hAnsiTheme="minorEastAsia" w:hint="eastAsia"/>
          <w:color w:val="000000" w:themeColor="text1"/>
        </w:rPr>
        <w:t>0.1607美</w:t>
      </w:r>
      <w:r w:rsidRPr="00C664D3">
        <w:rPr>
          <w:rFonts w:asciiTheme="minorEastAsia" w:eastAsiaTheme="minorEastAsia" w:hAnsiTheme="minorEastAsia"/>
          <w:color w:val="000000" w:themeColor="text1"/>
        </w:rPr>
        <w:t>元，则其可得到的赎回金额为1598.96</w:t>
      </w:r>
      <w:r w:rsidRPr="00C664D3">
        <w:rPr>
          <w:rFonts w:asciiTheme="minorEastAsia" w:eastAsiaTheme="minorEastAsia" w:hAnsiTheme="minorEastAsia" w:hint="eastAsia"/>
          <w:color w:val="000000" w:themeColor="text1"/>
        </w:rPr>
        <w:t>美元</w:t>
      </w:r>
      <w:r w:rsidRPr="00C664D3">
        <w:rPr>
          <w:rFonts w:asciiTheme="minorEastAsia" w:eastAsiaTheme="minorEastAsia" w:hAnsiTheme="minorEastAsia"/>
          <w:color w:val="000000" w:themeColor="text1"/>
        </w:rPr>
        <w:t>。</w:t>
      </w:r>
    </w:p>
    <w:p w:rsidR="0067478A" w:rsidRPr="00C664D3" w:rsidRDefault="0067478A" w:rsidP="0067478A">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rPr>
        <w:t>例：</w:t>
      </w:r>
      <w:r w:rsidRPr="00C664D3">
        <w:rPr>
          <w:rFonts w:asciiTheme="minorEastAsia" w:eastAsiaTheme="minorEastAsia" w:hAnsiTheme="minorEastAsia" w:hint="eastAsia"/>
          <w:color w:val="000000" w:themeColor="text1"/>
          <w:szCs w:val="21"/>
        </w:rPr>
        <w:t>某投资人赎回</w:t>
      </w:r>
      <w:r w:rsidRPr="00C664D3">
        <w:rPr>
          <w:rFonts w:asciiTheme="minorEastAsia" w:eastAsiaTheme="minorEastAsia" w:hAnsiTheme="minorEastAsia"/>
          <w:color w:val="000000" w:themeColor="text1"/>
          <w:szCs w:val="21"/>
        </w:rPr>
        <w:t>10,000</w:t>
      </w:r>
      <w:r w:rsidRPr="00C664D3">
        <w:rPr>
          <w:rFonts w:asciiTheme="minorEastAsia" w:eastAsiaTheme="minorEastAsia" w:hAnsiTheme="minorEastAsia" w:hint="eastAsia"/>
          <w:color w:val="000000" w:themeColor="text1"/>
          <w:szCs w:val="21"/>
        </w:rPr>
        <w:t>份</w:t>
      </w:r>
      <w:r w:rsidRPr="00C664D3">
        <w:rPr>
          <w:rFonts w:asciiTheme="minorEastAsia" w:eastAsiaTheme="minorEastAsia" w:hAnsiTheme="minorEastAsia"/>
          <w:color w:val="000000" w:themeColor="text1"/>
          <w:szCs w:val="21"/>
        </w:rPr>
        <w:t>C</w:t>
      </w:r>
      <w:r w:rsidRPr="00C664D3">
        <w:rPr>
          <w:rFonts w:asciiTheme="minorEastAsia" w:eastAsiaTheme="minorEastAsia" w:hAnsiTheme="minorEastAsia" w:hint="eastAsia"/>
          <w:color w:val="000000" w:themeColor="text1"/>
          <w:szCs w:val="21"/>
        </w:rPr>
        <w:t>类人民币份额，假设该笔份额持有期限为</w:t>
      </w:r>
      <w:r w:rsidRPr="00C664D3">
        <w:rPr>
          <w:rFonts w:asciiTheme="minorEastAsia" w:eastAsiaTheme="minorEastAsia" w:hAnsiTheme="minorEastAsia"/>
          <w:color w:val="000000" w:themeColor="text1"/>
          <w:szCs w:val="21"/>
        </w:rPr>
        <w:t>3</w:t>
      </w:r>
      <w:r w:rsidRPr="00C664D3">
        <w:rPr>
          <w:rFonts w:asciiTheme="minorEastAsia" w:eastAsiaTheme="minorEastAsia" w:hAnsiTheme="minorEastAsia" w:hint="eastAsia"/>
          <w:color w:val="000000" w:themeColor="text1"/>
          <w:szCs w:val="21"/>
        </w:rPr>
        <w:t>天，则对应的赎回费率为</w:t>
      </w:r>
      <w:r w:rsidRPr="00C664D3">
        <w:rPr>
          <w:rFonts w:asciiTheme="minorEastAsia" w:eastAsiaTheme="minorEastAsia" w:hAnsiTheme="minorEastAsia"/>
          <w:color w:val="000000" w:themeColor="text1"/>
          <w:szCs w:val="21"/>
        </w:rPr>
        <w:t>1.50%</w:t>
      </w:r>
      <w:r w:rsidRPr="00C664D3">
        <w:rPr>
          <w:rFonts w:asciiTheme="minorEastAsia" w:eastAsiaTheme="minorEastAsia" w:hAnsiTheme="minorEastAsia" w:hint="eastAsia"/>
          <w:color w:val="000000" w:themeColor="text1"/>
          <w:szCs w:val="21"/>
        </w:rPr>
        <w:t>，假设赎回当日</w:t>
      </w:r>
      <w:r w:rsidRPr="00C664D3">
        <w:rPr>
          <w:rFonts w:asciiTheme="minorEastAsia" w:eastAsiaTheme="minorEastAsia" w:hAnsiTheme="minorEastAsia"/>
          <w:color w:val="000000" w:themeColor="text1"/>
          <w:szCs w:val="21"/>
        </w:rPr>
        <w:t>C</w:t>
      </w:r>
      <w:r w:rsidRPr="00C664D3">
        <w:rPr>
          <w:rFonts w:asciiTheme="minorEastAsia" w:eastAsiaTheme="minorEastAsia" w:hAnsiTheme="minorEastAsia" w:hint="eastAsia"/>
          <w:color w:val="000000" w:themeColor="text1"/>
          <w:szCs w:val="21"/>
        </w:rPr>
        <w:t>类人民币份额净值是</w:t>
      </w:r>
      <w:r w:rsidRPr="00C664D3">
        <w:rPr>
          <w:rFonts w:asciiTheme="minorEastAsia" w:eastAsiaTheme="minorEastAsia" w:hAnsiTheme="minorEastAsia"/>
          <w:color w:val="000000" w:themeColor="text1"/>
          <w:szCs w:val="21"/>
        </w:rPr>
        <w:t>1.0160</w:t>
      </w:r>
      <w:r w:rsidRPr="00C664D3">
        <w:rPr>
          <w:rFonts w:asciiTheme="minorEastAsia" w:eastAsiaTheme="minorEastAsia" w:hAnsiTheme="minorEastAsia" w:hint="eastAsia"/>
          <w:color w:val="000000" w:themeColor="text1"/>
          <w:szCs w:val="21"/>
        </w:rPr>
        <w:t>元，则其可得到的赎回金额为：</w:t>
      </w:r>
      <w:r w:rsidRPr="00C664D3">
        <w:rPr>
          <w:rFonts w:asciiTheme="minorEastAsia" w:eastAsiaTheme="minorEastAsia" w:hAnsiTheme="minorEastAsia"/>
          <w:color w:val="000000" w:themeColor="text1"/>
          <w:szCs w:val="21"/>
        </w:rPr>
        <w:t xml:space="preserve"> </w:t>
      </w:r>
    </w:p>
    <w:p w:rsidR="0067478A" w:rsidRPr="00C664D3" w:rsidRDefault="0067478A" w:rsidP="0067478A">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赎回费用</w:t>
      </w:r>
      <w:r w:rsidRPr="00C664D3">
        <w:rPr>
          <w:rFonts w:asciiTheme="minorEastAsia" w:eastAsiaTheme="minorEastAsia" w:hAnsiTheme="minorEastAsia"/>
          <w:color w:val="000000" w:themeColor="text1"/>
          <w:szCs w:val="21"/>
        </w:rPr>
        <w:t xml:space="preserve"> = 10,000×1.0160×1.50% </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152.40</w:t>
      </w:r>
      <w:r w:rsidRPr="00C664D3">
        <w:rPr>
          <w:rFonts w:asciiTheme="minorEastAsia" w:eastAsiaTheme="minorEastAsia" w:hAnsiTheme="minorEastAsia" w:hint="eastAsia"/>
          <w:color w:val="000000" w:themeColor="text1"/>
          <w:szCs w:val="21"/>
        </w:rPr>
        <w:t>元</w:t>
      </w:r>
    </w:p>
    <w:p w:rsidR="0067478A" w:rsidRPr="00C664D3" w:rsidRDefault="0067478A" w:rsidP="0067478A">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赎回金额</w:t>
      </w:r>
      <w:r w:rsidRPr="00C664D3">
        <w:rPr>
          <w:rFonts w:asciiTheme="minorEastAsia" w:eastAsiaTheme="minorEastAsia" w:hAnsiTheme="minorEastAsia"/>
          <w:color w:val="000000" w:themeColor="text1"/>
          <w:szCs w:val="21"/>
        </w:rPr>
        <w:t xml:space="preserve"> = 10,000×1.0160-152.40 </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10,007.60</w:t>
      </w:r>
      <w:r w:rsidRPr="00C664D3">
        <w:rPr>
          <w:rFonts w:asciiTheme="minorEastAsia" w:eastAsiaTheme="minorEastAsia" w:hAnsiTheme="minorEastAsia" w:hint="eastAsia"/>
          <w:color w:val="000000" w:themeColor="text1"/>
          <w:szCs w:val="21"/>
        </w:rPr>
        <w:t>元</w:t>
      </w:r>
      <w:r w:rsidRPr="00C664D3">
        <w:rPr>
          <w:rFonts w:asciiTheme="minorEastAsia" w:eastAsiaTheme="minorEastAsia" w:hAnsiTheme="minorEastAsia"/>
          <w:color w:val="000000" w:themeColor="text1"/>
          <w:szCs w:val="21"/>
        </w:rPr>
        <w:t xml:space="preserve"> </w:t>
      </w:r>
    </w:p>
    <w:p w:rsidR="0067478A" w:rsidRPr="00C664D3" w:rsidRDefault="0067478A"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即：投资人赎回本基金</w:t>
      </w:r>
      <w:r w:rsidRPr="00C664D3">
        <w:rPr>
          <w:rFonts w:asciiTheme="minorEastAsia" w:eastAsiaTheme="minorEastAsia" w:hAnsiTheme="minorEastAsia"/>
          <w:color w:val="000000" w:themeColor="text1"/>
          <w:szCs w:val="21"/>
        </w:rPr>
        <w:t>10,000</w:t>
      </w:r>
      <w:r w:rsidRPr="00C664D3">
        <w:rPr>
          <w:rFonts w:asciiTheme="minorEastAsia" w:eastAsiaTheme="minorEastAsia" w:hAnsiTheme="minorEastAsia" w:hint="eastAsia"/>
          <w:color w:val="000000" w:themeColor="text1"/>
          <w:szCs w:val="21"/>
        </w:rPr>
        <w:t>份</w:t>
      </w:r>
      <w:r w:rsidRPr="00C664D3">
        <w:rPr>
          <w:rFonts w:asciiTheme="minorEastAsia" w:eastAsiaTheme="minorEastAsia" w:hAnsiTheme="minorEastAsia"/>
          <w:color w:val="000000" w:themeColor="text1"/>
          <w:szCs w:val="21"/>
        </w:rPr>
        <w:t>C</w:t>
      </w:r>
      <w:r w:rsidRPr="00C664D3">
        <w:rPr>
          <w:rFonts w:asciiTheme="minorEastAsia" w:eastAsiaTheme="minorEastAsia" w:hAnsiTheme="minorEastAsia" w:hint="eastAsia"/>
          <w:color w:val="000000" w:themeColor="text1"/>
          <w:szCs w:val="21"/>
        </w:rPr>
        <w:t>类人民币份额，假设赎回当日</w:t>
      </w:r>
      <w:r w:rsidRPr="00C664D3">
        <w:rPr>
          <w:rFonts w:asciiTheme="minorEastAsia" w:eastAsiaTheme="minorEastAsia" w:hAnsiTheme="minorEastAsia"/>
          <w:color w:val="000000" w:themeColor="text1"/>
          <w:szCs w:val="21"/>
        </w:rPr>
        <w:t>C</w:t>
      </w:r>
      <w:r w:rsidRPr="00C664D3">
        <w:rPr>
          <w:rFonts w:asciiTheme="minorEastAsia" w:eastAsiaTheme="minorEastAsia" w:hAnsiTheme="minorEastAsia" w:hint="eastAsia"/>
          <w:color w:val="000000" w:themeColor="text1"/>
          <w:szCs w:val="21"/>
        </w:rPr>
        <w:t>类人民币份额净值是</w:t>
      </w:r>
      <w:r w:rsidRPr="00C664D3">
        <w:rPr>
          <w:rFonts w:asciiTheme="minorEastAsia" w:eastAsiaTheme="minorEastAsia" w:hAnsiTheme="minorEastAsia"/>
          <w:color w:val="000000" w:themeColor="text1"/>
          <w:szCs w:val="21"/>
        </w:rPr>
        <w:t>1.0160</w:t>
      </w:r>
      <w:r w:rsidRPr="00C664D3">
        <w:rPr>
          <w:rFonts w:asciiTheme="minorEastAsia" w:eastAsiaTheme="minorEastAsia" w:hAnsiTheme="minorEastAsia" w:hint="eastAsia"/>
          <w:color w:val="000000" w:themeColor="text1"/>
          <w:szCs w:val="21"/>
        </w:rPr>
        <w:t>元，则其可得到的赎回金额为</w:t>
      </w:r>
      <w:r w:rsidRPr="00C664D3">
        <w:rPr>
          <w:rFonts w:asciiTheme="minorEastAsia" w:eastAsiaTheme="minorEastAsia" w:hAnsiTheme="minorEastAsia"/>
          <w:color w:val="000000" w:themeColor="text1"/>
          <w:szCs w:val="21"/>
        </w:rPr>
        <w:t>10,007.60</w:t>
      </w:r>
      <w:r w:rsidRPr="00C664D3">
        <w:rPr>
          <w:rFonts w:asciiTheme="minorEastAsia" w:eastAsiaTheme="minorEastAsia" w:hAnsiTheme="minorEastAsia" w:hint="eastAsia"/>
          <w:color w:val="000000" w:themeColor="text1"/>
          <w:szCs w:val="21"/>
        </w:rPr>
        <w:t>元。</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w:t>
      </w:r>
      <w:r w:rsidR="00F04555"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基金份额净值的计算公式</w:t>
      </w:r>
    </w:p>
    <w:p w:rsidR="00A1091C" w:rsidRPr="00C664D3" w:rsidRDefault="003E3A27"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本基金分别计算并披露不同币种基金份额对应的基金份额净值。人民币基金份额净值和</w:t>
      </w:r>
      <w:r w:rsidRPr="00C664D3">
        <w:rPr>
          <w:rFonts w:asciiTheme="minorEastAsia" w:eastAsiaTheme="minorEastAsia" w:hAnsiTheme="minorEastAsia" w:hint="eastAsia"/>
          <w:color w:val="000000" w:themeColor="text1"/>
        </w:rPr>
        <w:lastRenderedPageBreak/>
        <w:t>美元基金份额净值的计算分别精确到</w:t>
      </w:r>
      <w:r w:rsidRPr="00C664D3">
        <w:rPr>
          <w:rFonts w:asciiTheme="minorEastAsia" w:eastAsiaTheme="minorEastAsia" w:hAnsiTheme="minorEastAsia"/>
          <w:color w:val="000000" w:themeColor="text1"/>
        </w:rPr>
        <w:t>0.0001</w:t>
      </w:r>
      <w:r w:rsidRPr="00C664D3">
        <w:rPr>
          <w:rFonts w:asciiTheme="minorEastAsia" w:eastAsiaTheme="minorEastAsia" w:hAnsiTheme="minorEastAsia" w:hint="eastAsia"/>
          <w:color w:val="000000" w:themeColor="text1"/>
        </w:rPr>
        <w:t>元和</w:t>
      </w:r>
      <w:r w:rsidRPr="00C664D3">
        <w:rPr>
          <w:rFonts w:asciiTheme="minorEastAsia" w:eastAsiaTheme="minorEastAsia" w:hAnsiTheme="minorEastAsia"/>
          <w:color w:val="000000" w:themeColor="text1"/>
        </w:rPr>
        <w:t>0.0001</w:t>
      </w:r>
      <w:r w:rsidRPr="00C664D3">
        <w:rPr>
          <w:rFonts w:asciiTheme="minorEastAsia" w:eastAsiaTheme="minorEastAsia" w:hAnsiTheme="minorEastAsia" w:hint="eastAsia"/>
          <w:color w:val="000000" w:themeColor="text1"/>
        </w:rPr>
        <w:t>美元，小数点后第五位四舍五入。</w:t>
      </w:r>
      <w:r w:rsidR="00261D5E" w:rsidRPr="00C664D3">
        <w:rPr>
          <w:rFonts w:asciiTheme="minorEastAsia" w:eastAsiaTheme="minorEastAsia" w:hAnsiTheme="minorEastAsia"/>
          <w:color w:val="000000" w:themeColor="text1"/>
          <w:szCs w:val="21"/>
        </w:rPr>
        <w:t>T</w:t>
      </w:r>
      <w:r w:rsidR="00261D5E" w:rsidRPr="00C664D3">
        <w:rPr>
          <w:rFonts w:asciiTheme="minorEastAsia" w:eastAsiaTheme="minorEastAsia" w:hAnsiTheme="minorEastAsia" w:hint="eastAsia"/>
          <w:color w:val="000000" w:themeColor="text1"/>
          <w:szCs w:val="21"/>
        </w:rPr>
        <w:t>日的基金份额净值在</w:t>
      </w:r>
      <w:r w:rsidR="00261D5E" w:rsidRPr="00C664D3">
        <w:rPr>
          <w:rFonts w:asciiTheme="minorEastAsia" w:eastAsiaTheme="minorEastAsia" w:hAnsiTheme="minorEastAsia"/>
          <w:color w:val="000000" w:themeColor="text1"/>
          <w:szCs w:val="21"/>
        </w:rPr>
        <w:t>T</w:t>
      </w:r>
      <w:r w:rsidRPr="00C664D3">
        <w:rPr>
          <w:rFonts w:asciiTheme="minorEastAsia" w:eastAsiaTheme="minorEastAsia" w:hAnsiTheme="minorEastAsia"/>
          <w:color w:val="000000" w:themeColor="text1"/>
          <w:szCs w:val="21"/>
        </w:rPr>
        <w:t>+1</w:t>
      </w:r>
      <w:r w:rsidR="00261D5E" w:rsidRPr="00C664D3">
        <w:rPr>
          <w:rFonts w:asciiTheme="minorEastAsia" w:eastAsiaTheme="minorEastAsia" w:hAnsiTheme="minorEastAsia" w:hint="eastAsia"/>
          <w:color w:val="000000" w:themeColor="text1"/>
          <w:szCs w:val="21"/>
        </w:rPr>
        <w:t>日计算，并在</w:t>
      </w:r>
      <w:r w:rsidR="00261D5E" w:rsidRPr="00C664D3">
        <w:rPr>
          <w:rFonts w:asciiTheme="minorEastAsia" w:eastAsiaTheme="minorEastAsia" w:hAnsiTheme="minorEastAsia"/>
          <w:color w:val="000000" w:themeColor="text1"/>
          <w:szCs w:val="21"/>
        </w:rPr>
        <w:t>T+</w:t>
      </w:r>
      <w:r w:rsidRPr="00C664D3">
        <w:rPr>
          <w:rFonts w:asciiTheme="minorEastAsia" w:eastAsiaTheme="minorEastAsia" w:hAnsiTheme="minorEastAsia"/>
          <w:color w:val="000000" w:themeColor="text1"/>
          <w:szCs w:val="21"/>
        </w:rPr>
        <w:t>2</w:t>
      </w:r>
      <w:r w:rsidR="00261D5E" w:rsidRPr="00C664D3">
        <w:rPr>
          <w:rFonts w:asciiTheme="minorEastAsia" w:eastAsiaTheme="minorEastAsia" w:hAnsiTheme="minorEastAsia" w:hint="eastAsia"/>
          <w:color w:val="000000" w:themeColor="text1"/>
          <w:szCs w:val="21"/>
        </w:rPr>
        <w:t>日通过基金管理人网站披露</w:t>
      </w:r>
      <w:r w:rsidR="00261D5E" w:rsidRPr="00C664D3">
        <w:rPr>
          <w:rFonts w:asciiTheme="minorEastAsia" w:eastAsiaTheme="minorEastAsia" w:hAnsiTheme="minorEastAsia"/>
          <w:color w:val="000000" w:themeColor="text1"/>
          <w:szCs w:val="21"/>
        </w:rPr>
        <w:t>。</w:t>
      </w:r>
      <w:r w:rsidR="007D0DA7" w:rsidRPr="00C664D3">
        <w:rPr>
          <w:rFonts w:asciiTheme="minorEastAsia" w:eastAsiaTheme="minorEastAsia" w:hAnsiTheme="minorEastAsia"/>
          <w:color w:val="000000" w:themeColor="text1"/>
          <w:szCs w:val="21"/>
        </w:rPr>
        <w:t>遇特殊情况，</w:t>
      </w:r>
      <w:r w:rsidR="007D0DA7" w:rsidRPr="00C664D3">
        <w:rPr>
          <w:rFonts w:asciiTheme="minorEastAsia" w:eastAsiaTheme="minorEastAsia" w:hAnsiTheme="minorEastAsia" w:hint="eastAsia"/>
          <w:color w:val="000000" w:themeColor="text1"/>
          <w:szCs w:val="21"/>
        </w:rPr>
        <w:t>基金管理人</w:t>
      </w:r>
      <w:r w:rsidR="007D0DA7" w:rsidRPr="00C664D3">
        <w:rPr>
          <w:rFonts w:asciiTheme="minorEastAsia" w:eastAsiaTheme="minorEastAsia" w:hAnsiTheme="minorEastAsia"/>
          <w:color w:val="000000" w:themeColor="text1"/>
          <w:szCs w:val="21"/>
        </w:rPr>
        <w:t>可以适当延迟计算或公告。</w:t>
      </w:r>
      <w:r w:rsidR="00261D5E" w:rsidRPr="00C664D3">
        <w:rPr>
          <w:rFonts w:asciiTheme="minorEastAsia" w:eastAsiaTheme="minorEastAsia" w:hAnsiTheme="minorEastAsia"/>
          <w:color w:val="000000" w:themeColor="text1"/>
          <w:szCs w:val="21"/>
        </w:rPr>
        <w:t>其计算公式为：</w:t>
      </w:r>
    </w:p>
    <w:p w:rsidR="003E3A27" w:rsidRPr="00C664D3" w:rsidRDefault="003E3A27"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人民币基金份额净值</w:t>
      </w: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计算日基金资产净值</w:t>
      </w: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计算日各币种基金份额余额的合计数</w:t>
      </w:r>
    </w:p>
    <w:p w:rsidR="00A1091C" w:rsidRPr="00C664D3" w:rsidRDefault="003E3A27"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美元基金份额净值</w:t>
      </w: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人民币基金份额净值</w:t>
      </w: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计算日美元估值汇率</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556" w:name="_Toc277752499"/>
      <w:bookmarkStart w:id="557" w:name="_Toc277786078"/>
      <w:bookmarkStart w:id="558" w:name="_Toc277787599"/>
      <w:bookmarkStart w:id="559" w:name="_Toc277787873"/>
      <w:bookmarkStart w:id="560" w:name="_Toc278409384"/>
      <w:bookmarkStart w:id="561" w:name="_Toc423335586"/>
      <w:bookmarkEnd w:id="556"/>
      <w:bookmarkEnd w:id="557"/>
      <w:bookmarkEnd w:id="558"/>
      <w:bookmarkEnd w:id="559"/>
      <w:bookmarkEnd w:id="560"/>
      <w:r w:rsidRPr="00C664D3">
        <w:rPr>
          <w:rFonts w:asciiTheme="minorEastAsia" w:eastAsiaTheme="minorEastAsia" w:hAnsiTheme="minorEastAsia"/>
          <w:b w:val="0"/>
          <w:bCs/>
          <w:color w:val="000000" w:themeColor="text1"/>
        </w:rPr>
        <w:t>申购和赎回的登记结算</w:t>
      </w:r>
      <w:bookmarkEnd w:id="561"/>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本基金申购与赎回的登记结算业务按照基金登记结算机构的有关规定办理。正常情况下，投资者申购基金成功后，基金登记结算机构在T+</w:t>
      </w:r>
      <w:r w:rsidR="00171374"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color w:val="000000" w:themeColor="text1"/>
        </w:rPr>
        <w:t>日为投资者登记权益并办理登记结算手续，投资者自T+</w:t>
      </w:r>
      <w:r w:rsidR="00171374" w:rsidRPr="00C664D3">
        <w:rPr>
          <w:rFonts w:asciiTheme="minorEastAsia" w:eastAsiaTheme="minorEastAsia" w:hAnsiTheme="minorEastAsia" w:hint="eastAsia"/>
          <w:color w:val="000000" w:themeColor="text1"/>
        </w:rPr>
        <w:t>3</w:t>
      </w:r>
      <w:r w:rsidRPr="00C664D3">
        <w:rPr>
          <w:rFonts w:asciiTheme="minorEastAsia" w:eastAsiaTheme="minorEastAsia" w:hAnsiTheme="minorEastAsia"/>
          <w:color w:val="000000" w:themeColor="text1"/>
        </w:rPr>
        <w:t>日起（含该日）有权赎回该部分基金份额。</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投资者赎回基金成功后，正常情况下，基金登记结算机构在T+</w:t>
      </w:r>
      <w:r w:rsidR="00171374"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color w:val="000000" w:themeColor="text1"/>
        </w:rPr>
        <w:t>日为投资者办理扣除权益的登记结算手续。</w:t>
      </w:r>
    </w:p>
    <w:p w:rsidR="00A1091C" w:rsidRPr="00C664D3" w:rsidRDefault="00261D5E"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szCs w:val="21"/>
        </w:rPr>
        <w:t>基金管理人可以在法律法规允许的范围内，依法对上述注册登记办理时间进行调整，并最迟于开始实施前依照《信息披露办法》的有关规定在指定媒介公告。</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562" w:name="_Toc423335587"/>
      <w:bookmarkStart w:id="563" w:name="_Toc423335588"/>
      <w:bookmarkStart w:id="564" w:name="_Toc423335589"/>
      <w:bookmarkStart w:id="565" w:name="_Toc423335590"/>
      <w:bookmarkStart w:id="566" w:name="_Toc423335591"/>
      <w:bookmarkEnd w:id="562"/>
      <w:bookmarkEnd w:id="563"/>
      <w:bookmarkEnd w:id="564"/>
      <w:bookmarkEnd w:id="565"/>
      <w:r w:rsidRPr="00C664D3">
        <w:rPr>
          <w:rFonts w:asciiTheme="minorEastAsia" w:eastAsiaTheme="minorEastAsia" w:hAnsiTheme="minorEastAsia"/>
          <w:b w:val="0"/>
          <w:bCs/>
          <w:color w:val="000000" w:themeColor="text1"/>
        </w:rPr>
        <w:t>拒绝或暂停申购的情形及处理方式</w:t>
      </w:r>
      <w:bookmarkEnd w:id="566"/>
    </w:p>
    <w:p w:rsidR="00A42D65" w:rsidRPr="00C664D3" w:rsidRDefault="00A42D6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发生下列情况时，基金管理人可拒绝或暂停接受投资人的</w:t>
      </w:r>
      <w:r w:rsidRPr="00C664D3">
        <w:rPr>
          <w:rFonts w:asciiTheme="minorEastAsia" w:eastAsiaTheme="minorEastAsia" w:hAnsiTheme="minorEastAsia" w:hint="eastAsia"/>
          <w:color w:val="000000" w:themeColor="text1"/>
          <w:szCs w:val="21"/>
        </w:rPr>
        <w:t>某一类币种或多类币种份额</w:t>
      </w:r>
      <w:r w:rsidRPr="00C664D3">
        <w:rPr>
          <w:rFonts w:asciiTheme="minorEastAsia" w:eastAsiaTheme="minorEastAsia" w:hAnsiTheme="minorEastAsia"/>
          <w:color w:val="000000" w:themeColor="text1"/>
          <w:szCs w:val="21"/>
        </w:rPr>
        <w:t>申购申请：</w:t>
      </w:r>
    </w:p>
    <w:p w:rsidR="00A42D65" w:rsidRPr="00C664D3" w:rsidRDefault="00A42D6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1</w:t>
      </w:r>
      <w:r w:rsidRPr="00C664D3">
        <w:rPr>
          <w:rFonts w:asciiTheme="minorEastAsia" w:eastAsiaTheme="minorEastAsia" w:hAnsiTheme="minorEastAsia" w:hint="eastAsia"/>
          <w:color w:val="000000" w:themeColor="text1"/>
          <w:szCs w:val="21"/>
        </w:rPr>
        <w:t>、因不可抗力导致基金无法正常运作。</w:t>
      </w:r>
    </w:p>
    <w:p w:rsidR="00A42D65" w:rsidRPr="00C664D3" w:rsidRDefault="00A42D6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2、发生基金合同规定的暂停基金资产估值情况时。</w:t>
      </w:r>
    </w:p>
    <w:p w:rsidR="00A42D65" w:rsidRPr="00C664D3" w:rsidRDefault="00A42D6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3、本基金进行交易的主要证券交易市场或外汇市场交易时间非正常停市。</w:t>
      </w:r>
    </w:p>
    <w:p w:rsidR="00A42D65" w:rsidRPr="00C664D3" w:rsidRDefault="00A42D6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w:t>
      </w:r>
      <w:r w:rsidRPr="00C664D3">
        <w:rPr>
          <w:rFonts w:asciiTheme="minorEastAsia" w:eastAsiaTheme="minorEastAsia" w:hAnsiTheme="minorEastAsia"/>
          <w:color w:val="000000" w:themeColor="text1"/>
          <w:szCs w:val="21"/>
        </w:rPr>
        <w:t>接受某笔或某些申购申请可能会影响或损害现有基金份额持有人利益时。</w:t>
      </w:r>
    </w:p>
    <w:p w:rsidR="00A42D65" w:rsidRPr="00C664D3" w:rsidRDefault="00A42D6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w:t>
      </w:r>
      <w:r w:rsidRPr="00C664D3">
        <w:rPr>
          <w:rFonts w:asciiTheme="minorEastAsia" w:eastAsiaTheme="minorEastAsia" w:hAnsiTheme="minorEastAsia"/>
          <w:color w:val="000000" w:themeColor="text1"/>
          <w:szCs w:val="21"/>
        </w:rPr>
        <w:t>基金资产规模过大，使基金管理人无法找到合适的投资品种，或其他可能对基金业绩产生负面影响，</w:t>
      </w:r>
      <w:r w:rsidRPr="00C664D3">
        <w:rPr>
          <w:rFonts w:asciiTheme="minorEastAsia" w:eastAsiaTheme="minorEastAsia" w:hAnsiTheme="minorEastAsia" w:hint="eastAsia"/>
          <w:color w:val="000000" w:themeColor="text1"/>
          <w:szCs w:val="21"/>
        </w:rPr>
        <w:t>或基金管理人认定的其他</w:t>
      </w:r>
      <w:r w:rsidRPr="00C664D3">
        <w:rPr>
          <w:rFonts w:asciiTheme="minorEastAsia" w:eastAsiaTheme="minorEastAsia" w:hAnsiTheme="minorEastAsia"/>
          <w:color w:val="000000" w:themeColor="text1"/>
          <w:szCs w:val="21"/>
        </w:rPr>
        <w:t>损害现有基金份额持有人利益的情形。</w:t>
      </w:r>
    </w:p>
    <w:p w:rsidR="00A42D65" w:rsidRPr="00C664D3" w:rsidRDefault="00A42D6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6、基金管理人、基金托管人、登记结算机构、销售机构、支付结算机构等因异常情况导致基金销售系统、基金销售支付结算系统、基金登记系统、基金会计系统等无法正常运行。</w:t>
      </w:r>
    </w:p>
    <w:p w:rsidR="00A42D65" w:rsidRPr="00C664D3" w:rsidRDefault="00A42D6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7、基金资产规模或者份额数量达到了基金管理人规定的上限（基金管理人可根据外管局的审批及市场情况进行调整）时。</w:t>
      </w:r>
    </w:p>
    <w:p w:rsidR="00C81E1B" w:rsidRPr="00C664D3" w:rsidRDefault="00C81E1B" w:rsidP="00C81E1B">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8、基金管理人接受某笔或者某些申购申请有可能导致单一投资者持有基金份额的比例达到或者超过50%，或者变相规避50%集中度的情形时。</w:t>
      </w:r>
    </w:p>
    <w:p w:rsidR="00C81E1B" w:rsidRPr="00C664D3" w:rsidRDefault="00C81E1B" w:rsidP="00C81E1B">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9、当一笔新的申购申请被确认成功，使本基金总规模超过基金管理人规定的本基金总</w:t>
      </w:r>
      <w:r w:rsidRPr="00C664D3">
        <w:rPr>
          <w:rFonts w:asciiTheme="minorEastAsia" w:eastAsiaTheme="minorEastAsia" w:hAnsiTheme="minorEastAsia" w:hint="eastAsia"/>
          <w:color w:val="000000" w:themeColor="text1"/>
          <w:szCs w:val="21"/>
        </w:rPr>
        <w:lastRenderedPageBreak/>
        <w:t>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81E1B" w:rsidRPr="00C664D3" w:rsidRDefault="00C81E1B" w:rsidP="00C81E1B">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A42D65" w:rsidRPr="00C664D3" w:rsidRDefault="00C81E1B" w:rsidP="00C81E1B">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w:t>
      </w:r>
      <w:r w:rsidR="00A42D65" w:rsidRPr="00C664D3">
        <w:rPr>
          <w:rFonts w:asciiTheme="minorEastAsia" w:eastAsiaTheme="minorEastAsia" w:hAnsiTheme="minorEastAsia" w:hint="eastAsia"/>
          <w:color w:val="000000" w:themeColor="text1"/>
          <w:szCs w:val="21"/>
        </w:rPr>
        <w:t>、</w:t>
      </w:r>
      <w:r w:rsidR="00A42D65" w:rsidRPr="00C664D3">
        <w:rPr>
          <w:rFonts w:asciiTheme="minorEastAsia" w:eastAsiaTheme="minorEastAsia" w:hAnsiTheme="minorEastAsia"/>
          <w:color w:val="000000" w:themeColor="text1"/>
          <w:szCs w:val="21"/>
        </w:rPr>
        <w:t>法律法规规定或中国证监会认定的其他情形。</w:t>
      </w:r>
    </w:p>
    <w:p w:rsidR="00A1091C" w:rsidRPr="00C664D3" w:rsidRDefault="00A42D6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发生上述第1、2、</w:t>
      </w:r>
      <w:r w:rsidRPr="00C664D3">
        <w:rPr>
          <w:rFonts w:asciiTheme="minorEastAsia" w:eastAsiaTheme="minorEastAsia" w:hAnsiTheme="minorEastAsia" w:hint="eastAsia"/>
          <w:color w:val="000000" w:themeColor="text1"/>
          <w:szCs w:val="21"/>
        </w:rPr>
        <w:t>3</w:t>
      </w:r>
      <w:r w:rsidRPr="00C664D3">
        <w:rPr>
          <w:rFonts w:asciiTheme="minorEastAsia" w:eastAsiaTheme="minorEastAsia" w:hAnsiTheme="minorEastAsia"/>
          <w:color w:val="000000" w:themeColor="text1"/>
          <w:szCs w:val="21"/>
        </w:rPr>
        <w:t>、</w:t>
      </w:r>
      <w:r w:rsidRPr="00C664D3">
        <w:rPr>
          <w:rFonts w:asciiTheme="minorEastAsia" w:eastAsiaTheme="minorEastAsia" w:hAnsiTheme="minorEastAsia" w:hint="eastAsia"/>
          <w:color w:val="000000" w:themeColor="text1"/>
          <w:szCs w:val="21"/>
        </w:rPr>
        <w:t>5、6、7、</w:t>
      </w:r>
      <w:r w:rsidR="00C81E1B" w:rsidRPr="00C664D3">
        <w:rPr>
          <w:rFonts w:asciiTheme="minorEastAsia" w:eastAsiaTheme="minorEastAsia" w:hAnsiTheme="minorEastAsia" w:hint="eastAsia"/>
          <w:color w:val="000000" w:themeColor="text1"/>
          <w:szCs w:val="21"/>
        </w:rPr>
        <w:t>9、10、11</w:t>
      </w:r>
      <w:r w:rsidRPr="00C664D3">
        <w:rPr>
          <w:rFonts w:asciiTheme="minorEastAsia" w:eastAsiaTheme="minorEastAsia" w:hAnsiTheme="minorEastAsia"/>
          <w:color w:val="000000" w:themeColor="text1"/>
          <w:szCs w:val="21"/>
        </w:rPr>
        <w:t>项</w:t>
      </w:r>
      <w:r w:rsidRPr="00C664D3">
        <w:rPr>
          <w:rFonts w:asciiTheme="minorEastAsia" w:eastAsiaTheme="minorEastAsia" w:hAnsiTheme="minorEastAsia" w:hint="eastAsia"/>
          <w:color w:val="000000" w:themeColor="text1"/>
          <w:szCs w:val="21"/>
        </w:rPr>
        <w:t>情形且基金管理人决定</w:t>
      </w:r>
      <w:r w:rsidRPr="00C664D3">
        <w:rPr>
          <w:rFonts w:asciiTheme="minorEastAsia" w:eastAsiaTheme="minorEastAsia" w:hAnsiTheme="minorEastAsia"/>
          <w:color w:val="000000" w:themeColor="text1"/>
          <w:szCs w:val="21"/>
        </w:rPr>
        <w:t>暂停申购时，基金管理人应当根据有关规定在指定媒介上刊登暂停申购公告。如果投资人的申购申请被拒绝，被拒绝的申购款项</w:t>
      </w:r>
      <w:r w:rsidRPr="00C664D3">
        <w:rPr>
          <w:rFonts w:asciiTheme="minorEastAsia" w:eastAsiaTheme="minorEastAsia" w:hAnsiTheme="minorEastAsia" w:hint="eastAsia"/>
          <w:color w:val="000000" w:themeColor="text1"/>
          <w:szCs w:val="21"/>
        </w:rPr>
        <w:t>本金</w:t>
      </w:r>
      <w:r w:rsidRPr="00C664D3">
        <w:rPr>
          <w:rFonts w:asciiTheme="minorEastAsia" w:eastAsiaTheme="minorEastAsia" w:hAnsiTheme="minorEastAsia"/>
          <w:color w:val="000000" w:themeColor="text1"/>
          <w:szCs w:val="21"/>
        </w:rPr>
        <w:t>将退还给投资人。在暂停申购的情况消除时，基金管理人应及时恢复申购业务的办理。</w:t>
      </w:r>
      <w:bookmarkStart w:id="567" w:name="_Hlt70481650"/>
      <w:bookmarkEnd w:id="567"/>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568" w:name="_Toc423335592"/>
      <w:r w:rsidRPr="00C664D3">
        <w:rPr>
          <w:rFonts w:asciiTheme="minorEastAsia" w:eastAsiaTheme="minorEastAsia" w:hAnsiTheme="minorEastAsia"/>
          <w:b w:val="0"/>
          <w:bCs/>
          <w:color w:val="000000" w:themeColor="text1"/>
        </w:rPr>
        <w:t>暂停赎回或者延缓支付赎回款项的情形</w:t>
      </w:r>
      <w:bookmarkEnd w:id="568"/>
    </w:p>
    <w:p w:rsidR="006E06E5" w:rsidRPr="00C664D3" w:rsidRDefault="006E06E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发生下列情形时，基金管理人可暂停接受投资人的</w:t>
      </w:r>
      <w:r w:rsidRPr="00C664D3">
        <w:rPr>
          <w:rFonts w:asciiTheme="minorEastAsia" w:eastAsiaTheme="minorEastAsia" w:hAnsiTheme="minorEastAsia" w:hint="eastAsia"/>
          <w:color w:val="000000" w:themeColor="text1"/>
          <w:szCs w:val="21"/>
        </w:rPr>
        <w:t>某一类币种或多类币种份额</w:t>
      </w:r>
      <w:r w:rsidRPr="00C664D3">
        <w:rPr>
          <w:rFonts w:asciiTheme="minorEastAsia" w:eastAsiaTheme="minorEastAsia" w:hAnsiTheme="minorEastAsia"/>
          <w:color w:val="000000" w:themeColor="text1"/>
          <w:szCs w:val="21"/>
        </w:rPr>
        <w:t>赎回申请或延缓支付赎回款项：</w:t>
      </w:r>
    </w:p>
    <w:p w:rsidR="006E06E5" w:rsidRPr="00C664D3" w:rsidRDefault="006E06E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1</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因不可抗力导致基金管理人不能支付赎回款项。</w:t>
      </w:r>
    </w:p>
    <w:p w:rsidR="006E06E5" w:rsidRPr="00C664D3" w:rsidRDefault="006E06E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2</w:t>
      </w:r>
      <w:r w:rsidRPr="00C664D3">
        <w:rPr>
          <w:rFonts w:asciiTheme="minorEastAsia" w:eastAsiaTheme="minorEastAsia" w:hAnsiTheme="minorEastAsia" w:hint="eastAsia"/>
          <w:color w:val="000000" w:themeColor="text1"/>
          <w:szCs w:val="21"/>
        </w:rPr>
        <w:t>、发生基金合同规定的暂停基金资产估值情况时。</w:t>
      </w:r>
    </w:p>
    <w:p w:rsidR="006E06E5" w:rsidRPr="00C664D3" w:rsidRDefault="006E06E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3、本基金进行交易的主要证券交易市场或外汇市场交易时间非正常停市。</w:t>
      </w:r>
    </w:p>
    <w:p w:rsidR="006E06E5" w:rsidRPr="00C664D3" w:rsidRDefault="006E06E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w:t>
      </w:r>
      <w:r w:rsidRPr="00C664D3">
        <w:rPr>
          <w:rFonts w:asciiTheme="minorEastAsia" w:eastAsiaTheme="minorEastAsia" w:hAnsiTheme="minorEastAsia"/>
          <w:color w:val="000000" w:themeColor="text1"/>
          <w:szCs w:val="21"/>
        </w:rPr>
        <w:t>连续两个或两个以上开放日发生巨额赎回。</w:t>
      </w:r>
    </w:p>
    <w:p w:rsidR="006E06E5" w:rsidRPr="00C664D3" w:rsidRDefault="006E06E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5、本基金的资产组合中的重要部分发生暂停交易或其他重大事件，继续接受赎回可能会影响或损害基金份额持有人利益时。</w:t>
      </w:r>
    </w:p>
    <w:p w:rsidR="006E06E5" w:rsidRPr="00C664D3" w:rsidRDefault="006E06E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6、基金管理人、基金托管人、登记结算机构、销售机构、支付结算机构等因异常情况</w:t>
      </w:r>
      <w:r w:rsidRPr="00C664D3">
        <w:rPr>
          <w:rFonts w:asciiTheme="minorEastAsia" w:eastAsiaTheme="minorEastAsia" w:hAnsiTheme="minorEastAsia"/>
          <w:color w:val="000000" w:themeColor="text1"/>
          <w:szCs w:val="21"/>
        </w:rPr>
        <w:t>导致基金销售系统</w:t>
      </w:r>
      <w:r w:rsidRPr="00C664D3">
        <w:rPr>
          <w:rFonts w:asciiTheme="minorEastAsia" w:eastAsiaTheme="minorEastAsia" w:hAnsiTheme="minorEastAsia" w:hint="eastAsia"/>
          <w:color w:val="000000" w:themeColor="text1"/>
          <w:szCs w:val="21"/>
        </w:rPr>
        <w:t>、基金销售支付结算系统、</w:t>
      </w:r>
      <w:r w:rsidRPr="00C664D3">
        <w:rPr>
          <w:rFonts w:asciiTheme="minorEastAsia" w:eastAsiaTheme="minorEastAsia" w:hAnsiTheme="minorEastAsia"/>
          <w:color w:val="000000" w:themeColor="text1"/>
          <w:szCs w:val="21"/>
        </w:rPr>
        <w:t>基金登记系统</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基金会计系统</w:t>
      </w:r>
      <w:r w:rsidRPr="00C664D3">
        <w:rPr>
          <w:rFonts w:asciiTheme="minorEastAsia" w:eastAsiaTheme="minorEastAsia" w:hAnsiTheme="minorEastAsia" w:hint="eastAsia"/>
          <w:color w:val="000000" w:themeColor="text1"/>
          <w:szCs w:val="21"/>
        </w:rPr>
        <w:t>等</w:t>
      </w:r>
      <w:r w:rsidRPr="00C664D3">
        <w:rPr>
          <w:rFonts w:asciiTheme="minorEastAsia" w:eastAsiaTheme="minorEastAsia" w:hAnsiTheme="minorEastAsia"/>
          <w:color w:val="000000" w:themeColor="text1"/>
          <w:szCs w:val="21"/>
        </w:rPr>
        <w:t>无法正常运行</w:t>
      </w:r>
      <w:r w:rsidRPr="00C664D3">
        <w:rPr>
          <w:rFonts w:asciiTheme="minorEastAsia" w:eastAsiaTheme="minorEastAsia" w:hAnsiTheme="minorEastAsia" w:hint="eastAsia"/>
          <w:color w:val="000000" w:themeColor="text1"/>
          <w:szCs w:val="21"/>
        </w:rPr>
        <w:t>。</w:t>
      </w:r>
    </w:p>
    <w:p w:rsidR="006E06E5" w:rsidRPr="00C664D3" w:rsidRDefault="006E06E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7、继续接受赎回申请将损害现有基金份额持有人利益的情形时，可暂停接受投资人的赎回申请。</w:t>
      </w:r>
    </w:p>
    <w:p w:rsidR="00C81E1B" w:rsidRPr="00C664D3" w:rsidRDefault="00C81E1B" w:rsidP="00C81E1B">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6E06E5" w:rsidRPr="00C664D3" w:rsidRDefault="00C81E1B" w:rsidP="00C81E1B">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w:t>
      </w:r>
      <w:r w:rsidR="006E06E5" w:rsidRPr="00C664D3">
        <w:rPr>
          <w:rFonts w:asciiTheme="minorEastAsia" w:eastAsiaTheme="minorEastAsia" w:hAnsiTheme="minorEastAsia" w:hint="eastAsia"/>
          <w:color w:val="000000" w:themeColor="text1"/>
          <w:szCs w:val="21"/>
        </w:rPr>
        <w:t>、</w:t>
      </w:r>
      <w:r w:rsidR="006E06E5" w:rsidRPr="00C664D3">
        <w:rPr>
          <w:rFonts w:asciiTheme="minorEastAsia" w:eastAsiaTheme="minorEastAsia" w:hAnsiTheme="minorEastAsia"/>
          <w:color w:val="000000" w:themeColor="text1"/>
          <w:szCs w:val="21"/>
        </w:rPr>
        <w:t>法律法规规定或中国证监会认定的其他情形。</w:t>
      </w:r>
    </w:p>
    <w:p w:rsidR="00A1091C" w:rsidRPr="00C664D3" w:rsidRDefault="006E06E5"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发生上述情形</w:t>
      </w:r>
      <w:r w:rsidRPr="00C664D3">
        <w:rPr>
          <w:rFonts w:asciiTheme="minorEastAsia" w:eastAsiaTheme="minorEastAsia" w:hAnsiTheme="minorEastAsia" w:hint="eastAsia"/>
          <w:color w:val="000000" w:themeColor="text1"/>
          <w:szCs w:val="21"/>
        </w:rPr>
        <w:t>且基金管理人决定暂停接受基金份额持有人赎回申请</w:t>
      </w:r>
      <w:r w:rsidRPr="00C664D3">
        <w:rPr>
          <w:rFonts w:asciiTheme="minorEastAsia" w:eastAsiaTheme="minorEastAsia" w:hAnsiTheme="minorEastAsia"/>
          <w:color w:val="000000" w:themeColor="text1"/>
          <w:szCs w:val="21"/>
        </w:rPr>
        <w:t>或延缓支付赎回款</w:t>
      </w:r>
      <w:r w:rsidRPr="00C664D3">
        <w:rPr>
          <w:rFonts w:asciiTheme="minorEastAsia" w:eastAsiaTheme="minorEastAsia" w:hAnsiTheme="minorEastAsia"/>
          <w:color w:val="000000" w:themeColor="text1"/>
          <w:szCs w:val="21"/>
        </w:rPr>
        <w:lastRenderedPageBreak/>
        <w:t>项时，基金管理人应报中国证监会备案。若出现上述第</w:t>
      </w:r>
      <w:r w:rsidRPr="00C664D3">
        <w:rPr>
          <w:rFonts w:asciiTheme="minorEastAsia" w:eastAsiaTheme="minorEastAsia" w:hAnsiTheme="minorEastAsia" w:hint="eastAsia"/>
          <w:color w:val="000000" w:themeColor="text1"/>
          <w:szCs w:val="21"/>
        </w:rPr>
        <w:t>4</w:t>
      </w:r>
      <w:r w:rsidRPr="00C664D3">
        <w:rPr>
          <w:rFonts w:asciiTheme="minorEastAsia" w:eastAsiaTheme="minorEastAsia" w:hAnsiTheme="minorEastAsia"/>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569" w:name="_Toc277752504"/>
      <w:bookmarkStart w:id="570" w:name="_Toc277786083"/>
      <w:bookmarkStart w:id="571" w:name="_Toc277787604"/>
      <w:bookmarkStart w:id="572" w:name="_Toc277787878"/>
      <w:bookmarkStart w:id="573" w:name="_Toc278409389"/>
      <w:bookmarkStart w:id="574" w:name="_Toc277752505"/>
      <w:bookmarkStart w:id="575" w:name="_Toc277786084"/>
      <w:bookmarkStart w:id="576" w:name="_Toc277787605"/>
      <w:bookmarkStart w:id="577" w:name="_Toc277787879"/>
      <w:bookmarkStart w:id="578" w:name="_Toc278409390"/>
      <w:bookmarkStart w:id="579" w:name="_Toc277752506"/>
      <w:bookmarkStart w:id="580" w:name="_Toc277786085"/>
      <w:bookmarkStart w:id="581" w:name="_Toc277787606"/>
      <w:bookmarkStart w:id="582" w:name="_Toc277787880"/>
      <w:bookmarkStart w:id="583" w:name="_Toc278409391"/>
      <w:bookmarkStart w:id="584" w:name="_Toc277752507"/>
      <w:bookmarkStart w:id="585" w:name="_Toc277786086"/>
      <w:bookmarkStart w:id="586" w:name="_Toc277787607"/>
      <w:bookmarkStart w:id="587" w:name="_Toc277787881"/>
      <w:bookmarkStart w:id="588" w:name="_Toc278409392"/>
      <w:bookmarkStart w:id="589" w:name="_Toc277752508"/>
      <w:bookmarkStart w:id="590" w:name="_Toc277786087"/>
      <w:bookmarkStart w:id="591" w:name="_Toc277787608"/>
      <w:bookmarkStart w:id="592" w:name="_Toc277787882"/>
      <w:bookmarkStart w:id="593" w:name="_Toc278409393"/>
      <w:bookmarkStart w:id="594" w:name="_Toc277752509"/>
      <w:bookmarkStart w:id="595" w:name="_Toc277786088"/>
      <w:bookmarkStart w:id="596" w:name="_Toc277787609"/>
      <w:bookmarkStart w:id="597" w:name="_Toc277787883"/>
      <w:bookmarkStart w:id="598" w:name="_Toc278409394"/>
      <w:bookmarkStart w:id="599" w:name="_Toc423335593"/>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C664D3">
        <w:rPr>
          <w:rFonts w:asciiTheme="minorEastAsia" w:eastAsiaTheme="minorEastAsia" w:hAnsiTheme="minorEastAsia"/>
          <w:b w:val="0"/>
          <w:bCs/>
          <w:color w:val="000000" w:themeColor="text1"/>
        </w:rPr>
        <w:t>巨额赎回的认定及处理方式</w:t>
      </w:r>
      <w:bookmarkEnd w:id="599"/>
    </w:p>
    <w:p w:rsidR="00B802C4" w:rsidRPr="00C664D3" w:rsidRDefault="00B802C4"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1</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巨额赎回的认定</w:t>
      </w:r>
    </w:p>
    <w:p w:rsidR="00B802C4" w:rsidRPr="00C664D3" w:rsidRDefault="00B802C4"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C664D3">
        <w:rPr>
          <w:rFonts w:asciiTheme="minorEastAsia" w:eastAsiaTheme="minorEastAsia" w:hAnsiTheme="minorEastAsia" w:hint="eastAsia"/>
          <w:color w:val="000000" w:themeColor="text1"/>
          <w:szCs w:val="21"/>
        </w:rPr>
        <w:t>10%</w:t>
      </w:r>
      <w:r w:rsidRPr="00C664D3">
        <w:rPr>
          <w:rFonts w:asciiTheme="minorEastAsia" w:eastAsiaTheme="minorEastAsia" w:hAnsiTheme="minorEastAsia"/>
          <w:color w:val="000000" w:themeColor="text1"/>
          <w:szCs w:val="21"/>
        </w:rPr>
        <w:t>，即认为是发生了巨额赎回。</w:t>
      </w:r>
    </w:p>
    <w:p w:rsidR="00B802C4" w:rsidRPr="00C664D3" w:rsidRDefault="00B802C4"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2</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巨额赎回的处理方式</w:t>
      </w:r>
    </w:p>
    <w:p w:rsidR="00B802C4" w:rsidRPr="00C664D3" w:rsidRDefault="00B802C4"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当基金出现巨额赎回时，基金管理人可以根据基金当时的资产组合状况决定全额赎回或部分延期赎回。</w:t>
      </w:r>
    </w:p>
    <w:p w:rsidR="00B802C4" w:rsidRPr="00C664D3" w:rsidRDefault="00B802C4"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（1）全额赎回：当基金管理人认为有能力支付投资人的全部赎回申请时，按正常赎回程序执行。</w:t>
      </w:r>
    </w:p>
    <w:p w:rsidR="00B802C4" w:rsidRPr="00C664D3" w:rsidRDefault="00B802C4"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w:t>
      </w:r>
      <w:r w:rsidRPr="00C664D3">
        <w:rPr>
          <w:rFonts w:asciiTheme="minorEastAsia" w:eastAsiaTheme="minorEastAsia" w:hAnsiTheme="minorEastAsia" w:hint="eastAsia"/>
          <w:color w:val="000000" w:themeColor="text1"/>
          <w:szCs w:val="21"/>
        </w:rPr>
        <w:t>2</w:t>
      </w:r>
      <w:r w:rsidRPr="00C664D3">
        <w:rPr>
          <w:rFonts w:asciiTheme="minorEastAsia" w:eastAsiaTheme="minorEastAsia" w:hAnsiTheme="minorEastAsia"/>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664D3">
        <w:rPr>
          <w:rFonts w:asciiTheme="minorEastAsia" w:eastAsiaTheme="minorEastAsia" w:hAnsiTheme="minorEastAsia" w:hint="eastAsia"/>
          <w:color w:val="000000" w:themeColor="text1"/>
          <w:szCs w:val="21"/>
        </w:rPr>
        <w:t>10%</w:t>
      </w:r>
      <w:r w:rsidRPr="00C664D3">
        <w:rPr>
          <w:rFonts w:asciiTheme="minorEastAsia" w:eastAsiaTheme="minorEastAsia" w:hAnsiTheme="minorEastAsia"/>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67478A" w:rsidRPr="00C664D3">
        <w:rPr>
          <w:rFonts w:asciiTheme="minorEastAsia" w:eastAsiaTheme="minorEastAsia" w:hAnsiTheme="minorEastAsia"/>
          <w:color w:val="000000" w:themeColor="text1"/>
        </w:rPr>
        <w:t>该类</w:t>
      </w:r>
      <w:r w:rsidRPr="00C664D3">
        <w:rPr>
          <w:rFonts w:asciiTheme="minorEastAsia" w:eastAsiaTheme="minorEastAsia" w:hAnsiTheme="minorEastAsia"/>
          <w:color w:val="000000" w:themeColor="text1"/>
          <w:szCs w:val="21"/>
        </w:rPr>
        <w:t>基金份额净值为基础计算赎回金额，以此类推，直到全部赎回为止。如投资人在提交赎回申请时未作明确选择，投资人未能赎回部分作自动延期赎回处理。</w:t>
      </w:r>
      <w:r w:rsidRPr="00C664D3">
        <w:rPr>
          <w:rFonts w:asciiTheme="minorEastAsia" w:eastAsiaTheme="minorEastAsia" w:hAnsiTheme="minorEastAsia" w:hint="eastAsia"/>
          <w:color w:val="000000" w:themeColor="text1"/>
          <w:szCs w:val="21"/>
        </w:rPr>
        <w:t>部分顺延赎回不受单笔赎回最低份额的限制。深圳证券交易所、登记结算机构另有规定的，从其规定。</w:t>
      </w:r>
    </w:p>
    <w:p w:rsidR="00015449" w:rsidRPr="00C664D3" w:rsidRDefault="00015449"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B802C4" w:rsidRPr="00C664D3" w:rsidRDefault="00B802C4"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w:t>
      </w:r>
      <w:r w:rsidRPr="00C664D3">
        <w:rPr>
          <w:rFonts w:asciiTheme="minorEastAsia" w:eastAsiaTheme="minorEastAsia" w:hAnsiTheme="minorEastAsia" w:hint="eastAsia"/>
          <w:color w:val="000000" w:themeColor="text1"/>
          <w:szCs w:val="21"/>
        </w:rPr>
        <w:t>3</w:t>
      </w:r>
      <w:r w:rsidRPr="00C664D3">
        <w:rPr>
          <w:rFonts w:asciiTheme="minorEastAsia" w:eastAsiaTheme="minorEastAsia" w:hAnsiTheme="minorEastAsia"/>
          <w:color w:val="000000" w:themeColor="text1"/>
          <w:szCs w:val="21"/>
        </w:rPr>
        <w:t>）暂停赎回：连续2日以上(含本数)发生巨额赎回，如基金管理人认为有必要，可暂停接受基金的赎回申请；已经接受的赎回申请可以延缓支付赎回款项，但不得超过20个</w:t>
      </w:r>
      <w:r w:rsidRPr="00C664D3">
        <w:rPr>
          <w:rFonts w:asciiTheme="minorEastAsia" w:eastAsiaTheme="minorEastAsia" w:hAnsiTheme="minorEastAsia"/>
          <w:color w:val="000000" w:themeColor="text1"/>
          <w:szCs w:val="21"/>
        </w:rPr>
        <w:lastRenderedPageBreak/>
        <w:t>工作日，并应当在指定媒介上进行公告。</w:t>
      </w:r>
    </w:p>
    <w:p w:rsidR="00B802C4" w:rsidRPr="00C664D3" w:rsidRDefault="00B802C4"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（4）巨额赎回业务的场内处理，按照深圳证券交易所及登记结算机构的有关《业务规则》办理</w:t>
      </w:r>
      <w:r w:rsidRPr="00C664D3">
        <w:rPr>
          <w:rFonts w:asciiTheme="minorEastAsia" w:eastAsiaTheme="minorEastAsia" w:hAnsiTheme="minorEastAsia"/>
          <w:color w:val="000000" w:themeColor="text1"/>
          <w:szCs w:val="21"/>
        </w:rPr>
        <w:t>。</w:t>
      </w:r>
    </w:p>
    <w:p w:rsidR="00B802C4" w:rsidRPr="00C664D3" w:rsidRDefault="00B802C4"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3</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巨额赎回的公告</w:t>
      </w:r>
    </w:p>
    <w:p w:rsidR="00A1091C" w:rsidRPr="00C664D3" w:rsidRDefault="00B802C4"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当发生上述延期赎回并延期办理时，基金管理人应当通过邮寄、传真或者招募说明书规定的其他方式在</w:t>
      </w:r>
      <w:r w:rsidRPr="00C664D3">
        <w:rPr>
          <w:rFonts w:asciiTheme="minorEastAsia" w:eastAsiaTheme="minorEastAsia" w:hAnsiTheme="minorEastAsia" w:hint="eastAsia"/>
          <w:color w:val="000000" w:themeColor="text1"/>
          <w:szCs w:val="21"/>
        </w:rPr>
        <w:t>3</w:t>
      </w:r>
      <w:r w:rsidRPr="00C664D3">
        <w:rPr>
          <w:rFonts w:asciiTheme="minorEastAsia" w:eastAsiaTheme="minorEastAsia" w:hAnsiTheme="minorEastAsia"/>
          <w:color w:val="000000" w:themeColor="text1"/>
          <w:szCs w:val="21"/>
        </w:rPr>
        <w:t>个交易日内通知基金份额持有人，说明有关处理方法，</w:t>
      </w:r>
      <w:r w:rsidR="007642E1" w:rsidRPr="00C664D3">
        <w:rPr>
          <w:rFonts w:asciiTheme="minorEastAsia" w:eastAsiaTheme="minorEastAsia" w:hAnsiTheme="minorEastAsia" w:hint="eastAsia"/>
          <w:color w:val="000000" w:themeColor="text1"/>
          <w:szCs w:val="21"/>
        </w:rPr>
        <w:t>并在2日内</w:t>
      </w:r>
      <w:r w:rsidRPr="00C664D3">
        <w:rPr>
          <w:rFonts w:asciiTheme="minorEastAsia" w:eastAsiaTheme="minorEastAsia" w:hAnsiTheme="minorEastAsia"/>
          <w:color w:val="000000" w:themeColor="text1"/>
          <w:szCs w:val="21"/>
        </w:rPr>
        <w:t>在指定媒介上刊登公告。</w:t>
      </w:r>
    </w:p>
    <w:p w:rsidR="00A1091C" w:rsidRPr="00C664D3" w:rsidRDefault="00243541"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600" w:name="_Toc423335594"/>
      <w:r w:rsidRPr="00C664D3">
        <w:rPr>
          <w:rFonts w:asciiTheme="minorEastAsia" w:eastAsiaTheme="minorEastAsia" w:hAnsiTheme="minorEastAsia" w:hint="eastAsia"/>
          <w:b w:val="0"/>
          <w:bCs/>
          <w:color w:val="000000" w:themeColor="text1"/>
        </w:rPr>
        <w:t>暂停申购或赎回的公告和重新开放申购或赎回的公告</w:t>
      </w:r>
      <w:bookmarkEnd w:id="600"/>
    </w:p>
    <w:p w:rsidR="00F3344D" w:rsidRPr="00C664D3" w:rsidRDefault="00F3344D"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1</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发生上述暂停申购或赎回情况的，基金管理人应在规定期限内在指定媒介上刊登暂停公告。</w:t>
      </w:r>
    </w:p>
    <w:p w:rsidR="00A1091C" w:rsidRPr="00C664D3" w:rsidRDefault="00F3344D"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2</w:t>
      </w:r>
      <w:r w:rsidRPr="00C664D3">
        <w:rPr>
          <w:rFonts w:asciiTheme="minorEastAsia" w:eastAsiaTheme="minorEastAsia" w:hAnsiTheme="minorEastAsia" w:hint="eastAsia"/>
          <w:color w:val="000000" w:themeColor="text1"/>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601" w:name="_Toc423335595"/>
      <w:bookmarkStart w:id="602" w:name="_Toc423335596"/>
      <w:bookmarkStart w:id="603" w:name="_Toc423335597"/>
      <w:bookmarkStart w:id="604" w:name="_Toc423335598"/>
      <w:bookmarkStart w:id="605" w:name="_Toc79392618"/>
      <w:bookmarkStart w:id="606" w:name="_Toc15118274"/>
      <w:bookmarkStart w:id="607" w:name="_Toc59441259"/>
      <w:bookmarkStart w:id="608" w:name="_Toc423335599"/>
      <w:bookmarkEnd w:id="601"/>
      <w:bookmarkEnd w:id="602"/>
      <w:bookmarkEnd w:id="603"/>
      <w:bookmarkEnd w:id="604"/>
      <w:r w:rsidRPr="00C664D3">
        <w:rPr>
          <w:rFonts w:asciiTheme="minorEastAsia" w:eastAsiaTheme="minorEastAsia" w:hAnsiTheme="minorEastAsia"/>
          <w:b w:val="0"/>
          <w:bCs/>
          <w:color w:val="000000" w:themeColor="text1"/>
        </w:rPr>
        <w:t>基金的转换</w:t>
      </w:r>
      <w:bookmarkEnd w:id="605"/>
      <w:bookmarkEnd w:id="606"/>
      <w:bookmarkEnd w:id="607"/>
      <w:bookmarkEnd w:id="608"/>
    </w:p>
    <w:p w:rsidR="00A1091C" w:rsidRPr="00C664D3" w:rsidRDefault="00531C2C"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基金管理人可以根据相关法律法规以及本基金合同的规定决定</w:t>
      </w:r>
      <w:r w:rsidRPr="00C664D3">
        <w:rPr>
          <w:rFonts w:asciiTheme="minorEastAsia" w:eastAsiaTheme="minorEastAsia" w:hAnsiTheme="minorEastAsia" w:hint="eastAsia"/>
          <w:color w:val="000000" w:themeColor="text1"/>
          <w:szCs w:val="21"/>
        </w:rPr>
        <w:t>，在条件成熟的情况下</w:t>
      </w:r>
      <w:r w:rsidRPr="00C664D3">
        <w:rPr>
          <w:rFonts w:asciiTheme="minorEastAsia" w:eastAsiaTheme="minorEastAsia" w:hAnsiTheme="minorEastAsia"/>
          <w:color w:val="000000" w:themeColor="text1"/>
          <w:szCs w:val="21"/>
        </w:rPr>
        <w:t>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1091C" w:rsidRPr="00C664D3" w:rsidRDefault="0067478A"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609" w:name="_Toc79392621"/>
      <w:bookmarkStart w:id="610" w:name="_Toc423335600"/>
      <w:r w:rsidRPr="00C664D3">
        <w:rPr>
          <w:rFonts w:asciiTheme="minorEastAsia" w:eastAsiaTheme="minorEastAsia" w:hAnsiTheme="minorEastAsia"/>
          <w:b w:val="0"/>
          <w:bCs/>
          <w:color w:val="000000" w:themeColor="text1"/>
        </w:rPr>
        <w:t>基金的</w:t>
      </w:r>
      <w:r w:rsidR="00A1091C" w:rsidRPr="00C664D3">
        <w:rPr>
          <w:rFonts w:asciiTheme="minorEastAsia" w:eastAsiaTheme="minorEastAsia" w:hAnsiTheme="minorEastAsia"/>
          <w:b w:val="0"/>
          <w:bCs/>
          <w:color w:val="000000" w:themeColor="text1"/>
        </w:rPr>
        <w:t>转托管</w:t>
      </w:r>
      <w:bookmarkEnd w:id="609"/>
      <w:bookmarkEnd w:id="610"/>
    </w:p>
    <w:p w:rsidR="0067478A" w:rsidRPr="00C664D3" w:rsidRDefault="0067478A"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1、A类美元份额、C类美元份额、C类人民币份额</w:t>
      </w:r>
    </w:p>
    <w:p w:rsidR="0067478A" w:rsidRPr="00C664D3" w:rsidRDefault="0067478A"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基金份额持有人可以办理A类美元份额、C类美元份额、C类人民币份额在该类份额的不同销售机构的转托管手续。基金销售机构可以按照其业务规则规定的标准收取转托管费。</w:t>
      </w:r>
    </w:p>
    <w:p w:rsidR="0067478A" w:rsidRPr="00C664D3" w:rsidRDefault="0067478A"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2、A类人民币基金份额</w:t>
      </w:r>
    </w:p>
    <w:p w:rsidR="0067478A" w:rsidRPr="00C664D3" w:rsidRDefault="0067478A"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（1）系统内转托管</w:t>
      </w:r>
    </w:p>
    <w:p w:rsidR="0067478A" w:rsidRPr="00C664D3" w:rsidRDefault="0067478A"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1）系统内转托管是指持有人将其持有的A类人民币基金份额在登记结算系统内不同销售机构（网点）之间或证券登记系统内不同会员单位（交易单元）之间进行转托管的行为。</w:t>
      </w:r>
    </w:p>
    <w:p w:rsidR="0067478A" w:rsidRPr="00C664D3" w:rsidRDefault="0067478A"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2）A类人民币基金份额登记在证券登记系统的基金份额持有人在变更办理场内赎回或上市交易的会员单位时，须办理已持有A类人民币基金份额的系统内转托管。</w:t>
      </w:r>
    </w:p>
    <w:p w:rsidR="0067478A" w:rsidRPr="00C664D3" w:rsidRDefault="0067478A"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3）A类人民币基金份额登记在登记结算系统的基金份额持有人在变更办理基金份额赎</w:t>
      </w:r>
      <w:r w:rsidRPr="00C664D3">
        <w:rPr>
          <w:rFonts w:asciiTheme="minorEastAsia" w:eastAsiaTheme="minorEastAsia" w:hAnsiTheme="minorEastAsia" w:hint="eastAsia"/>
          <w:color w:val="000000" w:themeColor="text1"/>
          <w:szCs w:val="21"/>
        </w:rPr>
        <w:lastRenderedPageBreak/>
        <w:t>回业务的销售机构（网点）时，须办理已持有A类人民币基金份额的系统内转托管。</w:t>
      </w:r>
    </w:p>
    <w:p w:rsidR="0067478A" w:rsidRPr="00C664D3" w:rsidRDefault="0067478A"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（2）跨系统转托管</w:t>
      </w:r>
    </w:p>
    <w:p w:rsidR="0067478A" w:rsidRPr="00C664D3" w:rsidRDefault="0067478A"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1）跨系统转托管是指基金份额持有人将持有的A类人民币基金份额在登记结算系统和证券登记系统之间进行转托管的行为。</w:t>
      </w:r>
    </w:p>
    <w:p w:rsidR="0067478A" w:rsidRPr="00C664D3" w:rsidRDefault="0067478A"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2）基金份额跨系统转托管的具体业务按照深圳证券交易所及登记结算机构的相关规定办理。</w:t>
      </w:r>
    </w:p>
    <w:p w:rsidR="0067478A" w:rsidRPr="00C664D3" w:rsidRDefault="0067478A"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3）除非基金管理人另行公告，本基金不支持基金份额持有人将持有的基金份额在中国证券登记结算有限责任公司的证券登记系统或登记结算系统与易方达基金管理有限公司注册登记系统之间进行转托管</w:t>
      </w:r>
    </w:p>
    <w:p w:rsidR="00A1091C" w:rsidRPr="00C664D3" w:rsidRDefault="0067478A" w:rsidP="0067478A">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（3）基金销售机构或登记结算机构有权对办理转托管业务收取相关费用。</w:t>
      </w:r>
    </w:p>
    <w:p w:rsidR="00243541" w:rsidRPr="00C664D3" w:rsidRDefault="00243541"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611" w:name="_Toc423335601"/>
      <w:r w:rsidRPr="00C664D3">
        <w:rPr>
          <w:rFonts w:asciiTheme="minorEastAsia" w:eastAsiaTheme="minorEastAsia" w:hAnsiTheme="minorEastAsia" w:hint="eastAsia"/>
          <w:b w:val="0"/>
          <w:bCs/>
          <w:color w:val="000000" w:themeColor="text1"/>
        </w:rPr>
        <w:t>基金份额的质押</w:t>
      </w:r>
      <w:bookmarkEnd w:id="611"/>
    </w:p>
    <w:p w:rsidR="00243541" w:rsidRPr="00C664D3" w:rsidRDefault="00733A9F"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在条件许可的情况下，基金登记结算机构可依据相关法律法规及其业务规则，办理基金份额质押业务，并可收取一定的手续费。</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612" w:name="_Toc423335602"/>
      <w:r w:rsidRPr="00C664D3">
        <w:rPr>
          <w:rFonts w:asciiTheme="minorEastAsia" w:eastAsiaTheme="minorEastAsia" w:hAnsiTheme="minorEastAsia"/>
          <w:b w:val="0"/>
          <w:bCs/>
          <w:color w:val="000000" w:themeColor="text1"/>
        </w:rPr>
        <w:t>定期定额投资计划</w:t>
      </w:r>
      <w:bookmarkEnd w:id="612"/>
    </w:p>
    <w:p w:rsidR="004F6190" w:rsidRPr="00C664D3" w:rsidRDefault="00BC4F3D"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bCs/>
          <w:color w:val="000000" w:themeColor="text1"/>
          <w:szCs w:val="21"/>
        </w:rPr>
        <w:t>本基金</w:t>
      </w:r>
      <w:r w:rsidR="00B40C68" w:rsidRPr="00C664D3">
        <w:rPr>
          <w:rFonts w:asciiTheme="minorEastAsia" w:eastAsiaTheme="minorEastAsia" w:hAnsiTheme="minorEastAsia" w:hint="eastAsia"/>
          <w:bCs/>
          <w:color w:val="000000" w:themeColor="text1"/>
          <w:szCs w:val="21"/>
        </w:rPr>
        <w:t>A类</w:t>
      </w:r>
      <w:r w:rsidRPr="00C664D3">
        <w:rPr>
          <w:rFonts w:asciiTheme="minorEastAsia" w:eastAsiaTheme="minorEastAsia" w:hAnsiTheme="minorEastAsia" w:hint="eastAsia"/>
          <w:bCs/>
          <w:color w:val="000000" w:themeColor="text1"/>
          <w:szCs w:val="21"/>
        </w:rPr>
        <w:t>人民币基金份额已于2016年12月</w:t>
      </w:r>
      <w:r w:rsidR="000B1417" w:rsidRPr="00C664D3">
        <w:rPr>
          <w:rFonts w:asciiTheme="minorEastAsia" w:eastAsiaTheme="minorEastAsia" w:hAnsiTheme="minorEastAsia" w:hint="eastAsia"/>
          <w:bCs/>
          <w:color w:val="000000" w:themeColor="text1"/>
          <w:szCs w:val="21"/>
        </w:rPr>
        <w:t>27</w:t>
      </w:r>
      <w:r w:rsidRPr="00C664D3">
        <w:rPr>
          <w:rFonts w:asciiTheme="minorEastAsia" w:eastAsiaTheme="minorEastAsia" w:hAnsiTheme="minorEastAsia" w:hint="eastAsia"/>
          <w:bCs/>
          <w:color w:val="000000" w:themeColor="text1"/>
          <w:szCs w:val="21"/>
        </w:rPr>
        <w:t>日开始办理定期定额投资计划业务，</w:t>
      </w:r>
      <w:r w:rsidR="009C589B" w:rsidRPr="00C664D3">
        <w:rPr>
          <w:rFonts w:asciiTheme="minorEastAsia" w:eastAsiaTheme="minorEastAsia" w:hAnsiTheme="minorEastAsia" w:hint="eastAsia"/>
          <w:bCs/>
          <w:color w:val="000000" w:themeColor="text1"/>
          <w:szCs w:val="21"/>
        </w:rPr>
        <w:t>本基金</w:t>
      </w:r>
      <w:r w:rsidR="00B40C68" w:rsidRPr="00C664D3">
        <w:rPr>
          <w:rFonts w:asciiTheme="minorEastAsia" w:eastAsiaTheme="minorEastAsia" w:hAnsiTheme="minorEastAsia" w:hint="eastAsia"/>
          <w:bCs/>
          <w:color w:val="000000" w:themeColor="text1"/>
          <w:szCs w:val="21"/>
        </w:rPr>
        <w:t>A类</w:t>
      </w:r>
      <w:r w:rsidR="009C589B" w:rsidRPr="00C664D3">
        <w:rPr>
          <w:rFonts w:asciiTheme="minorEastAsia" w:eastAsiaTheme="minorEastAsia" w:hAnsiTheme="minorEastAsia" w:hint="eastAsia"/>
          <w:bCs/>
          <w:color w:val="000000" w:themeColor="text1"/>
          <w:szCs w:val="21"/>
        </w:rPr>
        <w:t>美元基金份额已于2018年10月12日开始办理定期定额投资计划业务，</w:t>
      </w:r>
      <w:r w:rsidR="00B40C68" w:rsidRPr="00C664D3">
        <w:rPr>
          <w:rFonts w:asciiTheme="minorEastAsia" w:eastAsiaTheme="minorEastAsia" w:hAnsiTheme="minorEastAsia" w:hint="eastAsia"/>
          <w:bCs/>
          <w:color w:val="000000" w:themeColor="text1"/>
          <w:szCs w:val="21"/>
        </w:rPr>
        <w:t>本基金C类人民币基金份额、C类美元基金份额已于2021年7月21日开始办理定期定额投资计划业务，</w:t>
      </w:r>
      <w:r w:rsidRPr="00C664D3">
        <w:rPr>
          <w:rFonts w:asciiTheme="minorEastAsia" w:eastAsiaTheme="minorEastAsia" w:hAnsiTheme="minorEastAsia" w:hint="eastAsia"/>
          <w:bCs/>
          <w:color w:val="000000" w:themeColor="text1"/>
          <w:szCs w:val="21"/>
        </w:rPr>
        <w:t>具体实施办法参见相关公告。</w:t>
      </w:r>
    </w:p>
    <w:p w:rsidR="00A1091C" w:rsidRPr="00C664D3" w:rsidRDefault="00A1091C" w:rsidP="00AB77C1">
      <w:pPr>
        <w:pStyle w:val="2"/>
        <w:numPr>
          <w:ilvl w:val="0"/>
          <w:numId w:val="14"/>
        </w:numPr>
        <w:snapToGrid w:val="0"/>
        <w:spacing w:beforeLines="0" w:afterLines="0" w:line="360" w:lineRule="auto"/>
        <w:ind w:firstLineChars="0"/>
        <w:rPr>
          <w:rFonts w:asciiTheme="minorEastAsia" w:eastAsiaTheme="minorEastAsia" w:hAnsiTheme="minorEastAsia"/>
          <w:b w:val="0"/>
          <w:bCs/>
          <w:color w:val="000000" w:themeColor="text1"/>
        </w:rPr>
      </w:pPr>
      <w:bookmarkStart w:id="613" w:name="_Toc423335603"/>
      <w:r w:rsidRPr="00C664D3">
        <w:rPr>
          <w:rFonts w:asciiTheme="minorEastAsia" w:eastAsiaTheme="minorEastAsia" w:hAnsiTheme="minorEastAsia"/>
          <w:b w:val="0"/>
          <w:bCs/>
          <w:color w:val="000000" w:themeColor="text1"/>
        </w:rPr>
        <w:t>基金的非交易过户</w:t>
      </w:r>
      <w:bookmarkEnd w:id="613"/>
    </w:p>
    <w:p w:rsidR="00587577" w:rsidRPr="00C664D3" w:rsidRDefault="00587577"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基金的非交易过户是指基金登记结算机构受理继承、捐赠和司法强制执行</w:t>
      </w:r>
      <w:r w:rsidRPr="00C664D3">
        <w:rPr>
          <w:rFonts w:asciiTheme="minorEastAsia" w:eastAsiaTheme="minorEastAsia" w:hAnsiTheme="minorEastAsia" w:hint="eastAsia"/>
          <w:color w:val="000000" w:themeColor="text1"/>
          <w:szCs w:val="21"/>
        </w:rPr>
        <w:t>等情形</w:t>
      </w:r>
      <w:r w:rsidRPr="00C664D3">
        <w:rPr>
          <w:rFonts w:asciiTheme="minorEastAsia" w:eastAsiaTheme="minorEastAsia" w:hAnsiTheme="minorEastAsia"/>
          <w:color w:val="000000" w:themeColor="text1"/>
          <w:szCs w:val="21"/>
        </w:rPr>
        <w:t>而产生的非交易过户以及登记结算机构认可、符合法律法规的其它非交易过户。无论在上述何种情况下，接受划转的主体必须是依法可以持有本基金基金份额的投资人。</w:t>
      </w:r>
    </w:p>
    <w:p w:rsidR="00A1091C" w:rsidRPr="00C664D3" w:rsidRDefault="00587577"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rsidR="00A1091C" w:rsidRPr="00C664D3" w:rsidRDefault="00A1091C" w:rsidP="00AB77C1">
      <w:pPr>
        <w:pStyle w:val="2"/>
        <w:numPr>
          <w:ilvl w:val="0"/>
          <w:numId w:val="14"/>
        </w:numPr>
        <w:snapToGrid w:val="0"/>
        <w:spacing w:beforeLines="0" w:afterLines="0" w:line="360" w:lineRule="auto"/>
        <w:ind w:left="420" w:firstLineChars="0" w:firstLine="0"/>
        <w:rPr>
          <w:rFonts w:asciiTheme="minorEastAsia" w:eastAsiaTheme="minorEastAsia" w:hAnsiTheme="minorEastAsia"/>
          <w:b w:val="0"/>
          <w:bCs/>
          <w:color w:val="000000" w:themeColor="text1"/>
        </w:rPr>
      </w:pPr>
      <w:bookmarkStart w:id="614" w:name="_Toc423335604"/>
      <w:r w:rsidRPr="00C664D3">
        <w:rPr>
          <w:rFonts w:asciiTheme="minorEastAsia" w:eastAsiaTheme="minorEastAsia" w:hAnsiTheme="minorEastAsia"/>
          <w:b w:val="0"/>
          <w:bCs/>
          <w:color w:val="000000" w:themeColor="text1"/>
        </w:rPr>
        <w:lastRenderedPageBreak/>
        <w:t>基金的冻结与解冻</w:t>
      </w:r>
      <w:bookmarkEnd w:id="614"/>
    </w:p>
    <w:p w:rsidR="00243541" w:rsidRPr="00C664D3" w:rsidRDefault="00587577"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基金登记结算机构只受理国家有权机关依法要求的基金份额的冻结与解冻，以及登记结算机构认可、符合法律法规的其他情况下的冻结与解冻。</w:t>
      </w:r>
    </w:p>
    <w:p w:rsidR="00243541" w:rsidRPr="00C664D3" w:rsidRDefault="00243541" w:rsidP="00AB77C1">
      <w:pPr>
        <w:pStyle w:val="2"/>
        <w:numPr>
          <w:ilvl w:val="0"/>
          <w:numId w:val="14"/>
        </w:numPr>
        <w:snapToGrid w:val="0"/>
        <w:spacing w:beforeLines="0" w:afterLines="0" w:line="360" w:lineRule="auto"/>
        <w:ind w:left="420" w:firstLineChars="0" w:firstLine="0"/>
        <w:rPr>
          <w:rFonts w:asciiTheme="minorEastAsia" w:eastAsiaTheme="minorEastAsia" w:hAnsiTheme="minorEastAsia"/>
          <w:b w:val="0"/>
          <w:bCs/>
          <w:color w:val="000000" w:themeColor="text1"/>
        </w:rPr>
      </w:pPr>
      <w:bookmarkStart w:id="615" w:name="_Toc423335605"/>
      <w:r w:rsidRPr="00C664D3">
        <w:rPr>
          <w:rFonts w:asciiTheme="minorEastAsia" w:eastAsiaTheme="minorEastAsia" w:hAnsiTheme="minorEastAsia" w:hint="eastAsia"/>
          <w:b w:val="0"/>
          <w:bCs/>
          <w:color w:val="000000" w:themeColor="text1"/>
        </w:rPr>
        <w:t>基金份额折算</w:t>
      </w:r>
      <w:bookmarkEnd w:id="615"/>
    </w:p>
    <w:p w:rsidR="00A1091C" w:rsidRPr="00C664D3" w:rsidRDefault="00587577" w:rsidP="00AB77C1">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在对基金份额持有人利益无实质不利影响的前提下，基金管理人经与基金托管人协商一致，可对基金份额进行折算，不需召开基金份额持有人大会审议。</w:t>
      </w:r>
    </w:p>
    <w:p w:rsidR="00A1091C" w:rsidRPr="00C664D3" w:rsidRDefault="00A1091C" w:rsidP="00AB77C1">
      <w:pPr>
        <w:pStyle w:val="2"/>
        <w:numPr>
          <w:ilvl w:val="0"/>
          <w:numId w:val="14"/>
        </w:numPr>
        <w:snapToGrid w:val="0"/>
        <w:spacing w:beforeLines="0" w:afterLines="0" w:line="360" w:lineRule="auto"/>
        <w:ind w:left="420" w:firstLineChars="0" w:firstLine="0"/>
        <w:rPr>
          <w:rFonts w:asciiTheme="minorEastAsia" w:eastAsiaTheme="minorEastAsia" w:hAnsiTheme="minorEastAsia"/>
          <w:b w:val="0"/>
          <w:bCs/>
          <w:color w:val="000000" w:themeColor="text1"/>
        </w:rPr>
      </w:pPr>
      <w:bookmarkStart w:id="616" w:name="_Toc423335606"/>
      <w:r w:rsidRPr="00C664D3">
        <w:rPr>
          <w:rFonts w:asciiTheme="minorEastAsia" w:eastAsiaTheme="minorEastAsia" w:hAnsiTheme="minorEastAsia"/>
          <w:b w:val="0"/>
          <w:bCs/>
          <w:color w:val="000000" w:themeColor="text1"/>
        </w:rPr>
        <w:t>其他</w:t>
      </w:r>
      <w:bookmarkEnd w:id="616"/>
    </w:p>
    <w:p w:rsidR="00A1091C" w:rsidRPr="00C664D3" w:rsidRDefault="00243541"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可在相关法律法规允许、相应技术条件成熟的情况下，开通多币种的申购、赎回业务，不同币种的申购、赎回价格以受理申请当日的对应币种折算净值为基准计算。多币种的申购、赎回业务细则以基金管理人的相关公告为准。</w:t>
      </w: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617" w:name="_Toc83904205"/>
      <w:bookmarkStart w:id="618" w:name="_Toc91334992"/>
      <w:r w:rsidRPr="00C664D3">
        <w:rPr>
          <w:rFonts w:asciiTheme="minorEastAsia" w:eastAsiaTheme="minorEastAsia" w:hAnsiTheme="minorEastAsia"/>
          <w:color w:val="000000" w:themeColor="text1"/>
        </w:rPr>
        <w:lastRenderedPageBreak/>
        <w:t>基金的费用与税收</w:t>
      </w:r>
      <w:bookmarkEnd w:id="617"/>
    </w:p>
    <w:p w:rsidR="00E42969" w:rsidRPr="00C664D3" w:rsidRDefault="00E42969" w:rsidP="00AB77C1">
      <w:pPr>
        <w:pStyle w:val="2"/>
        <w:numPr>
          <w:ilvl w:val="1"/>
          <w:numId w:val="5"/>
        </w:numPr>
        <w:spacing w:beforeLines="0" w:afterLines="0" w:line="360" w:lineRule="auto"/>
        <w:ind w:firstLineChars="0"/>
        <w:rPr>
          <w:rFonts w:asciiTheme="minorEastAsia" w:eastAsiaTheme="minorEastAsia" w:hAnsiTheme="minorEastAsia"/>
          <w:b w:val="0"/>
          <w:color w:val="000000" w:themeColor="text1"/>
        </w:rPr>
      </w:pPr>
      <w:bookmarkStart w:id="619" w:name="_Toc423335608"/>
      <w:r w:rsidRPr="00C664D3">
        <w:rPr>
          <w:rFonts w:asciiTheme="minorEastAsia" w:eastAsiaTheme="minorEastAsia" w:hAnsiTheme="minorEastAsia"/>
          <w:b w:val="0"/>
          <w:color w:val="000000" w:themeColor="text1"/>
        </w:rPr>
        <w:t>基金费用的种类</w:t>
      </w:r>
      <w:bookmarkEnd w:id="619"/>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1、基金管理人的管理费（包括基金管理人委托的境外投资顾问所收取的费用）；</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2、基金托管人的托管费，含境外托管人的托管费；</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3、销售服务费；</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4、基金的指数许可使用费与指数数据费；</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5、因基金的证券交易或结算而产生的费用（包括但不限于在境外市场开户、交易、清算、登记等各项费用以及为了加快清算向券商支付的费用）；</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6、《基金合同》生效后与基金相关的信息披露费用；</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7、《基金合同》生效后与基金相关的会计师费、律师费、诉讼费和仲裁费；</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8、基金份额持有人大会费用；</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9、为应付赎回和交易清算而进行临时借款所发生的费用（基金托管人及境外托管人垫付资金所产生的合理费用）</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10、基金的证券交易费用；</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11、基金的银行汇划费用和外汇兑换交易的相关费用；</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12、证券账户开户费用、相关账户维护费用；</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13、除去基金管理人和基金托管人因自身原因而导致的更换基金管理人、更换基金托管人及基金资产由原任基金托管人转移至新任基金托管人以及由于境外托管人更换导致基金资产转移所引起的费用；</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14、基金依照有关法律法规应当缴纳的、购买或处置证券有关的任何税收、征费、关税、印花税、交易及其他税收及预扣提税（以及与前述各项有关的任何利息、罚金及费用）以及相关手续费、汇款费、基金的税务代理费等；</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15、为了基金利益，除去基金管理人和基金托管人因自身原因而导致的、与基金有关的诉讼、仲裁、追索费用；</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16、基金上市初费和基金上市月费；</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17、按照国家有关规定和《基金合同》约定，可以在基金财产中列支的其他费用。</w:t>
      </w:r>
    </w:p>
    <w:p w:rsidR="00E42969"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本基金终止清算时所发生费用，按实际支出额从基金资产总值中扣除。</w:t>
      </w:r>
    </w:p>
    <w:p w:rsidR="00E42969" w:rsidRPr="00C664D3" w:rsidRDefault="00E42969" w:rsidP="00AB77C1">
      <w:pPr>
        <w:pStyle w:val="2"/>
        <w:numPr>
          <w:ilvl w:val="1"/>
          <w:numId w:val="5"/>
        </w:numPr>
        <w:spacing w:beforeLines="0" w:afterLines="0" w:line="360" w:lineRule="auto"/>
        <w:ind w:firstLineChars="0"/>
        <w:rPr>
          <w:rFonts w:asciiTheme="minorEastAsia" w:eastAsiaTheme="minorEastAsia" w:hAnsiTheme="minorEastAsia"/>
          <w:b w:val="0"/>
          <w:color w:val="000000" w:themeColor="text1"/>
        </w:rPr>
      </w:pPr>
      <w:bookmarkStart w:id="620" w:name="_Toc423335609"/>
      <w:r w:rsidRPr="00C664D3">
        <w:rPr>
          <w:rFonts w:asciiTheme="minorEastAsia" w:eastAsiaTheme="minorEastAsia" w:hAnsiTheme="minorEastAsia"/>
          <w:b w:val="0"/>
          <w:color w:val="000000" w:themeColor="text1"/>
        </w:rPr>
        <w:t>基金费用计提方法、计提标准和支付方式</w:t>
      </w:r>
      <w:bookmarkEnd w:id="620"/>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1、基金管理人的管理费</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本基金的管理费按前一日基金资产净值的</w:t>
      </w:r>
      <w:r w:rsidRPr="00C664D3">
        <w:rPr>
          <w:rFonts w:asciiTheme="minorEastAsia" w:eastAsiaTheme="minorEastAsia" w:hAnsiTheme="minorEastAsia" w:hint="eastAsia"/>
          <w:color w:val="000000" w:themeColor="text1"/>
        </w:rPr>
        <w:t>0.80</w:t>
      </w:r>
      <w:r w:rsidRPr="00C664D3">
        <w:rPr>
          <w:rFonts w:asciiTheme="minorEastAsia" w:eastAsiaTheme="minorEastAsia" w:hAnsiTheme="minorEastAsia"/>
          <w:color w:val="000000" w:themeColor="text1"/>
        </w:rPr>
        <w:t>%年费率计提。管理费的计算方法如下：</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H＝E×</w:t>
      </w:r>
      <w:r w:rsidRPr="00C664D3">
        <w:rPr>
          <w:rFonts w:asciiTheme="minorEastAsia" w:eastAsiaTheme="minorEastAsia" w:hAnsiTheme="minorEastAsia" w:hint="eastAsia"/>
          <w:color w:val="000000" w:themeColor="text1"/>
        </w:rPr>
        <w:t>0.80</w:t>
      </w:r>
      <w:r w:rsidRPr="00C664D3">
        <w:rPr>
          <w:rFonts w:asciiTheme="minorEastAsia" w:eastAsiaTheme="minorEastAsia" w:hAnsiTheme="minorEastAsia"/>
          <w:color w:val="000000" w:themeColor="text1"/>
        </w:rPr>
        <w:t>%÷当年天数</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H为每日应计提的基金管理费</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E为前一日的基金资产净值</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支付日期顺延。</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2、基金托管人的托管费</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本基金的托管费按前一日基金资产净值的</w:t>
      </w:r>
      <w:r w:rsidRPr="00C664D3">
        <w:rPr>
          <w:rFonts w:asciiTheme="minorEastAsia" w:eastAsiaTheme="minorEastAsia" w:hAnsiTheme="minorEastAsia" w:hint="eastAsia"/>
          <w:color w:val="000000" w:themeColor="text1"/>
        </w:rPr>
        <w:t>0.25</w:t>
      </w:r>
      <w:r w:rsidRPr="00C664D3">
        <w:rPr>
          <w:rFonts w:asciiTheme="minorEastAsia" w:eastAsiaTheme="minorEastAsia" w:hAnsiTheme="minorEastAsia"/>
          <w:color w:val="000000" w:themeColor="text1"/>
        </w:rPr>
        <w:t>%的年费率计提。托管费的计算方法如下：</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H＝E×</w:t>
      </w:r>
      <w:r w:rsidRPr="00C664D3">
        <w:rPr>
          <w:rFonts w:asciiTheme="minorEastAsia" w:eastAsiaTheme="minorEastAsia" w:hAnsiTheme="minorEastAsia" w:hint="eastAsia"/>
          <w:color w:val="000000" w:themeColor="text1"/>
        </w:rPr>
        <w:t>0.25</w:t>
      </w:r>
      <w:r w:rsidRPr="00C664D3">
        <w:rPr>
          <w:rFonts w:asciiTheme="minorEastAsia" w:eastAsiaTheme="minorEastAsia" w:hAnsiTheme="minorEastAsia"/>
          <w:color w:val="000000" w:themeColor="text1"/>
        </w:rPr>
        <w:t>%÷当年天数</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H为每日应计提的基金托管费</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E为前一日的基金资产净值</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支付日期顺延。</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3、销售服务费</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本基金A类基金份额不收取销售服务费，C类基金份额的销售服务费年费率为0.35%，按前一日 C 类基金资产净值的 0.35%年费率计提。销售服务费计算方法如下：</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H＝E×0.35%÷当年天数</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H为C类基金份额每日应计提的销售服务费</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E为C类基金份额前一日基金资产净值</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销售服务费每日计提，逐日累计至每个月月末，按月支付。由基金管理人向基金托管人发送基金销售服务费划付指令，经基金托管人复核后于次月首日起3个工作日内从基金财产中一次性支付，由基金管理人代收，基金管理人收到后支付给基金销售机构。若遇法定节假日、休息日或不可抗力致使无法按时支付的，支付日期顺延。</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4、基金的指数许可使用费与指数数据费</w:t>
      </w:r>
    </w:p>
    <w:p w:rsidR="00CF56AB" w:rsidRPr="00C664D3" w:rsidRDefault="00CF56AB" w:rsidP="00CF56A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本基金按照基金管理人与标的指数许可方所签订的指数使用许可协议中所规定的指数许可使用费计提方法，按前一日基金资产净值每日计提标的指数许可使用费。具体计算方法如下：</w:t>
      </w:r>
    </w:p>
    <w:p w:rsidR="00CF56AB" w:rsidRPr="00C664D3" w:rsidRDefault="00CF56AB" w:rsidP="00CF56A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H=E×0.05%÷当年天数</w:t>
      </w:r>
    </w:p>
    <w:p w:rsidR="00CF56AB" w:rsidRPr="00C664D3" w:rsidRDefault="00CF56AB" w:rsidP="00CF56A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H为每日应付的指数许可使用费</w:t>
      </w:r>
    </w:p>
    <w:p w:rsidR="00CF56AB" w:rsidRPr="00C664D3" w:rsidRDefault="00CF56AB" w:rsidP="00CF56A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E为本基金前一日基金资产净值</w:t>
      </w:r>
    </w:p>
    <w:p w:rsidR="00CF56AB" w:rsidRPr="00C664D3" w:rsidRDefault="00CF56AB" w:rsidP="00CF56A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若一个季度累计计提指数许可使用费金额小于指数使用许可协议规定的费用下限，则基金于季度末最后一日补提指数使用费至指数使用许可协议规定的费用下限。指数许可使用费收取下限为每季度</w:t>
      </w:r>
      <w:r w:rsidRPr="00C664D3">
        <w:rPr>
          <w:rFonts w:asciiTheme="minorEastAsia" w:eastAsiaTheme="minorEastAsia" w:hAnsiTheme="minorEastAsia"/>
          <w:color w:val="000000" w:themeColor="text1"/>
        </w:rPr>
        <w:t>7,500美元或等值人民币，即不足7,500美元时按照7,500美元收取。</w:t>
      </w:r>
    </w:p>
    <w:p w:rsidR="00977D71" w:rsidRPr="00C664D3" w:rsidRDefault="00CF56AB" w:rsidP="00CF56A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指数许可使用费每日计提，按年支付。经基金管理人和基金托管人核对一致后，从基金财产中一次性支付给基金管理人，由基金管理人根据指数使用许可协议所规定的方式支付给标的指数许可方。</w:t>
      </w:r>
    </w:p>
    <w:p w:rsidR="00977D71" w:rsidRPr="00C664D3" w:rsidRDefault="00977D71" w:rsidP="00977D7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如果指数使用许可协议约定的标的指数使用相关费用的计算方法、费率和支付方式等发生调整，本基金将采用调整后的方法或费率计算标的指数使用相关 费用。基金管理人将在招募说明书更新或其他公告中披露本基金最新适用的方法，此项调整无须召开基金份额持有人大会审议。</w:t>
      </w:r>
    </w:p>
    <w:p w:rsidR="00E42969" w:rsidRPr="00C664D3" w:rsidRDefault="00977D71"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上述“一、基金费用的种类中第5－17项费用”，根据有关法规及相应协议规定，按费用实际支出金额列入当期费用，由基金托管人从基金财产中支付</w:t>
      </w:r>
      <w:r w:rsidR="00DF56A0" w:rsidRPr="00C664D3">
        <w:rPr>
          <w:rFonts w:asciiTheme="minorEastAsia" w:eastAsiaTheme="minorEastAsia" w:hAnsiTheme="minorEastAsia"/>
          <w:color w:val="000000" w:themeColor="text1"/>
        </w:rPr>
        <w:t>。</w:t>
      </w:r>
    </w:p>
    <w:p w:rsidR="00E42969" w:rsidRPr="00C664D3" w:rsidRDefault="00E42969" w:rsidP="00AB77C1">
      <w:pPr>
        <w:pStyle w:val="2"/>
        <w:numPr>
          <w:ilvl w:val="1"/>
          <w:numId w:val="5"/>
        </w:numPr>
        <w:spacing w:beforeLines="0" w:afterLines="0" w:line="360" w:lineRule="auto"/>
        <w:ind w:firstLineChars="0"/>
        <w:rPr>
          <w:rFonts w:asciiTheme="minorEastAsia" w:eastAsiaTheme="minorEastAsia" w:hAnsiTheme="minorEastAsia"/>
          <w:b w:val="0"/>
          <w:color w:val="000000" w:themeColor="text1"/>
        </w:rPr>
      </w:pPr>
      <w:bookmarkStart w:id="621" w:name="_Toc423335619"/>
      <w:r w:rsidRPr="00C664D3">
        <w:rPr>
          <w:rFonts w:asciiTheme="minorEastAsia" w:eastAsiaTheme="minorEastAsia" w:hAnsiTheme="minorEastAsia"/>
          <w:b w:val="0"/>
          <w:color w:val="000000" w:themeColor="text1"/>
        </w:rPr>
        <w:t>不列入基金费用的项目</w:t>
      </w:r>
      <w:bookmarkEnd w:id="621"/>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下列费用不列入基金费用：</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1、基金管理人和基金托管人因未履行或未完全履行义务导致的费用支出或基金财产的损失；</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2、基金管理人和基金托管人处理与基金运作无关的事项发生的费用；</w:t>
      </w:r>
    </w:p>
    <w:p w:rsidR="00DF56A0"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3、《基金合同》生效前的相关费用；</w:t>
      </w:r>
    </w:p>
    <w:p w:rsidR="00E42969" w:rsidRPr="00C664D3" w:rsidRDefault="00DF56A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4、其他根据相关法律法规及中国证监会的有关规定不得列入基金费用的项目。</w:t>
      </w:r>
      <w:bookmarkStart w:id="622" w:name="_Hlt88827255"/>
      <w:bookmarkEnd w:id="622"/>
    </w:p>
    <w:p w:rsidR="0080387A" w:rsidRPr="00C664D3" w:rsidRDefault="0080387A" w:rsidP="00AB77C1">
      <w:pPr>
        <w:pStyle w:val="2"/>
        <w:numPr>
          <w:ilvl w:val="1"/>
          <w:numId w:val="5"/>
        </w:numPr>
        <w:spacing w:beforeLines="0" w:afterLines="0" w:line="360" w:lineRule="auto"/>
        <w:ind w:firstLineChars="0"/>
        <w:rPr>
          <w:rFonts w:asciiTheme="minorEastAsia" w:eastAsiaTheme="minorEastAsia" w:hAnsiTheme="minorEastAsia"/>
          <w:b w:val="0"/>
          <w:bCs/>
          <w:color w:val="000000" w:themeColor="text1"/>
          <w:szCs w:val="21"/>
        </w:rPr>
      </w:pPr>
      <w:bookmarkStart w:id="623" w:name="_Toc481141488"/>
      <w:r w:rsidRPr="00C664D3">
        <w:rPr>
          <w:rFonts w:asciiTheme="minorEastAsia" w:eastAsiaTheme="minorEastAsia" w:hAnsiTheme="minorEastAsia" w:hint="eastAsia"/>
          <w:b w:val="0"/>
          <w:color w:val="000000" w:themeColor="text1"/>
        </w:rPr>
        <w:t>与基金销售有关的费用</w:t>
      </w:r>
      <w:bookmarkEnd w:id="623"/>
    </w:p>
    <w:p w:rsidR="0080387A" w:rsidRPr="00C664D3" w:rsidRDefault="0080387A"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Pr="00C664D3">
        <w:rPr>
          <w:rFonts w:asciiTheme="minorEastAsia" w:eastAsiaTheme="minorEastAsia" w:hAnsiTheme="minorEastAsia"/>
          <w:color w:val="000000" w:themeColor="text1"/>
        </w:rPr>
        <w:t>本基金申购费、赎回费的费率水平、计算公式、收取方式和使用方式请详见本招募说明书</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第</w:t>
      </w:r>
      <w:r w:rsidRPr="00C664D3">
        <w:rPr>
          <w:rFonts w:asciiTheme="minorEastAsia" w:eastAsiaTheme="minorEastAsia" w:hAnsiTheme="minorEastAsia" w:hint="eastAsia"/>
          <w:color w:val="000000" w:themeColor="text1"/>
        </w:rPr>
        <w:t>十一</w:t>
      </w:r>
      <w:r w:rsidRPr="00C664D3">
        <w:rPr>
          <w:rFonts w:asciiTheme="minorEastAsia" w:eastAsiaTheme="minorEastAsia" w:hAnsiTheme="minorEastAsia"/>
          <w:color w:val="000000" w:themeColor="text1"/>
        </w:rPr>
        <w:t>节基金份额的申购、赎回</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中的</w:t>
      </w:r>
      <w:r w:rsidRPr="00C664D3">
        <w:rPr>
          <w:rFonts w:asciiTheme="minorEastAsia" w:eastAsiaTheme="minorEastAsia" w:hAnsiTheme="minorEastAsia" w:hint="eastAsia"/>
          <w:color w:val="000000" w:themeColor="text1"/>
        </w:rPr>
        <w:t>“六</w:t>
      </w:r>
      <w:r w:rsidRPr="00C664D3">
        <w:rPr>
          <w:rFonts w:asciiTheme="minorEastAsia" w:eastAsiaTheme="minorEastAsia" w:hAnsiTheme="minorEastAsia"/>
          <w:color w:val="000000" w:themeColor="text1"/>
        </w:rPr>
        <w:t>、申购与赎回的费率</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与</w:t>
      </w:r>
      <w:r w:rsidRPr="00C664D3">
        <w:rPr>
          <w:rFonts w:asciiTheme="minorEastAsia" w:eastAsiaTheme="minorEastAsia" w:hAnsiTheme="minorEastAsia" w:hint="eastAsia"/>
          <w:color w:val="000000" w:themeColor="text1"/>
        </w:rPr>
        <w:t>“七</w:t>
      </w:r>
      <w:r w:rsidRPr="00C664D3">
        <w:rPr>
          <w:rFonts w:asciiTheme="minorEastAsia" w:eastAsiaTheme="minorEastAsia" w:hAnsiTheme="minorEastAsia"/>
          <w:color w:val="000000" w:themeColor="text1"/>
        </w:rPr>
        <w:t>、申购份额与赎回金额的计算</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中的相关规定。</w:t>
      </w:r>
    </w:p>
    <w:p w:rsidR="00BB5583" w:rsidRPr="00C664D3" w:rsidRDefault="0080387A"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szCs w:val="21"/>
        </w:rPr>
        <w:t>2</w:t>
      </w:r>
      <w:r w:rsidRPr="00C664D3">
        <w:rPr>
          <w:rFonts w:asciiTheme="minorEastAsia" w:eastAsiaTheme="minorEastAsia" w:hAnsiTheme="minorEastAsia"/>
          <w:color w:val="000000" w:themeColor="text1"/>
          <w:szCs w:val="21"/>
        </w:rPr>
        <w:t>、</w:t>
      </w:r>
      <w:r w:rsidR="00BB5583" w:rsidRPr="00C664D3">
        <w:rPr>
          <w:rFonts w:asciiTheme="minorEastAsia" w:eastAsiaTheme="minorEastAsia" w:hAnsiTheme="minorEastAsia" w:hint="eastAsia"/>
          <w:color w:val="000000" w:themeColor="text1"/>
        </w:rPr>
        <w:t>投资者通过本公司网上交易系统（</w:t>
      </w:r>
      <w:r w:rsidR="00BB5583" w:rsidRPr="00C664D3">
        <w:rPr>
          <w:rFonts w:asciiTheme="minorEastAsia" w:eastAsiaTheme="minorEastAsia" w:hAnsiTheme="minorEastAsia"/>
          <w:color w:val="000000" w:themeColor="text1"/>
        </w:rPr>
        <w:t>www.efunds.com.cn</w:t>
      </w:r>
      <w:r w:rsidR="00BB5583" w:rsidRPr="00C664D3">
        <w:rPr>
          <w:rFonts w:asciiTheme="minorEastAsia" w:eastAsiaTheme="minorEastAsia" w:hAnsiTheme="minorEastAsia" w:hint="eastAsia"/>
          <w:color w:val="000000" w:themeColor="text1"/>
        </w:rPr>
        <w:t>）进行申购、赎回的交易费率，请具体参照我公司网站上的相关说明。</w:t>
      </w:r>
    </w:p>
    <w:p w:rsidR="0080387A" w:rsidRPr="00C664D3" w:rsidRDefault="00BB5583"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w:t>
      </w:r>
      <w:r w:rsidRPr="00C664D3">
        <w:rPr>
          <w:rFonts w:asciiTheme="minorEastAsia" w:eastAsiaTheme="minorEastAsia" w:hAnsiTheme="minorEastAsia" w:hint="eastAsia"/>
          <w:color w:val="000000" w:themeColor="text1"/>
        </w:rPr>
        <w:t>、</w:t>
      </w:r>
      <w:r w:rsidR="0080387A" w:rsidRPr="00C664D3">
        <w:rPr>
          <w:rFonts w:asciiTheme="minorEastAsia" w:eastAsiaTheme="minorEastAsia" w:hAnsiTheme="minorEastAsia" w:hint="eastAsia"/>
          <w:color w:val="000000" w:themeColor="text1"/>
        </w:rPr>
        <w:t>基金管理人可以在基金合同约定的范围内调整费率或收费方式，并最迟应于新的费率或收费方式实施前依照《信息披露办法》的有关规定在指定媒介上公告。</w:t>
      </w:r>
    </w:p>
    <w:p w:rsidR="00942587" w:rsidRPr="00C664D3" w:rsidRDefault="0080387A"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lastRenderedPageBreak/>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E42969" w:rsidRPr="00C664D3" w:rsidRDefault="00E42969" w:rsidP="00AB77C1">
      <w:pPr>
        <w:pStyle w:val="2"/>
        <w:numPr>
          <w:ilvl w:val="1"/>
          <w:numId w:val="5"/>
        </w:numPr>
        <w:spacing w:beforeLines="0" w:afterLines="0" w:line="360" w:lineRule="auto"/>
        <w:ind w:firstLineChars="0"/>
        <w:rPr>
          <w:rFonts w:asciiTheme="minorEastAsia" w:eastAsiaTheme="minorEastAsia" w:hAnsiTheme="minorEastAsia"/>
          <w:b w:val="0"/>
          <w:color w:val="000000" w:themeColor="text1"/>
        </w:rPr>
      </w:pPr>
      <w:bookmarkStart w:id="624" w:name="_Toc423335620"/>
      <w:r w:rsidRPr="00C664D3">
        <w:rPr>
          <w:rFonts w:asciiTheme="minorEastAsia" w:eastAsiaTheme="minorEastAsia" w:hAnsiTheme="minorEastAsia"/>
          <w:b w:val="0"/>
          <w:color w:val="000000" w:themeColor="text1"/>
        </w:rPr>
        <w:t>基金税收</w:t>
      </w:r>
      <w:bookmarkEnd w:id="624"/>
    </w:p>
    <w:p w:rsidR="00A1091C" w:rsidRPr="00C664D3" w:rsidRDefault="00FF3908"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本基金运作过程中涉及的各纳税主体，其纳税义务按国家税收法律、法规执行。</w:t>
      </w:r>
      <w:bookmarkEnd w:id="618"/>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625" w:name="_Toc83904206"/>
      <w:r w:rsidRPr="00C664D3">
        <w:rPr>
          <w:rFonts w:asciiTheme="minorEastAsia" w:eastAsiaTheme="minorEastAsia" w:hAnsiTheme="minorEastAsia"/>
          <w:color w:val="000000" w:themeColor="text1"/>
        </w:rPr>
        <w:lastRenderedPageBreak/>
        <w:t>基金的财产</w:t>
      </w:r>
      <w:bookmarkEnd w:id="625"/>
    </w:p>
    <w:p w:rsidR="00A1091C" w:rsidRPr="00C664D3" w:rsidRDefault="00A1091C" w:rsidP="00AB77C1">
      <w:pPr>
        <w:pStyle w:val="2"/>
        <w:numPr>
          <w:ilvl w:val="0"/>
          <w:numId w:val="6"/>
        </w:numPr>
        <w:spacing w:beforeLines="0" w:afterLines="0" w:line="360" w:lineRule="auto"/>
        <w:ind w:firstLineChars="0"/>
        <w:rPr>
          <w:rFonts w:asciiTheme="minorEastAsia" w:eastAsiaTheme="minorEastAsia" w:hAnsiTheme="minorEastAsia"/>
          <w:b w:val="0"/>
          <w:color w:val="000000" w:themeColor="text1"/>
        </w:rPr>
      </w:pPr>
      <w:bookmarkStart w:id="626" w:name="_Toc423335622"/>
      <w:r w:rsidRPr="00C664D3">
        <w:rPr>
          <w:rFonts w:asciiTheme="minorEastAsia" w:eastAsiaTheme="minorEastAsia" w:hAnsiTheme="minorEastAsia"/>
          <w:b w:val="0"/>
          <w:color w:val="000000" w:themeColor="text1"/>
        </w:rPr>
        <w:t>基金资产总值</w:t>
      </w:r>
      <w:bookmarkEnd w:id="626"/>
    </w:p>
    <w:p w:rsidR="00A1091C" w:rsidRPr="00C664D3" w:rsidRDefault="004D33AF" w:rsidP="00AB77C1">
      <w:pPr>
        <w:spacing w:line="360" w:lineRule="auto"/>
        <w:ind w:firstLineChars="200" w:firstLine="420"/>
        <w:rPr>
          <w:rFonts w:asciiTheme="minorEastAsia" w:eastAsiaTheme="minorEastAsia" w:hAnsiTheme="minorEastAsia"/>
          <w:color w:val="000000" w:themeColor="text1"/>
        </w:rPr>
      </w:pPr>
      <w:bookmarkStart w:id="627" w:name="_Toc79392635"/>
      <w:bookmarkStart w:id="628" w:name="_Toc79556449"/>
      <w:r w:rsidRPr="00C664D3">
        <w:rPr>
          <w:rFonts w:asciiTheme="minorEastAsia" w:eastAsiaTheme="minorEastAsia" w:hAnsiTheme="minorEastAsia"/>
          <w:color w:val="000000" w:themeColor="text1"/>
        </w:rPr>
        <w:t>基金资产总值是指购买的各类证券及票据价值、银行存款本息和基金应收的申购基金款以及其他投资所形成的价值总和。</w:t>
      </w:r>
      <w:bookmarkEnd w:id="627"/>
      <w:bookmarkEnd w:id="628"/>
    </w:p>
    <w:p w:rsidR="00A1091C" w:rsidRPr="00C664D3" w:rsidRDefault="00A1091C" w:rsidP="00AB77C1">
      <w:pPr>
        <w:pStyle w:val="2"/>
        <w:numPr>
          <w:ilvl w:val="0"/>
          <w:numId w:val="6"/>
        </w:numPr>
        <w:spacing w:beforeLines="0" w:afterLines="0" w:line="360" w:lineRule="auto"/>
        <w:ind w:firstLineChars="0"/>
        <w:rPr>
          <w:rFonts w:asciiTheme="minorEastAsia" w:eastAsiaTheme="minorEastAsia" w:hAnsiTheme="minorEastAsia"/>
          <w:b w:val="0"/>
          <w:color w:val="000000" w:themeColor="text1"/>
        </w:rPr>
      </w:pPr>
      <w:bookmarkStart w:id="629" w:name="_Toc423335623"/>
      <w:r w:rsidRPr="00C664D3">
        <w:rPr>
          <w:rFonts w:asciiTheme="minorEastAsia" w:eastAsiaTheme="minorEastAsia" w:hAnsiTheme="minorEastAsia"/>
          <w:b w:val="0"/>
          <w:color w:val="000000" w:themeColor="text1"/>
        </w:rPr>
        <w:t>基金资产净值</w:t>
      </w:r>
      <w:bookmarkEnd w:id="629"/>
    </w:p>
    <w:p w:rsidR="00A1091C" w:rsidRPr="00C664D3" w:rsidRDefault="004D33A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基金资产净值是指基金资产总值减去基金负债后的价值。</w:t>
      </w:r>
    </w:p>
    <w:p w:rsidR="00A1091C" w:rsidRPr="00C664D3" w:rsidRDefault="00A1091C" w:rsidP="00AB77C1">
      <w:pPr>
        <w:pStyle w:val="2"/>
        <w:numPr>
          <w:ilvl w:val="0"/>
          <w:numId w:val="6"/>
        </w:numPr>
        <w:spacing w:beforeLines="0" w:afterLines="0" w:line="360" w:lineRule="auto"/>
        <w:ind w:firstLineChars="0"/>
        <w:rPr>
          <w:rFonts w:asciiTheme="minorEastAsia" w:eastAsiaTheme="minorEastAsia" w:hAnsiTheme="minorEastAsia"/>
          <w:b w:val="0"/>
          <w:color w:val="000000" w:themeColor="text1"/>
        </w:rPr>
      </w:pPr>
      <w:bookmarkStart w:id="630" w:name="_Toc423335624"/>
      <w:r w:rsidRPr="00C664D3">
        <w:rPr>
          <w:rFonts w:asciiTheme="minorEastAsia" w:eastAsiaTheme="minorEastAsia" w:hAnsiTheme="minorEastAsia"/>
          <w:b w:val="0"/>
          <w:color w:val="000000" w:themeColor="text1"/>
        </w:rPr>
        <w:t>基金财产的账户</w:t>
      </w:r>
      <w:bookmarkEnd w:id="630"/>
    </w:p>
    <w:p w:rsidR="00A1091C" w:rsidRPr="00C664D3" w:rsidRDefault="004D33A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基金托管人根据相关法律法规、规范性文件为本基金开立资金</w:t>
      </w:r>
      <w:r w:rsidRPr="00C664D3">
        <w:rPr>
          <w:rFonts w:asciiTheme="minorEastAsia" w:eastAsiaTheme="minorEastAsia" w:hAnsiTheme="minorEastAsia" w:hint="eastAsia"/>
          <w:color w:val="000000" w:themeColor="text1"/>
        </w:rPr>
        <w:t>账户</w:t>
      </w:r>
      <w:r w:rsidRPr="00C664D3">
        <w:rPr>
          <w:rFonts w:asciiTheme="minorEastAsia" w:eastAsiaTheme="minorEastAsia" w:hAnsiTheme="minorEastAsia"/>
          <w:color w:val="000000" w:themeColor="text1"/>
        </w:rPr>
        <w:t>、证券</w:t>
      </w:r>
      <w:r w:rsidRPr="00C664D3">
        <w:rPr>
          <w:rFonts w:asciiTheme="minorEastAsia" w:eastAsiaTheme="minorEastAsia" w:hAnsiTheme="minorEastAsia" w:hint="eastAsia"/>
          <w:color w:val="000000" w:themeColor="text1"/>
        </w:rPr>
        <w:t>账户</w:t>
      </w:r>
      <w:r w:rsidRPr="00C664D3">
        <w:rPr>
          <w:rFonts w:asciiTheme="minorEastAsia" w:eastAsiaTheme="minorEastAsia" w:hAnsiTheme="minorEastAsia"/>
          <w:color w:val="000000" w:themeColor="text1"/>
        </w:rPr>
        <w:t>以及投资所需的其他专用</w:t>
      </w:r>
      <w:r w:rsidRPr="00C664D3">
        <w:rPr>
          <w:rFonts w:asciiTheme="minorEastAsia" w:eastAsiaTheme="minorEastAsia" w:hAnsiTheme="minorEastAsia" w:hint="eastAsia"/>
          <w:color w:val="000000" w:themeColor="text1"/>
        </w:rPr>
        <w:t>账户</w:t>
      </w:r>
      <w:r w:rsidRPr="00C664D3">
        <w:rPr>
          <w:rFonts w:asciiTheme="minorEastAsia" w:eastAsiaTheme="minorEastAsia" w:hAnsiTheme="minorEastAsia"/>
          <w:color w:val="000000" w:themeColor="text1"/>
        </w:rPr>
        <w:t>。开立的基金专用账户与基金管理人、基金托管人、</w:t>
      </w:r>
      <w:r w:rsidRPr="00C664D3">
        <w:rPr>
          <w:rFonts w:asciiTheme="minorEastAsia" w:eastAsiaTheme="minorEastAsia" w:hAnsiTheme="minorEastAsia" w:hint="eastAsia"/>
          <w:color w:val="000000" w:themeColor="text1"/>
        </w:rPr>
        <w:t>境外托管人、</w:t>
      </w:r>
      <w:r w:rsidRPr="00C664D3">
        <w:rPr>
          <w:rFonts w:asciiTheme="minorEastAsia" w:eastAsiaTheme="minorEastAsia" w:hAnsiTheme="minorEastAsia"/>
          <w:color w:val="000000" w:themeColor="text1"/>
        </w:rPr>
        <w:t>基金销售机构和基金登记结算机构自有的财产账户以及其他基金财产账户相独立。</w:t>
      </w:r>
    </w:p>
    <w:p w:rsidR="00A1091C" w:rsidRPr="00C664D3" w:rsidRDefault="00A1091C" w:rsidP="00AB77C1">
      <w:pPr>
        <w:pStyle w:val="2"/>
        <w:numPr>
          <w:ilvl w:val="0"/>
          <w:numId w:val="6"/>
        </w:numPr>
        <w:spacing w:beforeLines="0" w:afterLines="0" w:line="360" w:lineRule="auto"/>
        <w:ind w:firstLineChars="0"/>
        <w:rPr>
          <w:rFonts w:asciiTheme="minorEastAsia" w:eastAsiaTheme="minorEastAsia" w:hAnsiTheme="minorEastAsia"/>
          <w:b w:val="0"/>
          <w:color w:val="000000" w:themeColor="text1"/>
        </w:rPr>
      </w:pPr>
      <w:bookmarkStart w:id="631" w:name="_Toc423335625"/>
      <w:r w:rsidRPr="00C664D3">
        <w:rPr>
          <w:rFonts w:asciiTheme="minorEastAsia" w:eastAsiaTheme="minorEastAsia" w:hAnsiTheme="minorEastAsia"/>
          <w:b w:val="0"/>
          <w:color w:val="000000" w:themeColor="text1"/>
        </w:rPr>
        <w:t>基金财产的保管和处分</w:t>
      </w:r>
      <w:bookmarkEnd w:id="631"/>
    </w:p>
    <w:p w:rsidR="004D33AF" w:rsidRPr="00C664D3" w:rsidRDefault="004D33A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本基金财产独立于基金管理人、基金托管人</w:t>
      </w:r>
      <w:r w:rsidRPr="00C664D3">
        <w:rPr>
          <w:rFonts w:asciiTheme="minorEastAsia" w:eastAsiaTheme="minorEastAsia" w:hAnsiTheme="minorEastAsia" w:hint="eastAsia"/>
          <w:color w:val="000000" w:themeColor="text1"/>
        </w:rPr>
        <w:t>、境外托管人</w:t>
      </w:r>
      <w:r w:rsidRPr="00C664D3">
        <w:rPr>
          <w:rFonts w:asciiTheme="minorEastAsia" w:eastAsiaTheme="minorEastAsia" w:hAnsiTheme="minorEastAsia"/>
          <w:color w:val="000000" w:themeColor="text1"/>
        </w:rPr>
        <w:t>和基金</w:t>
      </w:r>
      <w:r w:rsidRPr="00C664D3">
        <w:rPr>
          <w:rFonts w:asciiTheme="minorEastAsia" w:eastAsiaTheme="minorEastAsia" w:hAnsiTheme="minorEastAsia" w:hint="eastAsia"/>
          <w:color w:val="000000" w:themeColor="text1"/>
        </w:rPr>
        <w:t>销售</w:t>
      </w:r>
      <w:r w:rsidRPr="00C664D3">
        <w:rPr>
          <w:rFonts w:asciiTheme="minorEastAsia" w:eastAsiaTheme="minorEastAsia" w:hAnsiTheme="minorEastAsia"/>
          <w:color w:val="000000" w:themeColor="text1"/>
        </w:rPr>
        <w:t>机构的财产，并由基金托管人</w:t>
      </w:r>
      <w:r w:rsidRPr="00C664D3">
        <w:rPr>
          <w:rFonts w:asciiTheme="minorEastAsia" w:eastAsiaTheme="minorEastAsia" w:hAnsiTheme="minorEastAsia" w:hint="eastAsia"/>
          <w:color w:val="000000" w:themeColor="text1"/>
        </w:rPr>
        <w:t>和/或其委托的境外托管人</w:t>
      </w:r>
      <w:r w:rsidRPr="00C664D3">
        <w:rPr>
          <w:rFonts w:asciiTheme="minorEastAsia" w:eastAsiaTheme="minorEastAsia" w:hAnsiTheme="minorEastAsia"/>
          <w:color w:val="000000" w:themeColor="text1"/>
        </w:rPr>
        <w:t>保管。基金管理人、基金托管人、基金登记结算机构和基金销售机构以其自有的财产承担其自身的法律责任，其债权人不得对本基金财产行使请求冻结、扣押或其他权利。除依法律法规和《基金合同》的规定处分外，基金财产不得被处分。</w:t>
      </w:r>
    </w:p>
    <w:p w:rsidR="004D33AF" w:rsidRPr="00C664D3" w:rsidRDefault="004D33A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1091C" w:rsidRPr="00C664D3" w:rsidRDefault="00D738F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基金份额持有人、</w:t>
      </w:r>
      <w:r w:rsidR="004D33AF" w:rsidRPr="00C664D3">
        <w:rPr>
          <w:rFonts w:asciiTheme="minorEastAsia" w:eastAsiaTheme="minorEastAsia" w:hAnsiTheme="minorEastAsia" w:hint="eastAsia"/>
          <w:color w:val="000000" w:themeColor="text1"/>
        </w:rPr>
        <w:t>基金管理人和基金托管人理解现金于存入托管账户时构成基金托管人、境外托管人的等额无担保债务，除非法律法规及撤销或清盘程序明文禁止该等现金归于清算财产外，该等现金归入基金托管人或境外托管人的清算财产并不构成基金托管人违反本合同的规定。基金托管人对由基金托管人及其境外托管人以外机构实际有效控制的证券不承担保管责任。</w:t>
      </w: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632" w:name="_Toc83904207"/>
      <w:r w:rsidRPr="00C664D3">
        <w:rPr>
          <w:rFonts w:asciiTheme="minorEastAsia" w:eastAsiaTheme="minorEastAsia" w:hAnsiTheme="minorEastAsia"/>
          <w:color w:val="000000" w:themeColor="text1"/>
        </w:rPr>
        <w:lastRenderedPageBreak/>
        <w:t>基金资产估值</w:t>
      </w:r>
      <w:bookmarkEnd w:id="632"/>
    </w:p>
    <w:p w:rsidR="00A1091C" w:rsidRPr="00C664D3" w:rsidRDefault="00A1091C" w:rsidP="00AB77C1">
      <w:pPr>
        <w:pStyle w:val="2"/>
        <w:numPr>
          <w:ilvl w:val="0"/>
          <w:numId w:val="7"/>
        </w:numPr>
        <w:spacing w:beforeLines="0" w:afterLines="0" w:line="360" w:lineRule="auto"/>
        <w:ind w:firstLineChars="0"/>
        <w:rPr>
          <w:rFonts w:asciiTheme="minorEastAsia" w:eastAsiaTheme="minorEastAsia" w:hAnsiTheme="minorEastAsia"/>
          <w:b w:val="0"/>
          <w:color w:val="000000" w:themeColor="text1"/>
        </w:rPr>
      </w:pPr>
      <w:bookmarkStart w:id="633" w:name="_Toc66706734"/>
      <w:bookmarkStart w:id="634" w:name="_Toc86584625"/>
      <w:bookmarkStart w:id="635" w:name="_Toc423335627"/>
      <w:bookmarkStart w:id="636" w:name="_Toc84149655"/>
      <w:r w:rsidRPr="00C664D3">
        <w:rPr>
          <w:rFonts w:asciiTheme="minorEastAsia" w:eastAsiaTheme="minorEastAsia" w:hAnsiTheme="minorEastAsia"/>
          <w:b w:val="0"/>
          <w:color w:val="000000" w:themeColor="text1"/>
        </w:rPr>
        <w:t>估值日</w:t>
      </w:r>
      <w:bookmarkEnd w:id="633"/>
      <w:bookmarkEnd w:id="634"/>
      <w:bookmarkEnd w:id="635"/>
    </w:p>
    <w:p w:rsidR="00A1091C" w:rsidRPr="00C664D3" w:rsidRDefault="00FE1C9A" w:rsidP="00AB77C1">
      <w:pPr>
        <w:spacing w:line="360" w:lineRule="auto"/>
        <w:ind w:firstLineChars="200" w:firstLine="420"/>
        <w:rPr>
          <w:rFonts w:asciiTheme="minorEastAsia" w:eastAsiaTheme="minorEastAsia" w:hAnsiTheme="minorEastAsia"/>
          <w:color w:val="000000" w:themeColor="text1"/>
        </w:rPr>
      </w:pPr>
      <w:bookmarkStart w:id="637" w:name="_Toc66706735"/>
      <w:bookmarkStart w:id="638" w:name="_Toc86584626"/>
      <w:r w:rsidRPr="00C664D3">
        <w:rPr>
          <w:rFonts w:asciiTheme="minorEastAsia" w:eastAsiaTheme="minorEastAsia" w:hAnsiTheme="minorEastAsia"/>
          <w:color w:val="000000" w:themeColor="text1"/>
        </w:rPr>
        <w:t>本基金的估值日为本基金相关的</w:t>
      </w:r>
      <w:r w:rsidRPr="00C664D3">
        <w:rPr>
          <w:rFonts w:asciiTheme="minorEastAsia" w:eastAsiaTheme="minorEastAsia" w:hAnsiTheme="minorEastAsia" w:hint="eastAsia"/>
          <w:color w:val="000000" w:themeColor="text1"/>
        </w:rPr>
        <w:t>开放日</w:t>
      </w:r>
      <w:r w:rsidRPr="00C664D3">
        <w:rPr>
          <w:rFonts w:asciiTheme="minorEastAsia" w:eastAsiaTheme="minorEastAsia" w:hAnsiTheme="minorEastAsia"/>
          <w:color w:val="000000" w:themeColor="text1"/>
        </w:rPr>
        <w:t>以及国家法律法规规定需要对外披露基金净值的非</w:t>
      </w:r>
      <w:r w:rsidRPr="00C664D3">
        <w:rPr>
          <w:rFonts w:asciiTheme="minorEastAsia" w:eastAsiaTheme="minorEastAsia" w:hAnsiTheme="minorEastAsia" w:hint="eastAsia"/>
          <w:color w:val="000000" w:themeColor="text1"/>
        </w:rPr>
        <w:t>开放</w:t>
      </w:r>
      <w:r w:rsidRPr="00C664D3">
        <w:rPr>
          <w:rFonts w:asciiTheme="minorEastAsia" w:eastAsiaTheme="minorEastAsia" w:hAnsiTheme="minorEastAsia"/>
          <w:color w:val="000000" w:themeColor="text1"/>
        </w:rPr>
        <w:t>日。</w:t>
      </w:r>
    </w:p>
    <w:p w:rsidR="00A1091C" w:rsidRPr="00C664D3" w:rsidRDefault="00A1091C" w:rsidP="00AB77C1">
      <w:pPr>
        <w:pStyle w:val="2"/>
        <w:numPr>
          <w:ilvl w:val="0"/>
          <w:numId w:val="7"/>
        </w:numPr>
        <w:spacing w:beforeLines="0" w:afterLines="0" w:line="360" w:lineRule="auto"/>
        <w:ind w:firstLineChars="0"/>
        <w:rPr>
          <w:rFonts w:asciiTheme="minorEastAsia" w:eastAsiaTheme="minorEastAsia" w:hAnsiTheme="minorEastAsia"/>
          <w:b w:val="0"/>
          <w:color w:val="000000" w:themeColor="text1"/>
        </w:rPr>
      </w:pPr>
      <w:bookmarkStart w:id="639" w:name="_Toc423335628"/>
      <w:bookmarkStart w:id="640" w:name="_Toc66706736"/>
      <w:bookmarkStart w:id="641" w:name="_Toc86584627"/>
      <w:bookmarkEnd w:id="637"/>
      <w:bookmarkEnd w:id="638"/>
      <w:r w:rsidRPr="00C664D3">
        <w:rPr>
          <w:rFonts w:asciiTheme="minorEastAsia" w:eastAsiaTheme="minorEastAsia" w:hAnsiTheme="minorEastAsia"/>
          <w:b w:val="0"/>
          <w:color w:val="000000" w:themeColor="text1"/>
        </w:rPr>
        <w:t>估值对象</w:t>
      </w:r>
      <w:bookmarkEnd w:id="639"/>
    </w:p>
    <w:p w:rsidR="00A1091C"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本基金所拥有的各类有价证券及本基金依据相关法律法规持有的其它资产。</w:t>
      </w:r>
    </w:p>
    <w:p w:rsidR="00A1091C" w:rsidRPr="00C664D3" w:rsidRDefault="00A1091C" w:rsidP="00AB77C1">
      <w:pPr>
        <w:pStyle w:val="2"/>
        <w:numPr>
          <w:ilvl w:val="0"/>
          <w:numId w:val="7"/>
        </w:numPr>
        <w:spacing w:beforeLines="0" w:afterLines="0" w:line="360" w:lineRule="auto"/>
        <w:ind w:firstLineChars="0"/>
        <w:rPr>
          <w:rFonts w:asciiTheme="minorEastAsia" w:eastAsiaTheme="minorEastAsia" w:hAnsiTheme="minorEastAsia"/>
          <w:b w:val="0"/>
          <w:color w:val="000000" w:themeColor="text1"/>
        </w:rPr>
      </w:pPr>
      <w:bookmarkStart w:id="642" w:name="_Toc423335629"/>
      <w:r w:rsidRPr="00C664D3">
        <w:rPr>
          <w:rFonts w:asciiTheme="minorEastAsia" w:eastAsiaTheme="minorEastAsia" w:hAnsiTheme="minorEastAsia"/>
          <w:b w:val="0"/>
          <w:color w:val="000000" w:themeColor="text1"/>
        </w:rPr>
        <w:t>估值方法</w:t>
      </w:r>
      <w:bookmarkEnd w:id="640"/>
      <w:bookmarkEnd w:id="641"/>
      <w:bookmarkEnd w:id="642"/>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1、股票估值方法</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（1）上市流通的股票按估值日在证券交易所的收盘价估值；估值日无交易的，以最近交易日的收盘价估值。</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（2）处于未上市期间的股票应区分如下情况处理：</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1）首次发行未上市的股票，采用估值技术确定公允价值，在估值技术难以可靠计量公允价值的情况下，按成本价估值；</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2）送股、转增股、配股和增发新股，按估值日在证券交易所上市的同一股票的收盘价进行估值；该日无交易的，以最近一日的收盘价估值；</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3）首次公开发行有明确锁定期的股票，同一股票在交易所上市后，按估值日在证券交易所上市的同一股票的收盘价进行估值。</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2、存托凭证估值方法</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公开挂牌的存托凭证按估值日在证券交易所的收盘价估值；估值日无交易的，以最近交易日的收盘价估值。</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3、基金估值方法</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（1）上市流通的基金按估值日在证券交易所的收盘价估值；估值日无交易的，以最近交易日的收盘价估值；</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（2）非上市流通基金以估值截止时点能够取得的最新基金份额净值进行估值。</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4、债券估值方法</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w:t>
      </w:r>
      <w:r w:rsidRPr="00C664D3">
        <w:rPr>
          <w:rFonts w:asciiTheme="minorEastAsia" w:eastAsiaTheme="minorEastAsia" w:hAnsiTheme="minorEastAsia" w:hint="eastAsia"/>
          <w:color w:val="000000" w:themeColor="text1"/>
        </w:rPr>
        <w:lastRenderedPageBreak/>
        <w:t>估值日没有交易的，按最近交易日债券收盘价减去所含的最近交易日债券应收利息后得到的净价估值。</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（2）对于非上市债券，参照主要做市商或其他权威价格提供机构的报价进行估值。</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5、衍生品估值方法</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（1）上市流通衍生品按估值日在证券交易所的收盘价估值；估值日无交易的，以最近交易日的收盘价估值。</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（2）非上市衍生品采用估值技术确定公允价值，在估值技术难以可靠计量公允价值的情况下，按成本估值。</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6、汇率</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（1）估值计算中涉及主要货币对人民币汇率的，将依据下列信息提供机构所提供的汇率为基准：当日中国人民银行公布的人民币与主要货币的中间价。主要外汇种类以中国人民银行或其授权机构最新公布为准。</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（2）其他货币采用美元作为中间货币进行换算，</w:t>
      </w:r>
      <w:r w:rsidR="0055399F" w:rsidRPr="00C664D3">
        <w:rPr>
          <w:rFonts w:asciiTheme="minorEastAsia" w:eastAsiaTheme="minorEastAsia" w:hAnsiTheme="minorEastAsia" w:hint="eastAsia"/>
          <w:color w:val="000000" w:themeColor="text1"/>
          <w:szCs w:val="21"/>
        </w:rPr>
        <w:t>采用彭博伦敦下午四点的汇率套算。基金管理人和托管人经协商可对所采用的汇率来源进行调整。</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若无法取得上述汇率价格信息时，以基金托管人或境外托管人所提供的合理公开外汇市场交易价格为准。</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7、税收</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8、在任何情况下，基金管理人如采用上述第1-7项规定的方法对基金资产进行估值，均应被认为采用了适当的估值方法。</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9、如有确凿证据表明按上述方法进行估值不能客观反映其公允价值的，基金管理人可根据具体情况与基金托管人商定后，按最能反映公允价值的价格估值。</w:t>
      </w:r>
    </w:p>
    <w:p w:rsidR="0009238F" w:rsidRPr="00C664D3" w:rsidRDefault="005E024E"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10</w:t>
      </w:r>
      <w:r w:rsidR="0009238F" w:rsidRPr="00C664D3">
        <w:rPr>
          <w:rFonts w:asciiTheme="minorEastAsia" w:eastAsiaTheme="minorEastAsia" w:hAnsiTheme="minorEastAsia" w:hint="eastAsia"/>
          <w:color w:val="000000" w:themeColor="text1"/>
        </w:rPr>
        <w:t>、相关法律法规以及监管部门有强制规定的，从其规定。如有新增事项，按国家最新规定估值。</w:t>
      </w:r>
    </w:p>
    <w:p w:rsidR="0009238F"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rsidR="00A1091C" w:rsidRPr="00C664D3" w:rsidRDefault="0009238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根据有关法律法规，基金资产净值计算和基金会计核算的义务由基金管理人承担。本基</w:t>
      </w:r>
      <w:r w:rsidRPr="00C664D3">
        <w:rPr>
          <w:rFonts w:asciiTheme="minorEastAsia" w:eastAsiaTheme="minorEastAsia" w:hAnsiTheme="minorEastAsia"/>
          <w:color w:val="000000" w:themeColor="text1"/>
        </w:rPr>
        <w:lastRenderedPageBreak/>
        <w:t>金的基金会计责任方由基金管理人担任，</w:t>
      </w:r>
      <w:r w:rsidRPr="00C664D3">
        <w:rPr>
          <w:rFonts w:asciiTheme="minorEastAsia" w:eastAsiaTheme="minorEastAsia" w:hAnsiTheme="minorEastAsia" w:hint="eastAsia"/>
          <w:color w:val="000000" w:themeColor="text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A1091C" w:rsidRPr="00C664D3" w:rsidRDefault="00A1091C" w:rsidP="00AB77C1">
      <w:pPr>
        <w:pStyle w:val="2"/>
        <w:numPr>
          <w:ilvl w:val="0"/>
          <w:numId w:val="7"/>
        </w:numPr>
        <w:spacing w:beforeLines="0" w:afterLines="0" w:line="360" w:lineRule="auto"/>
        <w:ind w:firstLineChars="0"/>
        <w:rPr>
          <w:rFonts w:asciiTheme="minorEastAsia" w:eastAsiaTheme="minorEastAsia" w:hAnsiTheme="minorEastAsia"/>
          <w:b w:val="0"/>
          <w:color w:val="000000" w:themeColor="text1"/>
        </w:rPr>
      </w:pPr>
      <w:bookmarkStart w:id="643" w:name="_Toc44229106"/>
      <w:bookmarkStart w:id="644" w:name="_Toc44229201"/>
      <w:bookmarkStart w:id="645" w:name="_Toc44229107"/>
      <w:bookmarkStart w:id="646" w:name="_Toc44229202"/>
      <w:bookmarkStart w:id="647" w:name="_Toc44229108"/>
      <w:bookmarkStart w:id="648" w:name="_Toc44229203"/>
      <w:bookmarkStart w:id="649" w:name="_Toc44229109"/>
      <w:bookmarkStart w:id="650" w:name="_Toc44229204"/>
      <w:bookmarkStart w:id="651" w:name="_Toc44229110"/>
      <w:bookmarkStart w:id="652" w:name="_Toc44229205"/>
      <w:bookmarkStart w:id="653" w:name="_Toc44229111"/>
      <w:bookmarkStart w:id="654" w:name="_Toc44229206"/>
      <w:bookmarkStart w:id="655" w:name="_Toc44229112"/>
      <w:bookmarkStart w:id="656" w:name="_Toc44229207"/>
      <w:bookmarkStart w:id="657" w:name="_Toc44229113"/>
      <w:bookmarkStart w:id="658" w:name="_Toc44229208"/>
      <w:bookmarkStart w:id="659" w:name="_Toc66706737"/>
      <w:bookmarkStart w:id="660" w:name="_Toc86584628"/>
      <w:bookmarkStart w:id="661" w:name="_Toc423335630"/>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sidRPr="00C664D3">
        <w:rPr>
          <w:rFonts w:asciiTheme="minorEastAsia" w:eastAsiaTheme="minorEastAsia" w:hAnsiTheme="minorEastAsia"/>
          <w:b w:val="0"/>
          <w:color w:val="000000" w:themeColor="text1"/>
        </w:rPr>
        <w:t>估值程序</w:t>
      </w:r>
      <w:bookmarkEnd w:id="659"/>
      <w:bookmarkEnd w:id="660"/>
      <w:bookmarkEnd w:id="661"/>
    </w:p>
    <w:p w:rsidR="004B70DB" w:rsidRPr="00C664D3" w:rsidRDefault="00340273"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004B70DB" w:rsidRPr="00C664D3">
        <w:rPr>
          <w:rFonts w:asciiTheme="minorEastAsia" w:eastAsiaTheme="minorEastAsia" w:hAnsiTheme="minorEastAsia" w:hint="eastAsia"/>
          <w:color w:val="000000" w:themeColor="text1"/>
        </w:rPr>
        <w:t>、本基金分别计算并披露不同币种各类基金份额对应的基金份额净值。A类人民币基金份额的基金份额净值指以估值日A类基金资产净值除以估值日A类基金份额余额后得出的单位基金份额的价值，估值日A类基金份额余额为估值日A类各币种基金份额余额的合计数；A类美元基金份额的基金份额净值以A类人民币基金份额的基金份额净值为基础，按照估值日的估值汇率进行折算；C类人民币基金份额的基金份额净值指以估值日C类基金份额的基金资产净值除以估值日C类基金份额余额后得出的单位基金份额的价值；估值日C类基金份额余额为估值日C类各币种基金份额余额的合计数；C类美元基金份额的基金份额净值以C类人民币基金份额的基金份额净值为基础，按照估值日的估值汇率进行折算。</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人民币基金份额净值和美元基金份额净值的计算分别精确到0.0001元和0.0001美元，小数点后第五位四舍五入。特殊情况下，经与基金托管人协商一致，基金管理人可以调整净值计算及披露的小数点后位数并及时公告。国家另有规定的，从其规定。</w:t>
      </w:r>
    </w:p>
    <w:p w:rsidR="00A1091C"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基金管理人应每个工作日对前一估值日的基金资产进行估值。但基金管理人根据法律法规或本基金合同的规定暂停估值时除外。基金管理人每个工作日对前一估值日的基金资产进行估值后，将基金份额净值结果发送基金托管人，经基金托管人复核无误后，由基金管理人对外公布。</w:t>
      </w:r>
    </w:p>
    <w:p w:rsidR="00A1091C" w:rsidRPr="00C664D3" w:rsidRDefault="00A1091C" w:rsidP="00AB77C1">
      <w:pPr>
        <w:pStyle w:val="2"/>
        <w:numPr>
          <w:ilvl w:val="0"/>
          <w:numId w:val="7"/>
        </w:numPr>
        <w:spacing w:beforeLines="0" w:afterLines="0" w:line="360" w:lineRule="auto"/>
        <w:ind w:firstLineChars="0"/>
        <w:rPr>
          <w:rFonts w:asciiTheme="minorEastAsia" w:eastAsiaTheme="minorEastAsia" w:hAnsiTheme="minorEastAsia"/>
          <w:b w:val="0"/>
          <w:color w:val="000000" w:themeColor="text1"/>
        </w:rPr>
      </w:pPr>
      <w:bookmarkStart w:id="662" w:name="_Toc423335631"/>
      <w:bookmarkStart w:id="663" w:name="_Toc66706738"/>
      <w:bookmarkStart w:id="664" w:name="_Toc86584629"/>
      <w:r w:rsidRPr="00C664D3">
        <w:rPr>
          <w:rFonts w:asciiTheme="minorEastAsia" w:eastAsiaTheme="minorEastAsia" w:hAnsiTheme="minorEastAsia"/>
          <w:b w:val="0"/>
          <w:color w:val="000000" w:themeColor="text1"/>
        </w:rPr>
        <w:t>估值错误的处理</w:t>
      </w:r>
      <w:bookmarkEnd w:id="662"/>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w:t>
      </w:r>
      <w:r w:rsidR="004B70DB" w:rsidRPr="00C664D3">
        <w:rPr>
          <w:rFonts w:asciiTheme="minorEastAsia" w:eastAsiaTheme="minorEastAsia" w:hAnsiTheme="minorEastAsia" w:hint="eastAsia"/>
          <w:color w:val="000000" w:themeColor="text1"/>
        </w:rPr>
        <w:t>管理人和基金托管人将采取必要、适当、合理的措施确保基金资产估值的准确性、及时性。当各类基金份额净值计算差错达到该类基金份额净值的0.5%时，基金管理人应当立即纠正，并采取合理的措施防止损失进一步扩大。当各类基金份额净值计算差错小于该类基金份额净值0.5%时，基金管理人与基金托管人应在发现日对账务进行更正调整，不做追溯处理</w:t>
      </w:r>
      <w:r w:rsidRPr="00C664D3">
        <w:rPr>
          <w:rFonts w:asciiTheme="minorEastAsia" w:eastAsiaTheme="minorEastAsia" w:hAnsiTheme="minorEastAsia" w:hint="eastAsia"/>
          <w:color w:val="000000" w:themeColor="text1"/>
        </w:rPr>
        <w:t>。</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本基金合同的当事人应按照以下约定处理：</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1、估值错误类型</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本基金运作过程中，如果由于基金管理人或基金托管人、或登记机构、或销售机构、或</w:t>
      </w:r>
      <w:r w:rsidRPr="00C664D3">
        <w:rPr>
          <w:rFonts w:asciiTheme="minorEastAsia" w:eastAsiaTheme="minorEastAsia" w:hAnsiTheme="minorEastAsia"/>
          <w:color w:val="000000" w:themeColor="text1"/>
        </w:rPr>
        <w:lastRenderedPageBreak/>
        <w:t>投资人自身的过错造成估值错误，导致其他当事人遭受损失的，过错的责任人应当对由于该估值错误遭受损失当事人(“受损方”)的直接损失按下述“估值错误处理原则”给予赔偿，承担赔偿责任。</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上述估值错误的主要类型包括但不限于：资料申报差错、数据传输差错、数据计算差错、系统故障差错、下达指令差错等。</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2、估值错误处理原则</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color w:val="000000" w:themeColor="text1"/>
        </w:rPr>
        <w:t>）估值错误的责任方对有关当事人的直接损失负责，不对间接损失负责，并且仅对估值错误的有关直接当事人负责，不对第三方负责。</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3</w:t>
      </w:r>
      <w:r w:rsidRPr="00C664D3">
        <w:rPr>
          <w:rFonts w:asciiTheme="minorEastAsia" w:eastAsiaTheme="minorEastAsia" w:hAnsiTheme="minorEastAsia"/>
          <w:color w:val="000000" w:themeColor="text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4</w:t>
      </w:r>
      <w:r w:rsidRPr="00C664D3">
        <w:rPr>
          <w:rFonts w:asciiTheme="minorEastAsia" w:eastAsiaTheme="minorEastAsia" w:hAnsiTheme="minorEastAsia"/>
          <w:color w:val="000000" w:themeColor="text1"/>
        </w:rPr>
        <w:t>）估值错误调整采用尽量恢复至假设未发生估值错误的正确情形的方式。</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3、估值错误处理程序</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估值错误被发现后，有关的当事人应当及时进行处理，处理的程序如下：</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（1）查明估值错误发生的原因，列明所有的当事人，并根据估值错误发生的原因确定估值错误的责任方；</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color w:val="000000" w:themeColor="text1"/>
        </w:rPr>
        <w:t>）根据估值错误处理原则或当事人协商的方法对因估值错误造成的损失进行评估；</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3</w:t>
      </w:r>
      <w:r w:rsidRPr="00C664D3">
        <w:rPr>
          <w:rFonts w:asciiTheme="minorEastAsia" w:eastAsiaTheme="minorEastAsia" w:hAnsiTheme="minorEastAsia"/>
          <w:color w:val="000000" w:themeColor="text1"/>
        </w:rPr>
        <w:t>）根据估值错误处理原则或当事人协商的方法由估值错误的责任方进行更正和赔偿损失；</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4</w:t>
      </w:r>
      <w:r w:rsidRPr="00C664D3">
        <w:rPr>
          <w:rFonts w:asciiTheme="minorEastAsia" w:eastAsiaTheme="minorEastAsia" w:hAnsiTheme="minorEastAsia"/>
          <w:color w:val="000000" w:themeColor="text1"/>
        </w:rPr>
        <w:t>）根据估值错误处理的方法，需要修改基金登记机构交易数据的，由基金登记机构进行更正，并就估值错误的更正向有关当事人进行确认。</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4、基金份额净值估值错误处理的方法如下：</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（1）基金份额净值计算出现错误时，基金管理人应当立即予以纠正，通报基金托管人，并采取合理的措施防止损失进一步扩大。</w:t>
      </w:r>
    </w:p>
    <w:p w:rsidR="00340273"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color w:val="000000" w:themeColor="text1"/>
        </w:rPr>
        <w:t>）</w:t>
      </w:r>
      <w:r w:rsidR="004B70DB" w:rsidRPr="00C664D3">
        <w:rPr>
          <w:rFonts w:asciiTheme="minorEastAsia" w:eastAsiaTheme="minorEastAsia" w:hAnsiTheme="minorEastAsia" w:hint="eastAsia"/>
          <w:color w:val="000000" w:themeColor="text1"/>
        </w:rPr>
        <w:t>基金管理人及基金托管人计价错误达到该类基金份额净值的0.5%时，基金管理人应通报基金托管人，按本基金合同的规定进行公告，并报中国证监会备案。</w:t>
      </w:r>
    </w:p>
    <w:p w:rsidR="00A1091C" w:rsidRPr="00C664D3" w:rsidRDefault="00340273"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3</w:t>
      </w:r>
      <w:r w:rsidRPr="00C664D3">
        <w:rPr>
          <w:rFonts w:asciiTheme="minorEastAsia" w:eastAsiaTheme="minorEastAsia" w:hAnsiTheme="minorEastAsia"/>
          <w:color w:val="000000" w:themeColor="text1"/>
        </w:rPr>
        <w:t>）前述内容如法律法规或监管机关另有规定的，从其规定处理。</w:t>
      </w:r>
    </w:p>
    <w:p w:rsidR="00A1091C" w:rsidRPr="00C664D3" w:rsidRDefault="00A1091C" w:rsidP="00AB77C1">
      <w:pPr>
        <w:pStyle w:val="2"/>
        <w:numPr>
          <w:ilvl w:val="0"/>
          <w:numId w:val="7"/>
        </w:numPr>
        <w:spacing w:beforeLines="0" w:afterLines="0" w:line="360" w:lineRule="auto"/>
        <w:ind w:firstLineChars="0"/>
        <w:rPr>
          <w:rFonts w:asciiTheme="minorEastAsia" w:eastAsiaTheme="minorEastAsia" w:hAnsiTheme="minorEastAsia"/>
          <w:b w:val="0"/>
          <w:color w:val="000000" w:themeColor="text1"/>
        </w:rPr>
      </w:pPr>
      <w:bookmarkStart w:id="665" w:name="_Toc423335632"/>
      <w:r w:rsidRPr="00C664D3">
        <w:rPr>
          <w:rFonts w:asciiTheme="minorEastAsia" w:eastAsiaTheme="minorEastAsia" w:hAnsiTheme="minorEastAsia"/>
          <w:b w:val="0"/>
          <w:color w:val="000000" w:themeColor="text1"/>
        </w:rPr>
        <w:t>暂停估值的情形</w:t>
      </w:r>
      <w:bookmarkEnd w:id="663"/>
      <w:bookmarkEnd w:id="664"/>
      <w:bookmarkEnd w:id="665"/>
    </w:p>
    <w:p w:rsidR="00D9784F" w:rsidRPr="00C664D3" w:rsidRDefault="00D9784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Pr="00C664D3">
        <w:rPr>
          <w:rFonts w:asciiTheme="minorEastAsia" w:eastAsiaTheme="minorEastAsia" w:hAnsiTheme="minorEastAsia" w:hint="eastAsia"/>
          <w:color w:val="000000" w:themeColor="text1"/>
        </w:rPr>
        <w:t>基金投资所涉及的主要证券交易所、市场或外汇市场遇法定节假日或因其他原因暂停交易时；</w:t>
      </w:r>
    </w:p>
    <w:p w:rsidR="00D9784F" w:rsidRPr="00C664D3" w:rsidRDefault="00D9784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2、因不可抗力致使基金管理人、基金托管人无法准确评估基金资产价值时；</w:t>
      </w:r>
    </w:p>
    <w:p w:rsidR="00D9784F" w:rsidRPr="00C664D3" w:rsidRDefault="00D9784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3、占基金相当比例的投资品种的估值出现重大转变，延迟估值有利于基金份额持有人利益的保护；</w:t>
      </w:r>
    </w:p>
    <w:p w:rsidR="00C81E1B" w:rsidRPr="00C664D3" w:rsidRDefault="00C81E1B" w:rsidP="00C81E1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4、当前一估值日基金资产净值50%以上的资产出现无可参考的活跃市场价格且采用估值技术仍导致公允价值存在重大不确定性时，经与基金托管人协商一致的；</w:t>
      </w:r>
    </w:p>
    <w:p w:rsidR="00A1091C" w:rsidRPr="00C664D3" w:rsidRDefault="00C81E1B" w:rsidP="00C81E1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w:t>
      </w:r>
      <w:r w:rsidR="00D9784F" w:rsidRPr="00C664D3">
        <w:rPr>
          <w:rFonts w:asciiTheme="minorEastAsia" w:eastAsiaTheme="minorEastAsia" w:hAnsiTheme="minorEastAsia"/>
          <w:color w:val="000000" w:themeColor="text1"/>
        </w:rPr>
        <w:t>、中国证监会和基金合同认定的其它情形。</w:t>
      </w:r>
    </w:p>
    <w:p w:rsidR="00487070" w:rsidRPr="00C664D3" w:rsidRDefault="00487070" w:rsidP="00AB77C1">
      <w:pPr>
        <w:pStyle w:val="2"/>
        <w:numPr>
          <w:ilvl w:val="0"/>
          <w:numId w:val="7"/>
        </w:numPr>
        <w:spacing w:beforeLines="0" w:afterLines="0" w:line="360" w:lineRule="auto"/>
        <w:ind w:firstLineChars="0"/>
        <w:rPr>
          <w:rFonts w:asciiTheme="minorEastAsia" w:eastAsiaTheme="minorEastAsia" w:hAnsiTheme="minorEastAsia"/>
          <w:b w:val="0"/>
          <w:color w:val="000000" w:themeColor="text1"/>
        </w:rPr>
      </w:pPr>
      <w:bookmarkStart w:id="666" w:name="_Toc423335633"/>
      <w:bookmarkEnd w:id="636"/>
      <w:r w:rsidRPr="00C664D3">
        <w:rPr>
          <w:rFonts w:asciiTheme="minorEastAsia" w:eastAsiaTheme="minorEastAsia" w:hAnsiTheme="minorEastAsia" w:hint="eastAsia"/>
          <w:b w:val="0"/>
          <w:color w:val="000000" w:themeColor="text1"/>
        </w:rPr>
        <w:t>基金净值的确认</w:t>
      </w:r>
      <w:bookmarkEnd w:id="666"/>
    </w:p>
    <w:p w:rsidR="00487070" w:rsidRPr="00C664D3" w:rsidRDefault="00D9784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用</w:t>
      </w:r>
      <w:r w:rsidR="004B70DB" w:rsidRPr="00C664D3">
        <w:rPr>
          <w:rFonts w:asciiTheme="minorEastAsia" w:eastAsiaTheme="minorEastAsia" w:hAnsiTheme="minorEastAsia" w:hint="eastAsia"/>
          <w:color w:val="000000" w:themeColor="text1"/>
        </w:rPr>
        <w:t>于基金信息披露的各类基金份额净值由基金管理人负责计算，基金托管人进行复核。基金管理人每个工作日将计算的前一估值日的各类基金份额净值并发送给基金托管人。基金托管人对净值计算结果复核确认后发送给基金管理人</w:t>
      </w:r>
      <w:r w:rsidRPr="00C664D3">
        <w:rPr>
          <w:rFonts w:asciiTheme="minorEastAsia" w:eastAsiaTheme="minorEastAsia" w:hAnsiTheme="minorEastAsia" w:hint="eastAsia"/>
          <w:color w:val="000000" w:themeColor="text1"/>
        </w:rPr>
        <w:t>。</w:t>
      </w:r>
    </w:p>
    <w:p w:rsidR="00A1091C" w:rsidRPr="00C664D3" w:rsidRDefault="00A1091C" w:rsidP="00AB77C1">
      <w:pPr>
        <w:pStyle w:val="2"/>
        <w:numPr>
          <w:ilvl w:val="0"/>
          <w:numId w:val="7"/>
        </w:numPr>
        <w:spacing w:beforeLines="0" w:afterLines="0" w:line="360" w:lineRule="auto"/>
        <w:ind w:firstLineChars="0"/>
        <w:rPr>
          <w:rFonts w:asciiTheme="minorEastAsia" w:eastAsiaTheme="minorEastAsia" w:hAnsiTheme="minorEastAsia"/>
          <w:b w:val="0"/>
          <w:color w:val="000000" w:themeColor="text1"/>
        </w:rPr>
      </w:pPr>
      <w:bookmarkStart w:id="667" w:name="_Toc423335634"/>
      <w:r w:rsidRPr="00C664D3">
        <w:rPr>
          <w:rFonts w:asciiTheme="minorEastAsia" w:eastAsiaTheme="minorEastAsia" w:hAnsiTheme="minorEastAsia"/>
          <w:b w:val="0"/>
          <w:color w:val="000000" w:themeColor="text1"/>
        </w:rPr>
        <w:t>特殊情形的处理</w:t>
      </w:r>
      <w:bookmarkEnd w:id="667"/>
    </w:p>
    <w:p w:rsidR="00D9784F" w:rsidRPr="00C664D3" w:rsidRDefault="00D9784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Pr="00C664D3">
        <w:rPr>
          <w:rFonts w:asciiTheme="minorEastAsia" w:eastAsiaTheme="minorEastAsia" w:hAnsiTheme="minorEastAsia" w:hint="eastAsia"/>
          <w:color w:val="000000" w:themeColor="text1"/>
        </w:rPr>
        <w:t>、基金管理人或基金托管人按估值方法的第9项进行估值时，所造成的误差不作为基金资产估值错误处理。</w:t>
      </w:r>
    </w:p>
    <w:p w:rsidR="00D9784F" w:rsidRPr="00C664D3" w:rsidRDefault="00D9784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2、对于因税收规定调整或其他原因导致基金实际交纳税金与基金按照权责发生制进行估值的应交税金有差异的，相关估值调整不作为基金资产估值错误处理。</w:t>
      </w:r>
    </w:p>
    <w:p w:rsidR="00D9784F" w:rsidRPr="00C664D3" w:rsidRDefault="00D9784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3、本基金投资涉及境外市场</w:t>
      </w: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由于通讯或其他非可控的客观原因，在本基金管理人和本基金托管人协商一致的时间点前无法确认的交易，导致的对基金资产净值的影响，不作为基金资产估值错误处理。</w:t>
      </w:r>
    </w:p>
    <w:p w:rsidR="00A1091C" w:rsidRPr="00C664D3" w:rsidRDefault="00D9784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4、由于不可抗力，或证券交易所、登记结算机构及存款银行等第三方机构发送的数据错误等非基金管理人与基金托管人原因，基金管理人和基金托管人虽然已经采取必要、适当、</w:t>
      </w:r>
      <w:r w:rsidRPr="00C664D3">
        <w:rPr>
          <w:rFonts w:asciiTheme="minorEastAsia" w:eastAsiaTheme="minorEastAsia" w:hAnsiTheme="minorEastAsia" w:hint="eastAsia"/>
          <w:color w:val="000000" w:themeColor="text1"/>
        </w:rPr>
        <w:lastRenderedPageBreak/>
        <w:t>合理的措施进行检查，但未能发现错误的，由此造成的基金资产估值错误，基金管理人和基金托管人免除赔偿责任。但基金管理人、基金托管人应当积极采取必要的措施消除或减轻由此造成的影响。</w:t>
      </w: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668" w:name="_Toc185222016"/>
      <w:bookmarkStart w:id="669" w:name="_Toc185222488"/>
      <w:bookmarkStart w:id="670" w:name="_Toc185222591"/>
      <w:bookmarkStart w:id="671" w:name="_Toc185222757"/>
      <w:bookmarkStart w:id="672" w:name="_Toc83904208"/>
      <w:bookmarkEnd w:id="668"/>
      <w:bookmarkEnd w:id="669"/>
      <w:bookmarkEnd w:id="670"/>
      <w:bookmarkEnd w:id="671"/>
      <w:r w:rsidRPr="00C664D3">
        <w:rPr>
          <w:rFonts w:asciiTheme="minorEastAsia" w:eastAsiaTheme="minorEastAsia" w:hAnsiTheme="minorEastAsia"/>
          <w:color w:val="000000" w:themeColor="text1"/>
        </w:rPr>
        <w:lastRenderedPageBreak/>
        <w:t>基金的收益与分配</w:t>
      </w:r>
      <w:bookmarkEnd w:id="672"/>
    </w:p>
    <w:p w:rsidR="00A1091C" w:rsidRPr="00C664D3" w:rsidRDefault="00A1091C" w:rsidP="00AB77C1">
      <w:pPr>
        <w:pStyle w:val="2"/>
        <w:numPr>
          <w:ilvl w:val="0"/>
          <w:numId w:val="8"/>
        </w:numPr>
        <w:spacing w:beforeLines="0" w:afterLines="0" w:line="360" w:lineRule="auto"/>
        <w:ind w:firstLineChars="0"/>
        <w:rPr>
          <w:rFonts w:asciiTheme="minorEastAsia" w:eastAsiaTheme="minorEastAsia" w:hAnsiTheme="minorEastAsia"/>
          <w:b w:val="0"/>
          <w:color w:val="000000" w:themeColor="text1"/>
        </w:rPr>
      </w:pPr>
      <w:bookmarkStart w:id="673" w:name="_Toc423335636"/>
      <w:bookmarkStart w:id="674" w:name="_Toc84149664"/>
      <w:bookmarkStart w:id="675" w:name="_Toc86584639"/>
      <w:r w:rsidRPr="00C664D3">
        <w:rPr>
          <w:rFonts w:asciiTheme="minorEastAsia" w:eastAsiaTheme="minorEastAsia" w:hAnsiTheme="minorEastAsia"/>
          <w:b w:val="0"/>
          <w:color w:val="000000" w:themeColor="text1"/>
        </w:rPr>
        <w:t>基金利润的构成</w:t>
      </w:r>
      <w:bookmarkEnd w:id="673"/>
    </w:p>
    <w:p w:rsidR="00A1091C" w:rsidRPr="00C664D3" w:rsidRDefault="006B3AA6" w:rsidP="00AB77C1">
      <w:pPr>
        <w:spacing w:line="360" w:lineRule="auto"/>
        <w:ind w:firstLineChars="200" w:firstLine="420"/>
        <w:rPr>
          <w:rFonts w:asciiTheme="minorEastAsia" w:eastAsiaTheme="minorEastAsia" w:hAnsiTheme="minorEastAsia"/>
          <w:color w:val="000000" w:themeColor="text1"/>
        </w:rPr>
      </w:pPr>
      <w:bookmarkStart w:id="676" w:name="_Toc400801511"/>
      <w:r w:rsidRPr="00C664D3">
        <w:rPr>
          <w:rFonts w:asciiTheme="minorEastAsia" w:eastAsiaTheme="minorEastAsia" w:hAnsiTheme="minorEastAsia"/>
          <w:color w:val="000000" w:themeColor="text1"/>
        </w:rPr>
        <w:t>基金利润指基金利息收入、投资收益、公允价值变动收益和其他收入扣除相关费用后的余额，基金已实现收益指基金利润减去公允价值变动收益后的余额。</w:t>
      </w:r>
      <w:bookmarkEnd w:id="676"/>
    </w:p>
    <w:p w:rsidR="00A1091C" w:rsidRPr="00C664D3" w:rsidRDefault="00A1091C" w:rsidP="00AB77C1">
      <w:pPr>
        <w:pStyle w:val="2"/>
        <w:numPr>
          <w:ilvl w:val="0"/>
          <w:numId w:val="8"/>
        </w:numPr>
        <w:spacing w:beforeLines="0" w:afterLines="0" w:line="360" w:lineRule="auto"/>
        <w:ind w:firstLineChars="0"/>
        <w:rPr>
          <w:rFonts w:asciiTheme="minorEastAsia" w:eastAsiaTheme="minorEastAsia" w:hAnsiTheme="minorEastAsia"/>
          <w:b w:val="0"/>
          <w:color w:val="000000" w:themeColor="text1"/>
        </w:rPr>
      </w:pPr>
      <w:bookmarkStart w:id="677" w:name="_Toc423335637"/>
      <w:r w:rsidRPr="00C664D3">
        <w:rPr>
          <w:rFonts w:asciiTheme="minorEastAsia" w:eastAsiaTheme="minorEastAsia" w:hAnsiTheme="minorEastAsia"/>
          <w:b w:val="0"/>
          <w:color w:val="000000" w:themeColor="text1"/>
        </w:rPr>
        <w:t>基金可供分配利润</w:t>
      </w:r>
      <w:bookmarkEnd w:id="677"/>
    </w:p>
    <w:p w:rsidR="00A1091C" w:rsidRPr="00C664D3" w:rsidRDefault="006B3AA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基金可供分配利润指截至收益分配基准日基金未分配利润与未分配利润中已实现收益的孰低数。</w:t>
      </w:r>
    </w:p>
    <w:p w:rsidR="00A1091C" w:rsidRPr="00C664D3" w:rsidRDefault="00A1091C" w:rsidP="00AB77C1">
      <w:pPr>
        <w:pStyle w:val="2"/>
        <w:numPr>
          <w:ilvl w:val="0"/>
          <w:numId w:val="8"/>
        </w:numPr>
        <w:spacing w:beforeLines="0" w:afterLines="0" w:line="360" w:lineRule="auto"/>
        <w:ind w:firstLineChars="0"/>
        <w:rPr>
          <w:rFonts w:asciiTheme="minorEastAsia" w:eastAsiaTheme="minorEastAsia" w:hAnsiTheme="minorEastAsia"/>
          <w:b w:val="0"/>
          <w:color w:val="000000" w:themeColor="text1"/>
        </w:rPr>
      </w:pPr>
      <w:bookmarkStart w:id="678" w:name="_Toc423335638"/>
      <w:r w:rsidRPr="00C664D3">
        <w:rPr>
          <w:rFonts w:asciiTheme="minorEastAsia" w:eastAsiaTheme="minorEastAsia" w:hAnsiTheme="minorEastAsia"/>
          <w:b w:val="0"/>
          <w:color w:val="000000" w:themeColor="text1"/>
        </w:rPr>
        <w:t>基金收益分配原则</w:t>
      </w:r>
      <w:bookmarkEnd w:id="678"/>
    </w:p>
    <w:p w:rsidR="004B70DB" w:rsidRPr="00C664D3" w:rsidRDefault="006B3AA6"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004B70DB" w:rsidRPr="00C664D3">
        <w:rPr>
          <w:rFonts w:asciiTheme="minorEastAsia" w:eastAsiaTheme="minorEastAsia" w:hAnsiTheme="minorEastAsia" w:hint="eastAsia"/>
          <w:color w:val="000000" w:themeColor="text1"/>
        </w:rPr>
        <w:t>、本基金场外份额收益分配方式分两种：现金分红与红利再投资，投资者可选择现金红利或将现金红利自动转为对应类别的基金份额进行再投资；若投资者不选择，本基金场外份额默认的收益分配方式是现金分红。本基金场内份额收益分配方式为现金分红，场内份额具体权益分配程序等有关事项遵循深圳证券交易所及中国证券登记结算有限责任公司的相关规定；</w:t>
      </w:r>
    </w:p>
    <w:p w:rsidR="0076065D"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2、人民币基金份额的现金分红币种为人民币，美元基金份额的现金分红币种为美元；不同币种份额红利再投资适用的净值为该币种份额的份额净值；</w:t>
      </w:r>
      <w:r w:rsidR="0076065D" w:rsidRPr="00C664D3">
        <w:rPr>
          <w:rFonts w:asciiTheme="minorEastAsia" w:eastAsiaTheme="minorEastAsia" w:hAnsiTheme="minorEastAsia" w:hint="eastAsia"/>
          <w:color w:val="000000" w:themeColor="text1"/>
        </w:rPr>
        <w:t>不同类别美元基金份额的每份额分配金额为相应类别人民币基金份额的每份额分配数额按照权益登记日前一工作日美元估值汇率折算后的美元金额，计算结果以美元为单位，四舍五入，保留到小数点后四位，由此误差产生的损失由基金财产承担，产生的收益归基金财产所有；</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基金收益分配后人民币基金份额净值不能低于面值；即基金收益分配基准日的人民币基金份额净值减去每单位基金份额收益分配金额后不能低于面值。对于美元基金份额，由于汇率因素影响，收益分配后美元基金份额的基金份额净值可能低于对应的基金份额面值；</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4、由于本基金A类基金份额不收取销售服务费，而C类基金份额收取销售服务费，各基金份额类别对应的可供分配利润将有所不同。本基金同类别的每一基金份额享有同等分配权；</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5、在对基金份额持有人利益无实质不利影响的前提下，基金管理人可调整基金收益的分配原则和支付方式，不需召开基金份额持有人大会审议；</w:t>
      </w:r>
    </w:p>
    <w:p w:rsidR="00A1091C"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6、法律法规或监管机关另有规定的，从其规定。</w:t>
      </w:r>
    </w:p>
    <w:p w:rsidR="00A1091C" w:rsidRPr="00C664D3" w:rsidRDefault="00A1091C" w:rsidP="00AB77C1">
      <w:pPr>
        <w:pStyle w:val="2"/>
        <w:numPr>
          <w:ilvl w:val="0"/>
          <w:numId w:val="8"/>
        </w:numPr>
        <w:spacing w:beforeLines="0" w:afterLines="0" w:line="360" w:lineRule="auto"/>
        <w:ind w:firstLineChars="0"/>
        <w:rPr>
          <w:rFonts w:asciiTheme="minorEastAsia" w:eastAsiaTheme="minorEastAsia" w:hAnsiTheme="minorEastAsia"/>
          <w:b w:val="0"/>
          <w:color w:val="000000" w:themeColor="text1"/>
        </w:rPr>
      </w:pPr>
      <w:bookmarkStart w:id="679" w:name="_Toc278409426"/>
      <w:bookmarkStart w:id="680" w:name="_Toc423335639"/>
      <w:bookmarkEnd w:id="679"/>
      <w:r w:rsidRPr="00C664D3">
        <w:rPr>
          <w:rFonts w:asciiTheme="minorEastAsia" w:eastAsiaTheme="minorEastAsia" w:hAnsiTheme="minorEastAsia"/>
          <w:b w:val="0"/>
          <w:color w:val="000000" w:themeColor="text1"/>
        </w:rPr>
        <w:lastRenderedPageBreak/>
        <w:t>收益分配方案</w:t>
      </w:r>
      <w:bookmarkEnd w:id="680"/>
    </w:p>
    <w:p w:rsidR="00A1091C" w:rsidRPr="00C664D3" w:rsidRDefault="00134101"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基金收益分配方案中应载明截止收益分配基准日的可供分配利润、基金收益分配对象、分配时间、分配数额及比例、分配方式等内容。</w:t>
      </w:r>
    </w:p>
    <w:p w:rsidR="00A1091C" w:rsidRPr="00C664D3" w:rsidRDefault="00A1091C" w:rsidP="00AB77C1">
      <w:pPr>
        <w:pStyle w:val="2"/>
        <w:numPr>
          <w:ilvl w:val="0"/>
          <w:numId w:val="8"/>
        </w:numPr>
        <w:spacing w:beforeLines="0" w:afterLines="0" w:line="360" w:lineRule="auto"/>
        <w:ind w:firstLineChars="0"/>
        <w:rPr>
          <w:rFonts w:asciiTheme="minorEastAsia" w:eastAsiaTheme="minorEastAsia" w:hAnsiTheme="minorEastAsia"/>
          <w:b w:val="0"/>
          <w:color w:val="000000" w:themeColor="text1"/>
        </w:rPr>
      </w:pPr>
      <w:bookmarkStart w:id="681" w:name="_Toc423335640"/>
      <w:r w:rsidRPr="00C664D3">
        <w:rPr>
          <w:rFonts w:asciiTheme="minorEastAsia" w:eastAsiaTheme="minorEastAsia" w:hAnsiTheme="minorEastAsia"/>
          <w:b w:val="0"/>
          <w:color w:val="000000" w:themeColor="text1"/>
        </w:rPr>
        <w:t>收益分配方案的确定、公告与实施</w:t>
      </w:r>
      <w:bookmarkEnd w:id="681"/>
    </w:p>
    <w:p w:rsidR="00134101" w:rsidRPr="00C664D3" w:rsidRDefault="00134101"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本基金收益分配方案由基金管理人拟定，并由基金托管人复核，在2日内在指定媒介公告。</w:t>
      </w:r>
    </w:p>
    <w:p w:rsidR="00A1091C" w:rsidRPr="00C664D3" w:rsidRDefault="00134101"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基金红利发放日距离收益分配基准日（即可供分配利润计算截止日）的时间不得超过15个工作日。</w:t>
      </w:r>
    </w:p>
    <w:p w:rsidR="00A1091C" w:rsidRPr="00C664D3" w:rsidRDefault="00A1091C" w:rsidP="00AB77C1">
      <w:pPr>
        <w:pStyle w:val="2"/>
        <w:numPr>
          <w:ilvl w:val="0"/>
          <w:numId w:val="8"/>
        </w:numPr>
        <w:spacing w:beforeLines="0" w:afterLines="0" w:line="360" w:lineRule="auto"/>
        <w:ind w:firstLineChars="0"/>
        <w:rPr>
          <w:rFonts w:asciiTheme="minorEastAsia" w:eastAsiaTheme="minorEastAsia" w:hAnsiTheme="minorEastAsia"/>
          <w:b w:val="0"/>
          <w:color w:val="000000" w:themeColor="text1"/>
        </w:rPr>
      </w:pPr>
      <w:bookmarkStart w:id="682" w:name="_Toc22006048"/>
      <w:bookmarkStart w:id="683" w:name="_Toc423335641"/>
      <w:r w:rsidRPr="00C664D3">
        <w:rPr>
          <w:rFonts w:asciiTheme="minorEastAsia" w:eastAsiaTheme="minorEastAsia" w:hAnsiTheme="minorEastAsia"/>
          <w:b w:val="0"/>
          <w:color w:val="000000" w:themeColor="text1"/>
        </w:rPr>
        <w:t>基金收益分配中发生的费用</w:t>
      </w:r>
      <w:bookmarkEnd w:id="682"/>
      <w:bookmarkEnd w:id="683"/>
    </w:p>
    <w:p w:rsidR="000E7B12" w:rsidRPr="00C664D3" w:rsidRDefault="00134101"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w:t>
      </w:r>
      <w:r w:rsidR="004B70DB" w:rsidRPr="00C664D3">
        <w:rPr>
          <w:rFonts w:asciiTheme="minorEastAsia" w:eastAsiaTheme="minorEastAsia" w:hAnsiTheme="minorEastAsia" w:hint="eastAsia"/>
          <w:color w:val="000000" w:themeColor="text1"/>
        </w:rPr>
        <w:t>收益分配时所发生的银行转账或其他手续费用由投资者自行承担。对于场外份额，当投资者的现金红利小于一定金额，不足以支付银行转账或其他手续费用时，基金登记机构可将基金份额持有人的现金红利自动转为对应类别的基金份额。红利再投资的计算方法，依照《业务规则》执行。对于场内份额，遵循深圳证券交易所及中国证券登记结算有限责任公司的相关规定</w:t>
      </w:r>
      <w:r w:rsidRPr="00C664D3">
        <w:rPr>
          <w:rFonts w:asciiTheme="minorEastAsia" w:eastAsiaTheme="minorEastAsia" w:hAnsiTheme="minorEastAsia"/>
          <w:color w:val="000000" w:themeColor="text1"/>
        </w:rPr>
        <w:t>。</w:t>
      </w:r>
      <w:bookmarkStart w:id="684" w:name="_Hlt80958353"/>
      <w:bookmarkEnd w:id="684"/>
    </w:p>
    <w:p w:rsidR="00A1091C" w:rsidRPr="00C664D3" w:rsidRDefault="00A1091C" w:rsidP="00AB77C1">
      <w:pPr>
        <w:spacing w:line="360" w:lineRule="auto"/>
        <w:ind w:firstLineChars="200" w:firstLine="420"/>
        <w:rPr>
          <w:rFonts w:asciiTheme="minorEastAsia" w:eastAsiaTheme="minorEastAsia" w:hAnsiTheme="minorEastAsia"/>
          <w:color w:val="000000" w:themeColor="text1"/>
        </w:rPr>
      </w:pPr>
    </w:p>
    <w:bookmarkEnd w:id="674"/>
    <w:bookmarkEnd w:id="675"/>
    <w:p w:rsidR="00A1091C" w:rsidRPr="00C664D3" w:rsidRDefault="00A1091C" w:rsidP="00AB77C1">
      <w:pPr>
        <w:spacing w:line="360" w:lineRule="auto"/>
        <w:rPr>
          <w:rFonts w:asciiTheme="minorEastAsia" w:eastAsiaTheme="minorEastAsia" w:hAnsiTheme="minorEastAsia"/>
          <w:color w:val="000000" w:themeColor="text1"/>
          <w:szCs w:val="21"/>
        </w:rPr>
      </w:pP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685" w:name="_Toc83904209"/>
      <w:r w:rsidRPr="00C664D3">
        <w:rPr>
          <w:rFonts w:asciiTheme="minorEastAsia" w:eastAsiaTheme="minorEastAsia" w:hAnsiTheme="minorEastAsia"/>
          <w:color w:val="000000" w:themeColor="text1"/>
        </w:rPr>
        <w:lastRenderedPageBreak/>
        <w:t>基金的会计与审计</w:t>
      </w:r>
      <w:bookmarkEnd w:id="685"/>
    </w:p>
    <w:p w:rsidR="00A1091C" w:rsidRPr="00C664D3" w:rsidRDefault="00A1091C" w:rsidP="00AB77C1">
      <w:pPr>
        <w:pStyle w:val="2"/>
        <w:numPr>
          <w:ilvl w:val="0"/>
          <w:numId w:val="9"/>
        </w:numPr>
        <w:spacing w:beforeLines="0" w:afterLines="0" w:line="360" w:lineRule="auto"/>
        <w:ind w:firstLineChars="0"/>
        <w:rPr>
          <w:rFonts w:asciiTheme="minorEastAsia" w:eastAsiaTheme="minorEastAsia" w:hAnsiTheme="minorEastAsia"/>
          <w:b w:val="0"/>
          <w:color w:val="000000" w:themeColor="text1"/>
        </w:rPr>
      </w:pPr>
      <w:bookmarkStart w:id="686" w:name="_Toc423335643"/>
      <w:r w:rsidRPr="00C664D3">
        <w:rPr>
          <w:rFonts w:asciiTheme="minorEastAsia" w:eastAsiaTheme="minorEastAsia" w:hAnsiTheme="minorEastAsia"/>
          <w:b w:val="0"/>
          <w:color w:val="000000" w:themeColor="text1"/>
        </w:rPr>
        <w:t>基金会计政策</w:t>
      </w:r>
      <w:bookmarkEnd w:id="686"/>
    </w:p>
    <w:p w:rsidR="00867E79" w:rsidRPr="00C664D3" w:rsidRDefault="00867E7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1、基金管理人为本基金的基金会计责任方；</w:t>
      </w:r>
    </w:p>
    <w:p w:rsidR="00867E79" w:rsidRPr="00C664D3" w:rsidRDefault="00867E7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2、基金的会计年度为公历年度的1月1日至12月31日；基金首次募集的会计年度按如下原则：如果《基金合同》生效少于2个月，可以并入下一个会计年度；</w:t>
      </w:r>
    </w:p>
    <w:p w:rsidR="00867E79" w:rsidRPr="00C664D3" w:rsidRDefault="00867E7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3、基金核算以人民币为记账本位币，以人民币元为记账单位；</w:t>
      </w:r>
    </w:p>
    <w:p w:rsidR="00867E79" w:rsidRPr="00C664D3" w:rsidRDefault="00867E7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4、会计制度执行国家有关会计制度；</w:t>
      </w:r>
    </w:p>
    <w:p w:rsidR="00867E79" w:rsidRPr="00C664D3" w:rsidRDefault="00867E7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5、本基金独立建账、独立核算；</w:t>
      </w:r>
    </w:p>
    <w:p w:rsidR="00867E79" w:rsidRPr="00C664D3" w:rsidRDefault="00867E7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6、基金管理人及基金托管人各自保留完整的会计账目、凭证并进行日常的会计核算，按照有关规定编制基金会计报表；</w:t>
      </w:r>
    </w:p>
    <w:p w:rsidR="00A1091C" w:rsidRPr="00C664D3" w:rsidRDefault="00867E7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7、基金托管人每月与基金管理人就基金的会计核算、报表编制等进行核对确认。</w:t>
      </w:r>
    </w:p>
    <w:p w:rsidR="00A1091C" w:rsidRPr="00C664D3" w:rsidRDefault="00A1091C" w:rsidP="00AB77C1">
      <w:pPr>
        <w:pStyle w:val="2"/>
        <w:numPr>
          <w:ilvl w:val="0"/>
          <w:numId w:val="9"/>
        </w:numPr>
        <w:spacing w:beforeLines="0" w:afterLines="0" w:line="360" w:lineRule="auto"/>
        <w:ind w:firstLineChars="0"/>
        <w:rPr>
          <w:rFonts w:asciiTheme="minorEastAsia" w:eastAsiaTheme="minorEastAsia" w:hAnsiTheme="minorEastAsia"/>
          <w:b w:val="0"/>
          <w:color w:val="000000" w:themeColor="text1"/>
        </w:rPr>
      </w:pPr>
      <w:bookmarkStart w:id="687" w:name="_Toc423335644"/>
      <w:r w:rsidRPr="00C664D3">
        <w:rPr>
          <w:rFonts w:asciiTheme="minorEastAsia" w:eastAsiaTheme="minorEastAsia" w:hAnsiTheme="minorEastAsia"/>
          <w:b w:val="0"/>
          <w:color w:val="000000" w:themeColor="text1"/>
        </w:rPr>
        <w:t>基金年度审计</w:t>
      </w:r>
      <w:bookmarkEnd w:id="687"/>
    </w:p>
    <w:p w:rsidR="00867E79" w:rsidRPr="00C664D3" w:rsidRDefault="00867E7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1、基金管理人聘请与基金管理人、基金托管人相互独立的具有证券</w:t>
      </w:r>
      <w:r w:rsidR="007642E1" w:rsidRPr="00C664D3">
        <w:rPr>
          <w:rFonts w:asciiTheme="minorEastAsia" w:eastAsiaTheme="minorEastAsia" w:hAnsiTheme="minorEastAsia" w:hint="eastAsia"/>
          <w:color w:val="000000" w:themeColor="text1"/>
        </w:rPr>
        <w:t>、期货相关业务</w:t>
      </w:r>
      <w:r w:rsidRPr="00C664D3">
        <w:rPr>
          <w:rFonts w:asciiTheme="minorEastAsia" w:eastAsiaTheme="minorEastAsia" w:hAnsiTheme="minorEastAsia"/>
          <w:color w:val="000000" w:themeColor="text1"/>
        </w:rPr>
        <w:t>资格的会计师事务所及其注册会计师对本基金的年度财务报表进行审计。</w:t>
      </w:r>
    </w:p>
    <w:p w:rsidR="00867E79" w:rsidRPr="00C664D3" w:rsidRDefault="00867E7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2、会计师事务所更换经办注册会计师，应事先征得基金管理人同意。</w:t>
      </w:r>
    </w:p>
    <w:p w:rsidR="00A1091C" w:rsidRPr="00C664D3" w:rsidRDefault="00867E7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3、基金管理人认为有充足理由更换会计师事务所，须通报基金托管人。更换会计师事务所需在2日内在</w:t>
      </w:r>
      <w:r w:rsidRPr="00C664D3">
        <w:rPr>
          <w:rFonts w:asciiTheme="minorEastAsia" w:eastAsiaTheme="minorEastAsia" w:hAnsiTheme="minorEastAsia" w:hint="eastAsia"/>
          <w:color w:val="000000" w:themeColor="text1"/>
        </w:rPr>
        <w:t>指定媒介</w:t>
      </w:r>
      <w:r w:rsidRPr="00C664D3">
        <w:rPr>
          <w:rFonts w:asciiTheme="minorEastAsia" w:eastAsiaTheme="minorEastAsia" w:hAnsiTheme="minorEastAsia"/>
          <w:color w:val="000000" w:themeColor="text1"/>
        </w:rPr>
        <w:t>公告。</w:t>
      </w:r>
    </w:p>
    <w:p w:rsidR="00A1091C" w:rsidRPr="00C664D3" w:rsidRDefault="00A1091C" w:rsidP="00AB77C1">
      <w:pPr>
        <w:spacing w:line="360" w:lineRule="auto"/>
        <w:rPr>
          <w:rFonts w:asciiTheme="minorEastAsia" w:eastAsiaTheme="minorEastAsia" w:hAnsiTheme="minorEastAsia"/>
          <w:color w:val="000000" w:themeColor="text1"/>
          <w:szCs w:val="21"/>
        </w:rPr>
      </w:pP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688" w:name="_Toc83904210"/>
      <w:r w:rsidRPr="00C664D3">
        <w:rPr>
          <w:rFonts w:asciiTheme="minorEastAsia" w:eastAsiaTheme="minorEastAsia" w:hAnsiTheme="minorEastAsia"/>
          <w:color w:val="000000" w:themeColor="text1"/>
        </w:rPr>
        <w:lastRenderedPageBreak/>
        <w:t>基金的信息披露</w:t>
      </w:r>
      <w:bookmarkEnd w:id="688"/>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p>
    <w:p w:rsidR="004B70DB" w:rsidRPr="00C664D3" w:rsidRDefault="003C2630"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一</w:t>
      </w:r>
      <w:r w:rsidR="004B70DB" w:rsidRPr="00C664D3">
        <w:rPr>
          <w:rFonts w:asciiTheme="minorEastAsia" w:eastAsiaTheme="minorEastAsia" w:hAnsiTheme="minorEastAsia" w:hint="eastAsia"/>
          <w:color w:val="000000" w:themeColor="text1"/>
        </w:rPr>
        <w:t>、本基金的信息披露应符合《基金法》、《运作办法》、《信息披露办法》、《基金合同》及其他有关规定。相关法律法规关于信息披露的披露方式、登载媒介、报备方式等规定发生变化时，本基金从其最新规定。</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二、信息披露义务人</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本基金信息披露义务人包括基金管理人、基金托管人、召集基金份额持有人大会的基金份额持有人等法律、行政法规和中国证监会规定的自然人、法人和非法人组织。</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本基金信息披露义务人以保护基金份额持有人利益为根本出发点，按照法律法规和中国证监会的规定披露基金信息，并保证所披露信息的真实性、准确性、完整性、及时性、简明性和易得性。</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三、本基金信息披露义务人承诺公开披露的基金信息，不得有下列行为：</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1、虚假记载、误导性陈述或者重大遗漏；</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2、对证券投资业绩进行预测；</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3、违规承诺收益或者承担损失；</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4、诋毁其他基金管理人、基金托管人或者基金销售机构；</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5、登载任何自然人、法人和非法人组织的祝贺性、恭维性或推荐性的文字；</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6、中国证监会禁止的其他行为。</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四、本基金公开披露的信息应采用中文文本。如同时采用外文文本的，基金信息披露义务人应保证不同文本的内容一致。不同文本之间发生歧义的，以中文文本为准。</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公开披露的信息采用阿拉伯数字；本基金的人民币基金份额以人民币计算并披露净值及相关信息；美元基金份额以美元计算并披露净值及相关信息。除特别说明外，人民币基金份额的货币单位为人民币元，美元基金份额的货币单位为美元。</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五、公开披露的基金信息</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公开披露的基金信息包括：</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（一）基金招募说明书、《基金合同》、基金托管协议、基金产品资料概要</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lastRenderedPageBreak/>
        <w:t>1、《基金合同》是界定《基金合同》当事人的各项权利、义务关系，明确基金份额持有人大会召开的规则及具体程序，说明基金产品的特性等涉及基金投资者重大利益的事项的法律文件。</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3、基金托管协议是界定基金托管人和基金管理人在基金财产保管及基金运作监督等活动中的权利、义务关系的法律文件。</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基金募集申请经中国证监会注册后，基金管理人在基金份额发售的3日前，将基金招募说明书、《基金合同》摘要登载在指定媒介上；基金管理人、基金托管人应当将《基金合同》、基金托管协议登载在网站上。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（二）基金份额发售公告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基金管理人应当就基金份额发售的具体事宜编制基金份额发售公告，并在披露招募说明书的当日登载于指定媒介上。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（三）《基金合同》生效公告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基金管理人应当在收到中国证监会确认文件的次日在指定媒介上登载《基金合同》生效公告。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（四）上市交易公告书</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基金管理人应当在基金份额上市交易三个工作日前，将《上市交易公告书》登载在指定媒介上。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（五）基金净值信息</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《基金合同》生效后，在开始办理基金份额申购或者赎回前，基金管理人应当至少每周在指定网站披露一次各类人民币基金份额的基金份额净值和基金份额累计净值，至少每周通</w:t>
      </w:r>
      <w:r w:rsidRPr="00C664D3">
        <w:rPr>
          <w:rFonts w:asciiTheme="minorEastAsia" w:eastAsiaTheme="minorEastAsia" w:hAnsiTheme="minorEastAsia" w:hint="eastAsia"/>
          <w:color w:val="000000" w:themeColor="text1"/>
        </w:rPr>
        <w:lastRenderedPageBreak/>
        <w:t>过基金管理人网站披露一次各类美元基金份额的基金份额净值和基金份额累计净值。</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在开始办理基金份额申购或赎回之后，基金管理人应当在不晚于每个开放日后的第二个工作日，通过指定网站、基金销售机构网站或者营业网点披露开放日的各类人民币基金份额的基金份额净值和基金份额累计净值，通过基金管理人网站披露开放日的各类美元基金份额的基金份额净值和基金份额累计净值。</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应当在不晚于半年度和年度最后一日后的第二个工作日，在指定网站披露半年度和年度最后一日的各类人民币基金份额的基金份额净值和基金份额累计净值，在基金管理人网站披露半年度和年度最后一日的各类美元基金份额的基金份额净值和基金份额累计净值。</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（六）基金份额申购、赎回价格</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（七）基金定期报告，包括基金年度报告、基金中期报告和基金季度报告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基金管理人应当在上半年结束之日起两个月内，编制完成基金中期报告，将中期报告登载在指定网站上，并将中期报告提示性公告登载在指定报刊上。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基金管理人应当在季度结束之日起15个工作日内，编制完成基金季度报告，将季度报告登载在指定网站上，并将季度报告提示性公告登载在指定报刊上。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《基金合同》生效不足2个月的，基金管理人可以不编制当期季度报告、中期报告或者年度报告。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基金管理人应当在基金年度报告和中期报告中披露基金组合资产情况及其流动性风险分析等。</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（八）临时报告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本基金发生重大事件，有关信息披露义务人应当在2日内编制临时报告书，并登载在指</w:t>
      </w:r>
      <w:r w:rsidRPr="00C664D3">
        <w:rPr>
          <w:rFonts w:asciiTheme="minorEastAsia" w:eastAsiaTheme="minorEastAsia" w:hAnsiTheme="minorEastAsia" w:hint="eastAsia"/>
          <w:color w:val="000000" w:themeColor="text1"/>
        </w:rPr>
        <w:lastRenderedPageBreak/>
        <w:t>定报刊和指定网站上。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前款所称重大事件，是指可能对基金份额持有人权益或者基金份额的价格产生重大影响的下列事件：</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1、基金份额持有人大会的召开及决定的事项；</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2、基金合同终止、基金清算；</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3、转换基金运作方式、基金合并；</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4、更换基金管理人、基金托管人、基金份额登记机构，基金改聘会计师事务所；</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5、基金管理人委托基金服务机构代为办理基金的份额登记、核算、估值等事项，基金托管人委托基金服务机构代为办理基金的核算、估值、复核等事项；</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6、基金管理人、基金托管人的法定名称、住所发生变更；</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7、基金管理公司变更持有百分之五以上股权的股东、基金管理人的实际控制人变更；</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8、基金募集期延长或提前结束募集；</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9、基金管理人的高级管理人员、基金经理和基金托管人专门基金托管部门负责人发生变动；</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10、基金管理人的董事在最近12个月内变更超过百分之五十，基金管理人、基金托管人专门基金托管部门的主要业务人员在最近12个月内变动超过百分之三十；</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11、涉及基金财产、基金管理业务、基金托管业务的诉讼或仲裁；</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12、基金管理人或其高级管理人员、基金经理因基金管理业务相关行为受到重大行政处罚、刑事处罚，基金托管人或其专门基金托管部门负责人因基金托管业务相关行为受到重大行政处罚、刑事处罚；</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14、基金收益分配事项；</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15、管理费、托管费、申购费、赎回费、销售服务费等费用计提标准、计提方式和费率发生变更；</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16、任一类基金份额净值计价错误达该类基金份额净值百分之零点五；</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17、本基金开始办理申购、赎回；</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18、本基金暂停接受申购、赎回申请或重新接受申购、赎回申请；</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19、基金变更标的指数；</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lastRenderedPageBreak/>
        <w:t>20、基金份额停牌、复牌、暂停上市、恢复上市或终止上市交易；</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21、调整基金份额类别的设置；</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22、基金推出新业务或服务；</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23、基金信息披露义务人认为可能对基金份额持有人权益或者基金份额的价格产生重大影响的其他事项或中国证监会规定的其他事项。</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（九）澄清公告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（十）清算报告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（十一）基金份额持有人大会决议</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基金份额持有人大会决定的事项，应当依法报国务院证券监督管理机构备案，并予以公告。</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（十二）中国证监会规定的其他信息。</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六、信息披露事务管理</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基金管理人、基金托管人应当建立健全信息披露管理制度，指定专门部门及高级管理人员负责管理信息披露事务。</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基金信息披露义务人公开披露基金信息，应当符合中国证监会相关基金信息披露内容与格式准则等法规的规定。</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七、信息披露文件的存放与查阅</w:t>
      </w:r>
    </w:p>
    <w:p w:rsidR="00A1091C"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依法必须披露的信息发布后，基金管理人、基金托管人应当按照相关法律法规规定将信息置备于公司办公场所、基金上市交易的证券交易所，供社会公众查阅、复制。</w:t>
      </w: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689" w:name="_Toc83904211"/>
      <w:r w:rsidRPr="00C664D3">
        <w:rPr>
          <w:rFonts w:asciiTheme="minorEastAsia" w:eastAsiaTheme="minorEastAsia" w:hAnsiTheme="minorEastAsia"/>
          <w:color w:val="000000" w:themeColor="text1"/>
        </w:rPr>
        <w:lastRenderedPageBreak/>
        <w:t>基金合同的变更、终止与基金财产的清算</w:t>
      </w:r>
      <w:bookmarkEnd w:id="689"/>
    </w:p>
    <w:p w:rsidR="00A1091C" w:rsidRPr="00C664D3" w:rsidRDefault="00A1091C" w:rsidP="00AB77C1">
      <w:pPr>
        <w:pStyle w:val="2"/>
        <w:numPr>
          <w:ilvl w:val="0"/>
          <w:numId w:val="10"/>
        </w:numPr>
        <w:spacing w:beforeLines="0" w:afterLines="0" w:line="360" w:lineRule="auto"/>
        <w:ind w:firstLineChars="0"/>
        <w:rPr>
          <w:rFonts w:asciiTheme="minorEastAsia" w:eastAsiaTheme="minorEastAsia" w:hAnsiTheme="minorEastAsia"/>
          <w:b w:val="0"/>
          <w:color w:val="000000" w:themeColor="text1"/>
        </w:rPr>
      </w:pPr>
      <w:bookmarkStart w:id="690" w:name="_Toc97031319"/>
      <w:bookmarkStart w:id="691" w:name="_Toc97107279"/>
      <w:bookmarkStart w:id="692" w:name="_Toc423335659"/>
      <w:bookmarkStart w:id="693" w:name="_Toc86584659"/>
      <w:bookmarkEnd w:id="690"/>
      <w:bookmarkEnd w:id="691"/>
      <w:r w:rsidRPr="00C664D3">
        <w:rPr>
          <w:rFonts w:asciiTheme="minorEastAsia" w:eastAsiaTheme="minorEastAsia" w:hAnsiTheme="minorEastAsia"/>
          <w:b w:val="0"/>
          <w:color w:val="000000" w:themeColor="text1"/>
        </w:rPr>
        <w:t>《基金合同》的变更</w:t>
      </w:r>
      <w:bookmarkEnd w:id="692"/>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1、变更基金合同</w:t>
      </w:r>
      <w:r w:rsidRPr="00C664D3">
        <w:rPr>
          <w:rFonts w:asciiTheme="minorEastAsia" w:eastAsiaTheme="minorEastAsia" w:hAnsiTheme="minorEastAsia" w:hint="eastAsia"/>
          <w:color w:val="000000" w:themeColor="text1"/>
        </w:rPr>
        <w:t>涉及</w:t>
      </w:r>
      <w:r w:rsidRPr="00C664D3">
        <w:rPr>
          <w:rFonts w:asciiTheme="minorEastAsia" w:eastAsiaTheme="minorEastAsia" w:hAnsiTheme="minorEastAsia"/>
          <w:color w:val="000000" w:themeColor="text1"/>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1091C"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2、关于《基金合同》变更的基金份额持有人大会决议</w:t>
      </w:r>
      <w:r w:rsidRPr="00C664D3">
        <w:rPr>
          <w:rFonts w:asciiTheme="minorEastAsia" w:eastAsiaTheme="minorEastAsia" w:hAnsiTheme="minorEastAsia" w:hint="eastAsia"/>
          <w:color w:val="000000" w:themeColor="text1"/>
        </w:rPr>
        <w:t>自表决通过之日起生效</w:t>
      </w:r>
      <w:r w:rsidRPr="00C664D3">
        <w:rPr>
          <w:rFonts w:asciiTheme="minorEastAsia" w:eastAsiaTheme="minorEastAsia" w:hAnsiTheme="minorEastAsia"/>
          <w:color w:val="000000" w:themeColor="text1"/>
        </w:rPr>
        <w:t>，自决议生效后两日内在指定媒介公告。</w:t>
      </w:r>
    </w:p>
    <w:p w:rsidR="00A1091C" w:rsidRPr="00C664D3" w:rsidRDefault="00A1091C" w:rsidP="00AB77C1">
      <w:pPr>
        <w:pStyle w:val="2"/>
        <w:numPr>
          <w:ilvl w:val="0"/>
          <w:numId w:val="10"/>
        </w:numPr>
        <w:spacing w:beforeLines="0" w:afterLines="0" w:line="360" w:lineRule="auto"/>
        <w:ind w:firstLineChars="0"/>
        <w:rPr>
          <w:rFonts w:asciiTheme="minorEastAsia" w:eastAsiaTheme="minorEastAsia" w:hAnsiTheme="minorEastAsia"/>
          <w:b w:val="0"/>
          <w:color w:val="000000" w:themeColor="text1"/>
        </w:rPr>
      </w:pPr>
      <w:bookmarkStart w:id="694" w:name="_Toc423335661"/>
      <w:r w:rsidRPr="00C664D3">
        <w:rPr>
          <w:rFonts w:asciiTheme="minorEastAsia" w:eastAsiaTheme="minorEastAsia" w:hAnsiTheme="minorEastAsia"/>
          <w:b w:val="0"/>
          <w:color w:val="000000" w:themeColor="text1"/>
        </w:rPr>
        <w:t>《基金合同》的终止</w:t>
      </w:r>
      <w:bookmarkEnd w:id="693"/>
      <w:r w:rsidR="00CC2EBA" w:rsidRPr="00C664D3">
        <w:rPr>
          <w:rFonts w:asciiTheme="minorEastAsia" w:eastAsiaTheme="minorEastAsia" w:hAnsiTheme="minorEastAsia" w:hint="eastAsia"/>
          <w:b w:val="0"/>
          <w:color w:val="000000" w:themeColor="text1"/>
        </w:rPr>
        <w:t>事由</w:t>
      </w:r>
      <w:bookmarkEnd w:id="694"/>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有下列情形之一的，《基金合同》应当终止：</w:t>
      </w:r>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1、基金份额持有人大会决定终止的；</w:t>
      </w:r>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2、基金管理人、基金托管人职责终止，在6个月内没有新基金管理人、新基金托管人承接的；</w:t>
      </w:r>
    </w:p>
    <w:p w:rsidR="003C2630" w:rsidRPr="00C664D3" w:rsidRDefault="003C2630" w:rsidP="006D33D8">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w:t>
      </w:r>
      <w:r w:rsidRPr="00C664D3">
        <w:rPr>
          <w:rFonts w:asciiTheme="minorEastAsia" w:eastAsiaTheme="minorEastAsia" w:hAnsiTheme="minorEastAsia"/>
          <w:color w:val="000000" w:themeColor="text1"/>
        </w:rPr>
        <w:t>、《基金合同》约定的其他情形；</w:t>
      </w:r>
    </w:p>
    <w:p w:rsidR="00A1091C"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w:t>
      </w:r>
      <w:r w:rsidRPr="00C664D3">
        <w:rPr>
          <w:rFonts w:asciiTheme="minorEastAsia" w:eastAsiaTheme="minorEastAsia" w:hAnsiTheme="minorEastAsia"/>
          <w:color w:val="000000" w:themeColor="text1"/>
        </w:rPr>
        <w:t>、相关法律法规和中国证监会规定的其他情况。</w:t>
      </w:r>
    </w:p>
    <w:p w:rsidR="00A1091C" w:rsidRPr="00C664D3" w:rsidRDefault="00A1091C" w:rsidP="00AB77C1">
      <w:pPr>
        <w:pStyle w:val="2"/>
        <w:numPr>
          <w:ilvl w:val="0"/>
          <w:numId w:val="10"/>
        </w:numPr>
        <w:spacing w:beforeLines="0" w:afterLines="0" w:line="360" w:lineRule="auto"/>
        <w:ind w:firstLineChars="0"/>
        <w:rPr>
          <w:rFonts w:asciiTheme="minorEastAsia" w:eastAsiaTheme="minorEastAsia" w:hAnsiTheme="minorEastAsia"/>
          <w:b w:val="0"/>
          <w:color w:val="000000" w:themeColor="text1"/>
        </w:rPr>
      </w:pPr>
      <w:bookmarkStart w:id="695" w:name="_Toc86584660"/>
      <w:bookmarkStart w:id="696" w:name="_Toc423335662"/>
      <w:r w:rsidRPr="00C664D3">
        <w:rPr>
          <w:rFonts w:asciiTheme="minorEastAsia" w:eastAsiaTheme="minorEastAsia" w:hAnsiTheme="minorEastAsia"/>
          <w:b w:val="0"/>
          <w:color w:val="000000" w:themeColor="text1"/>
        </w:rPr>
        <w:t>基金财产的清算</w:t>
      </w:r>
      <w:bookmarkEnd w:id="695"/>
      <w:bookmarkEnd w:id="696"/>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1、基金财产清算小组：自出现《基金合同》终止事由之日起30个工作日内成立清算小组，基金管理人组织基金财产清算小组并在中国证监会的监督下进行基金清算。</w:t>
      </w:r>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3、基金财产清算小组职责：基金财产清算小组负责基金财产的保管、清理、估价、变现和分配。基金财产清算小组可以依法进行必要的民事活动。</w:t>
      </w:r>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4、基金财产清算程序：</w:t>
      </w:r>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（1）《基金合同》终止情形出现时，由基金财产清算小组统一接管基金；</w:t>
      </w:r>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（2）对基金财产和债权债务进行清理和确认；</w:t>
      </w:r>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（3）对基金财产进行估值和变现；</w:t>
      </w:r>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（4）制作清算报告；</w:t>
      </w:r>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（5）聘请会计师事务所对清算报告进行外部审计，聘请律师事务所对清算报告出具法</w:t>
      </w:r>
      <w:r w:rsidRPr="00C664D3">
        <w:rPr>
          <w:rFonts w:asciiTheme="minorEastAsia" w:eastAsiaTheme="minorEastAsia" w:hAnsiTheme="minorEastAsia"/>
          <w:color w:val="000000" w:themeColor="text1"/>
        </w:rPr>
        <w:lastRenderedPageBreak/>
        <w:t>律意见书；</w:t>
      </w:r>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（6）将清算报告报中国证监会备案并公告</w:t>
      </w:r>
      <w:r w:rsidRPr="00C664D3">
        <w:rPr>
          <w:rFonts w:asciiTheme="minorEastAsia" w:eastAsiaTheme="minorEastAsia" w:hAnsiTheme="minorEastAsia" w:hint="eastAsia"/>
          <w:color w:val="000000" w:themeColor="text1"/>
        </w:rPr>
        <w:t>；</w:t>
      </w:r>
    </w:p>
    <w:p w:rsidR="003C2630"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（7）对基金财产进行分配</w:t>
      </w:r>
      <w:r w:rsidRPr="00C664D3">
        <w:rPr>
          <w:rFonts w:asciiTheme="minorEastAsia" w:eastAsiaTheme="minorEastAsia" w:hAnsiTheme="minorEastAsia" w:hint="eastAsia"/>
          <w:color w:val="000000" w:themeColor="text1"/>
        </w:rPr>
        <w:t>。</w:t>
      </w:r>
    </w:p>
    <w:p w:rsidR="00A1091C" w:rsidRPr="00C664D3" w:rsidRDefault="003C263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5、基金财产清算的期限为</w:t>
      </w:r>
      <w:r w:rsidRPr="00C664D3">
        <w:rPr>
          <w:rFonts w:asciiTheme="minorEastAsia" w:eastAsiaTheme="minorEastAsia" w:hAnsiTheme="minorEastAsia" w:hint="eastAsia"/>
          <w:color w:val="000000" w:themeColor="text1"/>
        </w:rPr>
        <w:t>6</w:t>
      </w:r>
      <w:r w:rsidRPr="00C664D3">
        <w:rPr>
          <w:rFonts w:asciiTheme="minorEastAsia" w:eastAsiaTheme="minorEastAsia" w:hAnsiTheme="minorEastAsia"/>
          <w:color w:val="000000" w:themeColor="text1"/>
        </w:rPr>
        <w:t>个月</w:t>
      </w:r>
      <w:r w:rsidRPr="00C664D3">
        <w:rPr>
          <w:rFonts w:asciiTheme="minorEastAsia" w:eastAsiaTheme="minorEastAsia" w:hAnsiTheme="minorEastAsia" w:hint="eastAsia"/>
          <w:color w:val="000000" w:themeColor="text1"/>
        </w:rPr>
        <w:t>，但因本基金所持证券的流动性受到限制而不能及时变现的，清算期限相应顺延</w:t>
      </w:r>
      <w:r w:rsidRPr="00C664D3">
        <w:rPr>
          <w:rFonts w:asciiTheme="minorEastAsia" w:eastAsiaTheme="minorEastAsia" w:hAnsiTheme="minorEastAsia"/>
          <w:color w:val="000000" w:themeColor="text1"/>
        </w:rPr>
        <w:t>。</w:t>
      </w:r>
    </w:p>
    <w:p w:rsidR="00A1091C" w:rsidRPr="00C664D3" w:rsidRDefault="00A1091C" w:rsidP="00AB77C1">
      <w:pPr>
        <w:pStyle w:val="2"/>
        <w:numPr>
          <w:ilvl w:val="0"/>
          <w:numId w:val="10"/>
        </w:numPr>
        <w:spacing w:beforeLines="0" w:afterLines="0" w:line="360" w:lineRule="auto"/>
        <w:ind w:firstLineChars="0"/>
        <w:rPr>
          <w:rFonts w:asciiTheme="minorEastAsia" w:eastAsiaTheme="minorEastAsia" w:hAnsiTheme="minorEastAsia"/>
          <w:b w:val="0"/>
          <w:color w:val="000000" w:themeColor="text1"/>
        </w:rPr>
      </w:pPr>
      <w:bookmarkStart w:id="697" w:name="_Toc423335663"/>
      <w:r w:rsidRPr="00C664D3">
        <w:rPr>
          <w:rFonts w:asciiTheme="minorEastAsia" w:eastAsiaTheme="minorEastAsia" w:hAnsiTheme="minorEastAsia"/>
          <w:b w:val="0"/>
          <w:color w:val="000000" w:themeColor="text1"/>
        </w:rPr>
        <w:t>清算费用</w:t>
      </w:r>
      <w:bookmarkEnd w:id="697"/>
    </w:p>
    <w:p w:rsidR="00A1091C" w:rsidRPr="00C664D3" w:rsidRDefault="00975E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清算费用是指基金财产清算小组在进行基金清算过程中发生的所有合理费用，清算费用由基金财产清算小组优先从基金财产中支付。</w:t>
      </w:r>
    </w:p>
    <w:p w:rsidR="00A1091C" w:rsidRPr="00C664D3" w:rsidRDefault="00A1091C" w:rsidP="00AB77C1">
      <w:pPr>
        <w:pStyle w:val="2"/>
        <w:numPr>
          <w:ilvl w:val="0"/>
          <w:numId w:val="10"/>
        </w:numPr>
        <w:spacing w:beforeLines="0" w:afterLines="0" w:line="360" w:lineRule="auto"/>
        <w:ind w:firstLineChars="0"/>
        <w:rPr>
          <w:rFonts w:asciiTheme="minorEastAsia" w:eastAsiaTheme="minorEastAsia" w:hAnsiTheme="minorEastAsia"/>
          <w:b w:val="0"/>
          <w:color w:val="000000" w:themeColor="text1"/>
        </w:rPr>
      </w:pPr>
      <w:bookmarkStart w:id="698" w:name="_Toc423335664"/>
      <w:r w:rsidRPr="00C664D3">
        <w:rPr>
          <w:rFonts w:asciiTheme="minorEastAsia" w:eastAsiaTheme="minorEastAsia" w:hAnsiTheme="minorEastAsia"/>
          <w:b w:val="0"/>
          <w:color w:val="000000" w:themeColor="text1"/>
        </w:rPr>
        <w:t>基金财产清算剩余资产的分配</w:t>
      </w:r>
      <w:bookmarkEnd w:id="698"/>
    </w:p>
    <w:p w:rsidR="00A1091C" w:rsidRPr="00C664D3" w:rsidRDefault="00975E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依据基金财产清算的分配方案，将基金财产清算后的全部剩余资产扣除基金财产清算费用、交纳所欠税款并清偿基金债务后，按基金份额持有人持有的基金份额比例进行分配。</w:t>
      </w:r>
    </w:p>
    <w:p w:rsidR="00A1091C" w:rsidRPr="00C664D3" w:rsidRDefault="00A1091C" w:rsidP="00AB77C1">
      <w:pPr>
        <w:pStyle w:val="2"/>
        <w:numPr>
          <w:ilvl w:val="0"/>
          <w:numId w:val="10"/>
        </w:numPr>
        <w:spacing w:beforeLines="0" w:afterLines="0" w:line="360" w:lineRule="auto"/>
        <w:ind w:firstLineChars="0"/>
        <w:rPr>
          <w:rFonts w:asciiTheme="minorEastAsia" w:eastAsiaTheme="minorEastAsia" w:hAnsiTheme="minorEastAsia"/>
          <w:b w:val="0"/>
          <w:color w:val="000000" w:themeColor="text1"/>
        </w:rPr>
      </w:pPr>
      <w:bookmarkStart w:id="699" w:name="_Toc423335665"/>
      <w:r w:rsidRPr="00C664D3">
        <w:rPr>
          <w:rFonts w:asciiTheme="minorEastAsia" w:eastAsiaTheme="minorEastAsia" w:hAnsiTheme="minorEastAsia"/>
          <w:b w:val="0"/>
          <w:color w:val="000000" w:themeColor="text1"/>
        </w:rPr>
        <w:t>基金财产清算的公告</w:t>
      </w:r>
      <w:bookmarkEnd w:id="699"/>
    </w:p>
    <w:p w:rsidR="00A1091C" w:rsidRPr="00C664D3" w:rsidRDefault="00975E29"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664D3">
        <w:rPr>
          <w:rFonts w:asciiTheme="minorEastAsia" w:eastAsiaTheme="minorEastAsia" w:hAnsiTheme="minorEastAsia" w:hint="eastAsia"/>
          <w:color w:val="000000" w:themeColor="text1"/>
        </w:rPr>
        <w:t>5</w:t>
      </w:r>
      <w:r w:rsidRPr="00C664D3">
        <w:rPr>
          <w:rFonts w:asciiTheme="minorEastAsia" w:eastAsiaTheme="minorEastAsia" w:hAnsiTheme="minorEastAsia"/>
          <w:color w:val="000000" w:themeColor="text1"/>
        </w:rPr>
        <w:t>个工作日内由基金财产清算小组进行公告。</w:t>
      </w:r>
    </w:p>
    <w:p w:rsidR="00A1091C" w:rsidRPr="00C664D3" w:rsidRDefault="00A1091C" w:rsidP="00AB77C1">
      <w:pPr>
        <w:pStyle w:val="2"/>
        <w:numPr>
          <w:ilvl w:val="0"/>
          <w:numId w:val="10"/>
        </w:numPr>
        <w:spacing w:beforeLines="0" w:afterLines="0" w:line="360" w:lineRule="auto"/>
        <w:ind w:firstLineChars="0"/>
        <w:rPr>
          <w:rFonts w:asciiTheme="minorEastAsia" w:eastAsiaTheme="minorEastAsia" w:hAnsiTheme="minorEastAsia"/>
          <w:b w:val="0"/>
          <w:color w:val="000000" w:themeColor="text1"/>
        </w:rPr>
      </w:pPr>
      <w:bookmarkStart w:id="700" w:name="_Toc423335666"/>
      <w:r w:rsidRPr="00C664D3">
        <w:rPr>
          <w:rFonts w:asciiTheme="minorEastAsia" w:eastAsiaTheme="minorEastAsia" w:hAnsiTheme="minorEastAsia"/>
          <w:b w:val="0"/>
          <w:color w:val="000000" w:themeColor="text1"/>
        </w:rPr>
        <w:t>基金财产清算账册及文件的保存</w:t>
      </w:r>
      <w:bookmarkEnd w:id="700"/>
    </w:p>
    <w:p w:rsidR="00A1091C" w:rsidRPr="00C664D3" w:rsidRDefault="00975E29"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rPr>
        <w:t>基金财产清算账册及有关文件由基金托管人保存</w:t>
      </w:r>
      <w:r w:rsidRPr="00C664D3">
        <w:rPr>
          <w:rFonts w:asciiTheme="minorEastAsia" w:eastAsiaTheme="minorEastAsia" w:hAnsiTheme="minorEastAsia" w:hint="eastAsia"/>
          <w:color w:val="000000" w:themeColor="text1"/>
        </w:rPr>
        <w:t>15</w:t>
      </w:r>
      <w:r w:rsidRPr="00C664D3">
        <w:rPr>
          <w:rFonts w:asciiTheme="minorEastAsia" w:eastAsiaTheme="minorEastAsia" w:hAnsiTheme="minorEastAsia"/>
          <w:color w:val="000000" w:themeColor="text1"/>
        </w:rPr>
        <w:t>年以上。</w:t>
      </w: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701" w:name="_Toc83904212"/>
      <w:r w:rsidRPr="00C664D3">
        <w:rPr>
          <w:rFonts w:asciiTheme="minorEastAsia" w:eastAsiaTheme="minorEastAsia" w:hAnsiTheme="minorEastAsia"/>
          <w:color w:val="000000" w:themeColor="text1"/>
        </w:rPr>
        <w:lastRenderedPageBreak/>
        <w:t>基金托管人</w:t>
      </w:r>
      <w:bookmarkEnd w:id="701"/>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（一）基金托管人情况</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Pr="00C664D3">
        <w:rPr>
          <w:rFonts w:asciiTheme="minorEastAsia" w:eastAsiaTheme="minorEastAsia" w:hAnsiTheme="minorEastAsia"/>
          <w:color w:val="000000" w:themeColor="text1"/>
          <w:szCs w:val="21"/>
        </w:rPr>
        <w:t>、</w:t>
      </w:r>
      <w:r w:rsidRPr="00C664D3">
        <w:rPr>
          <w:rFonts w:asciiTheme="minorEastAsia" w:eastAsiaTheme="minorEastAsia" w:hAnsiTheme="minorEastAsia" w:hint="eastAsia"/>
          <w:color w:val="000000" w:themeColor="text1"/>
          <w:szCs w:val="21"/>
        </w:rPr>
        <w:t>基本情况</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名称：中国建设银行股份有限公司(简称：中国建设银行)</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住所：北京市西城区金融大街25号</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办公地址：北京市西城区闹市口大街1号院1号楼</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法定代表人：田国立</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成立时间：</w:t>
      </w:r>
      <w:smartTag w:uri="urn:schemas-microsoft-com:office:smarttags" w:element="chsdate">
        <w:smartTagPr>
          <w:attr w:name="Year" w:val="2004"/>
          <w:attr w:name="Month" w:val="09"/>
          <w:attr w:name="Day" w:val="17"/>
          <w:attr w:name="IsLunarDate" w:val="False"/>
          <w:attr w:name="IsROCDate" w:val="False"/>
        </w:smartTagPr>
        <w:r w:rsidRPr="00C664D3">
          <w:rPr>
            <w:rFonts w:asciiTheme="minorEastAsia" w:eastAsiaTheme="minorEastAsia" w:hAnsiTheme="minorEastAsia" w:hint="eastAsia"/>
            <w:color w:val="000000" w:themeColor="text1"/>
            <w:szCs w:val="21"/>
          </w:rPr>
          <w:t>2004年09月17日</w:t>
        </w:r>
      </w:smartTag>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组织形式：股份有限公司</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注册资本：贰仟伍佰亿壹仟零玖拾柒万柒仟肆佰捌拾陆元整</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存续期间：持续经营</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基金托管资格批文及文号：中国证监会证监基字[1998]12号</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联系人：李莉</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w:t>
      </w:r>
      <w:r w:rsidRPr="00C664D3">
        <w:rPr>
          <w:rFonts w:asciiTheme="minorEastAsia" w:eastAsiaTheme="minorEastAsia" w:hAnsiTheme="minorEastAsia"/>
          <w:color w:val="000000" w:themeColor="text1"/>
          <w:szCs w:val="21"/>
        </w:rPr>
        <w:t>(021)6063 7111</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2、主要人员情况</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3、基金托管业务经营情况</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2021年一季度末，中国建设银行已托管1097只证券投资基金。中国建设银行专业高效的托管服务能力和业务</w:t>
      </w:r>
      <w:r w:rsidRPr="00C664D3">
        <w:rPr>
          <w:rFonts w:asciiTheme="minorEastAsia" w:eastAsiaTheme="minorEastAsia" w:hAnsiTheme="minorEastAsia" w:hint="eastAsia"/>
          <w:color w:val="000000" w:themeColor="text1"/>
          <w:szCs w:val="21"/>
        </w:rPr>
        <w:lastRenderedPageBreak/>
        <w:t>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洲银行家》颁发的“最佳托管系统实施奖”、“中国年度托管业务科技实施奖”以及“中国年度托管银行（大型银行）”奖项。</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（二）基金托管人的内部控制制度</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1、内部控制目标</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2、内部控制组织结构</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3、内部控制制度及措施</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（三）基金托管人对基金管理人运作基金进行监督的方法和程序</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1、监督方法</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2、监督流程</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（2）收到基金管理人的划款指令后，对指令要素等内容进行核查。</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（3）通过技术或非技术手段发现基金涉嫌违规交易，电话或书面要求基金管理人进行解释或举证，如有必要将及时报告中国证监会。</w:t>
      </w:r>
    </w:p>
    <w:p w:rsidR="00AF6C0C" w:rsidRPr="00C664D3" w:rsidRDefault="009528B0" w:rsidP="00AF6C0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rPr>
        <w:t xml:space="preserve"> </w:t>
      </w:r>
      <w:r w:rsidRPr="00C664D3">
        <w:rPr>
          <w:rFonts w:asciiTheme="minorEastAsia" w:eastAsiaTheme="minorEastAsia" w:hAnsiTheme="minorEastAsia"/>
          <w:color w:val="000000" w:themeColor="text1"/>
        </w:rPr>
        <w:br w:type="page"/>
      </w: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702" w:name="_Toc32953684"/>
      <w:bookmarkStart w:id="703" w:name="_Toc32953685"/>
      <w:bookmarkStart w:id="704" w:name="_Toc32953686"/>
      <w:bookmarkStart w:id="705" w:name="_Toc32953687"/>
      <w:bookmarkStart w:id="706" w:name="_Toc32953688"/>
      <w:bookmarkStart w:id="707" w:name="_Toc32953689"/>
      <w:bookmarkStart w:id="708" w:name="_Toc32953690"/>
      <w:bookmarkStart w:id="709" w:name="_Toc32953691"/>
      <w:bookmarkStart w:id="710" w:name="_Toc32953692"/>
      <w:bookmarkStart w:id="711" w:name="_Toc32953693"/>
      <w:bookmarkStart w:id="712" w:name="_Toc32953694"/>
      <w:bookmarkStart w:id="713" w:name="_Toc32953695"/>
      <w:bookmarkStart w:id="714" w:name="_Toc32953696"/>
      <w:bookmarkStart w:id="715" w:name="_Toc32953697"/>
      <w:bookmarkStart w:id="716" w:name="_Toc32953698"/>
      <w:bookmarkStart w:id="717" w:name="_Toc32953699"/>
      <w:bookmarkStart w:id="718" w:name="_Toc32953700"/>
      <w:bookmarkStart w:id="719" w:name="_Toc32953701"/>
      <w:bookmarkStart w:id="720" w:name="_Toc32953702"/>
      <w:bookmarkStart w:id="721" w:name="_Toc32953703"/>
      <w:bookmarkStart w:id="722" w:name="_Toc32953704"/>
      <w:bookmarkStart w:id="723" w:name="_Toc32953705"/>
      <w:bookmarkStart w:id="724" w:name="_Toc32953706"/>
      <w:bookmarkStart w:id="725" w:name="_Toc32953707"/>
      <w:bookmarkStart w:id="726" w:name="_Toc32953708"/>
      <w:bookmarkStart w:id="727" w:name="_Toc32953709"/>
      <w:bookmarkStart w:id="728" w:name="_Toc32953710"/>
      <w:bookmarkStart w:id="729" w:name="_Toc32953711"/>
      <w:bookmarkStart w:id="730" w:name="_Toc32953712"/>
      <w:bookmarkStart w:id="731" w:name="_Toc32953713"/>
      <w:bookmarkStart w:id="732" w:name="_Toc32953714"/>
      <w:bookmarkStart w:id="733" w:name="_Toc32953715"/>
      <w:bookmarkStart w:id="734" w:name="_Toc32953716"/>
      <w:bookmarkStart w:id="735" w:name="_Toc32953717"/>
      <w:bookmarkStart w:id="736" w:name="_Toc32953718"/>
      <w:bookmarkStart w:id="737" w:name="_Toc32953719"/>
      <w:bookmarkStart w:id="738" w:name="_Toc32953720"/>
      <w:bookmarkStart w:id="739" w:name="_Toc32953721"/>
      <w:bookmarkStart w:id="740" w:name="_Toc32953722"/>
      <w:bookmarkStart w:id="741" w:name="_Toc32953723"/>
      <w:bookmarkStart w:id="742" w:name="_Toc32953724"/>
      <w:bookmarkStart w:id="743" w:name="_Toc423335670"/>
      <w:bookmarkStart w:id="744" w:name="_Toc423335671"/>
      <w:bookmarkStart w:id="745" w:name="_Toc423335672"/>
      <w:bookmarkStart w:id="746" w:name="_Toc423335673"/>
      <w:bookmarkStart w:id="747" w:name="_Toc423335674"/>
      <w:bookmarkStart w:id="748" w:name="_Toc423335675"/>
      <w:bookmarkStart w:id="749" w:name="_Toc423335676"/>
      <w:bookmarkStart w:id="750" w:name="_Toc423335677"/>
      <w:bookmarkStart w:id="751" w:name="_Toc423335678"/>
      <w:bookmarkStart w:id="752" w:name="_Toc423335681"/>
      <w:bookmarkStart w:id="753" w:name="_Toc423335682"/>
      <w:bookmarkStart w:id="754" w:name="_Toc423335683"/>
      <w:bookmarkStart w:id="755" w:name="_Toc423335684"/>
      <w:bookmarkStart w:id="756" w:name="_Toc423335685"/>
      <w:bookmarkStart w:id="757" w:name="_Toc423335686"/>
      <w:bookmarkStart w:id="758" w:name="_Toc423335687"/>
      <w:bookmarkStart w:id="759" w:name="_Toc423335688"/>
      <w:bookmarkStart w:id="760" w:name="_Toc423335689"/>
      <w:bookmarkStart w:id="761" w:name="_Toc423335690"/>
      <w:bookmarkStart w:id="762" w:name="_Toc423335691"/>
      <w:bookmarkStart w:id="763" w:name="_Toc423335692"/>
      <w:bookmarkStart w:id="764" w:name="_Toc423335693"/>
      <w:bookmarkStart w:id="765" w:name="_Toc423335694"/>
      <w:bookmarkStart w:id="766" w:name="_Toc423335695"/>
      <w:bookmarkStart w:id="767" w:name="_Toc423335696"/>
      <w:bookmarkStart w:id="768" w:name="_Toc423335697"/>
      <w:bookmarkStart w:id="769" w:name="_Toc423335698"/>
      <w:bookmarkStart w:id="770" w:name="_Toc423335699"/>
      <w:bookmarkStart w:id="771" w:name="_Toc423335700"/>
      <w:bookmarkStart w:id="772" w:name="_Toc423335701"/>
      <w:bookmarkStart w:id="773" w:name="_Toc423335702"/>
      <w:bookmarkStart w:id="774" w:name="_Toc423335703"/>
      <w:bookmarkStart w:id="775" w:name="_Toc423335704"/>
      <w:bookmarkStart w:id="776" w:name="_Toc423335705"/>
      <w:bookmarkStart w:id="777" w:name="_Toc423335706"/>
      <w:bookmarkStart w:id="778" w:name="_Toc423335707"/>
      <w:bookmarkStart w:id="779" w:name="_Toc423335708"/>
      <w:bookmarkStart w:id="780" w:name="_Toc423335709"/>
      <w:bookmarkStart w:id="781" w:name="_Toc423335710"/>
      <w:bookmarkStart w:id="782" w:name="_Toc423335711"/>
      <w:bookmarkStart w:id="783" w:name="_Toc423335712"/>
      <w:bookmarkStart w:id="784" w:name="_Toc423335713"/>
      <w:bookmarkStart w:id="785" w:name="_Toc423335714"/>
      <w:bookmarkStart w:id="786" w:name="_Toc423335715"/>
      <w:bookmarkStart w:id="787" w:name="_Toc423335716"/>
      <w:bookmarkStart w:id="788" w:name="_Toc423335717"/>
      <w:bookmarkStart w:id="789" w:name="_Toc423335718"/>
      <w:bookmarkStart w:id="790" w:name="_Toc423335719"/>
      <w:bookmarkStart w:id="791" w:name="_Toc423335720"/>
      <w:bookmarkStart w:id="792" w:name="_Toc423335721"/>
      <w:bookmarkStart w:id="793" w:name="_Toc423335722"/>
      <w:bookmarkStart w:id="794" w:name="_Toc423335723"/>
      <w:bookmarkStart w:id="795" w:name="_Toc272569090"/>
      <w:bookmarkStart w:id="796" w:name="_Toc272569242"/>
      <w:bookmarkStart w:id="797" w:name="_Toc272569426"/>
      <w:bookmarkStart w:id="798" w:name="_Toc272569563"/>
      <w:bookmarkStart w:id="799" w:name="_Toc272569699"/>
      <w:bookmarkStart w:id="800" w:name="_Toc272569850"/>
      <w:bookmarkStart w:id="801" w:name="_Toc272570173"/>
      <w:bookmarkStart w:id="802" w:name="_Toc272570307"/>
      <w:bookmarkStart w:id="803" w:name="_Toc272570440"/>
      <w:bookmarkStart w:id="804" w:name="_Toc272570574"/>
      <w:bookmarkStart w:id="805" w:name="_Toc272570707"/>
      <w:bookmarkStart w:id="806" w:name="_Toc272570840"/>
      <w:bookmarkStart w:id="807" w:name="_Toc272569091"/>
      <w:bookmarkStart w:id="808" w:name="_Toc272569243"/>
      <w:bookmarkStart w:id="809" w:name="_Toc272569427"/>
      <w:bookmarkStart w:id="810" w:name="_Toc272569564"/>
      <w:bookmarkStart w:id="811" w:name="_Toc272569700"/>
      <w:bookmarkStart w:id="812" w:name="_Toc272569851"/>
      <w:bookmarkStart w:id="813" w:name="_Toc272570174"/>
      <w:bookmarkStart w:id="814" w:name="_Toc272570308"/>
      <w:bookmarkStart w:id="815" w:name="_Toc272570441"/>
      <w:bookmarkStart w:id="816" w:name="_Toc272570575"/>
      <w:bookmarkStart w:id="817" w:name="_Toc272570708"/>
      <w:bookmarkStart w:id="818" w:name="_Toc272570841"/>
      <w:bookmarkStart w:id="819" w:name="_Toc272569093"/>
      <w:bookmarkStart w:id="820" w:name="_Toc272569245"/>
      <w:bookmarkStart w:id="821" w:name="_Toc272569429"/>
      <w:bookmarkStart w:id="822" w:name="_Toc272569566"/>
      <w:bookmarkStart w:id="823" w:name="_Toc272569702"/>
      <w:bookmarkStart w:id="824" w:name="_Toc272569853"/>
      <w:bookmarkStart w:id="825" w:name="_Toc272570176"/>
      <w:bookmarkStart w:id="826" w:name="_Toc272570310"/>
      <w:bookmarkStart w:id="827" w:name="_Toc272570443"/>
      <w:bookmarkStart w:id="828" w:name="_Toc272570577"/>
      <w:bookmarkStart w:id="829" w:name="_Toc272570710"/>
      <w:bookmarkStart w:id="830" w:name="_Toc272570843"/>
      <w:bookmarkStart w:id="831" w:name="_Toc272569094"/>
      <w:bookmarkStart w:id="832" w:name="_Toc272569246"/>
      <w:bookmarkStart w:id="833" w:name="_Toc272569430"/>
      <w:bookmarkStart w:id="834" w:name="_Toc272569567"/>
      <w:bookmarkStart w:id="835" w:name="_Toc272569703"/>
      <w:bookmarkStart w:id="836" w:name="_Toc272569854"/>
      <w:bookmarkStart w:id="837" w:name="_Toc272570177"/>
      <w:bookmarkStart w:id="838" w:name="_Toc272570311"/>
      <w:bookmarkStart w:id="839" w:name="_Toc272570444"/>
      <w:bookmarkStart w:id="840" w:name="_Toc272570578"/>
      <w:bookmarkStart w:id="841" w:name="_Toc272570711"/>
      <w:bookmarkStart w:id="842" w:name="_Toc272570844"/>
      <w:bookmarkStart w:id="843" w:name="_Toc272569095"/>
      <w:bookmarkStart w:id="844" w:name="_Toc272569247"/>
      <w:bookmarkStart w:id="845" w:name="_Toc272569431"/>
      <w:bookmarkStart w:id="846" w:name="_Toc272569568"/>
      <w:bookmarkStart w:id="847" w:name="_Toc272569704"/>
      <w:bookmarkStart w:id="848" w:name="_Toc272569855"/>
      <w:bookmarkStart w:id="849" w:name="_Toc272570178"/>
      <w:bookmarkStart w:id="850" w:name="_Toc272570312"/>
      <w:bookmarkStart w:id="851" w:name="_Toc272570445"/>
      <w:bookmarkStart w:id="852" w:name="_Toc272570579"/>
      <w:bookmarkStart w:id="853" w:name="_Toc272570712"/>
      <w:bookmarkStart w:id="854" w:name="_Toc272570845"/>
      <w:bookmarkStart w:id="855" w:name="_Toc272569096"/>
      <w:bookmarkStart w:id="856" w:name="_Toc272569248"/>
      <w:bookmarkStart w:id="857" w:name="_Toc272569432"/>
      <w:bookmarkStart w:id="858" w:name="_Toc272569569"/>
      <w:bookmarkStart w:id="859" w:name="_Toc272569705"/>
      <w:bookmarkStart w:id="860" w:name="_Toc272569856"/>
      <w:bookmarkStart w:id="861" w:name="_Toc272570179"/>
      <w:bookmarkStart w:id="862" w:name="_Toc272570313"/>
      <w:bookmarkStart w:id="863" w:name="_Toc272570446"/>
      <w:bookmarkStart w:id="864" w:name="_Toc272570580"/>
      <w:bookmarkStart w:id="865" w:name="_Toc272570713"/>
      <w:bookmarkStart w:id="866" w:name="_Toc272570846"/>
      <w:bookmarkStart w:id="867" w:name="_Toc272569097"/>
      <w:bookmarkStart w:id="868" w:name="_Toc272569249"/>
      <w:bookmarkStart w:id="869" w:name="_Toc272569433"/>
      <w:bookmarkStart w:id="870" w:name="_Toc272569570"/>
      <w:bookmarkStart w:id="871" w:name="_Toc272569706"/>
      <w:bookmarkStart w:id="872" w:name="_Toc272569857"/>
      <w:bookmarkStart w:id="873" w:name="_Toc272570180"/>
      <w:bookmarkStart w:id="874" w:name="_Toc272570314"/>
      <w:bookmarkStart w:id="875" w:name="_Toc272570447"/>
      <w:bookmarkStart w:id="876" w:name="_Toc272570581"/>
      <w:bookmarkStart w:id="877" w:name="_Toc272570714"/>
      <w:bookmarkStart w:id="878" w:name="_Toc272570847"/>
      <w:bookmarkStart w:id="879" w:name="_Toc272569098"/>
      <w:bookmarkStart w:id="880" w:name="_Toc272569250"/>
      <w:bookmarkStart w:id="881" w:name="_Toc272569434"/>
      <w:bookmarkStart w:id="882" w:name="_Toc272569571"/>
      <w:bookmarkStart w:id="883" w:name="_Toc272569707"/>
      <w:bookmarkStart w:id="884" w:name="_Toc272569858"/>
      <w:bookmarkStart w:id="885" w:name="_Toc272570181"/>
      <w:bookmarkStart w:id="886" w:name="_Toc272570315"/>
      <w:bookmarkStart w:id="887" w:name="_Toc272570448"/>
      <w:bookmarkStart w:id="888" w:name="_Toc272570582"/>
      <w:bookmarkStart w:id="889" w:name="_Toc272570715"/>
      <w:bookmarkStart w:id="890" w:name="_Toc272570848"/>
      <w:bookmarkStart w:id="891" w:name="_Toc272569099"/>
      <w:bookmarkStart w:id="892" w:name="_Toc272569251"/>
      <w:bookmarkStart w:id="893" w:name="_Toc272569435"/>
      <w:bookmarkStart w:id="894" w:name="_Toc272569572"/>
      <w:bookmarkStart w:id="895" w:name="_Toc272569708"/>
      <w:bookmarkStart w:id="896" w:name="_Toc272569859"/>
      <w:bookmarkStart w:id="897" w:name="_Toc272570182"/>
      <w:bookmarkStart w:id="898" w:name="_Toc272570316"/>
      <w:bookmarkStart w:id="899" w:name="_Toc272570449"/>
      <w:bookmarkStart w:id="900" w:name="_Toc272570583"/>
      <w:bookmarkStart w:id="901" w:name="_Toc272570716"/>
      <w:bookmarkStart w:id="902" w:name="_Toc272570849"/>
      <w:bookmarkStart w:id="903" w:name="_Toc272569100"/>
      <w:bookmarkStart w:id="904" w:name="_Toc272569252"/>
      <w:bookmarkStart w:id="905" w:name="_Toc272569436"/>
      <w:bookmarkStart w:id="906" w:name="_Toc272569573"/>
      <w:bookmarkStart w:id="907" w:name="_Toc272569709"/>
      <w:bookmarkStart w:id="908" w:name="_Toc272569860"/>
      <w:bookmarkStart w:id="909" w:name="_Toc272570183"/>
      <w:bookmarkStart w:id="910" w:name="_Toc272570317"/>
      <w:bookmarkStart w:id="911" w:name="_Toc272570450"/>
      <w:bookmarkStart w:id="912" w:name="_Toc272570584"/>
      <w:bookmarkStart w:id="913" w:name="_Toc272570717"/>
      <w:bookmarkStart w:id="914" w:name="_Toc272570850"/>
      <w:bookmarkStart w:id="915" w:name="_Toc272569102"/>
      <w:bookmarkStart w:id="916" w:name="_Toc272569254"/>
      <w:bookmarkStart w:id="917" w:name="_Toc272569438"/>
      <w:bookmarkStart w:id="918" w:name="_Toc272569575"/>
      <w:bookmarkStart w:id="919" w:name="_Toc272569711"/>
      <w:bookmarkStart w:id="920" w:name="_Toc272569862"/>
      <w:bookmarkStart w:id="921" w:name="_Toc272570185"/>
      <w:bookmarkStart w:id="922" w:name="_Toc272570319"/>
      <w:bookmarkStart w:id="923" w:name="_Toc272570452"/>
      <w:bookmarkStart w:id="924" w:name="_Toc272570586"/>
      <w:bookmarkStart w:id="925" w:name="_Toc272570719"/>
      <w:bookmarkStart w:id="926" w:name="_Toc272570852"/>
      <w:bookmarkStart w:id="927" w:name="_Toc272569103"/>
      <w:bookmarkStart w:id="928" w:name="_Toc272569255"/>
      <w:bookmarkStart w:id="929" w:name="_Toc272569439"/>
      <w:bookmarkStart w:id="930" w:name="_Toc272569576"/>
      <w:bookmarkStart w:id="931" w:name="_Toc272569712"/>
      <w:bookmarkStart w:id="932" w:name="_Toc272569863"/>
      <w:bookmarkStart w:id="933" w:name="_Toc272570186"/>
      <w:bookmarkStart w:id="934" w:name="_Toc272570320"/>
      <w:bookmarkStart w:id="935" w:name="_Toc272570453"/>
      <w:bookmarkStart w:id="936" w:name="_Toc272570587"/>
      <w:bookmarkStart w:id="937" w:name="_Toc272570720"/>
      <w:bookmarkStart w:id="938" w:name="_Toc272570853"/>
      <w:bookmarkStart w:id="939" w:name="_Toc272569104"/>
      <w:bookmarkStart w:id="940" w:name="_Toc272569256"/>
      <w:bookmarkStart w:id="941" w:name="_Toc272569440"/>
      <w:bookmarkStart w:id="942" w:name="_Toc272569577"/>
      <w:bookmarkStart w:id="943" w:name="_Toc272569713"/>
      <w:bookmarkStart w:id="944" w:name="_Toc272569864"/>
      <w:bookmarkStart w:id="945" w:name="_Toc272570187"/>
      <w:bookmarkStart w:id="946" w:name="_Toc272570321"/>
      <w:bookmarkStart w:id="947" w:name="_Toc272570454"/>
      <w:bookmarkStart w:id="948" w:name="_Toc272570588"/>
      <w:bookmarkStart w:id="949" w:name="_Toc272570721"/>
      <w:bookmarkStart w:id="950" w:name="_Toc272570854"/>
      <w:bookmarkStart w:id="951" w:name="_Toc272569105"/>
      <w:bookmarkStart w:id="952" w:name="_Toc272569257"/>
      <w:bookmarkStart w:id="953" w:name="_Toc272569441"/>
      <w:bookmarkStart w:id="954" w:name="_Toc272569578"/>
      <w:bookmarkStart w:id="955" w:name="_Toc272569714"/>
      <w:bookmarkStart w:id="956" w:name="_Toc272569865"/>
      <w:bookmarkStart w:id="957" w:name="_Toc272570188"/>
      <w:bookmarkStart w:id="958" w:name="_Toc272570322"/>
      <w:bookmarkStart w:id="959" w:name="_Toc272570455"/>
      <w:bookmarkStart w:id="960" w:name="_Toc272570589"/>
      <w:bookmarkStart w:id="961" w:name="_Toc272570722"/>
      <w:bookmarkStart w:id="962" w:name="_Toc272570855"/>
      <w:bookmarkStart w:id="963" w:name="_Toc272569106"/>
      <w:bookmarkStart w:id="964" w:name="_Toc272569258"/>
      <w:bookmarkStart w:id="965" w:name="_Toc272569442"/>
      <w:bookmarkStart w:id="966" w:name="_Toc272569579"/>
      <w:bookmarkStart w:id="967" w:name="_Toc272569715"/>
      <w:bookmarkStart w:id="968" w:name="_Toc272569866"/>
      <w:bookmarkStart w:id="969" w:name="_Toc272570189"/>
      <w:bookmarkStart w:id="970" w:name="_Toc272570323"/>
      <w:bookmarkStart w:id="971" w:name="_Toc272570456"/>
      <w:bookmarkStart w:id="972" w:name="_Toc272570590"/>
      <w:bookmarkStart w:id="973" w:name="_Toc272570723"/>
      <w:bookmarkStart w:id="974" w:name="_Toc272570856"/>
      <w:bookmarkStart w:id="975" w:name="_Toc272569107"/>
      <w:bookmarkStart w:id="976" w:name="_Toc272569259"/>
      <w:bookmarkStart w:id="977" w:name="_Toc272569443"/>
      <w:bookmarkStart w:id="978" w:name="_Toc272569580"/>
      <w:bookmarkStart w:id="979" w:name="_Toc272569716"/>
      <w:bookmarkStart w:id="980" w:name="_Toc272569867"/>
      <w:bookmarkStart w:id="981" w:name="_Toc272570190"/>
      <w:bookmarkStart w:id="982" w:name="_Toc272570324"/>
      <w:bookmarkStart w:id="983" w:name="_Toc272570457"/>
      <w:bookmarkStart w:id="984" w:name="_Toc272570591"/>
      <w:bookmarkStart w:id="985" w:name="_Toc272570724"/>
      <w:bookmarkStart w:id="986" w:name="_Toc272570857"/>
      <w:bookmarkStart w:id="987" w:name="_Toc272569108"/>
      <w:bookmarkStart w:id="988" w:name="_Toc272569260"/>
      <w:bookmarkStart w:id="989" w:name="_Toc272569444"/>
      <w:bookmarkStart w:id="990" w:name="_Toc272569581"/>
      <w:bookmarkStart w:id="991" w:name="_Toc272569717"/>
      <w:bookmarkStart w:id="992" w:name="_Toc272569868"/>
      <w:bookmarkStart w:id="993" w:name="_Toc272570191"/>
      <w:bookmarkStart w:id="994" w:name="_Toc272570325"/>
      <w:bookmarkStart w:id="995" w:name="_Toc272570458"/>
      <w:bookmarkStart w:id="996" w:name="_Toc272570592"/>
      <w:bookmarkStart w:id="997" w:name="_Toc272570725"/>
      <w:bookmarkStart w:id="998" w:name="_Toc272570858"/>
      <w:bookmarkStart w:id="999" w:name="_Toc272569109"/>
      <w:bookmarkStart w:id="1000" w:name="_Toc272569261"/>
      <w:bookmarkStart w:id="1001" w:name="_Toc272569445"/>
      <w:bookmarkStart w:id="1002" w:name="_Toc272569582"/>
      <w:bookmarkStart w:id="1003" w:name="_Toc272569718"/>
      <w:bookmarkStart w:id="1004" w:name="_Toc272569869"/>
      <w:bookmarkStart w:id="1005" w:name="_Toc272570192"/>
      <w:bookmarkStart w:id="1006" w:name="_Toc272570326"/>
      <w:bookmarkStart w:id="1007" w:name="_Toc272570459"/>
      <w:bookmarkStart w:id="1008" w:name="_Toc272570593"/>
      <w:bookmarkStart w:id="1009" w:name="_Toc272570726"/>
      <w:bookmarkStart w:id="1010" w:name="_Toc272570859"/>
      <w:bookmarkStart w:id="1011" w:name="_Toc83904213"/>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C664D3">
        <w:rPr>
          <w:rFonts w:asciiTheme="minorEastAsia" w:eastAsiaTheme="minorEastAsia" w:hAnsiTheme="minorEastAsia"/>
          <w:color w:val="000000" w:themeColor="text1"/>
        </w:rPr>
        <w:lastRenderedPageBreak/>
        <w:t>境外资产托管人</w:t>
      </w:r>
      <w:bookmarkEnd w:id="1011"/>
    </w:p>
    <w:p w:rsidR="00210F32" w:rsidRPr="00C664D3" w:rsidRDefault="00210F32" w:rsidP="00F32E31">
      <w:pPr>
        <w:pStyle w:val="2"/>
        <w:numPr>
          <w:ilvl w:val="0"/>
          <w:numId w:val="39"/>
        </w:numPr>
        <w:spacing w:beforeLines="0" w:afterLines="0" w:line="360" w:lineRule="auto"/>
        <w:ind w:firstLineChars="0"/>
        <w:rPr>
          <w:rFonts w:asciiTheme="minorEastAsia" w:eastAsiaTheme="minorEastAsia" w:hAnsiTheme="minorEastAsia"/>
          <w:b w:val="0"/>
          <w:color w:val="000000" w:themeColor="text1"/>
        </w:rPr>
      </w:pPr>
      <w:bookmarkStart w:id="1012" w:name="_Toc423335725"/>
      <w:r w:rsidRPr="00C664D3">
        <w:rPr>
          <w:rFonts w:asciiTheme="minorEastAsia" w:eastAsiaTheme="minorEastAsia" w:hAnsiTheme="minorEastAsia" w:hint="eastAsia"/>
          <w:b w:val="0"/>
          <w:color w:val="000000" w:themeColor="text1"/>
        </w:rPr>
        <w:t>境外托管人的基本情况</w:t>
      </w:r>
    </w:p>
    <w:p w:rsidR="00BE4851" w:rsidRPr="00C664D3" w:rsidRDefault="00BE4851" w:rsidP="00BE485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名称：道富银行 State Street Bank and Trust Company </w:t>
      </w:r>
    </w:p>
    <w:p w:rsidR="00BE4851" w:rsidRPr="00C664D3" w:rsidRDefault="00BE4851" w:rsidP="00BE485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注册地址：One Lincoln Street, Boston, Massachusetts 02111, United States </w:t>
      </w:r>
    </w:p>
    <w:p w:rsidR="00BE4851" w:rsidRPr="00C664D3" w:rsidRDefault="00BE4851" w:rsidP="00BE485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办公地址：One Lincoln Street, Boston, Massachusetts 02111, United States </w:t>
      </w:r>
    </w:p>
    <w:p w:rsidR="00BE4851" w:rsidRPr="00C664D3" w:rsidRDefault="00BE4851" w:rsidP="00BE485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法定代表人：Ronald P. O’Hanley </w:t>
      </w:r>
    </w:p>
    <w:p w:rsidR="00BE4851" w:rsidRPr="00C664D3" w:rsidRDefault="00BE4851" w:rsidP="00BE485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成立时间：1891年4月13日 </w:t>
      </w:r>
    </w:p>
    <w:p w:rsidR="00210F32" w:rsidRPr="00C664D3" w:rsidRDefault="009E7C22" w:rsidP="004718D0">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截止到2020年12月31日, 所有者权益（Shareholders’ Equity）: 262.00亿美元</w:t>
      </w:r>
    </w:p>
    <w:p w:rsidR="00210F32" w:rsidRPr="00C664D3" w:rsidRDefault="00210F32" w:rsidP="00F32E31">
      <w:pPr>
        <w:pStyle w:val="2"/>
        <w:numPr>
          <w:ilvl w:val="0"/>
          <w:numId w:val="39"/>
        </w:numPr>
        <w:spacing w:beforeLines="0" w:afterLines="0" w:line="360" w:lineRule="auto"/>
        <w:ind w:firstLineChars="0"/>
        <w:rPr>
          <w:rFonts w:asciiTheme="minorEastAsia" w:eastAsiaTheme="minorEastAsia" w:hAnsiTheme="minorEastAsia"/>
          <w:b w:val="0"/>
          <w:color w:val="000000" w:themeColor="text1"/>
        </w:rPr>
      </w:pPr>
      <w:r w:rsidRPr="00C664D3">
        <w:rPr>
          <w:rFonts w:asciiTheme="minorEastAsia" w:eastAsiaTheme="minorEastAsia" w:hAnsiTheme="minorEastAsia" w:hint="eastAsia"/>
          <w:b w:val="0"/>
          <w:color w:val="000000" w:themeColor="text1"/>
        </w:rPr>
        <w:t>托管资产规模、国际信用评级和托管业务</w:t>
      </w:r>
    </w:p>
    <w:p w:rsidR="00210F32" w:rsidRPr="00C664D3" w:rsidRDefault="00BE4851" w:rsidP="00BE485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道富银行</w:t>
      </w:r>
      <w:r w:rsidR="009E7C22" w:rsidRPr="00C664D3">
        <w:rPr>
          <w:rFonts w:asciiTheme="minorEastAsia" w:eastAsiaTheme="minorEastAsia" w:hAnsiTheme="minorEastAsia" w:hint="eastAsia"/>
          <w:color w:val="000000" w:themeColor="text1"/>
          <w:szCs w:val="21"/>
        </w:rPr>
        <w:t>的全球托管业务由美国道富集团全资拥有。道富银行始创于1891年，自1924年成为美国第一个共同基金的托管人后，道富银行已成为一家具有领导地位的国际托管银行。2020年12月31日，托管和行政管理资产总额已达到38.79万亿美元，一级资本比率为15.3%。道富银行长期存款信用评级为AA-（标准普尓）及Aa1（穆迪投资）。道富银行在全球30多个国家或地区设有办事处，截至2020年12月31日道富拥有近4万名富有经验的员工为客户提供全方位的托管服务，包括全球托管、基金会计、绩效评估、投资纲领监察报告、外汇交易、证券出借、基金转换管理、受托人和注册登记等服务</w:t>
      </w:r>
      <w:r w:rsidRPr="00C664D3">
        <w:rPr>
          <w:rFonts w:asciiTheme="minorEastAsia" w:eastAsiaTheme="minorEastAsia" w:hAnsiTheme="minorEastAsia" w:hint="eastAsia"/>
          <w:color w:val="000000" w:themeColor="text1"/>
          <w:szCs w:val="21"/>
        </w:rPr>
        <w:t>。</w:t>
      </w:r>
    </w:p>
    <w:p w:rsidR="00210F32" w:rsidRPr="00C664D3" w:rsidRDefault="00210F32" w:rsidP="00F32E31">
      <w:pPr>
        <w:pStyle w:val="2"/>
        <w:numPr>
          <w:ilvl w:val="0"/>
          <w:numId w:val="39"/>
        </w:numPr>
        <w:spacing w:beforeLines="0" w:afterLines="0" w:line="360" w:lineRule="auto"/>
        <w:ind w:firstLineChars="0"/>
        <w:rPr>
          <w:rFonts w:asciiTheme="minorEastAsia" w:eastAsiaTheme="minorEastAsia" w:hAnsiTheme="minorEastAsia"/>
          <w:b w:val="0"/>
          <w:color w:val="000000" w:themeColor="text1"/>
        </w:rPr>
      </w:pPr>
      <w:r w:rsidRPr="00C664D3">
        <w:rPr>
          <w:rFonts w:asciiTheme="minorEastAsia" w:eastAsiaTheme="minorEastAsia" w:hAnsiTheme="minorEastAsia" w:hint="eastAsia"/>
          <w:b w:val="0"/>
          <w:color w:val="000000" w:themeColor="text1"/>
        </w:rPr>
        <w:t>境外托管人的职责</w:t>
      </w:r>
    </w:p>
    <w:p w:rsidR="00BE4851" w:rsidRPr="00C664D3" w:rsidRDefault="00BE4851" w:rsidP="00BE485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1、安全保管受托财产； </w:t>
      </w:r>
    </w:p>
    <w:p w:rsidR="00BE4851" w:rsidRPr="00C664D3" w:rsidRDefault="00BE4851" w:rsidP="00BE485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2、计算境外受托资产的资产净值； </w:t>
      </w:r>
    </w:p>
    <w:p w:rsidR="00BE4851" w:rsidRPr="00C664D3" w:rsidRDefault="00BE4851" w:rsidP="00BE485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3、按照相关合同的约定，及时办理受托资产的清算、交割事宜； </w:t>
      </w:r>
    </w:p>
    <w:p w:rsidR="00BE4851" w:rsidRPr="00C664D3" w:rsidRDefault="00BE4851" w:rsidP="00BE485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4、按照相关合同的约定和所适用国家、地区法律法规的规定，开设受托资产的资金账户以及证券账户； </w:t>
      </w:r>
    </w:p>
    <w:p w:rsidR="00BE4851" w:rsidRPr="00C664D3" w:rsidRDefault="00BE4851" w:rsidP="00BE485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5、按照相关合同的约定，提供与受托资产业务活动有关的会计记录、交易信息； </w:t>
      </w:r>
    </w:p>
    <w:p w:rsidR="00BE4851" w:rsidRPr="00C664D3" w:rsidRDefault="00BE4851" w:rsidP="00BE485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6、保存受托资产托管业务活动的记录、账册以及其他相关资料； </w:t>
      </w:r>
    </w:p>
    <w:p w:rsidR="00A1091C" w:rsidRPr="00C664D3" w:rsidRDefault="00BE4851" w:rsidP="00AC3ACD">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7、其他由基金托管人委托其履行的职责。</w:t>
      </w:r>
      <w:bookmarkStart w:id="1013" w:name="_Toc272569113"/>
      <w:bookmarkStart w:id="1014" w:name="_Toc272569265"/>
      <w:bookmarkStart w:id="1015" w:name="_Toc272569449"/>
      <w:bookmarkStart w:id="1016" w:name="_Toc272569586"/>
      <w:bookmarkStart w:id="1017" w:name="_Toc272569722"/>
      <w:bookmarkStart w:id="1018" w:name="_Toc272569873"/>
      <w:bookmarkStart w:id="1019" w:name="_Toc272569114"/>
      <w:bookmarkStart w:id="1020" w:name="_Toc272569266"/>
      <w:bookmarkStart w:id="1021" w:name="_Toc272569450"/>
      <w:bookmarkStart w:id="1022" w:name="_Toc272569587"/>
      <w:bookmarkStart w:id="1023" w:name="_Toc272569723"/>
      <w:bookmarkStart w:id="1024" w:name="_Toc272569874"/>
      <w:bookmarkStart w:id="1025" w:name="_Toc272569115"/>
      <w:bookmarkStart w:id="1026" w:name="_Toc272569267"/>
      <w:bookmarkStart w:id="1027" w:name="_Toc272569451"/>
      <w:bookmarkStart w:id="1028" w:name="_Toc272569588"/>
      <w:bookmarkStart w:id="1029" w:name="_Toc272569724"/>
      <w:bookmarkStart w:id="1030" w:name="_Toc272569875"/>
      <w:bookmarkStart w:id="1031" w:name="_Toc272569116"/>
      <w:bookmarkStart w:id="1032" w:name="_Toc272569268"/>
      <w:bookmarkStart w:id="1033" w:name="_Toc272569452"/>
      <w:bookmarkStart w:id="1034" w:name="_Toc272569589"/>
      <w:bookmarkStart w:id="1035" w:name="_Toc272569725"/>
      <w:bookmarkStart w:id="1036" w:name="_Toc272569876"/>
      <w:bookmarkStart w:id="1037" w:name="_Toc272569117"/>
      <w:bookmarkStart w:id="1038" w:name="_Toc272569269"/>
      <w:bookmarkStart w:id="1039" w:name="_Toc272569453"/>
      <w:bookmarkStart w:id="1040" w:name="_Toc272569590"/>
      <w:bookmarkStart w:id="1041" w:name="_Toc272569726"/>
      <w:bookmarkStart w:id="1042" w:name="_Toc272569877"/>
      <w:bookmarkStart w:id="1043" w:name="_Toc272569118"/>
      <w:bookmarkStart w:id="1044" w:name="_Toc272569270"/>
      <w:bookmarkStart w:id="1045" w:name="_Toc272569454"/>
      <w:bookmarkStart w:id="1046" w:name="_Toc272569591"/>
      <w:bookmarkStart w:id="1047" w:name="_Toc272569727"/>
      <w:bookmarkStart w:id="1048" w:name="_Toc272569878"/>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1049" w:name="_Toc83904214"/>
      <w:r w:rsidRPr="00C664D3">
        <w:rPr>
          <w:rFonts w:asciiTheme="minorEastAsia" w:eastAsiaTheme="minorEastAsia" w:hAnsiTheme="minorEastAsia"/>
          <w:color w:val="000000" w:themeColor="text1"/>
        </w:rPr>
        <w:lastRenderedPageBreak/>
        <w:t>相关服务机构</w:t>
      </w:r>
      <w:bookmarkEnd w:id="1049"/>
    </w:p>
    <w:p w:rsidR="00A1091C" w:rsidRPr="00C664D3" w:rsidRDefault="00A1091C" w:rsidP="00ED6C9F">
      <w:pPr>
        <w:pStyle w:val="2"/>
        <w:numPr>
          <w:ilvl w:val="0"/>
          <w:numId w:val="38"/>
        </w:numPr>
        <w:spacing w:beforeLines="0" w:afterLines="0" w:line="360" w:lineRule="auto"/>
        <w:ind w:firstLineChars="0"/>
        <w:rPr>
          <w:rFonts w:asciiTheme="minorEastAsia" w:eastAsiaTheme="minorEastAsia" w:hAnsiTheme="minorEastAsia"/>
          <w:b w:val="0"/>
          <w:color w:val="000000" w:themeColor="text1"/>
        </w:rPr>
      </w:pPr>
      <w:bookmarkStart w:id="1050" w:name="_Toc423335728"/>
      <w:r w:rsidRPr="00C664D3">
        <w:rPr>
          <w:rFonts w:asciiTheme="minorEastAsia" w:eastAsiaTheme="minorEastAsia" w:hAnsiTheme="minorEastAsia"/>
          <w:b w:val="0"/>
          <w:color w:val="000000" w:themeColor="text1"/>
        </w:rPr>
        <w:t>基金份额</w:t>
      </w:r>
      <w:r w:rsidR="002F4EA6" w:rsidRPr="00C664D3">
        <w:rPr>
          <w:rFonts w:asciiTheme="minorEastAsia" w:eastAsiaTheme="minorEastAsia" w:hAnsiTheme="minorEastAsia" w:hint="eastAsia"/>
          <w:b w:val="0"/>
          <w:color w:val="000000" w:themeColor="text1"/>
        </w:rPr>
        <w:t>销</w:t>
      </w:r>
      <w:r w:rsidR="002F4EA6" w:rsidRPr="00C664D3">
        <w:rPr>
          <w:rFonts w:asciiTheme="minorEastAsia" w:eastAsiaTheme="minorEastAsia" w:hAnsiTheme="minorEastAsia"/>
          <w:b w:val="0"/>
          <w:color w:val="000000" w:themeColor="text1"/>
        </w:rPr>
        <w:t>售</w:t>
      </w:r>
      <w:r w:rsidRPr="00C664D3">
        <w:rPr>
          <w:rFonts w:asciiTheme="minorEastAsia" w:eastAsiaTheme="minorEastAsia" w:hAnsiTheme="minorEastAsia"/>
          <w:b w:val="0"/>
          <w:color w:val="000000" w:themeColor="text1"/>
        </w:rPr>
        <w:t>机构</w:t>
      </w:r>
      <w:bookmarkEnd w:id="1050"/>
    </w:p>
    <w:p w:rsidR="00A1091C" w:rsidRPr="00C664D3" w:rsidRDefault="00A1091C" w:rsidP="00B3008A">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1</w:t>
      </w:r>
      <w:r w:rsidR="0092527F" w:rsidRPr="00C664D3">
        <w:rPr>
          <w:rFonts w:asciiTheme="minorEastAsia" w:eastAsiaTheme="minorEastAsia" w:hAnsiTheme="minorEastAsia" w:hint="eastAsia"/>
          <w:color w:val="000000" w:themeColor="text1"/>
          <w:szCs w:val="21"/>
        </w:rPr>
        <w:t>.</w:t>
      </w:r>
      <w:r w:rsidR="00810331" w:rsidRPr="00C664D3">
        <w:rPr>
          <w:rFonts w:asciiTheme="minorEastAsia" w:eastAsiaTheme="minorEastAsia" w:hAnsiTheme="minorEastAsia" w:hint="eastAsia"/>
          <w:color w:val="000000" w:themeColor="text1"/>
        </w:rPr>
        <w:t xml:space="preserve"> </w:t>
      </w:r>
      <w:r w:rsidR="00810331" w:rsidRPr="00C664D3">
        <w:rPr>
          <w:rFonts w:asciiTheme="minorEastAsia" w:eastAsiaTheme="minorEastAsia" w:hAnsiTheme="minorEastAsia" w:hint="eastAsia"/>
          <w:color w:val="000000" w:themeColor="text1"/>
          <w:szCs w:val="21"/>
        </w:rPr>
        <w:t>场外</w:t>
      </w:r>
      <w:r w:rsidRPr="00C664D3">
        <w:rPr>
          <w:rFonts w:asciiTheme="minorEastAsia" w:eastAsiaTheme="minorEastAsia" w:hAnsiTheme="minorEastAsia"/>
          <w:color w:val="000000" w:themeColor="text1"/>
          <w:szCs w:val="21"/>
        </w:rPr>
        <w:t>直销</w:t>
      </w:r>
      <w:r w:rsidR="00810331" w:rsidRPr="00C664D3">
        <w:rPr>
          <w:rFonts w:asciiTheme="minorEastAsia" w:eastAsiaTheme="minorEastAsia" w:hAnsiTheme="minorEastAsia" w:hint="eastAsia"/>
          <w:color w:val="000000" w:themeColor="text1"/>
          <w:szCs w:val="21"/>
        </w:rPr>
        <w:t>销售</w:t>
      </w:r>
      <w:r w:rsidRPr="00C664D3">
        <w:rPr>
          <w:rFonts w:asciiTheme="minorEastAsia" w:eastAsiaTheme="minorEastAsia" w:hAnsiTheme="minorEastAsia"/>
          <w:color w:val="000000" w:themeColor="text1"/>
          <w:szCs w:val="21"/>
        </w:rPr>
        <w:t>机构：易方达基金管理有限公司</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w:t>
      </w:r>
      <w:r w:rsidR="00573C28" w:rsidRPr="00C664D3">
        <w:rPr>
          <w:rFonts w:asciiTheme="minorEastAsia" w:eastAsiaTheme="minorEastAsia" w:hAnsiTheme="minorEastAsia" w:hint="eastAsia"/>
          <w:color w:val="000000" w:themeColor="text1"/>
          <w:szCs w:val="21"/>
        </w:rPr>
        <w:t>广东省珠海市横琴新区宝华路6号105室－42891（集中办公区）</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w:t>
      </w:r>
      <w:r w:rsidR="00CD1F4E" w:rsidRPr="00C664D3">
        <w:rPr>
          <w:rFonts w:asciiTheme="minorEastAsia" w:eastAsiaTheme="minorEastAsia" w:hAnsiTheme="minorEastAsia" w:hint="eastAsia"/>
          <w:color w:val="000000" w:themeColor="text1"/>
          <w:szCs w:val="21"/>
        </w:rPr>
        <w:t>广州市天河区珠江新城珠江东路30号广州银行大厦40-43F</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w:t>
      </w:r>
      <w:r w:rsidR="005B6FEF" w:rsidRPr="00C664D3">
        <w:rPr>
          <w:rFonts w:asciiTheme="minorEastAsia" w:eastAsiaTheme="minorEastAsia" w:hAnsiTheme="minorEastAsia" w:hint="eastAsia"/>
          <w:color w:val="000000" w:themeColor="text1"/>
          <w:szCs w:val="21"/>
        </w:rPr>
        <w:t>刘晓艳</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电话：020-85102506</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传真：4008818099</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rPr>
        <w:t>联系人：梁美</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网址：www.efunds.com.cn</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直销机构网点信息：</w:t>
      </w:r>
    </w:p>
    <w:p w:rsidR="003540C8" w:rsidRPr="00C664D3" w:rsidRDefault="003540C8" w:rsidP="00AB77C1">
      <w:pPr>
        <w:widowControl/>
        <w:numPr>
          <w:ilvl w:val="0"/>
          <w:numId w:val="21"/>
        </w:numPr>
        <w:tabs>
          <w:tab w:val="num" w:pos="1276"/>
        </w:tabs>
        <w:spacing w:line="360" w:lineRule="auto"/>
        <w:ind w:left="420" w:firstLine="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易方达基金管理有限公司广州直销中心</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w:t>
      </w:r>
      <w:r w:rsidR="00CD1F4E" w:rsidRPr="00C664D3">
        <w:rPr>
          <w:rFonts w:asciiTheme="minorEastAsia" w:eastAsiaTheme="minorEastAsia" w:hAnsiTheme="minorEastAsia" w:hint="eastAsia"/>
          <w:color w:val="000000" w:themeColor="text1"/>
          <w:szCs w:val="21"/>
        </w:rPr>
        <w:t>广州市天河区珠江新城珠江东路30号广州银行大厦40F</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电话：020-85102506</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传真：4008818099</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rPr>
        <w:t>联系人：梁美</w:t>
      </w:r>
    </w:p>
    <w:p w:rsidR="003540C8" w:rsidRPr="00C664D3" w:rsidRDefault="003540C8" w:rsidP="00AB77C1">
      <w:pPr>
        <w:widowControl/>
        <w:numPr>
          <w:ilvl w:val="0"/>
          <w:numId w:val="21"/>
        </w:numPr>
        <w:tabs>
          <w:tab w:val="num" w:pos="1276"/>
        </w:tabs>
        <w:spacing w:line="360" w:lineRule="auto"/>
        <w:ind w:left="420" w:firstLine="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易方达基金管理有限公司北京直销中心</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w:t>
      </w:r>
      <w:r w:rsidR="0078378E" w:rsidRPr="00C664D3">
        <w:rPr>
          <w:rFonts w:asciiTheme="minorEastAsia" w:eastAsiaTheme="minorEastAsia" w:hAnsiTheme="minorEastAsia" w:hint="eastAsia"/>
          <w:color w:val="000000" w:themeColor="text1"/>
          <w:szCs w:val="21"/>
        </w:rPr>
        <w:t>北京市西城区武定侯街2号泰康国际大厦18层</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电话：010-</w:t>
      </w:r>
      <w:r w:rsidR="00A149C3" w:rsidRPr="00C664D3">
        <w:rPr>
          <w:rFonts w:asciiTheme="minorEastAsia" w:eastAsiaTheme="minorEastAsia" w:hAnsiTheme="minorEastAsia"/>
          <w:color w:val="000000" w:themeColor="text1"/>
          <w:szCs w:val="21"/>
        </w:rPr>
        <w:t>63213377</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传真：4008818099</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w:t>
      </w:r>
      <w:r w:rsidR="00720D57" w:rsidRPr="00C664D3">
        <w:rPr>
          <w:rFonts w:asciiTheme="minorEastAsia" w:eastAsiaTheme="minorEastAsia" w:hAnsiTheme="minorEastAsia" w:hint="eastAsia"/>
          <w:color w:val="000000" w:themeColor="text1"/>
          <w:szCs w:val="21"/>
        </w:rPr>
        <w:t>刘蕾</w:t>
      </w:r>
    </w:p>
    <w:p w:rsidR="003540C8" w:rsidRPr="00C664D3" w:rsidRDefault="003540C8" w:rsidP="00AB77C1">
      <w:pPr>
        <w:widowControl/>
        <w:numPr>
          <w:ilvl w:val="0"/>
          <w:numId w:val="21"/>
        </w:numPr>
        <w:tabs>
          <w:tab w:val="num" w:pos="1276"/>
        </w:tabs>
        <w:spacing w:line="360" w:lineRule="auto"/>
        <w:ind w:left="420" w:firstLine="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易方达基金管理有限公司上海直销中心</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w:t>
      </w:r>
      <w:r w:rsidR="00EC0066" w:rsidRPr="00C664D3">
        <w:rPr>
          <w:rFonts w:asciiTheme="minorEastAsia" w:eastAsiaTheme="minorEastAsia" w:hAnsiTheme="minorEastAsia" w:hint="eastAsia"/>
          <w:color w:val="000000" w:themeColor="text1"/>
          <w:szCs w:val="21"/>
        </w:rPr>
        <w:t>上海市浦东新区世纪大道88号金茂大厦46楼</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电话：021-50476668</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传真：4008818099</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w:t>
      </w:r>
      <w:r w:rsidR="00537678" w:rsidRPr="00C664D3">
        <w:rPr>
          <w:rFonts w:asciiTheme="minorEastAsia" w:eastAsiaTheme="minorEastAsia" w:hAnsiTheme="minorEastAsia" w:hint="eastAsia"/>
          <w:color w:val="000000" w:themeColor="text1"/>
          <w:szCs w:val="21"/>
        </w:rPr>
        <w:t>王程</w:t>
      </w:r>
    </w:p>
    <w:p w:rsidR="003540C8" w:rsidRPr="00C664D3" w:rsidRDefault="003540C8" w:rsidP="00AB77C1">
      <w:pPr>
        <w:widowControl/>
        <w:numPr>
          <w:ilvl w:val="0"/>
          <w:numId w:val="21"/>
        </w:numPr>
        <w:tabs>
          <w:tab w:val="num" w:pos="1276"/>
        </w:tabs>
        <w:spacing w:line="360" w:lineRule="auto"/>
        <w:ind w:left="420" w:firstLine="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易方达基金管理有限公司网上交易系统</w:t>
      </w:r>
    </w:p>
    <w:p w:rsidR="003540C8" w:rsidRPr="00C664D3" w:rsidRDefault="003540C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网址：www.efunds.com.cn</w:t>
      </w:r>
    </w:p>
    <w:p w:rsidR="0015249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2</w:t>
      </w:r>
      <w:r w:rsidR="0092527F" w:rsidRPr="00C664D3">
        <w:rPr>
          <w:rFonts w:asciiTheme="minorEastAsia" w:eastAsiaTheme="minorEastAsia" w:hAnsiTheme="minorEastAsia" w:hint="eastAsia"/>
          <w:color w:val="000000" w:themeColor="text1"/>
          <w:szCs w:val="21"/>
        </w:rPr>
        <w:t>.</w:t>
      </w:r>
      <w:r w:rsidR="0015249C" w:rsidRPr="00C664D3">
        <w:rPr>
          <w:rFonts w:asciiTheme="minorEastAsia" w:eastAsiaTheme="minorEastAsia" w:hAnsiTheme="minorEastAsia" w:hint="eastAsia"/>
          <w:color w:val="000000" w:themeColor="text1"/>
          <w:szCs w:val="21"/>
        </w:rPr>
        <w:t>场内</w:t>
      </w:r>
      <w:r w:rsidR="00D747EF" w:rsidRPr="00C664D3">
        <w:rPr>
          <w:rFonts w:asciiTheme="minorEastAsia" w:eastAsiaTheme="minorEastAsia" w:hAnsiTheme="minorEastAsia" w:hint="eastAsia"/>
          <w:color w:val="000000" w:themeColor="text1"/>
          <w:szCs w:val="21"/>
        </w:rPr>
        <w:t>销售</w:t>
      </w:r>
      <w:r w:rsidR="0015249C" w:rsidRPr="00C664D3">
        <w:rPr>
          <w:rFonts w:asciiTheme="minorEastAsia" w:eastAsiaTheme="minorEastAsia" w:hAnsiTheme="minorEastAsia" w:hint="eastAsia"/>
          <w:color w:val="000000" w:themeColor="text1"/>
          <w:szCs w:val="21"/>
        </w:rPr>
        <w:t>机构</w:t>
      </w:r>
    </w:p>
    <w:p w:rsidR="0015249C" w:rsidRPr="00C664D3" w:rsidRDefault="00D747EF"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具有基金销售资格</w:t>
      </w:r>
      <w:r w:rsidRPr="00C664D3">
        <w:rPr>
          <w:rFonts w:asciiTheme="minorEastAsia" w:eastAsiaTheme="minorEastAsia" w:hAnsiTheme="minorEastAsia" w:hint="eastAsia"/>
          <w:color w:val="000000" w:themeColor="text1"/>
          <w:kern w:val="0"/>
          <w:szCs w:val="21"/>
        </w:rPr>
        <w:t>的深圳证券交易所会员单位</w:t>
      </w:r>
      <w:r w:rsidR="00B97330" w:rsidRPr="00C664D3">
        <w:rPr>
          <w:rFonts w:asciiTheme="minorEastAsia" w:eastAsiaTheme="minorEastAsia" w:hAnsiTheme="minorEastAsia" w:hint="eastAsia"/>
          <w:color w:val="000000" w:themeColor="text1"/>
          <w:szCs w:val="21"/>
        </w:rPr>
        <w:t>，具体名单详见深圳证券交易所网站</w:t>
      </w:r>
      <w:r w:rsidR="0015249C" w:rsidRPr="00C664D3">
        <w:rPr>
          <w:rFonts w:asciiTheme="minorEastAsia" w:eastAsiaTheme="minorEastAsia" w:hAnsiTheme="minorEastAsia" w:hint="eastAsia"/>
          <w:color w:val="000000" w:themeColor="text1"/>
          <w:szCs w:val="21"/>
        </w:rPr>
        <w:t>。</w:t>
      </w:r>
    </w:p>
    <w:p w:rsidR="00D53AE6" w:rsidRPr="00C664D3" w:rsidRDefault="0015249C" w:rsidP="00AF107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w:t>
      </w:r>
      <w:r w:rsidR="0092527F" w:rsidRPr="00C664D3">
        <w:rPr>
          <w:rFonts w:asciiTheme="minorEastAsia" w:eastAsiaTheme="minorEastAsia" w:hAnsiTheme="minorEastAsia" w:hint="eastAsia"/>
          <w:color w:val="000000" w:themeColor="text1"/>
          <w:szCs w:val="21"/>
        </w:rPr>
        <w:t>.</w:t>
      </w:r>
      <w:r w:rsidR="00CF08A1" w:rsidRPr="00C664D3">
        <w:rPr>
          <w:rFonts w:asciiTheme="minorEastAsia" w:eastAsiaTheme="minorEastAsia" w:hAnsiTheme="minorEastAsia" w:hint="eastAsia"/>
          <w:color w:val="000000" w:themeColor="text1"/>
          <w:szCs w:val="21"/>
        </w:rPr>
        <w:t>场外</w:t>
      </w:r>
      <w:r w:rsidR="00D747EF" w:rsidRPr="00C664D3">
        <w:rPr>
          <w:rFonts w:asciiTheme="minorEastAsia" w:eastAsiaTheme="minorEastAsia" w:hAnsiTheme="minorEastAsia" w:hint="eastAsia"/>
          <w:color w:val="000000" w:themeColor="text1"/>
          <w:szCs w:val="21"/>
        </w:rPr>
        <w:t>非直销销售</w:t>
      </w:r>
      <w:r w:rsidR="001B79A5" w:rsidRPr="00C664D3">
        <w:rPr>
          <w:rFonts w:asciiTheme="minorEastAsia" w:eastAsiaTheme="minorEastAsia" w:hAnsiTheme="minorEastAsia" w:hint="eastAsia"/>
          <w:color w:val="000000" w:themeColor="text1"/>
          <w:szCs w:val="21"/>
        </w:rPr>
        <w:t>机构</w:t>
      </w:r>
    </w:p>
    <w:p w:rsidR="00120607" w:rsidRPr="00C664D3" w:rsidRDefault="00120607" w:rsidP="00AF107C">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人民币基金份额</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(1)广发银行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注册地址:广东省广州市越秀区东风东路713号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办公地址:广东省广州市越秀区东风东路713号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法定代表人:王凯</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客户服务电话:400-830-8003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网址:www.cgbchina.com.cn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(2)平安银行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注册地址:广东省深圳市罗湖区深南东路5047号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办公地址:广东省深圳市罗湖区深南东路5047号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法定代表人:谢永林</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联系人:赵杨</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联系电话:0755-22166574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客户服务电话:95511-3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传真:021-50979507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网址:bank.pingan.com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(3)兴业银行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注册地址:福州市湖东路154号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办公地址:上海市银城路167号兴业银行大厦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法定代表人:吕家进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联系人:孙琪虹</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客户服务电话:95561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网址:www.cib.com.cn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(4)招商银行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注册地址:深圳市福田区深南大道7088号招商银行大厦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办公地址:深圳市福田区深南大道7088号招商银行大厦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法定代表人:缪建民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联系人:季平伟</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客户服务电话:95555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网址:www.cmbchina.com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(5)浙商银行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注册地址:浙江省杭州市萧山区鸿宁路1788号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办公地址:浙江杭州市庆春路288号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法定代表人:沈仁康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联系人:沈崟杰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联系电话:0571- 88261822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客户服务电话:95527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传真:0571-87659954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网址:www.czbank.com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(6)杭州银行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注册地址:浙江省杭州市下城区庆春路46号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办公地址:杭州市下城区庆春路46号杭州银行大厦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法定代表人:陈震山</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联系人:蒋梦君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联系电话:0571-85120718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客户服务电话:95398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传真:0571-85106576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网址:www.hzbank.com.cn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(7)江苏银行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注册地址:南京市中华路26号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办公地址:南京市中华路26号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法定代表人:夏平</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联系人:展海军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联系电话:025-58587039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客户服务电话:95319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传真:025-58587820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网址:www.jsbchina.cn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(8)青岛银行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注册地址:山东省青岛市崂山区秦岭路6号3号楼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办公地址:山东省青岛市崂山区秦岭路6号3号楼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法定代表人:郭少泉</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联系人:陈界交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联系电话:0532-68629956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客户服务电话:96588（青岛）400-66-96588（全国）</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网址:http://www.qdccb.com/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(9)泉州银行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注册地址:泉州市丰泽区泉泰路266号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办公地址:泉州市丰泽区泉泰路266号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法定代表人:傅子能</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联系人:董培姗</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联系电话:0595-22551071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客户服务电话:400-88-96312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传真:0595-22578871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网址:http://www.qzccbank.com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(10)微众银行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注册地址:深圳市前海深港合作区前湾一路1号A栋201室（入驻深圳市前海商务秘书有限公司）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办公地址:广东省深圳市南山区沙河西路1819号深圳湾科技生态园7栋A座</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法定代表人:顾敏</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客户服务电话:95384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网址:http://www.webank.com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(11)东莞农村商业银行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注册地址:广东省东莞市东城区鸿福东路2号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办公地址:广东省东莞市东城区鸿福东路2号东莞农商银行大厦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法定代表人:王耀球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联系人:钟燕珊</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客户服务电话:0769-961122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网址:www.drcbank.com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(12)江南农村商业银行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注册地址:常州市武进区延政中路9号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办公地址:常州市武进区延政中路9号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法定代表人:陆向阳</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联系人:李仙</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联系电话:0519-80585939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客户服务电话:0519-96005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传真:0519-89995170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网址:http://www.jnbank.com.cn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(13)上海农村商业银行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注册地址:上海市黄浦区中山东二路70号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办公地址:上海市黄浦区中山东二路70号上海农商银行大厦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法定代表人:徐力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联系人:施传荣</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联系电话:021-61899999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客户服务电话:021-962999、 4006962999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网址:www.srcb.com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(14)安信证券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注册地址:深圳市福田区金田路4018号安联大厦35层、28层A02单元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办公地址:深圳市福田区金田路4018号安联大厦35层、28层A02单元      深圳市福田区深南大道2008号中国凤凰大厦1栋9层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法定代表人:黄炎勋</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联系人:陈剑虹</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联系电话:0755-82825551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客户服务电话:95517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传真:0755-82558355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网址:www.essence.com.cn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(15)渤海证券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注册地址:天津市经济技术开发区第二大街42号写字楼101室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办公地址:天津市南开区宾水西道8号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法定代表人:安志勇</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联系人:王星</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联系电话:022-28451922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客户服务电话:400-651-5988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传真:022-28451892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网址:www.ewww.com.cn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(16)财通证券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注册地址:浙江省杭州市西湖区天目山路198号财通双冠大厦西楼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办公地址:浙江省杭州市西湖区天目山路198号财通双冠大厦西楼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法定代表人:陆建强</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联系人:蔡驰宙</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联系电话:0571-87821867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客户服务电话:95336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网址:www.ctsec.com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(17)财信证券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注册地址:湖南省长沙市岳麓区茶子山东路112号滨江金融中心T3、T4及裙房718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办公地址:长沙市芙蓉中路二段80号顺天国际财富中心26-28层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法定代表人:刘宛晨</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联系人:郭静</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联系电话:0731-84403347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客户服务电话:95317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传真:0731-84403439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网址:www.cfzq.com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(18)长城国瑞证券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注册地址:厦门市思明区莲前西路2号莲富大厦17楼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办公地址:厦门市思明区深田路46号深田国际大厦20楼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法定代表人:王勇</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联系人:布前</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联系电话:010-68085771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客户服务电话:400-0099-886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传真:0592-2079602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网址:www.gwgsc.com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(19)长城证券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注册地址:深圳市福田区福田街道金田路2026号能源大厦南塔楼10-19层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办公地址:深圳市福田区福田街道金田路2026号能源大厦南塔楼10-19层长城证券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法定代表人:张巍</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联系人:纪毓灵</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联系电话:0755-23610914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客户服务电话:400-6666-888或95514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传真:0755-83515567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网址:www.cgws.com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(20)长江证券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注册地址:湖北省武汉市新华路特8号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办公地址:湖北省武汉市新华路特8号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法定代表人:李新华</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联系人:奚博宇</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联系电话:027-65799999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客户服务电话:95579或4008-888-999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传真:027-85481900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网址:www.95579.com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(21)川财证券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注册地址:中国（四川）自由贸易试验区成都高新区交子大道177号中海国际中心B座17楼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办公地址:四川省成都高新区交子大道177号中海国际中心B座17楼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法定代表人:金树成</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联系人:匡婷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联系电话:028-86583053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客户服务电话:028-962708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网址:www.cczq.com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(22)大通证券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注册地址:辽宁省大连市沙河口区会展路129号大连国际金融中心A座-大连期货大厦38、39层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办公地址:辽宁省大连市沙河口区会展路129号大连国际金融中心A座-大连期货大厦38、39层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法定代表人:赵玺</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联系人:谢立军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联系电话:0411-39991807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客户服务电话:4008-169-169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传真:0411-39673214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网址:www.daton.com.cn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(23)大同证券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注册地址:山西省大同市城区迎宾街15号桐城中央21层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办公地址:山西省太原市小店区长治路111号山西世贸中心A座F12、F13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法定代表人:董祥</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联系人:薛津</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联系电话:0351-4130322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客户服务电话:4007121212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传真:0351-7219891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网址:www.dtsbc.com.cn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(24)德邦证券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注册地址:上海市普陀区曹杨路510号南半幢9楼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办公地址:上海市福山路500号城建国际中心29楼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法定代表人:武晓春</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联系人:李林</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联系电话:021-68761616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客户服务电话:400-8888-128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传真:021-68767880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网址:http://www.tebon.com.cn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(25)第一创业证券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注册地址:深圳市福田区福华一路115号投行大厦20楼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办公地址:深圳市福田区福华一路115号投行大厦20楼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法定代表人:刘学民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联系人:单晶</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联系电话:0755-23838750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客户服务电话:95358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网址:www.firstcapital.com.cn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(26)东北证券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注册地址:长春市生态大街6666号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办公地址:长春市生态大街6666号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法定代表人:李福春</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联系人:安岩岩</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联系电话:0431-85096517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客户服务电话:95360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传真:0431-85096795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网址:www.nesc.cn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(27)东海证券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注册地址:江苏省常州市延陵西路23号投资广场18层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办公地址:上海市浦东新区东方路1928号东海证券大厦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法定代表人:钱俊文</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联系人:王一彦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联系电话:021-20333333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客户服务电话:95531、400-8888-588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传真:021-50498825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网址:www.longone.com.cn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(28)东吴证券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注册地址:苏州工业园区星阳街5号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办公地址:苏州工业园区星阳街5号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法定代表人:范力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联系人:陆晓</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联系电话:0512-62938521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客户服务电话:95330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传真:0512-65588021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网址:www.dwzq.com.cn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(29)光大证券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注册地址:上海市静安区新闸路1508号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办公地址:上海市静安区新闸路1508号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法定代表人:刘秋明</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联系人:郁疆</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联系电话:021-22169999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客户服务电话:95525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网址:www.ebscn.com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(30)广发证券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注册地址:广东省广州市黄埔区中新广州知识城腾飞一街2号618室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办公地址:广州市天河区马场路26号广发证券大厦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法定代表人:林传辉</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联系人:黄岚</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客户服务电话:95575或02095575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网址:www.gf.com.cn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(31)国都证券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注册地址:北京市东城区东直门南大街3号国华投资大厦9层10层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办公地址:北京市东城区东直门南大街3号国华投资大厦9层10层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法定代表人:翁振杰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联系人:黄静</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联系电话:010-84183333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客户服务电话:400-818-8118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传真:010-84183311-3122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网址:www.guodu.com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(32)国金证券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注册地址:成都市青羊区东城根上街95号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办公地址:成都市青羊区东城根上街95号成证大厦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法定代表人:冉云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联系人:杜晶、黎建平</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联系电话:028-86690057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客户服务电话:95310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传真:028-86690126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网址:www.gjzq.com.cn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(33)国联证券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注册地址:江苏省无锡市太湖新城金融一街8号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办公地址:江苏省无锡市太湖新城金融一街8号国联金融大厦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法定代表人:姚志勇</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联系人:祁昊</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联系电话:0510-82831662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客户服务电话:95570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传真:0510-82830162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网址:www.glsc.com.cn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(34)国盛证券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注册地址:江西省南昌市新建区子实路1589号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办公地址:江西省南昌市红谷滩新区凤凰中大道1115号北京银行大厦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法定代表人:周军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联系人:占文驰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联系电话:0791-88250812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客户服务电话:956080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传真:0791-86281305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网址:www.gszq.com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(35)国泰君安证券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注册地址:中国（上海）自由贸易试验区商城路618号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办公地址:上海市静安区南京西路768号国泰君安大厦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法定代表人:贺青</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联系人:芮敏祺</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客户服务电话:95521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传真:021-38670666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网址:www.gtja.com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(36)国信证券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注册地址:深圳市罗湖区红岭中路1012号国信证券大厦十六层至二十六层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办公地址:深圳市罗湖区红岭中路1012号国信证券大厦十六层至二十六层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法定代表人:张纳沙</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联系人:李颖</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联系电话:0755-82130833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客户服务电话:95536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传真:0755-82133952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网址:www.guosen.com.cn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(37)海通证券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注册地址:上海市广东路689号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办公地址:上海市广东路689号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法定代表人:周杰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联系人:金芸、李笑鸣</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联系电话:021-23219000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客户服务电话:95553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传真:021-23219100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网址:www.htsec.com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(38)华安证券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注册地址:安徽省合肥市政务文化新区天鹅湖路198号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办公地址:安徽省合肥市政务文化新区天鹅湖路198号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法定代表人:章宏韬</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联系人:范超</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联系电话:0551-65161821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客户服务电话:95318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传真:0551-65161825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网址:www.hazq.com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(39)华龙证券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注册地址:兰州市城关区东岗西路638号兰州财富中心21楼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办公地址:兰州市城关区东岗西路638号兰州财富中心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法定代表人:陈牧原</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联系人:范坤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联系电话:0931-4890208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客户服务电话:95368、400-689-8888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传真:0931-4890628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网址:www.hlzq.com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(40)华泰证券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注册地址:南京市江东中路228号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办公地址:南京市建邺区江东中路228号华泰证券广场</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法定代表人:张伟</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联系人:庞晓芸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联系电话:0755-82492193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客户服务电话:95597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传真:025-83387523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网址:www.htsc.com.cn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(41)华西证券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注册地址:四川省成都市高新区天府二街198号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办公地址:四川省成都市高新区天府二街198号华西证券大厦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法定代表人:杨炯洋</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联系人:赵静静</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联系电话:010-58124967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客户服务电话:95584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传真:028-86150040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网址:www.hx168.com.cn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(42)江海证券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注册地址:黑龙江省哈尔滨市香坊区赣水路56号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办公地址:黑龙江省哈尔滨市松北区创新三路833号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法定代表人:赵洪波</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联系人:王金娇</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联系电话:0451-87765732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客户服务电话:956007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传真:0451-82337279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网址:www.jhzq.com.cn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(43)金元证券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注册地址:海口市南宝路36号证券大厦4楼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办公地址:深圳市深南大道4001号时代金融中心大厦17楼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法定代表人:王作义</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联系人:刘萍</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联系电话:0755-83025693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客户服务电话:95372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传真:0755-83025625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网址:www.jyzq.cn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(44)九州证券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注册地址:青海省西宁市南川工业园区创业路108号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办公地址:北京市朝阳区安立路30号仰山公园东一门2号楼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法定代表人:魏先锋</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联系人:杨婷婷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联系电话:010-57672255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客户服务电话:95305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网址:www.jzsec.com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(45)联储证券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注册地址:山东省青岛市崂山区苗岭路15号金融中心大厦15层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办公地址:上海市浦东新区陆家嘴环路1366号富士康大厦9、10层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法定代表人:吕春卫</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联系人:尹铮铮</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联系电话:010-86499807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客户服务电话:400-620-6868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网址:www.lczq.com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(46)平安证券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注册地址:深圳市福田区福田街道益田路5023号平安金融中心B座第22-25层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办公地址:深圳市福田区金田路4036号荣超大厦16-20层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法定代表人:何之江</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联系人:周驰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联系电话:021-38643230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客户服务电话:95511-8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传真:021-58991896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网址:stock.pingan.com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(47)上海证券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注册地址:上海市黄浦区四川中路213号7楼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办公地址:上海市四川中路213号久事商务大厦7楼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法定代表人:何伟</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联系人:邵珍珍</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联系电话:021-53686888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客户服务电话:4008-918-918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传真:021-53686100-7008，021-53686200-7008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网址:https://www.shzq.com/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(48)申万宏源西部证券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注册地址:新疆乌鲁木齐市高新区（新市区）北京南路358号大成国际大厦20楼2005室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办公地址:新疆乌鲁木齐市高新区（新市区）北京南路358号大成国际大厦20楼2005室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法定代表人:王献军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联系人:王怀春</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联系电话:0991-2307105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客户服务电话:95523、4008895523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传真:010-88085195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网址:www.swhysc.com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(49)申万宏源证券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注册地址:上海市徐汇区长乐路989号45层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办公地址:上海市徐汇区长乐路989号世纪商贸广场45层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法定代表人:杨玉成</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联系人:陈宇</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联系电话:021-33388252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客户服务电话:95523、4008895523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传真:021-33388224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网址:www.swhysc.com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(50)首创证券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注册地址:北京市西城区德胜门外大街115号德胜尚城E座</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办公地址:北京市西城区德胜门外大街115号德胜尚城E座</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法定代表人:毕劲松</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联系人:刘宇</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联系电话:010-59366070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客户服务电话:95381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传真:010-59366238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网址:www.sczq.com.cn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(51)西南证券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注册地址:重庆市江北区桥北苑8号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办公地址:重庆市江北区桥北苑8号西南证券大厦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法定代表人:廖庆轩</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联系人:魏馨怡</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联系电话:023-67663104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客户服务电话:4008096096或95355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传真:023-63786212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网址:www.swsc.com.cn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(52)湘财证券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注册地址:湖南省长沙市天心区湘府中路198号新南城商务中心A栋11楼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办公地址:湖南省长沙市天心区湘府中路198号新南城商务中心A栋11楼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法定代表人:高振营</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联系人:江恩前</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联系电话:021-38784580-8920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客户服务电话:95351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传真:021-68865680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网址:www.xcsc.com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(53)新时代证券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注册地址:北京市海淀区北三环西路99号院1号楼15层1501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办公地址:北京市海淀区北三环西路99号院1号楼15层1501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法定代表人:林雯</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联系人:廖晓</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联系电话:010-83561321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网址:www.xsdzq.cn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(54)信达证券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注册地址:北京市西城区闹市口大街9号院1号楼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办公地址:北京市西城区闹市口大街9号院1号楼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法定代表人:祝瑞敏</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联系人:王薇安</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联系电话:010-83252170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客户服务电话:95321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传真:010-63080978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网址:www.cindasc.com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(55)兴业证券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注册地址:福州市湖东路268号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办公地址:上海浦东新区长柳路36号兴业证券大厦20楼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法定代表人:杨华辉</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联系人:乔琳雪</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联系电话:021-38565547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客户服务电话:95562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网址:www.xyzq.com.cn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(56)银河证券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注册地址:北京市西城区金融大街35号2-6层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办公地址:北京市丰台区西营街8号院1号楼青海金融大厦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法定代表人:陈共炎</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联系人:辛国政</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联系电话:010-80928123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客户服务电话:4008-888-888或95551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网址:www.chinastock.com.cn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(57)粤开证券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注册地址:广州经济技术开发区科学大道60号开发区控股中心21、22、23层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办公地址:广州经济技术开发区科学大道60号开发区控股中心21、22、23层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法定代表人:严亦斌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联系人:彭莲</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联系电话:0755-83331195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客户服务电话:95564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网址:http://www.ykzq.com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(58)招商证券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注册地址:深圳市福田区福田街道福华一路111号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办公地址:深圳市福田区福田街道福华一路111号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法定代表人:霍达</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联系人:黄婵君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联系电话:0755-82943666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客户服务电话:95565、400-8888-111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传真:0755-82943636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网址:www.newone.com.cn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(59)浙商证券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注册地址:浙江省杭州市江干区五星路201号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办公地址:浙江省杭州市江干区五星路201号浙商证券大楼8楼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法定代表人:吴承根</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联系人:高扬</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联系电话:0571-87902974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客户服务电话:95345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传真:0571-87901913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网址:www.stocke.com.cn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(60)中金财富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注册地址:深圳市福田区益田路与福中路交界处荣超商务中心A栋第18-21层及第04层01.02.03.05.11.12.13.15.16.18.19.20.21.22.23单元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办公地址:深圳福田区益田路6003号荣超商务中心A座4层、18-21层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法定代表人:高涛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联系人:万玉琳</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联系电话:0755-82026907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客户服务电话:95532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网址:https://www.ciccwm.com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(61)中金公司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注册地址:北京市朝阳区建国门外大街1号国贸大厦2座27层及28层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办公地址:北京市朝阳区建国门外大街甲6号SK大厦38层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法定代表人:沈如军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联系人:杨涵宇</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联系电话:010-65051166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客户服务电话:4009101166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网址:www.cicc.com.cn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(62)中泰证券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注册地址:济南市市中区经七路86号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办公地址:山东省济南市经七路86号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法定代表人:李峰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联系人:许曼华</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联系电话:021-20315290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客户服务电话:95538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传真:0531-68889095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网址:www.zts.com.cn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(63)中信建投证券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注册地址:北京市朝阳区安立路66号4号楼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办公地址:北京市朝阳门内大街188号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法定代表人:王常青</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联系人:刘芸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联系电话:010－85130554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客户服务电话:95587或4008-888-108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网址:http://www.csc108.com/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(64)中信证券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注册地址:广东省深圳市福田区中心三路8号卓越时代广场（二期）北座</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办公地址:北京市朝阳区亮马桥路48号中信证券大厦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法定代表人:张佑君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联系人:王一通</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联系电话:010-60838888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客户服务电话:95548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传真:010-60836029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网址:www.cs.ecitic.com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(65)中信证券（山东）</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注册地址:青岛市崂山区深圳路222号1号楼2001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办公地址:青岛市市南区东海西路28号龙翔广场东座5层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法定代表人:冯恩新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联系人:焦刚</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联系电话:0531-89606166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客户服务电话:95548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传真:0532-85022605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网址:http://sd.citics.com/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(66)中信证券华南</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注册地址:广州市天河区临江大道395号901室(部位:自编01),1001室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办公地址:广州市天河区临江大道395号合利天德广场T1楼10层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法定代表人:胡伏云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联系人:陈靖</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联系电话:020-88836999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客户服务电话:95548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传真:020-88836984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网址:www.gzs.com.cn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(67)中原证券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注册地址:郑州市郑东新区商务外环路10号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办公地址:河南省郑州市郑东新区商务外环路10号中原广发金融大厦19楼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法定代表人:菅明军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联系人:程月艳  李盼盼 党静</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联系电话:0371-69099882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客户服务电话:95377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传真:0371--65585899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网址:www.ccnew.com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(68)长量基金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注册地址:上海市浦东新区高翔路526号2幢220室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办公地址:上海市浦东新区东方路1267号陆家嘴金融服务广场二期11层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法定代表人:张跃伟</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联系人:孙娅雯</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联系电话:021-20691819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客户服务电话:400-820-2899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传真:021-20691861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网址:www.erichfund.com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(69)创金启富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注册地址:北京市西城区白纸坊东街2号院6号楼712室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办公地址:北京市西城区白纸坊东街2号院6号楼712室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法定代表人:梁蓉</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联系人:魏素清</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联系电话:010-66154828-8047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客户服务电话:010-66154828-8005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传真:010-63583991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网址:www.5irich.com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(70)大智慧基金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注册地址:中国（上海）自由贸易试验区杨高南路428号1号楼1102单元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办公地址:中国（上海）自由贸易试验区杨高南路428号1号楼1102单元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法定代表人:张俊</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联系人:张蜓</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联系电话:021-20219988-35374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客户服务电话:021-20292031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传真:021-20219923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网址:https://www.wg.com.cn/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(71)蛋卷基金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注册地址:北京市朝阳区创远路34号院6号楼15层1501室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办公地址:北京市朝阳区创远路 34 号院融新科技中心 C 座 17 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法定代表人:钟斐斐</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联系人:侯芳芳</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联系电话:010-61840688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客户服务电话:400-159-9288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网址:https://danjuanapp.com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(72)度小满基金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注册地址:北京市海淀区西北旺东路10号院西区4号楼1层103室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办公地址:北京市海淀区西北旺东路10号院西区4号楼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法定代表人:葛新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联系人:孙博超</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联系电话:010-59403028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客户服务电话:95055-4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网址:www.baiyingfund.com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(73)泛华普益</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注册地址:四川省成都市成华区建设路9号高地中心1101室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办公地址:成都市金牛区花照壁西顺街399号1栋1单元龙湖西宸天街B座1201号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法定代表人:于海锋</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联系人:陈丹</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联系电话:15114053620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客户服务电话:400-080-3388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网址:www.puyifund.com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(74)富济基金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注册地址:深圳市福田区福田街道岗厦社区金田路3088号中洲大厦3203A单元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办公地址:深圳市福田区福田街道岗厦社区金田路3088号中洲大厦3203A单元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法定代表人:祝中村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联系人:曾瑶敏</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联系电话:0755-83999907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客户服务电话:0755-83999907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传真:0755-83999926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网址:www.fujifund.cn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(75)海银基金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注册地址:中国（上海）自由贸易试验区银城中路8号402室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办公地址:上海市浦东新区银城中路8号海银金融中心4楼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法定代表人:巩巧丽</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联系人:李卓楠</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联系电话:021-80134149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客户服务电话:400-808-1016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传真:021-80133413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网址:www.fundhaiyin.com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(76)好买基金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注册地址:上海市虹口区欧阳路196号26号楼2楼41号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办公地址:上海市浦东南路1118号鄂尔多斯国际大厦903～906室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法定代表人:杨文斌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联系人:高源</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联系电话:021-36696312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客户服务电话:400-700-9665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传真:021-68596919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网址:www.ehowbuy.com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(77)虹点基金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注册地址:北京市朝阳区东三环北路17号10层1015室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办公地址:北京市朝阳区东三环北路17号10层1015室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法定代表人:何静</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联系人:王重阳</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联系电话:010-65951887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客户服务电话:400-618-0707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网址:www.hongdianfund.com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(78)华夏财富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注册地址:上海市虹口区东大名路687号1幢2楼268室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办公地址:北京市西城区金融大街33号通泰大厦B座8层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法定代表人:毛淮平</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联系人:张静怡</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联系电话:010-88066326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客户服务电话:400-817-5666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传真:010-63136184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网址:www.amcfortune.com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(79)汇成基金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注册地址:北京市西城区宣武门外大街甲1号环球财讯中心D座4层401-2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办公地址:北京市西城区宣武门外大街甲1号环球财讯中心D座401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法定代表人:王伟刚</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联系人:王骁骁</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联系电话:010-56251471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客户服务电话:400-619-9059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网址:www.hcfunds.com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(80)汇付基金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注册地址:上海市黄浦区九江路769号1807-3室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办公地址:上海市徐汇区宜山路700号普天信息产业园2期C5栋 汇付天下总部大楼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法定代表人:金佶</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联系人:甄宝林</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联系电话:021-34013996-3011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客户服务电话:021-34013999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传真:021-33323837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网址:www.hotjijin.com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(81)济安财富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注册地址:北京市朝阳区太阳宫中路16号院1号楼3层307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办公地址:北京市朝阳区太阳宫中路16号院1号楼冠捷大厦3层307单元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法定代表人:杨健</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联系人:李海燕</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联系电话:010-65309516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客户服务电话:400-673-7010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传真:010-65330699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网址:www.jianfortune.com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(82)嘉实财富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注册地址:中国（上海）自由贸易试验区世纪大道8号上海国金中心办公楼二期27层2716单元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办公地址:北京市朝阳区建国门外大街21号北京国际俱乐部C座写字楼11层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法定代表人:张峰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联系人:闫欢</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联系电话:010-85097302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客户服务电话:400-021-8850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传真:010-85712195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网址:www.harvestwm.cn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(83)京东肯特瑞</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注册地址:北京市海淀区西三旗建材城中路12号17号平房157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办公地址:北京市通州区亦庄经济技术开发区科创十一街18号院京东集团总部A座17层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法定代表人:李骏</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联系人:邢锦超</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客户服务电话:95118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网址:kenterui.jd.com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(84)凯石财富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注册地址:上海市黄浦区西藏南路765号602-115室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办公地址:上海市黄浦区延安东路1号凯石大厦4楼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法定代表人:陈继武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联系人:冯强</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联系电话:021-63333389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客户服务电话:4006-433-389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传真:021-63333390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网址:www.vstonewealth.com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(85)利得基金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注册地址:上海市宝山区月浦镇塘南街57号6幢221室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办公地址:上海市虹口区东大名路1098号浦江国际金融广场53层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法定代表人:李兴春</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联系人:张仕钰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联系电话:021-60195205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客户服务电话:400-032-5885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传真:86-21-61101630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网址:www.leadbank.com.cn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(86)联泰基金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注册地址:中国（上海）自由贸易试验区富特北路277号3层310室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办公地址:上海市长宁区福泉北路518号8座3楼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法定代表人:尹彬彬</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联系人:陈东</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联系电话:021-52822063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客户服务电话:400-118-1188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传真:021-52975270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网址:www.66zichan.com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(87)陆基金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注册地址:中国（上海）自由贸易试验区源深路1088号7层（实际楼层6层）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办公地址:上海市源深路1088号平安财富大厦7楼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法定代表人:陈祎彬</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联系人:宁博宇</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联系电话:021-20665952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客户服务电话:4008219031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传真:021-22066653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网址:www.lufunds.com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(88)蚂蚁基金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注册地址:浙江省杭州市余杭区五常街道文一西路969号3幢5层599室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办公地址:浙江省杭州市西湖区万塘路18号黄龙时代广场B座6F</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法定代表人:祖国明</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联系人:韩爱彬</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联系电话:0571-26888888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客户服务电话:4000-766-123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网址:http://www.fund123.cn/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(89)民商基金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注册地址:上海黄浦区北京东路666号H区（东座）6楼A31室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办公地址:上海市浦东新区张杨路707号生命人寿大厦32楼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法定代表人:贲惠琴</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联系人:林志枫</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联系电话:021-50206003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客户服务电话:021-50206003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传真:021-50206001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网址:http://www.msftec.com/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(90)诺亚正行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注册地址:上海市虹口区飞虹路360弄9号3724室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办公地址:上海市杨浦区长阳路1687号长阳谷2号楼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法定代表人:汪静波</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联系人:李娟</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联系电话:021-80358523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客户服务电话:400-821-5399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传真:021-80358749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网址:www.noah-fund.com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(91)钱景基金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注册地址:北京市石景山区城通街26号院2号楼17层1735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办公地址:北京市石景山区城通街26号院2号楼17层1735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法定代表人:王利刚</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联系人:白皓</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联系电话:010-59422766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客户服务电话:400-893-6885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传真:010-62565181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网址:www.qianjing.com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(92)尚善基金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注册地址:浦东新区上丰路977号1幢B座812室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办公地址:上海市浦东新区碧波路690号4幢201-2A室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法定代表人:孙晓慧</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联系人:陆纪青</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联系电话:021-80234888-6813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客户服务电话:400-699-1888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网址:www.998fund.com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(93)苏宁基金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注册地址:南京市玄武区苏宁大道1-5号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办公地址:南京市玄武区苏宁大道1-5号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法定代表人:王锋</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联系人:冯鹏鹏</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联系电话:025-66996699-882796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客户服务电话:95177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网址:www.snjijin.com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(94)腾安基金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注册地址:深圳市前海深港合作区前湾一路1号A栋201室（入驻深圳市前海商务秘书有限公司）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办公地址:深圳市南山区海天二路33号腾讯滨海大厦15楼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法定代表人:刘明军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联系人:谭广锋</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客户服务电话:95017（拨通后转1转8）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网址:https://www.txfund.com/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(95)天天基金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注册地址:上海市徐汇区龙田路190号2号楼2层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办公地址:上海市徐汇区宛平南路88号东方财富大厦</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法定代表人:其实</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联系人:屠彦洋</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联系电话:021-54509977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客户服务电话:95021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传真:021-64385308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网址:www.1234567.com.cn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(96)通华财富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注册地址:上海市虹口区同丰路667弄107号201室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办公地址:上海市浦东新区金沪路55号通华科技大厦2楼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法定代表人:沈丹义</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联系人:杨涛、庄洁茹</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联系电话:021-60810586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客户服务电话:400-101-9301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传真:021-60810695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网址:www.tonghuafund.com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(97)同花顺</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注册地址:浙江省杭州市文二西路1号903室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办公地址:杭州市余杭区五常街道同顺街18号同花顺大楼4层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法定代表人:吴强</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联系人:吴强</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联系电话:0571-88911818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客户服务电话:952555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传真:0571-86800423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网址:www.5ifund.com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(98)挖财基金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注册地址:中国（上海）自由贸易试验区杨高南路759号18层03单元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办公地址:中国（上海）自由贸易试验区杨高南路759号18层03单元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法定代表人:吕柳霞</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联系人:毛善波</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联系电话:021-50810687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客户服务电话:021-50810673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网址:www.wacaijijin.com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(99)万得基金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注册地址:中国（上海）自由贸易试验区福山路33号11楼B座</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办公地址:上海市浦东新区浦明路1500号万得大厦11楼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法定代表人:黄祎</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联系人:徐亚丹</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联系电话:021-50712782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客户服务电话:400-799-1888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网址:www.520fund.com.cn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(100)万家财富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注册地址:天津自贸区（中心商务区）迎宾大道1988号滨海浙商大厦公寓2-2413室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办公地址:北京市西城区丰盛胡同28号太平洋保险大厦A座5层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法定代表人:戴晓云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联系人:王芳芳</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联系电话:010-59013828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客户服务电话:010-59013895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网址:http://www.wanjiawealth.com/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(101)喜鹊基金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注册地址:西藏拉萨市柳梧新区柳梧大厦1513室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办公地址:北京市朝阳区北苑路甲1号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法定代表人:王舰正</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联系人:张萌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联系电话:010-58349088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客户服务电话:4006997719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网址:www.xiquefund.com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(102)新浪仓石</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注册地址:北京市海淀区东北旺西路中关村软件园二期（西扩）N-1、N-2地块新浪总部科研楼5层518室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办公地址:北京市海淀区西北旺东路10号院东区3号楼为明大厦C座</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法定代表人:赵芯蕊</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联系人:赵芯蕊</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联系电话:010-62625768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客户服务电话:010-62675369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传真:010-62676582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网址:www.xincai.com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(103)一路财富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注册地址:北京市海淀区宝盛南路1号院20号楼9层101-14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办公地址:北京市海淀区宝盛南路奥北科技园20号楼国泰大厦9层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法定代表人:吴雪秀</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联系人:董宣</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联系电话:010-88312877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客户服务电话:400-001-1566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传真:010-88312099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网址:www.yilucaifu.com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(104)宜信普泽</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注册地址:北京市朝阳区光华路7号楼20层20A1、20A2单元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办公地址:北京市朝阳区光华路7号楼20层20A1、20A2单元</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法定代表人:才殿阳</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联系人:魏晨</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联系电话:13260309352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客户服务电话:400-6099-200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传真:010-59644044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网址:www.yixinfund.com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(105)盈米基金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注册地址:珠海市横琴新区宝华路6号105室-3491（集中办公区）</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办公地址:广州市海珠区阅江中路688号保利国际广场北塔33层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法定代表人:肖雯</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联系人:邱湘湘</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联系电话:020-89629099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客户服务电话:020-89629066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传真:020-89629011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网址:www.yingmi.cn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(106)云湾基金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注册地址:中国（上海）自由贸易试验区新金桥路27号、明月路1257号1幢1层103-1、103-2办公区</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办公地址:上海市浦东新区新金桥路27号1号楼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法定代表人:冯轶明</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联系人:范泽杰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联系电话:021-20530186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客户服务电话:400-820-1515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传真:021-20539999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网址:http://www.zhengtongfunds.com/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(107)展恒基金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注册地址:北京市朝阳区安苑路11号西楼6层604、607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办公地址:北京市朝阳区北四环中路27号盘古大观3205</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法定代表人:闫振杰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联系人:武文佳</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联系电话:010-59601399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客户服务电话:400-818-8000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传真:0351-4110714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网址:www.myfund.com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(108)植信基金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注册地址:北京市密云区兴盛南路8号院2号楼106室-67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办公地址:北京市朝阳区盛世龙源国食苑10号楼</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法定代表人:王军辉</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联系人:吴鹏</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联系电话:010-56075718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客户服务电话:4006-802-123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网址:www.zhixin-inv.com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(109)中欧财富</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注册地址:中国（上海）自由贸易试验区陆家嘴环路333号502室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办公地址:上海市虹口区公平路18号8栋嘉昱大厦6层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法定代表人:许欣</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联系人:黎静</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联系电话:021-68609600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客户服务电话:400-700-9700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网址:www.qiangungun.com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(110)中正达广</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注册地址:上海市徐汇区龙兰路277号1号楼1203、1204室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办公地址:上海市徐汇区龙兰路277号1号楼1203、1204室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法定代表人:黄欣</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联系人:戴珉微</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联系电话:021-33768132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客户服务电话:400-6767-523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传真:021-33768132-802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网址:www.zhongzhengfund.com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(111)众禄基金</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注册地址:深圳市罗湖区笋岗街道笋西社区梨园路8号HALO广场一期四层12-13室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办公地址:深圳市罗湖区笋岗街道笋西社区梨园路8号HALO广场一期四层12-13室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法定代表人:薛峰</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联系人:龚江江</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联系电话:0755-33227950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客户服务电话:4006-788-887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传真:0755-33227951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网址:www.zlfund.cn    www.jjmmw.com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(112)奕丰金融</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注册地址:深圳市前海深港合作区前湾一路1号A栋201室（入驻深圳市前海商务秘书有限公司）</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办公地址:深圳市南山区海德三道航天科技广场A座17楼1704室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法定代表人:TEO WEE HOWE</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联系人:叶健</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联系电话:0755-89460507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客户服务电话:400-684-0500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传真:0755-21674453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网址:www.ifastps.com.cn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(113)深圳新兰德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注册地址:深圳市福田区福田街道民田路178号华融大厦27层2704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办公地址:北京市西城区宣武门外大街28号富卓大厦A座16层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法定代表人:洪弘</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联系人:文雯</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联系电话:010-83363101</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客户服务电话:400-166-1188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传真:010-83363010</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网址:http://8.jrj.com.cn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(114)中证金牛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注册地址:北京市丰台区东管头1号2号楼2-45室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办公地址:北京市西城区宣武门外大街甲1号环球财讯中心A座5层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法定代表人:钱昊旻</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联系人:沈晨</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联系电话:010-59336544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客户服务电话:4008-909-998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网址:www.jnlc.com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(115)鑫鼎盛</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注册地址:厦门市思明区鹭江道2号厦门第一广场西座1501-1502室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办公地址:厦门市思明区鹭江道2号厦门第一广场西座1501-1502室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法定代表人:林劲</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联系人:梁云波</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联系电话:0592-3122757</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客户服务电话:400-6533-789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网址:www.xds.com.cn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(116)中国人寿</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注册地址:北京市西城区金融大街16号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办公地址:北京市西城区金融大街16号</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法定代表人:王滨</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联系人:杨子彤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联系电话:010-63631752</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客户服务电话:95519</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网址:www.e-chinalife.com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(117)玄元保险</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注册地址:中国（上海）自由贸易试验区张杨路707号1105室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办公地址:中国（上海）自由贸易试验区张杨路707号1105室</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法定代表人:马永谙</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联系人:卢亚博</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联系电话:021-50701003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客户服务电话:400-080-8208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传真:021-50701053</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网址:https://www.licaimofang.cn/</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(118)中信期货</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注册地址:广东省深圳市福田区中心三路8号卓越时代广场（二期）北座13层1301-1305室、14层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办公地址:深圳市福田区中心三路8号卓越时代广场（二期）北座13层1301-1305室、14层</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法定代表人:张皓</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联系人:刘宏莹</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联系电话:010-6083 3754</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客户服务电话:400-990-8826</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传真:021-60819988</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网址:www.citicsf.com</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美元现汇基金份额</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(1)平安银行</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注册地址:广东省深圳市罗湖区深南东路5047号</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办公地址:广东省深圳市罗湖区深南东路5047号</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法定代表人:谢永林</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联系人:赵杨</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联系电话:0755-22166574</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客户服务电话:95511-3</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传真:021-50979507</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网址:bank.pingan.com</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(2)招商银行</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注册地址:深圳市福田区深南大道7088号招商银行大厦</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办公地址:深圳市福田区深南大道7088号招商银行大厦</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法定代表人:缪建民</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联系人:季平伟</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客户服务电话:95555</w:t>
      </w:r>
    </w:p>
    <w:p w:rsidR="00120607" w:rsidRPr="00C664D3" w:rsidRDefault="00120607" w:rsidP="00C664D3">
      <w:pPr>
        <w:spacing w:line="360" w:lineRule="auto"/>
        <w:ind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网址:www.cmbchina.com</w:t>
      </w:r>
    </w:p>
    <w:p w:rsidR="00F12F8B" w:rsidRPr="00C664D3" w:rsidRDefault="00F12F8B" w:rsidP="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注:代销</w:t>
      </w:r>
      <w:r w:rsidR="00120607" w:rsidRPr="00C664D3">
        <w:rPr>
          <w:rFonts w:asciiTheme="minorEastAsia" w:eastAsiaTheme="minorEastAsia" w:hAnsiTheme="minorEastAsia" w:hint="eastAsia"/>
          <w:color w:val="000000" w:themeColor="text1"/>
          <w:szCs w:val="21"/>
        </w:rPr>
        <w:t>本基金</w:t>
      </w:r>
      <w:r w:rsidRPr="00C664D3">
        <w:rPr>
          <w:rFonts w:asciiTheme="minorEastAsia" w:eastAsiaTheme="minorEastAsia" w:hAnsiTheme="minorEastAsia" w:hint="eastAsia"/>
          <w:color w:val="000000" w:themeColor="text1"/>
          <w:szCs w:val="21"/>
        </w:rPr>
        <w:t>C人民币</w:t>
      </w:r>
      <w:r w:rsidR="00120607" w:rsidRPr="00C664D3">
        <w:rPr>
          <w:rFonts w:asciiTheme="minorEastAsia" w:eastAsiaTheme="minorEastAsia" w:hAnsiTheme="minorEastAsia" w:hint="eastAsia"/>
          <w:color w:val="000000" w:themeColor="text1"/>
          <w:szCs w:val="21"/>
        </w:rPr>
        <w:t>基金</w:t>
      </w:r>
      <w:r w:rsidRPr="00C664D3">
        <w:rPr>
          <w:rFonts w:asciiTheme="minorEastAsia" w:eastAsiaTheme="minorEastAsia" w:hAnsiTheme="minorEastAsia" w:hint="eastAsia"/>
          <w:color w:val="000000" w:themeColor="text1"/>
          <w:szCs w:val="21"/>
        </w:rPr>
        <w:t>份额的销售机构有：挖财基金,喜鹊基金,新浪仓石,植信基金,中正达广,中证金牛</w:t>
      </w:r>
    </w:p>
    <w:p w:rsidR="00120607" w:rsidRPr="00C664D3" w:rsidRDefault="00F12F8B">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代销</w:t>
      </w:r>
      <w:r w:rsidR="00120607" w:rsidRPr="00C664D3">
        <w:rPr>
          <w:rFonts w:asciiTheme="minorEastAsia" w:eastAsiaTheme="minorEastAsia" w:hAnsiTheme="minorEastAsia" w:hint="eastAsia"/>
          <w:color w:val="000000" w:themeColor="text1"/>
          <w:szCs w:val="21"/>
        </w:rPr>
        <w:t>本基金</w:t>
      </w:r>
      <w:r w:rsidRPr="00C664D3">
        <w:rPr>
          <w:rFonts w:asciiTheme="minorEastAsia" w:eastAsiaTheme="minorEastAsia" w:hAnsiTheme="minorEastAsia" w:hint="eastAsia"/>
          <w:color w:val="000000" w:themeColor="text1"/>
          <w:szCs w:val="21"/>
        </w:rPr>
        <w:t>A</w:t>
      </w:r>
      <w:r w:rsidR="00120607" w:rsidRPr="00C664D3">
        <w:rPr>
          <w:rFonts w:asciiTheme="minorEastAsia" w:eastAsiaTheme="minorEastAsia" w:hAnsiTheme="minorEastAsia"/>
          <w:color w:val="000000" w:themeColor="text1"/>
          <w:szCs w:val="21"/>
        </w:rPr>
        <w:t>类</w:t>
      </w:r>
      <w:r w:rsidRPr="00C664D3">
        <w:rPr>
          <w:rFonts w:asciiTheme="minorEastAsia" w:eastAsiaTheme="minorEastAsia" w:hAnsiTheme="minorEastAsia" w:hint="eastAsia"/>
          <w:color w:val="000000" w:themeColor="text1"/>
          <w:szCs w:val="21"/>
        </w:rPr>
        <w:t>人民币</w:t>
      </w:r>
      <w:r w:rsidR="00120607" w:rsidRPr="00C664D3">
        <w:rPr>
          <w:rFonts w:asciiTheme="minorEastAsia" w:eastAsiaTheme="minorEastAsia" w:hAnsiTheme="minorEastAsia" w:hint="eastAsia"/>
          <w:color w:val="000000" w:themeColor="text1"/>
          <w:szCs w:val="21"/>
        </w:rPr>
        <w:t>基金</w:t>
      </w:r>
      <w:r w:rsidRPr="00C664D3">
        <w:rPr>
          <w:rFonts w:asciiTheme="minorEastAsia" w:eastAsiaTheme="minorEastAsia" w:hAnsiTheme="minorEastAsia" w:hint="eastAsia"/>
          <w:color w:val="000000" w:themeColor="text1"/>
          <w:szCs w:val="21"/>
        </w:rPr>
        <w:t>份额的销售机构有：安信证券,渤海证券,财通证券,财信证</w:t>
      </w:r>
      <w:r w:rsidRPr="00C664D3">
        <w:rPr>
          <w:rFonts w:asciiTheme="minorEastAsia" w:eastAsiaTheme="minorEastAsia" w:hAnsiTheme="minorEastAsia" w:hint="eastAsia"/>
          <w:color w:val="000000" w:themeColor="text1"/>
          <w:szCs w:val="21"/>
        </w:rPr>
        <w:lastRenderedPageBreak/>
        <w:t>券,长城国瑞证券,长城证券,长江证券,川财证券,大通证券,大同证券,大智慧基金,德邦证券,第一创业证券,东北证券,东海证券,东吴证券,东莞农村商业银行,泛华普益,富济基金,光大证券,广发银行,广发证券,国都证券,国金证券,国联证券,国盛证券,国泰君安证券,国信证券,海通证券,杭州银行,虹点基金,华安证券,华龙证券,华泰证券,华西证券,华夏财富,汇付基金,济安财富,江海证券,江南农村商业银行,江苏银行,金元证券,九州证券,凯石财富,利得基金,联储证券,民商基金,平安银行,平安证券,钱景基金,青岛银行,泉州银行,上海农村商业银行,上海证券,尚善基金,申万宏源西部证券,申万宏源证券,深圳新兰德,首创证券,通华财富,万家财富,微众银行,西南证券,湘财证券,新时代证券,信达证券,兴业银行,兴业证券,玄元保险,一路财富,宜信普泽,银河证券,粤开证券,云湾基金,招商银行,招商证券,浙商银行,浙商证券,中国人寿,中金财富,中金公司,中泰证券,中信建投证券,中信期货,中信证券,中信证券（山东）,中信证券华南,中原证券,鑫鼎盛</w:t>
      </w:r>
    </w:p>
    <w:p w:rsidR="008B0CA6" w:rsidRPr="00C664D3" w:rsidRDefault="008B0CA6">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基金管理人可根据情况变更或增减销售机构并在基金管理人网站公示。</w:t>
      </w:r>
    </w:p>
    <w:p w:rsidR="00A1091C" w:rsidRPr="00C664D3" w:rsidRDefault="00A1091C" w:rsidP="00ED6C9F">
      <w:pPr>
        <w:pStyle w:val="2"/>
        <w:numPr>
          <w:ilvl w:val="0"/>
          <w:numId w:val="38"/>
        </w:numPr>
        <w:spacing w:beforeLines="0" w:afterLines="0" w:line="360" w:lineRule="auto"/>
        <w:ind w:firstLineChars="0"/>
        <w:rPr>
          <w:rFonts w:asciiTheme="minorEastAsia" w:eastAsiaTheme="minorEastAsia" w:hAnsiTheme="minorEastAsia"/>
          <w:b w:val="0"/>
          <w:color w:val="000000" w:themeColor="text1"/>
        </w:rPr>
      </w:pPr>
      <w:bookmarkStart w:id="1051" w:name="_Toc38432429"/>
      <w:bookmarkStart w:id="1052" w:name="_Toc423335729"/>
      <w:r w:rsidRPr="00C664D3">
        <w:rPr>
          <w:rFonts w:asciiTheme="minorEastAsia" w:eastAsiaTheme="minorEastAsia" w:hAnsiTheme="minorEastAsia"/>
          <w:b w:val="0"/>
          <w:color w:val="000000" w:themeColor="text1"/>
        </w:rPr>
        <w:t>基金登记结算机构</w:t>
      </w:r>
      <w:bookmarkEnd w:id="1051"/>
      <w:bookmarkEnd w:id="1052"/>
    </w:p>
    <w:p w:rsidR="0012787F" w:rsidRPr="00C664D3" w:rsidRDefault="0012787F"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00CA2AC4" w:rsidRPr="00C664D3">
        <w:rPr>
          <w:rFonts w:asciiTheme="minorEastAsia" w:eastAsiaTheme="minorEastAsia" w:hAnsiTheme="minorEastAsia" w:hint="eastAsia"/>
          <w:color w:val="000000" w:themeColor="text1"/>
          <w:szCs w:val="21"/>
        </w:rPr>
        <w:t>A类</w:t>
      </w:r>
      <w:r w:rsidRPr="00C664D3">
        <w:rPr>
          <w:rFonts w:asciiTheme="minorEastAsia" w:eastAsiaTheme="minorEastAsia" w:hAnsiTheme="minorEastAsia" w:hint="eastAsia"/>
          <w:color w:val="000000" w:themeColor="text1"/>
          <w:szCs w:val="21"/>
        </w:rPr>
        <w:t>人民币基金份额</w:t>
      </w:r>
    </w:p>
    <w:p w:rsidR="00A1091C" w:rsidRPr="00C664D3" w:rsidRDefault="00A1091C"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名称：中国证券登记结算有限责任公司</w:t>
      </w:r>
    </w:p>
    <w:p w:rsidR="00A1091C" w:rsidRPr="00C664D3" w:rsidRDefault="00A1091C"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住所：北京西城区</w:t>
      </w:r>
      <w:r w:rsidRPr="00C664D3">
        <w:rPr>
          <w:rFonts w:asciiTheme="minorEastAsia" w:eastAsiaTheme="minorEastAsia" w:hAnsiTheme="minorEastAsia" w:hint="eastAsia"/>
          <w:color w:val="000000" w:themeColor="text1"/>
        </w:rPr>
        <w:t>太平桥大街17号</w:t>
      </w:r>
    </w:p>
    <w:p w:rsidR="00A1091C" w:rsidRPr="00C664D3" w:rsidRDefault="00A1091C"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办公地址：北京西城区</w:t>
      </w:r>
      <w:r w:rsidRPr="00C664D3">
        <w:rPr>
          <w:rFonts w:asciiTheme="minorEastAsia" w:eastAsiaTheme="minorEastAsia" w:hAnsiTheme="minorEastAsia" w:hint="eastAsia"/>
          <w:color w:val="000000" w:themeColor="text1"/>
        </w:rPr>
        <w:t>太平桥大街17号</w:t>
      </w:r>
    </w:p>
    <w:p w:rsidR="00A1091C" w:rsidRPr="00C664D3" w:rsidRDefault="00A1091C"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法定代表人：</w:t>
      </w:r>
      <w:r w:rsidR="00CA2AC4" w:rsidRPr="00C664D3">
        <w:rPr>
          <w:rFonts w:asciiTheme="minorEastAsia" w:eastAsiaTheme="minorEastAsia" w:hAnsiTheme="minorEastAsia" w:hint="eastAsia"/>
          <w:color w:val="000000" w:themeColor="text1"/>
        </w:rPr>
        <w:t>于文强</w:t>
      </w:r>
    </w:p>
    <w:p w:rsidR="00985CF6" w:rsidRPr="00C664D3" w:rsidRDefault="00985CF6"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电话：</w:t>
      </w:r>
      <w:r w:rsidR="00194BFE" w:rsidRPr="00C664D3">
        <w:rPr>
          <w:rFonts w:asciiTheme="minorEastAsia" w:eastAsiaTheme="minorEastAsia" w:hAnsiTheme="minorEastAsia"/>
          <w:color w:val="000000" w:themeColor="text1"/>
          <w:szCs w:val="21"/>
        </w:rPr>
        <w:t>4008058058</w:t>
      </w:r>
    </w:p>
    <w:p w:rsidR="00985CF6" w:rsidRPr="00C664D3" w:rsidRDefault="00985CF6"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传真：（010）5</w:t>
      </w:r>
      <w:r w:rsidRPr="00C664D3">
        <w:rPr>
          <w:rFonts w:asciiTheme="minorEastAsia" w:eastAsiaTheme="minorEastAsia" w:hAnsiTheme="minorEastAsia" w:hint="eastAsia"/>
          <w:color w:val="000000" w:themeColor="text1"/>
          <w:szCs w:val="21"/>
        </w:rPr>
        <w:t>0</w:t>
      </w:r>
      <w:r w:rsidRPr="00C664D3">
        <w:rPr>
          <w:rFonts w:asciiTheme="minorEastAsia" w:eastAsiaTheme="minorEastAsia" w:hAnsiTheme="minorEastAsia"/>
          <w:color w:val="000000" w:themeColor="text1"/>
        </w:rPr>
        <w:t>938907</w:t>
      </w:r>
    </w:p>
    <w:p w:rsidR="0012787F" w:rsidRPr="00C664D3" w:rsidRDefault="00985CF6"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联系人：</w:t>
      </w:r>
      <w:r w:rsidR="00194BFE" w:rsidRPr="00C664D3">
        <w:rPr>
          <w:rFonts w:asciiTheme="minorEastAsia" w:eastAsiaTheme="minorEastAsia" w:hAnsiTheme="minorEastAsia" w:hint="eastAsia"/>
          <w:color w:val="000000" w:themeColor="text1"/>
          <w:szCs w:val="21"/>
        </w:rPr>
        <w:t>赵亦清</w:t>
      </w:r>
    </w:p>
    <w:p w:rsidR="0012787F" w:rsidRPr="00C664D3" w:rsidRDefault="0012787F"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w:t>
      </w:r>
      <w:r w:rsidR="00CA2AC4" w:rsidRPr="00C664D3">
        <w:rPr>
          <w:rFonts w:asciiTheme="minorEastAsia" w:eastAsiaTheme="minorEastAsia" w:hAnsiTheme="minorEastAsia" w:hint="eastAsia"/>
          <w:color w:val="000000" w:themeColor="text1"/>
          <w:szCs w:val="21"/>
        </w:rPr>
        <w:t>C类人民币基金份额、A类美元基金份额及C类</w:t>
      </w:r>
      <w:r w:rsidRPr="00C664D3">
        <w:rPr>
          <w:rFonts w:asciiTheme="minorEastAsia" w:eastAsiaTheme="minorEastAsia" w:hAnsiTheme="minorEastAsia" w:hint="eastAsia"/>
          <w:color w:val="000000" w:themeColor="text1"/>
          <w:szCs w:val="21"/>
        </w:rPr>
        <w:t>美元基金份额</w:t>
      </w:r>
    </w:p>
    <w:p w:rsidR="00831B13" w:rsidRPr="00C664D3" w:rsidRDefault="00831B13" w:rsidP="00AB77C1">
      <w:pPr>
        <w:spacing w:line="360" w:lineRule="auto"/>
        <w:ind w:firstLineChars="200" w:firstLine="420"/>
        <w:rPr>
          <w:rStyle w:val="da"/>
          <w:rFonts w:asciiTheme="minorEastAsia" w:eastAsiaTheme="minorEastAsia" w:hAnsiTheme="minorEastAsia"/>
          <w:color w:val="000000" w:themeColor="text1"/>
        </w:rPr>
      </w:pPr>
      <w:r w:rsidRPr="00C664D3">
        <w:rPr>
          <w:rStyle w:val="da"/>
          <w:rFonts w:asciiTheme="minorEastAsia" w:eastAsiaTheme="minorEastAsia" w:hAnsiTheme="minorEastAsia" w:hint="eastAsia"/>
          <w:color w:val="000000" w:themeColor="text1"/>
        </w:rPr>
        <w:t>名称：易方达基金管理有限公司</w:t>
      </w:r>
    </w:p>
    <w:p w:rsidR="00831B13" w:rsidRPr="00C664D3" w:rsidRDefault="00831B13" w:rsidP="00AB77C1">
      <w:pPr>
        <w:spacing w:line="360" w:lineRule="auto"/>
        <w:ind w:firstLineChars="200" w:firstLine="420"/>
        <w:rPr>
          <w:rStyle w:val="da"/>
          <w:rFonts w:asciiTheme="minorEastAsia" w:eastAsiaTheme="minorEastAsia" w:hAnsiTheme="minorEastAsia"/>
          <w:color w:val="000000" w:themeColor="text1"/>
        </w:rPr>
      </w:pPr>
      <w:r w:rsidRPr="00C664D3">
        <w:rPr>
          <w:rStyle w:val="da"/>
          <w:rFonts w:asciiTheme="minorEastAsia" w:eastAsiaTheme="minorEastAsia" w:hAnsiTheme="minorEastAsia"/>
          <w:color w:val="000000" w:themeColor="text1"/>
        </w:rPr>
        <w:t>注册地址：</w:t>
      </w:r>
      <w:r w:rsidR="00573C28" w:rsidRPr="00C664D3">
        <w:rPr>
          <w:rStyle w:val="da"/>
          <w:rFonts w:asciiTheme="minorEastAsia" w:eastAsiaTheme="minorEastAsia" w:hAnsiTheme="minorEastAsia" w:hint="eastAsia"/>
          <w:color w:val="000000" w:themeColor="text1"/>
        </w:rPr>
        <w:t>广东省珠海市横琴新区宝华路6号105室－42891（集中办公区）</w:t>
      </w:r>
    </w:p>
    <w:p w:rsidR="00831B13" w:rsidRPr="00C664D3" w:rsidRDefault="00831B13" w:rsidP="00AB77C1">
      <w:pPr>
        <w:spacing w:line="360" w:lineRule="auto"/>
        <w:ind w:firstLineChars="200" w:firstLine="420"/>
        <w:rPr>
          <w:rStyle w:val="da"/>
          <w:rFonts w:asciiTheme="minorEastAsia" w:eastAsiaTheme="minorEastAsia" w:hAnsiTheme="minorEastAsia"/>
          <w:color w:val="000000" w:themeColor="text1"/>
        </w:rPr>
      </w:pPr>
      <w:r w:rsidRPr="00C664D3">
        <w:rPr>
          <w:rStyle w:val="da"/>
          <w:rFonts w:asciiTheme="minorEastAsia" w:eastAsiaTheme="minorEastAsia" w:hAnsiTheme="minorEastAsia"/>
          <w:color w:val="000000" w:themeColor="text1"/>
        </w:rPr>
        <w:t>办公</w:t>
      </w:r>
      <w:r w:rsidRPr="00C664D3">
        <w:rPr>
          <w:rStyle w:val="da"/>
          <w:rFonts w:asciiTheme="minorEastAsia" w:eastAsiaTheme="minorEastAsia" w:hAnsiTheme="minorEastAsia" w:hint="eastAsia"/>
          <w:color w:val="000000" w:themeColor="text1"/>
        </w:rPr>
        <w:t>地址：</w:t>
      </w:r>
      <w:r w:rsidRPr="00C664D3">
        <w:rPr>
          <w:rFonts w:asciiTheme="minorEastAsia" w:eastAsiaTheme="minorEastAsia" w:hAnsiTheme="minorEastAsia" w:hint="eastAsia"/>
          <w:color w:val="000000" w:themeColor="text1"/>
        </w:rPr>
        <w:t>广州市天河区珠江新城珠江东路30号广州银行大厦40-43楼</w:t>
      </w:r>
    </w:p>
    <w:p w:rsidR="00831B13" w:rsidRPr="00C664D3" w:rsidRDefault="00831B13" w:rsidP="00AB77C1">
      <w:pPr>
        <w:spacing w:line="360" w:lineRule="auto"/>
        <w:ind w:firstLineChars="200" w:firstLine="420"/>
        <w:rPr>
          <w:rStyle w:val="da"/>
          <w:rFonts w:asciiTheme="minorEastAsia" w:eastAsiaTheme="minorEastAsia" w:hAnsiTheme="minorEastAsia"/>
          <w:color w:val="000000" w:themeColor="text1"/>
        </w:rPr>
      </w:pPr>
      <w:r w:rsidRPr="00C664D3">
        <w:rPr>
          <w:rStyle w:val="da"/>
          <w:rFonts w:asciiTheme="minorEastAsia" w:eastAsiaTheme="minorEastAsia" w:hAnsiTheme="minorEastAsia" w:hint="eastAsia"/>
          <w:color w:val="000000" w:themeColor="text1"/>
        </w:rPr>
        <w:t>法定代表人：刘晓艳</w:t>
      </w:r>
    </w:p>
    <w:p w:rsidR="00831B13" w:rsidRPr="00C664D3" w:rsidRDefault="00831B13" w:rsidP="00AB77C1">
      <w:pPr>
        <w:spacing w:line="360" w:lineRule="auto"/>
        <w:ind w:firstLineChars="200" w:firstLine="420"/>
        <w:rPr>
          <w:rStyle w:val="da"/>
          <w:rFonts w:asciiTheme="minorEastAsia" w:eastAsiaTheme="minorEastAsia" w:hAnsiTheme="minorEastAsia"/>
          <w:color w:val="000000" w:themeColor="text1"/>
        </w:rPr>
      </w:pPr>
      <w:r w:rsidRPr="00C664D3">
        <w:rPr>
          <w:rStyle w:val="da"/>
          <w:rFonts w:asciiTheme="minorEastAsia" w:eastAsiaTheme="minorEastAsia" w:hAnsiTheme="minorEastAsia" w:hint="eastAsia"/>
          <w:color w:val="000000" w:themeColor="text1"/>
        </w:rPr>
        <w:t>电话：4008818088</w:t>
      </w:r>
    </w:p>
    <w:p w:rsidR="00831B13" w:rsidRPr="00C664D3" w:rsidRDefault="00831B13" w:rsidP="00AB77C1">
      <w:pPr>
        <w:spacing w:line="360" w:lineRule="auto"/>
        <w:ind w:firstLineChars="200" w:firstLine="420"/>
        <w:rPr>
          <w:rStyle w:val="da"/>
          <w:rFonts w:asciiTheme="minorEastAsia" w:eastAsiaTheme="minorEastAsia" w:hAnsiTheme="minorEastAsia"/>
          <w:color w:val="000000" w:themeColor="text1"/>
        </w:rPr>
      </w:pPr>
      <w:r w:rsidRPr="00C664D3">
        <w:rPr>
          <w:rStyle w:val="da"/>
          <w:rFonts w:asciiTheme="minorEastAsia" w:eastAsiaTheme="minorEastAsia" w:hAnsiTheme="minorEastAsia" w:hint="eastAsia"/>
          <w:color w:val="000000" w:themeColor="text1"/>
        </w:rPr>
        <w:t>传真：</w:t>
      </w:r>
      <w:r w:rsidRPr="00C664D3">
        <w:rPr>
          <w:rStyle w:val="da"/>
          <w:rFonts w:asciiTheme="minorEastAsia" w:eastAsiaTheme="minorEastAsia" w:hAnsiTheme="minorEastAsia"/>
          <w:color w:val="000000" w:themeColor="text1"/>
        </w:rPr>
        <w:t>020</w:t>
      </w:r>
      <w:r w:rsidRPr="00C664D3">
        <w:rPr>
          <w:rStyle w:val="da"/>
          <w:rFonts w:asciiTheme="minorEastAsia" w:eastAsiaTheme="minorEastAsia" w:hAnsiTheme="minorEastAsia" w:hint="eastAsia"/>
          <w:color w:val="000000" w:themeColor="text1"/>
        </w:rPr>
        <w:t>-38799249</w:t>
      </w:r>
    </w:p>
    <w:p w:rsidR="00A1091C" w:rsidRPr="00C664D3" w:rsidRDefault="00831B13" w:rsidP="00AB77C1">
      <w:pPr>
        <w:spacing w:line="360" w:lineRule="auto"/>
        <w:ind w:firstLineChars="200" w:firstLine="420"/>
        <w:rPr>
          <w:rStyle w:val="da"/>
          <w:rFonts w:asciiTheme="minorEastAsia" w:eastAsiaTheme="minorEastAsia" w:hAnsiTheme="minorEastAsia"/>
          <w:color w:val="000000" w:themeColor="text1"/>
        </w:rPr>
      </w:pPr>
      <w:r w:rsidRPr="00C664D3">
        <w:rPr>
          <w:rStyle w:val="da"/>
          <w:rFonts w:asciiTheme="minorEastAsia" w:eastAsiaTheme="minorEastAsia" w:hAnsiTheme="minorEastAsia" w:hint="eastAsia"/>
          <w:color w:val="000000" w:themeColor="text1"/>
        </w:rPr>
        <w:t>联系人：余贤高</w:t>
      </w:r>
    </w:p>
    <w:p w:rsidR="00A1091C" w:rsidRPr="00C664D3" w:rsidRDefault="00A1091C" w:rsidP="00ED6C9F">
      <w:pPr>
        <w:pStyle w:val="2"/>
        <w:numPr>
          <w:ilvl w:val="0"/>
          <w:numId w:val="38"/>
        </w:numPr>
        <w:spacing w:beforeLines="0" w:afterLines="0" w:line="360" w:lineRule="auto"/>
        <w:ind w:firstLineChars="0"/>
        <w:rPr>
          <w:rFonts w:asciiTheme="minorEastAsia" w:eastAsiaTheme="minorEastAsia" w:hAnsiTheme="minorEastAsia"/>
          <w:b w:val="0"/>
          <w:color w:val="000000" w:themeColor="text1"/>
        </w:rPr>
      </w:pPr>
      <w:bookmarkStart w:id="1053" w:name="_Toc38432430"/>
      <w:bookmarkStart w:id="1054" w:name="_Toc423335730"/>
      <w:r w:rsidRPr="00C664D3">
        <w:rPr>
          <w:rFonts w:asciiTheme="minorEastAsia" w:eastAsiaTheme="minorEastAsia" w:hAnsiTheme="minorEastAsia"/>
          <w:b w:val="0"/>
          <w:color w:val="000000" w:themeColor="text1"/>
        </w:rPr>
        <w:lastRenderedPageBreak/>
        <w:t>律师事务所和经办律师</w:t>
      </w:r>
      <w:bookmarkEnd w:id="1053"/>
      <w:bookmarkEnd w:id="1054"/>
    </w:p>
    <w:p w:rsidR="00A1091C" w:rsidRPr="00C664D3" w:rsidRDefault="00A1091C"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律师事务所：</w:t>
      </w:r>
      <w:r w:rsidR="002A27CB" w:rsidRPr="00C664D3">
        <w:rPr>
          <w:rFonts w:asciiTheme="minorEastAsia" w:eastAsiaTheme="minorEastAsia" w:hAnsiTheme="minorEastAsia" w:hint="eastAsia"/>
          <w:color w:val="000000" w:themeColor="text1"/>
          <w:szCs w:val="21"/>
        </w:rPr>
        <w:t>国浩律师(广州)事务所</w:t>
      </w:r>
    </w:p>
    <w:p w:rsidR="00962F4A" w:rsidRPr="00C664D3" w:rsidRDefault="002A27CB"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地址：广州市天河区</w:t>
      </w:r>
      <w:r w:rsidR="00962F4A" w:rsidRPr="00C664D3">
        <w:rPr>
          <w:rFonts w:asciiTheme="minorEastAsia" w:eastAsiaTheme="minorEastAsia" w:hAnsiTheme="minorEastAsia" w:hint="eastAsia"/>
          <w:color w:val="000000" w:themeColor="text1"/>
          <w:szCs w:val="21"/>
        </w:rPr>
        <w:t>珠江东路28号越秀金融大厦38层</w:t>
      </w:r>
    </w:p>
    <w:p w:rsidR="002A27CB" w:rsidRPr="00C664D3" w:rsidRDefault="002A27CB"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负责人：程秉</w:t>
      </w:r>
    </w:p>
    <w:p w:rsidR="002A27CB" w:rsidRPr="00C664D3" w:rsidRDefault="002A27CB"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电话：020-38799345</w:t>
      </w:r>
    </w:p>
    <w:p w:rsidR="002A27CB" w:rsidRPr="00C664D3" w:rsidRDefault="002A27CB"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传真：020-</w:t>
      </w:r>
      <w:r w:rsidR="00962F4A" w:rsidRPr="00C664D3">
        <w:rPr>
          <w:rFonts w:asciiTheme="minorEastAsia" w:eastAsiaTheme="minorEastAsia" w:hAnsiTheme="minorEastAsia"/>
          <w:color w:val="000000" w:themeColor="text1"/>
          <w:szCs w:val="21"/>
        </w:rPr>
        <w:t>38799345-200</w:t>
      </w:r>
    </w:p>
    <w:p w:rsidR="00752F2E" w:rsidRPr="00C664D3" w:rsidRDefault="002A27CB"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经办律师：黄贞、陈桂华</w:t>
      </w:r>
    </w:p>
    <w:p w:rsidR="00A1091C" w:rsidRPr="00C664D3" w:rsidRDefault="00752F2E" w:rsidP="00AB77C1">
      <w:pPr>
        <w:spacing w:line="360" w:lineRule="auto"/>
        <w:ind w:firstLine="482"/>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联系人：黄贞</w:t>
      </w:r>
    </w:p>
    <w:p w:rsidR="00A1091C" w:rsidRPr="00C664D3" w:rsidRDefault="00A1091C" w:rsidP="00ED6C9F">
      <w:pPr>
        <w:pStyle w:val="2"/>
        <w:numPr>
          <w:ilvl w:val="0"/>
          <w:numId w:val="38"/>
        </w:numPr>
        <w:spacing w:beforeLines="0" w:afterLines="0" w:line="360" w:lineRule="auto"/>
        <w:ind w:firstLineChars="0"/>
        <w:rPr>
          <w:rFonts w:asciiTheme="minorEastAsia" w:eastAsiaTheme="minorEastAsia" w:hAnsiTheme="minorEastAsia"/>
          <w:b w:val="0"/>
          <w:color w:val="000000" w:themeColor="text1"/>
        </w:rPr>
      </w:pPr>
      <w:bookmarkStart w:id="1055" w:name="_Toc38432431"/>
      <w:bookmarkStart w:id="1056" w:name="_Toc423335731"/>
      <w:r w:rsidRPr="00C664D3">
        <w:rPr>
          <w:rFonts w:asciiTheme="minorEastAsia" w:eastAsiaTheme="minorEastAsia" w:hAnsiTheme="minorEastAsia"/>
          <w:b w:val="0"/>
          <w:color w:val="000000" w:themeColor="text1"/>
        </w:rPr>
        <w:t>会计师事务所和经办注册会计师</w:t>
      </w:r>
      <w:bookmarkEnd w:id="1055"/>
      <w:bookmarkEnd w:id="1056"/>
    </w:p>
    <w:p w:rsidR="00F03A14" w:rsidRPr="00C664D3" w:rsidRDefault="00F03A14"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1.本基金的法定验资机构</w:t>
      </w:r>
    </w:p>
    <w:p w:rsidR="00F03A14" w:rsidRPr="00C664D3" w:rsidRDefault="00F03A14"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会计师事务所：安永华明会计师事务所（特殊普通合伙）</w:t>
      </w:r>
    </w:p>
    <w:p w:rsidR="00F03A14" w:rsidRPr="00C664D3" w:rsidRDefault="00F03A14"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主要经营场所：北京市东城区东长安街1号东方广场安永大楼17层01-12室</w:t>
      </w:r>
    </w:p>
    <w:p w:rsidR="00F03A14" w:rsidRPr="00C664D3" w:rsidRDefault="00F03A14"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执行事务合伙人：</w:t>
      </w:r>
      <w:r w:rsidR="00156437" w:rsidRPr="00C664D3">
        <w:rPr>
          <w:rFonts w:asciiTheme="minorEastAsia" w:eastAsiaTheme="minorEastAsia" w:hAnsiTheme="minorEastAsia" w:hint="eastAsia"/>
          <w:color w:val="000000" w:themeColor="text1"/>
        </w:rPr>
        <w:t>TonyMao毛鞍宁</w:t>
      </w:r>
    </w:p>
    <w:p w:rsidR="00F03A14" w:rsidRPr="00C664D3" w:rsidRDefault="00F03A14"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电话：（010）58153000</w:t>
      </w:r>
    </w:p>
    <w:p w:rsidR="00F03A14" w:rsidRPr="00C664D3" w:rsidRDefault="00F03A14"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传真：（010）85188298</w:t>
      </w:r>
    </w:p>
    <w:p w:rsidR="000C5C1F" w:rsidRPr="00C664D3" w:rsidRDefault="000C5C1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经办注册会计师：</w:t>
      </w:r>
      <w:r w:rsidR="001E3BA2" w:rsidRPr="00C664D3">
        <w:rPr>
          <w:rFonts w:asciiTheme="minorEastAsia" w:eastAsiaTheme="minorEastAsia" w:hAnsiTheme="minorEastAsia" w:hint="eastAsia"/>
          <w:color w:val="000000" w:themeColor="text1"/>
        </w:rPr>
        <w:t>赵雅、</w:t>
      </w:r>
      <w:r w:rsidR="0098371C" w:rsidRPr="00C664D3">
        <w:rPr>
          <w:rFonts w:asciiTheme="minorEastAsia" w:eastAsiaTheme="minorEastAsia" w:hAnsiTheme="minorEastAsia" w:hint="eastAsia"/>
          <w:color w:val="000000" w:themeColor="text1"/>
        </w:rPr>
        <w:t>李明明</w:t>
      </w:r>
    </w:p>
    <w:p w:rsidR="000C5C1F" w:rsidRPr="00C664D3" w:rsidRDefault="000C5C1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联系人：赵雅</w:t>
      </w:r>
    </w:p>
    <w:p w:rsidR="00F03A14" w:rsidRPr="00C664D3" w:rsidRDefault="00F03A14"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2.本基金的年度财务报表及其他规定事项的审计机构</w:t>
      </w:r>
    </w:p>
    <w:p w:rsidR="0009112F" w:rsidRPr="00C664D3" w:rsidRDefault="0009112F" w:rsidP="00AB77C1">
      <w:pPr>
        <w:spacing w:line="360" w:lineRule="auto"/>
        <w:ind w:firstLine="420"/>
        <w:rPr>
          <w:rFonts w:asciiTheme="minorEastAsia" w:eastAsiaTheme="minorEastAsia" w:hAnsiTheme="minorEastAsia"/>
          <w:color w:val="000000" w:themeColor="text1"/>
          <w:kern w:val="0"/>
          <w:szCs w:val="21"/>
        </w:rPr>
      </w:pPr>
      <w:r w:rsidRPr="00C664D3">
        <w:rPr>
          <w:rFonts w:asciiTheme="minorEastAsia" w:eastAsiaTheme="minorEastAsia" w:hAnsiTheme="minorEastAsia" w:hint="eastAsia"/>
          <w:color w:val="000000" w:themeColor="text1"/>
        </w:rPr>
        <w:t>会计师事务所：普华永道中天会计师事务所（特殊普通合伙）</w:t>
      </w:r>
    </w:p>
    <w:p w:rsidR="0009112F" w:rsidRPr="00C664D3" w:rsidRDefault="0009112F"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住所：上海市湖滨路202号普华永道中心11楼</w:t>
      </w:r>
    </w:p>
    <w:p w:rsidR="0009112F" w:rsidRPr="00C664D3" w:rsidRDefault="0009112F"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办公地址：上海市湖滨路202号普华永道中心11楼</w:t>
      </w:r>
    </w:p>
    <w:p w:rsidR="0009112F" w:rsidRPr="00C664D3" w:rsidRDefault="0009112F"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首席合伙人：李丹</w:t>
      </w:r>
    </w:p>
    <w:p w:rsidR="0009112F" w:rsidRPr="00C664D3" w:rsidRDefault="0009112F"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电话：（021）23238888</w:t>
      </w:r>
    </w:p>
    <w:p w:rsidR="0009112F" w:rsidRPr="00C664D3" w:rsidRDefault="0009112F"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传真：（021）23238800</w:t>
      </w:r>
    </w:p>
    <w:p w:rsidR="0009112F" w:rsidRPr="00C664D3" w:rsidRDefault="0009112F"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经办注册会计师：陈熹、陈轶杰</w:t>
      </w:r>
    </w:p>
    <w:p w:rsidR="005B6FEF" w:rsidRPr="00C664D3" w:rsidRDefault="0009112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联系人：周祎</w:t>
      </w: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1057" w:name="_Toc423335732"/>
      <w:bookmarkStart w:id="1058" w:name="_Toc423335733"/>
      <w:bookmarkStart w:id="1059" w:name="_Toc423335734"/>
      <w:bookmarkStart w:id="1060" w:name="_Toc423335735"/>
      <w:bookmarkStart w:id="1061" w:name="_Toc423335738"/>
      <w:bookmarkStart w:id="1062" w:name="_Toc423335739"/>
      <w:bookmarkStart w:id="1063" w:name="_Toc423335740"/>
      <w:bookmarkStart w:id="1064" w:name="_Toc83904215"/>
      <w:bookmarkEnd w:id="1057"/>
      <w:bookmarkEnd w:id="1058"/>
      <w:bookmarkEnd w:id="1059"/>
      <w:bookmarkEnd w:id="1060"/>
      <w:bookmarkEnd w:id="1061"/>
      <w:bookmarkEnd w:id="1062"/>
      <w:bookmarkEnd w:id="1063"/>
      <w:r w:rsidRPr="00C664D3">
        <w:rPr>
          <w:rFonts w:asciiTheme="minorEastAsia" w:eastAsiaTheme="minorEastAsia" w:hAnsiTheme="minorEastAsia"/>
          <w:color w:val="000000" w:themeColor="text1"/>
        </w:rPr>
        <w:lastRenderedPageBreak/>
        <w:t>基金合同内容摘要</w:t>
      </w:r>
      <w:bookmarkEnd w:id="1064"/>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065" w:name="_Toc423335742"/>
      <w:r w:rsidRPr="00C664D3">
        <w:rPr>
          <w:rFonts w:asciiTheme="minorEastAsia" w:eastAsiaTheme="minorEastAsia" w:hAnsiTheme="minorEastAsia"/>
          <w:color w:val="000000" w:themeColor="text1"/>
        </w:rPr>
        <w:t>一、基金份额持有人、基金管理人和基金托管人的权利、义务</w:t>
      </w:r>
      <w:bookmarkEnd w:id="1065"/>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066" w:name="_Toc423335743"/>
      <w:r w:rsidRPr="00C664D3">
        <w:rPr>
          <w:rFonts w:asciiTheme="minorEastAsia" w:eastAsiaTheme="minorEastAsia" w:hAnsiTheme="minorEastAsia"/>
          <w:color w:val="000000" w:themeColor="text1"/>
        </w:rPr>
        <w:t>（一）基金份额持有人的权利与义务</w:t>
      </w:r>
      <w:bookmarkEnd w:id="1066"/>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bookmarkStart w:id="1067" w:name="_Toc423335744"/>
      <w:r w:rsidRPr="00C664D3">
        <w:rPr>
          <w:rFonts w:asciiTheme="minorEastAsia" w:eastAsiaTheme="minorEastAsia" w:hAnsiTheme="minorEastAsia"/>
          <w:color w:val="000000" w:themeColor="text1"/>
        </w:rPr>
        <w:t>1、根据《基金法》、《运作办法》及其他有关规定，基金份额持有人的权利包括但不限于：</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（1）分享基金财产收益；</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（2）参与分配清算后的剩余基金财产；</w:t>
      </w:r>
      <w:bookmarkStart w:id="1068" w:name="_Hlt88825574"/>
      <w:bookmarkEnd w:id="1068"/>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（3）依法申请赎回</w:t>
      </w:r>
      <w:r w:rsidRPr="00C664D3">
        <w:rPr>
          <w:rFonts w:asciiTheme="minorEastAsia" w:eastAsiaTheme="minorEastAsia" w:hAnsiTheme="minorEastAsia" w:hint="eastAsia"/>
          <w:color w:val="000000" w:themeColor="text1"/>
        </w:rPr>
        <w:t>或转让</w:t>
      </w:r>
      <w:r w:rsidRPr="00C664D3">
        <w:rPr>
          <w:rFonts w:asciiTheme="minorEastAsia" w:eastAsiaTheme="minorEastAsia" w:hAnsiTheme="minorEastAsia"/>
          <w:color w:val="000000" w:themeColor="text1"/>
        </w:rPr>
        <w:t>其持有的基金份额；</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（4）按照规定要求召开基金份额持有人大会</w:t>
      </w:r>
      <w:r w:rsidRPr="00C664D3">
        <w:rPr>
          <w:rFonts w:asciiTheme="minorEastAsia" w:eastAsiaTheme="minorEastAsia" w:hAnsiTheme="minorEastAsia" w:hint="eastAsia"/>
          <w:color w:val="000000" w:themeColor="text1"/>
        </w:rPr>
        <w:t>或者召集基金份额持有人大会</w:t>
      </w:r>
      <w:r w:rsidRPr="00C664D3">
        <w:rPr>
          <w:rFonts w:asciiTheme="minorEastAsia" w:eastAsiaTheme="minorEastAsia" w:hAnsiTheme="minorEastAsia"/>
          <w:color w:val="000000" w:themeColor="text1"/>
        </w:rPr>
        <w:t>；</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（5）出席或者委派代表出席基金份额持有人大会，对基金份额持有人大会审议事项行使表决权；</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（6）查阅或者复制公开披露的基金信息资料；</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（7）监督基金管理人的投资运作；</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（8）对基金管理人、基金托管人、基金</w:t>
      </w:r>
      <w:r w:rsidRPr="00C664D3">
        <w:rPr>
          <w:rFonts w:asciiTheme="minorEastAsia" w:eastAsiaTheme="minorEastAsia" w:hAnsiTheme="minorEastAsia" w:hint="eastAsia"/>
          <w:color w:val="000000" w:themeColor="text1"/>
        </w:rPr>
        <w:t>服务</w:t>
      </w:r>
      <w:r w:rsidRPr="00C664D3">
        <w:rPr>
          <w:rFonts w:asciiTheme="minorEastAsia" w:eastAsiaTheme="minorEastAsia" w:hAnsiTheme="minorEastAsia"/>
          <w:color w:val="000000" w:themeColor="text1"/>
        </w:rPr>
        <w:t>机构损害其合法权益的行为依法提起诉讼或仲裁；</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（9）</w:t>
      </w:r>
      <w:r w:rsidRPr="00C664D3">
        <w:rPr>
          <w:rFonts w:asciiTheme="minorEastAsia" w:eastAsiaTheme="minorEastAsia" w:hAnsiTheme="minorEastAsia" w:hint="eastAsia"/>
          <w:color w:val="000000" w:themeColor="text1"/>
        </w:rPr>
        <w:t>法律法规及中国证监会规定的和《基金合同》约定的其他</w:t>
      </w:r>
      <w:r w:rsidRPr="00C664D3">
        <w:rPr>
          <w:rFonts w:asciiTheme="minorEastAsia" w:eastAsiaTheme="minorEastAsia" w:hAnsiTheme="minorEastAsia"/>
          <w:color w:val="000000" w:themeColor="text1"/>
        </w:rPr>
        <w:t>权利。</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2、根据《基金法》、《运作办法》及其他有关规定，基金份额持有人的义务包括但不限于：</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（1）认真阅读并遵守《基金合同》</w:t>
      </w:r>
      <w:r w:rsidRPr="00C664D3">
        <w:rPr>
          <w:rFonts w:asciiTheme="minorEastAsia" w:eastAsiaTheme="minorEastAsia" w:hAnsiTheme="minorEastAsia" w:hint="eastAsia"/>
          <w:color w:val="000000" w:themeColor="text1"/>
        </w:rPr>
        <w:t>、招募说明书等信息披露文件</w:t>
      </w:r>
      <w:r w:rsidRPr="00C664D3">
        <w:rPr>
          <w:rFonts w:asciiTheme="minorEastAsia" w:eastAsiaTheme="minorEastAsia" w:hAnsiTheme="minorEastAsia"/>
          <w:color w:val="000000" w:themeColor="text1"/>
        </w:rPr>
        <w:t>；</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（2）了解所投资基金产品，了解自身风险承受能力，</w:t>
      </w:r>
      <w:r w:rsidRPr="00C664D3">
        <w:rPr>
          <w:rFonts w:asciiTheme="minorEastAsia" w:eastAsiaTheme="minorEastAsia" w:hAnsiTheme="minorEastAsia" w:hint="eastAsia"/>
          <w:color w:val="000000" w:themeColor="text1"/>
        </w:rPr>
        <w:t>自主判断基金的投资价值，自主做出投资决策，</w:t>
      </w:r>
      <w:r w:rsidRPr="00C664D3">
        <w:rPr>
          <w:rFonts w:asciiTheme="minorEastAsia" w:eastAsiaTheme="minorEastAsia" w:hAnsiTheme="minorEastAsia"/>
          <w:color w:val="000000" w:themeColor="text1"/>
        </w:rPr>
        <w:t>自行承担投资风险；</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（3）关注基金信息披露，及时行使权利和履行义务；</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（4）缴纳基金认购、申购款项及法律法规和《基金合同》所规定的费用；</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（5）在其持有的基金份额范围内，承担基金亏损或者《基金合同》终止的有限责任；</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（6）不从事任何有损基金及其他《基金合同》当事人合法权益的活动；</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（7）执行生效的基金份额持有人大会的决定；</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（8）返还在基金交易过程中因任何原因获得的不当得利；</w:t>
      </w:r>
    </w:p>
    <w:p w:rsidR="00A1091C"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（9）法律法规及中国证监会规定的和《基金合同》约定的其他义务。</w:t>
      </w:r>
      <w:bookmarkEnd w:id="1067"/>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069" w:name="_Toc423335763"/>
      <w:r w:rsidRPr="00C664D3">
        <w:rPr>
          <w:rFonts w:asciiTheme="minorEastAsia" w:eastAsiaTheme="minorEastAsia" w:hAnsiTheme="minorEastAsia"/>
          <w:color w:val="000000" w:themeColor="text1"/>
        </w:rPr>
        <w:t>（二）基金管理人的权利与义务</w:t>
      </w:r>
      <w:bookmarkEnd w:id="1069"/>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bookmarkStart w:id="1070" w:name="_Toc423335764"/>
      <w:r w:rsidRPr="00C664D3">
        <w:rPr>
          <w:rFonts w:asciiTheme="minorEastAsia" w:eastAsiaTheme="minorEastAsia" w:hAnsiTheme="minorEastAsia"/>
          <w:color w:val="000000" w:themeColor="text1"/>
        </w:rPr>
        <w:lastRenderedPageBreak/>
        <w:t>1、根据《基金法》、《运作办法》及其他有关规定，基金管理人的权利包括但不限于：</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（1）依法募集</w:t>
      </w:r>
      <w:r w:rsidRPr="00C664D3">
        <w:rPr>
          <w:rFonts w:asciiTheme="minorEastAsia" w:eastAsiaTheme="minorEastAsia" w:hAnsiTheme="minorEastAsia" w:hint="eastAsia"/>
          <w:color w:val="000000" w:themeColor="text1"/>
        </w:rPr>
        <w:t>资金</w:t>
      </w:r>
      <w:r w:rsidRPr="00C664D3">
        <w:rPr>
          <w:rFonts w:asciiTheme="minorEastAsia" w:eastAsiaTheme="minorEastAsia" w:hAnsiTheme="minorEastAsia"/>
          <w:color w:val="000000" w:themeColor="text1"/>
        </w:rPr>
        <w:t>；</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（2）自《基金合同》生效之日起，根据法律法规和《基金合同》独立运用并管理基金财产；</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（3）依照《基金合同》收取基金管理费以及法律法规规定或中国证监会批准的其他费用；</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（4）销售基金份额；</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w:t>
      </w:r>
      <w:bookmarkStart w:id="1071" w:name="_Hlt88896155"/>
      <w:r w:rsidRPr="00C664D3">
        <w:rPr>
          <w:rFonts w:asciiTheme="minorEastAsia" w:eastAsiaTheme="minorEastAsia" w:hAnsiTheme="minorEastAsia"/>
          <w:color w:val="000000" w:themeColor="text1"/>
        </w:rPr>
        <w:t>召集</w:t>
      </w:r>
      <w:bookmarkEnd w:id="1071"/>
      <w:r w:rsidRPr="00C664D3">
        <w:rPr>
          <w:rFonts w:asciiTheme="minorEastAsia" w:eastAsiaTheme="minorEastAsia" w:hAnsiTheme="minorEastAsia"/>
          <w:color w:val="000000" w:themeColor="text1"/>
        </w:rPr>
        <w:t>基金份额持有人大会；</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（6）依据《基金合同》及有关法律规定监督基金托管人，如认为基金托管人违反了《基金合同》及国家有关法律规定，应呈报中国证监会和其他监管部门，并采取必要措施保护基金投资者的利益；</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（7）在基金托管人更换时，提名新的基金托管人；</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（8）选择、更换基金销售机构，对基金销售机构的相关行为进行监督和处理；</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（9）担任或委托其他符合条件的机构担任基金登记结算机构办理基金登记业务并获得《基金合同》规定的费用；</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（10）依据《基金合同》及有关法律规定决定基金收益的分配方案；</w:t>
      </w:r>
      <w:r w:rsidRPr="00C664D3">
        <w:rPr>
          <w:rFonts w:asciiTheme="minorEastAsia" w:eastAsiaTheme="minorEastAsia" w:hAnsiTheme="minorEastAsia"/>
          <w:color w:val="000000" w:themeColor="text1"/>
        </w:rPr>
        <w:tab/>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（11）在《基金合同》约定的范围内，拒绝或暂停受理申购</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赎回</w:t>
      </w:r>
      <w:r w:rsidRPr="00C664D3">
        <w:rPr>
          <w:rFonts w:asciiTheme="minorEastAsia" w:eastAsiaTheme="minorEastAsia" w:hAnsiTheme="minorEastAsia" w:hint="eastAsia"/>
          <w:color w:val="000000" w:themeColor="text1"/>
        </w:rPr>
        <w:t>和转换</w:t>
      </w:r>
      <w:r w:rsidRPr="00C664D3">
        <w:rPr>
          <w:rFonts w:asciiTheme="minorEastAsia" w:eastAsiaTheme="minorEastAsia" w:hAnsiTheme="minorEastAsia"/>
          <w:color w:val="000000" w:themeColor="text1"/>
        </w:rPr>
        <w:t>申请；</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（12）在</w:t>
      </w:r>
      <w:r w:rsidRPr="00C664D3">
        <w:rPr>
          <w:rFonts w:asciiTheme="minorEastAsia" w:eastAsiaTheme="minorEastAsia" w:hAnsiTheme="minorEastAsia" w:hint="eastAsia"/>
          <w:color w:val="000000" w:themeColor="text1"/>
        </w:rPr>
        <w:t>不违反</w:t>
      </w:r>
      <w:r w:rsidRPr="00C664D3">
        <w:rPr>
          <w:rFonts w:asciiTheme="minorEastAsia" w:eastAsiaTheme="minorEastAsia" w:hAnsiTheme="minorEastAsia"/>
          <w:color w:val="000000" w:themeColor="text1"/>
        </w:rPr>
        <w:t>法律法规</w:t>
      </w:r>
      <w:r w:rsidRPr="00C664D3">
        <w:rPr>
          <w:rFonts w:asciiTheme="minorEastAsia" w:eastAsiaTheme="minorEastAsia" w:hAnsiTheme="minorEastAsia" w:hint="eastAsia"/>
          <w:color w:val="000000" w:themeColor="text1"/>
        </w:rPr>
        <w:t>和监管规定且对基金份额持有人利益无实质不利影响</w:t>
      </w:r>
      <w:r w:rsidRPr="00C664D3">
        <w:rPr>
          <w:rFonts w:asciiTheme="minorEastAsia" w:eastAsiaTheme="minorEastAsia" w:hAnsiTheme="minorEastAsia"/>
          <w:color w:val="000000" w:themeColor="text1"/>
        </w:rPr>
        <w:t>的前提下，为</w:t>
      </w:r>
      <w:r w:rsidRPr="00C664D3">
        <w:rPr>
          <w:rFonts w:asciiTheme="minorEastAsia" w:eastAsiaTheme="minorEastAsia" w:hAnsiTheme="minorEastAsia" w:hint="eastAsia"/>
          <w:color w:val="000000" w:themeColor="text1"/>
        </w:rPr>
        <w:t>支付本基金应付的赎回、交易清算等款项，基金管理人有权代表基金份额持有人以基金资产作为抵押</w:t>
      </w:r>
      <w:r w:rsidRPr="00C664D3">
        <w:rPr>
          <w:rFonts w:asciiTheme="minorEastAsia" w:eastAsiaTheme="minorEastAsia" w:hAnsiTheme="minorEastAsia"/>
          <w:color w:val="000000" w:themeColor="text1"/>
        </w:rPr>
        <w:t>进行融资</w:t>
      </w:r>
      <w:r w:rsidRPr="00C664D3">
        <w:rPr>
          <w:rFonts w:asciiTheme="minorEastAsia" w:eastAsiaTheme="minorEastAsia" w:hAnsiTheme="minorEastAsia" w:hint="eastAsia"/>
          <w:color w:val="000000" w:themeColor="text1"/>
        </w:rPr>
        <w:t>；</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（13）</w:t>
      </w:r>
      <w:r w:rsidRPr="00C664D3">
        <w:rPr>
          <w:rFonts w:asciiTheme="minorEastAsia" w:eastAsiaTheme="minorEastAsia" w:hAnsiTheme="minorEastAsia"/>
          <w:color w:val="000000" w:themeColor="text1"/>
        </w:rPr>
        <w:t>依照法律法规为基金的利益行使因基金财产投资于证券所产生的权利；</w:t>
      </w:r>
      <w:r w:rsidRPr="00C664D3">
        <w:rPr>
          <w:rFonts w:asciiTheme="minorEastAsia" w:eastAsiaTheme="minorEastAsia" w:hAnsiTheme="minorEastAsia"/>
          <w:color w:val="000000" w:themeColor="text1"/>
        </w:rPr>
        <w:tab/>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Pr="00C664D3">
        <w:rPr>
          <w:rFonts w:asciiTheme="minorEastAsia" w:eastAsiaTheme="minorEastAsia" w:hAnsiTheme="minorEastAsia" w:hint="eastAsia"/>
          <w:color w:val="000000" w:themeColor="text1"/>
        </w:rPr>
        <w:t>4</w:t>
      </w:r>
      <w:r w:rsidRPr="00C664D3">
        <w:rPr>
          <w:rFonts w:asciiTheme="minorEastAsia" w:eastAsiaTheme="minorEastAsia" w:hAnsiTheme="minorEastAsia"/>
          <w:color w:val="000000" w:themeColor="text1"/>
        </w:rPr>
        <w:t>）在法律法规允许的前提下，为基金的利益依法进行融资</w:t>
      </w:r>
      <w:r w:rsidRPr="00C664D3">
        <w:rPr>
          <w:rFonts w:asciiTheme="minorEastAsia" w:eastAsiaTheme="minorEastAsia" w:hAnsiTheme="minorEastAsia" w:hint="eastAsia"/>
          <w:color w:val="000000" w:themeColor="text1"/>
        </w:rPr>
        <w:t>融券，转融通</w:t>
      </w:r>
      <w:r w:rsidRPr="00C664D3">
        <w:rPr>
          <w:rFonts w:asciiTheme="minorEastAsia" w:eastAsiaTheme="minorEastAsia" w:hAnsiTheme="minorEastAsia"/>
          <w:color w:val="000000" w:themeColor="text1"/>
        </w:rPr>
        <w:t>；</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Pr="00C664D3">
        <w:rPr>
          <w:rFonts w:asciiTheme="minorEastAsia" w:eastAsiaTheme="minorEastAsia" w:hAnsiTheme="minorEastAsia" w:hint="eastAsia"/>
          <w:color w:val="000000" w:themeColor="text1"/>
        </w:rPr>
        <w:t>5</w:t>
      </w:r>
      <w:r w:rsidRPr="00C664D3">
        <w:rPr>
          <w:rFonts w:asciiTheme="minorEastAsia" w:eastAsiaTheme="minorEastAsia" w:hAnsiTheme="minorEastAsia"/>
          <w:color w:val="000000" w:themeColor="text1"/>
        </w:rPr>
        <w:t>）以基金管理人的名义，代表基金份额持有人的利益行使诉讼权利或者实施其他法律行为；</w:t>
      </w:r>
      <w:r w:rsidRPr="00C664D3">
        <w:rPr>
          <w:rFonts w:asciiTheme="minorEastAsia" w:eastAsiaTheme="minorEastAsia" w:hAnsiTheme="minorEastAsia"/>
          <w:color w:val="000000" w:themeColor="text1"/>
        </w:rPr>
        <w:tab/>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Pr="00C664D3">
        <w:rPr>
          <w:rFonts w:asciiTheme="minorEastAsia" w:eastAsiaTheme="minorEastAsia" w:hAnsiTheme="minorEastAsia" w:hint="eastAsia"/>
          <w:color w:val="000000" w:themeColor="text1"/>
        </w:rPr>
        <w:t>6</w:t>
      </w:r>
      <w:r w:rsidRPr="00C664D3">
        <w:rPr>
          <w:rFonts w:asciiTheme="minorEastAsia" w:eastAsiaTheme="minorEastAsia" w:hAnsiTheme="minorEastAsia"/>
          <w:color w:val="000000" w:themeColor="text1"/>
        </w:rPr>
        <w:t>）选择、更换律师事务所、会计师事务所、证券经纪商或其他为基金提供服务的外部机构；</w:t>
      </w:r>
      <w:r w:rsidRPr="00C664D3">
        <w:rPr>
          <w:rFonts w:asciiTheme="minorEastAsia" w:eastAsiaTheme="minorEastAsia" w:hAnsiTheme="minorEastAsia"/>
          <w:color w:val="000000" w:themeColor="text1"/>
        </w:rPr>
        <w:tab/>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（17）选择、更换或撤销基金境外投资顾问；</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（18）委托第三方机构办理本基金的交易、清算、估值、结算等业务；</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Pr="00C664D3">
        <w:rPr>
          <w:rFonts w:asciiTheme="minorEastAsia" w:eastAsiaTheme="minorEastAsia" w:hAnsiTheme="minorEastAsia" w:hint="eastAsia"/>
          <w:color w:val="000000" w:themeColor="text1"/>
        </w:rPr>
        <w:t>9</w:t>
      </w:r>
      <w:r w:rsidRPr="00C664D3">
        <w:rPr>
          <w:rFonts w:asciiTheme="minorEastAsia" w:eastAsiaTheme="minorEastAsia" w:hAnsiTheme="minorEastAsia"/>
          <w:color w:val="000000" w:themeColor="text1"/>
        </w:rPr>
        <w:t>）在符合有关法律、法规的前提下，制订和调整有关基金认购、申购、赎回、转换</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非交易过户</w:t>
      </w:r>
      <w:r w:rsidRPr="00C664D3">
        <w:rPr>
          <w:rFonts w:asciiTheme="minorEastAsia" w:eastAsiaTheme="minorEastAsia" w:hAnsiTheme="minorEastAsia" w:hint="eastAsia"/>
          <w:color w:val="000000" w:themeColor="text1"/>
        </w:rPr>
        <w:t>、转托管和收益分配等</w:t>
      </w:r>
      <w:r w:rsidRPr="00C664D3">
        <w:rPr>
          <w:rFonts w:asciiTheme="minorEastAsia" w:eastAsiaTheme="minorEastAsia" w:hAnsiTheme="minorEastAsia"/>
          <w:color w:val="000000" w:themeColor="text1"/>
        </w:rPr>
        <w:t>业务规则；</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w:t>
      </w:r>
      <w:r w:rsidRPr="00C664D3">
        <w:rPr>
          <w:rFonts w:asciiTheme="minorEastAsia" w:eastAsiaTheme="minorEastAsia" w:hAnsiTheme="minorEastAsia" w:hint="eastAsia"/>
          <w:color w:val="000000" w:themeColor="text1"/>
        </w:rPr>
        <w:t>20</w:t>
      </w:r>
      <w:r w:rsidRPr="00C664D3">
        <w:rPr>
          <w:rFonts w:asciiTheme="minorEastAsia" w:eastAsiaTheme="minorEastAsia" w:hAnsiTheme="minorEastAsia"/>
          <w:color w:val="000000" w:themeColor="text1"/>
        </w:rPr>
        <w:t>）法律法规及中国证监会规定的和《基金合同》约定的其他权利。</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2、根据《基金法》、《运作办法》及其他有关规定，基金管理人的义务包括但不限于：</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（1）依法募集</w:t>
      </w:r>
      <w:r w:rsidRPr="00C664D3">
        <w:rPr>
          <w:rFonts w:asciiTheme="minorEastAsia" w:eastAsiaTheme="minorEastAsia" w:hAnsiTheme="minorEastAsia" w:hint="eastAsia"/>
          <w:color w:val="000000" w:themeColor="text1"/>
        </w:rPr>
        <w:t>资</w:t>
      </w:r>
      <w:r w:rsidRPr="00C664D3">
        <w:rPr>
          <w:rFonts w:asciiTheme="minorEastAsia" w:eastAsiaTheme="minorEastAsia" w:hAnsiTheme="minorEastAsia"/>
          <w:color w:val="000000" w:themeColor="text1"/>
        </w:rPr>
        <w:t>金，办理或者委托经中国证监会认定的其他机构办理基金份额的发售、申购、赎回和登记事宜；</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（2）办理基金备案手续；</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（3）自《基金合同》生效之日起,以诚实信用、谨慎勤勉的原则管理和运用基金财产；</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（4）配备足够的具有专业资格的人员进行基金投资分析、决策，以专业化的经营方式管理和运作基金财产；</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（5）建立健全内部风险控制、监察与稽核、财务管理及人事管理等制度，保证所管理的基金财产和基金管理人的财产相互独立,对所管理的不同基金分别管理，分别记账，进行证券投资；</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（6）除依据《基金法》、《基金合同》及其他有关规定外,不得利用基金财产为自己及任何第三人谋取利益，不得委托第三人运作基金财产；</w:t>
      </w:r>
      <w:bookmarkStart w:id="1072" w:name="_Hlt88897298"/>
      <w:bookmarkEnd w:id="1072"/>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（7）依法接受基金托管人的监督；</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（8）采取适当合理的措施使计算基金份额认购、申购、赎回和注销价格的方法符合《基金合同》等法律文件的规定，按有关规定计算并公告</w:t>
      </w:r>
      <w:r w:rsidR="00666AA9" w:rsidRPr="00C664D3">
        <w:rPr>
          <w:rFonts w:asciiTheme="minorEastAsia" w:eastAsiaTheme="minorEastAsia" w:hAnsiTheme="minorEastAsia" w:hint="eastAsia"/>
          <w:color w:val="000000" w:themeColor="text1"/>
        </w:rPr>
        <w:t>基金净值信息</w:t>
      </w:r>
      <w:r w:rsidRPr="00C664D3">
        <w:rPr>
          <w:rFonts w:asciiTheme="minorEastAsia" w:eastAsiaTheme="minorEastAsia" w:hAnsiTheme="minorEastAsia"/>
          <w:color w:val="000000" w:themeColor="text1"/>
        </w:rPr>
        <w:t>，确定基金份额申购、赎回的价格；</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（9）进行基金会计核算并编制基金财务会计报告；</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（10）</w:t>
      </w:r>
      <w:r w:rsidR="00666AA9" w:rsidRPr="00C664D3">
        <w:rPr>
          <w:rFonts w:asciiTheme="minorEastAsia" w:eastAsiaTheme="minorEastAsia" w:hAnsiTheme="minorEastAsia" w:hint="eastAsia"/>
          <w:color w:val="000000" w:themeColor="text1"/>
        </w:rPr>
        <w:t>编制季度报告、中期报告和年度报告</w:t>
      </w:r>
      <w:r w:rsidRPr="00C664D3">
        <w:rPr>
          <w:rFonts w:asciiTheme="minorEastAsia" w:eastAsiaTheme="minorEastAsia" w:hAnsiTheme="minorEastAsia"/>
          <w:color w:val="000000" w:themeColor="text1"/>
        </w:rPr>
        <w:t>；</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（11）严格按照《基金法》、《基金合同》及其他有关规定，履行信息披露及报告义务；</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（12）保守基金商业秘密，不泄露基金投资计划、投资意向等。除《基金法》、《基金合同》及其他有关规定另有规定外，在基金信息公开披露前应予保密，不向他人泄露；</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（13）按《基金合同》的约定确定基金收益分配方案，及时向基金份额持有人分配基金收益；</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（14）按规定受理申购与赎回申请，及时、足额支付赎回款项；</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（15）依据《基金法》、《基金合同》及其他有关规定召集基金份额持有人大会或配合基金托管人、基金份额持有人依法召集基金份额持有人大会；</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（16）按规定保存基金财产管理业务活动的会计账册、报表、记录和其他相关资料15年以上；</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（17）确保需要向基金投资者提供的各项文件或资料在规定时间发出，并且保证投资者</w:t>
      </w:r>
      <w:r w:rsidRPr="00C664D3">
        <w:rPr>
          <w:rFonts w:asciiTheme="minorEastAsia" w:eastAsiaTheme="minorEastAsia" w:hAnsiTheme="minorEastAsia"/>
          <w:color w:val="000000" w:themeColor="text1"/>
        </w:rPr>
        <w:lastRenderedPageBreak/>
        <w:t>能够按照《基金合同》规定的时间和方式，随时查阅到与基金有关的公开资料，并在支付合理成本的条件下得到有关资料的复印件；</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（18）组织并参加基金财产清算小组,参与基金财产的保管、清理、估价、变现和分配；</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（19）面临解散、依法被撤销或者被依法宣告破产时，及时报告中国证监会并通知基金托管人；</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（20）因违反《基金合同》导致基金财产的损失或损害基金份额持有人合法权益时，应当承担赔偿责任，其赔偿责任不因其退任而免除；</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（21）监督基金托管人按法律法规和《基金合同》规定履行自己的义务，基金托管人违反《基金合同》造成基金财产损失时，基金管理人应为基金份额持有人利益向基金托管人追偿；</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（22）当基金管理人将其义务委托第三方处理时，应当对第三方处理有关基金事务的行为承担责任；</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（23）以基金管理人名义，代表基金份额持有人利益行使诉讼权利或实施其他法律行为；</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（24）基金管理人在募集期间未能达到基金</w:t>
      </w:r>
      <w:bookmarkStart w:id="1073" w:name="_Hlt88823209"/>
      <w:bookmarkEnd w:id="1073"/>
      <w:r w:rsidRPr="00C664D3">
        <w:rPr>
          <w:rFonts w:asciiTheme="minorEastAsia" w:eastAsiaTheme="minorEastAsia" w:hAnsiTheme="minorEastAsia"/>
          <w:color w:val="000000" w:themeColor="text1"/>
        </w:rPr>
        <w:t>的备案条件，《基金合同》不能生效，基金管理人承担全部募集费用，将已募集资金并加计银行同期</w:t>
      </w:r>
      <w:r w:rsidRPr="00C664D3">
        <w:rPr>
          <w:rFonts w:asciiTheme="minorEastAsia" w:eastAsiaTheme="minorEastAsia" w:hAnsiTheme="minorEastAsia" w:hint="eastAsia"/>
          <w:color w:val="000000" w:themeColor="text1"/>
        </w:rPr>
        <w:t>活期</w:t>
      </w:r>
      <w:r w:rsidRPr="00C664D3">
        <w:rPr>
          <w:rFonts w:asciiTheme="minorEastAsia" w:eastAsiaTheme="minorEastAsia" w:hAnsiTheme="minorEastAsia"/>
          <w:color w:val="000000" w:themeColor="text1"/>
        </w:rPr>
        <w:t>存款利息在基金募集期结束后30日内退还基金认购人；</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（25）执行生效的基金份额持有人大会的</w:t>
      </w:r>
      <w:r w:rsidRPr="00C664D3">
        <w:rPr>
          <w:rFonts w:asciiTheme="minorEastAsia" w:eastAsiaTheme="minorEastAsia" w:hAnsiTheme="minorEastAsia" w:hint="eastAsia"/>
          <w:color w:val="000000" w:themeColor="text1"/>
        </w:rPr>
        <w:t>决议</w:t>
      </w:r>
      <w:r w:rsidRPr="00C664D3">
        <w:rPr>
          <w:rFonts w:asciiTheme="minorEastAsia" w:eastAsiaTheme="minorEastAsia" w:hAnsiTheme="minorEastAsia"/>
          <w:color w:val="000000" w:themeColor="text1"/>
        </w:rPr>
        <w:t>；</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（26）建立并保存基金份额持有人名册；</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（27）进行境外证券投资，应当遵守当地监管机构、交易所的有关法律法规规定。</w:t>
      </w:r>
    </w:p>
    <w:p w:rsidR="00A1091C"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w:t>
      </w:r>
      <w:r w:rsidRPr="00C664D3">
        <w:rPr>
          <w:rFonts w:asciiTheme="minorEastAsia" w:eastAsiaTheme="minorEastAsia" w:hAnsiTheme="minorEastAsia" w:hint="eastAsia"/>
          <w:color w:val="000000" w:themeColor="text1"/>
        </w:rPr>
        <w:t>8</w:t>
      </w:r>
      <w:r w:rsidRPr="00C664D3">
        <w:rPr>
          <w:rFonts w:asciiTheme="minorEastAsia" w:eastAsiaTheme="minorEastAsia" w:hAnsiTheme="minorEastAsia"/>
          <w:color w:val="000000" w:themeColor="text1"/>
        </w:rPr>
        <w:t>）法律法规及中国证监会规定的和《基金合同》约定的其他义务。</w:t>
      </w:r>
      <w:bookmarkEnd w:id="1070"/>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074" w:name="_Toc423335813"/>
      <w:r w:rsidRPr="00C664D3">
        <w:rPr>
          <w:rFonts w:asciiTheme="minorEastAsia" w:eastAsiaTheme="minorEastAsia" w:hAnsiTheme="minorEastAsia"/>
          <w:color w:val="000000" w:themeColor="text1"/>
        </w:rPr>
        <w:t>（三）基金托管人的权利与义务</w:t>
      </w:r>
      <w:bookmarkEnd w:id="1074"/>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bookmarkStart w:id="1075" w:name="_Toc423335814"/>
      <w:r w:rsidRPr="00C664D3">
        <w:rPr>
          <w:rFonts w:asciiTheme="minorEastAsia" w:eastAsiaTheme="minorEastAsia" w:hAnsiTheme="minorEastAsia"/>
          <w:color w:val="000000" w:themeColor="text1"/>
        </w:rPr>
        <w:t>1、根据《基金法》、《运作办法》及其他有关规定，基金托管人的权利包括但不限于：</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（1）自《基金合同》生效之日起，依法律法规和《基金合同》的规定安全保管基金财产；</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（2）依《基金合同》约定获得基金托管费以及法律法规规定或监管部门批准的其他费用；</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（4）根据相关市场规则，为基金开设证券</w:t>
      </w:r>
      <w:r w:rsidRPr="00C664D3">
        <w:rPr>
          <w:rFonts w:asciiTheme="minorEastAsia" w:eastAsiaTheme="minorEastAsia" w:hAnsiTheme="minorEastAsia" w:hint="eastAsia"/>
          <w:color w:val="000000" w:themeColor="text1"/>
        </w:rPr>
        <w:t>账户</w:t>
      </w:r>
      <w:r w:rsidRPr="00C664D3">
        <w:rPr>
          <w:rFonts w:asciiTheme="minorEastAsia" w:eastAsiaTheme="minorEastAsia" w:hAnsiTheme="minorEastAsia"/>
          <w:color w:val="000000" w:themeColor="text1"/>
        </w:rPr>
        <w:t>、为基金办理证券交易资金清算。</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（5）提议召开或召集基金份额持有人大会；</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（6）在基金管理人更换时，提名新的基金管理人；</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（7）选择、更换境外托管人，可授权境外托管人代为履行其承担的受托人职责；</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w:t>
      </w:r>
      <w:r w:rsidRPr="00C664D3">
        <w:rPr>
          <w:rFonts w:asciiTheme="minorEastAsia" w:eastAsiaTheme="minorEastAsia" w:hAnsiTheme="minorEastAsia" w:hint="eastAsia"/>
          <w:color w:val="000000" w:themeColor="text1"/>
        </w:rPr>
        <w:t>8</w:t>
      </w:r>
      <w:r w:rsidRPr="00C664D3">
        <w:rPr>
          <w:rFonts w:asciiTheme="minorEastAsia" w:eastAsiaTheme="minorEastAsia" w:hAnsiTheme="minorEastAsia"/>
          <w:color w:val="000000" w:themeColor="text1"/>
        </w:rPr>
        <w:t>）法律法规及中国证监会规定的和《基金合同》约定的其他权利。</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2、根据《基金法》、《运作办法》及其他有关规定，基金托管人的义务包括但不限于：</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（1）以诚实信用、勤勉尽责的原则持有并安全保管基金财产；</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（2）设立专门的基金托管部门，具有符合要求的营业场所，配备足够的、合格的熟悉基金托管业务的专职人员，负责基金财产托管事宜；</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（4）除依据《基金</w:t>
      </w:r>
      <w:bookmarkStart w:id="1076" w:name="_Hlt171431094"/>
      <w:bookmarkEnd w:id="1076"/>
      <w:r w:rsidRPr="00C664D3">
        <w:rPr>
          <w:rFonts w:asciiTheme="minorEastAsia" w:eastAsiaTheme="minorEastAsia" w:hAnsiTheme="minorEastAsia"/>
          <w:color w:val="000000" w:themeColor="text1"/>
        </w:rPr>
        <w:t>法》、《基金合同》及其他有关规定外，不得利用基金财产为自己及任何第三人谋取利益，不得委托第三人托管基金财产；</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（5）保管由基金管理人代表基金签订的与基金有关的重大合同及有关凭证；</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（6）按规定开设基金财产的资金账户和证券账户,按照《基金合同》的约定，根据基金管理人的投资指令，及时办理清算、交割事宜；</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（7）保守基金商业秘密，除《基金法》、《基金合同》及其他有关规定另有规定外，在基金信息公开披露前予以保密，不得向他人泄露；</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（8）复核、审查基金管理人计算的基金资产净值、</w:t>
      </w:r>
      <w:r w:rsidR="004B70DB" w:rsidRPr="00C664D3">
        <w:rPr>
          <w:rFonts w:asciiTheme="minorEastAsia" w:eastAsiaTheme="minorEastAsia" w:hAnsiTheme="minorEastAsia"/>
          <w:color w:val="000000" w:themeColor="text1"/>
        </w:rPr>
        <w:t>各类</w:t>
      </w:r>
      <w:r w:rsidR="00666AA9" w:rsidRPr="00C664D3">
        <w:rPr>
          <w:rFonts w:asciiTheme="minorEastAsia" w:eastAsiaTheme="minorEastAsia" w:hAnsiTheme="minorEastAsia" w:hint="eastAsia"/>
          <w:color w:val="000000" w:themeColor="text1"/>
        </w:rPr>
        <w:t>基金份额净值、</w:t>
      </w:r>
      <w:r w:rsidRPr="00C664D3">
        <w:rPr>
          <w:rFonts w:asciiTheme="minorEastAsia" w:eastAsiaTheme="minorEastAsia" w:hAnsiTheme="minorEastAsia"/>
          <w:color w:val="000000" w:themeColor="text1"/>
        </w:rPr>
        <w:t>基金份额申购、赎回价格；</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（9）办理与基金托管业务活动有关的信息披露事项；</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（10）对基金财务会计报告、</w:t>
      </w:r>
      <w:r w:rsidR="00666AA9" w:rsidRPr="00C664D3">
        <w:rPr>
          <w:rFonts w:asciiTheme="minorEastAsia" w:eastAsiaTheme="minorEastAsia" w:hAnsiTheme="minorEastAsia" w:hint="eastAsia"/>
          <w:color w:val="000000" w:themeColor="text1"/>
        </w:rPr>
        <w:t>季度报告、中期报告和年度报告</w:t>
      </w:r>
      <w:r w:rsidRPr="00C664D3">
        <w:rPr>
          <w:rFonts w:asciiTheme="minorEastAsia" w:eastAsiaTheme="minorEastAsia" w:hAnsiTheme="minorEastAsia"/>
          <w:color w:val="000000" w:themeColor="text1"/>
        </w:rPr>
        <w:t>出具意见，说明基金管理人在各重要方面的运作是否严格按照《基金合同》的规定进行；如果基金管理人有未执行《基金合同》规定的行为，还应当说明基金托管人是否采取了适当的措施；</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（11）保存基金托管业务活动的记录、账册、报表和其他相关资料15年以上；</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（12）建立并保存基金份额持有人名册；</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（13）按规定制作相关账册并与基金管理人核对；</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（14）依据基金管理人的指令或有关规定向基金份额持有人支付基金收益和赎回款项；</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（15）依据《基金法》、《基金合同》及其他有关规定，召集基金份额持有人大会或配合</w:t>
      </w:r>
      <w:r w:rsidRPr="00C664D3">
        <w:rPr>
          <w:rFonts w:asciiTheme="minorEastAsia" w:eastAsiaTheme="minorEastAsia" w:hAnsiTheme="minorEastAsia"/>
          <w:color w:val="000000" w:themeColor="text1"/>
        </w:rPr>
        <w:lastRenderedPageBreak/>
        <w:t>基金份额持有人依法召集基金份额持有人大会；</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（16）按照法律法规和《基金合同》的规定监督基金管理人的投资运作；</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（17）参加基金财产清算小组，参与基金财产的保管、清理、估价、变现和分配；</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（18）面临解散、依法被撤销或者被依法宣告破产时，及时报告中国证监会和银行监管机构，并通知基金管理人；</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（19）因违反《基金合同》导致基金财产损失时，应承担赔偿责任，其赔偿责任不因其退任而免除；</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（20）按规定监督基金管理人按法律法规和《基金合同》规定履行自己的义务，基金管理人因违反《基金合同》造成基金财产损失时，应为基金份额持有人利益向基金管理人追偿</w:t>
      </w:r>
      <w:bookmarkStart w:id="1077" w:name="_Hlt88825668"/>
      <w:bookmarkEnd w:id="1077"/>
      <w:r w:rsidRPr="00C664D3">
        <w:rPr>
          <w:rFonts w:asciiTheme="minorEastAsia" w:eastAsiaTheme="minorEastAsia" w:hAnsiTheme="minorEastAsia"/>
          <w:color w:val="000000" w:themeColor="text1"/>
        </w:rPr>
        <w:t>；</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（21）执行生效的基金份额持有人大会的决定；</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bookmarkStart w:id="1078" w:name="_Toc523711670"/>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2</w:t>
      </w:r>
      <w:r w:rsidRPr="00C664D3">
        <w:rPr>
          <w:rFonts w:asciiTheme="minorEastAsia" w:eastAsiaTheme="minorEastAsia" w:hAnsiTheme="minorEastAsia" w:hint="eastAsia"/>
          <w:color w:val="000000" w:themeColor="text1"/>
        </w:rPr>
        <w:t>2）保护基金份额持有人利益，按照规定对基金日常投资行为和资金汇出入情况实施监督，如发现投资指令或资金汇出入违法、违规，应当及时向中国证监会、外管局报告；</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bookmarkStart w:id="1079" w:name="_Hlt171325836"/>
      <w:bookmarkEnd w:id="1079"/>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2</w:t>
      </w:r>
      <w:r w:rsidRPr="00C664D3">
        <w:rPr>
          <w:rFonts w:asciiTheme="minorEastAsia" w:eastAsiaTheme="minorEastAsia" w:hAnsiTheme="minorEastAsia" w:hint="eastAsia"/>
          <w:color w:val="000000" w:themeColor="text1"/>
        </w:rPr>
        <w:t>3）每月结束后</w:t>
      </w:r>
      <w:r w:rsidRPr="00C664D3">
        <w:rPr>
          <w:rFonts w:asciiTheme="minorEastAsia" w:eastAsiaTheme="minorEastAsia" w:hAnsiTheme="minorEastAsia"/>
          <w:color w:val="000000" w:themeColor="text1"/>
        </w:rPr>
        <w:t>7</w:t>
      </w:r>
      <w:r w:rsidRPr="00C664D3">
        <w:rPr>
          <w:rFonts w:asciiTheme="minorEastAsia" w:eastAsiaTheme="minorEastAsia" w:hAnsiTheme="minorEastAsia" w:hint="eastAsia"/>
          <w:color w:val="000000" w:themeColor="text1"/>
        </w:rPr>
        <w:t>个工作日内，向中国证监会和外管局报告基金管理人境外投资情况，并按相关规定进行国际收支申报；</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2</w:t>
      </w:r>
      <w:r w:rsidRPr="00C664D3">
        <w:rPr>
          <w:rFonts w:asciiTheme="minorEastAsia" w:eastAsiaTheme="minorEastAsia" w:hAnsiTheme="minorEastAsia" w:hint="eastAsia"/>
          <w:color w:val="000000" w:themeColor="text1"/>
        </w:rPr>
        <w:t>4）基金托管人应办理基金管理人就管理本基金的有关结汇、售汇、收汇、付汇和人民币资金结算业务。</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2</w:t>
      </w:r>
      <w:r w:rsidRPr="00C664D3">
        <w:rPr>
          <w:rFonts w:asciiTheme="minorEastAsia" w:eastAsiaTheme="minorEastAsia" w:hAnsiTheme="minorEastAsia" w:hint="eastAsia"/>
          <w:color w:val="000000" w:themeColor="text1"/>
        </w:rPr>
        <w:t>5）基金托管人应保存基金管理人就管理本基金的资金汇出、汇入、兑换、收汇、付汇、资金往来、委托及成交记录等相关资料，其保存的时间应当不少于</w:t>
      </w:r>
      <w:r w:rsidRPr="00C664D3">
        <w:rPr>
          <w:rFonts w:asciiTheme="minorEastAsia" w:eastAsiaTheme="minorEastAsia" w:hAnsiTheme="minorEastAsia"/>
          <w:color w:val="000000" w:themeColor="text1"/>
        </w:rPr>
        <w:t>20</w:t>
      </w:r>
      <w:r w:rsidRPr="00C664D3">
        <w:rPr>
          <w:rFonts w:asciiTheme="minorEastAsia" w:eastAsiaTheme="minorEastAsia" w:hAnsiTheme="minorEastAsia" w:hint="eastAsia"/>
          <w:color w:val="000000" w:themeColor="text1"/>
        </w:rPr>
        <w:t>年；</w:t>
      </w:r>
    </w:p>
    <w:bookmarkEnd w:id="1078"/>
    <w:p w:rsidR="00A1091C"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w:t>
      </w:r>
      <w:r w:rsidRPr="00C664D3">
        <w:rPr>
          <w:rFonts w:asciiTheme="minorEastAsia" w:eastAsiaTheme="minorEastAsia" w:hAnsiTheme="minorEastAsia" w:hint="eastAsia"/>
          <w:color w:val="000000" w:themeColor="text1"/>
        </w:rPr>
        <w:t>6</w:t>
      </w:r>
      <w:r w:rsidRPr="00C664D3">
        <w:rPr>
          <w:rFonts w:asciiTheme="minorEastAsia" w:eastAsiaTheme="minorEastAsia" w:hAnsiTheme="minorEastAsia"/>
          <w:color w:val="000000" w:themeColor="text1"/>
        </w:rPr>
        <w:t>）法律法规及中国证监会规定的和《基金合同》约定的其他义务。</w:t>
      </w:r>
      <w:bookmarkEnd w:id="1075"/>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080" w:name="_Toc423335850"/>
      <w:r w:rsidRPr="00C664D3">
        <w:rPr>
          <w:rFonts w:asciiTheme="minorEastAsia" w:eastAsiaTheme="minorEastAsia" w:hAnsiTheme="minorEastAsia"/>
          <w:color w:val="000000" w:themeColor="text1"/>
        </w:rPr>
        <w:t>二、基金份额持有人大会召集、议事及表决的程序和规则</w:t>
      </w:r>
      <w:bookmarkEnd w:id="1080"/>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bookmarkStart w:id="1081" w:name="_Toc423335851"/>
      <w:r w:rsidRPr="00C664D3">
        <w:rPr>
          <w:rFonts w:asciiTheme="minorEastAsia" w:eastAsiaTheme="minorEastAsia" w:hAnsiTheme="minorEastAsia"/>
          <w:color w:val="000000" w:themeColor="text1"/>
        </w:rPr>
        <w:t>基金份额持有人大会由基金份额持有人组成，基金份额持有人的合法授权代表有权代表基金份额持有人出席会议并表决。基金份额持有人持有的每一基金份额拥有平等的投票权。</w:t>
      </w:r>
    </w:p>
    <w:p w:rsidR="00A1091C"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本基金份额持有人大会不设日常机构。</w:t>
      </w:r>
      <w:bookmarkEnd w:id="1081"/>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082" w:name="_Toc423335852"/>
      <w:r w:rsidRPr="00C664D3">
        <w:rPr>
          <w:rFonts w:asciiTheme="minorEastAsia" w:eastAsiaTheme="minorEastAsia" w:hAnsiTheme="minorEastAsia"/>
          <w:color w:val="000000" w:themeColor="text1"/>
        </w:rPr>
        <w:t>（一）</w:t>
      </w:r>
      <w:r w:rsidRPr="00C664D3">
        <w:rPr>
          <w:rFonts w:asciiTheme="minorEastAsia" w:eastAsiaTheme="minorEastAsia" w:hAnsiTheme="minorEastAsia"/>
          <w:color w:val="000000" w:themeColor="text1"/>
        </w:rPr>
        <w:tab/>
        <w:t>召开事由</w:t>
      </w:r>
      <w:bookmarkEnd w:id="1082"/>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bookmarkStart w:id="1083" w:name="_Toc423335853"/>
      <w:r w:rsidRPr="00C664D3">
        <w:rPr>
          <w:rFonts w:asciiTheme="minorEastAsia" w:eastAsiaTheme="minorEastAsia" w:hAnsiTheme="minorEastAsia"/>
          <w:color w:val="000000" w:themeColor="text1"/>
        </w:rPr>
        <w:t>1、当出现或需要决定下列事由之一的，应当召开基金份额持有人大会</w:t>
      </w:r>
      <w:bookmarkStart w:id="1084" w:name="_Hlt130184372"/>
      <w:r w:rsidRPr="00C664D3">
        <w:rPr>
          <w:rFonts w:asciiTheme="minorEastAsia" w:eastAsiaTheme="minorEastAsia" w:hAnsiTheme="minorEastAsia" w:hint="eastAsia"/>
          <w:color w:val="000000" w:themeColor="text1"/>
        </w:rPr>
        <w:t>，但法律法规、中国证监会和基金合同另有规定的除外</w:t>
      </w:r>
      <w:r w:rsidRPr="00C664D3">
        <w:rPr>
          <w:rFonts w:asciiTheme="minorEastAsia" w:eastAsiaTheme="minorEastAsia" w:hAnsiTheme="minorEastAsia"/>
          <w:color w:val="000000" w:themeColor="text1"/>
        </w:rPr>
        <w:t>：</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（1）终止《基金合同》；</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（2）更换基金管理人；</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（3）更换基金托管人；</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（4）转换基金运作方式；</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（5）提高基金管理人、基金托管人的报酬标准</w:t>
      </w:r>
      <w:r w:rsidR="004B70DB" w:rsidRPr="00C664D3">
        <w:rPr>
          <w:rFonts w:asciiTheme="minorEastAsia" w:eastAsiaTheme="minorEastAsia" w:hAnsiTheme="minorEastAsia" w:hint="eastAsia"/>
          <w:color w:val="000000" w:themeColor="text1"/>
        </w:rPr>
        <w:t>或销售服务费</w:t>
      </w:r>
      <w:r w:rsidRPr="00C664D3">
        <w:rPr>
          <w:rFonts w:asciiTheme="minorEastAsia" w:eastAsiaTheme="minorEastAsia" w:hAnsiTheme="minorEastAsia"/>
          <w:color w:val="000000" w:themeColor="text1"/>
        </w:rPr>
        <w:t>；</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（6）变更基金类别；</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（7）本基金与其他基金的合并；</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（8）变更基金投资目标、范围或策略；</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（9）变更基金份额持有人大会程序；</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（10）基金管理人或基金托管人要求召开基金份额持有人大会；</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（11）单独或合计持有本基金总份额10%以上（含10%）基金份额的基金份额持有人（以基金管理人收到提议当日的基金份额计算，下同）就同一事项书面要求召开基金份额持有人大会；</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（12）对基金当事人权利和义务产生重大影响的其他事项；</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（13）法律法规、《基金合同》或中国证监会规定的其他应当召开基金份额持有人大会的事项。</w:t>
      </w:r>
    </w:p>
    <w:bookmarkEnd w:id="1084"/>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2、以下情况可由基金管理人和基金托管人协商后修改，不需召开基金份额持有人大会：</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（1）调低销售服务费率；</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（2）法律法规要求增加的基金费用的收取；</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（3）在法律法规和《基金合同》规定的范围内调整本基金的申购费率、调低赎回费率或变更收费方式；</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（4）因相应的法律法规发生变动而应当对《基金合同》进行修改；</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（5）对《基金合同》的修改对基金份额持有人利益无实质性不利影响或修改不涉及《基金合同》当事人权利义务关系发生重大变化；</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（6）在法律法规规定或中国证监会许可的范围内，且对基金份额持有人利益无实质性不利影响的前提下，基金推出新业务或服务；</w:t>
      </w:r>
    </w:p>
    <w:p w:rsidR="004B70DB" w:rsidRPr="00C664D3" w:rsidRDefault="004B70DB" w:rsidP="004B70DB">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7）基金管理人、基金登记结算机构、基金代销机构在法律法规规定的范围内调整有关基金申购、赎回、转换、非交易过户、转托管等业务规则；开通人民币、美元之外的其他币种的申购、赎回，或终止人民币之外的其他币种的申购、赎回；</w:t>
      </w:r>
    </w:p>
    <w:p w:rsidR="00A1091C" w:rsidRPr="00C664D3" w:rsidRDefault="004B70DB"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（8）按照法律法规和《基金合同》规定不需召开基金份额持有人大会的其他情形。</w:t>
      </w:r>
      <w:bookmarkEnd w:id="1083"/>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085" w:name="_Toc423335880"/>
      <w:r w:rsidRPr="00C664D3">
        <w:rPr>
          <w:rFonts w:asciiTheme="minorEastAsia" w:eastAsiaTheme="minorEastAsia" w:hAnsiTheme="minorEastAsia"/>
          <w:color w:val="000000" w:themeColor="text1"/>
        </w:rPr>
        <w:t>（二）</w:t>
      </w:r>
      <w:r w:rsidRPr="00C664D3">
        <w:rPr>
          <w:rFonts w:asciiTheme="minorEastAsia" w:eastAsiaTheme="minorEastAsia" w:hAnsiTheme="minorEastAsia"/>
          <w:color w:val="000000" w:themeColor="text1"/>
        </w:rPr>
        <w:tab/>
        <w:t>会议召集人及召集方式</w:t>
      </w:r>
      <w:bookmarkEnd w:id="1085"/>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bookmarkStart w:id="1086" w:name="_Toc423335881"/>
      <w:r w:rsidRPr="00C664D3">
        <w:rPr>
          <w:rFonts w:asciiTheme="minorEastAsia" w:eastAsiaTheme="minorEastAsia" w:hAnsiTheme="minorEastAsia"/>
          <w:color w:val="000000" w:themeColor="text1"/>
        </w:rPr>
        <w:t>1、除法律法规规定或《基金合同》另有约定外，基金份额持有人大会由基金管理人召集；</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2、基金管理人未按规定召集或不能召集时，由基金托管人召集；</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3、基金托管人认为有必要召开基金份额持有人大会的，应当向基金管理人提出书面提议。基金管理人应当自收到书面提议之日起</w:t>
      </w:r>
      <w:r w:rsidRPr="00C664D3">
        <w:rPr>
          <w:rFonts w:asciiTheme="minorEastAsia" w:eastAsiaTheme="minorEastAsia" w:hAnsiTheme="minorEastAsia" w:hint="eastAsia"/>
          <w:color w:val="000000" w:themeColor="text1"/>
        </w:rPr>
        <w:t>10</w:t>
      </w:r>
      <w:r w:rsidRPr="00C664D3">
        <w:rPr>
          <w:rFonts w:asciiTheme="minorEastAsia" w:eastAsiaTheme="minorEastAsia" w:hAnsiTheme="minorEastAsia"/>
          <w:color w:val="000000" w:themeColor="text1"/>
        </w:rPr>
        <w:t>日内决定是否召集，并书面告知基金托管人。基金管理人决定召集的，应当自出具书面决定之日起</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60</w:t>
      </w:r>
      <w:r w:rsidRPr="00C664D3">
        <w:rPr>
          <w:rFonts w:asciiTheme="minorEastAsia" w:eastAsiaTheme="minorEastAsia" w:hAnsiTheme="minorEastAsia"/>
          <w:color w:val="000000" w:themeColor="text1"/>
        </w:rPr>
        <w:t>日内召开；基金管理人决定不召集，基金托管人仍认为有必要召开的，应当由基金托管人自行召集</w:t>
      </w:r>
      <w:r w:rsidRPr="00C664D3">
        <w:rPr>
          <w:rFonts w:asciiTheme="minorEastAsia" w:eastAsiaTheme="minorEastAsia" w:hAnsiTheme="minorEastAsia" w:hint="eastAsia"/>
          <w:color w:val="000000" w:themeColor="text1"/>
        </w:rPr>
        <w:t>并自出具书面决定之日起六十日内召开并告知基金管理人，基金管理人应当配合</w:t>
      </w:r>
      <w:r w:rsidRPr="00C664D3">
        <w:rPr>
          <w:rFonts w:asciiTheme="minorEastAsia" w:eastAsiaTheme="minorEastAsia" w:hAnsiTheme="minorEastAsia"/>
          <w:color w:val="000000" w:themeColor="text1"/>
        </w:rPr>
        <w:t>。</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4、代表基金份额</w:t>
      </w:r>
      <w:r w:rsidRPr="00C664D3">
        <w:rPr>
          <w:rFonts w:asciiTheme="minorEastAsia" w:eastAsiaTheme="minorEastAsia" w:hAnsiTheme="minorEastAsia" w:hint="eastAsia"/>
          <w:color w:val="000000" w:themeColor="text1"/>
        </w:rPr>
        <w:t>10%</w:t>
      </w:r>
      <w:r w:rsidRPr="00C664D3">
        <w:rPr>
          <w:rFonts w:asciiTheme="minorEastAsia" w:eastAsiaTheme="minorEastAsia" w:hAnsiTheme="minorEastAsia"/>
          <w:color w:val="000000" w:themeColor="text1"/>
        </w:rPr>
        <w:t>以上（含</w:t>
      </w:r>
      <w:r w:rsidRPr="00C664D3">
        <w:rPr>
          <w:rFonts w:asciiTheme="minorEastAsia" w:eastAsiaTheme="minorEastAsia" w:hAnsiTheme="minorEastAsia" w:hint="eastAsia"/>
          <w:color w:val="000000" w:themeColor="text1"/>
        </w:rPr>
        <w:t>10%</w:t>
      </w:r>
      <w:r w:rsidRPr="00C664D3">
        <w:rPr>
          <w:rFonts w:asciiTheme="minorEastAsia" w:eastAsiaTheme="minorEastAsia" w:hAnsiTheme="minorEastAsia"/>
          <w:color w:val="000000" w:themeColor="text1"/>
        </w:rPr>
        <w:t>）的基金份额持有人就同一事项书面要求召开基金份额持有人大会，应当向基金管理人提出书面提议。基金管理人应当自收到书面提议之日起</w:t>
      </w:r>
      <w:r w:rsidRPr="00C664D3">
        <w:rPr>
          <w:rFonts w:asciiTheme="minorEastAsia" w:eastAsiaTheme="minorEastAsia" w:hAnsiTheme="minorEastAsia" w:hint="eastAsia"/>
          <w:color w:val="000000" w:themeColor="text1"/>
        </w:rPr>
        <w:t>10</w:t>
      </w:r>
      <w:r w:rsidRPr="00C664D3">
        <w:rPr>
          <w:rFonts w:asciiTheme="minorEastAsia" w:eastAsiaTheme="minorEastAsia" w:hAnsiTheme="minorEastAsia"/>
          <w:color w:val="000000" w:themeColor="text1"/>
        </w:rPr>
        <w:t>日内决定是否召集，并书面告知提出提议的基金份额持有人代表和基金托管人。基金管理人决定召集的，应当自出具书面决定之日起</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60</w:t>
      </w:r>
      <w:r w:rsidRPr="00C664D3">
        <w:rPr>
          <w:rFonts w:asciiTheme="minorEastAsia" w:eastAsiaTheme="minorEastAsia" w:hAnsiTheme="minorEastAsia"/>
          <w:color w:val="000000" w:themeColor="text1"/>
        </w:rPr>
        <w:t>日内召开；基金管理人决定不召集，代表基金份额</w:t>
      </w:r>
      <w:r w:rsidRPr="00C664D3">
        <w:rPr>
          <w:rFonts w:asciiTheme="minorEastAsia" w:eastAsiaTheme="minorEastAsia" w:hAnsiTheme="minorEastAsia" w:hint="eastAsia"/>
          <w:color w:val="000000" w:themeColor="text1"/>
        </w:rPr>
        <w:t>10%</w:t>
      </w:r>
      <w:r w:rsidRPr="00C664D3">
        <w:rPr>
          <w:rFonts w:asciiTheme="minorEastAsia" w:eastAsiaTheme="minorEastAsia" w:hAnsiTheme="minorEastAsia"/>
          <w:color w:val="000000" w:themeColor="text1"/>
        </w:rPr>
        <w:t>以上（含</w:t>
      </w:r>
      <w:r w:rsidRPr="00C664D3">
        <w:rPr>
          <w:rFonts w:asciiTheme="minorEastAsia" w:eastAsiaTheme="minorEastAsia" w:hAnsiTheme="minorEastAsia" w:hint="eastAsia"/>
          <w:color w:val="000000" w:themeColor="text1"/>
        </w:rPr>
        <w:t>10%</w:t>
      </w:r>
      <w:r w:rsidRPr="00C664D3">
        <w:rPr>
          <w:rFonts w:asciiTheme="minorEastAsia" w:eastAsiaTheme="minorEastAsia" w:hAnsiTheme="minorEastAsia"/>
          <w:color w:val="000000" w:themeColor="text1"/>
        </w:rPr>
        <w:t>）的基金份额持有人仍认为有必要召开的，应当向基金托管人提出书面提议。基金托管人应当自收到书面提议之日起</w:t>
      </w:r>
      <w:r w:rsidRPr="00C664D3">
        <w:rPr>
          <w:rFonts w:asciiTheme="minorEastAsia" w:eastAsiaTheme="minorEastAsia" w:hAnsiTheme="minorEastAsia" w:hint="eastAsia"/>
          <w:color w:val="000000" w:themeColor="text1"/>
        </w:rPr>
        <w:t>10</w:t>
      </w:r>
      <w:r w:rsidRPr="00C664D3">
        <w:rPr>
          <w:rFonts w:asciiTheme="minorEastAsia" w:eastAsiaTheme="minorEastAsia" w:hAnsiTheme="minorEastAsia"/>
          <w:color w:val="000000" w:themeColor="text1"/>
        </w:rPr>
        <w:t>日内决定是否召集，并书面告知提出提议的基金份额持有人代表和基金管理人；基金托管人决定召集的，应当自出具书面决定之日起60日内召开。</w:t>
      </w:r>
    </w:p>
    <w:p w:rsidR="00A95AD0"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5、代表基金份额</w:t>
      </w:r>
      <w:r w:rsidRPr="00C664D3">
        <w:rPr>
          <w:rFonts w:asciiTheme="minorEastAsia" w:eastAsiaTheme="minorEastAsia" w:hAnsiTheme="minorEastAsia" w:hint="eastAsia"/>
          <w:color w:val="000000" w:themeColor="text1"/>
        </w:rPr>
        <w:t>10%</w:t>
      </w:r>
      <w:r w:rsidRPr="00C664D3">
        <w:rPr>
          <w:rFonts w:asciiTheme="minorEastAsia" w:eastAsiaTheme="minorEastAsia" w:hAnsiTheme="minorEastAsia"/>
          <w:color w:val="000000" w:themeColor="text1"/>
        </w:rPr>
        <w:t>以上（含</w:t>
      </w:r>
      <w:r w:rsidRPr="00C664D3">
        <w:rPr>
          <w:rFonts w:asciiTheme="minorEastAsia" w:eastAsiaTheme="minorEastAsia" w:hAnsiTheme="minorEastAsia" w:hint="eastAsia"/>
          <w:color w:val="000000" w:themeColor="text1"/>
        </w:rPr>
        <w:t>10%</w:t>
      </w:r>
      <w:r w:rsidRPr="00C664D3">
        <w:rPr>
          <w:rFonts w:asciiTheme="minorEastAsia" w:eastAsiaTheme="minorEastAsia" w:hAnsiTheme="minorEastAsia"/>
          <w:color w:val="000000" w:themeColor="text1"/>
        </w:rPr>
        <w:t>）的基金份额持有人就同一事项要求召开基金份额持有人大会，而基金管理人、基金托管人都不召集的，单独或合计代表基金份额</w:t>
      </w:r>
      <w:r w:rsidRPr="00C664D3">
        <w:rPr>
          <w:rFonts w:asciiTheme="minorEastAsia" w:eastAsiaTheme="minorEastAsia" w:hAnsiTheme="minorEastAsia" w:hint="eastAsia"/>
          <w:color w:val="000000" w:themeColor="text1"/>
        </w:rPr>
        <w:t>10%</w:t>
      </w:r>
      <w:r w:rsidRPr="00C664D3">
        <w:rPr>
          <w:rFonts w:asciiTheme="minorEastAsia" w:eastAsiaTheme="minorEastAsia" w:hAnsiTheme="minorEastAsia"/>
          <w:color w:val="000000" w:themeColor="text1"/>
        </w:rPr>
        <w:t>以上（含</w:t>
      </w:r>
      <w:r w:rsidRPr="00C664D3">
        <w:rPr>
          <w:rFonts w:asciiTheme="minorEastAsia" w:eastAsiaTheme="minorEastAsia" w:hAnsiTheme="minorEastAsia" w:hint="eastAsia"/>
          <w:color w:val="000000" w:themeColor="text1"/>
        </w:rPr>
        <w:t>10%</w:t>
      </w:r>
      <w:r w:rsidRPr="00C664D3">
        <w:rPr>
          <w:rFonts w:asciiTheme="minorEastAsia" w:eastAsiaTheme="minorEastAsia" w:hAnsiTheme="minorEastAsia"/>
          <w:color w:val="000000" w:themeColor="text1"/>
        </w:rPr>
        <w:t>）的基金份额持有人有权自行召集，并至少提前30日报中国证监会备案。基金份额持有人依法自行召集基金份额持有人大会的，基金管理人、基金托管人应当配合，不得阻碍、干扰。</w:t>
      </w:r>
    </w:p>
    <w:p w:rsidR="00A1091C" w:rsidRPr="00C664D3" w:rsidRDefault="00A95AD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6、基金份额持有人会议的召集人负责选择确定开会时间、地点、方式和权益登记日。</w:t>
      </w:r>
      <w:bookmarkEnd w:id="1086"/>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（三）</w:t>
      </w:r>
      <w:r w:rsidRPr="00C664D3">
        <w:rPr>
          <w:rFonts w:asciiTheme="minorEastAsia" w:eastAsiaTheme="minorEastAsia" w:hAnsiTheme="minorEastAsia"/>
          <w:color w:val="000000" w:themeColor="text1"/>
        </w:rPr>
        <w:tab/>
        <w:t>召开基金份额持有人大会的通知时间、通知内容、通知方式</w:t>
      </w:r>
    </w:p>
    <w:p w:rsidR="00D61C2B" w:rsidRPr="00C664D3" w:rsidRDefault="00D61C2B"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1、召开基金份额持有人大会，召集人应于会议召开前</w:t>
      </w:r>
      <w:r w:rsidRPr="00C664D3">
        <w:rPr>
          <w:rFonts w:asciiTheme="minorEastAsia" w:eastAsiaTheme="minorEastAsia" w:hAnsiTheme="minorEastAsia" w:hint="eastAsia"/>
          <w:color w:val="000000" w:themeColor="text1"/>
        </w:rPr>
        <w:t>30</w:t>
      </w:r>
      <w:r w:rsidRPr="00C664D3">
        <w:rPr>
          <w:rFonts w:asciiTheme="minorEastAsia" w:eastAsiaTheme="minorEastAsia" w:hAnsiTheme="minorEastAsia"/>
          <w:color w:val="000000" w:themeColor="text1"/>
        </w:rPr>
        <w:t>日，在指定媒介公告。基金份额持有人大会通知应至少载明以下内容：</w:t>
      </w:r>
    </w:p>
    <w:p w:rsidR="00D61C2B" w:rsidRPr="00C664D3" w:rsidRDefault="00D61C2B"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（1）会议召开的时间、地点和会议形式；</w:t>
      </w:r>
    </w:p>
    <w:p w:rsidR="00D61C2B" w:rsidRPr="00C664D3" w:rsidRDefault="00D61C2B"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（2）会议拟审议的事项、议事程序和表决方式；</w:t>
      </w:r>
    </w:p>
    <w:p w:rsidR="00D61C2B" w:rsidRPr="00C664D3" w:rsidRDefault="00D61C2B"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（3）有权出席基金份额持有人大会的基金份额持有人的权益登记日；</w:t>
      </w:r>
    </w:p>
    <w:p w:rsidR="00D61C2B" w:rsidRPr="00C664D3" w:rsidRDefault="00D61C2B"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（4）授权委托证明的内容要求（包括但不限于代理人身份，代理权限和代理有效期限等）、送达时间和地点</w:t>
      </w:r>
      <w:r w:rsidRPr="00C664D3">
        <w:rPr>
          <w:rFonts w:asciiTheme="minorEastAsia" w:eastAsiaTheme="minorEastAsia" w:hAnsiTheme="minorEastAsia" w:hint="eastAsia"/>
          <w:color w:val="000000" w:themeColor="text1"/>
        </w:rPr>
        <w:t>；</w:t>
      </w:r>
    </w:p>
    <w:p w:rsidR="00D61C2B" w:rsidRPr="00C664D3" w:rsidRDefault="00D61C2B"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（5）会务常设联系人姓名及联系电话；</w:t>
      </w:r>
    </w:p>
    <w:p w:rsidR="00D61C2B" w:rsidRPr="00C664D3" w:rsidRDefault="00D61C2B"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（6）出席会议者必须准备的文件和必须履行的手续；</w:t>
      </w:r>
    </w:p>
    <w:p w:rsidR="00D61C2B" w:rsidRPr="00C664D3" w:rsidRDefault="00D61C2B"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（7）召集人需要通知的其他事项。</w:t>
      </w:r>
    </w:p>
    <w:p w:rsidR="00D61C2B" w:rsidRPr="00C664D3" w:rsidRDefault="00D61C2B"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1091C" w:rsidRPr="00C664D3" w:rsidRDefault="00D61C2B"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A1091C" w:rsidRPr="00C664D3" w:rsidRDefault="00A1091C" w:rsidP="00AB77C1">
      <w:pPr>
        <w:spacing w:line="360" w:lineRule="auto"/>
        <w:ind w:firstLine="420"/>
        <w:rPr>
          <w:rFonts w:asciiTheme="minorEastAsia" w:eastAsiaTheme="minorEastAsia" w:hAnsiTheme="minorEastAsia"/>
          <w:b/>
          <w:color w:val="000000" w:themeColor="text1"/>
        </w:rPr>
      </w:pPr>
      <w:bookmarkStart w:id="1087" w:name="_Toc423335888"/>
      <w:r w:rsidRPr="00C664D3">
        <w:rPr>
          <w:rFonts w:asciiTheme="minorEastAsia" w:eastAsiaTheme="minorEastAsia" w:hAnsiTheme="minorEastAsia"/>
          <w:color w:val="000000" w:themeColor="text1"/>
        </w:rPr>
        <w:t>（四）</w:t>
      </w:r>
      <w:r w:rsidRPr="00C664D3">
        <w:rPr>
          <w:rFonts w:asciiTheme="minorEastAsia" w:eastAsiaTheme="minorEastAsia" w:hAnsiTheme="minorEastAsia"/>
          <w:color w:val="000000" w:themeColor="text1"/>
        </w:rPr>
        <w:tab/>
        <w:t>基金份额持有人出席会议的方式</w:t>
      </w:r>
      <w:bookmarkEnd w:id="1087"/>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bookmarkStart w:id="1088" w:name="_Toc423335889"/>
      <w:r w:rsidRPr="00C664D3">
        <w:rPr>
          <w:rFonts w:asciiTheme="minorEastAsia" w:eastAsiaTheme="minorEastAsia" w:hAnsiTheme="minorEastAsia"/>
          <w:color w:val="000000" w:themeColor="text1"/>
        </w:rPr>
        <w:t>基金份额持有人大会可通过现场开会方式</w:t>
      </w:r>
      <w:r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通讯开会</w:t>
      </w:r>
      <w:r w:rsidRPr="00C664D3">
        <w:rPr>
          <w:rFonts w:asciiTheme="minorEastAsia" w:eastAsiaTheme="minorEastAsia" w:hAnsiTheme="minorEastAsia" w:hint="eastAsia"/>
          <w:color w:val="000000" w:themeColor="text1"/>
        </w:rPr>
        <w:t>及法律法规、中国证监会允许的其他</w:t>
      </w:r>
      <w:r w:rsidRPr="00C664D3">
        <w:rPr>
          <w:rFonts w:asciiTheme="minorEastAsia" w:eastAsiaTheme="minorEastAsia" w:hAnsiTheme="minorEastAsia"/>
          <w:color w:val="000000" w:themeColor="text1"/>
        </w:rPr>
        <w:t>方式召开，会议的召开方式由会议召集人确定。</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（1）亲自出席会议者持有</w:t>
      </w:r>
      <w:r w:rsidRPr="00C664D3">
        <w:rPr>
          <w:rFonts w:asciiTheme="minorEastAsia" w:eastAsiaTheme="minorEastAsia" w:hAnsiTheme="minorEastAsia" w:hint="eastAsia"/>
          <w:color w:val="000000" w:themeColor="text1"/>
        </w:rPr>
        <w:t>的有关证明文件</w:t>
      </w:r>
      <w:r w:rsidRPr="00C664D3">
        <w:rPr>
          <w:rFonts w:asciiTheme="minorEastAsia" w:eastAsiaTheme="minorEastAsia" w:hAnsiTheme="minorEastAsia"/>
          <w:color w:val="000000" w:themeColor="text1"/>
        </w:rPr>
        <w:t>、受托出席会议者</w:t>
      </w:r>
      <w:r w:rsidRPr="00C664D3">
        <w:rPr>
          <w:rFonts w:asciiTheme="minorEastAsia" w:eastAsiaTheme="minorEastAsia" w:hAnsiTheme="minorEastAsia" w:hint="eastAsia"/>
          <w:color w:val="000000" w:themeColor="text1"/>
        </w:rPr>
        <w:t>出示的委托人的代理投票授权委托证明及有关证明文件</w:t>
      </w:r>
      <w:r w:rsidRPr="00C664D3">
        <w:rPr>
          <w:rFonts w:asciiTheme="minorEastAsia" w:eastAsiaTheme="minorEastAsia" w:hAnsiTheme="minorEastAsia"/>
          <w:color w:val="000000" w:themeColor="text1"/>
        </w:rPr>
        <w:t>符合法律法规、《基金合同》和会议通知的规定，并且持有基金份额的凭证与基金管理人持有的登记资料相符；</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（2）经核对，</w:t>
      </w:r>
      <w:r w:rsidRPr="00C664D3">
        <w:rPr>
          <w:rFonts w:asciiTheme="minorEastAsia" w:eastAsiaTheme="minorEastAsia" w:hAnsiTheme="minorEastAsia" w:hint="eastAsia"/>
          <w:color w:val="000000" w:themeColor="text1"/>
        </w:rPr>
        <w:t>到会者在权益登记日代表的</w:t>
      </w:r>
      <w:r w:rsidRPr="00C664D3">
        <w:rPr>
          <w:rFonts w:asciiTheme="minorEastAsia" w:eastAsiaTheme="minorEastAsia" w:hAnsiTheme="minorEastAsia"/>
          <w:color w:val="000000" w:themeColor="text1"/>
        </w:rPr>
        <w:t>有效的基金份额不少于本基金在权益登记日基金总份额的</w:t>
      </w:r>
      <w:r w:rsidRPr="00C664D3">
        <w:rPr>
          <w:rFonts w:asciiTheme="minorEastAsia" w:eastAsiaTheme="minorEastAsia" w:hAnsiTheme="minorEastAsia" w:hint="eastAsia"/>
          <w:color w:val="000000" w:themeColor="text1"/>
        </w:rPr>
        <w:t>50%</w:t>
      </w:r>
      <w:r w:rsidRPr="00C664D3">
        <w:rPr>
          <w:rFonts w:asciiTheme="minorEastAsia" w:eastAsiaTheme="minorEastAsia" w:hAnsiTheme="minorEastAsia"/>
          <w:color w:val="000000" w:themeColor="text1"/>
        </w:rPr>
        <w:t>（含</w:t>
      </w:r>
      <w:r w:rsidRPr="00C664D3">
        <w:rPr>
          <w:rFonts w:asciiTheme="minorEastAsia" w:eastAsiaTheme="minorEastAsia" w:hAnsiTheme="minorEastAsia" w:hint="eastAsia"/>
          <w:color w:val="000000" w:themeColor="text1"/>
        </w:rPr>
        <w:t>50%</w:t>
      </w:r>
      <w:r w:rsidRPr="00C664D3">
        <w:rPr>
          <w:rFonts w:asciiTheme="minorEastAsia" w:eastAsiaTheme="minorEastAsia" w:hAnsiTheme="minorEastAsia"/>
          <w:color w:val="000000" w:themeColor="text1"/>
        </w:rPr>
        <w:t>）。</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2、通讯开会。通讯开会系指基金份额持有人将其对表决事项的投票以书面形式在表决截至日以前送达至召集人指定的地址。通讯开会应以书面方式进行表决。</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在同时符合以下条件时，通讯开会的方式视为有效：</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（1）会议召集人按《基金合同》约定公布会议通知后，在</w:t>
      </w:r>
      <w:r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color w:val="000000" w:themeColor="text1"/>
        </w:rPr>
        <w:t>个工作日内连续公布相关提示性公告；</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（2）召集人按基金合同</w:t>
      </w:r>
      <w:r w:rsidRPr="00C664D3">
        <w:rPr>
          <w:rFonts w:asciiTheme="minorEastAsia" w:eastAsiaTheme="minorEastAsia" w:hAnsiTheme="minorEastAsia" w:hint="eastAsia"/>
          <w:color w:val="000000" w:themeColor="text1"/>
        </w:rPr>
        <w:t>约</w:t>
      </w:r>
      <w:r w:rsidRPr="00C664D3">
        <w:rPr>
          <w:rFonts w:asciiTheme="minorEastAsia" w:eastAsiaTheme="minorEastAsia" w:hAnsiTheme="minorEastAsia"/>
          <w:color w:val="000000" w:themeColor="text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w:t>
      </w:r>
      <w:r w:rsidRPr="00C664D3">
        <w:rPr>
          <w:rFonts w:asciiTheme="minorEastAsia" w:eastAsiaTheme="minorEastAsia" w:hAnsiTheme="minorEastAsia"/>
          <w:color w:val="000000" w:themeColor="text1"/>
        </w:rPr>
        <w:lastRenderedPageBreak/>
        <w:t>影响表决效力；</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（3）本人直接出具书面意见或授权他人代表出具书面意见的，基金份额持有人所持有的基金份额不小于在权益登记日基金总份额的</w:t>
      </w:r>
      <w:r w:rsidRPr="00C664D3">
        <w:rPr>
          <w:rFonts w:asciiTheme="minorEastAsia" w:eastAsiaTheme="minorEastAsia" w:hAnsiTheme="minorEastAsia" w:hint="eastAsia"/>
          <w:color w:val="000000" w:themeColor="text1"/>
        </w:rPr>
        <w:t>50%</w:t>
      </w:r>
      <w:r w:rsidRPr="00C664D3">
        <w:rPr>
          <w:rFonts w:asciiTheme="minorEastAsia" w:eastAsiaTheme="minorEastAsia" w:hAnsiTheme="minorEastAsia"/>
          <w:color w:val="000000" w:themeColor="text1"/>
        </w:rPr>
        <w:t>（含</w:t>
      </w:r>
      <w:r w:rsidRPr="00C664D3">
        <w:rPr>
          <w:rFonts w:asciiTheme="minorEastAsia" w:eastAsiaTheme="minorEastAsia" w:hAnsiTheme="minorEastAsia" w:hint="eastAsia"/>
          <w:color w:val="000000" w:themeColor="text1"/>
        </w:rPr>
        <w:t>50%</w:t>
      </w:r>
      <w:r w:rsidRPr="00C664D3">
        <w:rPr>
          <w:rFonts w:asciiTheme="minorEastAsia" w:eastAsiaTheme="minorEastAsia" w:hAnsiTheme="minorEastAsia"/>
          <w:color w:val="000000" w:themeColor="text1"/>
        </w:rPr>
        <w:t>）；</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（4）上述第（3）项中直接出具书面意见的基金份额持有人或受托代表他人出具书面意见的代理人，同时提交的</w:t>
      </w:r>
      <w:r w:rsidRPr="00C664D3">
        <w:rPr>
          <w:rFonts w:asciiTheme="minorEastAsia" w:eastAsiaTheme="minorEastAsia" w:hAnsiTheme="minorEastAsia" w:hint="eastAsia"/>
          <w:color w:val="000000" w:themeColor="text1"/>
        </w:rPr>
        <w:t>有关证明文件</w:t>
      </w:r>
      <w:r w:rsidRPr="00C664D3">
        <w:rPr>
          <w:rFonts w:asciiTheme="minorEastAsia" w:eastAsiaTheme="minorEastAsia" w:hAnsiTheme="minorEastAsia"/>
          <w:color w:val="000000" w:themeColor="text1"/>
        </w:rPr>
        <w:t>、受托出具书面意见的代理人</w:t>
      </w:r>
      <w:r w:rsidRPr="00C664D3">
        <w:rPr>
          <w:rFonts w:asciiTheme="minorEastAsia" w:eastAsiaTheme="minorEastAsia" w:hAnsiTheme="minorEastAsia" w:hint="eastAsia"/>
          <w:color w:val="000000" w:themeColor="text1"/>
        </w:rPr>
        <w:t>出示的委托人的代理投票授权委托证明及有关证明文件</w:t>
      </w:r>
      <w:r w:rsidRPr="00C664D3">
        <w:rPr>
          <w:rFonts w:asciiTheme="minorEastAsia" w:eastAsiaTheme="minorEastAsia" w:hAnsiTheme="minorEastAsia"/>
          <w:color w:val="000000" w:themeColor="text1"/>
        </w:rPr>
        <w:t>符合法律法规、《基金合同》和会议通知的规定，并与基金登记注册机构记录相符；</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3、重新召集基金份额持有人大会的条件</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基金份额持有人大会应当有代表二分之一以上基金份额的持有人参加，方可召开。</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93574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A1091C" w:rsidRPr="00C664D3" w:rsidRDefault="0093574C"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5、基金份额持有人授权他人代为出席会议并表决的，授权方式可以采用书面、网络、电话、短信或其他方式，具体方式由会议召集人确定并在会议通知中列明。</w:t>
      </w:r>
      <w:bookmarkEnd w:id="1088"/>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089" w:name="_Toc423335903"/>
      <w:r w:rsidRPr="00C664D3">
        <w:rPr>
          <w:rFonts w:asciiTheme="minorEastAsia" w:eastAsiaTheme="minorEastAsia" w:hAnsiTheme="minorEastAsia"/>
          <w:color w:val="000000" w:themeColor="text1"/>
        </w:rPr>
        <w:t>（五）</w:t>
      </w:r>
      <w:r w:rsidRPr="00C664D3">
        <w:rPr>
          <w:rFonts w:asciiTheme="minorEastAsia" w:eastAsiaTheme="minorEastAsia" w:hAnsiTheme="minorEastAsia"/>
          <w:color w:val="000000" w:themeColor="text1"/>
        </w:rPr>
        <w:tab/>
        <w:t>议事内容与程序</w:t>
      </w:r>
      <w:bookmarkEnd w:id="1089"/>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bookmarkStart w:id="1090" w:name="_Toc423335904"/>
      <w:r w:rsidRPr="00C664D3">
        <w:rPr>
          <w:rFonts w:asciiTheme="minorEastAsia" w:eastAsiaTheme="minorEastAsia" w:hAnsiTheme="minorEastAsia"/>
          <w:color w:val="000000" w:themeColor="text1"/>
        </w:rPr>
        <w:t>1、议事内容及提案权</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基金份额持有人大会的召集人发出召集会议的通知后，对原有提案的修改应当在基金份额持有人大会召开前及时公告。</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基金份额持有人大会不得对未事先公告的议事内容进行表决。</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2、议事程序</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（1）现场开会</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在现场开会的方式下，首先由大会主持人按照下列第七条规定程序确定和公布监票人，然后由大会主持人宣读提案，经讨论后进行表决，并形成大会决议。大会主持人为基金管理</w:t>
      </w:r>
      <w:r w:rsidRPr="00C664D3">
        <w:rPr>
          <w:rFonts w:asciiTheme="minorEastAsia" w:eastAsiaTheme="minorEastAsia" w:hAnsiTheme="minorEastAsia"/>
          <w:color w:val="000000" w:themeColor="text1"/>
        </w:rPr>
        <w:lastRenderedPageBreak/>
        <w:t>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664D3">
        <w:rPr>
          <w:rFonts w:asciiTheme="minorEastAsia" w:eastAsiaTheme="minorEastAsia" w:hAnsiTheme="minorEastAsia" w:hint="eastAsia"/>
          <w:color w:val="000000" w:themeColor="text1"/>
        </w:rPr>
        <w:t>50%</w:t>
      </w:r>
      <w:r w:rsidRPr="00C664D3">
        <w:rPr>
          <w:rFonts w:asciiTheme="minorEastAsia" w:eastAsiaTheme="minorEastAsia" w:hAnsiTheme="minorEastAsia"/>
          <w:color w:val="000000" w:themeColor="text1"/>
        </w:rPr>
        <w:t>以上（含</w:t>
      </w:r>
      <w:r w:rsidRPr="00C664D3">
        <w:rPr>
          <w:rFonts w:asciiTheme="minorEastAsia" w:eastAsiaTheme="minorEastAsia" w:hAnsiTheme="minorEastAsia" w:hint="eastAsia"/>
          <w:color w:val="000000" w:themeColor="text1"/>
        </w:rPr>
        <w:t>50%</w:t>
      </w:r>
      <w:r w:rsidRPr="00C664D3">
        <w:rPr>
          <w:rFonts w:asciiTheme="minorEastAsia" w:eastAsiaTheme="minorEastAsia" w:hAnsiTheme="minorEastAsia"/>
          <w:color w:val="000000" w:themeColor="text1"/>
        </w:rPr>
        <w:t>）选举产生一名基金份额持有人作为该次基金份额持有人大会的主持人。基金管理人和基金托管人拒不出席或主持基金份额持有人大会，不影响基金份额持有人大会作出的决议的效力。</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会议召集人应当制作出席会议人员的签名册。签名册载明参加会议人员姓名（或单位名称）、身份证明文件号码、持有或代表有表决权的基金份额、委托人姓名（或单位名称）和联系方式等事项。</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（2）通讯开会</w:t>
      </w:r>
    </w:p>
    <w:p w:rsidR="00A1091C"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在通讯开会的情况下，首先由召集人提前</w:t>
      </w:r>
      <w:r w:rsidRPr="00C664D3">
        <w:rPr>
          <w:rFonts w:asciiTheme="minorEastAsia" w:eastAsiaTheme="minorEastAsia" w:hAnsiTheme="minorEastAsia" w:hint="eastAsia"/>
          <w:color w:val="000000" w:themeColor="text1"/>
        </w:rPr>
        <w:t>30</w:t>
      </w:r>
      <w:r w:rsidRPr="00C664D3">
        <w:rPr>
          <w:rFonts w:asciiTheme="minorEastAsia" w:eastAsiaTheme="minorEastAsia" w:hAnsiTheme="minorEastAsia"/>
          <w:color w:val="000000" w:themeColor="text1"/>
        </w:rPr>
        <w:t>日公布提案，在所通知的表决截止日期后</w:t>
      </w:r>
      <w:r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color w:val="000000" w:themeColor="text1"/>
        </w:rPr>
        <w:t>个工作日内在公证机关监督下由召集人统计全部有效表决，在公证机关监督下形成决议。</w:t>
      </w:r>
      <w:bookmarkEnd w:id="1090"/>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091" w:name="_Toc423335913"/>
      <w:r w:rsidRPr="00C664D3">
        <w:rPr>
          <w:rFonts w:asciiTheme="minorEastAsia" w:eastAsiaTheme="minorEastAsia" w:hAnsiTheme="minorEastAsia"/>
          <w:color w:val="000000" w:themeColor="text1"/>
        </w:rPr>
        <w:t>（六）</w:t>
      </w:r>
      <w:r w:rsidRPr="00C664D3">
        <w:rPr>
          <w:rFonts w:asciiTheme="minorEastAsia" w:eastAsiaTheme="minorEastAsia" w:hAnsiTheme="minorEastAsia"/>
          <w:color w:val="000000" w:themeColor="text1"/>
        </w:rPr>
        <w:tab/>
        <w:t>表决</w:t>
      </w:r>
      <w:bookmarkEnd w:id="1091"/>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bookmarkStart w:id="1092" w:name="_Toc423335914"/>
      <w:r w:rsidRPr="00C664D3">
        <w:rPr>
          <w:rFonts w:asciiTheme="minorEastAsia" w:eastAsiaTheme="minorEastAsia" w:hAnsiTheme="minorEastAsia"/>
          <w:color w:val="000000" w:themeColor="text1"/>
        </w:rPr>
        <w:t>基金份额持有人所持每份基金份额有一票表决权。</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基金份额持有人大会决议分为一般决议和特别决议：</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1、一般决议，一般决议须经参加大会的基金份额持有人或其代理人所持表决权的</w:t>
      </w:r>
      <w:r w:rsidRPr="00C664D3">
        <w:rPr>
          <w:rFonts w:asciiTheme="minorEastAsia" w:eastAsiaTheme="minorEastAsia" w:hAnsiTheme="minorEastAsia" w:hint="eastAsia"/>
          <w:color w:val="000000" w:themeColor="text1"/>
        </w:rPr>
        <w:t>50%</w:t>
      </w:r>
      <w:r w:rsidRPr="00C664D3">
        <w:rPr>
          <w:rFonts w:asciiTheme="minorEastAsia" w:eastAsiaTheme="minorEastAsia" w:hAnsiTheme="minorEastAsia"/>
          <w:color w:val="000000" w:themeColor="text1"/>
        </w:rPr>
        <w:t>以上（含</w:t>
      </w:r>
      <w:r w:rsidRPr="00C664D3">
        <w:rPr>
          <w:rFonts w:asciiTheme="minorEastAsia" w:eastAsiaTheme="minorEastAsia" w:hAnsiTheme="minorEastAsia" w:hint="eastAsia"/>
          <w:color w:val="000000" w:themeColor="text1"/>
        </w:rPr>
        <w:t>50%</w:t>
      </w:r>
      <w:r w:rsidRPr="00C664D3">
        <w:rPr>
          <w:rFonts w:asciiTheme="minorEastAsia" w:eastAsiaTheme="minorEastAsia" w:hAnsiTheme="minorEastAsia"/>
          <w:color w:val="000000" w:themeColor="text1"/>
        </w:rPr>
        <w:t>）通过方为有效；除下列第2项所规定的须以特别决议通过事项以外的其他事项均以一般决议的方式通过。</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2、特别决议，特别决议应当经参加大会的基金份额持有人或其代理人所持表决权的</w:t>
      </w:r>
      <w:r w:rsidRPr="00C664D3">
        <w:rPr>
          <w:rFonts w:asciiTheme="minorEastAsia" w:eastAsiaTheme="minorEastAsia" w:hAnsiTheme="minorEastAsia" w:hint="eastAsia"/>
          <w:color w:val="000000" w:themeColor="text1"/>
        </w:rPr>
        <w:t>三分之二</w:t>
      </w:r>
      <w:r w:rsidRPr="00C664D3">
        <w:rPr>
          <w:rFonts w:asciiTheme="minorEastAsia" w:eastAsiaTheme="minorEastAsia" w:hAnsiTheme="minorEastAsia"/>
          <w:color w:val="000000" w:themeColor="text1"/>
        </w:rPr>
        <w:t>以上（含</w:t>
      </w:r>
      <w:r w:rsidRPr="00C664D3">
        <w:rPr>
          <w:rFonts w:asciiTheme="minorEastAsia" w:eastAsiaTheme="minorEastAsia" w:hAnsiTheme="minorEastAsia" w:hint="eastAsia"/>
          <w:color w:val="000000" w:themeColor="text1"/>
        </w:rPr>
        <w:t>三分之二</w:t>
      </w:r>
      <w:r w:rsidRPr="00C664D3">
        <w:rPr>
          <w:rFonts w:asciiTheme="minorEastAsia" w:eastAsiaTheme="minorEastAsia" w:hAnsiTheme="minorEastAsia"/>
          <w:color w:val="000000" w:themeColor="text1"/>
        </w:rPr>
        <w:t>）通过方可做出。转换基金运作方式、更换基金管理人或者基金托管人、终止《基金合同》</w:t>
      </w:r>
      <w:r w:rsidRPr="00C664D3">
        <w:rPr>
          <w:rFonts w:asciiTheme="minorEastAsia" w:eastAsiaTheme="minorEastAsia" w:hAnsiTheme="minorEastAsia" w:hint="eastAsia"/>
          <w:color w:val="000000" w:themeColor="text1"/>
        </w:rPr>
        <w:t>、与其他基金合并</w:t>
      </w:r>
      <w:r w:rsidRPr="00C664D3">
        <w:rPr>
          <w:rFonts w:asciiTheme="minorEastAsia" w:eastAsiaTheme="minorEastAsia" w:hAnsiTheme="minorEastAsia"/>
          <w:color w:val="000000" w:themeColor="text1"/>
        </w:rPr>
        <w:t>以特别决议通过方为有效。</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基金份额持有人大会采取记名方式进行投票表决。</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1091C"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基金份额持有人大会的各项提案或同一项提案内并列的各项议题应当分开审议、逐项表决。</w:t>
      </w:r>
      <w:bookmarkEnd w:id="1092"/>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093" w:name="_Toc423335920"/>
      <w:r w:rsidRPr="00C664D3">
        <w:rPr>
          <w:rFonts w:asciiTheme="minorEastAsia" w:eastAsiaTheme="minorEastAsia" w:hAnsiTheme="minorEastAsia"/>
          <w:color w:val="000000" w:themeColor="text1"/>
        </w:rPr>
        <w:t>（七）计票</w:t>
      </w:r>
      <w:bookmarkEnd w:id="1093"/>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bookmarkStart w:id="1094" w:name="_Toc423335921"/>
      <w:r w:rsidRPr="00C664D3">
        <w:rPr>
          <w:rFonts w:asciiTheme="minorEastAsia" w:eastAsiaTheme="minorEastAsia" w:hAnsiTheme="minorEastAsia"/>
          <w:color w:val="000000" w:themeColor="text1"/>
        </w:rPr>
        <w:t>1、现场开会</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（1）如大会由基金管理人或基金托管人召集，基金份额持有人大会的主持人应当在会</w:t>
      </w:r>
      <w:r w:rsidRPr="00C664D3">
        <w:rPr>
          <w:rFonts w:asciiTheme="minorEastAsia" w:eastAsiaTheme="minorEastAsia" w:hAnsiTheme="minorEastAsia"/>
          <w:color w:val="000000" w:themeColor="text1"/>
        </w:rPr>
        <w:lastRenderedPageBreak/>
        <w:t>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（2）监票人应当在基金份额持有人表决后立即进行清点并由大会主持人当场公布计票结果。</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（4）计票过程应由公证机关予以公证,基金管理人或基金托管人拒不出席大会的，不影响计票的效力。</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2、通讯开会</w:t>
      </w:r>
    </w:p>
    <w:p w:rsidR="00A1091C"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bookmarkEnd w:id="1094"/>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095" w:name="_Toc423335927"/>
      <w:r w:rsidRPr="00C664D3">
        <w:rPr>
          <w:rFonts w:asciiTheme="minorEastAsia" w:eastAsiaTheme="minorEastAsia" w:hAnsiTheme="minorEastAsia"/>
          <w:color w:val="000000" w:themeColor="text1"/>
        </w:rPr>
        <w:t>（八）</w:t>
      </w:r>
      <w:r w:rsidRPr="00C664D3">
        <w:rPr>
          <w:rFonts w:asciiTheme="minorEastAsia" w:eastAsiaTheme="minorEastAsia" w:hAnsiTheme="minorEastAsia"/>
          <w:color w:val="000000" w:themeColor="text1"/>
        </w:rPr>
        <w:tab/>
        <w:t>生效与公告</w:t>
      </w:r>
      <w:bookmarkEnd w:id="1095"/>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bookmarkStart w:id="1096" w:name="_Toc423335928"/>
      <w:r w:rsidRPr="00C664D3">
        <w:rPr>
          <w:rFonts w:asciiTheme="minorEastAsia" w:eastAsiaTheme="minorEastAsia" w:hAnsiTheme="minorEastAsia"/>
          <w:color w:val="000000" w:themeColor="text1"/>
        </w:rPr>
        <w:t>基金份额持有人大会的决议，</w:t>
      </w:r>
      <w:r w:rsidRPr="00C664D3">
        <w:rPr>
          <w:rFonts w:asciiTheme="minorEastAsia" w:eastAsiaTheme="minorEastAsia" w:hAnsiTheme="minorEastAsia" w:hint="eastAsia"/>
          <w:color w:val="000000" w:themeColor="text1"/>
        </w:rPr>
        <w:t>自表决通过之日起生效。</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基金份额持有人大会的决议，召集人应当自通过之日起</w:t>
      </w:r>
      <w:r w:rsidRPr="00C664D3">
        <w:rPr>
          <w:rFonts w:asciiTheme="minorEastAsia" w:eastAsiaTheme="minorEastAsia" w:hAnsiTheme="minorEastAsia" w:hint="eastAsia"/>
          <w:color w:val="000000" w:themeColor="text1"/>
        </w:rPr>
        <w:t>5</w:t>
      </w:r>
      <w:r w:rsidRPr="00C664D3">
        <w:rPr>
          <w:rFonts w:asciiTheme="minorEastAsia" w:eastAsiaTheme="minorEastAsia" w:hAnsiTheme="minorEastAsia"/>
          <w:color w:val="000000" w:themeColor="text1"/>
        </w:rPr>
        <w:t>日内报中国证监会备案。</w:t>
      </w:r>
    </w:p>
    <w:p w:rsidR="00EE3FFF"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基金份额持有人大会决议自生效之日起</w:t>
      </w:r>
      <w:bookmarkStart w:id="1097" w:name="_Hlt88820702"/>
      <w:bookmarkEnd w:id="1097"/>
      <w:r w:rsidRPr="00C664D3">
        <w:rPr>
          <w:rFonts w:asciiTheme="minorEastAsia" w:eastAsiaTheme="minorEastAsia" w:hAnsiTheme="minorEastAsia" w:hint="eastAsia"/>
          <w:color w:val="000000" w:themeColor="text1"/>
        </w:rPr>
        <w:t>2</w:t>
      </w:r>
      <w:r w:rsidRPr="00C664D3">
        <w:rPr>
          <w:rFonts w:asciiTheme="minorEastAsia" w:eastAsiaTheme="minorEastAsia" w:hAnsiTheme="minorEastAsia"/>
          <w:color w:val="000000" w:themeColor="text1"/>
        </w:rPr>
        <w:t>日内在</w:t>
      </w:r>
      <w:r w:rsidRPr="00C664D3">
        <w:rPr>
          <w:rFonts w:asciiTheme="minorEastAsia" w:eastAsiaTheme="minorEastAsia" w:hAnsiTheme="minorEastAsia" w:hint="eastAsia"/>
          <w:color w:val="000000" w:themeColor="text1"/>
        </w:rPr>
        <w:t>指定媒介</w:t>
      </w:r>
      <w:r w:rsidRPr="00C664D3">
        <w:rPr>
          <w:rFonts w:asciiTheme="minorEastAsia" w:eastAsiaTheme="minorEastAsia" w:hAnsiTheme="minorEastAsia"/>
          <w:color w:val="000000" w:themeColor="text1"/>
        </w:rPr>
        <w:t>上公告</w:t>
      </w:r>
      <w:r w:rsidRPr="00C664D3">
        <w:rPr>
          <w:rFonts w:asciiTheme="minorEastAsia" w:eastAsiaTheme="minorEastAsia" w:hAnsiTheme="minorEastAsia" w:hint="eastAsia"/>
          <w:color w:val="000000" w:themeColor="text1"/>
        </w:rPr>
        <w:t>。</w:t>
      </w:r>
    </w:p>
    <w:p w:rsidR="00080735" w:rsidRPr="00C664D3" w:rsidRDefault="00EE3FFF"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基金管理人、基金托管人和基金份额持有人应当执行生效的基金份额持有人大会的决议。生效的基金份额持有人大会决议对全体基金份额持有人、基金管理人、基金托管人均有约束力。</w:t>
      </w:r>
      <w:bookmarkEnd w:id="1096"/>
    </w:p>
    <w:p w:rsidR="00A1091C" w:rsidRPr="00C664D3" w:rsidRDefault="00080735" w:rsidP="00AB77C1">
      <w:pPr>
        <w:spacing w:line="360" w:lineRule="auto"/>
        <w:ind w:firstLineChars="200" w:firstLine="420"/>
        <w:rPr>
          <w:rFonts w:asciiTheme="minorEastAsia" w:eastAsiaTheme="minorEastAsia" w:hAnsiTheme="minorEastAsia"/>
          <w:color w:val="000000" w:themeColor="text1"/>
        </w:rPr>
      </w:pPr>
      <w:bookmarkStart w:id="1098" w:name="_Toc423335931"/>
      <w:r w:rsidRPr="00C664D3">
        <w:rPr>
          <w:rFonts w:asciiTheme="minorEastAsia" w:eastAsiaTheme="minorEastAsia" w:hAnsiTheme="minorEastAsia" w:hint="eastAsia"/>
          <w:color w:val="000000" w:themeColor="text1"/>
        </w:rPr>
        <w:t>（九）</w:t>
      </w:r>
      <w:r w:rsidR="00EE3FFF" w:rsidRPr="00C664D3">
        <w:rPr>
          <w:rFonts w:asciiTheme="minorEastAsia" w:eastAsiaTheme="minorEastAsia" w:hAnsiTheme="minorEastAsia" w:hint="eastAsia"/>
          <w:color w:val="000000" w:themeColor="text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1098"/>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099" w:name="_Toc423335932"/>
      <w:r w:rsidRPr="00C664D3">
        <w:rPr>
          <w:rFonts w:asciiTheme="minorEastAsia" w:eastAsiaTheme="minorEastAsia" w:hAnsiTheme="minorEastAsia"/>
          <w:color w:val="000000" w:themeColor="text1"/>
        </w:rPr>
        <w:t>三、</w:t>
      </w:r>
      <w:r w:rsidR="008F36E9" w:rsidRPr="00C664D3">
        <w:rPr>
          <w:rFonts w:asciiTheme="minorEastAsia" w:eastAsiaTheme="minorEastAsia" w:hAnsiTheme="minorEastAsia" w:hint="eastAsia"/>
          <w:color w:val="000000" w:themeColor="text1"/>
        </w:rPr>
        <w:t>基金合同解除和终止的事由、程序以及基金财产清算方式</w:t>
      </w:r>
      <w:bookmarkEnd w:id="1099"/>
    </w:p>
    <w:p w:rsidR="00A1091C" w:rsidRPr="00C664D3" w:rsidRDefault="00A1091C" w:rsidP="00AB77C1">
      <w:pPr>
        <w:spacing w:line="360" w:lineRule="auto"/>
        <w:ind w:firstLine="420"/>
        <w:rPr>
          <w:rFonts w:asciiTheme="minorEastAsia" w:eastAsiaTheme="minorEastAsia" w:hAnsiTheme="minorEastAsia"/>
          <w:b/>
          <w:color w:val="000000" w:themeColor="text1"/>
          <w:szCs w:val="21"/>
        </w:rPr>
      </w:pPr>
      <w:bookmarkStart w:id="1100" w:name="_Toc423335933"/>
      <w:r w:rsidRPr="00C664D3">
        <w:rPr>
          <w:rFonts w:asciiTheme="minorEastAsia" w:eastAsiaTheme="minorEastAsia" w:hAnsiTheme="minorEastAsia"/>
          <w:color w:val="000000" w:themeColor="text1"/>
        </w:rPr>
        <w:t>（一）</w:t>
      </w:r>
      <w:r w:rsidRPr="00C664D3">
        <w:rPr>
          <w:rFonts w:asciiTheme="minorEastAsia" w:eastAsiaTheme="minorEastAsia" w:hAnsiTheme="minorEastAsia"/>
          <w:color w:val="000000" w:themeColor="text1"/>
        </w:rPr>
        <w:tab/>
        <w:t>《基金合同》的变更</w:t>
      </w:r>
      <w:bookmarkEnd w:id="1100"/>
    </w:p>
    <w:p w:rsidR="00283086" w:rsidRPr="00C664D3" w:rsidRDefault="00283086" w:rsidP="00AB77C1">
      <w:pPr>
        <w:spacing w:line="360" w:lineRule="auto"/>
        <w:ind w:firstLineChars="200" w:firstLine="420"/>
        <w:rPr>
          <w:rFonts w:asciiTheme="minorEastAsia" w:eastAsiaTheme="minorEastAsia" w:hAnsiTheme="minorEastAsia"/>
          <w:color w:val="000000" w:themeColor="text1"/>
        </w:rPr>
      </w:pPr>
      <w:bookmarkStart w:id="1101" w:name="_Toc423335934"/>
      <w:r w:rsidRPr="00C664D3">
        <w:rPr>
          <w:rFonts w:asciiTheme="minorEastAsia" w:eastAsiaTheme="minorEastAsia" w:hAnsiTheme="minorEastAsia"/>
          <w:color w:val="000000" w:themeColor="text1"/>
        </w:rPr>
        <w:lastRenderedPageBreak/>
        <w:t>1、变更基金合同</w:t>
      </w:r>
      <w:r w:rsidRPr="00C664D3">
        <w:rPr>
          <w:rFonts w:asciiTheme="minorEastAsia" w:eastAsiaTheme="minorEastAsia" w:hAnsiTheme="minorEastAsia" w:hint="eastAsia"/>
          <w:color w:val="000000" w:themeColor="text1"/>
        </w:rPr>
        <w:t>涉及</w:t>
      </w:r>
      <w:r w:rsidRPr="00C664D3">
        <w:rPr>
          <w:rFonts w:asciiTheme="minorEastAsia" w:eastAsiaTheme="minorEastAsia" w:hAnsiTheme="minorEastAsia"/>
          <w:color w:val="000000" w:themeColor="text1"/>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1091C" w:rsidRPr="00C664D3" w:rsidRDefault="0028308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2、关于《基金合同》变更的基金份额持有人大会决议</w:t>
      </w:r>
      <w:r w:rsidRPr="00C664D3">
        <w:rPr>
          <w:rFonts w:asciiTheme="minorEastAsia" w:eastAsiaTheme="minorEastAsia" w:hAnsiTheme="minorEastAsia" w:hint="eastAsia"/>
          <w:color w:val="000000" w:themeColor="text1"/>
        </w:rPr>
        <w:t>自表决通过之日起生效</w:t>
      </w:r>
      <w:r w:rsidRPr="00C664D3">
        <w:rPr>
          <w:rFonts w:asciiTheme="minorEastAsia" w:eastAsiaTheme="minorEastAsia" w:hAnsiTheme="minorEastAsia"/>
          <w:color w:val="000000" w:themeColor="text1"/>
        </w:rPr>
        <w:t>，自决议生效后两日内在指定媒介公告</w:t>
      </w:r>
      <w:r w:rsidRPr="00C664D3">
        <w:rPr>
          <w:rFonts w:asciiTheme="minorEastAsia" w:eastAsiaTheme="minorEastAsia" w:hAnsiTheme="minorEastAsia" w:hint="eastAsia"/>
          <w:color w:val="000000" w:themeColor="text1"/>
        </w:rPr>
        <w:t>。</w:t>
      </w:r>
      <w:bookmarkEnd w:id="1101"/>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102" w:name="_Toc423335935"/>
      <w:r w:rsidRPr="00C664D3">
        <w:rPr>
          <w:rFonts w:asciiTheme="minorEastAsia" w:eastAsiaTheme="minorEastAsia" w:hAnsiTheme="minorEastAsia"/>
          <w:color w:val="000000" w:themeColor="text1"/>
        </w:rPr>
        <w:t>（二）</w:t>
      </w:r>
      <w:r w:rsidRPr="00C664D3">
        <w:rPr>
          <w:rFonts w:asciiTheme="minorEastAsia" w:eastAsiaTheme="minorEastAsia" w:hAnsiTheme="minorEastAsia"/>
          <w:color w:val="000000" w:themeColor="text1"/>
        </w:rPr>
        <w:tab/>
        <w:t>《基金合同》的终止</w:t>
      </w:r>
      <w:r w:rsidR="008F36E9" w:rsidRPr="00C664D3">
        <w:rPr>
          <w:rFonts w:asciiTheme="minorEastAsia" w:eastAsiaTheme="minorEastAsia" w:hAnsiTheme="minorEastAsia" w:hint="eastAsia"/>
          <w:color w:val="000000" w:themeColor="text1"/>
        </w:rPr>
        <w:t>事由</w:t>
      </w:r>
      <w:bookmarkEnd w:id="1102"/>
    </w:p>
    <w:p w:rsidR="00283086" w:rsidRPr="00C664D3" w:rsidRDefault="0028308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有下列情形之一的，《基金合同》应当终止：</w:t>
      </w:r>
    </w:p>
    <w:p w:rsidR="00283086" w:rsidRPr="00C664D3" w:rsidRDefault="0028308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1、基金份额持有人大会决定终止的；</w:t>
      </w:r>
    </w:p>
    <w:p w:rsidR="00283086" w:rsidRPr="00C664D3" w:rsidRDefault="0028308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2、基金管理人、基金托管人职责终止，在6个月内没有新基金管理人、新基金托管人承接的；</w:t>
      </w:r>
    </w:p>
    <w:p w:rsidR="00283086" w:rsidRPr="00C664D3" w:rsidRDefault="00283086" w:rsidP="006D33D8">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w:t>
      </w:r>
      <w:r w:rsidRPr="00C664D3">
        <w:rPr>
          <w:rFonts w:asciiTheme="minorEastAsia" w:eastAsiaTheme="minorEastAsia" w:hAnsiTheme="minorEastAsia"/>
          <w:color w:val="000000" w:themeColor="text1"/>
        </w:rPr>
        <w:t>、《基金合同》约定的其他情形；</w:t>
      </w:r>
    </w:p>
    <w:p w:rsidR="00A1091C" w:rsidRPr="00C664D3" w:rsidRDefault="0028308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w:t>
      </w:r>
      <w:r w:rsidRPr="00C664D3">
        <w:rPr>
          <w:rFonts w:asciiTheme="minorEastAsia" w:eastAsiaTheme="minorEastAsia" w:hAnsiTheme="minorEastAsia"/>
          <w:color w:val="000000" w:themeColor="text1"/>
        </w:rPr>
        <w:t>、相关法律法规和中国证监会规定的其他情况。</w:t>
      </w:r>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103" w:name="_Toc423335936"/>
      <w:r w:rsidRPr="00C664D3">
        <w:rPr>
          <w:rFonts w:asciiTheme="minorEastAsia" w:eastAsiaTheme="minorEastAsia" w:hAnsiTheme="minorEastAsia"/>
          <w:color w:val="000000" w:themeColor="text1"/>
        </w:rPr>
        <w:t>四、争议解决方式</w:t>
      </w:r>
      <w:bookmarkEnd w:id="1103"/>
    </w:p>
    <w:p w:rsidR="00283086" w:rsidRPr="00C664D3" w:rsidRDefault="00283086" w:rsidP="00AB77C1">
      <w:pPr>
        <w:spacing w:line="360" w:lineRule="auto"/>
        <w:ind w:firstLineChars="200" w:firstLine="420"/>
        <w:rPr>
          <w:rFonts w:asciiTheme="minorEastAsia" w:eastAsiaTheme="minorEastAsia" w:hAnsiTheme="minorEastAsia"/>
          <w:color w:val="000000" w:themeColor="text1"/>
        </w:rPr>
      </w:pPr>
      <w:bookmarkStart w:id="1104" w:name="_Toc423335937"/>
      <w:r w:rsidRPr="00C664D3">
        <w:rPr>
          <w:rFonts w:asciiTheme="minorEastAsia" w:eastAsiaTheme="minorEastAsia" w:hAnsiTheme="minorEastAsia" w:hint="eastAsia"/>
          <w:color w:val="000000" w:themeColor="text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283086" w:rsidRPr="00C664D3" w:rsidRDefault="0028308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争议处理期间，基金合同当事人应恪守各自的职责，继续忠实、勤勉、尽责地履行基金合同规定的义务，维护基金份额持有人的合法权益。</w:t>
      </w:r>
    </w:p>
    <w:p w:rsidR="00A1091C" w:rsidRPr="00C664D3" w:rsidRDefault="0028308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《基金合同》受中国法律管辖。</w:t>
      </w:r>
      <w:bookmarkEnd w:id="1104"/>
    </w:p>
    <w:p w:rsidR="00A1091C" w:rsidRPr="00C664D3" w:rsidRDefault="00A1091C" w:rsidP="00AB77C1">
      <w:pPr>
        <w:spacing w:line="360" w:lineRule="auto"/>
        <w:ind w:firstLine="420"/>
        <w:rPr>
          <w:rFonts w:asciiTheme="minorEastAsia" w:eastAsiaTheme="minorEastAsia" w:hAnsiTheme="minorEastAsia"/>
          <w:b/>
          <w:color w:val="000000" w:themeColor="text1"/>
        </w:rPr>
      </w:pPr>
      <w:bookmarkStart w:id="1105" w:name="_Toc423335939"/>
      <w:r w:rsidRPr="00C664D3">
        <w:rPr>
          <w:rFonts w:asciiTheme="minorEastAsia" w:eastAsiaTheme="minorEastAsia" w:hAnsiTheme="minorEastAsia"/>
          <w:color w:val="000000" w:themeColor="text1"/>
        </w:rPr>
        <w:t>五、基金合同存放地和投资者取得基金合同的方式</w:t>
      </w:r>
      <w:bookmarkEnd w:id="1105"/>
    </w:p>
    <w:p w:rsidR="00283086" w:rsidRPr="00C664D3" w:rsidRDefault="00283086" w:rsidP="00AB77C1">
      <w:pPr>
        <w:spacing w:line="360" w:lineRule="auto"/>
        <w:ind w:firstLineChars="200" w:firstLine="420"/>
        <w:rPr>
          <w:rFonts w:asciiTheme="minorEastAsia" w:eastAsiaTheme="minorEastAsia" w:hAnsiTheme="minorEastAsia"/>
          <w:color w:val="000000" w:themeColor="text1"/>
        </w:rPr>
      </w:pPr>
      <w:bookmarkStart w:id="1106" w:name="_Toc423335940"/>
      <w:r w:rsidRPr="00C664D3">
        <w:rPr>
          <w:rFonts w:asciiTheme="minorEastAsia" w:eastAsiaTheme="minorEastAsia" w:hAnsiTheme="minorEastAsia"/>
          <w:color w:val="000000" w:themeColor="text1"/>
        </w:rPr>
        <w:t>《基金合同》是约定基金当事人之间、基金与基金当事人之间权利义务关系的法律文件。</w:t>
      </w:r>
    </w:p>
    <w:p w:rsidR="00283086" w:rsidRPr="00C664D3" w:rsidRDefault="0028308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1、《基金合同》经基金管理人、基金托管人双方盖章以及双方法定代表人或授权代表签字</w:t>
      </w:r>
      <w:r w:rsidRPr="00C664D3">
        <w:rPr>
          <w:rFonts w:asciiTheme="minorEastAsia" w:eastAsiaTheme="minorEastAsia" w:hAnsiTheme="minorEastAsia" w:hint="eastAsia"/>
          <w:color w:val="000000" w:themeColor="text1"/>
        </w:rPr>
        <w:t>或盖章</w:t>
      </w:r>
      <w:r w:rsidRPr="00C664D3">
        <w:rPr>
          <w:rFonts w:asciiTheme="minorEastAsia" w:eastAsiaTheme="minorEastAsia" w:hAnsiTheme="minorEastAsia"/>
          <w:color w:val="000000" w:themeColor="text1"/>
        </w:rPr>
        <w:t>并在募集结束后经基金管理人向中国证监会办理基金备案手续，并经中国证监会书面确认后生效。</w:t>
      </w:r>
    </w:p>
    <w:p w:rsidR="00283086" w:rsidRPr="00C664D3" w:rsidRDefault="0028308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2、《基金合同》的有效期自其生效之日起至基金财产清算结果报中国证监会</w:t>
      </w:r>
      <w:r w:rsidRPr="00C664D3">
        <w:rPr>
          <w:rFonts w:asciiTheme="minorEastAsia" w:eastAsiaTheme="minorEastAsia" w:hAnsiTheme="minorEastAsia" w:hint="eastAsia"/>
          <w:color w:val="000000" w:themeColor="text1"/>
        </w:rPr>
        <w:t>备案</w:t>
      </w:r>
      <w:r w:rsidRPr="00C664D3">
        <w:rPr>
          <w:rFonts w:asciiTheme="minorEastAsia" w:eastAsiaTheme="minorEastAsia" w:hAnsiTheme="minorEastAsia"/>
          <w:color w:val="000000" w:themeColor="text1"/>
        </w:rPr>
        <w:t>并公告之日止。</w:t>
      </w:r>
    </w:p>
    <w:p w:rsidR="00283086" w:rsidRPr="00C664D3" w:rsidRDefault="0028308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3、《基金合同》自生效之日起对包括基金管理人、基金托管人和基金份额持有人在内的《基金合同》各方当事人具有同等的法律约束力。</w:t>
      </w:r>
    </w:p>
    <w:p w:rsidR="00283086" w:rsidRPr="00C664D3" w:rsidRDefault="0028308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4、《基金合同》正本一式六份，除上报有关监管机构一式二份外，基金管理人、基金托管人各持有二份，每份具有同等的法律效力。</w:t>
      </w:r>
    </w:p>
    <w:p w:rsidR="00A1091C" w:rsidRPr="00C664D3" w:rsidRDefault="00283086"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5、《基金合同》可印制成册，供投资者在基金管理人、基金托管人、</w:t>
      </w:r>
      <w:bookmarkStart w:id="1107" w:name="_Hlt83963581"/>
      <w:bookmarkEnd w:id="1107"/>
      <w:r w:rsidRPr="00C664D3">
        <w:rPr>
          <w:rFonts w:asciiTheme="minorEastAsia" w:eastAsiaTheme="minorEastAsia" w:hAnsiTheme="minorEastAsia"/>
          <w:color w:val="000000" w:themeColor="text1"/>
        </w:rPr>
        <w:t>销售机构的办公场所和营业场所查阅。</w:t>
      </w:r>
      <w:bookmarkEnd w:id="1106"/>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1108" w:name="_Toc83904216"/>
      <w:r w:rsidRPr="00C664D3">
        <w:rPr>
          <w:rFonts w:asciiTheme="minorEastAsia" w:eastAsiaTheme="minorEastAsia" w:hAnsiTheme="minorEastAsia"/>
          <w:color w:val="000000" w:themeColor="text1"/>
        </w:rPr>
        <w:lastRenderedPageBreak/>
        <w:t>基金托管协议的内容摘要</w:t>
      </w:r>
      <w:bookmarkEnd w:id="1108"/>
    </w:p>
    <w:p w:rsidR="00A1091C" w:rsidRPr="00C664D3" w:rsidRDefault="00A1091C" w:rsidP="00AB77C1">
      <w:pPr>
        <w:numPr>
          <w:ilvl w:val="1"/>
          <w:numId w:val="3"/>
        </w:numPr>
        <w:spacing w:line="360" w:lineRule="auto"/>
        <w:ind w:leftChars="200" w:left="420" w:firstLine="0"/>
        <w:rPr>
          <w:rFonts w:asciiTheme="minorEastAsia" w:eastAsiaTheme="minorEastAsia" w:hAnsiTheme="minorEastAsia"/>
          <w:color w:val="000000" w:themeColor="text1"/>
          <w:sz w:val="24"/>
          <w:szCs w:val="18"/>
        </w:rPr>
      </w:pPr>
      <w:r w:rsidRPr="00C664D3">
        <w:rPr>
          <w:rFonts w:asciiTheme="minorEastAsia" w:eastAsiaTheme="minorEastAsia" w:hAnsiTheme="minorEastAsia"/>
          <w:color w:val="000000" w:themeColor="text1"/>
          <w:sz w:val="24"/>
          <w:szCs w:val="18"/>
        </w:rPr>
        <w:t>托管协议当事人</w:t>
      </w:r>
    </w:p>
    <w:p w:rsidR="00A1091C" w:rsidRPr="00C664D3" w:rsidRDefault="00A1091C" w:rsidP="00AB77C1">
      <w:pPr>
        <w:snapToGrid w:val="0"/>
        <w:spacing w:line="360" w:lineRule="auto"/>
        <w:ind w:firstLineChars="200" w:firstLine="422"/>
        <w:rPr>
          <w:rFonts w:asciiTheme="minorEastAsia" w:eastAsiaTheme="minorEastAsia" w:hAnsiTheme="minorEastAsia"/>
          <w:color w:val="000000" w:themeColor="text1"/>
        </w:rPr>
      </w:pPr>
      <w:bookmarkStart w:id="1109" w:name="_Toc22454433"/>
      <w:bookmarkStart w:id="1110" w:name="_Toc48703885"/>
      <w:bookmarkStart w:id="1111" w:name="_Toc174497167"/>
      <w:bookmarkStart w:id="1112" w:name="_Toc174501001"/>
      <w:bookmarkStart w:id="1113" w:name="_Toc174502373"/>
      <w:bookmarkStart w:id="1114" w:name="_Toc174616272"/>
      <w:r w:rsidRPr="00C664D3">
        <w:rPr>
          <w:rFonts w:asciiTheme="minorEastAsia" w:eastAsiaTheme="minorEastAsia" w:hAnsiTheme="minorEastAsia"/>
          <w:b/>
          <w:color w:val="000000" w:themeColor="text1"/>
        </w:rPr>
        <w:t>（一）基金管理人</w:t>
      </w:r>
      <w:bookmarkEnd w:id="1109"/>
      <w:bookmarkEnd w:id="1110"/>
      <w:bookmarkEnd w:id="1111"/>
      <w:bookmarkEnd w:id="1112"/>
      <w:bookmarkEnd w:id="1113"/>
      <w:bookmarkEnd w:id="1114"/>
    </w:p>
    <w:p w:rsidR="00E90AA9" w:rsidRPr="00C664D3" w:rsidRDefault="00DA3697" w:rsidP="001A714A">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名称：易方达基金管理有限公司</w:t>
      </w:r>
    </w:p>
    <w:p w:rsidR="00E90AA9" w:rsidRPr="00C664D3" w:rsidRDefault="00DA3697" w:rsidP="001A714A">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注册地址：</w:t>
      </w:r>
      <w:r w:rsidR="004A37C0" w:rsidRPr="00C664D3">
        <w:rPr>
          <w:rFonts w:asciiTheme="minorEastAsia" w:eastAsiaTheme="minorEastAsia" w:hAnsiTheme="minorEastAsia" w:hint="eastAsia"/>
          <w:color w:val="000000" w:themeColor="text1"/>
          <w:szCs w:val="21"/>
        </w:rPr>
        <w:t>广东省珠海市横琴新区宝华路6号105室-42891（集中办公区）</w:t>
      </w:r>
    </w:p>
    <w:p w:rsidR="00E90AA9" w:rsidRPr="00C664D3" w:rsidRDefault="00DA3697" w:rsidP="001A714A">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办公地址：广东省广州市</w:t>
      </w:r>
      <w:r w:rsidR="00160570" w:rsidRPr="00C664D3">
        <w:rPr>
          <w:rFonts w:asciiTheme="minorEastAsia" w:eastAsiaTheme="minorEastAsia" w:hAnsiTheme="minorEastAsia" w:hint="eastAsia"/>
          <w:color w:val="000000" w:themeColor="text1"/>
          <w:szCs w:val="21"/>
        </w:rPr>
        <w:t>天河区</w:t>
      </w:r>
      <w:r w:rsidRPr="00C664D3">
        <w:rPr>
          <w:rFonts w:asciiTheme="minorEastAsia" w:eastAsiaTheme="minorEastAsia" w:hAnsiTheme="minorEastAsia" w:hint="eastAsia"/>
          <w:color w:val="000000" w:themeColor="text1"/>
          <w:szCs w:val="21"/>
        </w:rPr>
        <w:t>珠江新城珠江东路30号广州银行大厦40-43楼</w:t>
      </w:r>
    </w:p>
    <w:p w:rsidR="00E90AA9" w:rsidRPr="00C664D3" w:rsidRDefault="00DA3697" w:rsidP="001A714A">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邮政编码：510620</w:t>
      </w:r>
    </w:p>
    <w:p w:rsidR="00E90AA9" w:rsidRPr="00C664D3" w:rsidRDefault="00DA3697" w:rsidP="001A714A">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法定代表人：刘晓艳</w:t>
      </w:r>
    </w:p>
    <w:p w:rsidR="00E90AA9" w:rsidRPr="00C664D3" w:rsidRDefault="00DA3697" w:rsidP="001A714A">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成立日期：2001年4月17日</w:t>
      </w:r>
    </w:p>
    <w:p w:rsidR="00E90AA9" w:rsidRPr="00C664D3" w:rsidRDefault="00DA3697" w:rsidP="001A714A">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批准设立机关及批准设立文号：中国证</w:t>
      </w:r>
      <w:r w:rsidR="000513A1" w:rsidRPr="00C664D3">
        <w:rPr>
          <w:rFonts w:asciiTheme="minorEastAsia" w:eastAsiaTheme="minorEastAsia" w:hAnsiTheme="minorEastAsia" w:hint="eastAsia"/>
          <w:color w:val="000000" w:themeColor="text1"/>
          <w:szCs w:val="21"/>
        </w:rPr>
        <w:t>券</w:t>
      </w:r>
      <w:r w:rsidRPr="00C664D3">
        <w:rPr>
          <w:rFonts w:asciiTheme="minorEastAsia" w:eastAsiaTheme="minorEastAsia" w:hAnsiTheme="minorEastAsia" w:hint="eastAsia"/>
          <w:color w:val="000000" w:themeColor="text1"/>
          <w:szCs w:val="21"/>
        </w:rPr>
        <w:t>监</w:t>
      </w:r>
      <w:r w:rsidR="000513A1" w:rsidRPr="00C664D3">
        <w:rPr>
          <w:rFonts w:asciiTheme="minorEastAsia" w:eastAsiaTheme="minorEastAsia" w:hAnsiTheme="minorEastAsia" w:hint="eastAsia"/>
          <w:color w:val="000000" w:themeColor="text1"/>
          <w:szCs w:val="21"/>
        </w:rPr>
        <w:t>督</w:t>
      </w:r>
      <w:r w:rsidR="000513A1" w:rsidRPr="00C664D3">
        <w:rPr>
          <w:rFonts w:asciiTheme="minorEastAsia" w:eastAsiaTheme="minorEastAsia" w:hAnsiTheme="minorEastAsia"/>
          <w:color w:val="000000" w:themeColor="text1"/>
          <w:szCs w:val="21"/>
        </w:rPr>
        <w:t>管理委员</w:t>
      </w:r>
      <w:r w:rsidRPr="00C664D3">
        <w:rPr>
          <w:rFonts w:asciiTheme="minorEastAsia" w:eastAsiaTheme="minorEastAsia" w:hAnsiTheme="minorEastAsia" w:hint="eastAsia"/>
          <w:color w:val="000000" w:themeColor="text1"/>
          <w:szCs w:val="21"/>
        </w:rPr>
        <w:t>会</w:t>
      </w:r>
      <w:r w:rsidR="000513A1"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hint="eastAsia"/>
          <w:color w:val="000000" w:themeColor="text1"/>
          <w:szCs w:val="21"/>
        </w:rPr>
        <w:t>证监基</w:t>
      </w:r>
      <w:r w:rsidR="000513A1" w:rsidRPr="00C664D3">
        <w:rPr>
          <w:rFonts w:asciiTheme="minorEastAsia" w:eastAsiaTheme="minorEastAsia" w:hAnsiTheme="minorEastAsia" w:hint="eastAsia"/>
          <w:color w:val="000000" w:themeColor="text1"/>
          <w:szCs w:val="21"/>
        </w:rPr>
        <w:t>金</w:t>
      </w:r>
      <w:r w:rsidRPr="00C664D3">
        <w:rPr>
          <w:rFonts w:asciiTheme="minorEastAsia" w:eastAsiaTheme="minorEastAsia" w:hAnsiTheme="minorEastAsia" w:hint="eastAsia"/>
          <w:color w:val="000000" w:themeColor="text1"/>
          <w:szCs w:val="21"/>
        </w:rPr>
        <w:t>字[2001]4号</w:t>
      </w:r>
    </w:p>
    <w:p w:rsidR="00E90AA9" w:rsidRPr="00C664D3" w:rsidRDefault="00DA3697" w:rsidP="001A714A">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组织形式：有限责任公司</w:t>
      </w:r>
    </w:p>
    <w:p w:rsidR="00E90AA9" w:rsidRPr="00C664D3" w:rsidRDefault="00972511" w:rsidP="001A714A">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注册资本：13,244.2万元人民币</w:t>
      </w:r>
    </w:p>
    <w:p w:rsidR="00E90AA9" w:rsidRPr="00C664D3" w:rsidRDefault="00DA3697" w:rsidP="001A714A">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存续期间：持续经营</w:t>
      </w:r>
    </w:p>
    <w:p w:rsidR="00A1091C" w:rsidRPr="00C664D3" w:rsidRDefault="00DA3697"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经营范围：</w:t>
      </w:r>
      <w:r w:rsidR="00402DD5" w:rsidRPr="00C664D3">
        <w:rPr>
          <w:rFonts w:asciiTheme="minorEastAsia" w:eastAsiaTheme="minorEastAsia" w:hAnsiTheme="minorEastAsia" w:hint="eastAsia"/>
          <w:color w:val="000000" w:themeColor="text1"/>
          <w:szCs w:val="21"/>
        </w:rPr>
        <w:t>公开募集证券投资基金管理、基金销售、特定客户资产管理</w:t>
      </w:r>
    </w:p>
    <w:p w:rsidR="00A1091C" w:rsidRPr="00C664D3" w:rsidRDefault="00A1091C" w:rsidP="00AB77C1">
      <w:pPr>
        <w:snapToGrid w:val="0"/>
        <w:spacing w:line="360" w:lineRule="auto"/>
        <w:ind w:firstLineChars="200" w:firstLine="422"/>
        <w:rPr>
          <w:rFonts w:asciiTheme="minorEastAsia" w:eastAsiaTheme="minorEastAsia" w:hAnsiTheme="minorEastAsia"/>
          <w:b/>
          <w:color w:val="000000" w:themeColor="text1"/>
        </w:rPr>
      </w:pPr>
      <w:bookmarkStart w:id="1115" w:name="_Toc174497168"/>
      <w:bookmarkStart w:id="1116" w:name="_Toc174501002"/>
      <w:bookmarkStart w:id="1117" w:name="_Toc174502374"/>
      <w:bookmarkStart w:id="1118" w:name="_Toc174616273"/>
      <w:r w:rsidRPr="00C664D3">
        <w:rPr>
          <w:rFonts w:asciiTheme="minorEastAsia" w:eastAsiaTheme="minorEastAsia" w:hAnsiTheme="minorEastAsia"/>
          <w:b/>
          <w:color w:val="000000" w:themeColor="text1"/>
        </w:rPr>
        <w:t>（二）基金托管人</w:t>
      </w:r>
      <w:bookmarkEnd w:id="1115"/>
      <w:bookmarkEnd w:id="1116"/>
      <w:bookmarkEnd w:id="1117"/>
      <w:bookmarkEnd w:id="1118"/>
    </w:p>
    <w:p w:rsidR="00755D7D" w:rsidRPr="00C664D3" w:rsidRDefault="00755D7D"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名称：中国建设银行股份有限公司(简称：中国建设银行)</w:t>
      </w:r>
    </w:p>
    <w:p w:rsidR="00755D7D" w:rsidRPr="00C664D3" w:rsidRDefault="00755D7D"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住所：北京市西城区金融大街25号</w:t>
      </w:r>
    </w:p>
    <w:p w:rsidR="00755D7D" w:rsidRPr="00C664D3" w:rsidRDefault="00755D7D"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办公地址：北京市西城区闹市口大街1号院1号楼</w:t>
      </w:r>
    </w:p>
    <w:p w:rsidR="00755D7D" w:rsidRPr="00C664D3" w:rsidRDefault="00755D7D"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邮政编码：100033</w:t>
      </w:r>
    </w:p>
    <w:p w:rsidR="00755D7D" w:rsidRPr="00C664D3" w:rsidRDefault="00B7276D"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法定代表人：田</w:t>
      </w:r>
      <w:r w:rsidRPr="00C664D3">
        <w:rPr>
          <w:rFonts w:asciiTheme="minorEastAsia" w:eastAsiaTheme="minorEastAsia" w:hAnsiTheme="minorEastAsia"/>
          <w:color w:val="000000" w:themeColor="text1"/>
          <w:szCs w:val="21"/>
        </w:rPr>
        <w:t>国立</w:t>
      </w:r>
    </w:p>
    <w:p w:rsidR="00755D7D" w:rsidRPr="00C664D3" w:rsidRDefault="00755D7D"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成立日期：</w:t>
      </w:r>
      <w:smartTag w:uri="urn:schemas-microsoft-com:office:smarttags" w:element="chsdate">
        <w:smartTagPr>
          <w:attr w:name="IsROCDate" w:val="False"/>
          <w:attr w:name="IsLunarDate" w:val="False"/>
          <w:attr w:name="Day" w:val="17"/>
          <w:attr w:name="Month" w:val="09"/>
          <w:attr w:name="Year" w:val="2004"/>
        </w:smartTagPr>
        <w:r w:rsidRPr="00C664D3">
          <w:rPr>
            <w:rFonts w:asciiTheme="minorEastAsia" w:eastAsiaTheme="minorEastAsia" w:hAnsiTheme="minorEastAsia" w:hint="eastAsia"/>
            <w:color w:val="000000" w:themeColor="text1"/>
            <w:szCs w:val="21"/>
          </w:rPr>
          <w:t>2004年09月17日</w:t>
        </w:r>
      </w:smartTag>
    </w:p>
    <w:p w:rsidR="00755D7D" w:rsidRPr="00C664D3" w:rsidRDefault="00755D7D"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基金托管业务批准文号：中国证监会证监基字[1998]12号</w:t>
      </w:r>
    </w:p>
    <w:p w:rsidR="00755D7D" w:rsidRPr="00C664D3" w:rsidRDefault="00755D7D"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组织形式：股份有限公司</w:t>
      </w:r>
    </w:p>
    <w:p w:rsidR="00755D7D" w:rsidRPr="00C664D3" w:rsidRDefault="00755D7D"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注册资本：贰仟伍佰亿壹仟零玖拾柒万柒仟肆佰捌拾陆元整</w:t>
      </w:r>
    </w:p>
    <w:p w:rsidR="00755D7D" w:rsidRPr="00C664D3" w:rsidRDefault="00755D7D"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存续期间：持续经营</w:t>
      </w:r>
    </w:p>
    <w:p w:rsidR="00A1091C" w:rsidRPr="00C664D3" w:rsidRDefault="00755D7D"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A1091C" w:rsidRPr="00C664D3" w:rsidRDefault="00050E22" w:rsidP="00AB77C1">
      <w:pPr>
        <w:numPr>
          <w:ilvl w:val="1"/>
          <w:numId w:val="3"/>
        </w:numPr>
        <w:spacing w:line="360" w:lineRule="auto"/>
        <w:ind w:leftChars="200" w:left="420" w:firstLine="0"/>
        <w:rPr>
          <w:rFonts w:asciiTheme="minorEastAsia" w:eastAsiaTheme="minorEastAsia" w:hAnsiTheme="minorEastAsia"/>
          <w:color w:val="000000" w:themeColor="text1"/>
          <w:sz w:val="24"/>
          <w:szCs w:val="18"/>
        </w:rPr>
      </w:pPr>
      <w:bookmarkStart w:id="1119" w:name="_Toc174788854"/>
      <w:bookmarkStart w:id="1120" w:name="_Toc174790102"/>
      <w:bookmarkStart w:id="1121" w:name="_Toc186274439"/>
      <w:r w:rsidRPr="00C664D3">
        <w:rPr>
          <w:rFonts w:asciiTheme="minorEastAsia" w:eastAsiaTheme="minorEastAsia" w:hAnsiTheme="minorEastAsia" w:hint="eastAsia"/>
          <w:color w:val="000000" w:themeColor="text1"/>
          <w:sz w:val="24"/>
          <w:szCs w:val="18"/>
        </w:rPr>
        <w:t>基金托管人对基金管理人的业务监督和核查</w:t>
      </w:r>
      <w:bookmarkEnd w:id="1119"/>
      <w:bookmarkEnd w:id="1120"/>
      <w:bookmarkEnd w:id="1121"/>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（一）基金托管人根据有关法律法规的规定及基金合同的约定，对基金投资范围、投资对象进行监督。</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投资于标的指数成份股、备选成份股、在已与中国证监会签署双边监管合作谅解备忘录的国家或地区证券监管机构登记注册的跟踪同一标的指数的公募基金、依法发行上市的其他股票、债券、存托凭证（包括全球存托凭证、美国存托凭证等）、银行存款、货币市场工具、经中国证监会认可的境外交易所上市交易的期权、期货等金融衍生产品和法律法规或中国证监会允许基金投资的其他金融工具。</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如法律法规或监管机构以后允许基金投资其他品种，</w:t>
      </w:r>
      <w:r w:rsidR="00AC06BC" w:rsidRPr="00C664D3">
        <w:rPr>
          <w:rFonts w:asciiTheme="minorEastAsia" w:eastAsiaTheme="minorEastAsia" w:hAnsiTheme="minorEastAsia" w:hint="eastAsia"/>
          <w:color w:val="000000" w:themeColor="text1"/>
          <w:szCs w:val="21"/>
        </w:rPr>
        <w:t>在履行适当程序后，</w:t>
      </w:r>
      <w:r w:rsidRPr="00C664D3">
        <w:rPr>
          <w:rFonts w:asciiTheme="minorEastAsia" w:eastAsiaTheme="minorEastAsia" w:hAnsiTheme="minorEastAsia" w:hint="eastAsia"/>
          <w:color w:val="000000" w:themeColor="text1"/>
          <w:szCs w:val="21"/>
        </w:rPr>
        <w:t>本基金</w:t>
      </w:r>
      <w:r w:rsidRPr="00C664D3">
        <w:rPr>
          <w:rFonts w:asciiTheme="minorEastAsia" w:eastAsiaTheme="minorEastAsia" w:hAnsiTheme="minorEastAsia"/>
          <w:color w:val="000000" w:themeColor="text1"/>
          <w:szCs w:val="21"/>
        </w:rPr>
        <w:t>可以将其纳入投资范围</w:t>
      </w:r>
      <w:r w:rsidRPr="00C664D3">
        <w:rPr>
          <w:rFonts w:asciiTheme="minorEastAsia" w:eastAsiaTheme="minorEastAsia" w:hAnsiTheme="minorEastAsia" w:hint="eastAsia"/>
          <w:color w:val="000000" w:themeColor="text1"/>
          <w:szCs w:val="21"/>
        </w:rPr>
        <w:t>，其投资原则及投资比例按法律法规或监管机构的相关规定执行。</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本基金投资于股票的比例不低于基金资产的80%；本基金投资标的指数成份股、备选成份股、</w:t>
      </w:r>
      <w:r w:rsidR="0089111C" w:rsidRPr="00C664D3">
        <w:rPr>
          <w:rFonts w:asciiTheme="minorEastAsia" w:eastAsiaTheme="minorEastAsia" w:hAnsiTheme="minorEastAsia" w:hint="eastAsia"/>
          <w:color w:val="000000" w:themeColor="text1"/>
          <w:szCs w:val="21"/>
        </w:rPr>
        <w:t>跟踪同一标的指数的公募基金</w:t>
      </w:r>
      <w:r w:rsidRPr="00C664D3">
        <w:rPr>
          <w:rFonts w:asciiTheme="minorEastAsia" w:eastAsiaTheme="minorEastAsia" w:hAnsiTheme="minorEastAsia" w:hint="eastAsia"/>
          <w:color w:val="000000" w:themeColor="text1"/>
          <w:szCs w:val="21"/>
        </w:rPr>
        <w:t>的资产不低于</w:t>
      </w:r>
      <w:r w:rsidRPr="00C664D3">
        <w:rPr>
          <w:rFonts w:asciiTheme="minorEastAsia" w:eastAsiaTheme="minorEastAsia" w:hAnsiTheme="minorEastAsia"/>
          <w:color w:val="000000" w:themeColor="text1"/>
          <w:szCs w:val="21"/>
        </w:rPr>
        <w:t>非现金基金资产的80%</w:t>
      </w:r>
      <w:r w:rsidRPr="00C664D3">
        <w:rPr>
          <w:rFonts w:asciiTheme="minorEastAsia" w:eastAsiaTheme="minorEastAsia" w:hAnsiTheme="minorEastAsia" w:hint="eastAsia"/>
          <w:color w:val="000000" w:themeColor="text1"/>
          <w:szCs w:val="21"/>
        </w:rPr>
        <w:t>；</w:t>
      </w:r>
      <w:r w:rsidRPr="00C664D3">
        <w:rPr>
          <w:rFonts w:asciiTheme="minorEastAsia" w:eastAsiaTheme="minorEastAsia" w:hAnsiTheme="minorEastAsia"/>
          <w:color w:val="000000" w:themeColor="text1"/>
          <w:szCs w:val="21"/>
        </w:rPr>
        <w:t>现金或到期日在一年以内的政府债券不低于基金资产净值的5%</w:t>
      </w:r>
      <w:r w:rsidR="00C81E1B" w:rsidRPr="00C664D3">
        <w:rPr>
          <w:rFonts w:asciiTheme="minorEastAsia" w:eastAsiaTheme="minorEastAsia" w:hAnsiTheme="minorEastAsia" w:hint="eastAsia"/>
          <w:color w:val="000000" w:themeColor="text1"/>
          <w:szCs w:val="21"/>
        </w:rPr>
        <w:t>，现金不包括结算备付金、存出保证金、应收申购款等</w:t>
      </w:r>
      <w:r w:rsidRPr="00C664D3">
        <w:rPr>
          <w:rFonts w:asciiTheme="minorEastAsia" w:eastAsiaTheme="minorEastAsia" w:hAnsiTheme="minorEastAsia"/>
          <w:color w:val="000000" w:themeColor="text1"/>
          <w:szCs w:val="21"/>
        </w:rPr>
        <w:t>。</w:t>
      </w:r>
      <w:r w:rsidRPr="00C664D3">
        <w:rPr>
          <w:rFonts w:asciiTheme="minorEastAsia" w:eastAsiaTheme="minorEastAsia" w:hAnsiTheme="minorEastAsia" w:hint="eastAsia"/>
          <w:color w:val="000000" w:themeColor="text1"/>
          <w:szCs w:val="21"/>
        </w:rPr>
        <w:t>若法律法规的相关规定发生变更或监管机构允许，本基金可对上述资产配置比例进行调整。</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为了便于本基金所投资相关基金的清算和托管业务，本基金投资范围中所涉及的非场内交易的基金仅通过本基金境外托管人认可的交易系统购买。</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（二）基金托管人根据有关法律法规的规定及基金合同的约定，对基金投资、融资比例进行监督。基金托管人按下述比例和调整期限进行监督：</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本基金持有同一家银行的存款不得超过基金资产净值的20%，银行应当是中资商业银行在境外设立的分行或在最近一个会计年度达到中国证监会认可的信用评级机构评级的境外银行。但在基金托管账户的存款不受此限制。</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（3）本基金持有非流动性资产市值不得超过基金资产净值的10%。非流动性资产是指法律或基金合同规定的流通受限证券以及中国证监会认定的其他资产。</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（4）本基金持有境外基金的市值合计不得超过基金资产净值的10%，但持有货币市场基金不受此限制。</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（5）基金管理人管理的且由基金托管人托管的全部基金持有任何一只境外基金，不得超过该境外基金总份额的20％。</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（6）为应付赎回、交易清算等临时用途借入现金的比例不得超过基金资产净值的10%，临时借入现金的期限以中国证监会规定的期限为准。</w:t>
      </w:r>
    </w:p>
    <w:p w:rsidR="00C81E1B" w:rsidRPr="00C664D3" w:rsidRDefault="00C81E1B" w:rsidP="00C81E1B">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（7）本基金主动投资于流动性受限资产的市值合计不得超过该基金资产净值的15%。</w:t>
      </w:r>
      <w:r w:rsidRPr="00C664D3">
        <w:rPr>
          <w:rFonts w:asciiTheme="minorEastAsia" w:eastAsiaTheme="minorEastAsia" w:hAnsiTheme="minorEastAsia" w:hint="eastAsia"/>
          <w:color w:val="000000" w:themeColor="text1"/>
          <w:szCs w:val="21"/>
        </w:rPr>
        <w:lastRenderedPageBreak/>
        <w:t>因证券市场波动、上市公司股票停牌、基金规模变动等基金管理人之外的因素致使基金不符合前款所规定比例限制的，基金管理人不得主动新增流动性受限资产的投资。</w:t>
      </w:r>
    </w:p>
    <w:p w:rsidR="00C81E1B" w:rsidRPr="00C664D3" w:rsidRDefault="00C81E1B" w:rsidP="00C81E1B">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（8）本基金与私募类证券资管产品及中国证监会认定的其他主体为交易对手开展逆回购交易的，可接受质押品的资质要求应当与基金合同约定的投资范围保持一致。</w:t>
      </w:r>
    </w:p>
    <w:p w:rsidR="007E2D46" w:rsidRPr="00C664D3" w:rsidRDefault="00C81E1B" w:rsidP="00C81E1B">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（9）</w:t>
      </w:r>
      <w:r w:rsidR="007E2D46" w:rsidRPr="00C664D3">
        <w:rPr>
          <w:rFonts w:asciiTheme="minorEastAsia" w:eastAsiaTheme="minorEastAsia" w:hAnsiTheme="minorEastAsia" w:hint="eastAsia"/>
          <w:color w:val="000000" w:themeColor="text1"/>
          <w:szCs w:val="21"/>
        </w:rPr>
        <w:t>法律法规另有规定时，从其规定。</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基金管理人应当在基金合同生效后6个月内使基金的投资组合比例符合基金合同的有关约定。因证券市场波动、证券发行人合并、基金规模变动等基金管理人之外的因素致使基金投资不符合上述（1）-（6）项规定的，应当在超过比例后30个工作日内采用合理的商业措施进行调整，以符合投资比例限制要求。法律法规另有规定时，从其规定。</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（三）金融衍生品投资限制</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基金投资衍生品应当仅限于投资组合避险或有效管理，不得用于投机或放大交易，同时应当严格遵守下列规定：</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（1）基金的金融衍生品全部敞口不得高于基金资产净值的100％。</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（2）基金投资期货支付的初始保证金、投资期权支付或收取的期权费、投资柜台交易衍生品支付的初始费用的总额不得高于基金资产净值的10％。</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（3）基金投资于远期合约、互换等柜台交易金融衍生品，应当符合以下要求：</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　1）所有参与交易的对手方（中资商业银行除外）应当具有不低于中国证监会认可的信用评级机构评级。</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　2）交易对手方应当至少每个工作日对交易进行估值，并且基金可在任何时候以公允价值终止交易。</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 xml:space="preserve">　3）任一交易对手方的市值计价敞口不得超过基金资产净值的20％。</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（4）基金拟投资衍生品，基金管理人在产品募集申请中应当向中国证监会提交基金投资衍生品的风险管理流程、拟采用的组合避险、有效管理策略。</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（5）基金管理人应当在基金会计年度结束后60个工作日内向中国证监会提交包括衍生品头寸及风险分析年度报告。</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（6）基金不得直接投资与实物商品相关的衍生品。</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（四）证券借贷交易投资限制</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（1）所有参与交易的对手方（中资商业银行除外）应当具有中国证监会认可的信用评级机构评级。</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（2）应当采取市值计价制度进行调整以确保担保物市值不低于已借出证券市值的102％。</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（3）借方应当在交易期内及时向本基金支付已借出证券产生的所有股息、利息和分红。一旦借方违约，本基金根据协议和有关法律有权保留和处置担保物以满足索赔需要。</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（4）除中国证监会另有规定外，担保物可以是以下金融工具或品种：</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lastRenderedPageBreak/>
        <w:t>1）现金；</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2）存款证明；</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3）商业票据；</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4）政府债券；</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5）中资商业银行或由不低于中国证监会认可的信用评级机构评级的境外金融机构（作为交易对手方或其关联方的除外）出具的不可撤销信用证。</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（5）本基金有权在任何时候终止证券借贷交易并在正常市场惯例的合理期限内要求归还任一或所有已借出的证券。</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（6）基金管理人应当对基金参与证券借贷交易中发生的任何损失负相应责任。</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（五）回购交易投资限制</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（1）所有参与正回购交易的对手方（中资商业银行除外）应当具有中国证监会认可的信用评级机构信用评级。</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（2）参与正回购交易，应当采取市值计价制度对卖出收益进行调整以确保现金不低于已售出证券市值的102％。一旦买方违约，本基金根据协议和有关法律有权保留或处置卖出收益以满足索赔需要。</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（3）买方应当在正回购交易期内及时向本基金支付售出证券产生的所有股息、利息和分红。</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（4）参与逆回购交易，应当对购入证券采取市值计价制度进行调整以确保已购入证券市值不低于支付现金的102％。一旦卖方违约，本基金根据协议和有关法律有权保留或处置已购入证券以满足索赔需要。</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（5）基金管理人应当对基金参与证券正回购交易、逆回购交易中发生的任何损失负相应责任。</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（6）基金参与证券借贷交易、正回购交易，所有已借出而未归还证券总市值或所有已售出而未回购证券总市值均不得超过基金总资产的50％。</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前项比例限制计算，基金因参与证券借贷交易、正回购交易而持有的担保物、现金不得计入基金总资产。</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七）基金托管人根据有关法律法规的规定及基金合同的约定，对本托管协议第十七条第九款第（1）至第（8）项及第（11）至第（12）项的基金投资禁止行为进行监督。基金托管人通过事后监督方式对基金管理人基金投资禁止行为进行监督。</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八）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（九）基金投资境外期货的，基金投资期货的清算经纪商（Clearingbroker）由基金管</w:t>
      </w:r>
      <w:r w:rsidRPr="00C664D3">
        <w:rPr>
          <w:rFonts w:asciiTheme="minorEastAsia" w:eastAsiaTheme="minorEastAsia" w:hAnsiTheme="minorEastAsia" w:hint="eastAsia"/>
          <w:color w:val="000000" w:themeColor="text1"/>
          <w:szCs w:val="21"/>
        </w:rPr>
        <w:lastRenderedPageBreak/>
        <w:t>理人选任，但须取得基金托管人的认可。基金管理人须对其选任的期货经纪商的资信负责，并在与清算经纪商的合同中明确以下事项：1、存放在清算经纪商处的基金资产须与清算经纪商的自有资产和清算经纪商其他客户的资产隔离；2、存放在清算经纪商处的基金资产不得列入清算经纪商的清算财产；3、清算经纪商须对存放在其账户内的保证金及相关资产的安全承担责任。基金托管人如对清算经纪商持有异议，应以书面方式向基金管理人提出充分说明。</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（十）投资远期的风险控制</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1．流动性风险控制</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（1）基金管理人负责远期交易的流动性风险控制，并对远期交易资金的流动性承担责任。</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基金管理人提前或延期执行远期合约时，基金管理人需保证本基金有可用现金头寸，否则认为本基金是因为流动性不足而违约，由此给本基金造成的手续费、违约金及资产估值方面的损失由基金管理人承担。</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2．基金管理人投资远期等金融衍生产品，应严格遵守国家相关法律法规，控制投资风险。</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（十一）基金托管人根据有关法律法规的规定及基金合同的约定，对基金资产净值计算、</w:t>
      </w:r>
      <w:r w:rsidR="004B70DB" w:rsidRPr="00C664D3">
        <w:rPr>
          <w:rFonts w:asciiTheme="minorEastAsia" w:eastAsiaTheme="minorEastAsia" w:hAnsiTheme="minorEastAsia" w:hint="eastAsia"/>
          <w:color w:val="000000" w:themeColor="text1"/>
          <w:szCs w:val="21"/>
        </w:rPr>
        <w:t>各类</w:t>
      </w:r>
      <w:r w:rsidRPr="00C664D3">
        <w:rPr>
          <w:rFonts w:asciiTheme="minorEastAsia" w:eastAsiaTheme="minorEastAsia" w:hAnsiTheme="minorEastAsia" w:hint="eastAsia"/>
          <w:color w:val="000000" w:themeColor="text1"/>
          <w:szCs w:val="21"/>
        </w:rPr>
        <w:t>基金份额净值计算、应收资金到账、基金费用开支及收入确定、基金收益分配、相关信息披露、基金宣传推介材料中登载基金业绩表现数据等进行监督和核查。</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十二）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十三）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E2D46"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（十四）若基金托管人发现基金管理人依据交易程序已经生效的指令违反法律、行政法规和其他有关规定，或者违反基金合同约定的，应当立即通知基金管理人，由此造成的损失由基金管理人承担。</w:t>
      </w:r>
    </w:p>
    <w:p w:rsidR="00A1091C" w:rsidRPr="00C664D3" w:rsidRDefault="007E2D46"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（十五）基金托管人发现基金管理人有重大违规行为，应及时报告中国证监会，同时通</w:t>
      </w:r>
      <w:r w:rsidRPr="00C664D3">
        <w:rPr>
          <w:rFonts w:asciiTheme="minorEastAsia" w:eastAsiaTheme="minorEastAsia" w:hAnsiTheme="minorEastAsia" w:hint="eastAsia"/>
          <w:color w:val="000000" w:themeColor="text1"/>
          <w:szCs w:val="21"/>
        </w:rPr>
        <w:lastRenderedPageBreak/>
        <w:t>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bookmarkStart w:id="1122" w:name="_Hlt73429199"/>
      <w:bookmarkStart w:id="1123" w:name="_Toc174497179"/>
      <w:bookmarkStart w:id="1124" w:name="_Toc174501009"/>
      <w:bookmarkStart w:id="1125" w:name="_Toc174502381"/>
      <w:bookmarkEnd w:id="1122"/>
    </w:p>
    <w:p w:rsidR="00A1091C" w:rsidRPr="00C664D3" w:rsidRDefault="00A1091C" w:rsidP="00AB77C1">
      <w:pPr>
        <w:numPr>
          <w:ilvl w:val="1"/>
          <w:numId w:val="3"/>
        </w:numPr>
        <w:spacing w:line="360" w:lineRule="auto"/>
        <w:ind w:leftChars="200" w:left="420" w:firstLine="0"/>
        <w:rPr>
          <w:rFonts w:asciiTheme="minorEastAsia" w:eastAsiaTheme="minorEastAsia" w:hAnsiTheme="minorEastAsia"/>
          <w:color w:val="000000" w:themeColor="text1"/>
          <w:sz w:val="24"/>
          <w:szCs w:val="18"/>
        </w:rPr>
      </w:pPr>
      <w:bookmarkStart w:id="1126" w:name="_Toc186274440"/>
      <w:bookmarkEnd w:id="1123"/>
      <w:bookmarkEnd w:id="1124"/>
      <w:bookmarkEnd w:id="1125"/>
      <w:r w:rsidRPr="00C664D3">
        <w:rPr>
          <w:rFonts w:asciiTheme="minorEastAsia" w:eastAsiaTheme="minorEastAsia" w:hAnsiTheme="minorEastAsia"/>
          <w:color w:val="000000" w:themeColor="text1"/>
          <w:sz w:val="24"/>
          <w:szCs w:val="18"/>
        </w:rPr>
        <w:t>基金管理人对基金托管人的业务核查</w:t>
      </w:r>
      <w:bookmarkEnd w:id="1126"/>
    </w:p>
    <w:p w:rsidR="00917A41" w:rsidRPr="00C664D3" w:rsidRDefault="00917A41"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（一）基金管理人对基金托管人履行托管职责情况进行核查，核查事项包括基金托管人安全保管基金财产、开设基金财产的资金账户和证券账户、复核基金管理人计算的基金资产净值和</w:t>
      </w:r>
      <w:r w:rsidR="004B70DB" w:rsidRPr="00C664D3">
        <w:rPr>
          <w:rFonts w:asciiTheme="minorEastAsia" w:eastAsiaTheme="minorEastAsia" w:hAnsiTheme="minorEastAsia" w:hint="eastAsia"/>
          <w:color w:val="000000" w:themeColor="text1"/>
          <w:szCs w:val="21"/>
        </w:rPr>
        <w:t>各类</w:t>
      </w:r>
      <w:r w:rsidRPr="00C664D3">
        <w:rPr>
          <w:rFonts w:asciiTheme="minorEastAsia" w:eastAsiaTheme="minorEastAsia" w:hAnsiTheme="minorEastAsia" w:hint="eastAsia"/>
          <w:color w:val="000000" w:themeColor="text1"/>
          <w:szCs w:val="21"/>
        </w:rPr>
        <w:t>基金份额净值、根据基金管理人指令办理清算交收、相关信息披露和监督基金投资运作等行为。</w:t>
      </w:r>
    </w:p>
    <w:p w:rsidR="00917A41" w:rsidRPr="00C664D3" w:rsidRDefault="00917A41" w:rsidP="00AB77C1">
      <w:pPr>
        <w:snapToGrid w:val="0"/>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二）基金管理人发现基金托管人擅自挪用基金财产、未对基金财产实行分账管理、未执行或无故延迟执行基金管理人资金划拨指令、泄露基金投资信息等违反《基金法》、《试行办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A1091C" w:rsidRPr="00C664D3" w:rsidRDefault="00917A41" w:rsidP="00AB77C1">
      <w:pPr>
        <w:spacing w:line="360" w:lineRule="auto"/>
        <w:ind w:firstLineChars="200" w:firstLine="420"/>
        <w:rPr>
          <w:rFonts w:asciiTheme="minorEastAsia" w:eastAsiaTheme="minorEastAsia" w:hAnsiTheme="minorEastAsia"/>
          <w:b/>
          <w:color w:val="000000" w:themeColor="text1"/>
          <w:szCs w:val="18"/>
        </w:rPr>
      </w:pPr>
      <w:r w:rsidRPr="00C664D3">
        <w:rPr>
          <w:rFonts w:asciiTheme="minorEastAsia" w:eastAsiaTheme="minorEastAsia" w:hAnsiTheme="minorEastAsia" w:hint="eastAsia"/>
          <w:color w:val="000000" w:themeColor="text1"/>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1091C" w:rsidRPr="00C664D3" w:rsidRDefault="00A1091C" w:rsidP="00AB77C1">
      <w:pPr>
        <w:numPr>
          <w:ilvl w:val="1"/>
          <w:numId w:val="3"/>
        </w:numPr>
        <w:spacing w:line="360" w:lineRule="auto"/>
        <w:ind w:leftChars="200" w:left="420" w:firstLine="0"/>
        <w:rPr>
          <w:rFonts w:asciiTheme="minorEastAsia" w:eastAsiaTheme="minorEastAsia" w:hAnsiTheme="minorEastAsia"/>
          <w:color w:val="000000" w:themeColor="text1"/>
          <w:sz w:val="24"/>
          <w:szCs w:val="18"/>
        </w:rPr>
      </w:pPr>
      <w:r w:rsidRPr="00C664D3">
        <w:rPr>
          <w:rFonts w:asciiTheme="minorEastAsia" w:eastAsiaTheme="minorEastAsia" w:hAnsiTheme="minorEastAsia"/>
          <w:color w:val="000000" w:themeColor="text1"/>
          <w:sz w:val="24"/>
          <w:szCs w:val="18"/>
        </w:rPr>
        <w:t>基金财产的保管</w:t>
      </w:r>
    </w:p>
    <w:p w:rsidR="0010598E" w:rsidRPr="00C664D3" w:rsidRDefault="0010598E" w:rsidP="00AB77C1">
      <w:pPr>
        <w:pStyle w:val="af0"/>
        <w:spacing w:line="360" w:lineRule="auto"/>
        <w:rPr>
          <w:rFonts w:asciiTheme="minorEastAsia" w:eastAsiaTheme="minorEastAsia" w:hAnsiTheme="minorEastAsia"/>
          <w:color w:val="000000" w:themeColor="text1"/>
        </w:rPr>
      </w:pPr>
      <w:bookmarkStart w:id="1127" w:name="_Toc37159173"/>
      <w:bookmarkStart w:id="1128" w:name="_Toc174497183"/>
      <w:bookmarkStart w:id="1129" w:name="_Toc174501012"/>
      <w:bookmarkStart w:id="1130" w:name="_Toc174502384"/>
      <w:bookmarkStart w:id="1131" w:name="_Toc174616283"/>
      <w:r w:rsidRPr="00C664D3">
        <w:rPr>
          <w:rFonts w:asciiTheme="minorEastAsia" w:eastAsiaTheme="minorEastAsia" w:hAnsiTheme="minorEastAsia" w:hint="eastAsia"/>
          <w:color w:val="000000" w:themeColor="text1"/>
        </w:rPr>
        <w:t>（一）基金财产保管的原则</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1．基金财产应保管于基金托管人或基金托管人委托或同意存放的机构处</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2.基金财产应独立于基金管理人、基金托管人的固有财产。</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3.基金托管人应安全保管基金财产。</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4.基金托管人按照规定开设基金财产的资金账户和证券账户。</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5.基金托管人对所托管的不同基金财产分别设置账户，确保基金财产的完整与独立。</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6.基金托管人根据基金管理人的指令，按照基金合同和本协议的约定保管基金财产，并按指令进行结算，如有特殊情况双方可另行协商解决。</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7．基金托管人在因依法解散、被依法撤销或者被依法宣告清盘或破产等原因进行终止清算时，不得将托管证券及其收益归入其清算财产；基金管理人和基金托管人理解现金于存</w:t>
      </w:r>
      <w:r w:rsidRPr="00C664D3">
        <w:rPr>
          <w:rFonts w:asciiTheme="minorEastAsia" w:eastAsiaTheme="minorEastAsia" w:hAnsiTheme="minorEastAsia" w:hint="eastAsia"/>
          <w:color w:val="000000" w:themeColor="text1"/>
        </w:rPr>
        <w:lastRenderedPageBreak/>
        <w:t>入现金账户时构成基金托管人、境外托管人的等额债务，除非法律法规及撤销或清盘程序明文许可该等现金不归于清算财产外，该等现金归入清算财产并不构成基金托管人违反托管协议的规定。</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（二）基金募集期间及募集资金的验资</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1.基金募集期间募集的资金应存于基金管理人开立的“基金募集专户”。该账户由基金管理人委托的登记结算机构开立并管理。在基金募集期结束前，任何人不得动用。</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基金募集期满或基金停止募集时，募集的基金份额总额、基金募集金额、基金份额持有人人数符合《基金法》、《运作办法》、《试行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3.若基金募集期限届满，未能达到基金合同生效的条件，由基金管理人按规定办理退款等事宜。</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（三）基金资金账户的开立和管理</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基金托管人可以基金的名义在其营业机构开立基金的银行账户，并根据基金管理人合法合规的指令办理资金收付。本基金的银行预留印鉴由基金托管人保管和供境内资金划拨使用。基金托管人可委托境外托管人开立资金账户（境外），境外托管人根据基金托管人的指令办理境外资金收付。</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2.基金资金账户的开立和使用，限于满足开展本基金业务的需要。基金托管人和基金管理人不得假借本基金的名义开立任何其他银行账户；亦不得使用基金的任何账户进行本基金业务以外的活动。</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（四）基金证券账户的开立和管理</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基金托管人委托境外托管人在境外，根据当地市场法律法规规定，开立和管理证券账户。</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（五）期货账户的开立</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如基金投资境外期货，由基金管理人代表基金与期货经纪商订立期货合同，基金管理人应在其经纪商处以基金名义开立期货账户，并将相关的账户信息发送基金托管人。</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（六）其他账户的开立和管理</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1.因业务发展需要而开立的其他账户，可以根据投资所在国家或地区法律法规和基金合同的规定，由基金托管人或其委托机构负责开立。</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2.投资所在国家或地区法律法规对相关账户的开立和管理另有规定的，从其规定办理。</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lastRenderedPageBreak/>
        <w:t>（七）基金财产投资的有关有价凭证等的保管</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基金财产投资的境外有关实物证券、银行存款定期存单等有价凭证由基金托管人委托境外托管代理人存放于其保管库。基金托管人对由基金托管人以外机构实际有效控制的证券不承担保管责任。</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（八）期货的保管责任</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托管人和其境外托管银行（XX银行）不承担与期货投资相关资产（包括但不限于期货合约、保证金）的保管责任。基金管理人为基金托管人开通权限，提供数据查询功能，基金托管人根据基金管理人提供查询的数据或按照基金管理人指定的查询途径取得的数据进行估值和核算，不承担核实该数据的责任。</w:t>
      </w:r>
    </w:p>
    <w:p w:rsidR="0010598E" w:rsidRPr="00C664D3" w:rsidRDefault="0010598E" w:rsidP="00AB77C1">
      <w:pPr>
        <w:pStyle w:val="af0"/>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（九）与基金财产有关的重大合同的保管</w:t>
      </w:r>
    </w:p>
    <w:p w:rsidR="00A1091C" w:rsidRPr="00C664D3" w:rsidRDefault="0010598E" w:rsidP="00AB77C1">
      <w:pPr>
        <w:pStyle w:val="af0"/>
        <w:spacing w:line="360" w:lineRule="auto"/>
        <w:ind w:firstLine="48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基金管理人应保证基金管理人和基金托管人至少各持有一份正本的原件。上述重大合同的保管期限为基金合同终止后20年。基金管理人与期货经纪商签订的有关金融衍生产品的合同，应该发送复印件给基金托管人，以便基金托管人保存完整的基金档案资料。</w:t>
      </w:r>
    </w:p>
    <w:bookmarkEnd w:id="1127"/>
    <w:bookmarkEnd w:id="1128"/>
    <w:bookmarkEnd w:id="1129"/>
    <w:bookmarkEnd w:id="1130"/>
    <w:bookmarkEnd w:id="1131"/>
    <w:p w:rsidR="00A1091C" w:rsidRPr="00C664D3" w:rsidRDefault="00A1091C" w:rsidP="00AB77C1">
      <w:pPr>
        <w:numPr>
          <w:ilvl w:val="1"/>
          <w:numId w:val="3"/>
        </w:numPr>
        <w:spacing w:line="360" w:lineRule="auto"/>
        <w:ind w:leftChars="200" w:left="420" w:firstLine="0"/>
        <w:rPr>
          <w:rFonts w:asciiTheme="minorEastAsia" w:eastAsiaTheme="minorEastAsia" w:hAnsiTheme="minorEastAsia"/>
          <w:color w:val="000000" w:themeColor="text1"/>
          <w:sz w:val="24"/>
          <w:szCs w:val="18"/>
        </w:rPr>
      </w:pPr>
      <w:r w:rsidRPr="00C664D3">
        <w:rPr>
          <w:rFonts w:asciiTheme="minorEastAsia" w:eastAsiaTheme="minorEastAsia" w:hAnsiTheme="minorEastAsia"/>
          <w:color w:val="000000" w:themeColor="text1"/>
          <w:sz w:val="24"/>
          <w:szCs w:val="18"/>
        </w:rPr>
        <w:t>基金资产净值计算和会计核算</w:t>
      </w:r>
    </w:p>
    <w:p w:rsidR="004625C4" w:rsidRPr="00C664D3" w:rsidRDefault="004625C4" w:rsidP="00AB77C1">
      <w:pPr>
        <w:spacing w:line="360" w:lineRule="auto"/>
        <w:ind w:firstLine="420"/>
        <w:rPr>
          <w:rFonts w:asciiTheme="minorEastAsia" w:eastAsiaTheme="minorEastAsia" w:hAnsiTheme="minorEastAsia"/>
          <w:color w:val="000000" w:themeColor="text1"/>
        </w:rPr>
      </w:pPr>
      <w:bookmarkStart w:id="1132" w:name="_Toc174616309"/>
      <w:r w:rsidRPr="00C664D3">
        <w:rPr>
          <w:rFonts w:asciiTheme="minorEastAsia" w:eastAsiaTheme="minorEastAsia" w:hAnsiTheme="minorEastAsia" w:hint="eastAsia"/>
          <w:color w:val="000000" w:themeColor="text1"/>
        </w:rPr>
        <w:t>（一）基金资产净值的计算、复核与完成的时间及程序</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1.基金资产净值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基金资产净值是指基金资产总值减去负债后的金额。</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A类人民币基金份额的基金份额净值指以估值日A类基金资产净值除以估值日A类基金份额余额后得出的单位基金份额的价值，估值日A类基金份额余额为估值日A类各币种基金份额余额的合计数；A类美元基金份额的基金份额净值以A类人民币基金份额的基金份额净值为基础，按照估值日的估值汇率进行折算；C类人民币基金份额的基金份额净值指以估值日C类基金份额的基金资产净值除以估值日C类基金份额余额后得出的单位基金份额的价值；估值日C类基金份额余额为估值日C类各币种基金份额余额的合计数；C类美元基金份额的基金份额净值以C类人民币基金份额的基金份额净值为基础，按照估值日的估值汇率进行折算。</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人民币基金份额净值和美元基金份额净值的计算分别精确到0.0001元和0.0001美元，小数点后第五位四舍五入。特殊情况下，经与基金托管人协商一致，基金管理人可以调整净</w:t>
      </w:r>
      <w:r w:rsidRPr="00C664D3">
        <w:rPr>
          <w:rFonts w:asciiTheme="minorEastAsia" w:eastAsiaTheme="minorEastAsia" w:hAnsiTheme="minorEastAsia" w:hint="eastAsia"/>
          <w:color w:val="000000" w:themeColor="text1"/>
        </w:rPr>
        <w:lastRenderedPageBreak/>
        <w:t>值计算及披露的小数点后位数并及时公告。国家另有规定的，从其规定。</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2.复核程序</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用于基金信息披露的各类基金份额净值由基金管理人负责计算，基金托管人进行复核。基金管理人每个工作日将计算的前一估值日的各类基金份额净值并发送给基金托管人。基金托管人对净值计算结果复核确认后发送给基金管理人。</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（二）基金资产估值方法和特殊情形的处理</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1.估值对象</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本基金所拥有的各类有价证券及本基金依据相关法律法规持有的其它资产。</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2、估值时间</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本基金的估值日为本基金相关的开放日以及国家法律法规规定需要对外披露基金净值的非开放日。每个工作日对前一估值日的基金资产进行估值。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3.估值方法</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（1）股票估值方法</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1）上市流通的股票按估值日在证券交易所的收盘价估值；估值日无交易的，以最近交易日的收盘价估值。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2）处于未上市期间的股票应区分如下情况处理：</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① 首次发行未上市的股票，采用估值技术确定公允价值，在估值技术难以可靠计量公允价值的情况下，按成本价估值；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② 送股、转增股、配股和增发新股，按估值日在证券交易所上市的同一股票的收盘价进行估值；该日无交易的，以最近一日的收盘价估值；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③ 首次公开发行有明确锁定期的股票，同一股票在交易所上市后，按估值日在证券交易所上市的同一股票的收盘价进行估值。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（2）存托凭证估值方法</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公开挂牌的存托凭证按估值日在证券交易所的收盘价估值；估值日无交易的，以最近交易日的收盘价估值。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（3）基金估值方法</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lastRenderedPageBreak/>
        <w:t>1）上市流通的基金按估值日在证券交易所的收盘价估值；估值日无交易的 ，以最近交易日的收盘价估值；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2）非上市流通基金以估值截止时点能够取得的最新基金份额净值进行估值。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（4）债券估值方法</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2）对于非上市债券，参照主要做市商或其他权威价格提供机构的报价进行估值。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（5）衍生品估值方法</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1）上市流通衍生品按估值日在证券交易所的收盘价估值；估值日无交易的，以最近交易日的收盘价估值。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2）非上市衍生品采用估值技术确定公允价值，在估值技术难以可靠计量公允价值的情况下，按成本估值。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（6）汇率</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1）估值计算中涉及主要货币对人民币汇率的，将依据下列信息提供机构所提供的汇率为基准：当日中国人民银行公布的人民币与主要货币的中间价。主要外汇种类以中国人民银行或其授权机构最新公布为准。</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2）其他货币采用美元作为中间货币进行换算，具体汇率来源详见基金招募说明书。</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若无法取得上述汇率价格信息时，以基金托管人或境外托管人所提供的合理公开外汇市场交易价格为准。</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（7）税收</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（8）在任何情况下，基金管理人如采用上述第(1)-(7)项规定的方法对基金资产进行估值，均应被认为采用了适当的估值方法。</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（9）如有确凿证据表明按上述方法进行估值不能客观反映其公允价值的，基金管理人可根据具体情况与基金托管人商定后，按最能反映公允价值的价格估值。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lastRenderedPageBreak/>
        <w:t>（10）相关法律法规以及监管部门有强制规定的，从其规定。如有新增事项，按国家最新规定估值。</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4B70DB" w:rsidRPr="00C664D3" w:rsidRDefault="004B70DB" w:rsidP="004B70DB">
      <w:pPr>
        <w:spacing w:line="360" w:lineRule="auto"/>
        <w:ind w:firstLine="420"/>
        <w:rPr>
          <w:rFonts w:asciiTheme="minorEastAsia" w:eastAsiaTheme="minorEastAsia" w:hAnsiTheme="minorEastAsia"/>
          <w:color w:val="000000" w:themeColor="text1"/>
        </w:rPr>
      </w:pP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（三）基金份额净值错误的处理方式</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当任一类基金份额净值小数点后4位以内(含第4位)发生差错时，视为该类基金份额净值错误；各类基金份额净值出现错误时，基金管理人应当立即予以纠正，通报基金托管人，并采取合理的措施防止损失进一步扩大；错误偏差达到该类基金份额净值的0.25%时，基金管理人应当通报基金托管人；错误偏差达到该类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2.当基金份额净值计算差错给基金和基金份额持有人造成损失需要进行赔偿时，基金管理人和基金托管人应根据实际情况界定双方承担的责任，经确认后按以下条款进行赔偿：</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损失，由基金管理人负责赔付。</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损失，由基金管理人负责赔付。</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(4)由于基金管理人提供的信息错误（包括但不限于基金申购或赎回金额等），进而导致</w:t>
      </w:r>
      <w:r w:rsidRPr="00C664D3">
        <w:rPr>
          <w:rFonts w:asciiTheme="minorEastAsia" w:eastAsiaTheme="minorEastAsia" w:hAnsiTheme="minorEastAsia" w:hint="eastAsia"/>
          <w:color w:val="000000" w:themeColor="text1"/>
        </w:rPr>
        <w:lastRenderedPageBreak/>
        <w:t>基金份额净值计算错误而引起的基金份额持有人和基金财产的损失，由基金管理人负责赔付。</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3.特殊情况的处理</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（1）基金管理人或基金托管人按上述估值方法进行估值时，所造成的误差不作为基金资产估值错误处理。</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（2）对于因税收规定调整或其他原因导致基金实际交纳税金与基金按照权责发生制进行估值的应交税金有差异的，相关估值调整不作为基金资产估值错误处理。</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(3)全球投资涉及不同市场及时区, 由于时差、通讯或其他非可控的客观原因，在本基金管理人和本基金托管人协商一致的时间点前无法确认的交易，导致的对基金资产净值的影响，不作为基金资产估值错误处理。</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 由于不可抗力，或证券交易所、登记结算机构及存款银行等第三方机构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4B70DB" w:rsidRPr="00C664D3" w:rsidRDefault="004B70DB" w:rsidP="004B70DB">
      <w:pPr>
        <w:spacing w:line="360" w:lineRule="auto"/>
        <w:ind w:firstLine="420"/>
        <w:rPr>
          <w:rFonts w:asciiTheme="minorEastAsia" w:eastAsiaTheme="minorEastAsia" w:hAnsiTheme="minorEastAsia"/>
          <w:color w:val="000000" w:themeColor="text1"/>
        </w:rPr>
      </w:pP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（四）暂停估值的情形</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1.基金投资所涉及的主要证券交易所、市场或外汇市场遇法定节假日或因其他原因暂停交易时；</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2.因不可抗力致使基金管理人、基金托管人无法准确评估基金资产价值时；</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3.占基金相当比例的投资品种的估值出现重大转变，延迟估值有利于基金份额持有人利益的保护；</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4.当前一估值日基金资产净值 50%以上的资产出现无可参考的活跃市场价格且采用估值技术仍导致公允价值存在重大不确定性时，经与基金托管人协商一致的；</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5.中国证监会和基金合同认定的其它情形。</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（五）基金会计制度</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按国家有关部门规定的会计制度执行。</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（六）基金账册的建立</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基金管理人进行基金会计核算并编制基金财务会计报告。基金托管人和基金管理人分别独立地设置、记录和保管本基金的全套账册. 若基金管理人和基金托管人对会计处理方法存在分歧，应以基金管理人的处理方法为准。若当日核对不符，暂时无法查找到错账的原因</w:t>
      </w:r>
      <w:r w:rsidRPr="00C664D3">
        <w:rPr>
          <w:rFonts w:asciiTheme="minorEastAsia" w:eastAsiaTheme="minorEastAsia" w:hAnsiTheme="minorEastAsia" w:hint="eastAsia"/>
          <w:color w:val="000000" w:themeColor="text1"/>
        </w:rPr>
        <w:lastRenderedPageBreak/>
        <w:t>而影响到基金资产净值的计算和公告的，以基金管理人的账册为准。</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（七）基金财务报表与报告的编制和复核</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1.财务报表的编制</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基金财务报表由基金管理人编制，基金托管人复核。</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2.报表复核</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基金托管人在收到基金管理人编制的基金财务报表后，进行独立的复核。核对不符时，应及时通知基金管理人共同查出原因，进行调整，直至双方数据完全一致。</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3.财务报表的编制与复核时间安排</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（1）报表的编制</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应当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4B70DB" w:rsidRPr="00C664D3" w:rsidRDefault="004B70DB" w:rsidP="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（2）报表的复核</w:t>
      </w:r>
    </w:p>
    <w:p w:rsidR="004B70DB" w:rsidRPr="00C664D3" w:rsidRDefault="004B70DB">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A1091C" w:rsidRPr="00C664D3" w:rsidRDefault="004625C4">
      <w:pPr>
        <w:spacing w:line="360" w:lineRule="auto"/>
        <w:ind w:firstLine="420"/>
        <w:rPr>
          <w:rFonts w:asciiTheme="minorEastAsia" w:eastAsiaTheme="minorEastAsia" w:hAnsiTheme="minorEastAsia"/>
          <w:b/>
          <w:color w:val="000000" w:themeColor="text1"/>
          <w:szCs w:val="18"/>
        </w:rPr>
      </w:pPr>
      <w:r w:rsidRPr="00C664D3">
        <w:rPr>
          <w:rFonts w:asciiTheme="minorEastAsia" w:eastAsiaTheme="minorEastAsia" w:hAnsiTheme="minorEastAsia" w:hint="eastAsia"/>
          <w:color w:val="000000" w:themeColor="text1"/>
        </w:rPr>
        <w:t>基金管理人应留足充分的时间，便于基金托管人复核相关报表及报告。</w:t>
      </w:r>
      <w:bookmarkEnd w:id="1132"/>
    </w:p>
    <w:p w:rsidR="00A1091C" w:rsidRPr="00C664D3" w:rsidRDefault="00A1091C" w:rsidP="00AB77C1">
      <w:pPr>
        <w:numPr>
          <w:ilvl w:val="1"/>
          <w:numId w:val="3"/>
        </w:numPr>
        <w:spacing w:line="360" w:lineRule="auto"/>
        <w:ind w:leftChars="200" w:left="420" w:firstLine="0"/>
        <w:rPr>
          <w:rFonts w:asciiTheme="minorEastAsia" w:eastAsiaTheme="minorEastAsia" w:hAnsiTheme="minorEastAsia"/>
          <w:color w:val="000000" w:themeColor="text1"/>
          <w:sz w:val="24"/>
          <w:szCs w:val="18"/>
        </w:rPr>
      </w:pPr>
      <w:r w:rsidRPr="00C664D3">
        <w:rPr>
          <w:rFonts w:asciiTheme="minorEastAsia" w:eastAsiaTheme="minorEastAsia" w:hAnsiTheme="minorEastAsia"/>
          <w:color w:val="000000" w:themeColor="text1"/>
          <w:sz w:val="24"/>
          <w:szCs w:val="18"/>
        </w:rPr>
        <w:t>基金份额持有人名册的登记与保管</w:t>
      </w:r>
    </w:p>
    <w:p w:rsidR="004625C4" w:rsidRPr="00C664D3" w:rsidRDefault="004625C4" w:rsidP="00AB77C1">
      <w:pPr>
        <w:spacing w:line="360" w:lineRule="auto"/>
        <w:ind w:firstLine="420"/>
        <w:rPr>
          <w:rFonts w:asciiTheme="minorEastAsia" w:eastAsiaTheme="minorEastAsia" w:hAnsiTheme="minorEastAsia"/>
          <w:color w:val="000000" w:themeColor="text1"/>
        </w:rPr>
      </w:pPr>
      <w:bookmarkStart w:id="1133" w:name="_Toc423335952"/>
      <w:r w:rsidRPr="00C664D3">
        <w:rPr>
          <w:rFonts w:asciiTheme="minorEastAsia" w:eastAsiaTheme="minorEastAsia" w:hAnsiTheme="minorEastAsia" w:hint="eastAsia"/>
          <w:color w:val="000000" w:themeColor="text1"/>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20年。如不能妥善保管，则按相关法规承担责任。</w:t>
      </w:r>
    </w:p>
    <w:p w:rsidR="00A1091C" w:rsidRPr="00C664D3" w:rsidRDefault="004625C4"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在基金托管人要求或编制</w:t>
      </w:r>
      <w:r w:rsidR="00666AA9" w:rsidRPr="00C664D3">
        <w:rPr>
          <w:rFonts w:asciiTheme="minorEastAsia" w:eastAsiaTheme="minorEastAsia" w:hAnsiTheme="minorEastAsia" w:hint="eastAsia"/>
          <w:color w:val="000000" w:themeColor="text1"/>
        </w:rPr>
        <w:t>中期报告</w:t>
      </w:r>
      <w:r w:rsidRPr="00C664D3">
        <w:rPr>
          <w:rFonts w:asciiTheme="minorEastAsia" w:eastAsiaTheme="minorEastAsia" w:hAnsiTheme="minorEastAsia" w:hint="eastAsia"/>
          <w:color w:val="000000" w:themeColor="text1"/>
        </w:rPr>
        <w:t>和</w:t>
      </w:r>
      <w:r w:rsidR="00666AA9" w:rsidRPr="00C664D3">
        <w:rPr>
          <w:rFonts w:asciiTheme="minorEastAsia" w:eastAsiaTheme="minorEastAsia" w:hAnsiTheme="minorEastAsia" w:hint="eastAsia"/>
          <w:color w:val="000000" w:themeColor="text1"/>
        </w:rPr>
        <w:t>年度报告</w:t>
      </w:r>
      <w:r w:rsidRPr="00C664D3">
        <w:rPr>
          <w:rFonts w:asciiTheme="minorEastAsia" w:eastAsiaTheme="minorEastAsia" w:hAnsiTheme="minorEastAsia" w:hint="eastAsia"/>
          <w:color w:val="000000" w:themeColor="text1"/>
        </w:rPr>
        <w:t>前，基金管理人应将有关资料送交基金托管人，不得无故拒绝或延误提供，并保证其的真实性、准确性和完整性。基金托管人不得将所保管的基金份额持有人名册用于基金托管业务以外的其他用途，并应遵守保密义务，除非法律、法规、规章另有规定，有权机关另有要求。</w:t>
      </w:r>
      <w:bookmarkEnd w:id="1133"/>
    </w:p>
    <w:p w:rsidR="00A1091C" w:rsidRPr="00C664D3" w:rsidRDefault="00A1091C" w:rsidP="00AB77C1">
      <w:pPr>
        <w:numPr>
          <w:ilvl w:val="1"/>
          <w:numId w:val="3"/>
        </w:numPr>
        <w:spacing w:line="360" w:lineRule="auto"/>
        <w:ind w:leftChars="200" w:left="420" w:firstLine="0"/>
        <w:rPr>
          <w:rFonts w:asciiTheme="minorEastAsia" w:eastAsiaTheme="minorEastAsia" w:hAnsiTheme="minorEastAsia"/>
          <w:color w:val="000000" w:themeColor="text1"/>
          <w:sz w:val="24"/>
          <w:szCs w:val="18"/>
        </w:rPr>
      </w:pPr>
      <w:r w:rsidRPr="00C664D3">
        <w:rPr>
          <w:rFonts w:asciiTheme="minorEastAsia" w:eastAsiaTheme="minorEastAsia" w:hAnsiTheme="minorEastAsia"/>
          <w:color w:val="000000" w:themeColor="text1"/>
          <w:sz w:val="24"/>
          <w:szCs w:val="18"/>
        </w:rPr>
        <w:t>争议解决方式</w:t>
      </w:r>
    </w:p>
    <w:p w:rsidR="004625C4" w:rsidRPr="00C664D3" w:rsidRDefault="004625C4"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因本协议产生或与之相关的争议，双方当事人应通过协商、调解解决，协商、调解不能解决的，任何一方均有权将争议提交中国国际经济贸易仲裁委员会，仲裁地点为北京市，按</w:t>
      </w:r>
      <w:r w:rsidRPr="00C664D3">
        <w:rPr>
          <w:rFonts w:asciiTheme="minorEastAsia" w:eastAsiaTheme="minorEastAsia" w:hAnsiTheme="minorEastAsia" w:hint="eastAsia"/>
          <w:color w:val="000000" w:themeColor="text1"/>
          <w:szCs w:val="21"/>
        </w:rPr>
        <w:lastRenderedPageBreak/>
        <w:t>照中国国际经济贸易仲裁委员会届时有效的仲裁规则进行仲裁。仲裁裁决是终局的，对当事人均有约束力，仲裁费用由败诉方承担。</w:t>
      </w:r>
    </w:p>
    <w:p w:rsidR="00A1091C" w:rsidRPr="00C664D3" w:rsidRDefault="004625C4"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A1091C" w:rsidRPr="00C664D3" w:rsidRDefault="00596B60" w:rsidP="00AB77C1">
      <w:pPr>
        <w:spacing w:line="360" w:lineRule="auto"/>
        <w:ind w:firstLineChars="200"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szCs w:val="21"/>
        </w:rPr>
        <w:t>本协议受中华人民共和国法律管辖。</w:t>
      </w:r>
    </w:p>
    <w:p w:rsidR="00A1091C" w:rsidRPr="00C664D3" w:rsidRDefault="00A1091C" w:rsidP="00AB77C1">
      <w:pPr>
        <w:numPr>
          <w:ilvl w:val="1"/>
          <w:numId w:val="3"/>
        </w:numPr>
        <w:spacing w:line="360" w:lineRule="auto"/>
        <w:ind w:leftChars="200" w:left="420" w:firstLine="0"/>
        <w:rPr>
          <w:rFonts w:asciiTheme="minorEastAsia" w:eastAsiaTheme="minorEastAsia" w:hAnsiTheme="minorEastAsia"/>
          <w:color w:val="000000" w:themeColor="text1"/>
          <w:sz w:val="24"/>
          <w:szCs w:val="18"/>
        </w:rPr>
      </w:pPr>
      <w:r w:rsidRPr="00C664D3">
        <w:rPr>
          <w:rFonts w:asciiTheme="minorEastAsia" w:eastAsiaTheme="minorEastAsia" w:hAnsiTheme="minorEastAsia"/>
          <w:color w:val="000000" w:themeColor="text1"/>
          <w:sz w:val="24"/>
          <w:szCs w:val="18"/>
        </w:rPr>
        <w:t>托管协议的修改与终止</w:t>
      </w:r>
    </w:p>
    <w:p w:rsidR="003C0148" w:rsidRPr="00C664D3" w:rsidRDefault="003C0148" w:rsidP="00AB77C1">
      <w:pPr>
        <w:spacing w:line="360" w:lineRule="auto"/>
        <w:ind w:firstLineChars="200" w:firstLine="420"/>
        <w:rPr>
          <w:rFonts w:asciiTheme="minorEastAsia" w:eastAsiaTheme="minorEastAsia" w:hAnsiTheme="minorEastAsia"/>
          <w:color w:val="000000" w:themeColor="text1"/>
          <w:szCs w:val="21"/>
        </w:rPr>
      </w:pPr>
      <w:bookmarkStart w:id="1134" w:name="_Toc423335955"/>
      <w:r w:rsidRPr="00C664D3">
        <w:rPr>
          <w:rFonts w:asciiTheme="minorEastAsia" w:eastAsiaTheme="minorEastAsia" w:hAnsiTheme="minorEastAsia" w:hint="eastAsia"/>
          <w:color w:val="000000" w:themeColor="text1"/>
          <w:szCs w:val="21"/>
        </w:rPr>
        <w:t>（一）托管协议的变更程序</w:t>
      </w:r>
    </w:p>
    <w:p w:rsidR="003C0148" w:rsidRPr="00C664D3" w:rsidRDefault="003C01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本协议双方当事人经协商一致，可以对协议进行修改。修改后的新协议，其内容不得与基金合同的规定有任何冲突。基金托管协议的变更</w:t>
      </w:r>
      <w:r w:rsidR="005C1ACA" w:rsidRPr="00C664D3">
        <w:rPr>
          <w:rFonts w:asciiTheme="minorEastAsia" w:eastAsiaTheme="minorEastAsia" w:hAnsiTheme="minorEastAsia" w:hint="eastAsia"/>
          <w:color w:val="000000" w:themeColor="text1"/>
          <w:szCs w:val="21"/>
        </w:rPr>
        <w:t>须</w:t>
      </w:r>
      <w:r w:rsidRPr="00C664D3">
        <w:rPr>
          <w:rFonts w:asciiTheme="minorEastAsia" w:eastAsiaTheme="minorEastAsia" w:hAnsiTheme="minorEastAsia" w:hint="eastAsia"/>
          <w:color w:val="000000" w:themeColor="text1"/>
          <w:szCs w:val="21"/>
        </w:rPr>
        <w:t>报中国证监会备案。</w:t>
      </w:r>
    </w:p>
    <w:p w:rsidR="003C0148" w:rsidRPr="00C664D3" w:rsidRDefault="003C01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（二）基金托管协议终止出现的情形</w:t>
      </w:r>
    </w:p>
    <w:p w:rsidR="003C0148" w:rsidRPr="00C664D3" w:rsidRDefault="003C01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1.基金合同终止；</w:t>
      </w:r>
    </w:p>
    <w:p w:rsidR="003C0148" w:rsidRPr="00C664D3" w:rsidRDefault="003C01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2.基金托管人解散、依法被撤销、破产或由其他基金托管人接管基金资产；</w:t>
      </w:r>
    </w:p>
    <w:p w:rsidR="003C0148" w:rsidRPr="00C664D3" w:rsidRDefault="003C01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3.基金管理人解散、依法被撤销、破产或由其他基金管理人接管基金管理权；</w:t>
      </w:r>
    </w:p>
    <w:p w:rsidR="00A1091C" w:rsidRPr="00C664D3" w:rsidRDefault="003C0148" w:rsidP="00AB77C1">
      <w:pPr>
        <w:spacing w:line="360" w:lineRule="auto"/>
        <w:ind w:firstLineChars="200" w:firstLine="42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4.发生法律法规或基金合同规定的终止事项。</w:t>
      </w:r>
      <w:bookmarkStart w:id="1135" w:name="_Hlt133147570"/>
      <w:bookmarkStart w:id="1136" w:name="_Hlt133151691"/>
      <w:bookmarkEnd w:id="1134"/>
      <w:bookmarkEnd w:id="1135"/>
      <w:bookmarkEnd w:id="1136"/>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1137" w:name="_Toc83904217"/>
      <w:r w:rsidRPr="00C664D3">
        <w:rPr>
          <w:rFonts w:asciiTheme="minorEastAsia" w:eastAsiaTheme="minorEastAsia" w:hAnsiTheme="minorEastAsia"/>
          <w:color w:val="000000" w:themeColor="text1"/>
        </w:rPr>
        <w:lastRenderedPageBreak/>
        <w:t>对基金份额持有人的服务</w:t>
      </w:r>
      <w:bookmarkStart w:id="1138" w:name="_Toc38186634"/>
      <w:bookmarkEnd w:id="1137"/>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基金管理人承诺为基金份额持有人提供一系列的服务。以下是主要的服务内容，基金管理人根据基金份额持有人的需要和市场的变化，有权增加、修改这些服务项目：</w:t>
      </w:r>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139" w:name="_Toc423335960"/>
      <w:r w:rsidRPr="00C664D3">
        <w:rPr>
          <w:rFonts w:asciiTheme="minorEastAsia" w:eastAsiaTheme="minorEastAsia" w:hAnsiTheme="minorEastAsia"/>
          <w:color w:val="000000" w:themeColor="text1"/>
        </w:rPr>
        <w:t>（一）场外的基金份额持有人投资交易确认服务</w:t>
      </w:r>
      <w:bookmarkEnd w:id="1139"/>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基金登记结算机构保留基金份额持有人名册上列明的场外的基金份额持有人的基金交易记录。</w:t>
      </w:r>
    </w:p>
    <w:p w:rsidR="00A1091C" w:rsidRPr="00C664D3" w:rsidRDefault="00F06995"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基金管理人直销</w:t>
      </w:r>
      <w:r w:rsidRPr="00C664D3">
        <w:rPr>
          <w:rFonts w:asciiTheme="minorEastAsia" w:eastAsiaTheme="minorEastAsia" w:hAnsiTheme="minorEastAsia" w:hint="eastAsia"/>
          <w:color w:val="000000" w:themeColor="text1"/>
        </w:rPr>
        <w:t>网点</w:t>
      </w:r>
      <w:r w:rsidRPr="00C664D3">
        <w:rPr>
          <w:rFonts w:asciiTheme="minorEastAsia" w:eastAsiaTheme="minorEastAsia" w:hAnsiTheme="minorEastAsia"/>
          <w:color w:val="000000" w:themeColor="text1"/>
        </w:rPr>
        <w:t>应根据在基金管理人直销</w:t>
      </w:r>
      <w:r w:rsidRPr="00C664D3">
        <w:rPr>
          <w:rFonts w:asciiTheme="minorEastAsia" w:eastAsiaTheme="minorEastAsia" w:hAnsiTheme="minorEastAsia" w:hint="eastAsia"/>
          <w:color w:val="000000" w:themeColor="text1"/>
        </w:rPr>
        <w:t>网点</w:t>
      </w:r>
      <w:r w:rsidRPr="00C664D3">
        <w:rPr>
          <w:rFonts w:asciiTheme="minorEastAsia" w:eastAsiaTheme="minorEastAsia" w:hAnsiTheme="minorEastAsia"/>
          <w:color w:val="000000" w:themeColor="text1"/>
        </w:rPr>
        <w:t>进行交易的投资者的要求</w:t>
      </w:r>
      <w:r w:rsidRPr="00C664D3">
        <w:rPr>
          <w:rFonts w:asciiTheme="minorEastAsia" w:eastAsiaTheme="minorEastAsia" w:hAnsiTheme="minorEastAsia" w:hint="eastAsia"/>
          <w:color w:val="000000" w:themeColor="text1"/>
        </w:rPr>
        <w:t>提供</w:t>
      </w:r>
      <w:r w:rsidRPr="00C664D3">
        <w:rPr>
          <w:rFonts w:asciiTheme="minorEastAsia" w:eastAsiaTheme="minorEastAsia" w:hAnsiTheme="minorEastAsia"/>
          <w:color w:val="000000" w:themeColor="text1"/>
        </w:rPr>
        <w:t>成交确认单</w:t>
      </w:r>
      <w:r w:rsidR="00A1091C" w:rsidRPr="00C664D3">
        <w:rPr>
          <w:rFonts w:asciiTheme="minorEastAsia" w:eastAsiaTheme="minorEastAsia" w:hAnsiTheme="minorEastAsia"/>
          <w:color w:val="000000" w:themeColor="text1"/>
        </w:rPr>
        <w:t>。</w:t>
      </w:r>
      <w:r w:rsidR="00D747EF" w:rsidRPr="00C664D3">
        <w:rPr>
          <w:rFonts w:asciiTheme="minorEastAsia" w:eastAsiaTheme="minorEastAsia" w:hAnsiTheme="minorEastAsia"/>
          <w:color w:val="000000" w:themeColor="text1"/>
        </w:rPr>
        <w:t>基金</w:t>
      </w:r>
      <w:r w:rsidR="001043C4" w:rsidRPr="00C664D3">
        <w:rPr>
          <w:rFonts w:asciiTheme="minorEastAsia" w:eastAsiaTheme="minorEastAsia" w:hAnsiTheme="minorEastAsia" w:hint="eastAsia"/>
          <w:color w:val="000000" w:themeColor="text1"/>
        </w:rPr>
        <w:t>非直销</w:t>
      </w:r>
      <w:r w:rsidR="00D747EF" w:rsidRPr="00C664D3">
        <w:rPr>
          <w:rFonts w:asciiTheme="minorEastAsia" w:eastAsiaTheme="minorEastAsia" w:hAnsiTheme="minorEastAsia" w:hint="eastAsia"/>
          <w:color w:val="000000" w:themeColor="text1"/>
        </w:rPr>
        <w:t>销售</w:t>
      </w:r>
      <w:r w:rsidR="00D747EF" w:rsidRPr="00C664D3">
        <w:rPr>
          <w:rFonts w:asciiTheme="minorEastAsia" w:eastAsiaTheme="minorEastAsia" w:hAnsiTheme="minorEastAsia"/>
          <w:color w:val="000000" w:themeColor="text1"/>
        </w:rPr>
        <w:t>机构应根据在</w:t>
      </w:r>
      <w:r w:rsidR="00D747EF" w:rsidRPr="00C664D3">
        <w:rPr>
          <w:rFonts w:asciiTheme="minorEastAsia" w:eastAsiaTheme="minorEastAsia" w:hAnsiTheme="minorEastAsia" w:hint="eastAsia"/>
          <w:color w:val="000000" w:themeColor="text1"/>
        </w:rPr>
        <w:t>其销售</w:t>
      </w:r>
      <w:r w:rsidR="00D747EF" w:rsidRPr="00C664D3">
        <w:rPr>
          <w:rFonts w:asciiTheme="minorEastAsia" w:eastAsiaTheme="minorEastAsia" w:hAnsiTheme="minorEastAsia"/>
          <w:color w:val="000000" w:themeColor="text1"/>
        </w:rPr>
        <w:t>网点进行交易的投资者的要求</w:t>
      </w:r>
      <w:r w:rsidR="00D747EF" w:rsidRPr="00C664D3">
        <w:rPr>
          <w:rFonts w:asciiTheme="minorEastAsia" w:eastAsiaTheme="minorEastAsia" w:hAnsiTheme="minorEastAsia" w:hint="eastAsia"/>
          <w:color w:val="000000" w:themeColor="text1"/>
        </w:rPr>
        <w:t>提供</w:t>
      </w:r>
      <w:r w:rsidR="00D747EF" w:rsidRPr="00C664D3">
        <w:rPr>
          <w:rFonts w:asciiTheme="minorEastAsia" w:eastAsiaTheme="minorEastAsia" w:hAnsiTheme="minorEastAsia"/>
          <w:color w:val="000000" w:themeColor="text1"/>
        </w:rPr>
        <w:t>成交确认单</w:t>
      </w:r>
      <w:r w:rsidR="00A1091C" w:rsidRPr="00C664D3">
        <w:rPr>
          <w:rFonts w:asciiTheme="minorEastAsia" w:eastAsiaTheme="minorEastAsia" w:hAnsiTheme="minorEastAsia"/>
          <w:color w:val="000000" w:themeColor="text1"/>
        </w:rPr>
        <w:t>。</w:t>
      </w:r>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140" w:name="_Toc423335961"/>
      <w:r w:rsidRPr="00C664D3">
        <w:rPr>
          <w:rFonts w:asciiTheme="minorEastAsia" w:eastAsiaTheme="minorEastAsia" w:hAnsiTheme="minorEastAsia"/>
          <w:color w:val="000000" w:themeColor="text1"/>
        </w:rPr>
        <w:t>（二）场外的基金份额</w:t>
      </w:r>
      <w:r w:rsidR="00512464" w:rsidRPr="00C664D3">
        <w:rPr>
          <w:rFonts w:asciiTheme="minorEastAsia" w:eastAsiaTheme="minorEastAsia" w:hAnsiTheme="minorEastAsia" w:hint="eastAsia"/>
          <w:color w:val="000000" w:themeColor="text1"/>
        </w:rPr>
        <w:t>（包含场外人民币基金份额及美元基金份额）</w:t>
      </w:r>
      <w:r w:rsidRPr="00C664D3">
        <w:rPr>
          <w:rFonts w:asciiTheme="minorEastAsia" w:eastAsiaTheme="minorEastAsia" w:hAnsiTheme="minorEastAsia"/>
          <w:color w:val="000000" w:themeColor="text1"/>
        </w:rPr>
        <w:t>持有人交易记录查询服务</w:t>
      </w:r>
      <w:bookmarkEnd w:id="1140"/>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场外的基金份额持有人可通过基金管理人的客户服务中心查询历史交易记录。</w:t>
      </w:r>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141" w:name="_Toc423335962"/>
      <w:r w:rsidRPr="00C664D3">
        <w:rPr>
          <w:rFonts w:asciiTheme="minorEastAsia" w:eastAsiaTheme="minorEastAsia" w:hAnsiTheme="minorEastAsia"/>
          <w:color w:val="000000" w:themeColor="text1"/>
        </w:rPr>
        <w:t>（三）场外的基金份额</w:t>
      </w:r>
      <w:r w:rsidR="00512464" w:rsidRPr="00C664D3">
        <w:rPr>
          <w:rFonts w:asciiTheme="minorEastAsia" w:eastAsiaTheme="minorEastAsia" w:hAnsiTheme="minorEastAsia" w:hint="eastAsia"/>
          <w:color w:val="000000" w:themeColor="text1"/>
        </w:rPr>
        <w:t>（包含场外人民币基金份额及美元基金份额）</w:t>
      </w:r>
      <w:r w:rsidRPr="00C664D3">
        <w:rPr>
          <w:rFonts w:asciiTheme="minorEastAsia" w:eastAsiaTheme="minorEastAsia" w:hAnsiTheme="minorEastAsia"/>
          <w:color w:val="000000" w:themeColor="text1"/>
        </w:rPr>
        <w:t>持有人</w:t>
      </w:r>
      <w:r w:rsidR="00884EDE" w:rsidRPr="00C664D3">
        <w:rPr>
          <w:rFonts w:asciiTheme="minorEastAsia" w:eastAsiaTheme="minorEastAsia" w:hAnsiTheme="minorEastAsia" w:hint="eastAsia"/>
          <w:color w:val="000000" w:themeColor="text1"/>
        </w:rPr>
        <w:t>的</w:t>
      </w:r>
      <w:r w:rsidRPr="00C664D3">
        <w:rPr>
          <w:rFonts w:asciiTheme="minorEastAsia" w:eastAsiaTheme="minorEastAsia" w:hAnsiTheme="minorEastAsia" w:hint="eastAsia"/>
          <w:color w:val="000000" w:themeColor="text1"/>
        </w:rPr>
        <w:t>对账单</w:t>
      </w:r>
      <w:r w:rsidRPr="00C664D3">
        <w:rPr>
          <w:rFonts w:asciiTheme="minorEastAsia" w:eastAsiaTheme="minorEastAsia" w:hAnsiTheme="minorEastAsia"/>
          <w:color w:val="000000" w:themeColor="text1"/>
        </w:rPr>
        <w:t>服务</w:t>
      </w:r>
      <w:r w:rsidR="00884EDE" w:rsidRPr="00C664D3">
        <w:rPr>
          <w:rFonts w:asciiTheme="minorEastAsia" w:eastAsiaTheme="minorEastAsia" w:hAnsiTheme="minorEastAsia" w:hint="eastAsia"/>
          <w:color w:val="000000" w:themeColor="text1"/>
        </w:rPr>
        <w:t>形式</w:t>
      </w:r>
      <w:bookmarkEnd w:id="1141"/>
    </w:p>
    <w:p w:rsidR="00AF0795" w:rsidRPr="00C664D3" w:rsidRDefault="00AF0795"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1．</w:t>
      </w:r>
      <w:r w:rsidRPr="00C664D3">
        <w:rPr>
          <w:rFonts w:asciiTheme="minorEastAsia" w:eastAsiaTheme="minorEastAsia" w:hAnsiTheme="minorEastAsia"/>
          <w:color w:val="000000" w:themeColor="text1"/>
        </w:rPr>
        <w:t>场外</w:t>
      </w:r>
      <w:r w:rsidRPr="00C664D3">
        <w:rPr>
          <w:rFonts w:asciiTheme="minorEastAsia" w:eastAsiaTheme="minorEastAsia" w:hAnsiTheme="minorEastAsia" w:hint="eastAsia"/>
          <w:color w:val="000000" w:themeColor="text1"/>
        </w:rPr>
        <w:t>基金份额持有人可登录本公司网站（http://www.efunds.com.cn）查阅对账单。</w:t>
      </w:r>
    </w:p>
    <w:p w:rsidR="00D1132E" w:rsidRPr="00C664D3" w:rsidRDefault="00AF0795"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2．</w:t>
      </w:r>
      <w:r w:rsidR="00D1132E" w:rsidRPr="00C664D3">
        <w:rPr>
          <w:rFonts w:asciiTheme="minorEastAsia" w:eastAsiaTheme="minorEastAsia" w:hAnsiTheme="minorEastAsia" w:hint="eastAsia"/>
          <w:color w:val="000000" w:themeColor="text1"/>
        </w:rPr>
        <w:t>本公司至少每年度以电子邮件、短信或其他形式向通过易方达直销系统持有本公司</w:t>
      </w:r>
      <w:r w:rsidR="00D1132E" w:rsidRPr="00C664D3">
        <w:rPr>
          <w:rFonts w:asciiTheme="minorEastAsia" w:eastAsiaTheme="minorEastAsia" w:hAnsiTheme="minorEastAsia"/>
          <w:color w:val="000000" w:themeColor="text1"/>
        </w:rPr>
        <w:t>场外</w:t>
      </w:r>
      <w:r w:rsidR="00D1132E" w:rsidRPr="00C664D3">
        <w:rPr>
          <w:rFonts w:asciiTheme="minorEastAsia" w:eastAsiaTheme="minorEastAsia" w:hAnsiTheme="minorEastAsia" w:hint="eastAsia"/>
          <w:color w:val="000000" w:themeColor="text1"/>
        </w:rPr>
        <w:t>基金份额的持有人提供基金保有情况信息，</w:t>
      </w:r>
      <w:r w:rsidR="00D1132E" w:rsidRPr="00C664D3">
        <w:rPr>
          <w:rFonts w:asciiTheme="minorEastAsia" w:eastAsiaTheme="minorEastAsia" w:hAnsiTheme="minorEastAsia"/>
          <w:color w:val="000000" w:themeColor="text1"/>
        </w:rPr>
        <w:t>场外</w:t>
      </w:r>
      <w:r w:rsidR="00D1132E" w:rsidRPr="00C664D3">
        <w:rPr>
          <w:rFonts w:asciiTheme="minorEastAsia" w:eastAsiaTheme="minorEastAsia" w:hAnsiTheme="minorEastAsia" w:hint="eastAsia"/>
          <w:color w:val="000000" w:themeColor="text1"/>
        </w:rPr>
        <w:t>基金份额持有人也可以向本公司定制电子邮件形式的月度对账单。</w:t>
      </w:r>
    </w:p>
    <w:p w:rsidR="00AF0795" w:rsidRPr="00C664D3" w:rsidRDefault="00981C1F"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具体查阅和定制账单的方法可参见本公司网站或拨打客服热线咨询。</w:t>
      </w:r>
    </w:p>
    <w:p w:rsidR="00A1091C" w:rsidRPr="00C664D3" w:rsidRDefault="00A1091C" w:rsidP="00AB77C1">
      <w:pPr>
        <w:spacing w:line="360" w:lineRule="auto"/>
        <w:ind w:firstLine="420"/>
        <w:rPr>
          <w:rFonts w:asciiTheme="minorEastAsia" w:eastAsiaTheme="minorEastAsia" w:hAnsiTheme="minorEastAsia"/>
          <w:color w:val="000000" w:themeColor="text1"/>
        </w:rPr>
      </w:pPr>
      <w:bookmarkStart w:id="1142" w:name="_Toc423335963"/>
      <w:r w:rsidRPr="00C664D3">
        <w:rPr>
          <w:rFonts w:asciiTheme="minorEastAsia" w:eastAsiaTheme="minorEastAsia" w:hAnsiTheme="minorEastAsia"/>
          <w:color w:val="000000" w:themeColor="text1"/>
        </w:rPr>
        <w:t>（四）资讯服务</w:t>
      </w:r>
      <w:bookmarkEnd w:id="1142"/>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1</w:t>
      </w:r>
      <w:r w:rsidR="00547BBB"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客户服务电话</w:t>
      </w:r>
    </w:p>
    <w:p w:rsidR="0000240E" w:rsidRPr="00C664D3" w:rsidRDefault="0000240E"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投资者如果想了解申购与赎回的交易情况、基金账户余额、基金产品与服务等信息，</w:t>
      </w:r>
      <w:r w:rsidR="005B22DA" w:rsidRPr="00C664D3">
        <w:rPr>
          <w:rFonts w:asciiTheme="minorEastAsia" w:eastAsiaTheme="minorEastAsia" w:hAnsiTheme="minorEastAsia" w:hint="eastAsia"/>
          <w:color w:val="000000" w:themeColor="text1"/>
        </w:rPr>
        <w:t>或反馈投资过程中需要投诉与建议的情况，</w:t>
      </w:r>
      <w:r w:rsidRPr="00C664D3">
        <w:rPr>
          <w:rFonts w:asciiTheme="minorEastAsia" w:eastAsiaTheme="minorEastAsia" w:hAnsiTheme="minorEastAsia" w:hint="eastAsia"/>
          <w:color w:val="000000" w:themeColor="text1"/>
        </w:rPr>
        <w:t>可拨打如下电话：4008818088。</w:t>
      </w:r>
      <w:r w:rsidR="005B22DA" w:rsidRPr="00C664D3">
        <w:rPr>
          <w:rFonts w:asciiTheme="minorEastAsia" w:eastAsiaTheme="minorEastAsia" w:hAnsiTheme="minorEastAsia" w:hint="eastAsia"/>
          <w:color w:val="000000" w:themeColor="text1"/>
        </w:rPr>
        <w:t>投资者如果认为自己不能准确理解本基金《招募说明书》、《基金合同》的具体内容，也可拨打上述电话详询。</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w:t>
      </w:r>
      <w:r w:rsidR="00547BBB" w:rsidRPr="00C664D3">
        <w:rPr>
          <w:rFonts w:asciiTheme="minorEastAsia" w:eastAsiaTheme="minorEastAsia" w:hAnsiTheme="minorEastAsia" w:hint="eastAsia"/>
          <w:color w:val="000000" w:themeColor="text1"/>
        </w:rPr>
        <w:t>.</w:t>
      </w:r>
      <w:r w:rsidRPr="00C664D3">
        <w:rPr>
          <w:rFonts w:asciiTheme="minorEastAsia" w:eastAsiaTheme="minorEastAsia" w:hAnsiTheme="minorEastAsia"/>
          <w:color w:val="000000" w:themeColor="text1"/>
        </w:rPr>
        <w:t>互联网站及电子信箱</w:t>
      </w:r>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网址：</w:t>
      </w:r>
      <w:hyperlink r:id="rId17" w:history="1">
        <w:r w:rsidRPr="00C664D3">
          <w:rPr>
            <w:rFonts w:asciiTheme="minorEastAsia" w:eastAsiaTheme="minorEastAsia" w:hAnsiTheme="minorEastAsia"/>
            <w:color w:val="000000" w:themeColor="text1"/>
          </w:rPr>
          <w:t>http://www.efunds.com.cn</w:t>
        </w:r>
      </w:hyperlink>
    </w:p>
    <w:p w:rsidR="00A1091C" w:rsidRPr="00C664D3" w:rsidRDefault="00A1091C" w:rsidP="00AB77C1">
      <w:pPr>
        <w:spacing w:line="360" w:lineRule="auto"/>
        <w:ind w:firstLine="420"/>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电子信箱：</w:t>
      </w:r>
      <w:hyperlink r:id="rId18" w:history="1">
        <w:r w:rsidRPr="00C664D3">
          <w:rPr>
            <w:rFonts w:asciiTheme="minorEastAsia" w:eastAsiaTheme="minorEastAsia" w:hAnsiTheme="minorEastAsia"/>
            <w:color w:val="000000" w:themeColor="text1"/>
          </w:rPr>
          <w:t>service@efunds.com.cn</w:t>
        </w:r>
      </w:hyperlink>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1143" w:name="_Toc38438275"/>
      <w:bookmarkStart w:id="1144" w:name="_Toc38438612"/>
      <w:bookmarkStart w:id="1145" w:name="_Toc38438949"/>
      <w:bookmarkStart w:id="1146" w:name="_Toc38439286"/>
      <w:bookmarkStart w:id="1147" w:name="_Toc38439623"/>
      <w:bookmarkStart w:id="1148" w:name="_Toc38439960"/>
      <w:bookmarkStart w:id="1149" w:name="_Toc38440297"/>
      <w:bookmarkStart w:id="1150" w:name="_Toc38440630"/>
      <w:bookmarkStart w:id="1151" w:name="_Toc38440829"/>
      <w:bookmarkStart w:id="1152" w:name="_Toc38441161"/>
      <w:bookmarkStart w:id="1153" w:name="_Toc38441493"/>
      <w:bookmarkStart w:id="1154" w:name="_Toc38441821"/>
      <w:bookmarkStart w:id="1155" w:name="_Toc38442153"/>
      <w:bookmarkStart w:id="1156" w:name="_Toc38442485"/>
      <w:bookmarkStart w:id="1157" w:name="_Toc38442816"/>
      <w:bookmarkStart w:id="1158" w:name="_Toc38443147"/>
      <w:bookmarkStart w:id="1159" w:name="_Toc38443478"/>
      <w:bookmarkStart w:id="1160" w:name="_Toc38443809"/>
      <w:bookmarkStart w:id="1161" w:name="_Toc38438277"/>
      <w:bookmarkStart w:id="1162" w:name="_Toc38438614"/>
      <w:bookmarkStart w:id="1163" w:name="_Toc38438951"/>
      <w:bookmarkStart w:id="1164" w:name="_Toc38439288"/>
      <w:bookmarkStart w:id="1165" w:name="_Toc38439625"/>
      <w:bookmarkStart w:id="1166" w:name="_Toc38439962"/>
      <w:bookmarkStart w:id="1167" w:name="_Toc38440299"/>
      <w:bookmarkStart w:id="1168" w:name="_Toc38440632"/>
      <w:bookmarkStart w:id="1169" w:name="_Toc38440831"/>
      <w:bookmarkStart w:id="1170" w:name="_Toc38441163"/>
      <w:bookmarkStart w:id="1171" w:name="_Toc38441495"/>
      <w:bookmarkStart w:id="1172" w:name="_Toc38441823"/>
      <w:bookmarkStart w:id="1173" w:name="_Toc38442155"/>
      <w:bookmarkStart w:id="1174" w:name="_Toc38442487"/>
      <w:bookmarkStart w:id="1175" w:name="_Toc38442818"/>
      <w:bookmarkStart w:id="1176" w:name="_Toc38443149"/>
      <w:bookmarkStart w:id="1177" w:name="_Toc38443480"/>
      <w:bookmarkStart w:id="1178" w:name="_Toc38443811"/>
      <w:bookmarkStart w:id="1179" w:name="_Toc38438278"/>
      <w:bookmarkStart w:id="1180" w:name="_Toc38438615"/>
      <w:bookmarkStart w:id="1181" w:name="_Toc38438952"/>
      <w:bookmarkStart w:id="1182" w:name="_Toc38439289"/>
      <w:bookmarkStart w:id="1183" w:name="_Toc38439626"/>
      <w:bookmarkStart w:id="1184" w:name="_Toc38439963"/>
      <w:bookmarkStart w:id="1185" w:name="_Toc38440300"/>
      <w:bookmarkStart w:id="1186" w:name="_Toc38440633"/>
      <w:bookmarkStart w:id="1187" w:name="_Toc38440832"/>
      <w:bookmarkStart w:id="1188" w:name="_Toc38441164"/>
      <w:bookmarkStart w:id="1189" w:name="_Toc38441496"/>
      <w:bookmarkStart w:id="1190" w:name="_Toc38441824"/>
      <w:bookmarkStart w:id="1191" w:name="_Toc38442156"/>
      <w:bookmarkStart w:id="1192" w:name="_Toc38442488"/>
      <w:bookmarkStart w:id="1193" w:name="_Toc38442819"/>
      <w:bookmarkStart w:id="1194" w:name="_Toc38443150"/>
      <w:bookmarkStart w:id="1195" w:name="_Toc38443481"/>
      <w:bookmarkStart w:id="1196" w:name="_Toc38443812"/>
      <w:bookmarkStart w:id="1197" w:name="_Toc38438279"/>
      <w:bookmarkStart w:id="1198" w:name="_Toc38438616"/>
      <w:bookmarkStart w:id="1199" w:name="_Toc38438953"/>
      <w:bookmarkStart w:id="1200" w:name="_Toc38439290"/>
      <w:bookmarkStart w:id="1201" w:name="_Toc38439627"/>
      <w:bookmarkStart w:id="1202" w:name="_Toc38439964"/>
      <w:bookmarkStart w:id="1203" w:name="_Toc38440301"/>
      <w:bookmarkStart w:id="1204" w:name="_Toc38440634"/>
      <w:bookmarkStart w:id="1205" w:name="_Toc38440833"/>
      <w:bookmarkStart w:id="1206" w:name="_Toc38441165"/>
      <w:bookmarkStart w:id="1207" w:name="_Toc38441497"/>
      <w:bookmarkStart w:id="1208" w:name="_Toc38441825"/>
      <w:bookmarkStart w:id="1209" w:name="_Toc38442157"/>
      <w:bookmarkStart w:id="1210" w:name="_Toc38442489"/>
      <w:bookmarkStart w:id="1211" w:name="_Toc38442820"/>
      <w:bookmarkStart w:id="1212" w:name="_Toc38443151"/>
      <w:bookmarkStart w:id="1213" w:name="_Toc38443482"/>
      <w:bookmarkStart w:id="1214" w:name="_Toc38443813"/>
      <w:bookmarkStart w:id="1215" w:name="_Toc38438280"/>
      <w:bookmarkStart w:id="1216" w:name="_Toc38438617"/>
      <w:bookmarkStart w:id="1217" w:name="_Toc38438954"/>
      <w:bookmarkStart w:id="1218" w:name="_Toc38439291"/>
      <w:bookmarkStart w:id="1219" w:name="_Toc38439628"/>
      <w:bookmarkStart w:id="1220" w:name="_Toc38439965"/>
      <w:bookmarkStart w:id="1221" w:name="_Toc38440302"/>
      <w:bookmarkStart w:id="1222" w:name="_Toc38440635"/>
      <w:bookmarkStart w:id="1223" w:name="_Toc38440834"/>
      <w:bookmarkStart w:id="1224" w:name="_Toc38441166"/>
      <w:bookmarkStart w:id="1225" w:name="_Toc38441498"/>
      <w:bookmarkStart w:id="1226" w:name="_Toc38441826"/>
      <w:bookmarkStart w:id="1227" w:name="_Toc38442158"/>
      <w:bookmarkStart w:id="1228" w:name="_Toc38442490"/>
      <w:bookmarkStart w:id="1229" w:name="_Toc38442821"/>
      <w:bookmarkStart w:id="1230" w:name="_Toc38443152"/>
      <w:bookmarkStart w:id="1231" w:name="_Toc38443483"/>
      <w:bookmarkStart w:id="1232" w:name="_Toc38443814"/>
      <w:bookmarkStart w:id="1233" w:name="_Toc38438281"/>
      <w:bookmarkStart w:id="1234" w:name="_Toc38438618"/>
      <w:bookmarkStart w:id="1235" w:name="_Toc38438955"/>
      <w:bookmarkStart w:id="1236" w:name="_Toc38439292"/>
      <w:bookmarkStart w:id="1237" w:name="_Toc38439629"/>
      <w:bookmarkStart w:id="1238" w:name="_Toc38439966"/>
      <w:bookmarkStart w:id="1239" w:name="_Toc38440303"/>
      <w:bookmarkStart w:id="1240" w:name="_Toc38440636"/>
      <w:bookmarkStart w:id="1241" w:name="_Toc38440835"/>
      <w:bookmarkStart w:id="1242" w:name="_Toc38441167"/>
      <w:bookmarkStart w:id="1243" w:name="_Toc38441499"/>
      <w:bookmarkStart w:id="1244" w:name="_Toc38441827"/>
      <w:bookmarkStart w:id="1245" w:name="_Toc38442159"/>
      <w:bookmarkStart w:id="1246" w:name="_Toc38442491"/>
      <w:bookmarkStart w:id="1247" w:name="_Toc38442822"/>
      <w:bookmarkStart w:id="1248" w:name="_Toc38443153"/>
      <w:bookmarkStart w:id="1249" w:name="_Toc38443484"/>
      <w:bookmarkStart w:id="1250" w:name="_Toc38443815"/>
      <w:bookmarkStart w:id="1251" w:name="_Toc38438282"/>
      <w:bookmarkStart w:id="1252" w:name="_Toc38438619"/>
      <w:bookmarkStart w:id="1253" w:name="_Toc38438956"/>
      <w:bookmarkStart w:id="1254" w:name="_Toc38439293"/>
      <w:bookmarkStart w:id="1255" w:name="_Toc38439630"/>
      <w:bookmarkStart w:id="1256" w:name="_Toc38439967"/>
      <w:bookmarkStart w:id="1257" w:name="_Toc38440304"/>
      <w:bookmarkStart w:id="1258" w:name="_Toc38440637"/>
      <w:bookmarkStart w:id="1259" w:name="_Toc38440836"/>
      <w:bookmarkStart w:id="1260" w:name="_Toc38441168"/>
      <w:bookmarkStart w:id="1261" w:name="_Toc38441500"/>
      <w:bookmarkStart w:id="1262" w:name="_Toc38441828"/>
      <w:bookmarkStart w:id="1263" w:name="_Toc38442160"/>
      <w:bookmarkStart w:id="1264" w:name="_Toc38442492"/>
      <w:bookmarkStart w:id="1265" w:name="_Toc38442823"/>
      <w:bookmarkStart w:id="1266" w:name="_Toc38443154"/>
      <w:bookmarkStart w:id="1267" w:name="_Toc38443485"/>
      <w:bookmarkStart w:id="1268" w:name="_Toc38443816"/>
      <w:bookmarkStart w:id="1269" w:name="_Toc38438283"/>
      <w:bookmarkStart w:id="1270" w:name="_Toc38438620"/>
      <w:bookmarkStart w:id="1271" w:name="_Toc38438957"/>
      <w:bookmarkStart w:id="1272" w:name="_Toc38439294"/>
      <w:bookmarkStart w:id="1273" w:name="_Toc38439631"/>
      <w:bookmarkStart w:id="1274" w:name="_Toc38439968"/>
      <w:bookmarkStart w:id="1275" w:name="_Toc38440305"/>
      <w:bookmarkStart w:id="1276" w:name="_Toc38440638"/>
      <w:bookmarkStart w:id="1277" w:name="_Toc38440837"/>
      <w:bookmarkStart w:id="1278" w:name="_Toc38441169"/>
      <w:bookmarkStart w:id="1279" w:name="_Toc38441501"/>
      <w:bookmarkStart w:id="1280" w:name="_Toc38441829"/>
      <w:bookmarkStart w:id="1281" w:name="_Toc38442161"/>
      <w:bookmarkStart w:id="1282" w:name="_Toc38442493"/>
      <w:bookmarkStart w:id="1283" w:name="_Toc38442824"/>
      <w:bookmarkStart w:id="1284" w:name="_Toc38443155"/>
      <w:bookmarkStart w:id="1285" w:name="_Toc38443486"/>
      <w:bookmarkStart w:id="1286" w:name="_Toc38443817"/>
      <w:bookmarkStart w:id="1287" w:name="_Toc38438284"/>
      <w:bookmarkStart w:id="1288" w:name="_Toc38438621"/>
      <w:bookmarkStart w:id="1289" w:name="_Toc38438958"/>
      <w:bookmarkStart w:id="1290" w:name="_Toc38439295"/>
      <w:bookmarkStart w:id="1291" w:name="_Toc38439632"/>
      <w:bookmarkStart w:id="1292" w:name="_Toc38439969"/>
      <w:bookmarkStart w:id="1293" w:name="_Toc38440306"/>
      <w:bookmarkStart w:id="1294" w:name="_Toc38440639"/>
      <w:bookmarkStart w:id="1295" w:name="_Toc38440838"/>
      <w:bookmarkStart w:id="1296" w:name="_Toc38441170"/>
      <w:bookmarkStart w:id="1297" w:name="_Toc38441502"/>
      <w:bookmarkStart w:id="1298" w:name="_Toc38441830"/>
      <w:bookmarkStart w:id="1299" w:name="_Toc38442162"/>
      <w:bookmarkStart w:id="1300" w:name="_Toc38442494"/>
      <w:bookmarkStart w:id="1301" w:name="_Toc38442825"/>
      <w:bookmarkStart w:id="1302" w:name="_Toc38443156"/>
      <w:bookmarkStart w:id="1303" w:name="_Toc38443487"/>
      <w:bookmarkStart w:id="1304" w:name="_Toc38443818"/>
      <w:bookmarkStart w:id="1305" w:name="_Toc38438285"/>
      <w:bookmarkStart w:id="1306" w:name="_Toc38438622"/>
      <w:bookmarkStart w:id="1307" w:name="_Toc38438959"/>
      <w:bookmarkStart w:id="1308" w:name="_Toc38439296"/>
      <w:bookmarkStart w:id="1309" w:name="_Toc38439633"/>
      <w:bookmarkStart w:id="1310" w:name="_Toc38439970"/>
      <w:bookmarkStart w:id="1311" w:name="_Toc38440307"/>
      <w:bookmarkStart w:id="1312" w:name="_Toc38440640"/>
      <w:bookmarkStart w:id="1313" w:name="_Toc38440839"/>
      <w:bookmarkStart w:id="1314" w:name="_Toc38441171"/>
      <w:bookmarkStart w:id="1315" w:name="_Toc38441503"/>
      <w:bookmarkStart w:id="1316" w:name="_Toc38441831"/>
      <w:bookmarkStart w:id="1317" w:name="_Toc38442163"/>
      <w:bookmarkStart w:id="1318" w:name="_Toc38442495"/>
      <w:bookmarkStart w:id="1319" w:name="_Toc38442826"/>
      <w:bookmarkStart w:id="1320" w:name="_Toc38443157"/>
      <w:bookmarkStart w:id="1321" w:name="_Toc38443488"/>
      <w:bookmarkStart w:id="1322" w:name="_Toc38443819"/>
      <w:bookmarkStart w:id="1323" w:name="_Toc38438286"/>
      <w:bookmarkStart w:id="1324" w:name="_Toc38438623"/>
      <w:bookmarkStart w:id="1325" w:name="_Toc38438960"/>
      <w:bookmarkStart w:id="1326" w:name="_Toc38439297"/>
      <w:bookmarkStart w:id="1327" w:name="_Toc38439634"/>
      <w:bookmarkStart w:id="1328" w:name="_Toc38439971"/>
      <w:bookmarkStart w:id="1329" w:name="_Toc38440308"/>
      <w:bookmarkStart w:id="1330" w:name="_Toc38440641"/>
      <w:bookmarkStart w:id="1331" w:name="_Toc38440840"/>
      <w:bookmarkStart w:id="1332" w:name="_Toc38441172"/>
      <w:bookmarkStart w:id="1333" w:name="_Toc38441504"/>
      <w:bookmarkStart w:id="1334" w:name="_Toc38441832"/>
      <w:bookmarkStart w:id="1335" w:name="_Toc38442164"/>
      <w:bookmarkStart w:id="1336" w:name="_Toc38442496"/>
      <w:bookmarkStart w:id="1337" w:name="_Toc38442827"/>
      <w:bookmarkStart w:id="1338" w:name="_Toc38443158"/>
      <w:bookmarkStart w:id="1339" w:name="_Toc38443489"/>
      <w:bookmarkStart w:id="1340" w:name="_Toc38443820"/>
      <w:bookmarkStart w:id="1341" w:name="_Toc38438287"/>
      <w:bookmarkStart w:id="1342" w:name="_Toc38438624"/>
      <w:bookmarkStart w:id="1343" w:name="_Toc38438961"/>
      <w:bookmarkStart w:id="1344" w:name="_Toc38439298"/>
      <w:bookmarkStart w:id="1345" w:name="_Toc38439635"/>
      <w:bookmarkStart w:id="1346" w:name="_Toc38439972"/>
      <w:bookmarkStart w:id="1347" w:name="_Toc38440309"/>
      <w:bookmarkStart w:id="1348" w:name="_Toc38440642"/>
      <w:bookmarkStart w:id="1349" w:name="_Toc38440841"/>
      <w:bookmarkStart w:id="1350" w:name="_Toc38441173"/>
      <w:bookmarkStart w:id="1351" w:name="_Toc38441505"/>
      <w:bookmarkStart w:id="1352" w:name="_Toc38441833"/>
      <w:bookmarkStart w:id="1353" w:name="_Toc38442165"/>
      <w:bookmarkStart w:id="1354" w:name="_Toc38442497"/>
      <w:bookmarkStart w:id="1355" w:name="_Toc38442828"/>
      <w:bookmarkStart w:id="1356" w:name="_Toc38443159"/>
      <w:bookmarkStart w:id="1357" w:name="_Toc38443490"/>
      <w:bookmarkStart w:id="1358" w:name="_Toc38443821"/>
      <w:bookmarkStart w:id="1359" w:name="_Toc38438288"/>
      <w:bookmarkStart w:id="1360" w:name="_Toc38438625"/>
      <w:bookmarkStart w:id="1361" w:name="_Toc38438962"/>
      <w:bookmarkStart w:id="1362" w:name="_Toc38439299"/>
      <w:bookmarkStart w:id="1363" w:name="_Toc38439636"/>
      <w:bookmarkStart w:id="1364" w:name="_Toc38439973"/>
      <w:bookmarkStart w:id="1365" w:name="_Toc38440310"/>
      <w:bookmarkStart w:id="1366" w:name="_Toc38440643"/>
      <w:bookmarkStart w:id="1367" w:name="_Toc38440842"/>
      <w:bookmarkStart w:id="1368" w:name="_Toc38441174"/>
      <w:bookmarkStart w:id="1369" w:name="_Toc38441506"/>
      <w:bookmarkStart w:id="1370" w:name="_Toc38441834"/>
      <w:bookmarkStart w:id="1371" w:name="_Toc38442166"/>
      <w:bookmarkStart w:id="1372" w:name="_Toc38442498"/>
      <w:bookmarkStart w:id="1373" w:name="_Toc38442829"/>
      <w:bookmarkStart w:id="1374" w:name="_Toc38443160"/>
      <w:bookmarkStart w:id="1375" w:name="_Toc38443491"/>
      <w:bookmarkStart w:id="1376" w:name="_Toc38443822"/>
      <w:bookmarkStart w:id="1377" w:name="_Toc38438289"/>
      <w:bookmarkStart w:id="1378" w:name="_Toc38438626"/>
      <w:bookmarkStart w:id="1379" w:name="_Toc38438963"/>
      <w:bookmarkStart w:id="1380" w:name="_Toc38439300"/>
      <w:bookmarkStart w:id="1381" w:name="_Toc38439637"/>
      <w:bookmarkStart w:id="1382" w:name="_Toc38439974"/>
      <w:bookmarkStart w:id="1383" w:name="_Toc38440311"/>
      <w:bookmarkStart w:id="1384" w:name="_Toc38440644"/>
      <w:bookmarkStart w:id="1385" w:name="_Toc38440843"/>
      <w:bookmarkStart w:id="1386" w:name="_Toc38441175"/>
      <w:bookmarkStart w:id="1387" w:name="_Toc38441507"/>
      <w:bookmarkStart w:id="1388" w:name="_Toc38441835"/>
      <w:bookmarkStart w:id="1389" w:name="_Toc38442167"/>
      <w:bookmarkStart w:id="1390" w:name="_Toc38442499"/>
      <w:bookmarkStart w:id="1391" w:name="_Toc38442830"/>
      <w:bookmarkStart w:id="1392" w:name="_Toc38443161"/>
      <w:bookmarkStart w:id="1393" w:name="_Toc38443492"/>
      <w:bookmarkStart w:id="1394" w:name="_Toc38443823"/>
      <w:bookmarkStart w:id="1395" w:name="_Toc38438290"/>
      <w:bookmarkStart w:id="1396" w:name="_Toc38438627"/>
      <w:bookmarkStart w:id="1397" w:name="_Toc38438964"/>
      <w:bookmarkStart w:id="1398" w:name="_Toc38439301"/>
      <w:bookmarkStart w:id="1399" w:name="_Toc38439638"/>
      <w:bookmarkStart w:id="1400" w:name="_Toc38439975"/>
      <w:bookmarkStart w:id="1401" w:name="_Toc38440312"/>
      <w:bookmarkStart w:id="1402" w:name="_Toc38440645"/>
      <w:bookmarkStart w:id="1403" w:name="_Toc38440844"/>
      <w:bookmarkStart w:id="1404" w:name="_Toc38441176"/>
      <w:bookmarkStart w:id="1405" w:name="_Toc38441508"/>
      <w:bookmarkStart w:id="1406" w:name="_Toc38441836"/>
      <w:bookmarkStart w:id="1407" w:name="_Toc38442168"/>
      <w:bookmarkStart w:id="1408" w:name="_Toc38442500"/>
      <w:bookmarkStart w:id="1409" w:name="_Toc38442831"/>
      <w:bookmarkStart w:id="1410" w:name="_Toc38443162"/>
      <w:bookmarkStart w:id="1411" w:name="_Toc38443493"/>
      <w:bookmarkStart w:id="1412" w:name="_Toc38443824"/>
      <w:bookmarkStart w:id="1413" w:name="_Toc38438291"/>
      <w:bookmarkStart w:id="1414" w:name="_Toc38438628"/>
      <w:bookmarkStart w:id="1415" w:name="_Toc38438965"/>
      <w:bookmarkStart w:id="1416" w:name="_Toc38439302"/>
      <w:bookmarkStart w:id="1417" w:name="_Toc38439639"/>
      <w:bookmarkStart w:id="1418" w:name="_Toc38439976"/>
      <w:bookmarkStart w:id="1419" w:name="_Toc38440313"/>
      <w:bookmarkStart w:id="1420" w:name="_Toc38440646"/>
      <w:bookmarkStart w:id="1421" w:name="_Toc38440845"/>
      <w:bookmarkStart w:id="1422" w:name="_Toc38441177"/>
      <w:bookmarkStart w:id="1423" w:name="_Toc38441509"/>
      <w:bookmarkStart w:id="1424" w:name="_Toc38441837"/>
      <w:bookmarkStart w:id="1425" w:name="_Toc38442169"/>
      <w:bookmarkStart w:id="1426" w:name="_Toc38442501"/>
      <w:bookmarkStart w:id="1427" w:name="_Toc38442832"/>
      <w:bookmarkStart w:id="1428" w:name="_Toc38443163"/>
      <w:bookmarkStart w:id="1429" w:name="_Toc38443494"/>
      <w:bookmarkStart w:id="1430" w:name="_Toc38443825"/>
      <w:bookmarkStart w:id="1431" w:name="_Toc38438292"/>
      <w:bookmarkStart w:id="1432" w:name="_Toc38438629"/>
      <w:bookmarkStart w:id="1433" w:name="_Toc38438966"/>
      <w:bookmarkStart w:id="1434" w:name="_Toc38439303"/>
      <w:bookmarkStart w:id="1435" w:name="_Toc38439640"/>
      <w:bookmarkStart w:id="1436" w:name="_Toc38439977"/>
      <w:bookmarkStart w:id="1437" w:name="_Toc38440314"/>
      <w:bookmarkStart w:id="1438" w:name="_Toc38440647"/>
      <w:bookmarkStart w:id="1439" w:name="_Toc38440846"/>
      <w:bookmarkStart w:id="1440" w:name="_Toc38441178"/>
      <w:bookmarkStart w:id="1441" w:name="_Toc38441510"/>
      <w:bookmarkStart w:id="1442" w:name="_Toc38441838"/>
      <w:bookmarkStart w:id="1443" w:name="_Toc38442170"/>
      <w:bookmarkStart w:id="1444" w:name="_Toc38442502"/>
      <w:bookmarkStart w:id="1445" w:name="_Toc38442833"/>
      <w:bookmarkStart w:id="1446" w:name="_Toc38443164"/>
      <w:bookmarkStart w:id="1447" w:name="_Toc38443495"/>
      <w:bookmarkStart w:id="1448" w:name="_Toc38443826"/>
      <w:bookmarkStart w:id="1449" w:name="_Toc38438293"/>
      <w:bookmarkStart w:id="1450" w:name="_Toc38438630"/>
      <w:bookmarkStart w:id="1451" w:name="_Toc38438967"/>
      <w:bookmarkStart w:id="1452" w:name="_Toc38439304"/>
      <w:bookmarkStart w:id="1453" w:name="_Toc38439641"/>
      <w:bookmarkStart w:id="1454" w:name="_Toc38439978"/>
      <w:bookmarkStart w:id="1455" w:name="_Toc38440315"/>
      <w:bookmarkStart w:id="1456" w:name="_Toc38440648"/>
      <w:bookmarkStart w:id="1457" w:name="_Toc38440847"/>
      <w:bookmarkStart w:id="1458" w:name="_Toc38441179"/>
      <w:bookmarkStart w:id="1459" w:name="_Toc38441511"/>
      <w:bookmarkStart w:id="1460" w:name="_Toc38441839"/>
      <w:bookmarkStart w:id="1461" w:name="_Toc38442171"/>
      <w:bookmarkStart w:id="1462" w:name="_Toc38442503"/>
      <w:bookmarkStart w:id="1463" w:name="_Toc38442834"/>
      <w:bookmarkStart w:id="1464" w:name="_Toc38443165"/>
      <w:bookmarkStart w:id="1465" w:name="_Toc38443496"/>
      <w:bookmarkStart w:id="1466" w:name="_Toc38443827"/>
      <w:bookmarkStart w:id="1467" w:name="_Toc38438296"/>
      <w:bookmarkStart w:id="1468" w:name="_Toc38438633"/>
      <w:bookmarkStart w:id="1469" w:name="_Toc38438970"/>
      <w:bookmarkStart w:id="1470" w:name="_Toc38439307"/>
      <w:bookmarkStart w:id="1471" w:name="_Toc38439644"/>
      <w:bookmarkStart w:id="1472" w:name="_Toc38439981"/>
      <w:bookmarkStart w:id="1473" w:name="_Toc38440318"/>
      <w:bookmarkStart w:id="1474" w:name="_Toc38440651"/>
      <w:bookmarkStart w:id="1475" w:name="_Toc38440850"/>
      <w:bookmarkStart w:id="1476" w:name="_Toc38441182"/>
      <w:bookmarkStart w:id="1477" w:name="_Toc38441514"/>
      <w:bookmarkStart w:id="1478" w:name="_Toc38441842"/>
      <w:bookmarkStart w:id="1479" w:name="_Toc38442174"/>
      <w:bookmarkStart w:id="1480" w:name="_Toc38442506"/>
      <w:bookmarkStart w:id="1481" w:name="_Toc38442837"/>
      <w:bookmarkStart w:id="1482" w:name="_Toc38443168"/>
      <w:bookmarkStart w:id="1483" w:name="_Toc38443499"/>
      <w:bookmarkStart w:id="1484" w:name="_Toc38443830"/>
      <w:bookmarkStart w:id="1485" w:name="_Toc38438297"/>
      <w:bookmarkStart w:id="1486" w:name="_Toc38438634"/>
      <w:bookmarkStart w:id="1487" w:name="_Toc38438971"/>
      <w:bookmarkStart w:id="1488" w:name="_Toc38439308"/>
      <w:bookmarkStart w:id="1489" w:name="_Toc38439645"/>
      <w:bookmarkStart w:id="1490" w:name="_Toc38439982"/>
      <w:bookmarkStart w:id="1491" w:name="_Toc38440319"/>
      <w:bookmarkStart w:id="1492" w:name="_Toc38440652"/>
      <w:bookmarkStart w:id="1493" w:name="_Toc38440851"/>
      <w:bookmarkStart w:id="1494" w:name="_Toc38441183"/>
      <w:bookmarkStart w:id="1495" w:name="_Toc38441515"/>
      <w:bookmarkStart w:id="1496" w:name="_Toc38441843"/>
      <w:bookmarkStart w:id="1497" w:name="_Toc38442175"/>
      <w:bookmarkStart w:id="1498" w:name="_Toc38442507"/>
      <w:bookmarkStart w:id="1499" w:name="_Toc38442838"/>
      <w:bookmarkStart w:id="1500" w:name="_Toc38443169"/>
      <w:bookmarkStart w:id="1501" w:name="_Toc38443500"/>
      <w:bookmarkStart w:id="1502" w:name="_Toc38443831"/>
      <w:bookmarkStart w:id="1503" w:name="_Toc38438298"/>
      <w:bookmarkStart w:id="1504" w:name="_Toc38438635"/>
      <w:bookmarkStart w:id="1505" w:name="_Toc38438972"/>
      <w:bookmarkStart w:id="1506" w:name="_Toc38439309"/>
      <w:bookmarkStart w:id="1507" w:name="_Toc38439646"/>
      <w:bookmarkStart w:id="1508" w:name="_Toc38439983"/>
      <w:bookmarkStart w:id="1509" w:name="_Toc38440320"/>
      <w:bookmarkStart w:id="1510" w:name="_Toc38440653"/>
      <w:bookmarkStart w:id="1511" w:name="_Toc38440852"/>
      <w:bookmarkStart w:id="1512" w:name="_Toc38441184"/>
      <w:bookmarkStart w:id="1513" w:name="_Toc38441516"/>
      <w:bookmarkStart w:id="1514" w:name="_Toc38441844"/>
      <w:bookmarkStart w:id="1515" w:name="_Toc38442176"/>
      <w:bookmarkStart w:id="1516" w:name="_Toc38442508"/>
      <w:bookmarkStart w:id="1517" w:name="_Toc38442839"/>
      <w:bookmarkStart w:id="1518" w:name="_Toc38443170"/>
      <w:bookmarkStart w:id="1519" w:name="_Toc38443501"/>
      <w:bookmarkStart w:id="1520" w:name="_Toc38443832"/>
      <w:bookmarkStart w:id="1521" w:name="_Toc38438299"/>
      <w:bookmarkStart w:id="1522" w:name="_Toc38438636"/>
      <w:bookmarkStart w:id="1523" w:name="_Toc38438973"/>
      <w:bookmarkStart w:id="1524" w:name="_Toc38439310"/>
      <w:bookmarkStart w:id="1525" w:name="_Toc38439647"/>
      <w:bookmarkStart w:id="1526" w:name="_Toc38439984"/>
      <w:bookmarkStart w:id="1527" w:name="_Toc38440321"/>
      <w:bookmarkStart w:id="1528" w:name="_Toc38440654"/>
      <w:bookmarkStart w:id="1529" w:name="_Toc38440853"/>
      <w:bookmarkStart w:id="1530" w:name="_Toc38441185"/>
      <w:bookmarkStart w:id="1531" w:name="_Toc38441517"/>
      <w:bookmarkStart w:id="1532" w:name="_Toc38441845"/>
      <w:bookmarkStart w:id="1533" w:name="_Toc38442177"/>
      <w:bookmarkStart w:id="1534" w:name="_Toc38442509"/>
      <w:bookmarkStart w:id="1535" w:name="_Toc38442840"/>
      <w:bookmarkStart w:id="1536" w:name="_Toc38443171"/>
      <w:bookmarkStart w:id="1537" w:name="_Toc38443502"/>
      <w:bookmarkStart w:id="1538" w:name="_Toc38443833"/>
      <w:bookmarkStart w:id="1539" w:name="_Toc38438301"/>
      <w:bookmarkStart w:id="1540" w:name="_Toc38438638"/>
      <w:bookmarkStart w:id="1541" w:name="_Toc38438975"/>
      <w:bookmarkStart w:id="1542" w:name="_Toc38439312"/>
      <w:bookmarkStart w:id="1543" w:name="_Toc38439649"/>
      <w:bookmarkStart w:id="1544" w:name="_Toc38439986"/>
      <w:bookmarkStart w:id="1545" w:name="_Toc38440323"/>
      <w:bookmarkStart w:id="1546" w:name="_Toc38440656"/>
      <w:bookmarkStart w:id="1547" w:name="_Toc38440855"/>
      <w:bookmarkStart w:id="1548" w:name="_Toc38441187"/>
      <w:bookmarkStart w:id="1549" w:name="_Toc38441519"/>
      <w:bookmarkStart w:id="1550" w:name="_Toc38441847"/>
      <w:bookmarkStart w:id="1551" w:name="_Toc38442179"/>
      <w:bookmarkStart w:id="1552" w:name="_Toc38442511"/>
      <w:bookmarkStart w:id="1553" w:name="_Toc38442842"/>
      <w:bookmarkStart w:id="1554" w:name="_Toc38443173"/>
      <w:bookmarkStart w:id="1555" w:name="_Toc38443504"/>
      <w:bookmarkStart w:id="1556" w:name="_Toc38443835"/>
      <w:bookmarkStart w:id="1557" w:name="_Toc38438302"/>
      <w:bookmarkStart w:id="1558" w:name="_Toc38438639"/>
      <w:bookmarkStart w:id="1559" w:name="_Toc38438976"/>
      <w:bookmarkStart w:id="1560" w:name="_Toc38439313"/>
      <w:bookmarkStart w:id="1561" w:name="_Toc38439650"/>
      <w:bookmarkStart w:id="1562" w:name="_Toc38439987"/>
      <w:bookmarkStart w:id="1563" w:name="_Toc38440324"/>
      <w:bookmarkStart w:id="1564" w:name="_Toc38440657"/>
      <w:bookmarkStart w:id="1565" w:name="_Toc38440856"/>
      <w:bookmarkStart w:id="1566" w:name="_Toc38441188"/>
      <w:bookmarkStart w:id="1567" w:name="_Toc38441520"/>
      <w:bookmarkStart w:id="1568" w:name="_Toc38441848"/>
      <w:bookmarkStart w:id="1569" w:name="_Toc38442180"/>
      <w:bookmarkStart w:id="1570" w:name="_Toc38442512"/>
      <w:bookmarkStart w:id="1571" w:name="_Toc38442843"/>
      <w:bookmarkStart w:id="1572" w:name="_Toc38443174"/>
      <w:bookmarkStart w:id="1573" w:name="_Toc38443505"/>
      <w:bookmarkStart w:id="1574" w:name="_Toc38443836"/>
      <w:bookmarkStart w:id="1575" w:name="_Toc38438303"/>
      <w:bookmarkStart w:id="1576" w:name="_Toc38438640"/>
      <w:bookmarkStart w:id="1577" w:name="_Toc38438977"/>
      <w:bookmarkStart w:id="1578" w:name="_Toc38439314"/>
      <w:bookmarkStart w:id="1579" w:name="_Toc38439651"/>
      <w:bookmarkStart w:id="1580" w:name="_Toc38439988"/>
      <w:bookmarkStart w:id="1581" w:name="_Toc38440325"/>
      <w:bookmarkStart w:id="1582" w:name="_Toc38440658"/>
      <w:bookmarkStart w:id="1583" w:name="_Toc38440857"/>
      <w:bookmarkStart w:id="1584" w:name="_Toc38441189"/>
      <w:bookmarkStart w:id="1585" w:name="_Toc38441521"/>
      <w:bookmarkStart w:id="1586" w:name="_Toc38441849"/>
      <w:bookmarkStart w:id="1587" w:name="_Toc38442181"/>
      <w:bookmarkStart w:id="1588" w:name="_Toc38442513"/>
      <w:bookmarkStart w:id="1589" w:name="_Toc38442844"/>
      <w:bookmarkStart w:id="1590" w:name="_Toc38443175"/>
      <w:bookmarkStart w:id="1591" w:name="_Toc38443506"/>
      <w:bookmarkStart w:id="1592" w:name="_Toc38443837"/>
      <w:bookmarkStart w:id="1593" w:name="_Toc38438304"/>
      <w:bookmarkStart w:id="1594" w:name="_Toc38438641"/>
      <w:bookmarkStart w:id="1595" w:name="_Toc38438978"/>
      <w:bookmarkStart w:id="1596" w:name="_Toc38439315"/>
      <w:bookmarkStart w:id="1597" w:name="_Toc38439652"/>
      <w:bookmarkStart w:id="1598" w:name="_Toc38439989"/>
      <w:bookmarkStart w:id="1599" w:name="_Toc38440326"/>
      <w:bookmarkStart w:id="1600" w:name="_Toc38440659"/>
      <w:bookmarkStart w:id="1601" w:name="_Toc38440858"/>
      <w:bookmarkStart w:id="1602" w:name="_Toc38441190"/>
      <w:bookmarkStart w:id="1603" w:name="_Toc38441522"/>
      <w:bookmarkStart w:id="1604" w:name="_Toc38441850"/>
      <w:bookmarkStart w:id="1605" w:name="_Toc38442182"/>
      <w:bookmarkStart w:id="1606" w:name="_Toc38442514"/>
      <w:bookmarkStart w:id="1607" w:name="_Toc38442845"/>
      <w:bookmarkStart w:id="1608" w:name="_Toc38443176"/>
      <w:bookmarkStart w:id="1609" w:name="_Toc38443507"/>
      <w:bookmarkStart w:id="1610" w:name="_Toc38443838"/>
      <w:bookmarkStart w:id="1611" w:name="_Toc38438305"/>
      <w:bookmarkStart w:id="1612" w:name="_Toc38438642"/>
      <w:bookmarkStart w:id="1613" w:name="_Toc38438979"/>
      <w:bookmarkStart w:id="1614" w:name="_Toc38439316"/>
      <w:bookmarkStart w:id="1615" w:name="_Toc38439653"/>
      <w:bookmarkStart w:id="1616" w:name="_Toc38439990"/>
      <w:bookmarkStart w:id="1617" w:name="_Toc38440327"/>
      <w:bookmarkStart w:id="1618" w:name="_Toc38440660"/>
      <w:bookmarkStart w:id="1619" w:name="_Toc38440859"/>
      <w:bookmarkStart w:id="1620" w:name="_Toc38441191"/>
      <w:bookmarkStart w:id="1621" w:name="_Toc38441523"/>
      <w:bookmarkStart w:id="1622" w:name="_Toc38441851"/>
      <w:bookmarkStart w:id="1623" w:name="_Toc38442183"/>
      <w:bookmarkStart w:id="1624" w:name="_Toc38442515"/>
      <w:bookmarkStart w:id="1625" w:name="_Toc38442846"/>
      <w:bookmarkStart w:id="1626" w:name="_Toc38443177"/>
      <w:bookmarkStart w:id="1627" w:name="_Toc38443508"/>
      <w:bookmarkStart w:id="1628" w:name="_Toc38443839"/>
      <w:bookmarkStart w:id="1629" w:name="_Toc38438306"/>
      <w:bookmarkStart w:id="1630" w:name="_Toc38438643"/>
      <w:bookmarkStart w:id="1631" w:name="_Toc38438980"/>
      <w:bookmarkStart w:id="1632" w:name="_Toc38439317"/>
      <w:bookmarkStart w:id="1633" w:name="_Toc38439654"/>
      <w:bookmarkStart w:id="1634" w:name="_Toc38439991"/>
      <w:bookmarkStart w:id="1635" w:name="_Toc38440328"/>
      <w:bookmarkStart w:id="1636" w:name="_Toc38440661"/>
      <w:bookmarkStart w:id="1637" w:name="_Toc38440860"/>
      <w:bookmarkStart w:id="1638" w:name="_Toc38441192"/>
      <w:bookmarkStart w:id="1639" w:name="_Toc38441524"/>
      <w:bookmarkStart w:id="1640" w:name="_Toc38441852"/>
      <w:bookmarkStart w:id="1641" w:name="_Toc38442184"/>
      <w:bookmarkStart w:id="1642" w:name="_Toc38442516"/>
      <w:bookmarkStart w:id="1643" w:name="_Toc38442847"/>
      <w:bookmarkStart w:id="1644" w:name="_Toc38443178"/>
      <w:bookmarkStart w:id="1645" w:name="_Toc38443509"/>
      <w:bookmarkStart w:id="1646" w:name="_Toc38443840"/>
      <w:bookmarkStart w:id="1647" w:name="_Toc38438310"/>
      <w:bookmarkStart w:id="1648" w:name="_Toc38438647"/>
      <w:bookmarkStart w:id="1649" w:name="_Toc38438984"/>
      <w:bookmarkStart w:id="1650" w:name="_Toc38439321"/>
      <w:bookmarkStart w:id="1651" w:name="_Toc38439658"/>
      <w:bookmarkStart w:id="1652" w:name="_Toc38439995"/>
      <w:bookmarkStart w:id="1653" w:name="_Toc38440332"/>
      <w:bookmarkStart w:id="1654" w:name="_Toc38440665"/>
      <w:bookmarkStart w:id="1655" w:name="_Toc38440864"/>
      <w:bookmarkStart w:id="1656" w:name="_Toc38441196"/>
      <w:bookmarkStart w:id="1657" w:name="_Toc38441528"/>
      <w:bookmarkStart w:id="1658" w:name="_Toc38441856"/>
      <w:bookmarkStart w:id="1659" w:name="_Toc38442188"/>
      <w:bookmarkStart w:id="1660" w:name="_Toc38442520"/>
      <w:bookmarkStart w:id="1661" w:name="_Toc38442851"/>
      <w:bookmarkStart w:id="1662" w:name="_Toc38443182"/>
      <w:bookmarkStart w:id="1663" w:name="_Toc38443513"/>
      <w:bookmarkStart w:id="1664" w:name="_Toc38443844"/>
      <w:bookmarkStart w:id="1665" w:name="_Toc38438311"/>
      <w:bookmarkStart w:id="1666" w:name="_Toc38438648"/>
      <w:bookmarkStart w:id="1667" w:name="_Toc38438985"/>
      <w:bookmarkStart w:id="1668" w:name="_Toc38439322"/>
      <w:bookmarkStart w:id="1669" w:name="_Toc38439659"/>
      <w:bookmarkStart w:id="1670" w:name="_Toc38439996"/>
      <w:bookmarkStart w:id="1671" w:name="_Toc38440333"/>
      <w:bookmarkStart w:id="1672" w:name="_Toc38440666"/>
      <w:bookmarkStart w:id="1673" w:name="_Toc38440865"/>
      <w:bookmarkStart w:id="1674" w:name="_Toc38441197"/>
      <w:bookmarkStart w:id="1675" w:name="_Toc38441529"/>
      <w:bookmarkStart w:id="1676" w:name="_Toc38441857"/>
      <w:bookmarkStart w:id="1677" w:name="_Toc38442189"/>
      <w:bookmarkStart w:id="1678" w:name="_Toc38442521"/>
      <w:bookmarkStart w:id="1679" w:name="_Toc38442852"/>
      <w:bookmarkStart w:id="1680" w:name="_Toc38443183"/>
      <w:bookmarkStart w:id="1681" w:name="_Toc38443514"/>
      <w:bookmarkStart w:id="1682" w:name="_Toc38443845"/>
      <w:bookmarkStart w:id="1683" w:name="_Toc38438312"/>
      <w:bookmarkStart w:id="1684" w:name="_Toc38438649"/>
      <w:bookmarkStart w:id="1685" w:name="_Toc38438986"/>
      <w:bookmarkStart w:id="1686" w:name="_Toc38439323"/>
      <w:bookmarkStart w:id="1687" w:name="_Toc38439660"/>
      <w:bookmarkStart w:id="1688" w:name="_Toc38439997"/>
      <w:bookmarkStart w:id="1689" w:name="_Toc38440334"/>
      <w:bookmarkStart w:id="1690" w:name="_Toc38440667"/>
      <w:bookmarkStart w:id="1691" w:name="_Toc38440866"/>
      <w:bookmarkStart w:id="1692" w:name="_Toc38441198"/>
      <w:bookmarkStart w:id="1693" w:name="_Toc38441530"/>
      <w:bookmarkStart w:id="1694" w:name="_Toc38441858"/>
      <w:bookmarkStart w:id="1695" w:name="_Toc38442190"/>
      <w:bookmarkStart w:id="1696" w:name="_Toc38442522"/>
      <w:bookmarkStart w:id="1697" w:name="_Toc38442853"/>
      <w:bookmarkStart w:id="1698" w:name="_Toc38443184"/>
      <w:bookmarkStart w:id="1699" w:name="_Toc38443515"/>
      <w:bookmarkStart w:id="1700" w:name="_Toc38443846"/>
      <w:bookmarkStart w:id="1701" w:name="_Toc38438313"/>
      <w:bookmarkStart w:id="1702" w:name="_Toc38438650"/>
      <w:bookmarkStart w:id="1703" w:name="_Toc38438987"/>
      <w:bookmarkStart w:id="1704" w:name="_Toc38439324"/>
      <w:bookmarkStart w:id="1705" w:name="_Toc38439661"/>
      <w:bookmarkStart w:id="1706" w:name="_Toc38439998"/>
      <w:bookmarkStart w:id="1707" w:name="_Toc38440335"/>
      <w:bookmarkStart w:id="1708" w:name="_Toc38440668"/>
      <w:bookmarkStart w:id="1709" w:name="_Toc38440867"/>
      <w:bookmarkStart w:id="1710" w:name="_Toc38441199"/>
      <w:bookmarkStart w:id="1711" w:name="_Toc38441531"/>
      <w:bookmarkStart w:id="1712" w:name="_Toc38441859"/>
      <w:bookmarkStart w:id="1713" w:name="_Toc38442191"/>
      <w:bookmarkStart w:id="1714" w:name="_Toc38442523"/>
      <w:bookmarkStart w:id="1715" w:name="_Toc38442854"/>
      <w:bookmarkStart w:id="1716" w:name="_Toc38443185"/>
      <w:bookmarkStart w:id="1717" w:name="_Toc38443516"/>
      <w:bookmarkStart w:id="1718" w:name="_Toc38443847"/>
      <w:bookmarkStart w:id="1719" w:name="_Toc38438314"/>
      <w:bookmarkStart w:id="1720" w:name="_Toc38438651"/>
      <w:bookmarkStart w:id="1721" w:name="_Toc38438988"/>
      <w:bookmarkStart w:id="1722" w:name="_Toc38439325"/>
      <w:bookmarkStart w:id="1723" w:name="_Toc38439662"/>
      <w:bookmarkStart w:id="1724" w:name="_Toc38439999"/>
      <w:bookmarkStart w:id="1725" w:name="_Toc38440336"/>
      <w:bookmarkStart w:id="1726" w:name="_Toc38440669"/>
      <w:bookmarkStart w:id="1727" w:name="_Toc38440868"/>
      <w:bookmarkStart w:id="1728" w:name="_Toc38441200"/>
      <w:bookmarkStart w:id="1729" w:name="_Toc38441532"/>
      <w:bookmarkStart w:id="1730" w:name="_Toc38441860"/>
      <w:bookmarkStart w:id="1731" w:name="_Toc38442192"/>
      <w:bookmarkStart w:id="1732" w:name="_Toc38442524"/>
      <w:bookmarkStart w:id="1733" w:name="_Toc38442855"/>
      <w:bookmarkStart w:id="1734" w:name="_Toc38443186"/>
      <w:bookmarkStart w:id="1735" w:name="_Toc38443517"/>
      <w:bookmarkStart w:id="1736" w:name="_Toc38443848"/>
      <w:bookmarkStart w:id="1737" w:name="_Toc38438315"/>
      <w:bookmarkStart w:id="1738" w:name="_Toc38438652"/>
      <w:bookmarkStart w:id="1739" w:name="_Toc38438989"/>
      <w:bookmarkStart w:id="1740" w:name="_Toc38439326"/>
      <w:bookmarkStart w:id="1741" w:name="_Toc38439663"/>
      <w:bookmarkStart w:id="1742" w:name="_Toc38440000"/>
      <w:bookmarkStart w:id="1743" w:name="_Toc38440337"/>
      <w:bookmarkStart w:id="1744" w:name="_Toc38440670"/>
      <w:bookmarkStart w:id="1745" w:name="_Toc38440869"/>
      <w:bookmarkStart w:id="1746" w:name="_Toc38441201"/>
      <w:bookmarkStart w:id="1747" w:name="_Toc38441533"/>
      <w:bookmarkStart w:id="1748" w:name="_Toc38441861"/>
      <w:bookmarkStart w:id="1749" w:name="_Toc38442193"/>
      <w:bookmarkStart w:id="1750" w:name="_Toc38442525"/>
      <w:bookmarkStart w:id="1751" w:name="_Toc38442856"/>
      <w:bookmarkStart w:id="1752" w:name="_Toc38443187"/>
      <w:bookmarkStart w:id="1753" w:name="_Toc38443518"/>
      <w:bookmarkStart w:id="1754" w:name="_Toc38443849"/>
      <w:bookmarkStart w:id="1755" w:name="_Toc38438316"/>
      <w:bookmarkStart w:id="1756" w:name="_Toc38438653"/>
      <w:bookmarkStart w:id="1757" w:name="_Toc38438990"/>
      <w:bookmarkStart w:id="1758" w:name="_Toc38439327"/>
      <w:bookmarkStart w:id="1759" w:name="_Toc38439664"/>
      <w:bookmarkStart w:id="1760" w:name="_Toc38440001"/>
      <w:bookmarkStart w:id="1761" w:name="_Toc38440338"/>
      <w:bookmarkStart w:id="1762" w:name="_Toc38440671"/>
      <w:bookmarkStart w:id="1763" w:name="_Toc38440870"/>
      <w:bookmarkStart w:id="1764" w:name="_Toc38441202"/>
      <w:bookmarkStart w:id="1765" w:name="_Toc38441534"/>
      <w:bookmarkStart w:id="1766" w:name="_Toc38441862"/>
      <w:bookmarkStart w:id="1767" w:name="_Toc38442194"/>
      <w:bookmarkStart w:id="1768" w:name="_Toc38442526"/>
      <w:bookmarkStart w:id="1769" w:name="_Toc38442857"/>
      <w:bookmarkStart w:id="1770" w:name="_Toc38443188"/>
      <w:bookmarkStart w:id="1771" w:name="_Toc38443519"/>
      <w:bookmarkStart w:id="1772" w:name="_Toc38443850"/>
      <w:bookmarkStart w:id="1773" w:name="_Toc38438317"/>
      <w:bookmarkStart w:id="1774" w:name="_Toc38438654"/>
      <w:bookmarkStart w:id="1775" w:name="_Toc38438991"/>
      <w:bookmarkStart w:id="1776" w:name="_Toc38439328"/>
      <w:bookmarkStart w:id="1777" w:name="_Toc38439665"/>
      <w:bookmarkStart w:id="1778" w:name="_Toc38440002"/>
      <w:bookmarkStart w:id="1779" w:name="_Toc38440339"/>
      <w:bookmarkStart w:id="1780" w:name="_Toc38440672"/>
      <w:bookmarkStart w:id="1781" w:name="_Toc38440871"/>
      <w:bookmarkStart w:id="1782" w:name="_Toc38441203"/>
      <w:bookmarkStart w:id="1783" w:name="_Toc38441535"/>
      <w:bookmarkStart w:id="1784" w:name="_Toc38441863"/>
      <w:bookmarkStart w:id="1785" w:name="_Toc38442195"/>
      <w:bookmarkStart w:id="1786" w:name="_Toc38442527"/>
      <w:bookmarkStart w:id="1787" w:name="_Toc38442858"/>
      <w:bookmarkStart w:id="1788" w:name="_Toc38443189"/>
      <w:bookmarkStart w:id="1789" w:name="_Toc38443520"/>
      <w:bookmarkStart w:id="1790" w:name="_Toc38443851"/>
      <w:bookmarkStart w:id="1791" w:name="_Toc38438318"/>
      <w:bookmarkStart w:id="1792" w:name="_Toc38438655"/>
      <w:bookmarkStart w:id="1793" w:name="_Toc38438992"/>
      <w:bookmarkStart w:id="1794" w:name="_Toc38439329"/>
      <w:bookmarkStart w:id="1795" w:name="_Toc38439666"/>
      <w:bookmarkStart w:id="1796" w:name="_Toc38440003"/>
      <w:bookmarkStart w:id="1797" w:name="_Toc38440340"/>
      <w:bookmarkStart w:id="1798" w:name="_Toc38440673"/>
      <w:bookmarkStart w:id="1799" w:name="_Toc38440872"/>
      <w:bookmarkStart w:id="1800" w:name="_Toc38441204"/>
      <w:bookmarkStart w:id="1801" w:name="_Toc38441536"/>
      <w:bookmarkStart w:id="1802" w:name="_Toc38441864"/>
      <w:bookmarkStart w:id="1803" w:name="_Toc38442196"/>
      <w:bookmarkStart w:id="1804" w:name="_Toc38442528"/>
      <w:bookmarkStart w:id="1805" w:name="_Toc38442859"/>
      <w:bookmarkStart w:id="1806" w:name="_Toc38443190"/>
      <w:bookmarkStart w:id="1807" w:name="_Toc38443521"/>
      <w:bookmarkStart w:id="1808" w:name="_Toc38443852"/>
      <w:bookmarkStart w:id="1809" w:name="_Toc38438319"/>
      <w:bookmarkStart w:id="1810" w:name="_Toc38438656"/>
      <w:bookmarkStart w:id="1811" w:name="_Toc38438993"/>
      <w:bookmarkStart w:id="1812" w:name="_Toc38439330"/>
      <w:bookmarkStart w:id="1813" w:name="_Toc38439667"/>
      <w:bookmarkStart w:id="1814" w:name="_Toc38440004"/>
      <w:bookmarkStart w:id="1815" w:name="_Toc38440341"/>
      <w:bookmarkStart w:id="1816" w:name="_Toc38440674"/>
      <w:bookmarkStart w:id="1817" w:name="_Toc38440873"/>
      <w:bookmarkStart w:id="1818" w:name="_Toc38441205"/>
      <w:bookmarkStart w:id="1819" w:name="_Toc38441537"/>
      <w:bookmarkStart w:id="1820" w:name="_Toc38441865"/>
      <w:bookmarkStart w:id="1821" w:name="_Toc38442197"/>
      <w:bookmarkStart w:id="1822" w:name="_Toc38442529"/>
      <w:bookmarkStart w:id="1823" w:name="_Toc38442860"/>
      <w:bookmarkStart w:id="1824" w:name="_Toc38443191"/>
      <w:bookmarkStart w:id="1825" w:name="_Toc38443522"/>
      <w:bookmarkStart w:id="1826" w:name="_Toc38443853"/>
      <w:bookmarkStart w:id="1827" w:name="_Toc38438320"/>
      <w:bookmarkStart w:id="1828" w:name="_Toc38438657"/>
      <w:bookmarkStart w:id="1829" w:name="_Toc38438994"/>
      <w:bookmarkStart w:id="1830" w:name="_Toc38439331"/>
      <w:bookmarkStart w:id="1831" w:name="_Toc38439668"/>
      <w:bookmarkStart w:id="1832" w:name="_Toc38440005"/>
      <w:bookmarkStart w:id="1833" w:name="_Toc38440342"/>
      <w:bookmarkStart w:id="1834" w:name="_Toc38440675"/>
      <w:bookmarkStart w:id="1835" w:name="_Toc38440874"/>
      <w:bookmarkStart w:id="1836" w:name="_Toc38441206"/>
      <w:bookmarkStart w:id="1837" w:name="_Toc38441538"/>
      <w:bookmarkStart w:id="1838" w:name="_Toc38441866"/>
      <w:bookmarkStart w:id="1839" w:name="_Toc38442198"/>
      <w:bookmarkStart w:id="1840" w:name="_Toc38442530"/>
      <w:bookmarkStart w:id="1841" w:name="_Toc38442861"/>
      <w:bookmarkStart w:id="1842" w:name="_Toc38443192"/>
      <w:bookmarkStart w:id="1843" w:name="_Toc38443523"/>
      <w:bookmarkStart w:id="1844" w:name="_Toc38443854"/>
      <w:bookmarkStart w:id="1845" w:name="_Toc38438321"/>
      <w:bookmarkStart w:id="1846" w:name="_Toc38438658"/>
      <w:bookmarkStart w:id="1847" w:name="_Toc38438995"/>
      <w:bookmarkStart w:id="1848" w:name="_Toc38439332"/>
      <w:bookmarkStart w:id="1849" w:name="_Toc38439669"/>
      <w:bookmarkStart w:id="1850" w:name="_Toc38440006"/>
      <w:bookmarkStart w:id="1851" w:name="_Toc38440343"/>
      <w:bookmarkStart w:id="1852" w:name="_Toc38440676"/>
      <w:bookmarkStart w:id="1853" w:name="_Toc38440875"/>
      <w:bookmarkStart w:id="1854" w:name="_Toc38441207"/>
      <w:bookmarkStart w:id="1855" w:name="_Toc38441539"/>
      <w:bookmarkStart w:id="1856" w:name="_Toc38441867"/>
      <w:bookmarkStart w:id="1857" w:name="_Toc38442199"/>
      <w:bookmarkStart w:id="1858" w:name="_Toc38442531"/>
      <w:bookmarkStart w:id="1859" w:name="_Toc38442862"/>
      <w:bookmarkStart w:id="1860" w:name="_Toc38443193"/>
      <w:bookmarkStart w:id="1861" w:name="_Toc38443524"/>
      <w:bookmarkStart w:id="1862" w:name="_Toc38443855"/>
      <w:bookmarkStart w:id="1863" w:name="_Toc38438322"/>
      <w:bookmarkStart w:id="1864" w:name="_Toc38438659"/>
      <w:bookmarkStart w:id="1865" w:name="_Toc38438996"/>
      <w:bookmarkStart w:id="1866" w:name="_Toc38439333"/>
      <w:bookmarkStart w:id="1867" w:name="_Toc38439670"/>
      <w:bookmarkStart w:id="1868" w:name="_Toc38440007"/>
      <w:bookmarkStart w:id="1869" w:name="_Toc38440344"/>
      <w:bookmarkStart w:id="1870" w:name="_Toc38440677"/>
      <w:bookmarkStart w:id="1871" w:name="_Toc38440876"/>
      <w:bookmarkStart w:id="1872" w:name="_Toc38441208"/>
      <w:bookmarkStart w:id="1873" w:name="_Toc38441540"/>
      <w:bookmarkStart w:id="1874" w:name="_Toc38441868"/>
      <w:bookmarkStart w:id="1875" w:name="_Toc38442200"/>
      <w:bookmarkStart w:id="1876" w:name="_Toc38442532"/>
      <w:bookmarkStart w:id="1877" w:name="_Toc38442863"/>
      <w:bookmarkStart w:id="1878" w:name="_Toc38443194"/>
      <w:bookmarkStart w:id="1879" w:name="_Toc38443525"/>
      <w:bookmarkStart w:id="1880" w:name="_Toc38443856"/>
      <w:bookmarkStart w:id="1881" w:name="_Toc38438323"/>
      <w:bookmarkStart w:id="1882" w:name="_Toc38438660"/>
      <w:bookmarkStart w:id="1883" w:name="_Toc38438997"/>
      <w:bookmarkStart w:id="1884" w:name="_Toc38439334"/>
      <w:bookmarkStart w:id="1885" w:name="_Toc38439671"/>
      <w:bookmarkStart w:id="1886" w:name="_Toc38440008"/>
      <w:bookmarkStart w:id="1887" w:name="_Toc38440345"/>
      <w:bookmarkStart w:id="1888" w:name="_Toc38440678"/>
      <w:bookmarkStart w:id="1889" w:name="_Toc38440877"/>
      <w:bookmarkStart w:id="1890" w:name="_Toc38441209"/>
      <w:bookmarkStart w:id="1891" w:name="_Toc38441541"/>
      <w:bookmarkStart w:id="1892" w:name="_Toc38441869"/>
      <w:bookmarkStart w:id="1893" w:name="_Toc38442201"/>
      <w:bookmarkStart w:id="1894" w:name="_Toc38442533"/>
      <w:bookmarkStart w:id="1895" w:name="_Toc38442864"/>
      <w:bookmarkStart w:id="1896" w:name="_Toc38443195"/>
      <w:bookmarkStart w:id="1897" w:name="_Toc38443526"/>
      <w:bookmarkStart w:id="1898" w:name="_Toc38443857"/>
      <w:bookmarkStart w:id="1899" w:name="_Toc38438324"/>
      <w:bookmarkStart w:id="1900" w:name="_Toc38438661"/>
      <w:bookmarkStart w:id="1901" w:name="_Toc38438998"/>
      <w:bookmarkStart w:id="1902" w:name="_Toc38439335"/>
      <w:bookmarkStart w:id="1903" w:name="_Toc38439672"/>
      <w:bookmarkStart w:id="1904" w:name="_Toc38440009"/>
      <w:bookmarkStart w:id="1905" w:name="_Toc38440346"/>
      <w:bookmarkStart w:id="1906" w:name="_Toc38440679"/>
      <w:bookmarkStart w:id="1907" w:name="_Toc38440878"/>
      <w:bookmarkStart w:id="1908" w:name="_Toc38441210"/>
      <w:bookmarkStart w:id="1909" w:name="_Toc38441542"/>
      <w:bookmarkStart w:id="1910" w:name="_Toc38441870"/>
      <w:bookmarkStart w:id="1911" w:name="_Toc38442202"/>
      <w:bookmarkStart w:id="1912" w:name="_Toc38442534"/>
      <w:bookmarkStart w:id="1913" w:name="_Toc38442865"/>
      <w:bookmarkStart w:id="1914" w:name="_Toc38443196"/>
      <w:bookmarkStart w:id="1915" w:name="_Toc38443527"/>
      <w:bookmarkStart w:id="1916" w:name="_Toc38443858"/>
      <w:bookmarkStart w:id="1917" w:name="_Toc38438325"/>
      <w:bookmarkStart w:id="1918" w:name="_Toc38438662"/>
      <w:bookmarkStart w:id="1919" w:name="_Toc38438999"/>
      <w:bookmarkStart w:id="1920" w:name="_Toc38439336"/>
      <w:bookmarkStart w:id="1921" w:name="_Toc38439673"/>
      <w:bookmarkStart w:id="1922" w:name="_Toc38440010"/>
      <w:bookmarkStart w:id="1923" w:name="_Toc38440347"/>
      <w:bookmarkStart w:id="1924" w:name="_Toc38440879"/>
      <w:bookmarkStart w:id="1925" w:name="_Toc38441211"/>
      <w:bookmarkStart w:id="1926" w:name="_Toc38441543"/>
      <w:bookmarkStart w:id="1927" w:name="_Toc38441871"/>
      <w:bookmarkStart w:id="1928" w:name="_Toc38442203"/>
      <w:bookmarkStart w:id="1929" w:name="_Toc38442535"/>
      <w:bookmarkStart w:id="1930" w:name="_Toc38442866"/>
      <w:bookmarkStart w:id="1931" w:name="_Toc38443197"/>
      <w:bookmarkStart w:id="1932" w:name="_Toc38443528"/>
      <w:bookmarkStart w:id="1933" w:name="_Toc38443859"/>
      <w:bookmarkStart w:id="1934" w:name="_Toc38438326"/>
      <w:bookmarkStart w:id="1935" w:name="_Toc38438663"/>
      <w:bookmarkStart w:id="1936" w:name="_Toc38439000"/>
      <w:bookmarkStart w:id="1937" w:name="_Toc38439337"/>
      <w:bookmarkStart w:id="1938" w:name="_Toc38439674"/>
      <w:bookmarkStart w:id="1939" w:name="_Toc38440011"/>
      <w:bookmarkStart w:id="1940" w:name="_Toc38440348"/>
      <w:bookmarkStart w:id="1941" w:name="_Toc38440880"/>
      <w:bookmarkStart w:id="1942" w:name="_Toc38441212"/>
      <w:bookmarkStart w:id="1943" w:name="_Toc38441544"/>
      <w:bookmarkStart w:id="1944" w:name="_Toc38441872"/>
      <w:bookmarkStart w:id="1945" w:name="_Toc38442204"/>
      <w:bookmarkStart w:id="1946" w:name="_Toc38442536"/>
      <w:bookmarkStart w:id="1947" w:name="_Toc38442867"/>
      <w:bookmarkStart w:id="1948" w:name="_Toc38443198"/>
      <w:bookmarkStart w:id="1949" w:name="_Toc38443529"/>
      <w:bookmarkStart w:id="1950" w:name="_Toc38443860"/>
      <w:bookmarkStart w:id="1951" w:name="_Toc38438327"/>
      <w:bookmarkStart w:id="1952" w:name="_Toc38438664"/>
      <w:bookmarkStart w:id="1953" w:name="_Toc38439001"/>
      <w:bookmarkStart w:id="1954" w:name="_Toc38439338"/>
      <w:bookmarkStart w:id="1955" w:name="_Toc38439675"/>
      <w:bookmarkStart w:id="1956" w:name="_Toc38440012"/>
      <w:bookmarkStart w:id="1957" w:name="_Toc38440349"/>
      <w:bookmarkStart w:id="1958" w:name="_Toc38440881"/>
      <w:bookmarkStart w:id="1959" w:name="_Toc38441213"/>
      <w:bookmarkStart w:id="1960" w:name="_Toc38441545"/>
      <w:bookmarkStart w:id="1961" w:name="_Toc38441873"/>
      <w:bookmarkStart w:id="1962" w:name="_Toc38442205"/>
      <w:bookmarkStart w:id="1963" w:name="_Toc38442537"/>
      <w:bookmarkStart w:id="1964" w:name="_Toc38442868"/>
      <w:bookmarkStart w:id="1965" w:name="_Toc38443199"/>
      <w:bookmarkStart w:id="1966" w:name="_Toc38443530"/>
      <w:bookmarkStart w:id="1967" w:name="_Toc38443861"/>
      <w:bookmarkStart w:id="1968" w:name="_Toc38438328"/>
      <w:bookmarkStart w:id="1969" w:name="_Toc38438665"/>
      <w:bookmarkStart w:id="1970" w:name="_Toc38439002"/>
      <w:bookmarkStart w:id="1971" w:name="_Toc38439339"/>
      <w:bookmarkStart w:id="1972" w:name="_Toc38439676"/>
      <w:bookmarkStart w:id="1973" w:name="_Toc38440013"/>
      <w:bookmarkStart w:id="1974" w:name="_Toc38440350"/>
      <w:bookmarkStart w:id="1975" w:name="_Toc38440882"/>
      <w:bookmarkStart w:id="1976" w:name="_Toc38441214"/>
      <w:bookmarkStart w:id="1977" w:name="_Toc38441546"/>
      <w:bookmarkStart w:id="1978" w:name="_Toc38441874"/>
      <w:bookmarkStart w:id="1979" w:name="_Toc38442206"/>
      <w:bookmarkStart w:id="1980" w:name="_Toc38442538"/>
      <w:bookmarkStart w:id="1981" w:name="_Toc38442869"/>
      <w:bookmarkStart w:id="1982" w:name="_Toc38443200"/>
      <w:bookmarkStart w:id="1983" w:name="_Toc38443531"/>
      <w:bookmarkStart w:id="1984" w:name="_Toc38443862"/>
      <w:bookmarkStart w:id="1985" w:name="_Toc38438329"/>
      <w:bookmarkStart w:id="1986" w:name="_Toc38438666"/>
      <w:bookmarkStart w:id="1987" w:name="_Toc38439003"/>
      <w:bookmarkStart w:id="1988" w:name="_Toc38439340"/>
      <w:bookmarkStart w:id="1989" w:name="_Toc38439677"/>
      <w:bookmarkStart w:id="1990" w:name="_Toc38440014"/>
      <w:bookmarkStart w:id="1991" w:name="_Toc38440351"/>
      <w:bookmarkStart w:id="1992" w:name="_Toc38440883"/>
      <w:bookmarkStart w:id="1993" w:name="_Toc38441215"/>
      <w:bookmarkStart w:id="1994" w:name="_Toc38441547"/>
      <w:bookmarkStart w:id="1995" w:name="_Toc38441875"/>
      <w:bookmarkStart w:id="1996" w:name="_Toc38442207"/>
      <w:bookmarkStart w:id="1997" w:name="_Toc38442539"/>
      <w:bookmarkStart w:id="1998" w:name="_Toc38442870"/>
      <w:bookmarkStart w:id="1999" w:name="_Toc38443201"/>
      <w:bookmarkStart w:id="2000" w:name="_Toc38443532"/>
      <w:bookmarkStart w:id="2001" w:name="_Toc38443863"/>
      <w:bookmarkStart w:id="2002" w:name="_Toc38438330"/>
      <w:bookmarkStart w:id="2003" w:name="_Toc38438667"/>
      <w:bookmarkStart w:id="2004" w:name="_Toc38439004"/>
      <w:bookmarkStart w:id="2005" w:name="_Toc38439341"/>
      <w:bookmarkStart w:id="2006" w:name="_Toc38439678"/>
      <w:bookmarkStart w:id="2007" w:name="_Toc38440015"/>
      <w:bookmarkStart w:id="2008" w:name="_Toc38440352"/>
      <w:bookmarkStart w:id="2009" w:name="_Toc38440884"/>
      <w:bookmarkStart w:id="2010" w:name="_Toc38441216"/>
      <w:bookmarkStart w:id="2011" w:name="_Toc38441548"/>
      <w:bookmarkStart w:id="2012" w:name="_Toc38441876"/>
      <w:bookmarkStart w:id="2013" w:name="_Toc38442208"/>
      <w:bookmarkStart w:id="2014" w:name="_Toc38442540"/>
      <w:bookmarkStart w:id="2015" w:name="_Toc38442871"/>
      <w:bookmarkStart w:id="2016" w:name="_Toc38443202"/>
      <w:bookmarkStart w:id="2017" w:name="_Toc38443533"/>
      <w:bookmarkStart w:id="2018" w:name="_Toc38443864"/>
      <w:bookmarkStart w:id="2019" w:name="_Toc38438331"/>
      <w:bookmarkStart w:id="2020" w:name="_Toc38438668"/>
      <w:bookmarkStart w:id="2021" w:name="_Toc38439005"/>
      <w:bookmarkStart w:id="2022" w:name="_Toc38439342"/>
      <w:bookmarkStart w:id="2023" w:name="_Toc38439679"/>
      <w:bookmarkStart w:id="2024" w:name="_Toc38440016"/>
      <w:bookmarkStart w:id="2025" w:name="_Toc38440353"/>
      <w:bookmarkStart w:id="2026" w:name="_Toc38440885"/>
      <w:bookmarkStart w:id="2027" w:name="_Toc38441217"/>
      <w:bookmarkStart w:id="2028" w:name="_Toc38441549"/>
      <w:bookmarkStart w:id="2029" w:name="_Toc38441877"/>
      <w:bookmarkStart w:id="2030" w:name="_Toc38442209"/>
      <w:bookmarkStart w:id="2031" w:name="_Toc38442541"/>
      <w:bookmarkStart w:id="2032" w:name="_Toc38442872"/>
      <w:bookmarkStart w:id="2033" w:name="_Toc38443203"/>
      <w:bookmarkStart w:id="2034" w:name="_Toc38443534"/>
      <w:bookmarkStart w:id="2035" w:name="_Toc38443865"/>
      <w:bookmarkStart w:id="2036" w:name="_Toc38438332"/>
      <w:bookmarkStart w:id="2037" w:name="_Toc38438669"/>
      <w:bookmarkStart w:id="2038" w:name="_Toc38439006"/>
      <w:bookmarkStart w:id="2039" w:name="_Toc38439343"/>
      <w:bookmarkStart w:id="2040" w:name="_Toc38439680"/>
      <w:bookmarkStart w:id="2041" w:name="_Toc38440017"/>
      <w:bookmarkStart w:id="2042" w:name="_Toc38440354"/>
      <w:bookmarkStart w:id="2043" w:name="_Toc38440886"/>
      <w:bookmarkStart w:id="2044" w:name="_Toc38441218"/>
      <w:bookmarkStart w:id="2045" w:name="_Toc38441550"/>
      <w:bookmarkStart w:id="2046" w:name="_Toc38441878"/>
      <w:bookmarkStart w:id="2047" w:name="_Toc38442210"/>
      <w:bookmarkStart w:id="2048" w:name="_Toc38442542"/>
      <w:bookmarkStart w:id="2049" w:name="_Toc38442873"/>
      <w:bookmarkStart w:id="2050" w:name="_Toc38443204"/>
      <w:bookmarkStart w:id="2051" w:name="_Toc38443535"/>
      <w:bookmarkStart w:id="2052" w:name="_Toc38443866"/>
      <w:bookmarkStart w:id="2053" w:name="_Toc38438333"/>
      <w:bookmarkStart w:id="2054" w:name="_Toc38438670"/>
      <w:bookmarkStart w:id="2055" w:name="_Toc38439007"/>
      <w:bookmarkStart w:id="2056" w:name="_Toc38439344"/>
      <w:bookmarkStart w:id="2057" w:name="_Toc38439681"/>
      <w:bookmarkStart w:id="2058" w:name="_Toc38440018"/>
      <w:bookmarkStart w:id="2059" w:name="_Toc38440355"/>
      <w:bookmarkStart w:id="2060" w:name="_Toc38440887"/>
      <w:bookmarkStart w:id="2061" w:name="_Toc38441219"/>
      <w:bookmarkStart w:id="2062" w:name="_Toc38441551"/>
      <w:bookmarkStart w:id="2063" w:name="_Toc38441879"/>
      <w:bookmarkStart w:id="2064" w:name="_Toc38442211"/>
      <w:bookmarkStart w:id="2065" w:name="_Toc38442543"/>
      <w:bookmarkStart w:id="2066" w:name="_Toc38442874"/>
      <w:bookmarkStart w:id="2067" w:name="_Toc38443205"/>
      <w:bookmarkStart w:id="2068" w:name="_Toc38443536"/>
      <w:bookmarkStart w:id="2069" w:name="_Toc38443867"/>
      <w:bookmarkStart w:id="2070" w:name="_Toc38438334"/>
      <w:bookmarkStart w:id="2071" w:name="_Toc38438671"/>
      <w:bookmarkStart w:id="2072" w:name="_Toc38439008"/>
      <w:bookmarkStart w:id="2073" w:name="_Toc38439345"/>
      <w:bookmarkStart w:id="2074" w:name="_Toc38439682"/>
      <w:bookmarkStart w:id="2075" w:name="_Toc38440019"/>
      <w:bookmarkStart w:id="2076" w:name="_Toc38440356"/>
      <w:bookmarkStart w:id="2077" w:name="_Toc38440888"/>
      <w:bookmarkStart w:id="2078" w:name="_Toc38441220"/>
      <w:bookmarkStart w:id="2079" w:name="_Toc38441552"/>
      <w:bookmarkStart w:id="2080" w:name="_Toc38441880"/>
      <w:bookmarkStart w:id="2081" w:name="_Toc38442212"/>
      <w:bookmarkStart w:id="2082" w:name="_Toc38442544"/>
      <w:bookmarkStart w:id="2083" w:name="_Toc38442875"/>
      <w:bookmarkStart w:id="2084" w:name="_Toc38443206"/>
      <w:bookmarkStart w:id="2085" w:name="_Toc38443537"/>
      <w:bookmarkStart w:id="2086" w:name="_Toc38443868"/>
      <w:bookmarkStart w:id="2087" w:name="_Toc38438335"/>
      <w:bookmarkStart w:id="2088" w:name="_Toc38438672"/>
      <w:bookmarkStart w:id="2089" w:name="_Toc38439009"/>
      <w:bookmarkStart w:id="2090" w:name="_Toc38439346"/>
      <w:bookmarkStart w:id="2091" w:name="_Toc38439683"/>
      <w:bookmarkStart w:id="2092" w:name="_Toc38440020"/>
      <w:bookmarkStart w:id="2093" w:name="_Toc38440357"/>
      <w:bookmarkStart w:id="2094" w:name="_Toc38440889"/>
      <w:bookmarkStart w:id="2095" w:name="_Toc38441221"/>
      <w:bookmarkStart w:id="2096" w:name="_Toc38441553"/>
      <w:bookmarkStart w:id="2097" w:name="_Toc38441881"/>
      <w:bookmarkStart w:id="2098" w:name="_Toc38442213"/>
      <w:bookmarkStart w:id="2099" w:name="_Toc38442545"/>
      <w:bookmarkStart w:id="2100" w:name="_Toc38442876"/>
      <w:bookmarkStart w:id="2101" w:name="_Toc38443207"/>
      <w:bookmarkStart w:id="2102" w:name="_Toc38443538"/>
      <w:bookmarkStart w:id="2103" w:name="_Toc38443869"/>
      <w:bookmarkStart w:id="2104" w:name="_Toc38438336"/>
      <w:bookmarkStart w:id="2105" w:name="_Toc38438673"/>
      <w:bookmarkStart w:id="2106" w:name="_Toc38439010"/>
      <w:bookmarkStart w:id="2107" w:name="_Toc38439347"/>
      <w:bookmarkStart w:id="2108" w:name="_Toc38439684"/>
      <w:bookmarkStart w:id="2109" w:name="_Toc38440021"/>
      <w:bookmarkStart w:id="2110" w:name="_Toc38440358"/>
      <w:bookmarkStart w:id="2111" w:name="_Toc38440890"/>
      <w:bookmarkStart w:id="2112" w:name="_Toc38441222"/>
      <w:bookmarkStart w:id="2113" w:name="_Toc38441554"/>
      <w:bookmarkStart w:id="2114" w:name="_Toc38441882"/>
      <w:bookmarkStart w:id="2115" w:name="_Toc38442214"/>
      <w:bookmarkStart w:id="2116" w:name="_Toc38442546"/>
      <w:bookmarkStart w:id="2117" w:name="_Toc38442877"/>
      <w:bookmarkStart w:id="2118" w:name="_Toc38443208"/>
      <w:bookmarkStart w:id="2119" w:name="_Toc38443539"/>
      <w:bookmarkStart w:id="2120" w:name="_Toc38443870"/>
      <w:bookmarkStart w:id="2121" w:name="_Toc38438337"/>
      <w:bookmarkStart w:id="2122" w:name="_Toc38438674"/>
      <w:bookmarkStart w:id="2123" w:name="_Toc38439011"/>
      <w:bookmarkStart w:id="2124" w:name="_Toc38439348"/>
      <w:bookmarkStart w:id="2125" w:name="_Toc38439685"/>
      <w:bookmarkStart w:id="2126" w:name="_Toc38440022"/>
      <w:bookmarkStart w:id="2127" w:name="_Toc38440359"/>
      <w:bookmarkStart w:id="2128" w:name="_Toc38440891"/>
      <w:bookmarkStart w:id="2129" w:name="_Toc38441223"/>
      <w:bookmarkStart w:id="2130" w:name="_Toc38441555"/>
      <w:bookmarkStart w:id="2131" w:name="_Toc38441883"/>
      <w:bookmarkStart w:id="2132" w:name="_Toc38442215"/>
      <w:bookmarkStart w:id="2133" w:name="_Toc38442547"/>
      <w:bookmarkStart w:id="2134" w:name="_Toc38442878"/>
      <w:bookmarkStart w:id="2135" w:name="_Toc38443209"/>
      <w:bookmarkStart w:id="2136" w:name="_Toc38443540"/>
      <w:bookmarkStart w:id="2137" w:name="_Toc38443871"/>
      <w:bookmarkStart w:id="2138" w:name="_Toc38438338"/>
      <w:bookmarkStart w:id="2139" w:name="_Toc38438675"/>
      <w:bookmarkStart w:id="2140" w:name="_Toc38439012"/>
      <w:bookmarkStart w:id="2141" w:name="_Toc38439349"/>
      <w:bookmarkStart w:id="2142" w:name="_Toc38439686"/>
      <w:bookmarkStart w:id="2143" w:name="_Toc38440023"/>
      <w:bookmarkStart w:id="2144" w:name="_Toc38440360"/>
      <w:bookmarkStart w:id="2145" w:name="_Toc38440892"/>
      <w:bookmarkStart w:id="2146" w:name="_Toc38441224"/>
      <w:bookmarkStart w:id="2147" w:name="_Toc38441556"/>
      <w:bookmarkStart w:id="2148" w:name="_Toc38441884"/>
      <w:bookmarkStart w:id="2149" w:name="_Toc38442216"/>
      <w:bookmarkStart w:id="2150" w:name="_Toc38442548"/>
      <w:bookmarkStart w:id="2151" w:name="_Toc38442879"/>
      <w:bookmarkStart w:id="2152" w:name="_Toc38443210"/>
      <w:bookmarkStart w:id="2153" w:name="_Toc38443541"/>
      <w:bookmarkStart w:id="2154" w:name="_Toc38443872"/>
      <w:bookmarkStart w:id="2155" w:name="_Toc38438339"/>
      <w:bookmarkStart w:id="2156" w:name="_Toc38438676"/>
      <w:bookmarkStart w:id="2157" w:name="_Toc38439013"/>
      <w:bookmarkStart w:id="2158" w:name="_Toc38439350"/>
      <w:bookmarkStart w:id="2159" w:name="_Toc38439687"/>
      <w:bookmarkStart w:id="2160" w:name="_Toc38440024"/>
      <w:bookmarkStart w:id="2161" w:name="_Toc38440361"/>
      <w:bookmarkStart w:id="2162" w:name="_Toc38440893"/>
      <w:bookmarkStart w:id="2163" w:name="_Toc38441225"/>
      <w:bookmarkStart w:id="2164" w:name="_Toc38441557"/>
      <w:bookmarkStart w:id="2165" w:name="_Toc38441885"/>
      <w:bookmarkStart w:id="2166" w:name="_Toc38442217"/>
      <w:bookmarkStart w:id="2167" w:name="_Toc38442549"/>
      <w:bookmarkStart w:id="2168" w:name="_Toc38442880"/>
      <w:bookmarkStart w:id="2169" w:name="_Toc38443211"/>
      <w:bookmarkStart w:id="2170" w:name="_Toc38443542"/>
      <w:bookmarkStart w:id="2171" w:name="_Toc38443873"/>
      <w:bookmarkStart w:id="2172" w:name="_Toc38438340"/>
      <w:bookmarkStart w:id="2173" w:name="_Toc38438677"/>
      <w:bookmarkStart w:id="2174" w:name="_Toc38439014"/>
      <w:bookmarkStart w:id="2175" w:name="_Toc38439351"/>
      <w:bookmarkStart w:id="2176" w:name="_Toc38439688"/>
      <w:bookmarkStart w:id="2177" w:name="_Toc38440025"/>
      <w:bookmarkStart w:id="2178" w:name="_Toc38440362"/>
      <w:bookmarkStart w:id="2179" w:name="_Toc38440894"/>
      <w:bookmarkStart w:id="2180" w:name="_Toc38441226"/>
      <w:bookmarkStart w:id="2181" w:name="_Toc38441558"/>
      <w:bookmarkStart w:id="2182" w:name="_Toc38441886"/>
      <w:bookmarkStart w:id="2183" w:name="_Toc38442218"/>
      <w:bookmarkStart w:id="2184" w:name="_Toc38442550"/>
      <w:bookmarkStart w:id="2185" w:name="_Toc38442881"/>
      <w:bookmarkStart w:id="2186" w:name="_Toc38443212"/>
      <w:bookmarkStart w:id="2187" w:name="_Toc38443543"/>
      <w:bookmarkStart w:id="2188" w:name="_Toc38443874"/>
      <w:bookmarkStart w:id="2189" w:name="_Toc38438341"/>
      <w:bookmarkStart w:id="2190" w:name="_Toc38438678"/>
      <w:bookmarkStart w:id="2191" w:name="_Toc38439015"/>
      <w:bookmarkStart w:id="2192" w:name="_Toc38439352"/>
      <w:bookmarkStart w:id="2193" w:name="_Toc38439689"/>
      <w:bookmarkStart w:id="2194" w:name="_Toc38440026"/>
      <w:bookmarkStart w:id="2195" w:name="_Toc38440363"/>
      <w:bookmarkStart w:id="2196" w:name="_Toc38440895"/>
      <w:bookmarkStart w:id="2197" w:name="_Toc38441227"/>
      <w:bookmarkStart w:id="2198" w:name="_Toc38441559"/>
      <w:bookmarkStart w:id="2199" w:name="_Toc38441887"/>
      <w:bookmarkStart w:id="2200" w:name="_Toc38442219"/>
      <w:bookmarkStart w:id="2201" w:name="_Toc38442551"/>
      <w:bookmarkStart w:id="2202" w:name="_Toc38442882"/>
      <w:bookmarkStart w:id="2203" w:name="_Toc38443213"/>
      <w:bookmarkStart w:id="2204" w:name="_Toc38443544"/>
      <w:bookmarkStart w:id="2205" w:name="_Toc38443875"/>
      <w:bookmarkStart w:id="2206" w:name="_Toc38438342"/>
      <w:bookmarkStart w:id="2207" w:name="_Toc38438679"/>
      <w:bookmarkStart w:id="2208" w:name="_Toc38439016"/>
      <w:bookmarkStart w:id="2209" w:name="_Toc38439353"/>
      <w:bookmarkStart w:id="2210" w:name="_Toc38439690"/>
      <w:bookmarkStart w:id="2211" w:name="_Toc38440027"/>
      <w:bookmarkStart w:id="2212" w:name="_Toc38440364"/>
      <w:bookmarkStart w:id="2213" w:name="_Toc38440896"/>
      <w:bookmarkStart w:id="2214" w:name="_Toc38441228"/>
      <w:bookmarkStart w:id="2215" w:name="_Toc38441560"/>
      <w:bookmarkStart w:id="2216" w:name="_Toc38441888"/>
      <w:bookmarkStart w:id="2217" w:name="_Toc38442220"/>
      <w:bookmarkStart w:id="2218" w:name="_Toc38442552"/>
      <w:bookmarkStart w:id="2219" w:name="_Toc38442883"/>
      <w:bookmarkStart w:id="2220" w:name="_Toc38443214"/>
      <w:bookmarkStart w:id="2221" w:name="_Toc38443545"/>
      <w:bookmarkStart w:id="2222" w:name="_Toc38443876"/>
      <w:bookmarkStart w:id="2223" w:name="_Toc38438343"/>
      <w:bookmarkStart w:id="2224" w:name="_Toc38438680"/>
      <w:bookmarkStart w:id="2225" w:name="_Toc38439017"/>
      <w:bookmarkStart w:id="2226" w:name="_Toc38439354"/>
      <w:bookmarkStart w:id="2227" w:name="_Toc38439691"/>
      <w:bookmarkStart w:id="2228" w:name="_Toc38440028"/>
      <w:bookmarkStart w:id="2229" w:name="_Toc38440365"/>
      <w:bookmarkStart w:id="2230" w:name="_Toc38440897"/>
      <w:bookmarkStart w:id="2231" w:name="_Toc38441229"/>
      <w:bookmarkStart w:id="2232" w:name="_Toc38441561"/>
      <w:bookmarkStart w:id="2233" w:name="_Toc38441889"/>
      <w:bookmarkStart w:id="2234" w:name="_Toc38442221"/>
      <w:bookmarkStart w:id="2235" w:name="_Toc38442553"/>
      <w:bookmarkStart w:id="2236" w:name="_Toc38442884"/>
      <w:bookmarkStart w:id="2237" w:name="_Toc38443215"/>
      <w:bookmarkStart w:id="2238" w:name="_Toc38443546"/>
      <w:bookmarkStart w:id="2239" w:name="_Toc38443877"/>
      <w:bookmarkStart w:id="2240" w:name="_Toc83904218"/>
      <w:bookmarkEnd w:id="1138"/>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r w:rsidRPr="00C664D3">
        <w:rPr>
          <w:rFonts w:asciiTheme="minorEastAsia" w:eastAsiaTheme="minorEastAsia" w:hAnsiTheme="minorEastAsia"/>
          <w:color w:val="000000" w:themeColor="text1"/>
        </w:rPr>
        <w:lastRenderedPageBreak/>
        <w:t>其他应披露事项</w:t>
      </w:r>
      <w:bookmarkEnd w:id="2240"/>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559"/>
      </w:tblGrid>
      <w:tr w:rsidR="00FB69A7" w:rsidRPr="00C664D3" w:rsidTr="00BE4851">
        <w:trPr>
          <w:trHeight w:val="765"/>
        </w:trPr>
        <w:tc>
          <w:tcPr>
            <w:tcW w:w="5920" w:type="dxa"/>
            <w:tcBorders>
              <w:top w:val="single" w:sz="4" w:space="0" w:color="auto"/>
              <w:left w:val="single" w:sz="4" w:space="0" w:color="auto"/>
              <w:bottom w:val="single" w:sz="4" w:space="0" w:color="auto"/>
              <w:right w:val="single" w:sz="4" w:space="0" w:color="auto"/>
            </w:tcBorders>
            <w:vAlign w:val="center"/>
            <w:hideMark/>
          </w:tcPr>
          <w:p w:rsidR="00F32E31" w:rsidRPr="00C664D3" w:rsidRDefault="00144C72" w:rsidP="00160570">
            <w:pPr>
              <w:spacing w:line="360" w:lineRule="auto"/>
              <w:ind w:firstLineChars="200" w:firstLine="420"/>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公告事项</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2E31" w:rsidRPr="00C664D3" w:rsidRDefault="00144C72" w:rsidP="00F32E31">
            <w:pPr>
              <w:spacing w:line="360" w:lineRule="auto"/>
              <w:jc w:val="center"/>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披露日期</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易方达基金管理有限公司高级管理人员变更公告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2020-09-19</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易方达基金管理有限公司高级管理人员变更公告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2020-09-30</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易方达基金管理有限公司旗下基金2020年第3季度报告提示性公告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2020-10-28</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易方达基金管理有限公司关于设立深圳分公司的公告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2020-10-28</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易方达基金管理有限公司旗下部分开放式基金增加江苏银行为销售机构的公告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2020-11-18</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易方达标普信息科技指数证券投资基金（LOF）2020年11月26日暂停申购、赎回、定期定额投资业务的公告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2020-11-23</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易方达基金管理有限公司旗下部分开放式基金增加中国人寿为销售机构的公告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2020-12-08</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关于警惕冒用易方达基金管理有限公司名义进行诈骗活动的特别提示公告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2020-12-10</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易方达基金管理有限公司高级管理人员变更公告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2020-12-12</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易方达标普信息科技指数证券投资基金（LOF）2020年12月25日暂停申购、赎回、定期定额投资业务的公告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2020-12-22</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易方达标普信息科技指数证券投资基金（LOF）恢复大额申购业务的公告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2021-01-05</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易方达标普信息科技指数证券投资基金（LOF）2021年1月18日暂停申购、赎回及定期定额投资业务的公告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2021-01-13</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易方达基金管理有限公司旗下基金2020年第4季度报告提示性公告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2021-01-21</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易方达基金管理有限公司高级管理人员变更公告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2021-01-23</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易方达基金管理有限公司旗下部分开放式基金增加中欧财富为销售机构的公告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2021-03-16</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易方达基金管理有限公司关于旗下部分基金根据《公开募集证券投资基金运作指引第3号——指数基金指引》修改基金合同部分条款的公告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2021-03-30</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易方达基金管理有限公司旗下基金2020年年度报告提示性公告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2021-03-30</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易方达标普信息科技指数证券投资基金（LOF）2021年4月2日暂停申购、赎回及定期定额投资业务的公告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2021-03-30</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易方达基金管理有限公司关于提醒投资者及时提供或更新身份信息资料的公告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2021-04-02</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易方达基金管理有限公司旗下基金2021年第1季度报告提示性公告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2021-04-19</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易方达标普信息科技指数证券投资基金（LOF）2021年5月31日暂停申购、赎回及定期定额投资业务的公告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2021-05-26</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易方达标普信息科技指数证券投资基金（LOF）暂停大额申购</w:t>
            </w:r>
            <w:r w:rsidRPr="00C664D3">
              <w:rPr>
                <w:rFonts w:asciiTheme="minorEastAsia" w:eastAsiaTheme="minorEastAsia" w:hAnsiTheme="minorEastAsia"/>
                <w:color w:val="000000" w:themeColor="text1"/>
              </w:rPr>
              <w:lastRenderedPageBreak/>
              <w:t>业务的公告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lastRenderedPageBreak/>
              <w:t>2021-05-27</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易方达标普信息科技指数证券投资基金（LOF）恢复大额申购业务的公告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2021-06-04</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易方达标普信息科技指数证券投资基金（LOF）2021年7月5日暂停申购、赎回及定期定额投资业务的公告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2021-06-30</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易方达基金管理有限公司高级管理人员变更公告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2021-07-17</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易方达标普信息科技指数证券投资基金（LOF）之C类人民币份额、C类美元份额开放日常申购、赎回和定期定额投资业务的公告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2021-07-20</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易方达基金管理有限公司关于易方达标普信息科技指数证券投资基金（LOF）增设C类基金份额并修订基金合同、托管协议的公告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2021-07-20</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易方达基金管理有限公司旗下基金2021年第2季度报告提示性公告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2021-07-20</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易方达基金管理有限公司高级管理人员变更公告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2021-07-24</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易方达基金管理有限公司高级管理人员变更公告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2021-07-24</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易方达基金管理有限公司关于南京分公司营业场所变更的公告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2021-07-28</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易方达基金管理有限公司高级管理人员变更公告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2021-07-30</w:t>
            </w:r>
          </w:p>
        </w:tc>
      </w:tr>
      <w:tr w:rsidR="00FC5AE6" w:rsidRPr="00C664D3">
        <w:tc>
          <w:tcPr>
            <w:tcW w:w="5920" w:type="dxa"/>
          </w:tcPr>
          <w:p w:rsidR="00FC5AE6" w:rsidRPr="00C664D3" w:rsidRDefault="00F94555">
            <w:pPr>
              <w:jc w:val="lef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易方达标普信息科技指数证券投资基金（LOF）暂停大额申购业务的公告</w:t>
            </w:r>
          </w:p>
        </w:tc>
        <w:tc>
          <w:tcPr>
            <w:tcW w:w="1559" w:type="dxa"/>
          </w:tcPr>
          <w:p w:rsidR="00FC5AE6" w:rsidRPr="00C664D3" w:rsidRDefault="00F94555">
            <w:pPr>
              <w:jc w:val="center"/>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2021-08-03</w:t>
            </w:r>
          </w:p>
        </w:tc>
      </w:tr>
    </w:tbl>
    <w:p w:rsidR="00E169DB" w:rsidRPr="00C664D3" w:rsidRDefault="001E3BA2" w:rsidP="00AB77C1">
      <w:pPr>
        <w:spacing w:line="360" w:lineRule="auto"/>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注：以上公告事项披露在规定媒介及基金管理人网站上。</w:t>
      </w:r>
    </w:p>
    <w:p w:rsidR="00A1091C" w:rsidRPr="00C664D3" w:rsidRDefault="00A1091C" w:rsidP="00AB77C1">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2241" w:name="_Toc38438350"/>
      <w:bookmarkStart w:id="2242" w:name="_Toc38438687"/>
      <w:bookmarkStart w:id="2243" w:name="_Toc38439024"/>
      <w:bookmarkStart w:id="2244" w:name="_Toc38439361"/>
      <w:bookmarkStart w:id="2245" w:name="_Toc38439698"/>
      <w:bookmarkStart w:id="2246" w:name="_Toc38440035"/>
      <w:bookmarkStart w:id="2247" w:name="_Toc38440372"/>
      <w:bookmarkStart w:id="2248" w:name="_Toc38440904"/>
      <w:bookmarkStart w:id="2249" w:name="_Toc38441236"/>
      <w:bookmarkStart w:id="2250" w:name="_Toc38441568"/>
      <w:bookmarkStart w:id="2251" w:name="_Toc38441896"/>
      <w:bookmarkStart w:id="2252" w:name="_Toc38442228"/>
      <w:bookmarkStart w:id="2253" w:name="_Toc38442560"/>
      <w:bookmarkStart w:id="2254" w:name="_Toc38442891"/>
      <w:bookmarkStart w:id="2255" w:name="_Toc38443222"/>
      <w:bookmarkStart w:id="2256" w:name="_Toc38443553"/>
      <w:bookmarkStart w:id="2257" w:name="_Toc38443883"/>
      <w:bookmarkStart w:id="2258" w:name="_Toc38438351"/>
      <w:bookmarkStart w:id="2259" w:name="_Toc38438688"/>
      <w:bookmarkStart w:id="2260" w:name="_Toc38439025"/>
      <w:bookmarkStart w:id="2261" w:name="_Toc38439362"/>
      <w:bookmarkStart w:id="2262" w:name="_Toc38439699"/>
      <w:bookmarkStart w:id="2263" w:name="_Toc38440036"/>
      <w:bookmarkStart w:id="2264" w:name="_Toc38440373"/>
      <w:bookmarkStart w:id="2265" w:name="_Toc38440905"/>
      <w:bookmarkStart w:id="2266" w:name="_Toc38441237"/>
      <w:bookmarkStart w:id="2267" w:name="_Toc38441569"/>
      <w:bookmarkStart w:id="2268" w:name="_Toc38441897"/>
      <w:bookmarkStart w:id="2269" w:name="_Toc38442229"/>
      <w:bookmarkStart w:id="2270" w:name="_Toc38442561"/>
      <w:bookmarkStart w:id="2271" w:name="_Toc38442892"/>
      <w:bookmarkStart w:id="2272" w:name="_Toc38443223"/>
      <w:bookmarkStart w:id="2273" w:name="_Toc38443554"/>
      <w:bookmarkStart w:id="2274" w:name="_Toc38443884"/>
      <w:bookmarkStart w:id="2275" w:name="_Toc38438352"/>
      <w:bookmarkStart w:id="2276" w:name="_Toc38438689"/>
      <w:bookmarkStart w:id="2277" w:name="_Toc38439026"/>
      <w:bookmarkStart w:id="2278" w:name="_Toc38439363"/>
      <w:bookmarkStart w:id="2279" w:name="_Toc38439700"/>
      <w:bookmarkStart w:id="2280" w:name="_Toc38440037"/>
      <w:bookmarkStart w:id="2281" w:name="_Toc38440374"/>
      <w:bookmarkStart w:id="2282" w:name="_Toc38440906"/>
      <w:bookmarkStart w:id="2283" w:name="_Toc38441238"/>
      <w:bookmarkStart w:id="2284" w:name="_Toc38441570"/>
      <w:bookmarkStart w:id="2285" w:name="_Toc38441898"/>
      <w:bookmarkStart w:id="2286" w:name="_Toc38442230"/>
      <w:bookmarkStart w:id="2287" w:name="_Toc38442562"/>
      <w:bookmarkStart w:id="2288" w:name="_Toc38442893"/>
      <w:bookmarkStart w:id="2289" w:name="_Toc38443224"/>
      <w:bookmarkStart w:id="2290" w:name="_Toc38443555"/>
      <w:bookmarkStart w:id="2291" w:name="_Toc38443885"/>
      <w:bookmarkStart w:id="2292" w:name="_Toc38438353"/>
      <w:bookmarkStart w:id="2293" w:name="_Toc38438690"/>
      <w:bookmarkStart w:id="2294" w:name="_Toc38439027"/>
      <w:bookmarkStart w:id="2295" w:name="_Toc38439364"/>
      <w:bookmarkStart w:id="2296" w:name="_Toc38439701"/>
      <w:bookmarkStart w:id="2297" w:name="_Toc38440038"/>
      <w:bookmarkStart w:id="2298" w:name="_Toc38440375"/>
      <w:bookmarkStart w:id="2299" w:name="_Toc38440907"/>
      <w:bookmarkStart w:id="2300" w:name="_Toc38441239"/>
      <w:bookmarkStart w:id="2301" w:name="_Toc38441571"/>
      <w:bookmarkStart w:id="2302" w:name="_Toc38441899"/>
      <w:bookmarkStart w:id="2303" w:name="_Toc38442231"/>
      <w:bookmarkStart w:id="2304" w:name="_Toc38442563"/>
      <w:bookmarkStart w:id="2305" w:name="_Toc38442894"/>
      <w:bookmarkStart w:id="2306" w:name="_Toc38443225"/>
      <w:bookmarkStart w:id="2307" w:name="_Toc38443556"/>
      <w:bookmarkStart w:id="2308" w:name="_Toc38443886"/>
      <w:bookmarkStart w:id="2309" w:name="_Toc38438354"/>
      <w:bookmarkStart w:id="2310" w:name="_Toc38438691"/>
      <w:bookmarkStart w:id="2311" w:name="_Toc38439028"/>
      <w:bookmarkStart w:id="2312" w:name="_Toc38439365"/>
      <w:bookmarkStart w:id="2313" w:name="_Toc38439702"/>
      <w:bookmarkStart w:id="2314" w:name="_Toc38440039"/>
      <w:bookmarkStart w:id="2315" w:name="_Toc38440376"/>
      <w:bookmarkStart w:id="2316" w:name="_Toc38440908"/>
      <w:bookmarkStart w:id="2317" w:name="_Toc38441240"/>
      <w:bookmarkStart w:id="2318" w:name="_Toc38441572"/>
      <w:bookmarkStart w:id="2319" w:name="_Toc38441900"/>
      <w:bookmarkStart w:id="2320" w:name="_Toc38442232"/>
      <w:bookmarkStart w:id="2321" w:name="_Toc38442564"/>
      <w:bookmarkStart w:id="2322" w:name="_Toc38442895"/>
      <w:bookmarkStart w:id="2323" w:name="_Toc38443226"/>
      <w:bookmarkStart w:id="2324" w:name="_Toc38443557"/>
      <w:bookmarkStart w:id="2325" w:name="_Toc38443887"/>
      <w:bookmarkStart w:id="2326" w:name="_Toc38438355"/>
      <w:bookmarkStart w:id="2327" w:name="_Toc38438692"/>
      <w:bookmarkStart w:id="2328" w:name="_Toc38439029"/>
      <w:bookmarkStart w:id="2329" w:name="_Toc38439366"/>
      <w:bookmarkStart w:id="2330" w:name="_Toc38439703"/>
      <w:bookmarkStart w:id="2331" w:name="_Toc38440040"/>
      <w:bookmarkStart w:id="2332" w:name="_Toc38440377"/>
      <w:bookmarkStart w:id="2333" w:name="_Toc38440909"/>
      <w:bookmarkStart w:id="2334" w:name="_Toc38441241"/>
      <w:bookmarkStart w:id="2335" w:name="_Toc38441573"/>
      <w:bookmarkStart w:id="2336" w:name="_Toc38441901"/>
      <w:bookmarkStart w:id="2337" w:name="_Toc38442233"/>
      <w:bookmarkStart w:id="2338" w:name="_Toc38442565"/>
      <w:bookmarkStart w:id="2339" w:name="_Toc38442896"/>
      <w:bookmarkStart w:id="2340" w:name="_Toc38443227"/>
      <w:bookmarkStart w:id="2341" w:name="_Toc38443558"/>
      <w:bookmarkStart w:id="2342" w:name="_Toc38443888"/>
      <w:bookmarkStart w:id="2343" w:name="_Toc38438356"/>
      <w:bookmarkStart w:id="2344" w:name="_Toc38438693"/>
      <w:bookmarkStart w:id="2345" w:name="_Toc38439030"/>
      <w:bookmarkStart w:id="2346" w:name="_Toc38439367"/>
      <w:bookmarkStart w:id="2347" w:name="_Toc38439704"/>
      <w:bookmarkStart w:id="2348" w:name="_Toc38440041"/>
      <w:bookmarkStart w:id="2349" w:name="_Toc38440378"/>
      <w:bookmarkStart w:id="2350" w:name="_Toc38440910"/>
      <w:bookmarkStart w:id="2351" w:name="_Toc38441242"/>
      <w:bookmarkStart w:id="2352" w:name="_Toc38441574"/>
      <w:bookmarkStart w:id="2353" w:name="_Toc38441902"/>
      <w:bookmarkStart w:id="2354" w:name="_Toc38442234"/>
      <w:bookmarkStart w:id="2355" w:name="_Toc38442566"/>
      <w:bookmarkStart w:id="2356" w:name="_Toc38442897"/>
      <w:bookmarkStart w:id="2357" w:name="_Toc38443228"/>
      <w:bookmarkStart w:id="2358" w:name="_Toc38443559"/>
      <w:bookmarkStart w:id="2359" w:name="_Toc38443889"/>
      <w:bookmarkStart w:id="2360" w:name="_Toc38438357"/>
      <w:bookmarkStart w:id="2361" w:name="_Toc38438694"/>
      <w:bookmarkStart w:id="2362" w:name="_Toc38439031"/>
      <w:bookmarkStart w:id="2363" w:name="_Toc38439368"/>
      <w:bookmarkStart w:id="2364" w:name="_Toc38439705"/>
      <w:bookmarkStart w:id="2365" w:name="_Toc38440042"/>
      <w:bookmarkStart w:id="2366" w:name="_Toc38440379"/>
      <w:bookmarkStart w:id="2367" w:name="_Toc38440911"/>
      <w:bookmarkStart w:id="2368" w:name="_Toc38441243"/>
      <w:bookmarkStart w:id="2369" w:name="_Toc38441575"/>
      <w:bookmarkStart w:id="2370" w:name="_Toc38441903"/>
      <w:bookmarkStart w:id="2371" w:name="_Toc38442235"/>
      <w:bookmarkStart w:id="2372" w:name="_Toc38442567"/>
      <w:bookmarkStart w:id="2373" w:name="_Toc38442898"/>
      <w:bookmarkStart w:id="2374" w:name="_Toc38443229"/>
      <w:bookmarkStart w:id="2375" w:name="_Toc38443560"/>
      <w:bookmarkStart w:id="2376" w:name="_Toc38443890"/>
      <w:bookmarkStart w:id="2377" w:name="_Toc38438358"/>
      <w:bookmarkStart w:id="2378" w:name="_Toc38438695"/>
      <w:bookmarkStart w:id="2379" w:name="_Toc38439032"/>
      <w:bookmarkStart w:id="2380" w:name="_Toc38439369"/>
      <w:bookmarkStart w:id="2381" w:name="_Toc38439706"/>
      <w:bookmarkStart w:id="2382" w:name="_Toc38440043"/>
      <w:bookmarkStart w:id="2383" w:name="_Toc38440380"/>
      <w:bookmarkStart w:id="2384" w:name="_Toc38440912"/>
      <w:bookmarkStart w:id="2385" w:name="_Toc38441244"/>
      <w:bookmarkStart w:id="2386" w:name="_Toc38441576"/>
      <w:bookmarkStart w:id="2387" w:name="_Toc38441904"/>
      <w:bookmarkStart w:id="2388" w:name="_Toc38442236"/>
      <w:bookmarkStart w:id="2389" w:name="_Toc38442568"/>
      <w:bookmarkStart w:id="2390" w:name="_Toc38442899"/>
      <w:bookmarkStart w:id="2391" w:name="_Toc38443230"/>
      <w:bookmarkStart w:id="2392" w:name="_Toc38443561"/>
      <w:bookmarkStart w:id="2393" w:name="_Toc38443891"/>
      <w:bookmarkStart w:id="2394" w:name="_Toc38438359"/>
      <w:bookmarkStart w:id="2395" w:name="_Toc38438696"/>
      <w:bookmarkStart w:id="2396" w:name="_Toc38439033"/>
      <w:bookmarkStart w:id="2397" w:name="_Toc38439370"/>
      <w:bookmarkStart w:id="2398" w:name="_Toc38439707"/>
      <w:bookmarkStart w:id="2399" w:name="_Toc38440044"/>
      <w:bookmarkStart w:id="2400" w:name="_Toc38440381"/>
      <w:bookmarkStart w:id="2401" w:name="_Toc38440913"/>
      <w:bookmarkStart w:id="2402" w:name="_Toc38441245"/>
      <w:bookmarkStart w:id="2403" w:name="_Toc38441577"/>
      <w:bookmarkStart w:id="2404" w:name="_Toc38441905"/>
      <w:bookmarkStart w:id="2405" w:name="_Toc38442237"/>
      <w:bookmarkStart w:id="2406" w:name="_Toc38442569"/>
      <w:bookmarkStart w:id="2407" w:name="_Toc38442900"/>
      <w:bookmarkStart w:id="2408" w:name="_Toc38443231"/>
      <w:bookmarkStart w:id="2409" w:name="_Toc38443562"/>
      <w:bookmarkStart w:id="2410" w:name="_Toc38443892"/>
      <w:bookmarkStart w:id="2411" w:name="_Toc38438360"/>
      <w:bookmarkStart w:id="2412" w:name="_Toc38438697"/>
      <w:bookmarkStart w:id="2413" w:name="_Toc38439034"/>
      <w:bookmarkStart w:id="2414" w:name="_Toc38439371"/>
      <w:bookmarkStart w:id="2415" w:name="_Toc38439708"/>
      <w:bookmarkStart w:id="2416" w:name="_Toc38440045"/>
      <w:bookmarkStart w:id="2417" w:name="_Toc38440382"/>
      <w:bookmarkStart w:id="2418" w:name="_Toc38440914"/>
      <w:bookmarkStart w:id="2419" w:name="_Toc38441246"/>
      <w:bookmarkStart w:id="2420" w:name="_Toc38441578"/>
      <w:bookmarkStart w:id="2421" w:name="_Toc38441906"/>
      <w:bookmarkStart w:id="2422" w:name="_Toc38442238"/>
      <w:bookmarkStart w:id="2423" w:name="_Toc38442570"/>
      <w:bookmarkStart w:id="2424" w:name="_Toc38442901"/>
      <w:bookmarkStart w:id="2425" w:name="_Toc38443232"/>
      <w:bookmarkStart w:id="2426" w:name="_Toc38443563"/>
      <w:bookmarkStart w:id="2427" w:name="_Toc38443893"/>
      <w:bookmarkStart w:id="2428" w:name="_Toc38438361"/>
      <w:bookmarkStart w:id="2429" w:name="_Toc38438698"/>
      <w:bookmarkStart w:id="2430" w:name="_Toc38439035"/>
      <w:bookmarkStart w:id="2431" w:name="_Toc38439372"/>
      <w:bookmarkStart w:id="2432" w:name="_Toc38439709"/>
      <w:bookmarkStart w:id="2433" w:name="_Toc38440046"/>
      <w:bookmarkStart w:id="2434" w:name="_Toc38440383"/>
      <w:bookmarkStart w:id="2435" w:name="_Toc38440915"/>
      <w:bookmarkStart w:id="2436" w:name="_Toc38441247"/>
      <w:bookmarkStart w:id="2437" w:name="_Toc38441579"/>
      <w:bookmarkStart w:id="2438" w:name="_Toc38441907"/>
      <w:bookmarkStart w:id="2439" w:name="_Toc38442239"/>
      <w:bookmarkStart w:id="2440" w:name="_Toc38442571"/>
      <w:bookmarkStart w:id="2441" w:name="_Toc38442902"/>
      <w:bookmarkStart w:id="2442" w:name="_Toc38443233"/>
      <w:bookmarkStart w:id="2443" w:name="_Toc38443564"/>
      <w:bookmarkStart w:id="2444" w:name="_Toc38443894"/>
      <w:bookmarkStart w:id="2445" w:name="_Toc38438362"/>
      <w:bookmarkStart w:id="2446" w:name="_Toc38438699"/>
      <w:bookmarkStart w:id="2447" w:name="_Toc38439036"/>
      <w:bookmarkStart w:id="2448" w:name="_Toc38439373"/>
      <w:bookmarkStart w:id="2449" w:name="_Toc38439710"/>
      <w:bookmarkStart w:id="2450" w:name="_Toc38440047"/>
      <w:bookmarkStart w:id="2451" w:name="_Toc38440384"/>
      <w:bookmarkStart w:id="2452" w:name="_Toc38440916"/>
      <w:bookmarkStart w:id="2453" w:name="_Toc38441248"/>
      <w:bookmarkStart w:id="2454" w:name="_Toc38441580"/>
      <w:bookmarkStart w:id="2455" w:name="_Toc38441908"/>
      <w:bookmarkStart w:id="2456" w:name="_Toc38442240"/>
      <w:bookmarkStart w:id="2457" w:name="_Toc38442572"/>
      <w:bookmarkStart w:id="2458" w:name="_Toc38442903"/>
      <w:bookmarkStart w:id="2459" w:name="_Toc38443234"/>
      <w:bookmarkStart w:id="2460" w:name="_Toc38443565"/>
      <w:bookmarkStart w:id="2461" w:name="_Toc38443895"/>
      <w:bookmarkStart w:id="2462" w:name="_Toc38438363"/>
      <w:bookmarkStart w:id="2463" w:name="_Toc38438700"/>
      <w:bookmarkStart w:id="2464" w:name="_Toc38439037"/>
      <w:bookmarkStart w:id="2465" w:name="_Toc38439374"/>
      <w:bookmarkStart w:id="2466" w:name="_Toc38439711"/>
      <w:bookmarkStart w:id="2467" w:name="_Toc38440048"/>
      <w:bookmarkStart w:id="2468" w:name="_Toc38440385"/>
      <w:bookmarkStart w:id="2469" w:name="_Toc38440917"/>
      <w:bookmarkStart w:id="2470" w:name="_Toc38441249"/>
      <w:bookmarkStart w:id="2471" w:name="_Toc38441581"/>
      <w:bookmarkStart w:id="2472" w:name="_Toc38441909"/>
      <w:bookmarkStart w:id="2473" w:name="_Toc38442241"/>
      <w:bookmarkStart w:id="2474" w:name="_Toc38442573"/>
      <w:bookmarkStart w:id="2475" w:name="_Toc38442904"/>
      <w:bookmarkStart w:id="2476" w:name="_Toc38443235"/>
      <w:bookmarkStart w:id="2477" w:name="_Toc38443566"/>
      <w:bookmarkStart w:id="2478" w:name="_Toc38443896"/>
      <w:bookmarkStart w:id="2479" w:name="_Toc38438364"/>
      <w:bookmarkStart w:id="2480" w:name="_Toc38438701"/>
      <w:bookmarkStart w:id="2481" w:name="_Toc38439038"/>
      <w:bookmarkStart w:id="2482" w:name="_Toc38439375"/>
      <w:bookmarkStart w:id="2483" w:name="_Toc38439712"/>
      <w:bookmarkStart w:id="2484" w:name="_Toc38440049"/>
      <w:bookmarkStart w:id="2485" w:name="_Toc38440386"/>
      <w:bookmarkStart w:id="2486" w:name="_Toc38440918"/>
      <w:bookmarkStart w:id="2487" w:name="_Toc38441250"/>
      <w:bookmarkStart w:id="2488" w:name="_Toc38441582"/>
      <w:bookmarkStart w:id="2489" w:name="_Toc38441910"/>
      <w:bookmarkStart w:id="2490" w:name="_Toc38442242"/>
      <w:bookmarkStart w:id="2491" w:name="_Toc38442574"/>
      <w:bookmarkStart w:id="2492" w:name="_Toc38442905"/>
      <w:bookmarkStart w:id="2493" w:name="_Toc38443236"/>
      <w:bookmarkStart w:id="2494" w:name="_Toc38443567"/>
      <w:bookmarkStart w:id="2495" w:name="_Toc38443897"/>
      <w:bookmarkStart w:id="2496" w:name="_Toc38438365"/>
      <w:bookmarkStart w:id="2497" w:name="_Toc38438702"/>
      <w:bookmarkStart w:id="2498" w:name="_Toc38439039"/>
      <w:bookmarkStart w:id="2499" w:name="_Toc38439376"/>
      <w:bookmarkStart w:id="2500" w:name="_Toc38439713"/>
      <w:bookmarkStart w:id="2501" w:name="_Toc38440050"/>
      <w:bookmarkStart w:id="2502" w:name="_Toc38440387"/>
      <w:bookmarkStart w:id="2503" w:name="_Toc38440919"/>
      <w:bookmarkStart w:id="2504" w:name="_Toc38441251"/>
      <w:bookmarkStart w:id="2505" w:name="_Toc38441583"/>
      <w:bookmarkStart w:id="2506" w:name="_Toc38441911"/>
      <w:bookmarkStart w:id="2507" w:name="_Toc38442243"/>
      <w:bookmarkStart w:id="2508" w:name="_Toc38442575"/>
      <w:bookmarkStart w:id="2509" w:name="_Toc38442906"/>
      <w:bookmarkStart w:id="2510" w:name="_Toc38443237"/>
      <w:bookmarkStart w:id="2511" w:name="_Toc38443568"/>
      <w:bookmarkStart w:id="2512" w:name="_Toc38443898"/>
      <w:bookmarkStart w:id="2513" w:name="_Toc38438366"/>
      <w:bookmarkStart w:id="2514" w:name="_Toc38438703"/>
      <w:bookmarkStart w:id="2515" w:name="_Toc38439040"/>
      <w:bookmarkStart w:id="2516" w:name="_Toc38439377"/>
      <w:bookmarkStart w:id="2517" w:name="_Toc38439714"/>
      <w:bookmarkStart w:id="2518" w:name="_Toc38440051"/>
      <w:bookmarkStart w:id="2519" w:name="_Toc38440388"/>
      <w:bookmarkStart w:id="2520" w:name="_Toc38440920"/>
      <w:bookmarkStart w:id="2521" w:name="_Toc38441252"/>
      <w:bookmarkStart w:id="2522" w:name="_Toc38441584"/>
      <w:bookmarkStart w:id="2523" w:name="_Toc38441912"/>
      <w:bookmarkStart w:id="2524" w:name="_Toc38442244"/>
      <w:bookmarkStart w:id="2525" w:name="_Toc38442576"/>
      <w:bookmarkStart w:id="2526" w:name="_Toc38442907"/>
      <w:bookmarkStart w:id="2527" w:name="_Toc38443238"/>
      <w:bookmarkStart w:id="2528" w:name="_Toc38443569"/>
      <w:bookmarkStart w:id="2529" w:name="_Toc38443899"/>
      <w:bookmarkStart w:id="2530" w:name="_Toc38438367"/>
      <w:bookmarkStart w:id="2531" w:name="_Toc38438704"/>
      <w:bookmarkStart w:id="2532" w:name="_Toc38439041"/>
      <w:bookmarkStart w:id="2533" w:name="_Toc38439378"/>
      <w:bookmarkStart w:id="2534" w:name="_Toc38439715"/>
      <w:bookmarkStart w:id="2535" w:name="_Toc38440052"/>
      <w:bookmarkStart w:id="2536" w:name="_Toc38440389"/>
      <w:bookmarkStart w:id="2537" w:name="_Toc38440921"/>
      <w:bookmarkStart w:id="2538" w:name="_Toc38441253"/>
      <w:bookmarkStart w:id="2539" w:name="_Toc38441585"/>
      <w:bookmarkStart w:id="2540" w:name="_Toc38441913"/>
      <w:bookmarkStart w:id="2541" w:name="_Toc38442245"/>
      <w:bookmarkStart w:id="2542" w:name="_Toc38442577"/>
      <w:bookmarkStart w:id="2543" w:name="_Toc38442908"/>
      <w:bookmarkStart w:id="2544" w:name="_Toc38443239"/>
      <w:bookmarkStart w:id="2545" w:name="_Toc38443570"/>
      <w:bookmarkStart w:id="2546" w:name="_Toc38443900"/>
      <w:bookmarkStart w:id="2547" w:name="_Toc38438368"/>
      <w:bookmarkStart w:id="2548" w:name="_Toc38438705"/>
      <w:bookmarkStart w:id="2549" w:name="_Toc38439042"/>
      <w:bookmarkStart w:id="2550" w:name="_Toc38439379"/>
      <w:bookmarkStart w:id="2551" w:name="_Toc38439716"/>
      <w:bookmarkStart w:id="2552" w:name="_Toc38440053"/>
      <w:bookmarkStart w:id="2553" w:name="_Toc38440390"/>
      <w:bookmarkStart w:id="2554" w:name="_Toc38440922"/>
      <w:bookmarkStart w:id="2555" w:name="_Toc38441254"/>
      <w:bookmarkStart w:id="2556" w:name="_Toc38441586"/>
      <w:bookmarkStart w:id="2557" w:name="_Toc38441914"/>
      <w:bookmarkStart w:id="2558" w:name="_Toc38442246"/>
      <w:bookmarkStart w:id="2559" w:name="_Toc38442578"/>
      <w:bookmarkStart w:id="2560" w:name="_Toc38442909"/>
      <w:bookmarkStart w:id="2561" w:name="_Toc38443240"/>
      <w:bookmarkStart w:id="2562" w:name="_Toc38443571"/>
      <w:bookmarkStart w:id="2563" w:name="_Toc38443901"/>
      <w:bookmarkStart w:id="2564" w:name="_Toc38438369"/>
      <w:bookmarkStart w:id="2565" w:name="_Toc38438706"/>
      <w:bookmarkStart w:id="2566" w:name="_Toc38439043"/>
      <w:bookmarkStart w:id="2567" w:name="_Toc38439380"/>
      <w:bookmarkStart w:id="2568" w:name="_Toc38439717"/>
      <w:bookmarkStart w:id="2569" w:name="_Toc38440054"/>
      <w:bookmarkStart w:id="2570" w:name="_Toc38440391"/>
      <w:bookmarkStart w:id="2571" w:name="_Toc38440923"/>
      <w:bookmarkStart w:id="2572" w:name="_Toc38441255"/>
      <w:bookmarkStart w:id="2573" w:name="_Toc38441587"/>
      <w:bookmarkStart w:id="2574" w:name="_Toc38441915"/>
      <w:bookmarkStart w:id="2575" w:name="_Toc38442247"/>
      <w:bookmarkStart w:id="2576" w:name="_Toc38442579"/>
      <w:bookmarkStart w:id="2577" w:name="_Toc38442910"/>
      <w:bookmarkStart w:id="2578" w:name="_Toc38443241"/>
      <w:bookmarkStart w:id="2579" w:name="_Toc38443572"/>
      <w:bookmarkStart w:id="2580" w:name="_Toc38443902"/>
      <w:bookmarkStart w:id="2581" w:name="_Toc38438371"/>
      <w:bookmarkStart w:id="2582" w:name="_Toc38438708"/>
      <w:bookmarkStart w:id="2583" w:name="_Toc38439045"/>
      <w:bookmarkStart w:id="2584" w:name="_Toc38439382"/>
      <w:bookmarkStart w:id="2585" w:name="_Toc38439719"/>
      <w:bookmarkStart w:id="2586" w:name="_Toc38440056"/>
      <w:bookmarkStart w:id="2587" w:name="_Toc38440393"/>
      <w:bookmarkStart w:id="2588" w:name="_Toc38440925"/>
      <w:bookmarkStart w:id="2589" w:name="_Toc38441257"/>
      <w:bookmarkStart w:id="2590" w:name="_Toc38441589"/>
      <w:bookmarkStart w:id="2591" w:name="_Toc38441917"/>
      <w:bookmarkStart w:id="2592" w:name="_Toc38442249"/>
      <w:bookmarkStart w:id="2593" w:name="_Toc38442581"/>
      <w:bookmarkStart w:id="2594" w:name="_Toc38442912"/>
      <w:bookmarkStart w:id="2595" w:name="_Toc38443243"/>
      <w:bookmarkStart w:id="2596" w:name="_Toc38443574"/>
      <w:bookmarkStart w:id="2597" w:name="_Toc38443904"/>
      <w:bookmarkStart w:id="2598" w:name="_Toc38438372"/>
      <w:bookmarkStart w:id="2599" w:name="_Toc38438709"/>
      <w:bookmarkStart w:id="2600" w:name="_Toc38439046"/>
      <w:bookmarkStart w:id="2601" w:name="_Toc38439383"/>
      <w:bookmarkStart w:id="2602" w:name="_Toc38439720"/>
      <w:bookmarkStart w:id="2603" w:name="_Toc38440057"/>
      <w:bookmarkStart w:id="2604" w:name="_Toc38440394"/>
      <w:bookmarkStart w:id="2605" w:name="_Toc38440926"/>
      <w:bookmarkStart w:id="2606" w:name="_Toc38441258"/>
      <w:bookmarkStart w:id="2607" w:name="_Toc38441590"/>
      <w:bookmarkStart w:id="2608" w:name="_Toc38441918"/>
      <w:bookmarkStart w:id="2609" w:name="_Toc38442250"/>
      <w:bookmarkStart w:id="2610" w:name="_Toc38442582"/>
      <w:bookmarkStart w:id="2611" w:name="_Toc38442913"/>
      <w:bookmarkStart w:id="2612" w:name="_Toc38443244"/>
      <w:bookmarkStart w:id="2613" w:name="_Toc38443575"/>
      <w:bookmarkStart w:id="2614" w:name="_Toc38443905"/>
      <w:bookmarkStart w:id="2615" w:name="_Toc38438373"/>
      <w:bookmarkStart w:id="2616" w:name="_Toc38438710"/>
      <w:bookmarkStart w:id="2617" w:name="_Toc38439047"/>
      <w:bookmarkStart w:id="2618" w:name="_Toc38439384"/>
      <w:bookmarkStart w:id="2619" w:name="_Toc38439721"/>
      <w:bookmarkStart w:id="2620" w:name="_Toc38440058"/>
      <w:bookmarkStart w:id="2621" w:name="_Toc38440395"/>
      <w:bookmarkStart w:id="2622" w:name="_Toc38440927"/>
      <w:bookmarkStart w:id="2623" w:name="_Toc38441259"/>
      <w:bookmarkStart w:id="2624" w:name="_Toc38441591"/>
      <w:bookmarkStart w:id="2625" w:name="_Toc38441919"/>
      <w:bookmarkStart w:id="2626" w:name="_Toc38442251"/>
      <w:bookmarkStart w:id="2627" w:name="_Toc38442583"/>
      <w:bookmarkStart w:id="2628" w:name="_Toc38442914"/>
      <w:bookmarkStart w:id="2629" w:name="_Toc38443245"/>
      <w:bookmarkStart w:id="2630" w:name="_Toc38443576"/>
      <w:bookmarkStart w:id="2631" w:name="_Toc38443906"/>
      <w:bookmarkStart w:id="2632" w:name="_Toc38438374"/>
      <w:bookmarkStart w:id="2633" w:name="_Toc38438711"/>
      <w:bookmarkStart w:id="2634" w:name="_Toc38439048"/>
      <w:bookmarkStart w:id="2635" w:name="_Toc38439385"/>
      <w:bookmarkStart w:id="2636" w:name="_Toc38439722"/>
      <w:bookmarkStart w:id="2637" w:name="_Toc38440059"/>
      <w:bookmarkStart w:id="2638" w:name="_Toc38440396"/>
      <w:bookmarkStart w:id="2639" w:name="_Toc38440928"/>
      <w:bookmarkStart w:id="2640" w:name="_Toc38441260"/>
      <w:bookmarkStart w:id="2641" w:name="_Toc38441592"/>
      <w:bookmarkStart w:id="2642" w:name="_Toc38441920"/>
      <w:bookmarkStart w:id="2643" w:name="_Toc38442252"/>
      <w:bookmarkStart w:id="2644" w:name="_Toc38442584"/>
      <w:bookmarkStart w:id="2645" w:name="_Toc38442915"/>
      <w:bookmarkStart w:id="2646" w:name="_Toc38443246"/>
      <w:bookmarkStart w:id="2647" w:name="_Toc38443577"/>
      <w:bookmarkStart w:id="2648" w:name="_Toc38443907"/>
      <w:bookmarkStart w:id="2649" w:name="_Toc38438375"/>
      <w:bookmarkStart w:id="2650" w:name="_Toc38438712"/>
      <w:bookmarkStart w:id="2651" w:name="_Toc38439049"/>
      <w:bookmarkStart w:id="2652" w:name="_Toc38439386"/>
      <w:bookmarkStart w:id="2653" w:name="_Toc38439723"/>
      <w:bookmarkStart w:id="2654" w:name="_Toc38440060"/>
      <w:bookmarkStart w:id="2655" w:name="_Toc38440397"/>
      <w:bookmarkStart w:id="2656" w:name="_Toc38440929"/>
      <w:bookmarkStart w:id="2657" w:name="_Toc38441261"/>
      <w:bookmarkStart w:id="2658" w:name="_Toc38441593"/>
      <w:bookmarkStart w:id="2659" w:name="_Toc38441921"/>
      <w:bookmarkStart w:id="2660" w:name="_Toc38442253"/>
      <w:bookmarkStart w:id="2661" w:name="_Toc38442585"/>
      <w:bookmarkStart w:id="2662" w:name="_Toc38442916"/>
      <w:bookmarkStart w:id="2663" w:name="_Toc38443247"/>
      <w:bookmarkStart w:id="2664" w:name="_Toc38443578"/>
      <w:bookmarkStart w:id="2665" w:name="_Toc38443908"/>
      <w:bookmarkStart w:id="2666" w:name="_Toc38438376"/>
      <w:bookmarkStart w:id="2667" w:name="_Toc38438713"/>
      <w:bookmarkStart w:id="2668" w:name="_Toc38439050"/>
      <w:bookmarkStart w:id="2669" w:name="_Toc38439387"/>
      <w:bookmarkStart w:id="2670" w:name="_Toc38439724"/>
      <w:bookmarkStart w:id="2671" w:name="_Toc38440061"/>
      <w:bookmarkStart w:id="2672" w:name="_Toc38440398"/>
      <w:bookmarkStart w:id="2673" w:name="_Toc38440930"/>
      <w:bookmarkStart w:id="2674" w:name="_Toc38441262"/>
      <w:bookmarkStart w:id="2675" w:name="_Toc38441594"/>
      <w:bookmarkStart w:id="2676" w:name="_Toc38441922"/>
      <w:bookmarkStart w:id="2677" w:name="_Toc38442254"/>
      <w:bookmarkStart w:id="2678" w:name="_Toc38442586"/>
      <w:bookmarkStart w:id="2679" w:name="_Toc38442917"/>
      <w:bookmarkStart w:id="2680" w:name="_Toc38443248"/>
      <w:bookmarkStart w:id="2681" w:name="_Toc38443579"/>
      <w:bookmarkStart w:id="2682" w:name="_Toc38443909"/>
      <w:bookmarkStart w:id="2683" w:name="_Toc38438377"/>
      <w:bookmarkStart w:id="2684" w:name="_Toc38438714"/>
      <w:bookmarkStart w:id="2685" w:name="_Toc38439051"/>
      <w:bookmarkStart w:id="2686" w:name="_Toc38439388"/>
      <w:bookmarkStart w:id="2687" w:name="_Toc38439725"/>
      <w:bookmarkStart w:id="2688" w:name="_Toc38440062"/>
      <w:bookmarkStart w:id="2689" w:name="_Toc38440399"/>
      <w:bookmarkStart w:id="2690" w:name="_Toc38440931"/>
      <w:bookmarkStart w:id="2691" w:name="_Toc38441263"/>
      <w:bookmarkStart w:id="2692" w:name="_Toc38441595"/>
      <w:bookmarkStart w:id="2693" w:name="_Toc38441923"/>
      <w:bookmarkStart w:id="2694" w:name="_Toc38442255"/>
      <w:bookmarkStart w:id="2695" w:name="_Toc38442587"/>
      <w:bookmarkStart w:id="2696" w:name="_Toc38442918"/>
      <w:bookmarkStart w:id="2697" w:name="_Toc38443249"/>
      <w:bookmarkStart w:id="2698" w:name="_Toc38443580"/>
      <w:bookmarkStart w:id="2699" w:name="_Toc38443910"/>
      <w:bookmarkStart w:id="2700" w:name="_Toc38438378"/>
      <w:bookmarkStart w:id="2701" w:name="_Toc38438715"/>
      <w:bookmarkStart w:id="2702" w:name="_Toc38439052"/>
      <w:bookmarkStart w:id="2703" w:name="_Toc38439389"/>
      <w:bookmarkStart w:id="2704" w:name="_Toc38439726"/>
      <w:bookmarkStart w:id="2705" w:name="_Toc38440063"/>
      <w:bookmarkStart w:id="2706" w:name="_Toc38440400"/>
      <w:bookmarkStart w:id="2707" w:name="_Toc38440932"/>
      <w:bookmarkStart w:id="2708" w:name="_Toc38441264"/>
      <w:bookmarkStart w:id="2709" w:name="_Toc38441596"/>
      <w:bookmarkStart w:id="2710" w:name="_Toc38441924"/>
      <w:bookmarkStart w:id="2711" w:name="_Toc38442256"/>
      <w:bookmarkStart w:id="2712" w:name="_Toc38442588"/>
      <w:bookmarkStart w:id="2713" w:name="_Toc38442919"/>
      <w:bookmarkStart w:id="2714" w:name="_Toc38443250"/>
      <w:bookmarkStart w:id="2715" w:name="_Toc38443581"/>
      <w:bookmarkStart w:id="2716" w:name="_Toc38443911"/>
      <w:bookmarkStart w:id="2717" w:name="_Toc38438379"/>
      <w:bookmarkStart w:id="2718" w:name="_Toc38438716"/>
      <w:bookmarkStart w:id="2719" w:name="_Toc38439053"/>
      <w:bookmarkStart w:id="2720" w:name="_Toc38439390"/>
      <w:bookmarkStart w:id="2721" w:name="_Toc38439727"/>
      <w:bookmarkStart w:id="2722" w:name="_Toc38440064"/>
      <w:bookmarkStart w:id="2723" w:name="_Toc38440401"/>
      <w:bookmarkStart w:id="2724" w:name="_Toc38440933"/>
      <w:bookmarkStart w:id="2725" w:name="_Toc38441265"/>
      <w:bookmarkStart w:id="2726" w:name="_Toc38441597"/>
      <w:bookmarkStart w:id="2727" w:name="_Toc38441925"/>
      <w:bookmarkStart w:id="2728" w:name="_Toc38442257"/>
      <w:bookmarkStart w:id="2729" w:name="_Toc38442589"/>
      <w:bookmarkStart w:id="2730" w:name="_Toc38442920"/>
      <w:bookmarkStart w:id="2731" w:name="_Toc38443251"/>
      <w:bookmarkStart w:id="2732" w:name="_Toc38443582"/>
      <w:bookmarkStart w:id="2733" w:name="_Toc38443912"/>
      <w:bookmarkStart w:id="2734" w:name="_Toc38438380"/>
      <w:bookmarkStart w:id="2735" w:name="_Toc38438717"/>
      <w:bookmarkStart w:id="2736" w:name="_Toc38439054"/>
      <w:bookmarkStart w:id="2737" w:name="_Toc38439391"/>
      <w:bookmarkStart w:id="2738" w:name="_Toc38439728"/>
      <w:bookmarkStart w:id="2739" w:name="_Toc38440065"/>
      <w:bookmarkStart w:id="2740" w:name="_Toc38440402"/>
      <w:bookmarkStart w:id="2741" w:name="_Toc38440934"/>
      <w:bookmarkStart w:id="2742" w:name="_Toc38441266"/>
      <w:bookmarkStart w:id="2743" w:name="_Toc38441598"/>
      <w:bookmarkStart w:id="2744" w:name="_Toc38441926"/>
      <w:bookmarkStart w:id="2745" w:name="_Toc38442258"/>
      <w:bookmarkStart w:id="2746" w:name="_Toc38442590"/>
      <w:bookmarkStart w:id="2747" w:name="_Toc38442921"/>
      <w:bookmarkStart w:id="2748" w:name="_Toc38443252"/>
      <w:bookmarkStart w:id="2749" w:name="_Toc38443583"/>
      <w:bookmarkStart w:id="2750" w:name="_Toc38443913"/>
      <w:bookmarkStart w:id="2751" w:name="_Toc38438381"/>
      <w:bookmarkStart w:id="2752" w:name="_Toc38438718"/>
      <w:bookmarkStart w:id="2753" w:name="_Toc38439055"/>
      <w:bookmarkStart w:id="2754" w:name="_Toc38439392"/>
      <w:bookmarkStart w:id="2755" w:name="_Toc38439729"/>
      <w:bookmarkStart w:id="2756" w:name="_Toc38440066"/>
      <w:bookmarkStart w:id="2757" w:name="_Toc38440403"/>
      <w:bookmarkStart w:id="2758" w:name="_Toc38440935"/>
      <w:bookmarkStart w:id="2759" w:name="_Toc38441267"/>
      <w:bookmarkStart w:id="2760" w:name="_Toc38441599"/>
      <w:bookmarkStart w:id="2761" w:name="_Toc38441927"/>
      <w:bookmarkStart w:id="2762" w:name="_Toc38442259"/>
      <w:bookmarkStart w:id="2763" w:name="_Toc38442591"/>
      <w:bookmarkStart w:id="2764" w:name="_Toc38442922"/>
      <w:bookmarkStart w:id="2765" w:name="_Toc38443253"/>
      <w:bookmarkStart w:id="2766" w:name="_Toc38443584"/>
      <w:bookmarkStart w:id="2767" w:name="_Toc38443914"/>
      <w:bookmarkStart w:id="2768" w:name="_Toc38438382"/>
      <w:bookmarkStart w:id="2769" w:name="_Toc38438719"/>
      <w:bookmarkStart w:id="2770" w:name="_Toc38439056"/>
      <w:bookmarkStart w:id="2771" w:name="_Toc38439393"/>
      <w:bookmarkStart w:id="2772" w:name="_Toc38439730"/>
      <w:bookmarkStart w:id="2773" w:name="_Toc38440067"/>
      <w:bookmarkStart w:id="2774" w:name="_Toc38440404"/>
      <w:bookmarkStart w:id="2775" w:name="_Toc38440936"/>
      <w:bookmarkStart w:id="2776" w:name="_Toc38441268"/>
      <w:bookmarkStart w:id="2777" w:name="_Toc38441600"/>
      <w:bookmarkStart w:id="2778" w:name="_Toc38441928"/>
      <w:bookmarkStart w:id="2779" w:name="_Toc38442260"/>
      <w:bookmarkStart w:id="2780" w:name="_Toc38442592"/>
      <w:bookmarkStart w:id="2781" w:name="_Toc38442923"/>
      <w:bookmarkStart w:id="2782" w:name="_Toc38443254"/>
      <w:bookmarkStart w:id="2783" w:name="_Toc38443585"/>
      <w:bookmarkStart w:id="2784" w:name="_Toc38443915"/>
      <w:bookmarkStart w:id="2785" w:name="_Toc38438383"/>
      <w:bookmarkStart w:id="2786" w:name="_Toc38438720"/>
      <w:bookmarkStart w:id="2787" w:name="_Toc38439057"/>
      <w:bookmarkStart w:id="2788" w:name="_Toc38439394"/>
      <w:bookmarkStart w:id="2789" w:name="_Toc38439731"/>
      <w:bookmarkStart w:id="2790" w:name="_Toc38440068"/>
      <w:bookmarkStart w:id="2791" w:name="_Toc38440405"/>
      <w:bookmarkStart w:id="2792" w:name="_Toc38440937"/>
      <w:bookmarkStart w:id="2793" w:name="_Toc38441269"/>
      <w:bookmarkStart w:id="2794" w:name="_Toc38441601"/>
      <w:bookmarkStart w:id="2795" w:name="_Toc38441929"/>
      <w:bookmarkStart w:id="2796" w:name="_Toc38442261"/>
      <w:bookmarkStart w:id="2797" w:name="_Toc38442593"/>
      <w:bookmarkStart w:id="2798" w:name="_Toc38442924"/>
      <w:bookmarkStart w:id="2799" w:name="_Toc38443255"/>
      <w:bookmarkStart w:id="2800" w:name="_Toc38443586"/>
      <w:bookmarkStart w:id="2801" w:name="_Toc38443916"/>
      <w:bookmarkStart w:id="2802" w:name="_Toc38438384"/>
      <w:bookmarkStart w:id="2803" w:name="_Toc38438721"/>
      <w:bookmarkStart w:id="2804" w:name="_Toc38439058"/>
      <w:bookmarkStart w:id="2805" w:name="_Toc38439395"/>
      <w:bookmarkStart w:id="2806" w:name="_Toc38439732"/>
      <w:bookmarkStart w:id="2807" w:name="_Toc38440069"/>
      <w:bookmarkStart w:id="2808" w:name="_Toc38440406"/>
      <w:bookmarkStart w:id="2809" w:name="_Toc38440938"/>
      <w:bookmarkStart w:id="2810" w:name="_Toc38441270"/>
      <w:bookmarkStart w:id="2811" w:name="_Toc38441602"/>
      <w:bookmarkStart w:id="2812" w:name="_Toc38441930"/>
      <w:bookmarkStart w:id="2813" w:name="_Toc38442262"/>
      <w:bookmarkStart w:id="2814" w:name="_Toc38442594"/>
      <w:bookmarkStart w:id="2815" w:name="_Toc38442925"/>
      <w:bookmarkStart w:id="2816" w:name="_Toc38443256"/>
      <w:bookmarkStart w:id="2817" w:name="_Toc38443587"/>
      <w:bookmarkStart w:id="2818" w:name="_Toc38443917"/>
      <w:bookmarkStart w:id="2819" w:name="_Toc38438385"/>
      <w:bookmarkStart w:id="2820" w:name="_Toc38438722"/>
      <w:bookmarkStart w:id="2821" w:name="_Toc38439059"/>
      <w:bookmarkStart w:id="2822" w:name="_Toc38439396"/>
      <w:bookmarkStart w:id="2823" w:name="_Toc38439733"/>
      <w:bookmarkStart w:id="2824" w:name="_Toc38440070"/>
      <w:bookmarkStart w:id="2825" w:name="_Toc38440407"/>
      <w:bookmarkStart w:id="2826" w:name="_Toc38440939"/>
      <w:bookmarkStart w:id="2827" w:name="_Toc38441271"/>
      <w:bookmarkStart w:id="2828" w:name="_Toc38441603"/>
      <w:bookmarkStart w:id="2829" w:name="_Toc38441931"/>
      <w:bookmarkStart w:id="2830" w:name="_Toc38442263"/>
      <w:bookmarkStart w:id="2831" w:name="_Toc38442595"/>
      <w:bookmarkStart w:id="2832" w:name="_Toc38442926"/>
      <w:bookmarkStart w:id="2833" w:name="_Toc38443257"/>
      <w:bookmarkStart w:id="2834" w:name="_Toc38443588"/>
      <w:bookmarkStart w:id="2835" w:name="_Toc38443918"/>
      <w:bookmarkStart w:id="2836" w:name="_Toc38438386"/>
      <w:bookmarkStart w:id="2837" w:name="_Toc38438723"/>
      <w:bookmarkStart w:id="2838" w:name="_Toc38439060"/>
      <w:bookmarkStart w:id="2839" w:name="_Toc38439397"/>
      <w:bookmarkStart w:id="2840" w:name="_Toc38439734"/>
      <w:bookmarkStart w:id="2841" w:name="_Toc38440071"/>
      <w:bookmarkStart w:id="2842" w:name="_Toc38440408"/>
      <w:bookmarkStart w:id="2843" w:name="_Toc38440940"/>
      <w:bookmarkStart w:id="2844" w:name="_Toc38441272"/>
      <w:bookmarkStart w:id="2845" w:name="_Toc38441604"/>
      <w:bookmarkStart w:id="2846" w:name="_Toc38441932"/>
      <w:bookmarkStart w:id="2847" w:name="_Toc38442264"/>
      <w:bookmarkStart w:id="2848" w:name="_Toc38442596"/>
      <w:bookmarkStart w:id="2849" w:name="_Toc38442927"/>
      <w:bookmarkStart w:id="2850" w:name="_Toc38443258"/>
      <w:bookmarkStart w:id="2851" w:name="_Toc38443589"/>
      <w:bookmarkStart w:id="2852" w:name="_Toc38443919"/>
      <w:bookmarkStart w:id="2853" w:name="_Toc38438387"/>
      <w:bookmarkStart w:id="2854" w:name="_Toc38438724"/>
      <w:bookmarkStart w:id="2855" w:name="_Toc38439061"/>
      <w:bookmarkStart w:id="2856" w:name="_Toc38439398"/>
      <w:bookmarkStart w:id="2857" w:name="_Toc38439735"/>
      <w:bookmarkStart w:id="2858" w:name="_Toc38440072"/>
      <w:bookmarkStart w:id="2859" w:name="_Toc38440409"/>
      <w:bookmarkStart w:id="2860" w:name="_Toc38440941"/>
      <w:bookmarkStart w:id="2861" w:name="_Toc38441273"/>
      <w:bookmarkStart w:id="2862" w:name="_Toc38441605"/>
      <w:bookmarkStart w:id="2863" w:name="_Toc38441933"/>
      <w:bookmarkStart w:id="2864" w:name="_Toc38442265"/>
      <w:bookmarkStart w:id="2865" w:name="_Toc38442597"/>
      <w:bookmarkStart w:id="2866" w:name="_Toc38442928"/>
      <w:bookmarkStart w:id="2867" w:name="_Toc38443259"/>
      <w:bookmarkStart w:id="2868" w:name="_Toc38443590"/>
      <w:bookmarkStart w:id="2869" w:name="_Toc38443920"/>
      <w:bookmarkStart w:id="2870" w:name="_Toc38438388"/>
      <w:bookmarkStart w:id="2871" w:name="_Toc38438725"/>
      <w:bookmarkStart w:id="2872" w:name="_Toc38439062"/>
      <w:bookmarkStart w:id="2873" w:name="_Toc38439399"/>
      <w:bookmarkStart w:id="2874" w:name="_Toc38439736"/>
      <w:bookmarkStart w:id="2875" w:name="_Toc38440073"/>
      <w:bookmarkStart w:id="2876" w:name="_Toc38440410"/>
      <w:bookmarkStart w:id="2877" w:name="_Toc38440942"/>
      <w:bookmarkStart w:id="2878" w:name="_Toc38441274"/>
      <w:bookmarkStart w:id="2879" w:name="_Toc38441606"/>
      <w:bookmarkStart w:id="2880" w:name="_Toc38441934"/>
      <w:bookmarkStart w:id="2881" w:name="_Toc38442266"/>
      <w:bookmarkStart w:id="2882" w:name="_Toc38442598"/>
      <w:bookmarkStart w:id="2883" w:name="_Toc38442929"/>
      <w:bookmarkStart w:id="2884" w:name="_Toc38443260"/>
      <w:bookmarkStart w:id="2885" w:name="_Toc38443591"/>
      <w:bookmarkStart w:id="2886" w:name="_Toc38443921"/>
      <w:bookmarkStart w:id="2887" w:name="_Toc38438389"/>
      <w:bookmarkStart w:id="2888" w:name="_Toc38438726"/>
      <w:bookmarkStart w:id="2889" w:name="_Toc38439063"/>
      <w:bookmarkStart w:id="2890" w:name="_Toc38439400"/>
      <w:bookmarkStart w:id="2891" w:name="_Toc38439737"/>
      <w:bookmarkStart w:id="2892" w:name="_Toc38440074"/>
      <w:bookmarkStart w:id="2893" w:name="_Toc38440411"/>
      <w:bookmarkStart w:id="2894" w:name="_Toc38440943"/>
      <w:bookmarkStart w:id="2895" w:name="_Toc38441275"/>
      <w:bookmarkStart w:id="2896" w:name="_Toc38441607"/>
      <w:bookmarkStart w:id="2897" w:name="_Toc38441935"/>
      <w:bookmarkStart w:id="2898" w:name="_Toc38442267"/>
      <w:bookmarkStart w:id="2899" w:name="_Toc38442599"/>
      <w:bookmarkStart w:id="2900" w:name="_Toc38442930"/>
      <w:bookmarkStart w:id="2901" w:name="_Toc38443261"/>
      <w:bookmarkStart w:id="2902" w:name="_Toc38443592"/>
      <w:bookmarkStart w:id="2903" w:name="_Toc38443922"/>
      <w:bookmarkStart w:id="2904" w:name="_Toc38438390"/>
      <w:bookmarkStart w:id="2905" w:name="_Toc38438727"/>
      <w:bookmarkStart w:id="2906" w:name="_Toc38439064"/>
      <w:bookmarkStart w:id="2907" w:name="_Toc38439401"/>
      <w:bookmarkStart w:id="2908" w:name="_Toc38439738"/>
      <w:bookmarkStart w:id="2909" w:name="_Toc38440075"/>
      <w:bookmarkStart w:id="2910" w:name="_Toc38440412"/>
      <w:bookmarkStart w:id="2911" w:name="_Toc38440944"/>
      <w:bookmarkStart w:id="2912" w:name="_Toc38441276"/>
      <w:bookmarkStart w:id="2913" w:name="_Toc38441608"/>
      <w:bookmarkStart w:id="2914" w:name="_Toc38441936"/>
      <w:bookmarkStart w:id="2915" w:name="_Toc38442268"/>
      <w:bookmarkStart w:id="2916" w:name="_Toc38442600"/>
      <w:bookmarkStart w:id="2917" w:name="_Toc38442931"/>
      <w:bookmarkStart w:id="2918" w:name="_Toc38443262"/>
      <w:bookmarkStart w:id="2919" w:name="_Toc38443593"/>
      <w:bookmarkStart w:id="2920" w:name="_Toc38443923"/>
      <w:bookmarkStart w:id="2921" w:name="_Toc38438391"/>
      <w:bookmarkStart w:id="2922" w:name="_Toc38438728"/>
      <w:bookmarkStart w:id="2923" w:name="_Toc38439065"/>
      <w:bookmarkStart w:id="2924" w:name="_Toc38439402"/>
      <w:bookmarkStart w:id="2925" w:name="_Toc38439739"/>
      <w:bookmarkStart w:id="2926" w:name="_Toc38440076"/>
      <w:bookmarkStart w:id="2927" w:name="_Toc38440413"/>
      <w:bookmarkStart w:id="2928" w:name="_Toc38440945"/>
      <w:bookmarkStart w:id="2929" w:name="_Toc38441277"/>
      <w:bookmarkStart w:id="2930" w:name="_Toc38441609"/>
      <w:bookmarkStart w:id="2931" w:name="_Toc38441937"/>
      <w:bookmarkStart w:id="2932" w:name="_Toc38442269"/>
      <w:bookmarkStart w:id="2933" w:name="_Toc38442601"/>
      <w:bookmarkStart w:id="2934" w:name="_Toc38442932"/>
      <w:bookmarkStart w:id="2935" w:name="_Toc38443263"/>
      <w:bookmarkStart w:id="2936" w:name="_Toc38443594"/>
      <w:bookmarkStart w:id="2937" w:name="_Toc38443924"/>
      <w:bookmarkStart w:id="2938" w:name="_Toc38438392"/>
      <w:bookmarkStart w:id="2939" w:name="_Toc38438729"/>
      <w:bookmarkStart w:id="2940" w:name="_Toc38439066"/>
      <w:bookmarkStart w:id="2941" w:name="_Toc38439403"/>
      <w:bookmarkStart w:id="2942" w:name="_Toc38439740"/>
      <w:bookmarkStart w:id="2943" w:name="_Toc38440077"/>
      <w:bookmarkStart w:id="2944" w:name="_Toc38440414"/>
      <w:bookmarkStart w:id="2945" w:name="_Toc38440946"/>
      <w:bookmarkStart w:id="2946" w:name="_Toc38441278"/>
      <w:bookmarkStart w:id="2947" w:name="_Toc38441610"/>
      <w:bookmarkStart w:id="2948" w:name="_Toc38441938"/>
      <w:bookmarkStart w:id="2949" w:name="_Toc38442270"/>
      <w:bookmarkStart w:id="2950" w:name="_Toc38442602"/>
      <w:bookmarkStart w:id="2951" w:name="_Toc38442933"/>
      <w:bookmarkStart w:id="2952" w:name="_Toc38443264"/>
      <w:bookmarkStart w:id="2953" w:name="_Toc38443595"/>
      <w:bookmarkStart w:id="2954" w:name="_Toc38443925"/>
      <w:bookmarkStart w:id="2955" w:name="_Toc38438393"/>
      <w:bookmarkStart w:id="2956" w:name="_Toc38438730"/>
      <w:bookmarkStart w:id="2957" w:name="_Toc38439067"/>
      <w:bookmarkStart w:id="2958" w:name="_Toc38439404"/>
      <w:bookmarkStart w:id="2959" w:name="_Toc38439741"/>
      <w:bookmarkStart w:id="2960" w:name="_Toc38440078"/>
      <w:bookmarkStart w:id="2961" w:name="_Toc38440415"/>
      <w:bookmarkStart w:id="2962" w:name="_Toc38440947"/>
      <w:bookmarkStart w:id="2963" w:name="_Toc38441279"/>
      <w:bookmarkStart w:id="2964" w:name="_Toc38441611"/>
      <w:bookmarkStart w:id="2965" w:name="_Toc38441939"/>
      <w:bookmarkStart w:id="2966" w:name="_Toc38442271"/>
      <w:bookmarkStart w:id="2967" w:name="_Toc38442603"/>
      <w:bookmarkStart w:id="2968" w:name="_Toc38442934"/>
      <w:bookmarkStart w:id="2969" w:name="_Toc38443265"/>
      <w:bookmarkStart w:id="2970" w:name="_Toc38443596"/>
      <w:bookmarkStart w:id="2971" w:name="_Toc38443926"/>
      <w:bookmarkStart w:id="2972" w:name="_Toc38438394"/>
      <w:bookmarkStart w:id="2973" w:name="_Toc38438731"/>
      <w:bookmarkStart w:id="2974" w:name="_Toc38439068"/>
      <w:bookmarkStart w:id="2975" w:name="_Toc38439405"/>
      <w:bookmarkStart w:id="2976" w:name="_Toc38439742"/>
      <w:bookmarkStart w:id="2977" w:name="_Toc38440079"/>
      <w:bookmarkStart w:id="2978" w:name="_Toc38440416"/>
      <w:bookmarkStart w:id="2979" w:name="_Toc38440948"/>
      <w:bookmarkStart w:id="2980" w:name="_Toc38441280"/>
      <w:bookmarkStart w:id="2981" w:name="_Toc38441612"/>
      <w:bookmarkStart w:id="2982" w:name="_Toc38441940"/>
      <w:bookmarkStart w:id="2983" w:name="_Toc38442272"/>
      <w:bookmarkStart w:id="2984" w:name="_Toc38442604"/>
      <w:bookmarkStart w:id="2985" w:name="_Toc38442935"/>
      <w:bookmarkStart w:id="2986" w:name="_Toc38443266"/>
      <w:bookmarkStart w:id="2987" w:name="_Toc38443597"/>
      <w:bookmarkStart w:id="2988" w:name="_Toc38443927"/>
      <w:bookmarkStart w:id="2989" w:name="_Toc38438395"/>
      <w:bookmarkStart w:id="2990" w:name="_Toc38438732"/>
      <w:bookmarkStart w:id="2991" w:name="_Toc38439069"/>
      <w:bookmarkStart w:id="2992" w:name="_Toc38439406"/>
      <w:bookmarkStart w:id="2993" w:name="_Toc38439743"/>
      <w:bookmarkStart w:id="2994" w:name="_Toc38440080"/>
      <w:bookmarkStart w:id="2995" w:name="_Toc38440417"/>
      <w:bookmarkStart w:id="2996" w:name="_Toc38440949"/>
      <w:bookmarkStart w:id="2997" w:name="_Toc38441281"/>
      <w:bookmarkStart w:id="2998" w:name="_Toc38441613"/>
      <w:bookmarkStart w:id="2999" w:name="_Toc38441941"/>
      <w:bookmarkStart w:id="3000" w:name="_Toc38442273"/>
      <w:bookmarkStart w:id="3001" w:name="_Toc38442605"/>
      <w:bookmarkStart w:id="3002" w:name="_Toc38442936"/>
      <w:bookmarkStart w:id="3003" w:name="_Toc38443267"/>
      <w:bookmarkStart w:id="3004" w:name="_Toc38443598"/>
      <w:bookmarkStart w:id="3005" w:name="_Toc38443928"/>
      <w:bookmarkStart w:id="3006" w:name="_Toc38438396"/>
      <w:bookmarkStart w:id="3007" w:name="_Toc38438733"/>
      <w:bookmarkStart w:id="3008" w:name="_Toc38439070"/>
      <w:bookmarkStart w:id="3009" w:name="_Toc38439407"/>
      <w:bookmarkStart w:id="3010" w:name="_Toc38439744"/>
      <w:bookmarkStart w:id="3011" w:name="_Toc38440081"/>
      <w:bookmarkStart w:id="3012" w:name="_Toc38440418"/>
      <w:bookmarkStart w:id="3013" w:name="_Toc38440950"/>
      <w:bookmarkStart w:id="3014" w:name="_Toc38441282"/>
      <w:bookmarkStart w:id="3015" w:name="_Toc38441614"/>
      <w:bookmarkStart w:id="3016" w:name="_Toc38441942"/>
      <w:bookmarkStart w:id="3017" w:name="_Toc38442274"/>
      <w:bookmarkStart w:id="3018" w:name="_Toc38442606"/>
      <w:bookmarkStart w:id="3019" w:name="_Toc38442937"/>
      <w:bookmarkStart w:id="3020" w:name="_Toc38443268"/>
      <w:bookmarkStart w:id="3021" w:name="_Toc38443599"/>
      <w:bookmarkStart w:id="3022" w:name="_Toc38443929"/>
      <w:bookmarkStart w:id="3023" w:name="_Toc38438397"/>
      <w:bookmarkStart w:id="3024" w:name="_Toc38438734"/>
      <w:bookmarkStart w:id="3025" w:name="_Toc38439071"/>
      <w:bookmarkStart w:id="3026" w:name="_Toc38439408"/>
      <w:bookmarkStart w:id="3027" w:name="_Toc38439745"/>
      <w:bookmarkStart w:id="3028" w:name="_Toc38440082"/>
      <w:bookmarkStart w:id="3029" w:name="_Toc38440419"/>
      <w:bookmarkStart w:id="3030" w:name="_Toc38440951"/>
      <w:bookmarkStart w:id="3031" w:name="_Toc38441283"/>
      <w:bookmarkStart w:id="3032" w:name="_Toc38441615"/>
      <w:bookmarkStart w:id="3033" w:name="_Toc38441943"/>
      <w:bookmarkStart w:id="3034" w:name="_Toc38442275"/>
      <w:bookmarkStart w:id="3035" w:name="_Toc38442607"/>
      <w:bookmarkStart w:id="3036" w:name="_Toc38442938"/>
      <w:bookmarkStart w:id="3037" w:name="_Toc38443269"/>
      <w:bookmarkStart w:id="3038" w:name="_Toc38443600"/>
      <w:bookmarkStart w:id="3039" w:name="_Toc38443930"/>
      <w:bookmarkStart w:id="3040" w:name="_Toc38438398"/>
      <w:bookmarkStart w:id="3041" w:name="_Toc38438735"/>
      <w:bookmarkStart w:id="3042" w:name="_Toc38439072"/>
      <w:bookmarkStart w:id="3043" w:name="_Toc38439409"/>
      <w:bookmarkStart w:id="3044" w:name="_Toc38439746"/>
      <w:bookmarkStart w:id="3045" w:name="_Toc38440083"/>
      <w:bookmarkStart w:id="3046" w:name="_Toc38440420"/>
      <w:bookmarkStart w:id="3047" w:name="_Toc38440952"/>
      <w:bookmarkStart w:id="3048" w:name="_Toc38441284"/>
      <w:bookmarkStart w:id="3049" w:name="_Toc38441616"/>
      <w:bookmarkStart w:id="3050" w:name="_Toc38441944"/>
      <w:bookmarkStart w:id="3051" w:name="_Toc38442276"/>
      <w:bookmarkStart w:id="3052" w:name="_Toc38442608"/>
      <w:bookmarkStart w:id="3053" w:name="_Toc38442939"/>
      <w:bookmarkStart w:id="3054" w:name="_Toc38443270"/>
      <w:bookmarkStart w:id="3055" w:name="_Toc38443601"/>
      <w:bookmarkStart w:id="3056" w:name="_Toc38443931"/>
      <w:bookmarkStart w:id="3057" w:name="_Toc38438400"/>
      <w:bookmarkStart w:id="3058" w:name="_Toc38438737"/>
      <w:bookmarkStart w:id="3059" w:name="_Toc38439074"/>
      <w:bookmarkStart w:id="3060" w:name="_Toc38439411"/>
      <w:bookmarkStart w:id="3061" w:name="_Toc38439748"/>
      <w:bookmarkStart w:id="3062" w:name="_Toc38440085"/>
      <w:bookmarkStart w:id="3063" w:name="_Toc38440422"/>
      <w:bookmarkStart w:id="3064" w:name="_Toc38440954"/>
      <w:bookmarkStart w:id="3065" w:name="_Toc38441286"/>
      <w:bookmarkStart w:id="3066" w:name="_Toc38441618"/>
      <w:bookmarkStart w:id="3067" w:name="_Toc38441946"/>
      <w:bookmarkStart w:id="3068" w:name="_Toc38442278"/>
      <w:bookmarkStart w:id="3069" w:name="_Toc38442610"/>
      <w:bookmarkStart w:id="3070" w:name="_Toc38442941"/>
      <w:bookmarkStart w:id="3071" w:name="_Toc38443272"/>
      <w:bookmarkStart w:id="3072" w:name="_Toc38443603"/>
      <w:bookmarkStart w:id="3073" w:name="_Toc38443933"/>
      <w:bookmarkStart w:id="3074" w:name="_Toc38438401"/>
      <w:bookmarkStart w:id="3075" w:name="_Toc38438738"/>
      <w:bookmarkStart w:id="3076" w:name="_Toc38439075"/>
      <w:bookmarkStart w:id="3077" w:name="_Toc38439412"/>
      <w:bookmarkStart w:id="3078" w:name="_Toc38439749"/>
      <w:bookmarkStart w:id="3079" w:name="_Toc38440086"/>
      <w:bookmarkStart w:id="3080" w:name="_Toc38440423"/>
      <w:bookmarkStart w:id="3081" w:name="_Toc38440955"/>
      <w:bookmarkStart w:id="3082" w:name="_Toc38441287"/>
      <w:bookmarkStart w:id="3083" w:name="_Toc38441619"/>
      <w:bookmarkStart w:id="3084" w:name="_Toc38441947"/>
      <w:bookmarkStart w:id="3085" w:name="_Toc38442279"/>
      <w:bookmarkStart w:id="3086" w:name="_Toc38442611"/>
      <w:bookmarkStart w:id="3087" w:name="_Toc38442942"/>
      <w:bookmarkStart w:id="3088" w:name="_Toc38443273"/>
      <w:bookmarkStart w:id="3089" w:name="_Toc38443604"/>
      <w:bookmarkStart w:id="3090" w:name="_Toc38443934"/>
      <w:bookmarkStart w:id="3091" w:name="_Toc38438402"/>
      <w:bookmarkStart w:id="3092" w:name="_Toc38438739"/>
      <w:bookmarkStart w:id="3093" w:name="_Toc38439076"/>
      <w:bookmarkStart w:id="3094" w:name="_Toc38439413"/>
      <w:bookmarkStart w:id="3095" w:name="_Toc38439750"/>
      <w:bookmarkStart w:id="3096" w:name="_Toc38440087"/>
      <w:bookmarkStart w:id="3097" w:name="_Toc38440424"/>
      <w:bookmarkStart w:id="3098" w:name="_Toc38440956"/>
      <w:bookmarkStart w:id="3099" w:name="_Toc38441288"/>
      <w:bookmarkStart w:id="3100" w:name="_Toc38441620"/>
      <w:bookmarkStart w:id="3101" w:name="_Toc38441948"/>
      <w:bookmarkStart w:id="3102" w:name="_Toc38442280"/>
      <w:bookmarkStart w:id="3103" w:name="_Toc38442612"/>
      <w:bookmarkStart w:id="3104" w:name="_Toc38442943"/>
      <w:bookmarkStart w:id="3105" w:name="_Toc38443274"/>
      <w:bookmarkStart w:id="3106" w:name="_Toc38443605"/>
      <w:bookmarkStart w:id="3107" w:name="_Toc38443935"/>
      <w:bookmarkStart w:id="3108" w:name="_Toc38438404"/>
      <w:bookmarkStart w:id="3109" w:name="_Toc38438741"/>
      <w:bookmarkStart w:id="3110" w:name="_Toc38439078"/>
      <w:bookmarkStart w:id="3111" w:name="_Toc38439415"/>
      <w:bookmarkStart w:id="3112" w:name="_Toc38439752"/>
      <w:bookmarkStart w:id="3113" w:name="_Toc38440089"/>
      <w:bookmarkStart w:id="3114" w:name="_Toc38440426"/>
      <w:bookmarkStart w:id="3115" w:name="_Toc38440958"/>
      <w:bookmarkStart w:id="3116" w:name="_Toc38441290"/>
      <w:bookmarkStart w:id="3117" w:name="_Toc38441622"/>
      <w:bookmarkStart w:id="3118" w:name="_Toc38441950"/>
      <w:bookmarkStart w:id="3119" w:name="_Toc38442282"/>
      <w:bookmarkStart w:id="3120" w:name="_Toc38442614"/>
      <w:bookmarkStart w:id="3121" w:name="_Toc38442945"/>
      <w:bookmarkStart w:id="3122" w:name="_Toc38443276"/>
      <w:bookmarkStart w:id="3123" w:name="_Toc38443607"/>
      <w:bookmarkStart w:id="3124" w:name="_Toc38443937"/>
      <w:bookmarkStart w:id="3125" w:name="_Toc38438405"/>
      <w:bookmarkStart w:id="3126" w:name="_Toc38438742"/>
      <w:bookmarkStart w:id="3127" w:name="_Toc38439079"/>
      <w:bookmarkStart w:id="3128" w:name="_Toc38439416"/>
      <w:bookmarkStart w:id="3129" w:name="_Toc38439753"/>
      <w:bookmarkStart w:id="3130" w:name="_Toc38440090"/>
      <w:bookmarkStart w:id="3131" w:name="_Toc38440427"/>
      <w:bookmarkStart w:id="3132" w:name="_Toc38440959"/>
      <w:bookmarkStart w:id="3133" w:name="_Toc38441291"/>
      <w:bookmarkStart w:id="3134" w:name="_Toc38441623"/>
      <w:bookmarkStart w:id="3135" w:name="_Toc38441951"/>
      <w:bookmarkStart w:id="3136" w:name="_Toc38442283"/>
      <w:bookmarkStart w:id="3137" w:name="_Toc38442615"/>
      <w:bookmarkStart w:id="3138" w:name="_Toc38442946"/>
      <w:bookmarkStart w:id="3139" w:name="_Toc38443277"/>
      <w:bookmarkStart w:id="3140" w:name="_Toc38443608"/>
      <w:bookmarkStart w:id="3141" w:name="_Toc38443938"/>
      <w:bookmarkStart w:id="3142" w:name="_Toc38438406"/>
      <w:bookmarkStart w:id="3143" w:name="_Toc38438743"/>
      <w:bookmarkStart w:id="3144" w:name="_Toc38439080"/>
      <w:bookmarkStart w:id="3145" w:name="_Toc38439417"/>
      <w:bookmarkStart w:id="3146" w:name="_Toc38439754"/>
      <w:bookmarkStart w:id="3147" w:name="_Toc38440091"/>
      <w:bookmarkStart w:id="3148" w:name="_Toc38440428"/>
      <w:bookmarkStart w:id="3149" w:name="_Toc38440960"/>
      <w:bookmarkStart w:id="3150" w:name="_Toc38441292"/>
      <w:bookmarkStart w:id="3151" w:name="_Toc38441624"/>
      <w:bookmarkStart w:id="3152" w:name="_Toc38441952"/>
      <w:bookmarkStart w:id="3153" w:name="_Toc38442284"/>
      <w:bookmarkStart w:id="3154" w:name="_Toc38442616"/>
      <w:bookmarkStart w:id="3155" w:name="_Toc38442947"/>
      <w:bookmarkStart w:id="3156" w:name="_Toc38443278"/>
      <w:bookmarkStart w:id="3157" w:name="_Toc38443609"/>
      <w:bookmarkStart w:id="3158" w:name="_Toc38443939"/>
      <w:bookmarkStart w:id="3159" w:name="_Toc38438407"/>
      <w:bookmarkStart w:id="3160" w:name="_Toc38438744"/>
      <w:bookmarkStart w:id="3161" w:name="_Toc38439081"/>
      <w:bookmarkStart w:id="3162" w:name="_Toc38439418"/>
      <w:bookmarkStart w:id="3163" w:name="_Toc38439755"/>
      <w:bookmarkStart w:id="3164" w:name="_Toc38440092"/>
      <w:bookmarkStart w:id="3165" w:name="_Toc38440429"/>
      <w:bookmarkStart w:id="3166" w:name="_Toc38440961"/>
      <w:bookmarkStart w:id="3167" w:name="_Toc38441293"/>
      <w:bookmarkStart w:id="3168" w:name="_Toc38441625"/>
      <w:bookmarkStart w:id="3169" w:name="_Toc38441953"/>
      <w:bookmarkStart w:id="3170" w:name="_Toc38442285"/>
      <w:bookmarkStart w:id="3171" w:name="_Toc38442617"/>
      <w:bookmarkStart w:id="3172" w:name="_Toc38442948"/>
      <w:bookmarkStart w:id="3173" w:name="_Toc38443279"/>
      <w:bookmarkStart w:id="3174" w:name="_Toc38443610"/>
      <w:bookmarkStart w:id="3175" w:name="_Toc38443940"/>
      <w:bookmarkStart w:id="3176" w:name="_Toc38438408"/>
      <w:bookmarkStart w:id="3177" w:name="_Toc38438745"/>
      <w:bookmarkStart w:id="3178" w:name="_Toc38439082"/>
      <w:bookmarkStart w:id="3179" w:name="_Toc38439419"/>
      <w:bookmarkStart w:id="3180" w:name="_Toc38439756"/>
      <w:bookmarkStart w:id="3181" w:name="_Toc38440093"/>
      <w:bookmarkStart w:id="3182" w:name="_Toc38440430"/>
      <w:bookmarkStart w:id="3183" w:name="_Toc38440962"/>
      <w:bookmarkStart w:id="3184" w:name="_Toc38441294"/>
      <w:bookmarkStart w:id="3185" w:name="_Toc38441626"/>
      <w:bookmarkStart w:id="3186" w:name="_Toc38441954"/>
      <w:bookmarkStart w:id="3187" w:name="_Toc38442286"/>
      <w:bookmarkStart w:id="3188" w:name="_Toc38442618"/>
      <w:bookmarkStart w:id="3189" w:name="_Toc38442949"/>
      <w:bookmarkStart w:id="3190" w:name="_Toc38443280"/>
      <w:bookmarkStart w:id="3191" w:name="_Toc38443611"/>
      <w:bookmarkStart w:id="3192" w:name="_Toc38443941"/>
      <w:bookmarkStart w:id="3193" w:name="_Toc38438409"/>
      <w:bookmarkStart w:id="3194" w:name="_Toc38438746"/>
      <w:bookmarkStart w:id="3195" w:name="_Toc38439083"/>
      <w:bookmarkStart w:id="3196" w:name="_Toc38439420"/>
      <w:bookmarkStart w:id="3197" w:name="_Toc38439757"/>
      <w:bookmarkStart w:id="3198" w:name="_Toc38440094"/>
      <w:bookmarkStart w:id="3199" w:name="_Toc38440431"/>
      <w:bookmarkStart w:id="3200" w:name="_Toc38440963"/>
      <w:bookmarkStart w:id="3201" w:name="_Toc38441295"/>
      <w:bookmarkStart w:id="3202" w:name="_Toc38441627"/>
      <w:bookmarkStart w:id="3203" w:name="_Toc38441955"/>
      <w:bookmarkStart w:id="3204" w:name="_Toc38442287"/>
      <w:bookmarkStart w:id="3205" w:name="_Toc38442619"/>
      <w:bookmarkStart w:id="3206" w:name="_Toc38442950"/>
      <w:bookmarkStart w:id="3207" w:name="_Toc38443281"/>
      <w:bookmarkStart w:id="3208" w:name="_Toc38443612"/>
      <w:bookmarkStart w:id="3209" w:name="_Toc38443942"/>
      <w:bookmarkStart w:id="3210" w:name="_Toc38438410"/>
      <w:bookmarkStart w:id="3211" w:name="_Toc38438747"/>
      <w:bookmarkStart w:id="3212" w:name="_Toc38439084"/>
      <w:bookmarkStart w:id="3213" w:name="_Toc38439421"/>
      <w:bookmarkStart w:id="3214" w:name="_Toc38439758"/>
      <w:bookmarkStart w:id="3215" w:name="_Toc38440095"/>
      <w:bookmarkStart w:id="3216" w:name="_Toc38440432"/>
      <w:bookmarkStart w:id="3217" w:name="_Toc38440964"/>
      <w:bookmarkStart w:id="3218" w:name="_Toc38441296"/>
      <w:bookmarkStart w:id="3219" w:name="_Toc38441628"/>
      <w:bookmarkStart w:id="3220" w:name="_Toc38441956"/>
      <w:bookmarkStart w:id="3221" w:name="_Toc38442288"/>
      <w:bookmarkStart w:id="3222" w:name="_Toc38442620"/>
      <w:bookmarkStart w:id="3223" w:name="_Toc38442951"/>
      <w:bookmarkStart w:id="3224" w:name="_Toc38443282"/>
      <w:bookmarkStart w:id="3225" w:name="_Toc38443613"/>
      <w:bookmarkStart w:id="3226" w:name="_Toc38443943"/>
      <w:bookmarkStart w:id="3227" w:name="_Toc38438411"/>
      <w:bookmarkStart w:id="3228" w:name="_Toc38438748"/>
      <w:bookmarkStart w:id="3229" w:name="_Toc38439085"/>
      <w:bookmarkStart w:id="3230" w:name="_Toc38439422"/>
      <w:bookmarkStart w:id="3231" w:name="_Toc38439759"/>
      <w:bookmarkStart w:id="3232" w:name="_Toc38440096"/>
      <w:bookmarkStart w:id="3233" w:name="_Toc38440433"/>
      <w:bookmarkStart w:id="3234" w:name="_Toc38440965"/>
      <w:bookmarkStart w:id="3235" w:name="_Toc38441297"/>
      <w:bookmarkStart w:id="3236" w:name="_Toc38441629"/>
      <w:bookmarkStart w:id="3237" w:name="_Toc38441957"/>
      <w:bookmarkStart w:id="3238" w:name="_Toc38442289"/>
      <w:bookmarkStart w:id="3239" w:name="_Toc38442621"/>
      <w:bookmarkStart w:id="3240" w:name="_Toc38442952"/>
      <w:bookmarkStart w:id="3241" w:name="_Toc38443283"/>
      <w:bookmarkStart w:id="3242" w:name="_Toc38443614"/>
      <w:bookmarkStart w:id="3243" w:name="_Toc38443944"/>
      <w:bookmarkStart w:id="3244" w:name="_Toc38438412"/>
      <w:bookmarkStart w:id="3245" w:name="_Toc38438749"/>
      <w:bookmarkStart w:id="3246" w:name="_Toc38439086"/>
      <w:bookmarkStart w:id="3247" w:name="_Toc38439423"/>
      <w:bookmarkStart w:id="3248" w:name="_Toc38439760"/>
      <w:bookmarkStart w:id="3249" w:name="_Toc38440097"/>
      <w:bookmarkStart w:id="3250" w:name="_Toc38440434"/>
      <w:bookmarkStart w:id="3251" w:name="_Toc38440966"/>
      <w:bookmarkStart w:id="3252" w:name="_Toc38441298"/>
      <w:bookmarkStart w:id="3253" w:name="_Toc38441630"/>
      <w:bookmarkStart w:id="3254" w:name="_Toc38441958"/>
      <w:bookmarkStart w:id="3255" w:name="_Toc38442290"/>
      <w:bookmarkStart w:id="3256" w:name="_Toc38442622"/>
      <w:bookmarkStart w:id="3257" w:name="_Toc38442953"/>
      <w:bookmarkStart w:id="3258" w:name="_Toc38443284"/>
      <w:bookmarkStart w:id="3259" w:name="_Toc38443615"/>
      <w:bookmarkStart w:id="3260" w:name="_Toc38443945"/>
      <w:bookmarkStart w:id="3261" w:name="_Toc38438413"/>
      <w:bookmarkStart w:id="3262" w:name="_Toc38438750"/>
      <w:bookmarkStart w:id="3263" w:name="_Toc38439087"/>
      <w:bookmarkStart w:id="3264" w:name="_Toc38439424"/>
      <w:bookmarkStart w:id="3265" w:name="_Toc38439761"/>
      <w:bookmarkStart w:id="3266" w:name="_Toc38440098"/>
      <w:bookmarkStart w:id="3267" w:name="_Toc38440435"/>
      <w:bookmarkStart w:id="3268" w:name="_Toc38440967"/>
      <w:bookmarkStart w:id="3269" w:name="_Toc38441299"/>
      <w:bookmarkStart w:id="3270" w:name="_Toc38441631"/>
      <w:bookmarkStart w:id="3271" w:name="_Toc38441959"/>
      <w:bookmarkStart w:id="3272" w:name="_Toc38442291"/>
      <w:bookmarkStart w:id="3273" w:name="_Toc38442623"/>
      <w:bookmarkStart w:id="3274" w:name="_Toc38442954"/>
      <w:bookmarkStart w:id="3275" w:name="_Toc38443285"/>
      <w:bookmarkStart w:id="3276" w:name="_Toc38443616"/>
      <w:bookmarkStart w:id="3277" w:name="_Toc38443946"/>
      <w:bookmarkStart w:id="3278" w:name="_Toc38438414"/>
      <w:bookmarkStart w:id="3279" w:name="_Toc38438751"/>
      <w:bookmarkStart w:id="3280" w:name="_Toc38439088"/>
      <w:bookmarkStart w:id="3281" w:name="_Toc38439425"/>
      <w:bookmarkStart w:id="3282" w:name="_Toc38439762"/>
      <w:bookmarkStart w:id="3283" w:name="_Toc38440099"/>
      <w:bookmarkStart w:id="3284" w:name="_Toc38440436"/>
      <w:bookmarkStart w:id="3285" w:name="_Toc38440968"/>
      <w:bookmarkStart w:id="3286" w:name="_Toc38441300"/>
      <w:bookmarkStart w:id="3287" w:name="_Toc38441632"/>
      <w:bookmarkStart w:id="3288" w:name="_Toc38441960"/>
      <w:bookmarkStart w:id="3289" w:name="_Toc38442292"/>
      <w:bookmarkStart w:id="3290" w:name="_Toc38442624"/>
      <w:bookmarkStart w:id="3291" w:name="_Toc38442955"/>
      <w:bookmarkStart w:id="3292" w:name="_Toc38443286"/>
      <w:bookmarkStart w:id="3293" w:name="_Toc38443617"/>
      <w:bookmarkStart w:id="3294" w:name="_Toc38443947"/>
      <w:bookmarkStart w:id="3295" w:name="_Toc38438415"/>
      <w:bookmarkStart w:id="3296" w:name="_Toc38438752"/>
      <w:bookmarkStart w:id="3297" w:name="_Toc38439089"/>
      <w:bookmarkStart w:id="3298" w:name="_Toc38439426"/>
      <w:bookmarkStart w:id="3299" w:name="_Toc38439763"/>
      <w:bookmarkStart w:id="3300" w:name="_Toc38440100"/>
      <w:bookmarkStart w:id="3301" w:name="_Toc38440437"/>
      <w:bookmarkStart w:id="3302" w:name="_Toc38440969"/>
      <w:bookmarkStart w:id="3303" w:name="_Toc38441301"/>
      <w:bookmarkStart w:id="3304" w:name="_Toc38441633"/>
      <w:bookmarkStart w:id="3305" w:name="_Toc38441961"/>
      <w:bookmarkStart w:id="3306" w:name="_Toc38442293"/>
      <w:bookmarkStart w:id="3307" w:name="_Toc38442625"/>
      <w:bookmarkStart w:id="3308" w:name="_Toc38442956"/>
      <w:bookmarkStart w:id="3309" w:name="_Toc38443287"/>
      <w:bookmarkStart w:id="3310" w:name="_Toc38443618"/>
      <w:bookmarkStart w:id="3311" w:name="_Toc38443948"/>
      <w:bookmarkStart w:id="3312" w:name="_Toc38438416"/>
      <w:bookmarkStart w:id="3313" w:name="_Toc38438753"/>
      <w:bookmarkStart w:id="3314" w:name="_Toc38439090"/>
      <w:bookmarkStart w:id="3315" w:name="_Toc38439427"/>
      <w:bookmarkStart w:id="3316" w:name="_Toc38439764"/>
      <w:bookmarkStart w:id="3317" w:name="_Toc38440101"/>
      <w:bookmarkStart w:id="3318" w:name="_Toc38440438"/>
      <w:bookmarkStart w:id="3319" w:name="_Toc38440970"/>
      <w:bookmarkStart w:id="3320" w:name="_Toc38441302"/>
      <w:bookmarkStart w:id="3321" w:name="_Toc38441634"/>
      <w:bookmarkStart w:id="3322" w:name="_Toc38441962"/>
      <w:bookmarkStart w:id="3323" w:name="_Toc38442294"/>
      <w:bookmarkStart w:id="3324" w:name="_Toc38442626"/>
      <w:bookmarkStart w:id="3325" w:name="_Toc38442957"/>
      <w:bookmarkStart w:id="3326" w:name="_Toc38443288"/>
      <w:bookmarkStart w:id="3327" w:name="_Toc38443619"/>
      <w:bookmarkStart w:id="3328" w:name="_Toc38443949"/>
      <w:bookmarkStart w:id="3329" w:name="_Toc38438417"/>
      <w:bookmarkStart w:id="3330" w:name="_Toc38438754"/>
      <w:bookmarkStart w:id="3331" w:name="_Toc38439091"/>
      <w:bookmarkStart w:id="3332" w:name="_Toc38439428"/>
      <w:bookmarkStart w:id="3333" w:name="_Toc38439765"/>
      <w:bookmarkStart w:id="3334" w:name="_Toc38440102"/>
      <w:bookmarkStart w:id="3335" w:name="_Toc38440439"/>
      <w:bookmarkStart w:id="3336" w:name="_Toc38440971"/>
      <w:bookmarkStart w:id="3337" w:name="_Toc38441303"/>
      <w:bookmarkStart w:id="3338" w:name="_Toc38441635"/>
      <w:bookmarkStart w:id="3339" w:name="_Toc38441963"/>
      <w:bookmarkStart w:id="3340" w:name="_Toc38442295"/>
      <w:bookmarkStart w:id="3341" w:name="_Toc38442627"/>
      <w:bookmarkStart w:id="3342" w:name="_Toc38442958"/>
      <w:bookmarkStart w:id="3343" w:name="_Toc38443289"/>
      <w:bookmarkStart w:id="3344" w:name="_Toc38443620"/>
      <w:bookmarkStart w:id="3345" w:name="_Toc38443950"/>
      <w:bookmarkStart w:id="3346" w:name="_Toc38438418"/>
      <w:bookmarkStart w:id="3347" w:name="_Toc38438755"/>
      <w:bookmarkStart w:id="3348" w:name="_Toc38439092"/>
      <w:bookmarkStart w:id="3349" w:name="_Toc38439429"/>
      <w:bookmarkStart w:id="3350" w:name="_Toc38439766"/>
      <w:bookmarkStart w:id="3351" w:name="_Toc38440103"/>
      <w:bookmarkStart w:id="3352" w:name="_Toc38440440"/>
      <w:bookmarkStart w:id="3353" w:name="_Toc38440972"/>
      <w:bookmarkStart w:id="3354" w:name="_Toc38441304"/>
      <w:bookmarkStart w:id="3355" w:name="_Toc38441636"/>
      <w:bookmarkStart w:id="3356" w:name="_Toc38441964"/>
      <w:bookmarkStart w:id="3357" w:name="_Toc38442296"/>
      <w:bookmarkStart w:id="3358" w:name="_Toc38442628"/>
      <w:bookmarkStart w:id="3359" w:name="_Toc38442959"/>
      <w:bookmarkStart w:id="3360" w:name="_Toc38443290"/>
      <w:bookmarkStart w:id="3361" w:name="_Toc38443621"/>
      <w:bookmarkStart w:id="3362" w:name="_Toc38443951"/>
      <w:bookmarkStart w:id="3363" w:name="_Toc38438419"/>
      <w:bookmarkStart w:id="3364" w:name="_Toc38438756"/>
      <w:bookmarkStart w:id="3365" w:name="_Toc38439093"/>
      <w:bookmarkStart w:id="3366" w:name="_Toc38439430"/>
      <w:bookmarkStart w:id="3367" w:name="_Toc38439767"/>
      <w:bookmarkStart w:id="3368" w:name="_Toc38440104"/>
      <w:bookmarkStart w:id="3369" w:name="_Toc38440441"/>
      <w:bookmarkStart w:id="3370" w:name="_Toc38440973"/>
      <w:bookmarkStart w:id="3371" w:name="_Toc38441305"/>
      <w:bookmarkStart w:id="3372" w:name="_Toc38441637"/>
      <w:bookmarkStart w:id="3373" w:name="_Toc38441965"/>
      <w:bookmarkStart w:id="3374" w:name="_Toc38442297"/>
      <w:bookmarkStart w:id="3375" w:name="_Toc38442629"/>
      <w:bookmarkStart w:id="3376" w:name="_Toc38442960"/>
      <w:bookmarkStart w:id="3377" w:name="_Toc38443291"/>
      <w:bookmarkStart w:id="3378" w:name="_Toc38443622"/>
      <w:bookmarkStart w:id="3379" w:name="_Toc38443952"/>
      <w:bookmarkStart w:id="3380" w:name="_Toc38438420"/>
      <w:bookmarkStart w:id="3381" w:name="_Toc38438757"/>
      <w:bookmarkStart w:id="3382" w:name="_Toc38439094"/>
      <w:bookmarkStart w:id="3383" w:name="_Toc38439431"/>
      <w:bookmarkStart w:id="3384" w:name="_Toc38439768"/>
      <w:bookmarkStart w:id="3385" w:name="_Toc38440105"/>
      <w:bookmarkStart w:id="3386" w:name="_Toc38440442"/>
      <w:bookmarkStart w:id="3387" w:name="_Toc38440974"/>
      <w:bookmarkStart w:id="3388" w:name="_Toc38441306"/>
      <w:bookmarkStart w:id="3389" w:name="_Toc38441638"/>
      <w:bookmarkStart w:id="3390" w:name="_Toc38441966"/>
      <w:bookmarkStart w:id="3391" w:name="_Toc38442298"/>
      <w:bookmarkStart w:id="3392" w:name="_Toc38442630"/>
      <w:bookmarkStart w:id="3393" w:name="_Toc38442961"/>
      <w:bookmarkStart w:id="3394" w:name="_Toc38443292"/>
      <w:bookmarkStart w:id="3395" w:name="_Toc38443623"/>
      <w:bookmarkStart w:id="3396" w:name="_Toc38443953"/>
      <w:bookmarkStart w:id="3397" w:name="_Toc38438421"/>
      <w:bookmarkStart w:id="3398" w:name="_Toc38438758"/>
      <w:bookmarkStart w:id="3399" w:name="_Toc38439095"/>
      <w:bookmarkStart w:id="3400" w:name="_Toc38439432"/>
      <w:bookmarkStart w:id="3401" w:name="_Toc38439769"/>
      <w:bookmarkStart w:id="3402" w:name="_Toc38440106"/>
      <w:bookmarkStart w:id="3403" w:name="_Toc38440443"/>
      <w:bookmarkStart w:id="3404" w:name="_Toc38440975"/>
      <w:bookmarkStart w:id="3405" w:name="_Toc38441307"/>
      <w:bookmarkStart w:id="3406" w:name="_Toc38441639"/>
      <w:bookmarkStart w:id="3407" w:name="_Toc38441967"/>
      <w:bookmarkStart w:id="3408" w:name="_Toc38442299"/>
      <w:bookmarkStart w:id="3409" w:name="_Toc38442631"/>
      <w:bookmarkStart w:id="3410" w:name="_Toc38442962"/>
      <w:bookmarkStart w:id="3411" w:name="_Toc38443293"/>
      <w:bookmarkStart w:id="3412" w:name="_Toc38443624"/>
      <w:bookmarkStart w:id="3413" w:name="_Toc38443954"/>
      <w:bookmarkStart w:id="3414" w:name="_Toc38438422"/>
      <w:bookmarkStart w:id="3415" w:name="_Toc38438759"/>
      <w:bookmarkStart w:id="3416" w:name="_Toc38439096"/>
      <w:bookmarkStart w:id="3417" w:name="_Toc38439433"/>
      <w:bookmarkStart w:id="3418" w:name="_Toc38439770"/>
      <w:bookmarkStart w:id="3419" w:name="_Toc38440107"/>
      <w:bookmarkStart w:id="3420" w:name="_Toc38440444"/>
      <w:bookmarkStart w:id="3421" w:name="_Toc38440976"/>
      <w:bookmarkStart w:id="3422" w:name="_Toc38441308"/>
      <w:bookmarkStart w:id="3423" w:name="_Toc38441640"/>
      <w:bookmarkStart w:id="3424" w:name="_Toc38441968"/>
      <w:bookmarkStart w:id="3425" w:name="_Toc38442300"/>
      <w:bookmarkStart w:id="3426" w:name="_Toc38442632"/>
      <w:bookmarkStart w:id="3427" w:name="_Toc38442963"/>
      <w:bookmarkStart w:id="3428" w:name="_Toc38443294"/>
      <w:bookmarkStart w:id="3429" w:name="_Toc38443625"/>
      <w:bookmarkStart w:id="3430" w:name="_Toc38443955"/>
      <w:bookmarkStart w:id="3431" w:name="_Toc38438423"/>
      <w:bookmarkStart w:id="3432" w:name="_Toc38438760"/>
      <w:bookmarkStart w:id="3433" w:name="_Toc38439097"/>
      <w:bookmarkStart w:id="3434" w:name="_Toc38439434"/>
      <w:bookmarkStart w:id="3435" w:name="_Toc38439771"/>
      <w:bookmarkStart w:id="3436" w:name="_Toc38440108"/>
      <w:bookmarkStart w:id="3437" w:name="_Toc38440445"/>
      <w:bookmarkStart w:id="3438" w:name="_Toc38440977"/>
      <w:bookmarkStart w:id="3439" w:name="_Toc38441309"/>
      <w:bookmarkStart w:id="3440" w:name="_Toc38441641"/>
      <w:bookmarkStart w:id="3441" w:name="_Toc38441969"/>
      <w:bookmarkStart w:id="3442" w:name="_Toc38442301"/>
      <w:bookmarkStart w:id="3443" w:name="_Toc38442633"/>
      <w:bookmarkStart w:id="3444" w:name="_Toc38442964"/>
      <w:bookmarkStart w:id="3445" w:name="_Toc38443295"/>
      <w:bookmarkStart w:id="3446" w:name="_Toc38443626"/>
      <w:bookmarkStart w:id="3447" w:name="_Toc38443956"/>
      <w:bookmarkStart w:id="3448" w:name="_Toc38438424"/>
      <w:bookmarkStart w:id="3449" w:name="_Toc38438761"/>
      <w:bookmarkStart w:id="3450" w:name="_Toc38439098"/>
      <w:bookmarkStart w:id="3451" w:name="_Toc38439435"/>
      <w:bookmarkStart w:id="3452" w:name="_Toc38439772"/>
      <w:bookmarkStart w:id="3453" w:name="_Toc38440109"/>
      <w:bookmarkStart w:id="3454" w:name="_Toc38440446"/>
      <w:bookmarkStart w:id="3455" w:name="_Toc38440978"/>
      <w:bookmarkStart w:id="3456" w:name="_Toc38441310"/>
      <w:bookmarkStart w:id="3457" w:name="_Toc38441642"/>
      <w:bookmarkStart w:id="3458" w:name="_Toc38441970"/>
      <w:bookmarkStart w:id="3459" w:name="_Toc38442302"/>
      <w:bookmarkStart w:id="3460" w:name="_Toc38442634"/>
      <w:bookmarkStart w:id="3461" w:name="_Toc38442965"/>
      <w:bookmarkStart w:id="3462" w:name="_Toc38443296"/>
      <w:bookmarkStart w:id="3463" w:name="_Toc38443627"/>
      <w:bookmarkStart w:id="3464" w:name="_Toc38443957"/>
      <w:bookmarkStart w:id="3465" w:name="_Toc38438425"/>
      <w:bookmarkStart w:id="3466" w:name="_Toc38438762"/>
      <w:bookmarkStart w:id="3467" w:name="_Toc38439099"/>
      <w:bookmarkStart w:id="3468" w:name="_Toc38439436"/>
      <w:bookmarkStart w:id="3469" w:name="_Toc38439773"/>
      <w:bookmarkStart w:id="3470" w:name="_Toc38440110"/>
      <w:bookmarkStart w:id="3471" w:name="_Toc38440447"/>
      <w:bookmarkStart w:id="3472" w:name="_Toc38440979"/>
      <w:bookmarkStart w:id="3473" w:name="_Toc38441311"/>
      <w:bookmarkStart w:id="3474" w:name="_Toc38441643"/>
      <w:bookmarkStart w:id="3475" w:name="_Toc38441971"/>
      <w:bookmarkStart w:id="3476" w:name="_Toc38442303"/>
      <w:bookmarkStart w:id="3477" w:name="_Toc38442635"/>
      <w:bookmarkStart w:id="3478" w:name="_Toc38442966"/>
      <w:bookmarkStart w:id="3479" w:name="_Toc38443297"/>
      <w:bookmarkStart w:id="3480" w:name="_Toc38443628"/>
      <w:bookmarkStart w:id="3481" w:name="_Toc38443958"/>
      <w:bookmarkStart w:id="3482" w:name="_Toc38438426"/>
      <w:bookmarkStart w:id="3483" w:name="_Toc38438763"/>
      <w:bookmarkStart w:id="3484" w:name="_Toc38439100"/>
      <w:bookmarkStart w:id="3485" w:name="_Toc38439437"/>
      <w:bookmarkStart w:id="3486" w:name="_Toc38439774"/>
      <w:bookmarkStart w:id="3487" w:name="_Toc38440111"/>
      <w:bookmarkStart w:id="3488" w:name="_Toc38440448"/>
      <w:bookmarkStart w:id="3489" w:name="_Toc38440980"/>
      <w:bookmarkStart w:id="3490" w:name="_Toc38441312"/>
      <w:bookmarkStart w:id="3491" w:name="_Toc38441644"/>
      <w:bookmarkStart w:id="3492" w:name="_Toc38441972"/>
      <w:bookmarkStart w:id="3493" w:name="_Toc38442304"/>
      <w:bookmarkStart w:id="3494" w:name="_Toc38442636"/>
      <w:bookmarkStart w:id="3495" w:name="_Toc38442967"/>
      <w:bookmarkStart w:id="3496" w:name="_Toc38443298"/>
      <w:bookmarkStart w:id="3497" w:name="_Toc38443629"/>
      <w:bookmarkStart w:id="3498" w:name="_Toc38443959"/>
      <w:bookmarkStart w:id="3499" w:name="_Toc38438427"/>
      <w:bookmarkStart w:id="3500" w:name="_Toc38438764"/>
      <w:bookmarkStart w:id="3501" w:name="_Toc38439101"/>
      <w:bookmarkStart w:id="3502" w:name="_Toc38439438"/>
      <w:bookmarkStart w:id="3503" w:name="_Toc38439775"/>
      <w:bookmarkStart w:id="3504" w:name="_Toc38440112"/>
      <w:bookmarkStart w:id="3505" w:name="_Toc38440449"/>
      <w:bookmarkStart w:id="3506" w:name="_Toc38440981"/>
      <w:bookmarkStart w:id="3507" w:name="_Toc38441313"/>
      <w:bookmarkStart w:id="3508" w:name="_Toc38441645"/>
      <w:bookmarkStart w:id="3509" w:name="_Toc38441973"/>
      <w:bookmarkStart w:id="3510" w:name="_Toc38442305"/>
      <w:bookmarkStart w:id="3511" w:name="_Toc38442637"/>
      <w:bookmarkStart w:id="3512" w:name="_Toc38442968"/>
      <w:bookmarkStart w:id="3513" w:name="_Toc38443299"/>
      <w:bookmarkStart w:id="3514" w:name="_Toc38443630"/>
      <w:bookmarkStart w:id="3515" w:name="_Toc38443960"/>
      <w:bookmarkStart w:id="3516" w:name="_Toc38438428"/>
      <w:bookmarkStart w:id="3517" w:name="_Toc38438765"/>
      <w:bookmarkStart w:id="3518" w:name="_Toc38439102"/>
      <w:bookmarkStart w:id="3519" w:name="_Toc38439439"/>
      <w:bookmarkStart w:id="3520" w:name="_Toc38439776"/>
      <w:bookmarkStart w:id="3521" w:name="_Toc38440113"/>
      <w:bookmarkStart w:id="3522" w:name="_Toc38440450"/>
      <w:bookmarkStart w:id="3523" w:name="_Toc38440982"/>
      <w:bookmarkStart w:id="3524" w:name="_Toc38441314"/>
      <w:bookmarkStart w:id="3525" w:name="_Toc38441646"/>
      <w:bookmarkStart w:id="3526" w:name="_Toc38441974"/>
      <w:bookmarkStart w:id="3527" w:name="_Toc38442306"/>
      <w:bookmarkStart w:id="3528" w:name="_Toc38442638"/>
      <w:bookmarkStart w:id="3529" w:name="_Toc38442969"/>
      <w:bookmarkStart w:id="3530" w:name="_Toc38443300"/>
      <w:bookmarkStart w:id="3531" w:name="_Toc38443631"/>
      <w:bookmarkStart w:id="3532" w:name="_Toc38443961"/>
      <w:bookmarkStart w:id="3533" w:name="_Toc38438429"/>
      <w:bookmarkStart w:id="3534" w:name="_Toc38438766"/>
      <w:bookmarkStart w:id="3535" w:name="_Toc38439103"/>
      <w:bookmarkStart w:id="3536" w:name="_Toc38439440"/>
      <w:bookmarkStart w:id="3537" w:name="_Toc38439777"/>
      <w:bookmarkStart w:id="3538" w:name="_Toc38440114"/>
      <w:bookmarkStart w:id="3539" w:name="_Toc38440451"/>
      <w:bookmarkStart w:id="3540" w:name="_Toc38440983"/>
      <w:bookmarkStart w:id="3541" w:name="_Toc38441315"/>
      <w:bookmarkStart w:id="3542" w:name="_Toc38441647"/>
      <w:bookmarkStart w:id="3543" w:name="_Toc38441975"/>
      <w:bookmarkStart w:id="3544" w:name="_Toc38442307"/>
      <w:bookmarkStart w:id="3545" w:name="_Toc38442639"/>
      <w:bookmarkStart w:id="3546" w:name="_Toc38442970"/>
      <w:bookmarkStart w:id="3547" w:name="_Toc38443301"/>
      <w:bookmarkStart w:id="3548" w:name="_Toc38443632"/>
      <w:bookmarkStart w:id="3549" w:name="_Toc38443962"/>
      <w:bookmarkStart w:id="3550" w:name="_Toc38438430"/>
      <w:bookmarkStart w:id="3551" w:name="_Toc38438767"/>
      <w:bookmarkStart w:id="3552" w:name="_Toc38439104"/>
      <w:bookmarkStart w:id="3553" w:name="_Toc38439441"/>
      <w:bookmarkStart w:id="3554" w:name="_Toc38439778"/>
      <w:bookmarkStart w:id="3555" w:name="_Toc38440115"/>
      <w:bookmarkStart w:id="3556" w:name="_Toc38440452"/>
      <w:bookmarkStart w:id="3557" w:name="_Toc38440984"/>
      <w:bookmarkStart w:id="3558" w:name="_Toc38441316"/>
      <w:bookmarkStart w:id="3559" w:name="_Toc38441648"/>
      <w:bookmarkStart w:id="3560" w:name="_Toc38441976"/>
      <w:bookmarkStart w:id="3561" w:name="_Toc38442308"/>
      <w:bookmarkStart w:id="3562" w:name="_Toc38442640"/>
      <w:bookmarkStart w:id="3563" w:name="_Toc38442971"/>
      <w:bookmarkStart w:id="3564" w:name="_Toc38443302"/>
      <w:bookmarkStart w:id="3565" w:name="_Toc38443633"/>
      <w:bookmarkStart w:id="3566" w:name="_Toc38443963"/>
      <w:bookmarkStart w:id="3567" w:name="_Toc38438431"/>
      <w:bookmarkStart w:id="3568" w:name="_Toc38438768"/>
      <w:bookmarkStart w:id="3569" w:name="_Toc38439105"/>
      <w:bookmarkStart w:id="3570" w:name="_Toc38439442"/>
      <w:bookmarkStart w:id="3571" w:name="_Toc38439779"/>
      <w:bookmarkStart w:id="3572" w:name="_Toc38440116"/>
      <w:bookmarkStart w:id="3573" w:name="_Toc38440453"/>
      <w:bookmarkStart w:id="3574" w:name="_Toc38440985"/>
      <w:bookmarkStart w:id="3575" w:name="_Toc38441317"/>
      <w:bookmarkStart w:id="3576" w:name="_Toc38441649"/>
      <w:bookmarkStart w:id="3577" w:name="_Toc38441977"/>
      <w:bookmarkStart w:id="3578" w:name="_Toc38442309"/>
      <w:bookmarkStart w:id="3579" w:name="_Toc38442641"/>
      <w:bookmarkStart w:id="3580" w:name="_Toc38442972"/>
      <w:bookmarkStart w:id="3581" w:name="_Toc38443303"/>
      <w:bookmarkStart w:id="3582" w:name="_Toc38443634"/>
      <w:bookmarkStart w:id="3583" w:name="_Toc38443964"/>
      <w:bookmarkStart w:id="3584" w:name="_Toc38438432"/>
      <w:bookmarkStart w:id="3585" w:name="_Toc38438769"/>
      <w:bookmarkStart w:id="3586" w:name="_Toc38439106"/>
      <w:bookmarkStart w:id="3587" w:name="_Toc38439443"/>
      <w:bookmarkStart w:id="3588" w:name="_Toc38439780"/>
      <w:bookmarkStart w:id="3589" w:name="_Toc38440117"/>
      <w:bookmarkStart w:id="3590" w:name="_Toc38440454"/>
      <w:bookmarkStart w:id="3591" w:name="_Toc38440986"/>
      <w:bookmarkStart w:id="3592" w:name="_Toc38441318"/>
      <w:bookmarkStart w:id="3593" w:name="_Toc38441650"/>
      <w:bookmarkStart w:id="3594" w:name="_Toc38441978"/>
      <w:bookmarkStart w:id="3595" w:name="_Toc38442310"/>
      <w:bookmarkStart w:id="3596" w:name="_Toc38442642"/>
      <w:bookmarkStart w:id="3597" w:name="_Toc38442973"/>
      <w:bookmarkStart w:id="3598" w:name="_Toc38443304"/>
      <w:bookmarkStart w:id="3599" w:name="_Toc38443635"/>
      <w:bookmarkStart w:id="3600" w:name="_Toc38443965"/>
      <w:bookmarkStart w:id="3601" w:name="_Toc38438433"/>
      <w:bookmarkStart w:id="3602" w:name="_Toc38438770"/>
      <w:bookmarkStart w:id="3603" w:name="_Toc38439107"/>
      <w:bookmarkStart w:id="3604" w:name="_Toc38439444"/>
      <w:bookmarkStart w:id="3605" w:name="_Toc38439781"/>
      <w:bookmarkStart w:id="3606" w:name="_Toc38440118"/>
      <w:bookmarkStart w:id="3607" w:name="_Toc38440455"/>
      <w:bookmarkStart w:id="3608" w:name="_Toc38440987"/>
      <w:bookmarkStart w:id="3609" w:name="_Toc38441319"/>
      <w:bookmarkStart w:id="3610" w:name="_Toc38441651"/>
      <w:bookmarkStart w:id="3611" w:name="_Toc38441979"/>
      <w:bookmarkStart w:id="3612" w:name="_Toc38442311"/>
      <w:bookmarkStart w:id="3613" w:name="_Toc38442643"/>
      <w:bookmarkStart w:id="3614" w:name="_Toc38442974"/>
      <w:bookmarkStart w:id="3615" w:name="_Toc38443305"/>
      <w:bookmarkStart w:id="3616" w:name="_Toc38443636"/>
      <w:bookmarkStart w:id="3617" w:name="_Toc38443966"/>
      <w:bookmarkStart w:id="3618" w:name="_Toc38438434"/>
      <w:bookmarkStart w:id="3619" w:name="_Toc38438771"/>
      <w:bookmarkStart w:id="3620" w:name="_Toc38439108"/>
      <w:bookmarkStart w:id="3621" w:name="_Toc38439445"/>
      <w:bookmarkStart w:id="3622" w:name="_Toc38439782"/>
      <w:bookmarkStart w:id="3623" w:name="_Toc38440119"/>
      <w:bookmarkStart w:id="3624" w:name="_Toc38440456"/>
      <w:bookmarkStart w:id="3625" w:name="_Toc38440988"/>
      <w:bookmarkStart w:id="3626" w:name="_Toc38441320"/>
      <w:bookmarkStart w:id="3627" w:name="_Toc38441652"/>
      <w:bookmarkStart w:id="3628" w:name="_Toc38441980"/>
      <w:bookmarkStart w:id="3629" w:name="_Toc38442312"/>
      <w:bookmarkStart w:id="3630" w:name="_Toc38442644"/>
      <w:bookmarkStart w:id="3631" w:name="_Toc38442975"/>
      <w:bookmarkStart w:id="3632" w:name="_Toc38443306"/>
      <w:bookmarkStart w:id="3633" w:name="_Toc38443637"/>
      <w:bookmarkStart w:id="3634" w:name="_Toc38443967"/>
      <w:bookmarkStart w:id="3635" w:name="_Toc38438435"/>
      <w:bookmarkStart w:id="3636" w:name="_Toc38438772"/>
      <w:bookmarkStart w:id="3637" w:name="_Toc38439109"/>
      <w:bookmarkStart w:id="3638" w:name="_Toc38439446"/>
      <w:bookmarkStart w:id="3639" w:name="_Toc38439783"/>
      <w:bookmarkStart w:id="3640" w:name="_Toc38440120"/>
      <w:bookmarkStart w:id="3641" w:name="_Toc38440457"/>
      <w:bookmarkStart w:id="3642" w:name="_Toc38440989"/>
      <w:bookmarkStart w:id="3643" w:name="_Toc38441321"/>
      <w:bookmarkStart w:id="3644" w:name="_Toc38441653"/>
      <w:bookmarkStart w:id="3645" w:name="_Toc38441981"/>
      <w:bookmarkStart w:id="3646" w:name="_Toc38442313"/>
      <w:bookmarkStart w:id="3647" w:name="_Toc38442645"/>
      <w:bookmarkStart w:id="3648" w:name="_Toc38442976"/>
      <w:bookmarkStart w:id="3649" w:name="_Toc38443307"/>
      <w:bookmarkStart w:id="3650" w:name="_Toc38443638"/>
      <w:bookmarkStart w:id="3651" w:name="_Toc38443968"/>
      <w:bookmarkStart w:id="3652" w:name="_Toc38438436"/>
      <w:bookmarkStart w:id="3653" w:name="_Toc38438773"/>
      <w:bookmarkStart w:id="3654" w:name="_Toc38439110"/>
      <w:bookmarkStart w:id="3655" w:name="_Toc38439447"/>
      <w:bookmarkStart w:id="3656" w:name="_Toc38439784"/>
      <w:bookmarkStart w:id="3657" w:name="_Toc38440121"/>
      <w:bookmarkStart w:id="3658" w:name="_Toc38440458"/>
      <w:bookmarkStart w:id="3659" w:name="_Toc38440990"/>
      <w:bookmarkStart w:id="3660" w:name="_Toc38441322"/>
      <w:bookmarkStart w:id="3661" w:name="_Toc38441654"/>
      <w:bookmarkStart w:id="3662" w:name="_Toc38441982"/>
      <w:bookmarkStart w:id="3663" w:name="_Toc38442314"/>
      <w:bookmarkStart w:id="3664" w:name="_Toc38442646"/>
      <w:bookmarkStart w:id="3665" w:name="_Toc38442977"/>
      <w:bookmarkStart w:id="3666" w:name="_Toc38443308"/>
      <w:bookmarkStart w:id="3667" w:name="_Toc38443639"/>
      <w:bookmarkStart w:id="3668" w:name="_Toc38443969"/>
      <w:bookmarkStart w:id="3669" w:name="_Toc38438437"/>
      <w:bookmarkStart w:id="3670" w:name="_Toc38438774"/>
      <w:bookmarkStart w:id="3671" w:name="_Toc38439111"/>
      <w:bookmarkStart w:id="3672" w:name="_Toc38439448"/>
      <w:bookmarkStart w:id="3673" w:name="_Toc38439785"/>
      <w:bookmarkStart w:id="3674" w:name="_Toc38440122"/>
      <w:bookmarkStart w:id="3675" w:name="_Toc38440459"/>
      <w:bookmarkStart w:id="3676" w:name="_Toc38440991"/>
      <w:bookmarkStart w:id="3677" w:name="_Toc38441323"/>
      <w:bookmarkStart w:id="3678" w:name="_Toc38441655"/>
      <w:bookmarkStart w:id="3679" w:name="_Toc38441983"/>
      <w:bookmarkStart w:id="3680" w:name="_Toc38442315"/>
      <w:bookmarkStart w:id="3681" w:name="_Toc38442647"/>
      <w:bookmarkStart w:id="3682" w:name="_Toc38442978"/>
      <w:bookmarkStart w:id="3683" w:name="_Toc38443309"/>
      <w:bookmarkStart w:id="3684" w:name="_Toc38443640"/>
      <w:bookmarkStart w:id="3685" w:name="_Toc38443970"/>
      <w:bookmarkStart w:id="3686" w:name="_Toc38438438"/>
      <w:bookmarkStart w:id="3687" w:name="_Toc38438775"/>
      <w:bookmarkStart w:id="3688" w:name="_Toc38439112"/>
      <w:bookmarkStart w:id="3689" w:name="_Toc38439449"/>
      <w:bookmarkStart w:id="3690" w:name="_Toc38439786"/>
      <w:bookmarkStart w:id="3691" w:name="_Toc38440123"/>
      <w:bookmarkStart w:id="3692" w:name="_Toc38440460"/>
      <w:bookmarkStart w:id="3693" w:name="_Toc38440992"/>
      <w:bookmarkStart w:id="3694" w:name="_Toc38441324"/>
      <w:bookmarkStart w:id="3695" w:name="_Toc38441656"/>
      <w:bookmarkStart w:id="3696" w:name="_Toc38441984"/>
      <w:bookmarkStart w:id="3697" w:name="_Toc38442316"/>
      <w:bookmarkStart w:id="3698" w:name="_Toc38442648"/>
      <w:bookmarkStart w:id="3699" w:name="_Toc38442979"/>
      <w:bookmarkStart w:id="3700" w:name="_Toc38443310"/>
      <w:bookmarkStart w:id="3701" w:name="_Toc38443641"/>
      <w:bookmarkStart w:id="3702" w:name="_Toc38443971"/>
      <w:bookmarkStart w:id="3703" w:name="_Toc38438439"/>
      <w:bookmarkStart w:id="3704" w:name="_Toc38438776"/>
      <w:bookmarkStart w:id="3705" w:name="_Toc38439113"/>
      <w:bookmarkStart w:id="3706" w:name="_Toc38439450"/>
      <w:bookmarkStart w:id="3707" w:name="_Toc38439787"/>
      <w:bookmarkStart w:id="3708" w:name="_Toc38440124"/>
      <w:bookmarkStart w:id="3709" w:name="_Toc38440461"/>
      <w:bookmarkStart w:id="3710" w:name="_Toc38440993"/>
      <w:bookmarkStart w:id="3711" w:name="_Toc38441325"/>
      <w:bookmarkStart w:id="3712" w:name="_Toc38441657"/>
      <w:bookmarkStart w:id="3713" w:name="_Toc38441985"/>
      <w:bookmarkStart w:id="3714" w:name="_Toc38442317"/>
      <w:bookmarkStart w:id="3715" w:name="_Toc38442649"/>
      <w:bookmarkStart w:id="3716" w:name="_Toc38442980"/>
      <w:bookmarkStart w:id="3717" w:name="_Toc38443311"/>
      <w:bookmarkStart w:id="3718" w:name="_Toc38443642"/>
      <w:bookmarkStart w:id="3719" w:name="_Toc38443972"/>
      <w:bookmarkStart w:id="3720" w:name="_Toc38438440"/>
      <w:bookmarkStart w:id="3721" w:name="_Toc38438777"/>
      <w:bookmarkStart w:id="3722" w:name="_Toc38439114"/>
      <w:bookmarkStart w:id="3723" w:name="_Toc38439451"/>
      <w:bookmarkStart w:id="3724" w:name="_Toc38439788"/>
      <w:bookmarkStart w:id="3725" w:name="_Toc38440125"/>
      <w:bookmarkStart w:id="3726" w:name="_Toc38440462"/>
      <w:bookmarkStart w:id="3727" w:name="_Toc38440994"/>
      <w:bookmarkStart w:id="3728" w:name="_Toc38441326"/>
      <w:bookmarkStart w:id="3729" w:name="_Toc38441658"/>
      <w:bookmarkStart w:id="3730" w:name="_Toc38441986"/>
      <w:bookmarkStart w:id="3731" w:name="_Toc38442318"/>
      <w:bookmarkStart w:id="3732" w:name="_Toc38442650"/>
      <w:bookmarkStart w:id="3733" w:name="_Toc38442981"/>
      <w:bookmarkStart w:id="3734" w:name="_Toc38443312"/>
      <w:bookmarkStart w:id="3735" w:name="_Toc38443643"/>
      <w:bookmarkStart w:id="3736" w:name="_Toc38443973"/>
      <w:bookmarkStart w:id="3737" w:name="_Toc38438441"/>
      <w:bookmarkStart w:id="3738" w:name="_Toc38438778"/>
      <w:bookmarkStart w:id="3739" w:name="_Toc38439115"/>
      <w:bookmarkStart w:id="3740" w:name="_Toc38439452"/>
      <w:bookmarkStart w:id="3741" w:name="_Toc38439789"/>
      <w:bookmarkStart w:id="3742" w:name="_Toc38440126"/>
      <w:bookmarkStart w:id="3743" w:name="_Toc38440463"/>
      <w:bookmarkStart w:id="3744" w:name="_Toc38440995"/>
      <w:bookmarkStart w:id="3745" w:name="_Toc38441327"/>
      <w:bookmarkStart w:id="3746" w:name="_Toc38441659"/>
      <w:bookmarkStart w:id="3747" w:name="_Toc38441987"/>
      <w:bookmarkStart w:id="3748" w:name="_Toc38442319"/>
      <w:bookmarkStart w:id="3749" w:name="_Toc38442651"/>
      <w:bookmarkStart w:id="3750" w:name="_Toc38442982"/>
      <w:bookmarkStart w:id="3751" w:name="_Toc38443313"/>
      <w:bookmarkStart w:id="3752" w:name="_Toc38443644"/>
      <w:bookmarkStart w:id="3753" w:name="_Toc38443974"/>
      <w:bookmarkStart w:id="3754" w:name="_Toc38438442"/>
      <w:bookmarkStart w:id="3755" w:name="_Toc38438779"/>
      <w:bookmarkStart w:id="3756" w:name="_Toc38439116"/>
      <w:bookmarkStart w:id="3757" w:name="_Toc38439453"/>
      <w:bookmarkStart w:id="3758" w:name="_Toc38439790"/>
      <w:bookmarkStart w:id="3759" w:name="_Toc38440127"/>
      <w:bookmarkStart w:id="3760" w:name="_Toc38440464"/>
      <w:bookmarkStart w:id="3761" w:name="_Toc38440996"/>
      <w:bookmarkStart w:id="3762" w:name="_Toc38441328"/>
      <w:bookmarkStart w:id="3763" w:name="_Toc38441660"/>
      <w:bookmarkStart w:id="3764" w:name="_Toc38441988"/>
      <w:bookmarkStart w:id="3765" w:name="_Toc38442320"/>
      <w:bookmarkStart w:id="3766" w:name="_Toc38442652"/>
      <w:bookmarkStart w:id="3767" w:name="_Toc38442983"/>
      <w:bookmarkStart w:id="3768" w:name="_Toc38443314"/>
      <w:bookmarkStart w:id="3769" w:name="_Toc38443645"/>
      <w:bookmarkStart w:id="3770" w:name="_Toc38443975"/>
      <w:bookmarkStart w:id="3771" w:name="_Toc38438443"/>
      <w:bookmarkStart w:id="3772" w:name="_Toc38438780"/>
      <w:bookmarkStart w:id="3773" w:name="_Toc38439117"/>
      <w:bookmarkStart w:id="3774" w:name="_Toc38439454"/>
      <w:bookmarkStart w:id="3775" w:name="_Toc38439791"/>
      <w:bookmarkStart w:id="3776" w:name="_Toc38440128"/>
      <w:bookmarkStart w:id="3777" w:name="_Toc38440465"/>
      <w:bookmarkStart w:id="3778" w:name="_Toc38440997"/>
      <w:bookmarkStart w:id="3779" w:name="_Toc38441329"/>
      <w:bookmarkStart w:id="3780" w:name="_Toc38441661"/>
      <w:bookmarkStart w:id="3781" w:name="_Toc38441989"/>
      <w:bookmarkStart w:id="3782" w:name="_Toc38442321"/>
      <w:bookmarkStart w:id="3783" w:name="_Toc38442653"/>
      <w:bookmarkStart w:id="3784" w:name="_Toc38442984"/>
      <w:bookmarkStart w:id="3785" w:name="_Toc38443315"/>
      <w:bookmarkStart w:id="3786" w:name="_Toc38443646"/>
      <w:bookmarkStart w:id="3787" w:name="_Toc38443976"/>
      <w:bookmarkStart w:id="3788" w:name="_Toc38438444"/>
      <w:bookmarkStart w:id="3789" w:name="_Toc38438781"/>
      <w:bookmarkStart w:id="3790" w:name="_Toc38439118"/>
      <w:bookmarkStart w:id="3791" w:name="_Toc38439455"/>
      <w:bookmarkStart w:id="3792" w:name="_Toc38439792"/>
      <w:bookmarkStart w:id="3793" w:name="_Toc38440129"/>
      <w:bookmarkStart w:id="3794" w:name="_Toc38440466"/>
      <w:bookmarkStart w:id="3795" w:name="_Toc38440998"/>
      <w:bookmarkStart w:id="3796" w:name="_Toc38441330"/>
      <w:bookmarkStart w:id="3797" w:name="_Toc38441662"/>
      <w:bookmarkStart w:id="3798" w:name="_Toc38441990"/>
      <w:bookmarkStart w:id="3799" w:name="_Toc38442322"/>
      <w:bookmarkStart w:id="3800" w:name="_Toc38442654"/>
      <w:bookmarkStart w:id="3801" w:name="_Toc38442985"/>
      <w:bookmarkStart w:id="3802" w:name="_Toc38443316"/>
      <w:bookmarkStart w:id="3803" w:name="_Toc38443647"/>
      <w:bookmarkStart w:id="3804" w:name="_Toc38443977"/>
      <w:bookmarkStart w:id="3805" w:name="_Toc38438445"/>
      <w:bookmarkStart w:id="3806" w:name="_Toc38438782"/>
      <w:bookmarkStart w:id="3807" w:name="_Toc38439119"/>
      <w:bookmarkStart w:id="3808" w:name="_Toc38439456"/>
      <w:bookmarkStart w:id="3809" w:name="_Toc38439793"/>
      <w:bookmarkStart w:id="3810" w:name="_Toc38440130"/>
      <w:bookmarkStart w:id="3811" w:name="_Toc38440467"/>
      <w:bookmarkStart w:id="3812" w:name="_Toc38440999"/>
      <w:bookmarkStart w:id="3813" w:name="_Toc38441331"/>
      <w:bookmarkStart w:id="3814" w:name="_Toc38441663"/>
      <w:bookmarkStart w:id="3815" w:name="_Toc38441991"/>
      <w:bookmarkStart w:id="3816" w:name="_Toc38442323"/>
      <w:bookmarkStart w:id="3817" w:name="_Toc38442655"/>
      <w:bookmarkStart w:id="3818" w:name="_Toc38442986"/>
      <w:bookmarkStart w:id="3819" w:name="_Toc38443317"/>
      <w:bookmarkStart w:id="3820" w:name="_Toc38443648"/>
      <w:bookmarkStart w:id="3821" w:name="_Toc38443978"/>
      <w:bookmarkStart w:id="3822" w:name="_Toc38438446"/>
      <w:bookmarkStart w:id="3823" w:name="_Toc38438783"/>
      <w:bookmarkStart w:id="3824" w:name="_Toc38439120"/>
      <w:bookmarkStart w:id="3825" w:name="_Toc38439457"/>
      <w:bookmarkStart w:id="3826" w:name="_Toc38439794"/>
      <w:bookmarkStart w:id="3827" w:name="_Toc38440131"/>
      <w:bookmarkStart w:id="3828" w:name="_Toc38440468"/>
      <w:bookmarkStart w:id="3829" w:name="_Toc38441000"/>
      <w:bookmarkStart w:id="3830" w:name="_Toc38441332"/>
      <w:bookmarkStart w:id="3831" w:name="_Toc38441664"/>
      <w:bookmarkStart w:id="3832" w:name="_Toc38441992"/>
      <w:bookmarkStart w:id="3833" w:name="_Toc38442324"/>
      <w:bookmarkStart w:id="3834" w:name="_Toc38442656"/>
      <w:bookmarkStart w:id="3835" w:name="_Toc38442987"/>
      <w:bookmarkStart w:id="3836" w:name="_Toc38443318"/>
      <w:bookmarkStart w:id="3837" w:name="_Toc38443649"/>
      <w:bookmarkStart w:id="3838" w:name="_Toc38443979"/>
      <w:bookmarkStart w:id="3839" w:name="_Toc38438447"/>
      <w:bookmarkStart w:id="3840" w:name="_Toc38438784"/>
      <w:bookmarkStart w:id="3841" w:name="_Toc38439121"/>
      <w:bookmarkStart w:id="3842" w:name="_Toc38439458"/>
      <w:bookmarkStart w:id="3843" w:name="_Toc38439795"/>
      <w:bookmarkStart w:id="3844" w:name="_Toc38440132"/>
      <w:bookmarkStart w:id="3845" w:name="_Toc38440469"/>
      <w:bookmarkStart w:id="3846" w:name="_Toc38441001"/>
      <w:bookmarkStart w:id="3847" w:name="_Toc38441333"/>
      <w:bookmarkStart w:id="3848" w:name="_Toc38441665"/>
      <w:bookmarkStart w:id="3849" w:name="_Toc38441993"/>
      <w:bookmarkStart w:id="3850" w:name="_Toc38442325"/>
      <w:bookmarkStart w:id="3851" w:name="_Toc38442657"/>
      <w:bookmarkStart w:id="3852" w:name="_Toc38442988"/>
      <w:bookmarkStart w:id="3853" w:name="_Toc38443319"/>
      <w:bookmarkStart w:id="3854" w:name="_Toc38443650"/>
      <w:bookmarkStart w:id="3855" w:name="_Toc38443980"/>
      <w:bookmarkStart w:id="3856" w:name="_Toc38438448"/>
      <w:bookmarkStart w:id="3857" w:name="_Toc38438785"/>
      <w:bookmarkStart w:id="3858" w:name="_Toc38439122"/>
      <w:bookmarkStart w:id="3859" w:name="_Toc38439459"/>
      <w:bookmarkStart w:id="3860" w:name="_Toc38439796"/>
      <w:bookmarkStart w:id="3861" w:name="_Toc38440133"/>
      <w:bookmarkStart w:id="3862" w:name="_Toc38440470"/>
      <w:bookmarkStart w:id="3863" w:name="_Toc38441002"/>
      <w:bookmarkStart w:id="3864" w:name="_Toc38441334"/>
      <w:bookmarkStart w:id="3865" w:name="_Toc38441666"/>
      <w:bookmarkStart w:id="3866" w:name="_Toc38441994"/>
      <w:bookmarkStart w:id="3867" w:name="_Toc38442326"/>
      <w:bookmarkStart w:id="3868" w:name="_Toc38442658"/>
      <w:bookmarkStart w:id="3869" w:name="_Toc38442989"/>
      <w:bookmarkStart w:id="3870" w:name="_Toc38443320"/>
      <w:bookmarkStart w:id="3871" w:name="_Toc38443651"/>
      <w:bookmarkStart w:id="3872" w:name="_Toc38443981"/>
      <w:bookmarkStart w:id="3873" w:name="_Toc38438449"/>
      <w:bookmarkStart w:id="3874" w:name="_Toc38438786"/>
      <w:bookmarkStart w:id="3875" w:name="_Toc38439123"/>
      <w:bookmarkStart w:id="3876" w:name="_Toc38439460"/>
      <w:bookmarkStart w:id="3877" w:name="_Toc38439797"/>
      <w:bookmarkStart w:id="3878" w:name="_Toc38440134"/>
      <w:bookmarkStart w:id="3879" w:name="_Toc38440471"/>
      <w:bookmarkStart w:id="3880" w:name="_Toc38441003"/>
      <w:bookmarkStart w:id="3881" w:name="_Toc38441335"/>
      <w:bookmarkStart w:id="3882" w:name="_Toc38441667"/>
      <w:bookmarkStart w:id="3883" w:name="_Toc38441995"/>
      <w:bookmarkStart w:id="3884" w:name="_Toc38442327"/>
      <w:bookmarkStart w:id="3885" w:name="_Toc38442659"/>
      <w:bookmarkStart w:id="3886" w:name="_Toc38442990"/>
      <w:bookmarkStart w:id="3887" w:name="_Toc38443321"/>
      <w:bookmarkStart w:id="3888" w:name="_Toc38443652"/>
      <w:bookmarkStart w:id="3889" w:name="_Toc38443982"/>
      <w:bookmarkStart w:id="3890" w:name="_Toc38438450"/>
      <w:bookmarkStart w:id="3891" w:name="_Toc38438787"/>
      <w:bookmarkStart w:id="3892" w:name="_Toc38439124"/>
      <w:bookmarkStart w:id="3893" w:name="_Toc38439461"/>
      <w:bookmarkStart w:id="3894" w:name="_Toc38439798"/>
      <w:bookmarkStart w:id="3895" w:name="_Toc38440135"/>
      <w:bookmarkStart w:id="3896" w:name="_Toc38440472"/>
      <w:bookmarkStart w:id="3897" w:name="_Toc38441004"/>
      <w:bookmarkStart w:id="3898" w:name="_Toc38441336"/>
      <w:bookmarkStart w:id="3899" w:name="_Toc38441668"/>
      <w:bookmarkStart w:id="3900" w:name="_Toc38441996"/>
      <w:bookmarkStart w:id="3901" w:name="_Toc38442328"/>
      <w:bookmarkStart w:id="3902" w:name="_Toc38442660"/>
      <w:bookmarkStart w:id="3903" w:name="_Toc38442991"/>
      <w:bookmarkStart w:id="3904" w:name="_Toc38443322"/>
      <w:bookmarkStart w:id="3905" w:name="_Toc38443653"/>
      <w:bookmarkStart w:id="3906" w:name="_Toc38443983"/>
      <w:bookmarkStart w:id="3907" w:name="_Toc38438451"/>
      <w:bookmarkStart w:id="3908" w:name="_Toc38438788"/>
      <w:bookmarkStart w:id="3909" w:name="_Toc38439125"/>
      <w:bookmarkStart w:id="3910" w:name="_Toc38439462"/>
      <w:bookmarkStart w:id="3911" w:name="_Toc38439799"/>
      <w:bookmarkStart w:id="3912" w:name="_Toc38440136"/>
      <w:bookmarkStart w:id="3913" w:name="_Toc38440473"/>
      <w:bookmarkStart w:id="3914" w:name="_Toc38441005"/>
      <w:bookmarkStart w:id="3915" w:name="_Toc38441337"/>
      <w:bookmarkStart w:id="3916" w:name="_Toc38441669"/>
      <w:bookmarkStart w:id="3917" w:name="_Toc38441997"/>
      <w:bookmarkStart w:id="3918" w:name="_Toc38442329"/>
      <w:bookmarkStart w:id="3919" w:name="_Toc38442661"/>
      <w:bookmarkStart w:id="3920" w:name="_Toc38442992"/>
      <w:bookmarkStart w:id="3921" w:name="_Toc38443323"/>
      <w:bookmarkStart w:id="3922" w:name="_Toc38443654"/>
      <w:bookmarkStart w:id="3923" w:name="_Toc38443984"/>
      <w:bookmarkStart w:id="3924" w:name="_Toc38438452"/>
      <w:bookmarkStart w:id="3925" w:name="_Toc38438789"/>
      <w:bookmarkStart w:id="3926" w:name="_Toc38439126"/>
      <w:bookmarkStart w:id="3927" w:name="_Toc38439463"/>
      <w:bookmarkStart w:id="3928" w:name="_Toc38439800"/>
      <w:bookmarkStart w:id="3929" w:name="_Toc38440137"/>
      <w:bookmarkStart w:id="3930" w:name="_Toc38440474"/>
      <w:bookmarkStart w:id="3931" w:name="_Toc38441006"/>
      <w:bookmarkStart w:id="3932" w:name="_Toc38441338"/>
      <w:bookmarkStart w:id="3933" w:name="_Toc38441670"/>
      <w:bookmarkStart w:id="3934" w:name="_Toc38441998"/>
      <w:bookmarkStart w:id="3935" w:name="_Toc38442330"/>
      <w:bookmarkStart w:id="3936" w:name="_Toc38442662"/>
      <w:bookmarkStart w:id="3937" w:name="_Toc38442993"/>
      <w:bookmarkStart w:id="3938" w:name="_Toc38443324"/>
      <w:bookmarkStart w:id="3939" w:name="_Toc38443655"/>
      <w:bookmarkStart w:id="3940" w:name="_Toc38443985"/>
      <w:bookmarkStart w:id="3941" w:name="_Toc38438453"/>
      <w:bookmarkStart w:id="3942" w:name="_Toc38438790"/>
      <w:bookmarkStart w:id="3943" w:name="_Toc38439127"/>
      <w:bookmarkStart w:id="3944" w:name="_Toc38439464"/>
      <w:bookmarkStart w:id="3945" w:name="_Toc38439801"/>
      <w:bookmarkStart w:id="3946" w:name="_Toc38440138"/>
      <w:bookmarkStart w:id="3947" w:name="_Toc38440475"/>
      <w:bookmarkStart w:id="3948" w:name="_Toc38441007"/>
      <w:bookmarkStart w:id="3949" w:name="_Toc38441339"/>
      <w:bookmarkStart w:id="3950" w:name="_Toc38441671"/>
      <w:bookmarkStart w:id="3951" w:name="_Toc38441999"/>
      <w:bookmarkStart w:id="3952" w:name="_Toc38442331"/>
      <w:bookmarkStart w:id="3953" w:name="_Toc38442663"/>
      <w:bookmarkStart w:id="3954" w:name="_Toc38442994"/>
      <w:bookmarkStart w:id="3955" w:name="_Toc38443325"/>
      <w:bookmarkStart w:id="3956" w:name="_Toc38443656"/>
      <w:bookmarkStart w:id="3957" w:name="_Toc38443986"/>
      <w:bookmarkStart w:id="3958" w:name="_Toc38438454"/>
      <w:bookmarkStart w:id="3959" w:name="_Toc38438791"/>
      <w:bookmarkStart w:id="3960" w:name="_Toc38439128"/>
      <w:bookmarkStart w:id="3961" w:name="_Toc38439465"/>
      <w:bookmarkStart w:id="3962" w:name="_Toc38439802"/>
      <w:bookmarkStart w:id="3963" w:name="_Toc38440139"/>
      <w:bookmarkStart w:id="3964" w:name="_Toc38440476"/>
      <w:bookmarkStart w:id="3965" w:name="_Toc38441008"/>
      <w:bookmarkStart w:id="3966" w:name="_Toc38441340"/>
      <w:bookmarkStart w:id="3967" w:name="_Toc38441672"/>
      <w:bookmarkStart w:id="3968" w:name="_Toc38442000"/>
      <w:bookmarkStart w:id="3969" w:name="_Toc38442332"/>
      <w:bookmarkStart w:id="3970" w:name="_Toc38442664"/>
      <w:bookmarkStart w:id="3971" w:name="_Toc38442995"/>
      <w:bookmarkStart w:id="3972" w:name="_Toc38443326"/>
      <w:bookmarkStart w:id="3973" w:name="_Toc38443657"/>
      <w:bookmarkStart w:id="3974" w:name="_Toc38443987"/>
      <w:bookmarkStart w:id="3975" w:name="_Toc38438455"/>
      <w:bookmarkStart w:id="3976" w:name="_Toc38438792"/>
      <w:bookmarkStart w:id="3977" w:name="_Toc38439129"/>
      <w:bookmarkStart w:id="3978" w:name="_Toc38439466"/>
      <w:bookmarkStart w:id="3979" w:name="_Toc38439803"/>
      <w:bookmarkStart w:id="3980" w:name="_Toc38440140"/>
      <w:bookmarkStart w:id="3981" w:name="_Toc38440477"/>
      <w:bookmarkStart w:id="3982" w:name="_Toc38441009"/>
      <w:bookmarkStart w:id="3983" w:name="_Toc38441341"/>
      <w:bookmarkStart w:id="3984" w:name="_Toc38441673"/>
      <w:bookmarkStart w:id="3985" w:name="_Toc38442001"/>
      <w:bookmarkStart w:id="3986" w:name="_Toc38442333"/>
      <w:bookmarkStart w:id="3987" w:name="_Toc38442665"/>
      <w:bookmarkStart w:id="3988" w:name="_Toc38442996"/>
      <w:bookmarkStart w:id="3989" w:name="_Toc38443327"/>
      <w:bookmarkStart w:id="3990" w:name="_Toc38443658"/>
      <w:bookmarkStart w:id="3991" w:name="_Toc38443988"/>
      <w:bookmarkStart w:id="3992" w:name="_Toc38438456"/>
      <w:bookmarkStart w:id="3993" w:name="_Toc38438793"/>
      <w:bookmarkStart w:id="3994" w:name="_Toc38439130"/>
      <w:bookmarkStart w:id="3995" w:name="_Toc38439467"/>
      <w:bookmarkStart w:id="3996" w:name="_Toc38439804"/>
      <w:bookmarkStart w:id="3997" w:name="_Toc38440141"/>
      <w:bookmarkStart w:id="3998" w:name="_Toc38440478"/>
      <w:bookmarkStart w:id="3999" w:name="_Toc38441010"/>
      <w:bookmarkStart w:id="4000" w:name="_Toc38441342"/>
      <w:bookmarkStart w:id="4001" w:name="_Toc38441674"/>
      <w:bookmarkStart w:id="4002" w:name="_Toc38442002"/>
      <w:bookmarkStart w:id="4003" w:name="_Toc38442334"/>
      <w:bookmarkStart w:id="4004" w:name="_Toc38442666"/>
      <w:bookmarkStart w:id="4005" w:name="_Toc38442997"/>
      <w:bookmarkStart w:id="4006" w:name="_Toc38443328"/>
      <w:bookmarkStart w:id="4007" w:name="_Toc38443659"/>
      <w:bookmarkStart w:id="4008" w:name="_Toc38443989"/>
      <w:bookmarkStart w:id="4009" w:name="_Toc38438457"/>
      <w:bookmarkStart w:id="4010" w:name="_Toc38438794"/>
      <w:bookmarkStart w:id="4011" w:name="_Toc38439131"/>
      <w:bookmarkStart w:id="4012" w:name="_Toc38439468"/>
      <w:bookmarkStart w:id="4013" w:name="_Toc38439805"/>
      <w:bookmarkStart w:id="4014" w:name="_Toc38440142"/>
      <w:bookmarkStart w:id="4015" w:name="_Toc38440479"/>
      <w:bookmarkStart w:id="4016" w:name="_Toc38441011"/>
      <w:bookmarkStart w:id="4017" w:name="_Toc38441343"/>
      <w:bookmarkStart w:id="4018" w:name="_Toc38441675"/>
      <w:bookmarkStart w:id="4019" w:name="_Toc38442003"/>
      <w:bookmarkStart w:id="4020" w:name="_Toc38442335"/>
      <w:bookmarkStart w:id="4021" w:name="_Toc38442667"/>
      <w:bookmarkStart w:id="4022" w:name="_Toc38442998"/>
      <w:bookmarkStart w:id="4023" w:name="_Toc38443329"/>
      <w:bookmarkStart w:id="4024" w:name="_Toc38443660"/>
      <w:bookmarkStart w:id="4025" w:name="_Toc38443990"/>
      <w:bookmarkStart w:id="4026" w:name="_Toc38438458"/>
      <w:bookmarkStart w:id="4027" w:name="_Toc38438795"/>
      <w:bookmarkStart w:id="4028" w:name="_Toc38439132"/>
      <w:bookmarkStart w:id="4029" w:name="_Toc38439469"/>
      <w:bookmarkStart w:id="4030" w:name="_Toc38439806"/>
      <w:bookmarkStart w:id="4031" w:name="_Toc38440143"/>
      <w:bookmarkStart w:id="4032" w:name="_Toc38440480"/>
      <w:bookmarkStart w:id="4033" w:name="_Toc38441012"/>
      <w:bookmarkStart w:id="4034" w:name="_Toc38441344"/>
      <w:bookmarkStart w:id="4035" w:name="_Toc38441676"/>
      <w:bookmarkStart w:id="4036" w:name="_Toc38442004"/>
      <w:bookmarkStart w:id="4037" w:name="_Toc38442336"/>
      <w:bookmarkStart w:id="4038" w:name="_Toc38442668"/>
      <w:bookmarkStart w:id="4039" w:name="_Toc38442999"/>
      <w:bookmarkStart w:id="4040" w:name="_Toc38443330"/>
      <w:bookmarkStart w:id="4041" w:name="_Toc38443661"/>
      <w:bookmarkStart w:id="4042" w:name="_Toc38443991"/>
      <w:bookmarkStart w:id="4043" w:name="_Toc83904219"/>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r w:rsidRPr="00C664D3">
        <w:rPr>
          <w:rFonts w:asciiTheme="minorEastAsia" w:eastAsiaTheme="minorEastAsia" w:hAnsiTheme="minorEastAsia"/>
          <w:color w:val="000000" w:themeColor="text1"/>
        </w:rPr>
        <w:lastRenderedPageBreak/>
        <w:t>招募说明书存放及查阅方式</w:t>
      </w:r>
      <w:bookmarkEnd w:id="4043"/>
    </w:p>
    <w:p w:rsidR="00A1091C" w:rsidRPr="00C664D3" w:rsidRDefault="00A1091C" w:rsidP="00AB77C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本《招募说明书》存放在基金管理人、</w:t>
      </w:r>
      <w:r w:rsidR="00D747EF" w:rsidRPr="00C664D3">
        <w:rPr>
          <w:rFonts w:asciiTheme="minorEastAsia" w:eastAsiaTheme="minorEastAsia" w:hAnsiTheme="minorEastAsia"/>
          <w:color w:val="000000" w:themeColor="text1"/>
          <w:szCs w:val="21"/>
        </w:rPr>
        <w:t>基金托管人及基金</w:t>
      </w:r>
      <w:r w:rsidR="00D747EF" w:rsidRPr="00C664D3">
        <w:rPr>
          <w:rFonts w:asciiTheme="minorEastAsia" w:eastAsiaTheme="minorEastAsia" w:hAnsiTheme="minorEastAsia" w:hint="eastAsia"/>
          <w:color w:val="000000" w:themeColor="text1"/>
          <w:szCs w:val="21"/>
        </w:rPr>
        <w:t>销售</w:t>
      </w:r>
      <w:r w:rsidR="00D747EF" w:rsidRPr="00C664D3">
        <w:rPr>
          <w:rFonts w:asciiTheme="minorEastAsia" w:eastAsiaTheme="minorEastAsia" w:hAnsiTheme="minorEastAsia"/>
          <w:color w:val="000000" w:themeColor="text1"/>
          <w:szCs w:val="21"/>
        </w:rPr>
        <w:t>机构</w:t>
      </w:r>
      <w:r w:rsidR="00BE4851" w:rsidRPr="00C664D3">
        <w:rPr>
          <w:rFonts w:asciiTheme="minorEastAsia" w:eastAsiaTheme="minorEastAsia" w:hAnsiTheme="minorEastAsia" w:hint="eastAsia"/>
          <w:color w:val="000000" w:themeColor="text1"/>
          <w:szCs w:val="21"/>
        </w:rPr>
        <w:t>处</w:t>
      </w:r>
      <w:r w:rsidRPr="00C664D3">
        <w:rPr>
          <w:rFonts w:asciiTheme="minorEastAsia" w:eastAsiaTheme="minorEastAsia" w:hAnsiTheme="minorEastAsia"/>
          <w:color w:val="000000" w:themeColor="text1"/>
          <w:szCs w:val="21"/>
        </w:rPr>
        <w:t>，投资者可在营业时间免费查阅，也可按工本费购买复印件。</w:t>
      </w:r>
    </w:p>
    <w:p w:rsidR="00A1091C" w:rsidRPr="00C664D3" w:rsidRDefault="00A1091C" w:rsidP="00AB77C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rPr>
        <w:t>基金管理人和基金托管人保证文本的内容与公告的内容完全一致。</w:t>
      </w:r>
    </w:p>
    <w:p w:rsidR="00A1091C" w:rsidRPr="00C664D3" w:rsidRDefault="00A1091C" w:rsidP="00AB77C1">
      <w:pPr>
        <w:pStyle w:val="11"/>
        <w:numPr>
          <w:ilvl w:val="0"/>
          <w:numId w:val="3"/>
        </w:numPr>
        <w:tabs>
          <w:tab w:val="clear" w:pos="7124"/>
          <w:tab w:val="num" w:pos="709"/>
        </w:tabs>
        <w:spacing w:beforeLines="0" w:afterLines="0" w:line="360" w:lineRule="auto"/>
        <w:ind w:left="0" w:firstLineChars="0" w:firstLine="0"/>
        <w:rPr>
          <w:rFonts w:asciiTheme="minorEastAsia" w:eastAsiaTheme="minorEastAsia" w:hAnsiTheme="minorEastAsia"/>
          <w:color w:val="000000" w:themeColor="text1"/>
        </w:rPr>
      </w:pPr>
      <w:bookmarkStart w:id="4044" w:name="_Toc83904220"/>
      <w:r w:rsidRPr="00C664D3">
        <w:rPr>
          <w:rFonts w:asciiTheme="minorEastAsia" w:eastAsiaTheme="minorEastAsia" w:hAnsiTheme="minorEastAsia"/>
          <w:color w:val="000000" w:themeColor="text1"/>
        </w:rPr>
        <w:lastRenderedPageBreak/>
        <w:t>备查文件</w:t>
      </w:r>
      <w:bookmarkEnd w:id="4044"/>
    </w:p>
    <w:p w:rsidR="00A1091C" w:rsidRPr="00C664D3" w:rsidRDefault="00A1091C" w:rsidP="00AB77C1">
      <w:pPr>
        <w:spacing w:line="360" w:lineRule="auto"/>
        <w:ind w:firstLine="480"/>
        <w:rPr>
          <w:rFonts w:asciiTheme="minorEastAsia" w:eastAsiaTheme="minorEastAsia" w:hAnsiTheme="minorEastAsia"/>
          <w:color w:val="000000" w:themeColor="text1"/>
          <w:szCs w:val="21"/>
        </w:rPr>
      </w:pPr>
    </w:p>
    <w:p w:rsidR="00D404FD" w:rsidRPr="00C664D3" w:rsidRDefault="00D404FD" w:rsidP="00AB77C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1、</w:t>
      </w:r>
      <w:r w:rsidRPr="00C664D3">
        <w:rPr>
          <w:rFonts w:asciiTheme="minorEastAsia" w:eastAsiaTheme="minorEastAsia" w:hAnsiTheme="minorEastAsia" w:hint="eastAsia"/>
          <w:color w:val="000000" w:themeColor="text1"/>
          <w:szCs w:val="21"/>
        </w:rPr>
        <w:tab/>
      </w:r>
      <w:r w:rsidR="0009112F" w:rsidRPr="00C664D3">
        <w:rPr>
          <w:rFonts w:asciiTheme="minorEastAsia" w:eastAsiaTheme="minorEastAsia" w:hAnsiTheme="minorEastAsia" w:hint="eastAsia"/>
          <w:color w:val="000000" w:themeColor="text1"/>
          <w:szCs w:val="21"/>
        </w:rPr>
        <w:t>中国证监会准予易方达</w:t>
      </w:r>
      <w:r w:rsidR="007B11AE" w:rsidRPr="00C664D3">
        <w:rPr>
          <w:rFonts w:asciiTheme="minorEastAsia" w:eastAsiaTheme="minorEastAsia" w:hAnsiTheme="minorEastAsia" w:hint="eastAsia"/>
          <w:color w:val="000000" w:themeColor="text1"/>
          <w:szCs w:val="21"/>
        </w:rPr>
        <w:t>标普信息科技指数</w:t>
      </w:r>
      <w:r w:rsidR="0009112F" w:rsidRPr="00C664D3">
        <w:rPr>
          <w:rFonts w:asciiTheme="minorEastAsia" w:eastAsiaTheme="minorEastAsia" w:hAnsiTheme="minorEastAsia" w:hint="eastAsia"/>
          <w:color w:val="000000" w:themeColor="text1"/>
          <w:szCs w:val="21"/>
        </w:rPr>
        <w:t>证券投资基金</w:t>
      </w:r>
      <w:r w:rsidR="00D12A88" w:rsidRPr="00C664D3">
        <w:rPr>
          <w:rFonts w:asciiTheme="minorEastAsia" w:eastAsiaTheme="minorEastAsia" w:hAnsiTheme="minorEastAsia" w:hint="eastAsia"/>
          <w:color w:val="000000" w:themeColor="text1"/>
          <w:szCs w:val="21"/>
        </w:rPr>
        <w:t>（LOF）</w:t>
      </w:r>
      <w:r w:rsidR="0009112F" w:rsidRPr="00C664D3">
        <w:rPr>
          <w:rFonts w:asciiTheme="minorEastAsia" w:eastAsiaTheme="minorEastAsia" w:hAnsiTheme="minorEastAsia" w:hint="eastAsia"/>
          <w:color w:val="000000" w:themeColor="text1"/>
          <w:szCs w:val="21"/>
        </w:rPr>
        <w:t>注册的文件</w:t>
      </w:r>
      <w:r w:rsidRPr="00C664D3">
        <w:rPr>
          <w:rFonts w:asciiTheme="minorEastAsia" w:eastAsiaTheme="minorEastAsia" w:hAnsiTheme="minorEastAsia" w:hint="eastAsia"/>
          <w:color w:val="000000" w:themeColor="text1"/>
          <w:szCs w:val="21"/>
        </w:rPr>
        <w:t>；</w:t>
      </w:r>
    </w:p>
    <w:p w:rsidR="00D404FD" w:rsidRPr="00C664D3" w:rsidRDefault="00D404FD" w:rsidP="00AB77C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2、</w:t>
      </w:r>
      <w:r w:rsidRPr="00C664D3">
        <w:rPr>
          <w:rFonts w:asciiTheme="minorEastAsia" w:eastAsiaTheme="minorEastAsia" w:hAnsiTheme="minorEastAsia" w:hint="eastAsia"/>
          <w:color w:val="000000" w:themeColor="text1"/>
          <w:szCs w:val="21"/>
        </w:rPr>
        <w:tab/>
        <w:t>《</w:t>
      </w:r>
      <w:r w:rsidR="00D12A88" w:rsidRPr="00C664D3">
        <w:rPr>
          <w:rFonts w:asciiTheme="minorEastAsia" w:eastAsiaTheme="minorEastAsia" w:hAnsiTheme="minorEastAsia" w:hint="eastAsia"/>
          <w:color w:val="000000" w:themeColor="text1"/>
          <w:szCs w:val="21"/>
        </w:rPr>
        <w:t>易方达</w:t>
      </w:r>
      <w:r w:rsidR="007B11AE" w:rsidRPr="00C664D3">
        <w:rPr>
          <w:rFonts w:asciiTheme="minorEastAsia" w:eastAsiaTheme="minorEastAsia" w:hAnsiTheme="minorEastAsia" w:hint="eastAsia"/>
          <w:color w:val="000000" w:themeColor="text1"/>
          <w:szCs w:val="21"/>
        </w:rPr>
        <w:t>标普信息科技指数</w:t>
      </w:r>
      <w:r w:rsidR="00D12A88" w:rsidRPr="00C664D3">
        <w:rPr>
          <w:rFonts w:asciiTheme="minorEastAsia" w:eastAsiaTheme="minorEastAsia" w:hAnsiTheme="minorEastAsia" w:hint="eastAsia"/>
          <w:color w:val="000000" w:themeColor="text1"/>
          <w:szCs w:val="21"/>
        </w:rPr>
        <w:t>证券投资基金（LOF）</w:t>
      </w:r>
      <w:r w:rsidRPr="00C664D3">
        <w:rPr>
          <w:rFonts w:asciiTheme="minorEastAsia" w:eastAsiaTheme="minorEastAsia" w:hAnsiTheme="minorEastAsia" w:hint="eastAsia"/>
          <w:color w:val="000000" w:themeColor="text1"/>
          <w:szCs w:val="21"/>
        </w:rPr>
        <w:t>基金合同》；</w:t>
      </w:r>
    </w:p>
    <w:p w:rsidR="00D404FD" w:rsidRPr="00C664D3" w:rsidRDefault="00D404FD" w:rsidP="00AB77C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3、</w:t>
      </w:r>
      <w:r w:rsidRPr="00C664D3">
        <w:rPr>
          <w:rFonts w:asciiTheme="minorEastAsia" w:eastAsiaTheme="minorEastAsia" w:hAnsiTheme="minorEastAsia" w:hint="eastAsia"/>
          <w:color w:val="000000" w:themeColor="text1"/>
          <w:szCs w:val="21"/>
        </w:rPr>
        <w:tab/>
        <w:t>《</w:t>
      </w:r>
      <w:r w:rsidR="00D12A88" w:rsidRPr="00C664D3">
        <w:rPr>
          <w:rFonts w:asciiTheme="minorEastAsia" w:eastAsiaTheme="minorEastAsia" w:hAnsiTheme="minorEastAsia" w:hint="eastAsia"/>
          <w:color w:val="000000" w:themeColor="text1"/>
          <w:szCs w:val="21"/>
        </w:rPr>
        <w:t>易方达</w:t>
      </w:r>
      <w:r w:rsidR="007B11AE" w:rsidRPr="00C664D3">
        <w:rPr>
          <w:rFonts w:asciiTheme="minorEastAsia" w:eastAsiaTheme="minorEastAsia" w:hAnsiTheme="minorEastAsia" w:hint="eastAsia"/>
          <w:color w:val="000000" w:themeColor="text1"/>
          <w:szCs w:val="21"/>
        </w:rPr>
        <w:t>标普信息科技指数</w:t>
      </w:r>
      <w:r w:rsidR="00D12A88" w:rsidRPr="00C664D3">
        <w:rPr>
          <w:rFonts w:asciiTheme="minorEastAsia" w:eastAsiaTheme="minorEastAsia" w:hAnsiTheme="minorEastAsia" w:hint="eastAsia"/>
          <w:color w:val="000000" w:themeColor="text1"/>
          <w:szCs w:val="21"/>
        </w:rPr>
        <w:t>证券投资基金（LOF）</w:t>
      </w:r>
      <w:r w:rsidRPr="00C664D3">
        <w:rPr>
          <w:rFonts w:asciiTheme="minorEastAsia" w:eastAsiaTheme="minorEastAsia" w:hAnsiTheme="minorEastAsia" w:hint="eastAsia"/>
          <w:color w:val="000000" w:themeColor="text1"/>
          <w:szCs w:val="21"/>
        </w:rPr>
        <w:t>托管协议》；</w:t>
      </w:r>
    </w:p>
    <w:p w:rsidR="00D404FD" w:rsidRPr="00C664D3" w:rsidRDefault="00D404FD" w:rsidP="00AB77C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4、</w:t>
      </w:r>
      <w:r w:rsidRPr="00C664D3">
        <w:rPr>
          <w:rFonts w:asciiTheme="minorEastAsia" w:eastAsiaTheme="minorEastAsia" w:hAnsiTheme="minorEastAsia" w:hint="eastAsia"/>
          <w:color w:val="000000" w:themeColor="text1"/>
          <w:szCs w:val="21"/>
        </w:rPr>
        <w:tab/>
        <w:t>法律意见书；</w:t>
      </w:r>
    </w:p>
    <w:p w:rsidR="00D404FD" w:rsidRPr="00C664D3" w:rsidRDefault="00D404FD" w:rsidP="00AB77C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5、</w:t>
      </w:r>
      <w:r w:rsidRPr="00C664D3">
        <w:rPr>
          <w:rFonts w:asciiTheme="minorEastAsia" w:eastAsiaTheme="minorEastAsia" w:hAnsiTheme="minorEastAsia" w:hint="eastAsia"/>
          <w:color w:val="000000" w:themeColor="text1"/>
          <w:szCs w:val="21"/>
        </w:rPr>
        <w:tab/>
        <w:t>基金管理人业务资格批件和营业执照；</w:t>
      </w:r>
    </w:p>
    <w:p w:rsidR="00D404FD" w:rsidRPr="00C664D3" w:rsidRDefault="00D404FD" w:rsidP="00AB77C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hint="eastAsia"/>
          <w:color w:val="000000" w:themeColor="text1"/>
          <w:szCs w:val="21"/>
        </w:rPr>
        <w:t>6、</w:t>
      </w:r>
      <w:r w:rsidRPr="00C664D3">
        <w:rPr>
          <w:rFonts w:asciiTheme="minorEastAsia" w:eastAsiaTheme="minorEastAsia" w:hAnsiTheme="minorEastAsia" w:hint="eastAsia"/>
          <w:color w:val="000000" w:themeColor="text1"/>
          <w:szCs w:val="21"/>
        </w:rPr>
        <w:tab/>
        <w:t>基金托管人业务资格批件和营业执照。</w:t>
      </w:r>
    </w:p>
    <w:p w:rsidR="00A1091C" w:rsidRPr="00C664D3" w:rsidRDefault="00A1091C" w:rsidP="00AB77C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存放地点：基金管理人、基金托管人处。</w:t>
      </w:r>
    </w:p>
    <w:p w:rsidR="00A1091C" w:rsidRPr="00C664D3" w:rsidRDefault="00A1091C" w:rsidP="00AB77C1">
      <w:pPr>
        <w:spacing w:line="360" w:lineRule="auto"/>
        <w:ind w:firstLine="480"/>
        <w:rPr>
          <w:rFonts w:asciiTheme="minorEastAsia" w:eastAsiaTheme="minorEastAsia" w:hAnsiTheme="minorEastAsia"/>
          <w:color w:val="000000" w:themeColor="text1"/>
          <w:szCs w:val="21"/>
        </w:rPr>
      </w:pPr>
      <w:r w:rsidRPr="00C664D3">
        <w:rPr>
          <w:rFonts w:asciiTheme="minorEastAsia" w:eastAsiaTheme="minorEastAsia" w:hAnsiTheme="minorEastAsia"/>
          <w:color w:val="000000" w:themeColor="text1"/>
          <w:szCs w:val="21"/>
        </w:rPr>
        <w:t>查阅方式：投资者可在营业时间免</w:t>
      </w:r>
      <w:bookmarkStart w:id="4045" w:name="_GoBack"/>
      <w:bookmarkEnd w:id="4045"/>
      <w:r w:rsidRPr="00C664D3">
        <w:rPr>
          <w:rFonts w:asciiTheme="minorEastAsia" w:eastAsiaTheme="minorEastAsia" w:hAnsiTheme="minorEastAsia"/>
          <w:color w:val="000000" w:themeColor="text1"/>
          <w:szCs w:val="21"/>
        </w:rPr>
        <w:t>费查阅，也可按工本费购买复印件。</w:t>
      </w:r>
    </w:p>
    <w:p w:rsidR="00A1091C" w:rsidRPr="00C664D3" w:rsidRDefault="00A1091C" w:rsidP="00AB77C1">
      <w:pPr>
        <w:spacing w:line="360" w:lineRule="auto"/>
        <w:ind w:firstLineChars="200" w:firstLine="420"/>
        <w:rPr>
          <w:rFonts w:asciiTheme="minorEastAsia" w:eastAsiaTheme="minorEastAsia" w:hAnsiTheme="minorEastAsia"/>
          <w:color w:val="000000" w:themeColor="text1"/>
          <w:szCs w:val="21"/>
        </w:rPr>
      </w:pPr>
    </w:p>
    <w:p w:rsidR="00A1091C" w:rsidRPr="00C664D3" w:rsidRDefault="00A1091C" w:rsidP="00AB77C1">
      <w:pPr>
        <w:spacing w:line="360" w:lineRule="auto"/>
        <w:jc w:val="right"/>
        <w:rPr>
          <w:rFonts w:asciiTheme="minorEastAsia" w:eastAsiaTheme="minorEastAsia" w:hAnsiTheme="minorEastAsia"/>
          <w:color w:val="000000" w:themeColor="text1"/>
          <w:szCs w:val="21"/>
        </w:rPr>
      </w:pPr>
    </w:p>
    <w:p w:rsidR="00A1091C" w:rsidRPr="00C664D3" w:rsidRDefault="00A1091C" w:rsidP="00AB77C1">
      <w:pPr>
        <w:spacing w:line="360" w:lineRule="auto"/>
        <w:rPr>
          <w:rFonts w:asciiTheme="minorEastAsia" w:eastAsiaTheme="minorEastAsia" w:hAnsiTheme="minorEastAsia"/>
          <w:color w:val="000000" w:themeColor="text1"/>
        </w:rPr>
      </w:pPr>
    </w:p>
    <w:p w:rsidR="00A24027" w:rsidRPr="00C664D3" w:rsidRDefault="004A7B05" w:rsidP="00AB77C1">
      <w:pPr>
        <w:adjustRightInd w:val="0"/>
        <w:snapToGrid w:val="0"/>
        <w:spacing w:line="360" w:lineRule="auto"/>
        <w:ind w:firstLine="420"/>
        <w:jc w:val="right"/>
        <w:rPr>
          <w:rFonts w:asciiTheme="minorEastAsia" w:eastAsiaTheme="minorEastAsia" w:hAnsiTheme="minorEastAsia"/>
          <w:color w:val="000000" w:themeColor="text1"/>
        </w:rPr>
      </w:pPr>
      <w:r w:rsidRPr="00C664D3">
        <w:rPr>
          <w:rFonts w:asciiTheme="minorEastAsia" w:eastAsiaTheme="minorEastAsia" w:hAnsiTheme="minorEastAsia" w:hint="eastAsia"/>
          <w:color w:val="000000" w:themeColor="text1"/>
        </w:rPr>
        <w:t>易方达基金管理有限公司</w:t>
      </w:r>
    </w:p>
    <w:p w:rsidR="004A7B05" w:rsidRPr="00C664D3" w:rsidRDefault="00144C72" w:rsidP="00AB77C1">
      <w:pPr>
        <w:adjustRightInd w:val="0"/>
        <w:snapToGrid w:val="0"/>
        <w:spacing w:line="360" w:lineRule="auto"/>
        <w:ind w:right="210" w:firstLine="420"/>
        <w:jc w:val="right"/>
        <w:rPr>
          <w:rFonts w:asciiTheme="minorEastAsia" w:eastAsiaTheme="minorEastAsia" w:hAnsiTheme="minorEastAsia"/>
          <w:color w:val="000000" w:themeColor="text1"/>
        </w:rPr>
      </w:pPr>
      <w:r w:rsidRPr="00C664D3">
        <w:rPr>
          <w:rFonts w:asciiTheme="minorEastAsia" w:eastAsiaTheme="minorEastAsia" w:hAnsiTheme="minorEastAsia"/>
          <w:color w:val="000000" w:themeColor="text1"/>
        </w:rPr>
        <w:t>2021年</w:t>
      </w:r>
      <w:r w:rsidR="00AC35F0" w:rsidRPr="00C664D3">
        <w:rPr>
          <w:rFonts w:asciiTheme="minorEastAsia" w:eastAsiaTheme="minorEastAsia" w:hAnsiTheme="minorEastAsia"/>
          <w:color w:val="000000" w:themeColor="text1"/>
        </w:rPr>
        <w:t>10</w:t>
      </w:r>
      <w:r w:rsidRPr="00C664D3">
        <w:rPr>
          <w:rFonts w:asciiTheme="minorEastAsia" w:eastAsiaTheme="minorEastAsia" w:hAnsiTheme="minorEastAsia"/>
          <w:color w:val="000000" w:themeColor="text1"/>
        </w:rPr>
        <w:t>月</w:t>
      </w:r>
      <w:r w:rsidR="008113B7">
        <w:rPr>
          <w:rFonts w:asciiTheme="minorEastAsia" w:eastAsiaTheme="minorEastAsia" w:hAnsiTheme="minorEastAsia"/>
          <w:color w:val="000000" w:themeColor="text1"/>
        </w:rPr>
        <w:t>1</w:t>
      </w:r>
      <w:r w:rsidRPr="00C664D3">
        <w:rPr>
          <w:rFonts w:asciiTheme="minorEastAsia" w:eastAsiaTheme="minorEastAsia" w:hAnsiTheme="minorEastAsia"/>
          <w:color w:val="000000" w:themeColor="text1"/>
        </w:rPr>
        <w:t>日</w:t>
      </w:r>
    </w:p>
    <w:sectPr w:rsidR="004A7B05" w:rsidRPr="00C664D3" w:rsidSect="00537B1A">
      <w:pgSz w:w="11906" w:h="16838" w:code="9"/>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900" w:rsidRDefault="00424900" w:rsidP="00645F87">
      <w:r>
        <w:separator/>
      </w:r>
    </w:p>
  </w:endnote>
  <w:endnote w:type="continuationSeparator" w:id="0">
    <w:p w:rsidR="00424900" w:rsidRDefault="00424900" w:rsidP="0064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0" w:usb1="00000000" w:usb2="00000010" w:usb3="00000000" w:csb0="00040000" w:csb1="00000000"/>
  </w:font>
  <w:font w:name="ˎ̥">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T54AB0ED3tCID-WinCharSetFFFF-H">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0C" w:rsidRDefault="00AF6C0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0C" w:rsidRDefault="00AF6C0C" w:rsidP="00E93AB2">
    <w:pPr>
      <w:pStyle w:val="a5"/>
      <w:ind w:rightChars="171" w:right="359" w:firstLineChars="1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0C" w:rsidRDefault="00AF6C0C" w:rsidP="00E93AB2">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0C" w:rsidRDefault="00AF6C0C" w:rsidP="00E16863">
    <w:pPr>
      <w:pStyle w:val="a5"/>
      <w:ind w:firstLine="360"/>
      <w:jc w:val="center"/>
    </w:pPr>
    <w:r>
      <w:fldChar w:fldCharType="begin"/>
    </w:r>
    <w:r>
      <w:instrText xml:space="preserve"> PAGE   \* MERGEFORMAT </w:instrText>
    </w:r>
    <w:r>
      <w:fldChar w:fldCharType="separate"/>
    </w:r>
    <w:r w:rsidR="008113B7" w:rsidRPr="008113B7">
      <w:rPr>
        <w:noProof/>
        <w:lang w:val="zh-CN"/>
      </w:rPr>
      <w:t>159</w:t>
    </w:r>
    <w:r>
      <w:rPr>
        <w:noProof/>
        <w:lang w:val="zh-CN"/>
      </w:rPr>
      <w:fldChar w:fldCharType="end"/>
    </w:r>
  </w:p>
  <w:p w:rsidR="00AF6C0C" w:rsidRDefault="00AF6C0C" w:rsidP="00E93AB2">
    <w:pPr>
      <w:pStyle w:val="a5"/>
      <w:ind w:rightChars="171" w:right="359"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0C" w:rsidRDefault="00AF6C0C" w:rsidP="00E16863">
    <w:pPr>
      <w:pStyle w:val="a5"/>
      <w:ind w:firstLine="360"/>
      <w:jc w:val="center"/>
    </w:pPr>
    <w:r>
      <w:fldChar w:fldCharType="begin"/>
    </w:r>
    <w:r>
      <w:instrText xml:space="preserve"> PAGE   \* MERGEFORMAT </w:instrText>
    </w:r>
    <w:r>
      <w:fldChar w:fldCharType="separate"/>
    </w:r>
    <w:r w:rsidRPr="00E16863">
      <w:rPr>
        <w:noProof/>
        <w:lang w:val="zh-CN"/>
      </w:rPr>
      <w:t>I</w:t>
    </w:r>
    <w:r>
      <w:rPr>
        <w:noProof/>
        <w:lang w:val="zh-CN"/>
      </w:rPr>
      <w:fldChar w:fldCharType="end"/>
    </w:r>
  </w:p>
  <w:p w:rsidR="00AF6C0C" w:rsidRDefault="00AF6C0C" w:rsidP="00E93AB2">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900" w:rsidRDefault="00424900" w:rsidP="00645F87">
      <w:r>
        <w:separator/>
      </w:r>
    </w:p>
  </w:footnote>
  <w:footnote w:type="continuationSeparator" w:id="0">
    <w:p w:rsidR="00424900" w:rsidRDefault="00424900" w:rsidP="00645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0C" w:rsidRDefault="00AF6C0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0C" w:rsidRDefault="00AF6C0C" w:rsidP="002C1E3F">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0C" w:rsidRDefault="00AF6C0C" w:rsidP="002C1E3F">
    <w:pPr>
      <w:pStyle w:val="a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0DA2"/>
    <w:multiLevelType w:val="multilevel"/>
    <w:tmpl w:val="05780DA2"/>
    <w:lvl w:ilvl="0">
      <w:start w:val="1"/>
      <w:numFmt w:val="decimal"/>
      <w:lvlText w:val="(%1)"/>
      <w:lvlJc w:val="left"/>
      <w:pPr>
        <w:ind w:left="840" w:hanging="420"/>
      </w:pPr>
      <w:rPr>
        <w:rFonts w:hint="default"/>
      </w:rPr>
    </w:lvl>
    <w:lvl w:ilvl="1">
      <w:start w:val="1"/>
      <w:numFmt w:val="decimal"/>
      <w:lvlText w:val="%2."/>
      <w:lvlJc w:val="left"/>
      <w:pPr>
        <w:ind w:left="1680" w:hanging="84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57E54C1"/>
    <w:multiLevelType w:val="hybridMultilevel"/>
    <w:tmpl w:val="3C8ACA3A"/>
    <w:lvl w:ilvl="0" w:tplc="04090013">
      <w:start w:val="1"/>
      <w:numFmt w:val="chineseCountingThousand"/>
      <w:lvlText w:val="%1、"/>
      <w:lvlJc w:val="left"/>
      <w:pPr>
        <w:ind w:left="840" w:hanging="420"/>
      </w:pPr>
    </w:lvl>
    <w:lvl w:ilvl="1" w:tplc="BA4436BC">
      <w:start w:val="1"/>
      <w:numFmt w:val="decimal"/>
      <w:lvlText w:val="（%2）"/>
      <w:lvlJc w:val="left"/>
      <w:pPr>
        <w:ind w:left="1785" w:hanging="94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94C5E14"/>
    <w:multiLevelType w:val="hybridMultilevel"/>
    <w:tmpl w:val="FB3EFFF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D8239B"/>
    <w:multiLevelType w:val="hybridMultilevel"/>
    <w:tmpl w:val="F91E79C0"/>
    <w:lvl w:ilvl="0" w:tplc="04090013">
      <w:start w:val="1"/>
      <w:numFmt w:val="chineseCountingThousand"/>
      <w:lvlText w:val="%1、"/>
      <w:lvlJc w:val="left"/>
      <w:pPr>
        <w:ind w:left="840" w:hanging="420"/>
      </w:pPr>
    </w:lvl>
    <w:lvl w:ilvl="1" w:tplc="E5987DAC">
      <w:start w:val="1"/>
      <w:numFmt w:val="upp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E1571AC"/>
    <w:multiLevelType w:val="hybridMultilevel"/>
    <w:tmpl w:val="FB3EFFF6"/>
    <w:lvl w:ilvl="0" w:tplc="04090013">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15:restartNumberingAfterBreak="0">
    <w:nsid w:val="107B66C2"/>
    <w:multiLevelType w:val="hybridMultilevel"/>
    <w:tmpl w:val="BDD671C6"/>
    <w:lvl w:ilvl="0" w:tplc="0409001B">
      <w:start w:val="1"/>
      <w:numFmt w:val="decimal"/>
      <w:lvlText w:val="（%1）"/>
      <w:lvlJc w:val="left"/>
      <w:pPr>
        <w:tabs>
          <w:tab w:val="num" w:pos="846"/>
        </w:tabs>
        <w:ind w:left="846" w:hanging="420"/>
      </w:pPr>
      <w:rPr>
        <w:rFonts w:hint="default"/>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70F49A0"/>
    <w:multiLevelType w:val="hybridMultilevel"/>
    <w:tmpl w:val="61022932"/>
    <w:lvl w:ilvl="0" w:tplc="35FEE406">
      <w:start w:val="1"/>
      <w:numFmt w:val="lowerLetter"/>
      <w:lvlText w:val="%1."/>
      <w:lvlJc w:val="left"/>
      <w:pPr>
        <w:ind w:left="1770" w:hanging="57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7" w15:restartNumberingAfterBreak="0">
    <w:nsid w:val="18BA49EC"/>
    <w:multiLevelType w:val="hybridMultilevel"/>
    <w:tmpl w:val="16A04EC8"/>
    <w:lvl w:ilvl="0" w:tplc="08CE296A">
      <w:start w:val="1"/>
      <w:numFmt w:val="chineseCountingThousand"/>
      <w:lvlText w:val="%1、"/>
      <w:lvlJc w:val="left"/>
      <w:pPr>
        <w:ind w:left="420" w:hanging="420"/>
      </w:pPr>
      <w:rPr>
        <w:rFonts w:hint="eastAsia"/>
        <w:lang w:val="en-US"/>
      </w:rPr>
    </w:lvl>
    <w:lvl w:ilvl="1" w:tplc="04090013">
      <w:start w:val="1"/>
      <w:numFmt w:val="chineseCountingThousand"/>
      <w:lvlText w:val="%2、"/>
      <w:lvlJc w:val="left"/>
      <w:pPr>
        <w:ind w:left="840" w:hanging="420"/>
      </w:pPr>
    </w:lvl>
    <w:lvl w:ilvl="2" w:tplc="534845E6">
      <w:start w:val="1"/>
      <w:numFmt w:val="japaneseCounting"/>
      <w:lvlText w:val="（%3）"/>
      <w:lvlJc w:val="left"/>
      <w:pPr>
        <w:ind w:left="1560" w:hanging="720"/>
      </w:pPr>
      <w:rPr>
        <w:rFonts w:hint="default"/>
      </w:rPr>
    </w:lvl>
    <w:lvl w:ilvl="3" w:tplc="ACE2C8CA">
      <w:start w:val="1"/>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B82E80"/>
    <w:multiLevelType w:val="hybridMultilevel"/>
    <w:tmpl w:val="CD00388C"/>
    <w:lvl w:ilvl="0" w:tplc="04090001">
      <w:start w:val="1"/>
      <w:numFmt w:val="chineseCountingThousand"/>
      <w:lvlText w:val="%1、"/>
      <w:lvlJc w:val="left"/>
      <w:pPr>
        <w:ind w:left="840" w:hanging="420"/>
      </w:pPr>
      <w:rPr>
        <w:rFonts w:hint="eastAsia"/>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9"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0" w15:restartNumberingAfterBreak="0">
    <w:nsid w:val="24021FB9"/>
    <w:multiLevelType w:val="hybridMultilevel"/>
    <w:tmpl w:val="443C2C9E"/>
    <w:lvl w:ilvl="0" w:tplc="E7FE857C">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6FF4223"/>
    <w:multiLevelType w:val="hybridMultilevel"/>
    <w:tmpl w:val="FB3EFFF6"/>
    <w:lvl w:ilvl="0" w:tplc="372A94B8">
      <w:start w:val="1"/>
      <w:numFmt w:val="chineseCountingThousand"/>
      <w:lvlText w:val="%1、"/>
      <w:lvlJc w:val="left"/>
      <w:pPr>
        <w:ind w:left="840" w:hanging="420"/>
      </w:pPr>
    </w:lvl>
    <w:lvl w:ilvl="1" w:tplc="02F84E52" w:tentative="1">
      <w:start w:val="1"/>
      <w:numFmt w:val="lowerLetter"/>
      <w:lvlText w:val="%2)"/>
      <w:lvlJc w:val="left"/>
      <w:pPr>
        <w:ind w:left="1260" w:hanging="420"/>
      </w:pPr>
    </w:lvl>
    <w:lvl w:ilvl="2" w:tplc="EF203AB6" w:tentative="1">
      <w:start w:val="1"/>
      <w:numFmt w:val="lowerRoman"/>
      <w:lvlText w:val="%3."/>
      <w:lvlJc w:val="right"/>
      <w:pPr>
        <w:ind w:left="1680" w:hanging="420"/>
      </w:pPr>
    </w:lvl>
    <w:lvl w:ilvl="3" w:tplc="BFFA85EE" w:tentative="1">
      <w:start w:val="1"/>
      <w:numFmt w:val="decimal"/>
      <w:lvlText w:val="%4."/>
      <w:lvlJc w:val="left"/>
      <w:pPr>
        <w:ind w:left="2100" w:hanging="420"/>
      </w:pPr>
    </w:lvl>
    <w:lvl w:ilvl="4" w:tplc="5F22FBE8" w:tentative="1">
      <w:start w:val="1"/>
      <w:numFmt w:val="lowerLetter"/>
      <w:lvlText w:val="%5)"/>
      <w:lvlJc w:val="left"/>
      <w:pPr>
        <w:ind w:left="2520" w:hanging="420"/>
      </w:pPr>
    </w:lvl>
    <w:lvl w:ilvl="5" w:tplc="83AE4B8E" w:tentative="1">
      <w:start w:val="1"/>
      <w:numFmt w:val="lowerRoman"/>
      <w:lvlText w:val="%6."/>
      <w:lvlJc w:val="right"/>
      <w:pPr>
        <w:ind w:left="2940" w:hanging="420"/>
      </w:pPr>
    </w:lvl>
    <w:lvl w:ilvl="6" w:tplc="14AA123E" w:tentative="1">
      <w:start w:val="1"/>
      <w:numFmt w:val="decimal"/>
      <w:lvlText w:val="%7."/>
      <w:lvlJc w:val="left"/>
      <w:pPr>
        <w:ind w:left="3360" w:hanging="420"/>
      </w:pPr>
    </w:lvl>
    <w:lvl w:ilvl="7" w:tplc="3A46E3D8" w:tentative="1">
      <w:start w:val="1"/>
      <w:numFmt w:val="lowerLetter"/>
      <w:lvlText w:val="%8)"/>
      <w:lvlJc w:val="left"/>
      <w:pPr>
        <w:ind w:left="3780" w:hanging="420"/>
      </w:pPr>
    </w:lvl>
    <w:lvl w:ilvl="8" w:tplc="5540023E" w:tentative="1">
      <w:start w:val="1"/>
      <w:numFmt w:val="lowerRoman"/>
      <w:lvlText w:val="%9."/>
      <w:lvlJc w:val="right"/>
      <w:pPr>
        <w:ind w:left="4200" w:hanging="420"/>
      </w:pPr>
    </w:lvl>
  </w:abstractNum>
  <w:abstractNum w:abstractNumId="12" w15:restartNumberingAfterBreak="0">
    <w:nsid w:val="33644F15"/>
    <w:multiLevelType w:val="hybridMultilevel"/>
    <w:tmpl w:val="FB3EFFF6"/>
    <w:lvl w:ilvl="0" w:tplc="04090013">
      <w:start w:val="1"/>
      <w:numFmt w:val="chineseCountingThousand"/>
      <w:lvlText w:val="%1、"/>
      <w:lvlJc w:val="left"/>
      <w:pPr>
        <w:ind w:left="988"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7E46BB2"/>
    <w:multiLevelType w:val="hybridMultilevel"/>
    <w:tmpl w:val="A3F4567C"/>
    <w:lvl w:ilvl="0" w:tplc="10BA351C">
      <w:start w:val="1"/>
      <w:numFmt w:val="decimal"/>
      <w:lvlText w:val="%1、"/>
      <w:lvlJc w:val="left"/>
      <w:pPr>
        <w:tabs>
          <w:tab w:val="num" w:pos="780"/>
        </w:tabs>
        <w:ind w:left="0" w:firstLine="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96752D9"/>
    <w:multiLevelType w:val="hybridMultilevel"/>
    <w:tmpl w:val="61022932"/>
    <w:lvl w:ilvl="0" w:tplc="11543A86">
      <w:start w:val="1"/>
      <w:numFmt w:val="lowerLetter"/>
      <w:lvlText w:val="%1."/>
      <w:lvlJc w:val="left"/>
      <w:pPr>
        <w:ind w:left="1770" w:hanging="57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5" w15:restartNumberingAfterBreak="0">
    <w:nsid w:val="3A70091D"/>
    <w:multiLevelType w:val="hybridMultilevel"/>
    <w:tmpl w:val="86EC9CE0"/>
    <w:lvl w:ilvl="0" w:tplc="3FDE96AA">
      <w:start w:val="1"/>
      <w:numFmt w:val="decimal"/>
      <w:lvlText w:val="（%1）"/>
      <w:lvlJc w:val="left"/>
      <w:pPr>
        <w:ind w:left="1110" w:hanging="420"/>
      </w:pPr>
      <w:rPr>
        <w:rFonts w:hint="eastAsia"/>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6" w15:restartNumberingAfterBreak="0">
    <w:nsid w:val="3D535FF1"/>
    <w:multiLevelType w:val="hybridMultilevel"/>
    <w:tmpl w:val="D19E2AFE"/>
    <w:lvl w:ilvl="0" w:tplc="B9E2B97C">
      <w:start w:val="1"/>
      <w:numFmt w:val="upperLetter"/>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8037F"/>
    <w:multiLevelType w:val="hybridMultilevel"/>
    <w:tmpl w:val="BDCA6030"/>
    <w:lvl w:ilvl="0" w:tplc="E5987DAC">
      <w:start w:val="1"/>
      <w:numFmt w:val="japaneseCounting"/>
      <w:lvlText w:val="第%1节"/>
      <w:lvlJc w:val="left"/>
      <w:pPr>
        <w:tabs>
          <w:tab w:val="num" w:pos="7124"/>
        </w:tabs>
        <w:ind w:left="7124" w:hanging="1170"/>
      </w:pPr>
      <w:rPr>
        <w:rFonts w:hint="default"/>
      </w:rPr>
    </w:lvl>
    <w:lvl w:ilvl="1" w:tplc="04090019">
      <w:start w:val="1"/>
      <w:numFmt w:val="japaneseCounting"/>
      <w:lvlText w:val="%2、"/>
      <w:lvlJc w:val="left"/>
      <w:pPr>
        <w:tabs>
          <w:tab w:val="num" w:pos="720"/>
        </w:tabs>
        <w:ind w:left="720" w:hanging="720"/>
      </w:pPr>
      <w:rPr>
        <w:rFonts w:hint="default"/>
      </w:rPr>
    </w:lvl>
    <w:lvl w:ilvl="2" w:tplc="CC1A8368">
      <w:start w:val="1"/>
      <w:numFmt w:val="decimal"/>
      <w:lvlText w:val="%3、"/>
      <w:lvlJc w:val="left"/>
      <w:pPr>
        <w:ind w:left="1843" w:hanging="360"/>
      </w:pPr>
      <w:rPr>
        <w:rFonts w:hint="default"/>
      </w:rPr>
    </w:lvl>
    <w:lvl w:ilvl="3" w:tplc="AE3266B8">
      <w:start w:val="1"/>
      <w:numFmt w:val="decimal"/>
      <w:lvlText w:val="（%4）"/>
      <w:lvlJc w:val="left"/>
      <w:pPr>
        <w:ind w:left="2623" w:hanging="720"/>
      </w:pPr>
      <w:rPr>
        <w:rFonts w:hint="default"/>
      </w:r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8" w15:restartNumberingAfterBreak="0">
    <w:nsid w:val="429F092F"/>
    <w:multiLevelType w:val="hybridMultilevel"/>
    <w:tmpl w:val="FB3EFFF6"/>
    <w:lvl w:ilvl="0" w:tplc="E2A212F2">
      <w:start w:val="1"/>
      <w:numFmt w:val="chineseCountingThousand"/>
      <w:lvlText w:val="%1、"/>
      <w:lvlJc w:val="left"/>
      <w:pPr>
        <w:ind w:left="840" w:hanging="420"/>
      </w:pPr>
    </w:lvl>
    <w:lvl w:ilvl="1" w:tplc="D06C5DD6"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4311251F"/>
    <w:multiLevelType w:val="hybridMultilevel"/>
    <w:tmpl w:val="05C001E8"/>
    <w:lvl w:ilvl="0" w:tplc="04090013">
      <w:start w:val="1"/>
      <w:numFmt w:val="chineseCountingThousand"/>
      <w:lvlText w:val="%1、"/>
      <w:lvlJc w:val="left"/>
      <w:pPr>
        <w:ind w:left="420" w:hanging="420"/>
      </w:pPr>
      <w:rPr>
        <w:rFonts w:hint="eastAsia"/>
      </w:rPr>
    </w:lvl>
    <w:lvl w:ilvl="1" w:tplc="04090019">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5D098E"/>
    <w:multiLevelType w:val="hybridMultilevel"/>
    <w:tmpl w:val="F91E79C0"/>
    <w:lvl w:ilvl="0" w:tplc="04090013">
      <w:start w:val="1"/>
      <w:numFmt w:val="chineseCountingThousand"/>
      <w:lvlText w:val="%1、"/>
      <w:lvlJc w:val="left"/>
      <w:pPr>
        <w:ind w:left="840" w:hanging="420"/>
      </w:pPr>
    </w:lvl>
    <w:lvl w:ilvl="1" w:tplc="E5987DAC">
      <w:start w:val="1"/>
      <w:numFmt w:val="upp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38D4BA0"/>
    <w:multiLevelType w:val="hybridMultilevel"/>
    <w:tmpl w:val="FF46BC1A"/>
    <w:lvl w:ilvl="0" w:tplc="10BA351C">
      <w:start w:val="1"/>
      <w:numFmt w:val="decimal"/>
      <w:lvlText w:val="%1、"/>
      <w:lvlJc w:val="left"/>
      <w:pPr>
        <w:tabs>
          <w:tab w:val="num" w:pos="780"/>
        </w:tabs>
        <w:ind w:left="420" w:firstLine="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5DE0F87"/>
    <w:multiLevelType w:val="hybridMultilevel"/>
    <w:tmpl w:val="FB3EFFF6"/>
    <w:lvl w:ilvl="0" w:tplc="10BA351C">
      <w:start w:val="1"/>
      <w:numFmt w:val="chineseCountingThousand"/>
      <w:lvlText w:val="%1、"/>
      <w:lvlJc w:val="left"/>
      <w:pPr>
        <w:ind w:left="704"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6631172"/>
    <w:multiLevelType w:val="hybridMultilevel"/>
    <w:tmpl w:val="0B482238"/>
    <w:lvl w:ilvl="0" w:tplc="E39EB42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D561378"/>
    <w:multiLevelType w:val="hybridMultilevel"/>
    <w:tmpl w:val="81D673C2"/>
    <w:lvl w:ilvl="0" w:tplc="46DCEBB2">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D82141E"/>
    <w:multiLevelType w:val="hybridMultilevel"/>
    <w:tmpl w:val="FB3EFFF6"/>
    <w:lvl w:ilvl="0" w:tplc="B9E2B97C">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0AB5E72"/>
    <w:multiLevelType w:val="hybridMultilevel"/>
    <w:tmpl w:val="FB3EFFF6"/>
    <w:lvl w:ilvl="0" w:tplc="10BA351C">
      <w:start w:val="1"/>
      <w:numFmt w:val="chineseCountingThousand"/>
      <w:lvlText w:val="%1、"/>
      <w:lvlJc w:val="left"/>
      <w:pPr>
        <w:ind w:left="704"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4E14F1F"/>
    <w:multiLevelType w:val="hybridMultilevel"/>
    <w:tmpl w:val="FB3EFFF6"/>
    <w:lvl w:ilvl="0" w:tplc="B9E2B97C">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58606FC"/>
    <w:multiLevelType w:val="hybridMultilevel"/>
    <w:tmpl w:val="FB3EFFF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0" w15:restartNumberingAfterBreak="0">
    <w:nsid w:val="6A726416"/>
    <w:multiLevelType w:val="multilevel"/>
    <w:tmpl w:val="6A72641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2" w15:restartNumberingAfterBreak="0">
    <w:nsid w:val="7465198C"/>
    <w:multiLevelType w:val="hybridMultilevel"/>
    <w:tmpl w:val="B0AA079C"/>
    <w:lvl w:ilvl="0" w:tplc="2D8A59BA">
      <w:start w:val="1"/>
      <w:numFmt w:val="decimal"/>
      <w:lvlText w:val="（%1）"/>
      <w:lvlJc w:val="left"/>
      <w:pPr>
        <w:ind w:left="846" w:hanging="420"/>
      </w:pPr>
      <w:rPr>
        <w:rFonts w:hint="eastAsia"/>
      </w:rPr>
    </w:lvl>
    <w:lvl w:ilvl="1" w:tplc="C75829C2">
      <w:start w:val="1"/>
      <w:numFmt w:val="decimal"/>
      <w:lvlText w:val="%2、"/>
      <w:lvlJc w:val="left"/>
      <w:pPr>
        <w:ind w:left="1213" w:hanging="375"/>
      </w:pPr>
      <w:rPr>
        <w:rFonts w:hAnsi="Times New Roman" w:hint="default"/>
      </w:rPr>
    </w:lvl>
    <w:lvl w:ilvl="2" w:tplc="5532E580" w:tentative="1">
      <w:start w:val="1"/>
      <w:numFmt w:val="lowerRoman"/>
      <w:lvlText w:val="%3."/>
      <w:lvlJc w:val="right"/>
      <w:pPr>
        <w:ind w:left="1678" w:hanging="420"/>
      </w:pPr>
    </w:lvl>
    <w:lvl w:ilvl="3" w:tplc="01D22E6A" w:tentative="1">
      <w:start w:val="1"/>
      <w:numFmt w:val="decimal"/>
      <w:lvlText w:val="%4."/>
      <w:lvlJc w:val="left"/>
      <w:pPr>
        <w:ind w:left="2098" w:hanging="420"/>
      </w:pPr>
    </w:lvl>
    <w:lvl w:ilvl="4" w:tplc="DEEE01F8" w:tentative="1">
      <w:start w:val="1"/>
      <w:numFmt w:val="lowerLetter"/>
      <w:lvlText w:val="%5)"/>
      <w:lvlJc w:val="left"/>
      <w:pPr>
        <w:ind w:left="2518" w:hanging="420"/>
      </w:pPr>
    </w:lvl>
    <w:lvl w:ilvl="5" w:tplc="026E82CA" w:tentative="1">
      <w:start w:val="1"/>
      <w:numFmt w:val="lowerRoman"/>
      <w:lvlText w:val="%6."/>
      <w:lvlJc w:val="right"/>
      <w:pPr>
        <w:ind w:left="2938" w:hanging="420"/>
      </w:pPr>
    </w:lvl>
    <w:lvl w:ilvl="6" w:tplc="086C6042" w:tentative="1">
      <w:start w:val="1"/>
      <w:numFmt w:val="decimal"/>
      <w:lvlText w:val="%7."/>
      <w:lvlJc w:val="left"/>
      <w:pPr>
        <w:ind w:left="3358" w:hanging="420"/>
      </w:pPr>
    </w:lvl>
    <w:lvl w:ilvl="7" w:tplc="3320D30C" w:tentative="1">
      <w:start w:val="1"/>
      <w:numFmt w:val="lowerLetter"/>
      <w:lvlText w:val="%8)"/>
      <w:lvlJc w:val="left"/>
      <w:pPr>
        <w:ind w:left="3778" w:hanging="420"/>
      </w:pPr>
    </w:lvl>
    <w:lvl w:ilvl="8" w:tplc="10E21586" w:tentative="1">
      <w:start w:val="1"/>
      <w:numFmt w:val="lowerRoman"/>
      <w:lvlText w:val="%9."/>
      <w:lvlJc w:val="right"/>
      <w:pPr>
        <w:ind w:left="4198" w:hanging="420"/>
      </w:pPr>
    </w:lvl>
  </w:abstractNum>
  <w:abstractNum w:abstractNumId="33" w15:restartNumberingAfterBreak="0">
    <w:nsid w:val="783C7759"/>
    <w:multiLevelType w:val="hybridMultilevel"/>
    <w:tmpl w:val="B3B83D90"/>
    <w:lvl w:ilvl="0" w:tplc="99AA8908">
      <w:start w:val="1"/>
      <w:numFmt w:val="decimal"/>
      <w:lvlText w:val="（%1）"/>
      <w:lvlJc w:val="left"/>
      <w:pPr>
        <w:tabs>
          <w:tab w:val="num" w:pos="851"/>
        </w:tabs>
        <w:ind w:left="851" w:hanging="567"/>
      </w:pPr>
      <w:rPr>
        <w:rFonts w:hint="eastAsia"/>
      </w:rPr>
    </w:lvl>
    <w:lvl w:ilvl="1" w:tplc="271E205C">
      <w:start w:val="1"/>
      <w:numFmt w:val="lowerLetter"/>
      <w:lvlText w:val="%2)"/>
      <w:lvlJc w:val="left"/>
      <w:pPr>
        <w:tabs>
          <w:tab w:val="num" w:pos="840"/>
        </w:tabs>
        <w:ind w:left="840" w:hanging="420"/>
      </w:pPr>
    </w:lvl>
    <w:lvl w:ilvl="2" w:tplc="23888C08"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8855797"/>
    <w:multiLevelType w:val="hybridMultilevel"/>
    <w:tmpl w:val="9E9C3E92"/>
    <w:lvl w:ilvl="0" w:tplc="FFFFFFFF">
      <w:start w:val="1"/>
      <w:numFmt w:val="decimal"/>
      <w:lvlText w:val="（%1）"/>
      <w:lvlJc w:val="left"/>
      <w:pPr>
        <w:tabs>
          <w:tab w:val="num" w:pos="987"/>
        </w:tabs>
        <w:ind w:left="987" w:hanging="420"/>
      </w:pPr>
      <w:rPr>
        <w:lang w:val="en-US"/>
      </w:rPr>
    </w:lvl>
    <w:lvl w:ilvl="1" w:tplc="04090019">
      <w:start w:val="1"/>
      <w:numFmt w:val="decimal"/>
      <w:lvlText w:val="%2."/>
      <w:lvlJc w:val="left"/>
      <w:pPr>
        <w:tabs>
          <w:tab w:val="num" w:pos="1587"/>
        </w:tabs>
        <w:ind w:left="1587" w:hanging="360"/>
      </w:pPr>
    </w:lvl>
    <w:lvl w:ilvl="2" w:tplc="0409001B">
      <w:start w:val="1"/>
      <w:numFmt w:val="decimal"/>
      <w:lvlText w:val="%3."/>
      <w:lvlJc w:val="left"/>
      <w:pPr>
        <w:tabs>
          <w:tab w:val="num" w:pos="2307"/>
        </w:tabs>
        <w:ind w:left="2307" w:hanging="360"/>
      </w:pPr>
    </w:lvl>
    <w:lvl w:ilvl="3" w:tplc="0409000F">
      <w:start w:val="1"/>
      <w:numFmt w:val="decimal"/>
      <w:lvlText w:val="%4."/>
      <w:lvlJc w:val="left"/>
      <w:pPr>
        <w:tabs>
          <w:tab w:val="num" w:pos="3027"/>
        </w:tabs>
        <w:ind w:left="3027" w:hanging="360"/>
      </w:pPr>
    </w:lvl>
    <w:lvl w:ilvl="4" w:tplc="04090019">
      <w:start w:val="1"/>
      <w:numFmt w:val="decimal"/>
      <w:lvlText w:val="%5."/>
      <w:lvlJc w:val="left"/>
      <w:pPr>
        <w:tabs>
          <w:tab w:val="num" w:pos="3747"/>
        </w:tabs>
        <w:ind w:left="3747" w:hanging="360"/>
      </w:pPr>
    </w:lvl>
    <w:lvl w:ilvl="5" w:tplc="0409001B">
      <w:start w:val="1"/>
      <w:numFmt w:val="decimal"/>
      <w:lvlText w:val="%6."/>
      <w:lvlJc w:val="left"/>
      <w:pPr>
        <w:tabs>
          <w:tab w:val="num" w:pos="4467"/>
        </w:tabs>
        <w:ind w:left="4467" w:hanging="360"/>
      </w:pPr>
    </w:lvl>
    <w:lvl w:ilvl="6" w:tplc="0409000F">
      <w:start w:val="1"/>
      <w:numFmt w:val="decimal"/>
      <w:lvlText w:val="%7."/>
      <w:lvlJc w:val="left"/>
      <w:pPr>
        <w:tabs>
          <w:tab w:val="num" w:pos="5187"/>
        </w:tabs>
        <w:ind w:left="5187" w:hanging="360"/>
      </w:pPr>
    </w:lvl>
    <w:lvl w:ilvl="7" w:tplc="04090019">
      <w:start w:val="1"/>
      <w:numFmt w:val="decimal"/>
      <w:lvlText w:val="%8."/>
      <w:lvlJc w:val="left"/>
      <w:pPr>
        <w:tabs>
          <w:tab w:val="num" w:pos="5907"/>
        </w:tabs>
        <w:ind w:left="5907" w:hanging="360"/>
      </w:pPr>
    </w:lvl>
    <w:lvl w:ilvl="8" w:tplc="0409001B">
      <w:start w:val="1"/>
      <w:numFmt w:val="decimal"/>
      <w:lvlText w:val="%9."/>
      <w:lvlJc w:val="left"/>
      <w:pPr>
        <w:tabs>
          <w:tab w:val="num" w:pos="6627"/>
        </w:tabs>
        <w:ind w:left="6627" w:hanging="360"/>
      </w:pPr>
    </w:lvl>
  </w:abstractNum>
  <w:abstractNum w:abstractNumId="35" w15:restartNumberingAfterBreak="0">
    <w:nsid w:val="78965417"/>
    <w:multiLevelType w:val="multilevel"/>
    <w:tmpl w:val="7896541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7A1706FF"/>
    <w:multiLevelType w:val="hybridMultilevel"/>
    <w:tmpl w:val="FB3EFFF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F5C31ED"/>
    <w:multiLevelType w:val="hybridMultilevel"/>
    <w:tmpl w:val="D19E2AFE"/>
    <w:lvl w:ilvl="0" w:tplc="10BA351C">
      <w:start w:val="1"/>
      <w:numFmt w:val="upperLetter"/>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9"/>
  </w:num>
  <w:num w:numId="3">
    <w:abstractNumId w:val="17"/>
  </w:num>
  <w:num w:numId="4">
    <w:abstractNumId w:val="8"/>
  </w:num>
  <w:num w:numId="5">
    <w:abstractNumId w:val="7"/>
  </w:num>
  <w:num w:numId="6">
    <w:abstractNumId w:val="18"/>
  </w:num>
  <w:num w:numId="7">
    <w:abstractNumId w:val="2"/>
  </w:num>
  <w:num w:numId="8">
    <w:abstractNumId w:val="27"/>
  </w:num>
  <w:num w:numId="9">
    <w:abstractNumId w:val="25"/>
  </w:num>
  <w:num w:numId="10">
    <w:abstractNumId w:val="3"/>
  </w:num>
  <w:num w:numId="11">
    <w:abstractNumId w:val="11"/>
  </w:num>
  <w:num w:numId="12">
    <w:abstractNumId w:val="22"/>
  </w:num>
  <w:num w:numId="13">
    <w:abstractNumId w:val="28"/>
  </w:num>
  <w:num w:numId="14">
    <w:abstractNumId w:val="24"/>
  </w:num>
  <w:num w:numId="15">
    <w:abstractNumId w:val="6"/>
  </w:num>
  <w:num w:numId="16">
    <w:abstractNumId w:val="16"/>
  </w:num>
  <w:num w:numId="17">
    <w:abstractNumId w:val="14"/>
  </w:num>
  <w:num w:numId="18">
    <w:abstractNumId w:val="37"/>
  </w:num>
  <w:num w:numId="19">
    <w:abstractNumId w:val="32"/>
  </w:num>
  <w:num w:numId="20">
    <w:abstractNumId w:val="15"/>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 w:numId="26">
    <w:abstractNumId w:val="0"/>
  </w:num>
  <w:num w:numId="27">
    <w:abstractNumId w:val="35"/>
  </w:num>
  <w:num w:numId="28">
    <w:abstractNumId w:val="13"/>
  </w:num>
  <w:num w:numId="29">
    <w:abstractNumId w:val="21"/>
  </w:num>
  <w:num w:numId="30">
    <w:abstractNumId w:val="33"/>
  </w:num>
  <w:num w:numId="31">
    <w:abstractNumId w:val="23"/>
  </w:num>
  <w:num w:numId="32">
    <w:abstractNumId w:val="30"/>
  </w:num>
  <w:num w:numId="33">
    <w:abstractNumId w:val="31"/>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2"/>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44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1C"/>
    <w:rsid w:val="0000240E"/>
    <w:rsid w:val="00005D09"/>
    <w:rsid w:val="00007B25"/>
    <w:rsid w:val="00010EFD"/>
    <w:rsid w:val="000123B4"/>
    <w:rsid w:val="00014556"/>
    <w:rsid w:val="00015449"/>
    <w:rsid w:val="00021EA4"/>
    <w:rsid w:val="00022683"/>
    <w:rsid w:val="000237D0"/>
    <w:rsid w:val="00025FDD"/>
    <w:rsid w:val="00026F1C"/>
    <w:rsid w:val="000306AF"/>
    <w:rsid w:val="00031612"/>
    <w:rsid w:val="00032708"/>
    <w:rsid w:val="00033330"/>
    <w:rsid w:val="00033D04"/>
    <w:rsid w:val="00034169"/>
    <w:rsid w:val="00035FDD"/>
    <w:rsid w:val="00036107"/>
    <w:rsid w:val="00036304"/>
    <w:rsid w:val="00036E36"/>
    <w:rsid w:val="00040353"/>
    <w:rsid w:val="000409D1"/>
    <w:rsid w:val="00042292"/>
    <w:rsid w:val="000442D9"/>
    <w:rsid w:val="0004666A"/>
    <w:rsid w:val="00047AF1"/>
    <w:rsid w:val="00050E22"/>
    <w:rsid w:val="000513A1"/>
    <w:rsid w:val="00051835"/>
    <w:rsid w:val="00052FF4"/>
    <w:rsid w:val="0005326B"/>
    <w:rsid w:val="00054F80"/>
    <w:rsid w:val="000555F0"/>
    <w:rsid w:val="00057530"/>
    <w:rsid w:val="00060F80"/>
    <w:rsid w:val="00062E96"/>
    <w:rsid w:val="00063083"/>
    <w:rsid w:val="00063E45"/>
    <w:rsid w:val="00063E8C"/>
    <w:rsid w:val="000664C8"/>
    <w:rsid w:val="00066BA0"/>
    <w:rsid w:val="0007179D"/>
    <w:rsid w:val="00077A6D"/>
    <w:rsid w:val="00080735"/>
    <w:rsid w:val="00080940"/>
    <w:rsid w:val="0008458B"/>
    <w:rsid w:val="00087A85"/>
    <w:rsid w:val="0009112F"/>
    <w:rsid w:val="0009186D"/>
    <w:rsid w:val="0009238F"/>
    <w:rsid w:val="000923E5"/>
    <w:rsid w:val="00092B74"/>
    <w:rsid w:val="00094138"/>
    <w:rsid w:val="00094622"/>
    <w:rsid w:val="00096D12"/>
    <w:rsid w:val="0009716C"/>
    <w:rsid w:val="000A0542"/>
    <w:rsid w:val="000A1501"/>
    <w:rsid w:val="000A1BB9"/>
    <w:rsid w:val="000A2FD2"/>
    <w:rsid w:val="000A4931"/>
    <w:rsid w:val="000A63BC"/>
    <w:rsid w:val="000A6A54"/>
    <w:rsid w:val="000A7C91"/>
    <w:rsid w:val="000B1417"/>
    <w:rsid w:val="000B1D13"/>
    <w:rsid w:val="000B20B1"/>
    <w:rsid w:val="000B27D3"/>
    <w:rsid w:val="000B3B07"/>
    <w:rsid w:val="000C0C09"/>
    <w:rsid w:val="000C1D3E"/>
    <w:rsid w:val="000C342E"/>
    <w:rsid w:val="000C34A3"/>
    <w:rsid w:val="000C5C1F"/>
    <w:rsid w:val="000C64DF"/>
    <w:rsid w:val="000D28A5"/>
    <w:rsid w:val="000D31C0"/>
    <w:rsid w:val="000D3737"/>
    <w:rsid w:val="000D5C37"/>
    <w:rsid w:val="000D6AD1"/>
    <w:rsid w:val="000E07BB"/>
    <w:rsid w:val="000E2550"/>
    <w:rsid w:val="000E2D81"/>
    <w:rsid w:val="000E2E31"/>
    <w:rsid w:val="000E2FDA"/>
    <w:rsid w:val="000E3888"/>
    <w:rsid w:val="000E3A72"/>
    <w:rsid w:val="000E4CFB"/>
    <w:rsid w:val="000E69D5"/>
    <w:rsid w:val="000E7B12"/>
    <w:rsid w:val="000E7E51"/>
    <w:rsid w:val="000F0AE7"/>
    <w:rsid w:val="000F1010"/>
    <w:rsid w:val="000F1996"/>
    <w:rsid w:val="000F1C02"/>
    <w:rsid w:val="000F23FB"/>
    <w:rsid w:val="000F287E"/>
    <w:rsid w:val="000F3678"/>
    <w:rsid w:val="000F55A0"/>
    <w:rsid w:val="000F699F"/>
    <w:rsid w:val="00101968"/>
    <w:rsid w:val="00102666"/>
    <w:rsid w:val="00102C51"/>
    <w:rsid w:val="0010426C"/>
    <w:rsid w:val="001043C4"/>
    <w:rsid w:val="0010456C"/>
    <w:rsid w:val="00105367"/>
    <w:rsid w:val="0010598E"/>
    <w:rsid w:val="001102D4"/>
    <w:rsid w:val="00110CA6"/>
    <w:rsid w:val="00111564"/>
    <w:rsid w:val="001142F0"/>
    <w:rsid w:val="00114336"/>
    <w:rsid w:val="0011484A"/>
    <w:rsid w:val="001148E8"/>
    <w:rsid w:val="001160B6"/>
    <w:rsid w:val="00120607"/>
    <w:rsid w:val="001208F2"/>
    <w:rsid w:val="00121526"/>
    <w:rsid w:val="001215A7"/>
    <w:rsid w:val="00121803"/>
    <w:rsid w:val="00122611"/>
    <w:rsid w:val="00122C0E"/>
    <w:rsid w:val="001232D6"/>
    <w:rsid w:val="0012343E"/>
    <w:rsid w:val="001246DC"/>
    <w:rsid w:val="001248BD"/>
    <w:rsid w:val="0012787F"/>
    <w:rsid w:val="0013246A"/>
    <w:rsid w:val="00133FA6"/>
    <w:rsid w:val="00134101"/>
    <w:rsid w:val="00136671"/>
    <w:rsid w:val="00136F7A"/>
    <w:rsid w:val="0013714A"/>
    <w:rsid w:val="00137ABF"/>
    <w:rsid w:val="00141434"/>
    <w:rsid w:val="001422B5"/>
    <w:rsid w:val="0014247F"/>
    <w:rsid w:val="00142608"/>
    <w:rsid w:val="0014424D"/>
    <w:rsid w:val="001447FC"/>
    <w:rsid w:val="001449E0"/>
    <w:rsid w:val="00144C72"/>
    <w:rsid w:val="00145A81"/>
    <w:rsid w:val="001467BC"/>
    <w:rsid w:val="001469F8"/>
    <w:rsid w:val="00150C3F"/>
    <w:rsid w:val="00151F94"/>
    <w:rsid w:val="0015249C"/>
    <w:rsid w:val="00152A72"/>
    <w:rsid w:val="00153649"/>
    <w:rsid w:val="001540FF"/>
    <w:rsid w:val="00154808"/>
    <w:rsid w:val="001551A5"/>
    <w:rsid w:val="00155389"/>
    <w:rsid w:val="00155464"/>
    <w:rsid w:val="00155804"/>
    <w:rsid w:val="00156209"/>
    <w:rsid w:val="00156437"/>
    <w:rsid w:val="00157FC8"/>
    <w:rsid w:val="00160570"/>
    <w:rsid w:val="00160B26"/>
    <w:rsid w:val="00160C1B"/>
    <w:rsid w:val="001619D4"/>
    <w:rsid w:val="001622D5"/>
    <w:rsid w:val="001633CE"/>
    <w:rsid w:val="00164BEE"/>
    <w:rsid w:val="0016668C"/>
    <w:rsid w:val="001667C0"/>
    <w:rsid w:val="00170B6F"/>
    <w:rsid w:val="00171374"/>
    <w:rsid w:val="00172844"/>
    <w:rsid w:val="00172AE9"/>
    <w:rsid w:val="00172F53"/>
    <w:rsid w:val="001736DC"/>
    <w:rsid w:val="00174FF4"/>
    <w:rsid w:val="00180976"/>
    <w:rsid w:val="00182FC7"/>
    <w:rsid w:val="001840D5"/>
    <w:rsid w:val="001847AC"/>
    <w:rsid w:val="001868DC"/>
    <w:rsid w:val="001871CB"/>
    <w:rsid w:val="00190450"/>
    <w:rsid w:val="00194BFE"/>
    <w:rsid w:val="001958CC"/>
    <w:rsid w:val="001969CB"/>
    <w:rsid w:val="001978AB"/>
    <w:rsid w:val="00197D6C"/>
    <w:rsid w:val="001A1247"/>
    <w:rsid w:val="001A1C42"/>
    <w:rsid w:val="001A1DC2"/>
    <w:rsid w:val="001A2B38"/>
    <w:rsid w:val="001A3262"/>
    <w:rsid w:val="001A33E6"/>
    <w:rsid w:val="001A385F"/>
    <w:rsid w:val="001A3FF0"/>
    <w:rsid w:val="001A4C32"/>
    <w:rsid w:val="001A5563"/>
    <w:rsid w:val="001A5F80"/>
    <w:rsid w:val="001A6206"/>
    <w:rsid w:val="001A714A"/>
    <w:rsid w:val="001B2230"/>
    <w:rsid w:val="001B5CDE"/>
    <w:rsid w:val="001B6725"/>
    <w:rsid w:val="001B79A5"/>
    <w:rsid w:val="001C028A"/>
    <w:rsid w:val="001C260F"/>
    <w:rsid w:val="001C403F"/>
    <w:rsid w:val="001C5787"/>
    <w:rsid w:val="001C5D76"/>
    <w:rsid w:val="001C65A2"/>
    <w:rsid w:val="001D2EA8"/>
    <w:rsid w:val="001D35D3"/>
    <w:rsid w:val="001D393E"/>
    <w:rsid w:val="001D3ACB"/>
    <w:rsid w:val="001D6468"/>
    <w:rsid w:val="001D6ACE"/>
    <w:rsid w:val="001E020E"/>
    <w:rsid w:val="001E0331"/>
    <w:rsid w:val="001E0EBA"/>
    <w:rsid w:val="001E3BA2"/>
    <w:rsid w:val="001E4D28"/>
    <w:rsid w:val="001E7EFC"/>
    <w:rsid w:val="001F0750"/>
    <w:rsid w:val="001F1F4E"/>
    <w:rsid w:val="001F336E"/>
    <w:rsid w:val="001F3D12"/>
    <w:rsid w:val="001F493A"/>
    <w:rsid w:val="001F512E"/>
    <w:rsid w:val="001F5E25"/>
    <w:rsid w:val="002009B6"/>
    <w:rsid w:val="00200C32"/>
    <w:rsid w:val="00201382"/>
    <w:rsid w:val="00202802"/>
    <w:rsid w:val="00203844"/>
    <w:rsid w:val="00207060"/>
    <w:rsid w:val="00207E08"/>
    <w:rsid w:val="0021097A"/>
    <w:rsid w:val="00210F32"/>
    <w:rsid w:val="00213075"/>
    <w:rsid w:val="00213E87"/>
    <w:rsid w:val="00214D64"/>
    <w:rsid w:val="00214E43"/>
    <w:rsid w:val="002150BE"/>
    <w:rsid w:val="00215C97"/>
    <w:rsid w:val="0021617C"/>
    <w:rsid w:val="0022115D"/>
    <w:rsid w:val="0022340C"/>
    <w:rsid w:val="0022345A"/>
    <w:rsid w:val="00223958"/>
    <w:rsid w:val="002247BC"/>
    <w:rsid w:val="002257E7"/>
    <w:rsid w:val="00226A0D"/>
    <w:rsid w:val="0022756A"/>
    <w:rsid w:val="00230B93"/>
    <w:rsid w:val="0023194A"/>
    <w:rsid w:val="00233003"/>
    <w:rsid w:val="002333E0"/>
    <w:rsid w:val="00233723"/>
    <w:rsid w:val="002357CE"/>
    <w:rsid w:val="0023605F"/>
    <w:rsid w:val="0023796A"/>
    <w:rsid w:val="00237FD4"/>
    <w:rsid w:val="00241DBD"/>
    <w:rsid w:val="00243541"/>
    <w:rsid w:val="00243AEB"/>
    <w:rsid w:val="00244038"/>
    <w:rsid w:val="0024552B"/>
    <w:rsid w:val="00246FB8"/>
    <w:rsid w:val="002470A5"/>
    <w:rsid w:val="00251658"/>
    <w:rsid w:val="002520EA"/>
    <w:rsid w:val="00252157"/>
    <w:rsid w:val="00252258"/>
    <w:rsid w:val="0025242C"/>
    <w:rsid w:val="00253996"/>
    <w:rsid w:val="0025468E"/>
    <w:rsid w:val="00254F14"/>
    <w:rsid w:val="002606E6"/>
    <w:rsid w:val="00260C9A"/>
    <w:rsid w:val="00261D5E"/>
    <w:rsid w:val="00261DAD"/>
    <w:rsid w:val="00262C60"/>
    <w:rsid w:val="00262F21"/>
    <w:rsid w:val="002709CF"/>
    <w:rsid w:val="00271EBB"/>
    <w:rsid w:val="00273051"/>
    <w:rsid w:val="0027755D"/>
    <w:rsid w:val="00281349"/>
    <w:rsid w:val="00283086"/>
    <w:rsid w:val="00283168"/>
    <w:rsid w:val="0028497D"/>
    <w:rsid w:val="00290F53"/>
    <w:rsid w:val="00295169"/>
    <w:rsid w:val="002A0727"/>
    <w:rsid w:val="002A1A40"/>
    <w:rsid w:val="002A1C06"/>
    <w:rsid w:val="002A1E09"/>
    <w:rsid w:val="002A27CB"/>
    <w:rsid w:val="002A314E"/>
    <w:rsid w:val="002A48FD"/>
    <w:rsid w:val="002A490A"/>
    <w:rsid w:val="002A5CFE"/>
    <w:rsid w:val="002A62ED"/>
    <w:rsid w:val="002B0F3E"/>
    <w:rsid w:val="002B17EA"/>
    <w:rsid w:val="002B1B1F"/>
    <w:rsid w:val="002B2BAE"/>
    <w:rsid w:val="002B3467"/>
    <w:rsid w:val="002B4A7A"/>
    <w:rsid w:val="002B525D"/>
    <w:rsid w:val="002B7B94"/>
    <w:rsid w:val="002B7DAB"/>
    <w:rsid w:val="002C1072"/>
    <w:rsid w:val="002C1E3F"/>
    <w:rsid w:val="002C2287"/>
    <w:rsid w:val="002C27E7"/>
    <w:rsid w:val="002C3D33"/>
    <w:rsid w:val="002C4294"/>
    <w:rsid w:val="002C5E7E"/>
    <w:rsid w:val="002C62DA"/>
    <w:rsid w:val="002C79A7"/>
    <w:rsid w:val="002C79C8"/>
    <w:rsid w:val="002D0D24"/>
    <w:rsid w:val="002D26DD"/>
    <w:rsid w:val="002D3838"/>
    <w:rsid w:val="002D3DF9"/>
    <w:rsid w:val="002D5204"/>
    <w:rsid w:val="002D6C9F"/>
    <w:rsid w:val="002D75BF"/>
    <w:rsid w:val="002E4595"/>
    <w:rsid w:val="002E623F"/>
    <w:rsid w:val="002E63D0"/>
    <w:rsid w:val="002E6C13"/>
    <w:rsid w:val="002E6E8F"/>
    <w:rsid w:val="002E7B4D"/>
    <w:rsid w:val="002F0C4B"/>
    <w:rsid w:val="002F113C"/>
    <w:rsid w:val="002F15BF"/>
    <w:rsid w:val="002F28B8"/>
    <w:rsid w:val="002F4EA6"/>
    <w:rsid w:val="002F4FC4"/>
    <w:rsid w:val="002F51FB"/>
    <w:rsid w:val="002F5BF9"/>
    <w:rsid w:val="002F6AC6"/>
    <w:rsid w:val="00300169"/>
    <w:rsid w:val="00300F73"/>
    <w:rsid w:val="00301B9F"/>
    <w:rsid w:val="00305D5F"/>
    <w:rsid w:val="003123EB"/>
    <w:rsid w:val="00316368"/>
    <w:rsid w:val="00317AFD"/>
    <w:rsid w:val="00317FC0"/>
    <w:rsid w:val="00321A9F"/>
    <w:rsid w:val="00322907"/>
    <w:rsid w:val="00325315"/>
    <w:rsid w:val="00332271"/>
    <w:rsid w:val="0033337D"/>
    <w:rsid w:val="00333CCA"/>
    <w:rsid w:val="003353AA"/>
    <w:rsid w:val="00336256"/>
    <w:rsid w:val="003367F7"/>
    <w:rsid w:val="003369FE"/>
    <w:rsid w:val="00337A0B"/>
    <w:rsid w:val="00340273"/>
    <w:rsid w:val="003419CA"/>
    <w:rsid w:val="00342328"/>
    <w:rsid w:val="0034336A"/>
    <w:rsid w:val="003465EF"/>
    <w:rsid w:val="00346815"/>
    <w:rsid w:val="0034720E"/>
    <w:rsid w:val="0035173E"/>
    <w:rsid w:val="0035179E"/>
    <w:rsid w:val="00353B9B"/>
    <w:rsid w:val="003540C8"/>
    <w:rsid w:val="00354450"/>
    <w:rsid w:val="00354EC8"/>
    <w:rsid w:val="00355E38"/>
    <w:rsid w:val="00355F2D"/>
    <w:rsid w:val="00360573"/>
    <w:rsid w:val="003617A5"/>
    <w:rsid w:val="00361960"/>
    <w:rsid w:val="003623C1"/>
    <w:rsid w:val="00364FA6"/>
    <w:rsid w:val="003749EF"/>
    <w:rsid w:val="003760E5"/>
    <w:rsid w:val="00377049"/>
    <w:rsid w:val="00381F24"/>
    <w:rsid w:val="00382129"/>
    <w:rsid w:val="00382D40"/>
    <w:rsid w:val="00382D44"/>
    <w:rsid w:val="00384981"/>
    <w:rsid w:val="00385519"/>
    <w:rsid w:val="00386000"/>
    <w:rsid w:val="003870CB"/>
    <w:rsid w:val="0038785A"/>
    <w:rsid w:val="003879D2"/>
    <w:rsid w:val="00390204"/>
    <w:rsid w:val="00391270"/>
    <w:rsid w:val="00391C84"/>
    <w:rsid w:val="00392B43"/>
    <w:rsid w:val="00392DE4"/>
    <w:rsid w:val="0039302B"/>
    <w:rsid w:val="00394A76"/>
    <w:rsid w:val="003973CE"/>
    <w:rsid w:val="003A345D"/>
    <w:rsid w:val="003A5626"/>
    <w:rsid w:val="003A6040"/>
    <w:rsid w:val="003A7262"/>
    <w:rsid w:val="003B00AD"/>
    <w:rsid w:val="003B0173"/>
    <w:rsid w:val="003B0E11"/>
    <w:rsid w:val="003B1ECA"/>
    <w:rsid w:val="003B23D6"/>
    <w:rsid w:val="003B2810"/>
    <w:rsid w:val="003B317E"/>
    <w:rsid w:val="003B4845"/>
    <w:rsid w:val="003B49E9"/>
    <w:rsid w:val="003B5273"/>
    <w:rsid w:val="003B69A2"/>
    <w:rsid w:val="003B6D7F"/>
    <w:rsid w:val="003B75D1"/>
    <w:rsid w:val="003C0148"/>
    <w:rsid w:val="003C0ADD"/>
    <w:rsid w:val="003C0DF1"/>
    <w:rsid w:val="003C0F7F"/>
    <w:rsid w:val="003C15E2"/>
    <w:rsid w:val="003C1A73"/>
    <w:rsid w:val="003C1E63"/>
    <w:rsid w:val="003C234B"/>
    <w:rsid w:val="003C2630"/>
    <w:rsid w:val="003C2C03"/>
    <w:rsid w:val="003C33DB"/>
    <w:rsid w:val="003C6DE9"/>
    <w:rsid w:val="003C79F2"/>
    <w:rsid w:val="003C7BC3"/>
    <w:rsid w:val="003D227B"/>
    <w:rsid w:val="003D337E"/>
    <w:rsid w:val="003D4A16"/>
    <w:rsid w:val="003D4FF6"/>
    <w:rsid w:val="003D53B9"/>
    <w:rsid w:val="003D54DE"/>
    <w:rsid w:val="003D6FB9"/>
    <w:rsid w:val="003D7FF3"/>
    <w:rsid w:val="003E103E"/>
    <w:rsid w:val="003E1145"/>
    <w:rsid w:val="003E15AB"/>
    <w:rsid w:val="003E1DDC"/>
    <w:rsid w:val="003E2C58"/>
    <w:rsid w:val="003E3A27"/>
    <w:rsid w:val="003E420E"/>
    <w:rsid w:val="003E5825"/>
    <w:rsid w:val="003E67AF"/>
    <w:rsid w:val="003E6CBB"/>
    <w:rsid w:val="003F0999"/>
    <w:rsid w:val="003F09B0"/>
    <w:rsid w:val="003F38A9"/>
    <w:rsid w:val="003F43F7"/>
    <w:rsid w:val="003F58E4"/>
    <w:rsid w:val="003F6B9B"/>
    <w:rsid w:val="003F6D0B"/>
    <w:rsid w:val="00400A17"/>
    <w:rsid w:val="00401061"/>
    <w:rsid w:val="00402DD5"/>
    <w:rsid w:val="004030FE"/>
    <w:rsid w:val="0040446E"/>
    <w:rsid w:val="004054C3"/>
    <w:rsid w:val="00405B4A"/>
    <w:rsid w:val="00410A20"/>
    <w:rsid w:val="00410CB3"/>
    <w:rsid w:val="00412884"/>
    <w:rsid w:val="00412D99"/>
    <w:rsid w:val="00412E3B"/>
    <w:rsid w:val="00414E02"/>
    <w:rsid w:val="0041599A"/>
    <w:rsid w:val="00416874"/>
    <w:rsid w:val="00417AAB"/>
    <w:rsid w:val="00417DCF"/>
    <w:rsid w:val="00420128"/>
    <w:rsid w:val="00420BAB"/>
    <w:rsid w:val="004223A3"/>
    <w:rsid w:val="00424900"/>
    <w:rsid w:val="00426100"/>
    <w:rsid w:val="0042613E"/>
    <w:rsid w:val="004267B0"/>
    <w:rsid w:val="00426930"/>
    <w:rsid w:val="0042697E"/>
    <w:rsid w:val="00430B93"/>
    <w:rsid w:val="00431410"/>
    <w:rsid w:val="004319D8"/>
    <w:rsid w:val="00432AA3"/>
    <w:rsid w:val="00433694"/>
    <w:rsid w:val="00434021"/>
    <w:rsid w:val="00436E9E"/>
    <w:rsid w:val="00437926"/>
    <w:rsid w:val="004379AD"/>
    <w:rsid w:val="00440139"/>
    <w:rsid w:val="00443DA2"/>
    <w:rsid w:val="004463F1"/>
    <w:rsid w:val="00447E22"/>
    <w:rsid w:val="00447E26"/>
    <w:rsid w:val="0045085E"/>
    <w:rsid w:val="00452D7C"/>
    <w:rsid w:val="0045304E"/>
    <w:rsid w:val="00454EFD"/>
    <w:rsid w:val="00455D85"/>
    <w:rsid w:val="004575B4"/>
    <w:rsid w:val="00457E60"/>
    <w:rsid w:val="0046062A"/>
    <w:rsid w:val="00461B0D"/>
    <w:rsid w:val="004625C4"/>
    <w:rsid w:val="00462AAF"/>
    <w:rsid w:val="00464352"/>
    <w:rsid w:val="00465F38"/>
    <w:rsid w:val="004660C4"/>
    <w:rsid w:val="00467A86"/>
    <w:rsid w:val="00467C6E"/>
    <w:rsid w:val="0047012F"/>
    <w:rsid w:val="00470888"/>
    <w:rsid w:val="004718D0"/>
    <w:rsid w:val="00471F0A"/>
    <w:rsid w:val="0047332B"/>
    <w:rsid w:val="00473934"/>
    <w:rsid w:val="00474081"/>
    <w:rsid w:val="004817BC"/>
    <w:rsid w:val="00481926"/>
    <w:rsid w:val="00482A4A"/>
    <w:rsid w:val="004836E0"/>
    <w:rsid w:val="004848E6"/>
    <w:rsid w:val="00484A2D"/>
    <w:rsid w:val="00484EC2"/>
    <w:rsid w:val="004860A0"/>
    <w:rsid w:val="00487070"/>
    <w:rsid w:val="004912F4"/>
    <w:rsid w:val="00491BF0"/>
    <w:rsid w:val="00491DE1"/>
    <w:rsid w:val="0049671D"/>
    <w:rsid w:val="0049691F"/>
    <w:rsid w:val="00496E3D"/>
    <w:rsid w:val="004A29D0"/>
    <w:rsid w:val="004A357D"/>
    <w:rsid w:val="004A37C0"/>
    <w:rsid w:val="004A4A48"/>
    <w:rsid w:val="004A54C1"/>
    <w:rsid w:val="004A5B31"/>
    <w:rsid w:val="004A6B2A"/>
    <w:rsid w:val="004A79A4"/>
    <w:rsid w:val="004A7B05"/>
    <w:rsid w:val="004A7C2E"/>
    <w:rsid w:val="004B04E8"/>
    <w:rsid w:val="004B1709"/>
    <w:rsid w:val="004B21AE"/>
    <w:rsid w:val="004B5EFF"/>
    <w:rsid w:val="004B6795"/>
    <w:rsid w:val="004B70DB"/>
    <w:rsid w:val="004C081F"/>
    <w:rsid w:val="004C09AB"/>
    <w:rsid w:val="004C71DC"/>
    <w:rsid w:val="004D2425"/>
    <w:rsid w:val="004D25AD"/>
    <w:rsid w:val="004D2995"/>
    <w:rsid w:val="004D33AF"/>
    <w:rsid w:val="004D5214"/>
    <w:rsid w:val="004D6271"/>
    <w:rsid w:val="004D772C"/>
    <w:rsid w:val="004E076A"/>
    <w:rsid w:val="004E1352"/>
    <w:rsid w:val="004E1EB3"/>
    <w:rsid w:val="004E21AB"/>
    <w:rsid w:val="004E234D"/>
    <w:rsid w:val="004E451F"/>
    <w:rsid w:val="004E64A5"/>
    <w:rsid w:val="004E7455"/>
    <w:rsid w:val="004F0389"/>
    <w:rsid w:val="004F2E6A"/>
    <w:rsid w:val="004F39CA"/>
    <w:rsid w:val="004F49E8"/>
    <w:rsid w:val="004F523D"/>
    <w:rsid w:val="004F6190"/>
    <w:rsid w:val="004F6FC1"/>
    <w:rsid w:val="004F7FA3"/>
    <w:rsid w:val="00501171"/>
    <w:rsid w:val="005032BB"/>
    <w:rsid w:val="0050423A"/>
    <w:rsid w:val="00504670"/>
    <w:rsid w:val="005049E1"/>
    <w:rsid w:val="005055A9"/>
    <w:rsid w:val="00506078"/>
    <w:rsid w:val="005113C9"/>
    <w:rsid w:val="00512108"/>
    <w:rsid w:val="00512464"/>
    <w:rsid w:val="005129E0"/>
    <w:rsid w:val="00512E09"/>
    <w:rsid w:val="00513EC3"/>
    <w:rsid w:val="00514913"/>
    <w:rsid w:val="00515CA6"/>
    <w:rsid w:val="00516272"/>
    <w:rsid w:val="00520D5D"/>
    <w:rsid w:val="00520EA7"/>
    <w:rsid w:val="00521631"/>
    <w:rsid w:val="005240F3"/>
    <w:rsid w:val="00524606"/>
    <w:rsid w:val="00525638"/>
    <w:rsid w:val="005259D4"/>
    <w:rsid w:val="00526282"/>
    <w:rsid w:val="00526D27"/>
    <w:rsid w:val="00527455"/>
    <w:rsid w:val="00531C2C"/>
    <w:rsid w:val="005336F2"/>
    <w:rsid w:val="00534365"/>
    <w:rsid w:val="00535A03"/>
    <w:rsid w:val="00537678"/>
    <w:rsid w:val="00537B1A"/>
    <w:rsid w:val="00540262"/>
    <w:rsid w:val="005403FB"/>
    <w:rsid w:val="00540ED7"/>
    <w:rsid w:val="00541443"/>
    <w:rsid w:val="00542427"/>
    <w:rsid w:val="00544643"/>
    <w:rsid w:val="00544762"/>
    <w:rsid w:val="00544F10"/>
    <w:rsid w:val="005462EC"/>
    <w:rsid w:val="00546C88"/>
    <w:rsid w:val="00546DE6"/>
    <w:rsid w:val="00547BBB"/>
    <w:rsid w:val="005503B6"/>
    <w:rsid w:val="00550898"/>
    <w:rsid w:val="00551017"/>
    <w:rsid w:val="0055399F"/>
    <w:rsid w:val="005547DF"/>
    <w:rsid w:val="005552D4"/>
    <w:rsid w:val="0055573F"/>
    <w:rsid w:val="005574B8"/>
    <w:rsid w:val="0055779E"/>
    <w:rsid w:val="0056343B"/>
    <w:rsid w:val="00566A5A"/>
    <w:rsid w:val="005676FD"/>
    <w:rsid w:val="005715EE"/>
    <w:rsid w:val="005720F5"/>
    <w:rsid w:val="005739A2"/>
    <w:rsid w:val="00573C28"/>
    <w:rsid w:val="00573CF6"/>
    <w:rsid w:val="0057475D"/>
    <w:rsid w:val="005760DB"/>
    <w:rsid w:val="00576948"/>
    <w:rsid w:val="00580DEE"/>
    <w:rsid w:val="005829EB"/>
    <w:rsid w:val="00587577"/>
    <w:rsid w:val="00587E77"/>
    <w:rsid w:val="005904E8"/>
    <w:rsid w:val="00590662"/>
    <w:rsid w:val="00590D1B"/>
    <w:rsid w:val="005925CC"/>
    <w:rsid w:val="00592EE4"/>
    <w:rsid w:val="00593CAD"/>
    <w:rsid w:val="00593D60"/>
    <w:rsid w:val="005968EB"/>
    <w:rsid w:val="00596B60"/>
    <w:rsid w:val="005A07F5"/>
    <w:rsid w:val="005A0AF7"/>
    <w:rsid w:val="005A0E21"/>
    <w:rsid w:val="005A2C86"/>
    <w:rsid w:val="005A46E6"/>
    <w:rsid w:val="005A51F1"/>
    <w:rsid w:val="005A71E9"/>
    <w:rsid w:val="005B1112"/>
    <w:rsid w:val="005B22DA"/>
    <w:rsid w:val="005B24EA"/>
    <w:rsid w:val="005B2E66"/>
    <w:rsid w:val="005B4006"/>
    <w:rsid w:val="005B6587"/>
    <w:rsid w:val="005B6FEF"/>
    <w:rsid w:val="005B7074"/>
    <w:rsid w:val="005B7893"/>
    <w:rsid w:val="005C1ACA"/>
    <w:rsid w:val="005C3871"/>
    <w:rsid w:val="005C39BE"/>
    <w:rsid w:val="005C63AD"/>
    <w:rsid w:val="005C6791"/>
    <w:rsid w:val="005C702B"/>
    <w:rsid w:val="005D0638"/>
    <w:rsid w:val="005D132E"/>
    <w:rsid w:val="005D1FB3"/>
    <w:rsid w:val="005D2335"/>
    <w:rsid w:val="005D23BB"/>
    <w:rsid w:val="005D2D26"/>
    <w:rsid w:val="005D40C4"/>
    <w:rsid w:val="005D53A3"/>
    <w:rsid w:val="005D6D70"/>
    <w:rsid w:val="005D7EC1"/>
    <w:rsid w:val="005E024E"/>
    <w:rsid w:val="005E0DBA"/>
    <w:rsid w:val="005E24A3"/>
    <w:rsid w:val="005E2A82"/>
    <w:rsid w:val="005E49FE"/>
    <w:rsid w:val="005F025A"/>
    <w:rsid w:val="005F0709"/>
    <w:rsid w:val="005F1D13"/>
    <w:rsid w:val="005F3EEB"/>
    <w:rsid w:val="005F3F14"/>
    <w:rsid w:val="005F6156"/>
    <w:rsid w:val="005F6471"/>
    <w:rsid w:val="005F64CE"/>
    <w:rsid w:val="005F6CCB"/>
    <w:rsid w:val="005F70AA"/>
    <w:rsid w:val="005F747F"/>
    <w:rsid w:val="00601369"/>
    <w:rsid w:val="00601644"/>
    <w:rsid w:val="0060170F"/>
    <w:rsid w:val="006037F2"/>
    <w:rsid w:val="006044C9"/>
    <w:rsid w:val="006054E1"/>
    <w:rsid w:val="006056BC"/>
    <w:rsid w:val="00605744"/>
    <w:rsid w:val="00607005"/>
    <w:rsid w:val="0061030F"/>
    <w:rsid w:val="00612DA8"/>
    <w:rsid w:val="00613AF4"/>
    <w:rsid w:val="006144B6"/>
    <w:rsid w:val="00615137"/>
    <w:rsid w:val="00615DB2"/>
    <w:rsid w:val="00615F74"/>
    <w:rsid w:val="00617DA4"/>
    <w:rsid w:val="00621F0B"/>
    <w:rsid w:val="00622437"/>
    <w:rsid w:val="00626355"/>
    <w:rsid w:val="006266F1"/>
    <w:rsid w:val="00626FFE"/>
    <w:rsid w:val="00631113"/>
    <w:rsid w:val="006340FC"/>
    <w:rsid w:val="00636385"/>
    <w:rsid w:val="0063669F"/>
    <w:rsid w:val="00636A2C"/>
    <w:rsid w:val="00637541"/>
    <w:rsid w:val="006455A1"/>
    <w:rsid w:val="00645F87"/>
    <w:rsid w:val="00650B4F"/>
    <w:rsid w:val="00651A68"/>
    <w:rsid w:val="00652162"/>
    <w:rsid w:val="00654A07"/>
    <w:rsid w:val="00655471"/>
    <w:rsid w:val="00656152"/>
    <w:rsid w:val="00656886"/>
    <w:rsid w:val="00656FCB"/>
    <w:rsid w:val="00657A8F"/>
    <w:rsid w:val="00660257"/>
    <w:rsid w:val="006606A1"/>
    <w:rsid w:val="006621BB"/>
    <w:rsid w:val="00662D32"/>
    <w:rsid w:val="0066363E"/>
    <w:rsid w:val="00664208"/>
    <w:rsid w:val="00664AB2"/>
    <w:rsid w:val="006668C3"/>
    <w:rsid w:val="00666AA9"/>
    <w:rsid w:val="00667BAD"/>
    <w:rsid w:val="00671DB4"/>
    <w:rsid w:val="006729AB"/>
    <w:rsid w:val="00672FAD"/>
    <w:rsid w:val="0067435A"/>
    <w:rsid w:val="00674569"/>
    <w:rsid w:val="0067478A"/>
    <w:rsid w:val="0067568F"/>
    <w:rsid w:val="00676305"/>
    <w:rsid w:val="00681A0C"/>
    <w:rsid w:val="00686A12"/>
    <w:rsid w:val="00687E1D"/>
    <w:rsid w:val="006905C1"/>
    <w:rsid w:val="00690F89"/>
    <w:rsid w:val="00691393"/>
    <w:rsid w:val="00691470"/>
    <w:rsid w:val="00691B13"/>
    <w:rsid w:val="006948C5"/>
    <w:rsid w:val="0069557B"/>
    <w:rsid w:val="00697E68"/>
    <w:rsid w:val="006A1FBB"/>
    <w:rsid w:val="006A318F"/>
    <w:rsid w:val="006A37F7"/>
    <w:rsid w:val="006A4325"/>
    <w:rsid w:val="006A49CD"/>
    <w:rsid w:val="006A5266"/>
    <w:rsid w:val="006A5674"/>
    <w:rsid w:val="006A5A41"/>
    <w:rsid w:val="006A65FC"/>
    <w:rsid w:val="006A68F9"/>
    <w:rsid w:val="006A7ABC"/>
    <w:rsid w:val="006A7CC2"/>
    <w:rsid w:val="006B0355"/>
    <w:rsid w:val="006B0EB1"/>
    <w:rsid w:val="006B0F37"/>
    <w:rsid w:val="006B2004"/>
    <w:rsid w:val="006B2031"/>
    <w:rsid w:val="006B28DD"/>
    <w:rsid w:val="006B3676"/>
    <w:rsid w:val="006B3AA6"/>
    <w:rsid w:val="006B402F"/>
    <w:rsid w:val="006B4389"/>
    <w:rsid w:val="006B7BD6"/>
    <w:rsid w:val="006C4F80"/>
    <w:rsid w:val="006C6613"/>
    <w:rsid w:val="006C6E2C"/>
    <w:rsid w:val="006C6EBF"/>
    <w:rsid w:val="006C7429"/>
    <w:rsid w:val="006D04CE"/>
    <w:rsid w:val="006D0BB5"/>
    <w:rsid w:val="006D0C87"/>
    <w:rsid w:val="006D19E5"/>
    <w:rsid w:val="006D23F6"/>
    <w:rsid w:val="006D33D8"/>
    <w:rsid w:val="006D4859"/>
    <w:rsid w:val="006D52CB"/>
    <w:rsid w:val="006D532D"/>
    <w:rsid w:val="006D7240"/>
    <w:rsid w:val="006D7607"/>
    <w:rsid w:val="006D7940"/>
    <w:rsid w:val="006D7BF5"/>
    <w:rsid w:val="006E0316"/>
    <w:rsid w:val="006E06E5"/>
    <w:rsid w:val="006E1FC1"/>
    <w:rsid w:val="006E24FF"/>
    <w:rsid w:val="006E30DC"/>
    <w:rsid w:val="006E55C8"/>
    <w:rsid w:val="006E5B39"/>
    <w:rsid w:val="006F1104"/>
    <w:rsid w:val="006F207A"/>
    <w:rsid w:val="006F47BA"/>
    <w:rsid w:val="006F4E5F"/>
    <w:rsid w:val="00700432"/>
    <w:rsid w:val="00701DED"/>
    <w:rsid w:val="007022AC"/>
    <w:rsid w:val="00702913"/>
    <w:rsid w:val="00702C14"/>
    <w:rsid w:val="00702C88"/>
    <w:rsid w:val="007038AF"/>
    <w:rsid w:val="00704A4F"/>
    <w:rsid w:val="00705095"/>
    <w:rsid w:val="0070560B"/>
    <w:rsid w:val="00706E69"/>
    <w:rsid w:val="00706EDA"/>
    <w:rsid w:val="0071075D"/>
    <w:rsid w:val="00711027"/>
    <w:rsid w:val="0071214D"/>
    <w:rsid w:val="0071419E"/>
    <w:rsid w:val="00714DF6"/>
    <w:rsid w:val="00720D57"/>
    <w:rsid w:val="007214E6"/>
    <w:rsid w:val="0072327B"/>
    <w:rsid w:val="00723B84"/>
    <w:rsid w:val="00724725"/>
    <w:rsid w:val="00725021"/>
    <w:rsid w:val="00725D1D"/>
    <w:rsid w:val="007270CA"/>
    <w:rsid w:val="00727119"/>
    <w:rsid w:val="00727E55"/>
    <w:rsid w:val="00730C29"/>
    <w:rsid w:val="00731CDC"/>
    <w:rsid w:val="00731D86"/>
    <w:rsid w:val="00732476"/>
    <w:rsid w:val="00733A4A"/>
    <w:rsid w:val="00733A9F"/>
    <w:rsid w:val="00733DB9"/>
    <w:rsid w:val="00735F25"/>
    <w:rsid w:val="00740532"/>
    <w:rsid w:val="007417CC"/>
    <w:rsid w:val="00742755"/>
    <w:rsid w:val="00743640"/>
    <w:rsid w:val="00744BA2"/>
    <w:rsid w:val="00744D8F"/>
    <w:rsid w:val="007454E6"/>
    <w:rsid w:val="00745AA8"/>
    <w:rsid w:val="00745E37"/>
    <w:rsid w:val="00746DFD"/>
    <w:rsid w:val="00747CE9"/>
    <w:rsid w:val="00747DD7"/>
    <w:rsid w:val="00747E41"/>
    <w:rsid w:val="007509E7"/>
    <w:rsid w:val="00752F2E"/>
    <w:rsid w:val="00753814"/>
    <w:rsid w:val="0075457F"/>
    <w:rsid w:val="00755A82"/>
    <w:rsid w:val="00755D7D"/>
    <w:rsid w:val="00757C0D"/>
    <w:rsid w:val="0076006F"/>
    <w:rsid w:val="007604C1"/>
    <w:rsid w:val="0076065D"/>
    <w:rsid w:val="00762312"/>
    <w:rsid w:val="007634B2"/>
    <w:rsid w:val="007642E1"/>
    <w:rsid w:val="00765F19"/>
    <w:rsid w:val="00766528"/>
    <w:rsid w:val="00770682"/>
    <w:rsid w:val="007742F7"/>
    <w:rsid w:val="00775451"/>
    <w:rsid w:val="00775766"/>
    <w:rsid w:val="00780DFD"/>
    <w:rsid w:val="00782AA8"/>
    <w:rsid w:val="00782D70"/>
    <w:rsid w:val="0078378E"/>
    <w:rsid w:val="00783D63"/>
    <w:rsid w:val="00783E87"/>
    <w:rsid w:val="007852AA"/>
    <w:rsid w:val="007861CC"/>
    <w:rsid w:val="007867E6"/>
    <w:rsid w:val="00787411"/>
    <w:rsid w:val="00787456"/>
    <w:rsid w:val="00792151"/>
    <w:rsid w:val="00792B7F"/>
    <w:rsid w:val="007937F0"/>
    <w:rsid w:val="007968EA"/>
    <w:rsid w:val="007A048A"/>
    <w:rsid w:val="007A0D95"/>
    <w:rsid w:val="007A3858"/>
    <w:rsid w:val="007A7B94"/>
    <w:rsid w:val="007B03DC"/>
    <w:rsid w:val="007B11AE"/>
    <w:rsid w:val="007B1796"/>
    <w:rsid w:val="007B36FF"/>
    <w:rsid w:val="007B37C3"/>
    <w:rsid w:val="007B64B8"/>
    <w:rsid w:val="007B6A1A"/>
    <w:rsid w:val="007B768C"/>
    <w:rsid w:val="007C030F"/>
    <w:rsid w:val="007C0B3C"/>
    <w:rsid w:val="007C114E"/>
    <w:rsid w:val="007C1913"/>
    <w:rsid w:val="007C24C2"/>
    <w:rsid w:val="007C4B18"/>
    <w:rsid w:val="007D03DB"/>
    <w:rsid w:val="007D0BB1"/>
    <w:rsid w:val="007D0DA7"/>
    <w:rsid w:val="007D476E"/>
    <w:rsid w:val="007D7FCE"/>
    <w:rsid w:val="007E0B70"/>
    <w:rsid w:val="007E2D46"/>
    <w:rsid w:val="007E3AA0"/>
    <w:rsid w:val="007E5539"/>
    <w:rsid w:val="007F10CC"/>
    <w:rsid w:val="007F1C60"/>
    <w:rsid w:val="007F201F"/>
    <w:rsid w:val="007F3754"/>
    <w:rsid w:val="007F5A53"/>
    <w:rsid w:val="00802305"/>
    <w:rsid w:val="008031EA"/>
    <w:rsid w:val="0080387A"/>
    <w:rsid w:val="008044D1"/>
    <w:rsid w:val="00807B57"/>
    <w:rsid w:val="008101CD"/>
    <w:rsid w:val="00810331"/>
    <w:rsid w:val="00810372"/>
    <w:rsid w:val="008113B7"/>
    <w:rsid w:val="0081145A"/>
    <w:rsid w:val="00813AD1"/>
    <w:rsid w:val="00815070"/>
    <w:rsid w:val="00815CFE"/>
    <w:rsid w:val="0081614A"/>
    <w:rsid w:val="0081614F"/>
    <w:rsid w:val="00820716"/>
    <w:rsid w:val="00820842"/>
    <w:rsid w:val="00822906"/>
    <w:rsid w:val="00822AF2"/>
    <w:rsid w:val="00822DC8"/>
    <w:rsid w:val="008239CE"/>
    <w:rsid w:val="0082486B"/>
    <w:rsid w:val="00824906"/>
    <w:rsid w:val="00824C1E"/>
    <w:rsid w:val="00824EC7"/>
    <w:rsid w:val="008259AA"/>
    <w:rsid w:val="00826077"/>
    <w:rsid w:val="0082625D"/>
    <w:rsid w:val="0082793B"/>
    <w:rsid w:val="00827CEF"/>
    <w:rsid w:val="00830158"/>
    <w:rsid w:val="008309B6"/>
    <w:rsid w:val="00831B13"/>
    <w:rsid w:val="0083227A"/>
    <w:rsid w:val="00833D40"/>
    <w:rsid w:val="008341C0"/>
    <w:rsid w:val="00835454"/>
    <w:rsid w:val="008357CD"/>
    <w:rsid w:val="00837FF3"/>
    <w:rsid w:val="0084029D"/>
    <w:rsid w:val="008424DA"/>
    <w:rsid w:val="00843790"/>
    <w:rsid w:val="00845B56"/>
    <w:rsid w:val="0084648A"/>
    <w:rsid w:val="00847322"/>
    <w:rsid w:val="0085285D"/>
    <w:rsid w:val="008563EF"/>
    <w:rsid w:val="008564C9"/>
    <w:rsid w:val="00856AF1"/>
    <w:rsid w:val="0086042F"/>
    <w:rsid w:val="008604D3"/>
    <w:rsid w:val="00860B40"/>
    <w:rsid w:val="008639F5"/>
    <w:rsid w:val="00864741"/>
    <w:rsid w:val="00865377"/>
    <w:rsid w:val="00866074"/>
    <w:rsid w:val="00867E79"/>
    <w:rsid w:val="00870F80"/>
    <w:rsid w:val="008718FC"/>
    <w:rsid w:val="00872785"/>
    <w:rsid w:val="00872B67"/>
    <w:rsid w:val="0087453F"/>
    <w:rsid w:val="008752E7"/>
    <w:rsid w:val="008763D9"/>
    <w:rsid w:val="00876EE8"/>
    <w:rsid w:val="00877582"/>
    <w:rsid w:val="00880E7B"/>
    <w:rsid w:val="00884948"/>
    <w:rsid w:val="00884EDE"/>
    <w:rsid w:val="00885A35"/>
    <w:rsid w:val="008862CC"/>
    <w:rsid w:val="008874C9"/>
    <w:rsid w:val="008874FD"/>
    <w:rsid w:val="008909DD"/>
    <w:rsid w:val="0089111C"/>
    <w:rsid w:val="008911DA"/>
    <w:rsid w:val="008928A4"/>
    <w:rsid w:val="00894867"/>
    <w:rsid w:val="00894B35"/>
    <w:rsid w:val="008975CC"/>
    <w:rsid w:val="008A1326"/>
    <w:rsid w:val="008A14DC"/>
    <w:rsid w:val="008A3A95"/>
    <w:rsid w:val="008A3D86"/>
    <w:rsid w:val="008A44F0"/>
    <w:rsid w:val="008A4CA6"/>
    <w:rsid w:val="008A5C31"/>
    <w:rsid w:val="008A6E83"/>
    <w:rsid w:val="008B0CA6"/>
    <w:rsid w:val="008B25A0"/>
    <w:rsid w:val="008B25C2"/>
    <w:rsid w:val="008B2AAD"/>
    <w:rsid w:val="008B30F6"/>
    <w:rsid w:val="008B392B"/>
    <w:rsid w:val="008B3973"/>
    <w:rsid w:val="008B4B95"/>
    <w:rsid w:val="008B4D5C"/>
    <w:rsid w:val="008B4FA6"/>
    <w:rsid w:val="008B6877"/>
    <w:rsid w:val="008B7009"/>
    <w:rsid w:val="008C0835"/>
    <w:rsid w:val="008C4924"/>
    <w:rsid w:val="008C60D9"/>
    <w:rsid w:val="008C7FB4"/>
    <w:rsid w:val="008D11D1"/>
    <w:rsid w:val="008D16F2"/>
    <w:rsid w:val="008D1AC5"/>
    <w:rsid w:val="008D1B27"/>
    <w:rsid w:val="008D1E37"/>
    <w:rsid w:val="008D4322"/>
    <w:rsid w:val="008D43FB"/>
    <w:rsid w:val="008D6E9B"/>
    <w:rsid w:val="008D71CA"/>
    <w:rsid w:val="008E2720"/>
    <w:rsid w:val="008E2D8A"/>
    <w:rsid w:val="008E43E0"/>
    <w:rsid w:val="008E4ABD"/>
    <w:rsid w:val="008E5035"/>
    <w:rsid w:val="008E555B"/>
    <w:rsid w:val="008E7944"/>
    <w:rsid w:val="008E7E54"/>
    <w:rsid w:val="008F065F"/>
    <w:rsid w:val="008F0AE8"/>
    <w:rsid w:val="008F0C78"/>
    <w:rsid w:val="008F2068"/>
    <w:rsid w:val="008F2414"/>
    <w:rsid w:val="008F3535"/>
    <w:rsid w:val="008F36E9"/>
    <w:rsid w:val="008F3C7F"/>
    <w:rsid w:val="008F3D9B"/>
    <w:rsid w:val="008F41E4"/>
    <w:rsid w:val="008F440B"/>
    <w:rsid w:val="008F4C19"/>
    <w:rsid w:val="008F5083"/>
    <w:rsid w:val="008F516B"/>
    <w:rsid w:val="008F6370"/>
    <w:rsid w:val="008F6929"/>
    <w:rsid w:val="008F6BCC"/>
    <w:rsid w:val="008F7211"/>
    <w:rsid w:val="00901676"/>
    <w:rsid w:val="00901F91"/>
    <w:rsid w:val="00904C70"/>
    <w:rsid w:val="00904E3F"/>
    <w:rsid w:val="00904F88"/>
    <w:rsid w:val="00906270"/>
    <w:rsid w:val="009071E6"/>
    <w:rsid w:val="00907F7A"/>
    <w:rsid w:val="00910778"/>
    <w:rsid w:val="00910EAC"/>
    <w:rsid w:val="00913617"/>
    <w:rsid w:val="00914182"/>
    <w:rsid w:val="00915AAD"/>
    <w:rsid w:val="00917A41"/>
    <w:rsid w:val="00920CD1"/>
    <w:rsid w:val="00920DB8"/>
    <w:rsid w:val="00921A47"/>
    <w:rsid w:val="00921B57"/>
    <w:rsid w:val="00921BF9"/>
    <w:rsid w:val="00923D03"/>
    <w:rsid w:val="0092460E"/>
    <w:rsid w:val="00924758"/>
    <w:rsid w:val="00925056"/>
    <w:rsid w:val="0092527F"/>
    <w:rsid w:val="009277CD"/>
    <w:rsid w:val="00927B3B"/>
    <w:rsid w:val="009301A4"/>
    <w:rsid w:val="00930F45"/>
    <w:rsid w:val="00930F48"/>
    <w:rsid w:val="00931183"/>
    <w:rsid w:val="0093136B"/>
    <w:rsid w:val="00932666"/>
    <w:rsid w:val="00934E08"/>
    <w:rsid w:val="0093574C"/>
    <w:rsid w:val="00937623"/>
    <w:rsid w:val="00937988"/>
    <w:rsid w:val="00937CE5"/>
    <w:rsid w:val="009413A1"/>
    <w:rsid w:val="00942587"/>
    <w:rsid w:val="00942D08"/>
    <w:rsid w:val="00946B78"/>
    <w:rsid w:val="009515EF"/>
    <w:rsid w:val="00951722"/>
    <w:rsid w:val="00951791"/>
    <w:rsid w:val="00952175"/>
    <w:rsid w:val="009527D7"/>
    <w:rsid w:val="009528B0"/>
    <w:rsid w:val="0095459B"/>
    <w:rsid w:val="00955BB1"/>
    <w:rsid w:val="0095666F"/>
    <w:rsid w:val="00957548"/>
    <w:rsid w:val="00957CFB"/>
    <w:rsid w:val="0096055F"/>
    <w:rsid w:val="009612F7"/>
    <w:rsid w:val="00961DAE"/>
    <w:rsid w:val="00961F09"/>
    <w:rsid w:val="00962E4C"/>
    <w:rsid w:val="00962F4A"/>
    <w:rsid w:val="00964940"/>
    <w:rsid w:val="00964C2C"/>
    <w:rsid w:val="00964F90"/>
    <w:rsid w:val="00966856"/>
    <w:rsid w:val="00967BE1"/>
    <w:rsid w:val="00970D7E"/>
    <w:rsid w:val="009718DC"/>
    <w:rsid w:val="00972511"/>
    <w:rsid w:val="00973A45"/>
    <w:rsid w:val="00974070"/>
    <w:rsid w:val="00974E09"/>
    <w:rsid w:val="00975E29"/>
    <w:rsid w:val="0097756B"/>
    <w:rsid w:val="00977D71"/>
    <w:rsid w:val="00981C1F"/>
    <w:rsid w:val="00981EEB"/>
    <w:rsid w:val="00982B4E"/>
    <w:rsid w:val="0098339C"/>
    <w:rsid w:val="0098371C"/>
    <w:rsid w:val="00983D57"/>
    <w:rsid w:val="00985CF6"/>
    <w:rsid w:val="00986408"/>
    <w:rsid w:val="009872E6"/>
    <w:rsid w:val="009903A6"/>
    <w:rsid w:val="009926BC"/>
    <w:rsid w:val="00992A39"/>
    <w:rsid w:val="0099344A"/>
    <w:rsid w:val="0099384C"/>
    <w:rsid w:val="009938A8"/>
    <w:rsid w:val="00994D1A"/>
    <w:rsid w:val="00996323"/>
    <w:rsid w:val="00997ECD"/>
    <w:rsid w:val="009A0F68"/>
    <w:rsid w:val="009A1404"/>
    <w:rsid w:val="009A2469"/>
    <w:rsid w:val="009A4555"/>
    <w:rsid w:val="009B29AF"/>
    <w:rsid w:val="009B38FB"/>
    <w:rsid w:val="009B40E2"/>
    <w:rsid w:val="009B5126"/>
    <w:rsid w:val="009B548D"/>
    <w:rsid w:val="009B7774"/>
    <w:rsid w:val="009C24BA"/>
    <w:rsid w:val="009C3A65"/>
    <w:rsid w:val="009C42E5"/>
    <w:rsid w:val="009C57AE"/>
    <w:rsid w:val="009C583F"/>
    <w:rsid w:val="009C589B"/>
    <w:rsid w:val="009C6CD6"/>
    <w:rsid w:val="009D27A5"/>
    <w:rsid w:val="009D3224"/>
    <w:rsid w:val="009D3C60"/>
    <w:rsid w:val="009D47D3"/>
    <w:rsid w:val="009D5A99"/>
    <w:rsid w:val="009D6EAC"/>
    <w:rsid w:val="009E566E"/>
    <w:rsid w:val="009E7C22"/>
    <w:rsid w:val="009F2E29"/>
    <w:rsid w:val="009F6CD9"/>
    <w:rsid w:val="009F799E"/>
    <w:rsid w:val="00A02533"/>
    <w:rsid w:val="00A0257E"/>
    <w:rsid w:val="00A0357D"/>
    <w:rsid w:val="00A0515A"/>
    <w:rsid w:val="00A05CAB"/>
    <w:rsid w:val="00A065BF"/>
    <w:rsid w:val="00A06725"/>
    <w:rsid w:val="00A1017B"/>
    <w:rsid w:val="00A105B3"/>
    <w:rsid w:val="00A1091C"/>
    <w:rsid w:val="00A109B0"/>
    <w:rsid w:val="00A149C3"/>
    <w:rsid w:val="00A20D0E"/>
    <w:rsid w:val="00A21598"/>
    <w:rsid w:val="00A21A79"/>
    <w:rsid w:val="00A22688"/>
    <w:rsid w:val="00A23122"/>
    <w:rsid w:val="00A23415"/>
    <w:rsid w:val="00A24027"/>
    <w:rsid w:val="00A32627"/>
    <w:rsid w:val="00A3341E"/>
    <w:rsid w:val="00A339C5"/>
    <w:rsid w:val="00A33B99"/>
    <w:rsid w:val="00A3437C"/>
    <w:rsid w:val="00A34DFD"/>
    <w:rsid w:val="00A3508A"/>
    <w:rsid w:val="00A373BB"/>
    <w:rsid w:val="00A3752E"/>
    <w:rsid w:val="00A4011C"/>
    <w:rsid w:val="00A414FD"/>
    <w:rsid w:val="00A42198"/>
    <w:rsid w:val="00A424A3"/>
    <w:rsid w:val="00A4255B"/>
    <w:rsid w:val="00A42D65"/>
    <w:rsid w:val="00A44665"/>
    <w:rsid w:val="00A4580C"/>
    <w:rsid w:val="00A5015B"/>
    <w:rsid w:val="00A51537"/>
    <w:rsid w:val="00A525CE"/>
    <w:rsid w:val="00A533A9"/>
    <w:rsid w:val="00A5428A"/>
    <w:rsid w:val="00A5568B"/>
    <w:rsid w:val="00A573CA"/>
    <w:rsid w:val="00A57786"/>
    <w:rsid w:val="00A60CDD"/>
    <w:rsid w:val="00A62A17"/>
    <w:rsid w:val="00A64196"/>
    <w:rsid w:val="00A6437B"/>
    <w:rsid w:val="00A667B0"/>
    <w:rsid w:val="00A66E94"/>
    <w:rsid w:val="00A746EB"/>
    <w:rsid w:val="00A74B79"/>
    <w:rsid w:val="00A75A94"/>
    <w:rsid w:val="00A75F7C"/>
    <w:rsid w:val="00A76F3B"/>
    <w:rsid w:val="00A80854"/>
    <w:rsid w:val="00A81C23"/>
    <w:rsid w:val="00A82D36"/>
    <w:rsid w:val="00A83988"/>
    <w:rsid w:val="00A8657C"/>
    <w:rsid w:val="00A87F90"/>
    <w:rsid w:val="00A900EA"/>
    <w:rsid w:val="00A908AE"/>
    <w:rsid w:val="00A926C4"/>
    <w:rsid w:val="00A94C0D"/>
    <w:rsid w:val="00A9515A"/>
    <w:rsid w:val="00A95AD0"/>
    <w:rsid w:val="00A963B5"/>
    <w:rsid w:val="00A9656C"/>
    <w:rsid w:val="00AA0CD0"/>
    <w:rsid w:val="00AA23D0"/>
    <w:rsid w:val="00AA3B0F"/>
    <w:rsid w:val="00AA4068"/>
    <w:rsid w:val="00AA5428"/>
    <w:rsid w:val="00AA717B"/>
    <w:rsid w:val="00AA7FD5"/>
    <w:rsid w:val="00AB04D1"/>
    <w:rsid w:val="00AB0B6C"/>
    <w:rsid w:val="00AB20A7"/>
    <w:rsid w:val="00AB257D"/>
    <w:rsid w:val="00AB396E"/>
    <w:rsid w:val="00AB3CBD"/>
    <w:rsid w:val="00AB5EED"/>
    <w:rsid w:val="00AB60F4"/>
    <w:rsid w:val="00AB625C"/>
    <w:rsid w:val="00AB6458"/>
    <w:rsid w:val="00AB6C3B"/>
    <w:rsid w:val="00AB77C1"/>
    <w:rsid w:val="00AC06BC"/>
    <w:rsid w:val="00AC1E09"/>
    <w:rsid w:val="00AC1EA7"/>
    <w:rsid w:val="00AC33E4"/>
    <w:rsid w:val="00AC35F0"/>
    <w:rsid w:val="00AC3ACD"/>
    <w:rsid w:val="00AC46B1"/>
    <w:rsid w:val="00AC4702"/>
    <w:rsid w:val="00AC6C82"/>
    <w:rsid w:val="00AD0E09"/>
    <w:rsid w:val="00AD1EAB"/>
    <w:rsid w:val="00AD3004"/>
    <w:rsid w:val="00AD3BD5"/>
    <w:rsid w:val="00AD40AE"/>
    <w:rsid w:val="00AD73EA"/>
    <w:rsid w:val="00AD7530"/>
    <w:rsid w:val="00AD7CAF"/>
    <w:rsid w:val="00AE0548"/>
    <w:rsid w:val="00AE16F6"/>
    <w:rsid w:val="00AE4F41"/>
    <w:rsid w:val="00AE6A35"/>
    <w:rsid w:val="00AE768B"/>
    <w:rsid w:val="00AF0795"/>
    <w:rsid w:val="00AF0A75"/>
    <w:rsid w:val="00AF107C"/>
    <w:rsid w:val="00AF13B7"/>
    <w:rsid w:val="00AF26B0"/>
    <w:rsid w:val="00AF65D1"/>
    <w:rsid w:val="00AF6C0C"/>
    <w:rsid w:val="00B00131"/>
    <w:rsid w:val="00B069E6"/>
    <w:rsid w:val="00B07531"/>
    <w:rsid w:val="00B106E2"/>
    <w:rsid w:val="00B1071F"/>
    <w:rsid w:val="00B10D10"/>
    <w:rsid w:val="00B11447"/>
    <w:rsid w:val="00B11674"/>
    <w:rsid w:val="00B17987"/>
    <w:rsid w:val="00B20837"/>
    <w:rsid w:val="00B21E52"/>
    <w:rsid w:val="00B251FE"/>
    <w:rsid w:val="00B258CC"/>
    <w:rsid w:val="00B25B17"/>
    <w:rsid w:val="00B26EBF"/>
    <w:rsid w:val="00B3008A"/>
    <w:rsid w:val="00B30201"/>
    <w:rsid w:val="00B30C2E"/>
    <w:rsid w:val="00B31257"/>
    <w:rsid w:val="00B336E5"/>
    <w:rsid w:val="00B33B1B"/>
    <w:rsid w:val="00B37755"/>
    <w:rsid w:val="00B37B4C"/>
    <w:rsid w:val="00B4003C"/>
    <w:rsid w:val="00B40C68"/>
    <w:rsid w:val="00B41812"/>
    <w:rsid w:val="00B42474"/>
    <w:rsid w:val="00B42D7B"/>
    <w:rsid w:val="00B44E48"/>
    <w:rsid w:val="00B45347"/>
    <w:rsid w:val="00B4547C"/>
    <w:rsid w:val="00B45B14"/>
    <w:rsid w:val="00B45E66"/>
    <w:rsid w:val="00B4612D"/>
    <w:rsid w:val="00B46DCB"/>
    <w:rsid w:val="00B470CC"/>
    <w:rsid w:val="00B47B44"/>
    <w:rsid w:val="00B5180D"/>
    <w:rsid w:val="00B52147"/>
    <w:rsid w:val="00B53886"/>
    <w:rsid w:val="00B54570"/>
    <w:rsid w:val="00B5783C"/>
    <w:rsid w:val="00B608A1"/>
    <w:rsid w:val="00B621D4"/>
    <w:rsid w:val="00B62A27"/>
    <w:rsid w:val="00B6354E"/>
    <w:rsid w:val="00B63F77"/>
    <w:rsid w:val="00B64F65"/>
    <w:rsid w:val="00B654DB"/>
    <w:rsid w:val="00B70385"/>
    <w:rsid w:val="00B705A9"/>
    <w:rsid w:val="00B70C39"/>
    <w:rsid w:val="00B70E1F"/>
    <w:rsid w:val="00B7276D"/>
    <w:rsid w:val="00B74873"/>
    <w:rsid w:val="00B74A1F"/>
    <w:rsid w:val="00B802C4"/>
    <w:rsid w:val="00B80766"/>
    <w:rsid w:val="00B81449"/>
    <w:rsid w:val="00B86B18"/>
    <w:rsid w:val="00B86D33"/>
    <w:rsid w:val="00B86FE3"/>
    <w:rsid w:val="00B90CCA"/>
    <w:rsid w:val="00B9283F"/>
    <w:rsid w:val="00B947B2"/>
    <w:rsid w:val="00B947B9"/>
    <w:rsid w:val="00B9491E"/>
    <w:rsid w:val="00B950AF"/>
    <w:rsid w:val="00B960F0"/>
    <w:rsid w:val="00B97330"/>
    <w:rsid w:val="00BA1092"/>
    <w:rsid w:val="00BA11A9"/>
    <w:rsid w:val="00BA2298"/>
    <w:rsid w:val="00BA50AA"/>
    <w:rsid w:val="00BA5E01"/>
    <w:rsid w:val="00BA67A2"/>
    <w:rsid w:val="00BB1344"/>
    <w:rsid w:val="00BB2382"/>
    <w:rsid w:val="00BB2D18"/>
    <w:rsid w:val="00BB4BA6"/>
    <w:rsid w:val="00BB5583"/>
    <w:rsid w:val="00BB603B"/>
    <w:rsid w:val="00BB6585"/>
    <w:rsid w:val="00BB65B8"/>
    <w:rsid w:val="00BC16D5"/>
    <w:rsid w:val="00BC1BE8"/>
    <w:rsid w:val="00BC327D"/>
    <w:rsid w:val="00BC3532"/>
    <w:rsid w:val="00BC4F3D"/>
    <w:rsid w:val="00BC5663"/>
    <w:rsid w:val="00BC58C2"/>
    <w:rsid w:val="00BD0CC1"/>
    <w:rsid w:val="00BD10D9"/>
    <w:rsid w:val="00BD1A11"/>
    <w:rsid w:val="00BD1EF9"/>
    <w:rsid w:val="00BD402C"/>
    <w:rsid w:val="00BD40CB"/>
    <w:rsid w:val="00BD67D1"/>
    <w:rsid w:val="00BD6B08"/>
    <w:rsid w:val="00BD7EBB"/>
    <w:rsid w:val="00BE0123"/>
    <w:rsid w:val="00BE016E"/>
    <w:rsid w:val="00BE0377"/>
    <w:rsid w:val="00BE12FF"/>
    <w:rsid w:val="00BE2596"/>
    <w:rsid w:val="00BE306C"/>
    <w:rsid w:val="00BE3DDB"/>
    <w:rsid w:val="00BE4851"/>
    <w:rsid w:val="00BE6D67"/>
    <w:rsid w:val="00BE7AD3"/>
    <w:rsid w:val="00BF0FEC"/>
    <w:rsid w:val="00BF38D8"/>
    <w:rsid w:val="00BF3AEF"/>
    <w:rsid w:val="00BF3BAF"/>
    <w:rsid w:val="00BF53C2"/>
    <w:rsid w:val="00BF5F7D"/>
    <w:rsid w:val="00BF66B6"/>
    <w:rsid w:val="00BF7972"/>
    <w:rsid w:val="00C0009D"/>
    <w:rsid w:val="00C001AE"/>
    <w:rsid w:val="00C00909"/>
    <w:rsid w:val="00C04898"/>
    <w:rsid w:val="00C056C3"/>
    <w:rsid w:val="00C07136"/>
    <w:rsid w:val="00C10B78"/>
    <w:rsid w:val="00C11AA6"/>
    <w:rsid w:val="00C11F68"/>
    <w:rsid w:val="00C1279B"/>
    <w:rsid w:val="00C15548"/>
    <w:rsid w:val="00C16CDD"/>
    <w:rsid w:val="00C24AE1"/>
    <w:rsid w:val="00C24F92"/>
    <w:rsid w:val="00C25340"/>
    <w:rsid w:val="00C25E05"/>
    <w:rsid w:val="00C26154"/>
    <w:rsid w:val="00C263AF"/>
    <w:rsid w:val="00C26525"/>
    <w:rsid w:val="00C27A2E"/>
    <w:rsid w:val="00C306DB"/>
    <w:rsid w:val="00C33520"/>
    <w:rsid w:val="00C34BFF"/>
    <w:rsid w:val="00C355F3"/>
    <w:rsid w:val="00C4036E"/>
    <w:rsid w:val="00C40E7E"/>
    <w:rsid w:val="00C43922"/>
    <w:rsid w:val="00C43BA5"/>
    <w:rsid w:val="00C44558"/>
    <w:rsid w:val="00C44E45"/>
    <w:rsid w:val="00C47D33"/>
    <w:rsid w:val="00C47DF0"/>
    <w:rsid w:val="00C5023D"/>
    <w:rsid w:val="00C527B8"/>
    <w:rsid w:val="00C53C90"/>
    <w:rsid w:val="00C55DAB"/>
    <w:rsid w:val="00C572AA"/>
    <w:rsid w:val="00C6155C"/>
    <w:rsid w:val="00C63229"/>
    <w:rsid w:val="00C64D5E"/>
    <w:rsid w:val="00C664D3"/>
    <w:rsid w:val="00C6710A"/>
    <w:rsid w:val="00C67201"/>
    <w:rsid w:val="00C72004"/>
    <w:rsid w:val="00C7282C"/>
    <w:rsid w:val="00C74754"/>
    <w:rsid w:val="00C75B5F"/>
    <w:rsid w:val="00C77D7B"/>
    <w:rsid w:val="00C81E1B"/>
    <w:rsid w:val="00C82C10"/>
    <w:rsid w:val="00C847CD"/>
    <w:rsid w:val="00C84CE3"/>
    <w:rsid w:val="00C859A5"/>
    <w:rsid w:val="00C86590"/>
    <w:rsid w:val="00C865C2"/>
    <w:rsid w:val="00C8735B"/>
    <w:rsid w:val="00C87725"/>
    <w:rsid w:val="00C90129"/>
    <w:rsid w:val="00C90B8A"/>
    <w:rsid w:val="00C93227"/>
    <w:rsid w:val="00C951B6"/>
    <w:rsid w:val="00C968FD"/>
    <w:rsid w:val="00C97026"/>
    <w:rsid w:val="00CA1667"/>
    <w:rsid w:val="00CA2743"/>
    <w:rsid w:val="00CA298B"/>
    <w:rsid w:val="00CA2AC4"/>
    <w:rsid w:val="00CA3E0D"/>
    <w:rsid w:val="00CA460E"/>
    <w:rsid w:val="00CA4FB1"/>
    <w:rsid w:val="00CB009D"/>
    <w:rsid w:val="00CB3A49"/>
    <w:rsid w:val="00CB751B"/>
    <w:rsid w:val="00CC056B"/>
    <w:rsid w:val="00CC09E5"/>
    <w:rsid w:val="00CC1483"/>
    <w:rsid w:val="00CC1A9B"/>
    <w:rsid w:val="00CC21C2"/>
    <w:rsid w:val="00CC2EBA"/>
    <w:rsid w:val="00CC3490"/>
    <w:rsid w:val="00CC4487"/>
    <w:rsid w:val="00CC5529"/>
    <w:rsid w:val="00CC647B"/>
    <w:rsid w:val="00CC661F"/>
    <w:rsid w:val="00CC671D"/>
    <w:rsid w:val="00CC7105"/>
    <w:rsid w:val="00CC717B"/>
    <w:rsid w:val="00CC79C4"/>
    <w:rsid w:val="00CD06DB"/>
    <w:rsid w:val="00CD1F4E"/>
    <w:rsid w:val="00CD23EF"/>
    <w:rsid w:val="00CD3FB9"/>
    <w:rsid w:val="00CD4C3F"/>
    <w:rsid w:val="00CD5192"/>
    <w:rsid w:val="00CD6EAE"/>
    <w:rsid w:val="00CD736A"/>
    <w:rsid w:val="00CD7A6E"/>
    <w:rsid w:val="00CD7E5F"/>
    <w:rsid w:val="00CD7EFA"/>
    <w:rsid w:val="00CE5061"/>
    <w:rsid w:val="00CF08A1"/>
    <w:rsid w:val="00CF42E5"/>
    <w:rsid w:val="00CF4939"/>
    <w:rsid w:val="00CF54D3"/>
    <w:rsid w:val="00CF56AB"/>
    <w:rsid w:val="00CF6B86"/>
    <w:rsid w:val="00CF7117"/>
    <w:rsid w:val="00D00E2A"/>
    <w:rsid w:val="00D02F4B"/>
    <w:rsid w:val="00D0466C"/>
    <w:rsid w:val="00D060D7"/>
    <w:rsid w:val="00D06F14"/>
    <w:rsid w:val="00D076C3"/>
    <w:rsid w:val="00D07EFD"/>
    <w:rsid w:val="00D1132E"/>
    <w:rsid w:val="00D12A88"/>
    <w:rsid w:val="00D13B45"/>
    <w:rsid w:val="00D17C0A"/>
    <w:rsid w:val="00D21634"/>
    <w:rsid w:val="00D24AC0"/>
    <w:rsid w:val="00D3263A"/>
    <w:rsid w:val="00D329E6"/>
    <w:rsid w:val="00D32DF4"/>
    <w:rsid w:val="00D33B96"/>
    <w:rsid w:val="00D344E1"/>
    <w:rsid w:val="00D36A04"/>
    <w:rsid w:val="00D36B4C"/>
    <w:rsid w:val="00D37E6D"/>
    <w:rsid w:val="00D37EAD"/>
    <w:rsid w:val="00D40024"/>
    <w:rsid w:val="00D404FD"/>
    <w:rsid w:val="00D40D5C"/>
    <w:rsid w:val="00D41048"/>
    <w:rsid w:val="00D4256D"/>
    <w:rsid w:val="00D43416"/>
    <w:rsid w:val="00D44019"/>
    <w:rsid w:val="00D442B4"/>
    <w:rsid w:val="00D443DC"/>
    <w:rsid w:val="00D45AC8"/>
    <w:rsid w:val="00D4610D"/>
    <w:rsid w:val="00D4795F"/>
    <w:rsid w:val="00D50443"/>
    <w:rsid w:val="00D52557"/>
    <w:rsid w:val="00D53AE6"/>
    <w:rsid w:val="00D54CA8"/>
    <w:rsid w:val="00D57DFF"/>
    <w:rsid w:val="00D57F5E"/>
    <w:rsid w:val="00D60490"/>
    <w:rsid w:val="00D60ED5"/>
    <w:rsid w:val="00D61C2B"/>
    <w:rsid w:val="00D62735"/>
    <w:rsid w:val="00D63F8D"/>
    <w:rsid w:val="00D6488D"/>
    <w:rsid w:val="00D65628"/>
    <w:rsid w:val="00D65C66"/>
    <w:rsid w:val="00D678B1"/>
    <w:rsid w:val="00D67F26"/>
    <w:rsid w:val="00D70E52"/>
    <w:rsid w:val="00D710AE"/>
    <w:rsid w:val="00D71E2A"/>
    <w:rsid w:val="00D72808"/>
    <w:rsid w:val="00D738FC"/>
    <w:rsid w:val="00D747EF"/>
    <w:rsid w:val="00D74B3E"/>
    <w:rsid w:val="00D75650"/>
    <w:rsid w:val="00D758A4"/>
    <w:rsid w:val="00D8335B"/>
    <w:rsid w:val="00D83BD0"/>
    <w:rsid w:val="00D84520"/>
    <w:rsid w:val="00D8551A"/>
    <w:rsid w:val="00D85A12"/>
    <w:rsid w:val="00D86A5A"/>
    <w:rsid w:val="00D8794C"/>
    <w:rsid w:val="00D87A24"/>
    <w:rsid w:val="00D924AC"/>
    <w:rsid w:val="00D92E6E"/>
    <w:rsid w:val="00D935F5"/>
    <w:rsid w:val="00D93C04"/>
    <w:rsid w:val="00D93CB7"/>
    <w:rsid w:val="00D9404C"/>
    <w:rsid w:val="00D9595C"/>
    <w:rsid w:val="00D968B9"/>
    <w:rsid w:val="00D96DA8"/>
    <w:rsid w:val="00D9784F"/>
    <w:rsid w:val="00DA3697"/>
    <w:rsid w:val="00DA46F3"/>
    <w:rsid w:val="00DA5AD5"/>
    <w:rsid w:val="00DB0472"/>
    <w:rsid w:val="00DB09F4"/>
    <w:rsid w:val="00DB0DD4"/>
    <w:rsid w:val="00DB3223"/>
    <w:rsid w:val="00DB4945"/>
    <w:rsid w:val="00DB5983"/>
    <w:rsid w:val="00DB5A4A"/>
    <w:rsid w:val="00DB7692"/>
    <w:rsid w:val="00DC3377"/>
    <w:rsid w:val="00DC38A2"/>
    <w:rsid w:val="00DC4814"/>
    <w:rsid w:val="00DC5DB6"/>
    <w:rsid w:val="00DC60DF"/>
    <w:rsid w:val="00DC64D8"/>
    <w:rsid w:val="00DC7DC3"/>
    <w:rsid w:val="00DC7F67"/>
    <w:rsid w:val="00DD0F81"/>
    <w:rsid w:val="00DD11A1"/>
    <w:rsid w:val="00DD1C2F"/>
    <w:rsid w:val="00DD4944"/>
    <w:rsid w:val="00DD4C60"/>
    <w:rsid w:val="00DD4F8B"/>
    <w:rsid w:val="00DD545D"/>
    <w:rsid w:val="00DD6468"/>
    <w:rsid w:val="00DE3C13"/>
    <w:rsid w:val="00DE62B0"/>
    <w:rsid w:val="00DE630F"/>
    <w:rsid w:val="00DE6C37"/>
    <w:rsid w:val="00DF03E1"/>
    <w:rsid w:val="00DF06DF"/>
    <w:rsid w:val="00DF07B2"/>
    <w:rsid w:val="00DF18EC"/>
    <w:rsid w:val="00DF1C0E"/>
    <w:rsid w:val="00DF25D2"/>
    <w:rsid w:val="00DF2A22"/>
    <w:rsid w:val="00DF3600"/>
    <w:rsid w:val="00DF3618"/>
    <w:rsid w:val="00DF56A0"/>
    <w:rsid w:val="00E00CE2"/>
    <w:rsid w:val="00E00F37"/>
    <w:rsid w:val="00E024DF"/>
    <w:rsid w:val="00E02BF1"/>
    <w:rsid w:val="00E0338A"/>
    <w:rsid w:val="00E11139"/>
    <w:rsid w:val="00E1122A"/>
    <w:rsid w:val="00E112A4"/>
    <w:rsid w:val="00E12FC9"/>
    <w:rsid w:val="00E16863"/>
    <w:rsid w:val="00E169DB"/>
    <w:rsid w:val="00E1704E"/>
    <w:rsid w:val="00E17B65"/>
    <w:rsid w:val="00E202A8"/>
    <w:rsid w:val="00E20CCE"/>
    <w:rsid w:val="00E23B20"/>
    <w:rsid w:val="00E25634"/>
    <w:rsid w:val="00E27B80"/>
    <w:rsid w:val="00E3036A"/>
    <w:rsid w:val="00E32BF6"/>
    <w:rsid w:val="00E36291"/>
    <w:rsid w:val="00E36ADA"/>
    <w:rsid w:val="00E36B13"/>
    <w:rsid w:val="00E376EE"/>
    <w:rsid w:val="00E40479"/>
    <w:rsid w:val="00E40A3B"/>
    <w:rsid w:val="00E41D13"/>
    <w:rsid w:val="00E423A7"/>
    <w:rsid w:val="00E42969"/>
    <w:rsid w:val="00E47902"/>
    <w:rsid w:val="00E503EF"/>
    <w:rsid w:val="00E50CEF"/>
    <w:rsid w:val="00E5285B"/>
    <w:rsid w:val="00E52E84"/>
    <w:rsid w:val="00E52F65"/>
    <w:rsid w:val="00E54644"/>
    <w:rsid w:val="00E56748"/>
    <w:rsid w:val="00E619AD"/>
    <w:rsid w:val="00E61BFA"/>
    <w:rsid w:val="00E61FE7"/>
    <w:rsid w:val="00E6418F"/>
    <w:rsid w:val="00E66C90"/>
    <w:rsid w:val="00E7081A"/>
    <w:rsid w:val="00E7509D"/>
    <w:rsid w:val="00E7538E"/>
    <w:rsid w:val="00E75462"/>
    <w:rsid w:val="00E773D1"/>
    <w:rsid w:val="00E80206"/>
    <w:rsid w:val="00E80C9E"/>
    <w:rsid w:val="00E80E9D"/>
    <w:rsid w:val="00E81047"/>
    <w:rsid w:val="00E815BD"/>
    <w:rsid w:val="00E852C0"/>
    <w:rsid w:val="00E85D71"/>
    <w:rsid w:val="00E874B3"/>
    <w:rsid w:val="00E90AA9"/>
    <w:rsid w:val="00E924EA"/>
    <w:rsid w:val="00E92F18"/>
    <w:rsid w:val="00E93AB2"/>
    <w:rsid w:val="00E93B84"/>
    <w:rsid w:val="00E9531F"/>
    <w:rsid w:val="00EA1507"/>
    <w:rsid w:val="00EA4FF0"/>
    <w:rsid w:val="00EA50EE"/>
    <w:rsid w:val="00EA6B52"/>
    <w:rsid w:val="00EA7276"/>
    <w:rsid w:val="00EB0B1D"/>
    <w:rsid w:val="00EB292B"/>
    <w:rsid w:val="00EB29DA"/>
    <w:rsid w:val="00EB2BD3"/>
    <w:rsid w:val="00EB2E05"/>
    <w:rsid w:val="00EB4239"/>
    <w:rsid w:val="00EB45BD"/>
    <w:rsid w:val="00EB4AE1"/>
    <w:rsid w:val="00EB55AD"/>
    <w:rsid w:val="00EB7EB7"/>
    <w:rsid w:val="00EC0066"/>
    <w:rsid w:val="00EC0B18"/>
    <w:rsid w:val="00EC1F53"/>
    <w:rsid w:val="00EC28A7"/>
    <w:rsid w:val="00EC2EC2"/>
    <w:rsid w:val="00EC5AC2"/>
    <w:rsid w:val="00EC5BD7"/>
    <w:rsid w:val="00EC612E"/>
    <w:rsid w:val="00EC775F"/>
    <w:rsid w:val="00ED1FB3"/>
    <w:rsid w:val="00ED1FCD"/>
    <w:rsid w:val="00ED23F3"/>
    <w:rsid w:val="00ED3F23"/>
    <w:rsid w:val="00ED4899"/>
    <w:rsid w:val="00ED54DF"/>
    <w:rsid w:val="00ED58B8"/>
    <w:rsid w:val="00ED59B0"/>
    <w:rsid w:val="00ED632D"/>
    <w:rsid w:val="00ED65FF"/>
    <w:rsid w:val="00ED6C9F"/>
    <w:rsid w:val="00EE0530"/>
    <w:rsid w:val="00EE182D"/>
    <w:rsid w:val="00EE35FD"/>
    <w:rsid w:val="00EE3FFF"/>
    <w:rsid w:val="00EE4E0C"/>
    <w:rsid w:val="00EE7B97"/>
    <w:rsid w:val="00EE7D45"/>
    <w:rsid w:val="00EF1616"/>
    <w:rsid w:val="00EF1A38"/>
    <w:rsid w:val="00EF1E24"/>
    <w:rsid w:val="00EF1F82"/>
    <w:rsid w:val="00EF3FC4"/>
    <w:rsid w:val="00EF56EF"/>
    <w:rsid w:val="00EF6940"/>
    <w:rsid w:val="00EF7E88"/>
    <w:rsid w:val="00F00686"/>
    <w:rsid w:val="00F018DC"/>
    <w:rsid w:val="00F03A14"/>
    <w:rsid w:val="00F04555"/>
    <w:rsid w:val="00F05A55"/>
    <w:rsid w:val="00F061C9"/>
    <w:rsid w:val="00F06995"/>
    <w:rsid w:val="00F07A91"/>
    <w:rsid w:val="00F10771"/>
    <w:rsid w:val="00F10A16"/>
    <w:rsid w:val="00F11954"/>
    <w:rsid w:val="00F12F8B"/>
    <w:rsid w:val="00F137D9"/>
    <w:rsid w:val="00F13FE3"/>
    <w:rsid w:val="00F15015"/>
    <w:rsid w:val="00F15BBD"/>
    <w:rsid w:val="00F15F5F"/>
    <w:rsid w:val="00F16950"/>
    <w:rsid w:val="00F17001"/>
    <w:rsid w:val="00F17485"/>
    <w:rsid w:val="00F204B7"/>
    <w:rsid w:val="00F216A6"/>
    <w:rsid w:val="00F21755"/>
    <w:rsid w:val="00F2318D"/>
    <w:rsid w:val="00F23D98"/>
    <w:rsid w:val="00F244E2"/>
    <w:rsid w:val="00F24EF2"/>
    <w:rsid w:val="00F256D7"/>
    <w:rsid w:val="00F25F7C"/>
    <w:rsid w:val="00F26430"/>
    <w:rsid w:val="00F264CF"/>
    <w:rsid w:val="00F26AF0"/>
    <w:rsid w:val="00F27413"/>
    <w:rsid w:val="00F27CF4"/>
    <w:rsid w:val="00F32E31"/>
    <w:rsid w:val="00F3344D"/>
    <w:rsid w:val="00F35BAD"/>
    <w:rsid w:val="00F3704A"/>
    <w:rsid w:val="00F401A8"/>
    <w:rsid w:val="00F41724"/>
    <w:rsid w:val="00F41984"/>
    <w:rsid w:val="00F4231B"/>
    <w:rsid w:val="00F44B9A"/>
    <w:rsid w:val="00F44BFA"/>
    <w:rsid w:val="00F46045"/>
    <w:rsid w:val="00F471F5"/>
    <w:rsid w:val="00F50AB6"/>
    <w:rsid w:val="00F50F28"/>
    <w:rsid w:val="00F510BA"/>
    <w:rsid w:val="00F5131A"/>
    <w:rsid w:val="00F51D21"/>
    <w:rsid w:val="00F526CA"/>
    <w:rsid w:val="00F52F5C"/>
    <w:rsid w:val="00F53328"/>
    <w:rsid w:val="00F53BB9"/>
    <w:rsid w:val="00F548E6"/>
    <w:rsid w:val="00F5696A"/>
    <w:rsid w:val="00F60548"/>
    <w:rsid w:val="00F61D22"/>
    <w:rsid w:val="00F64CCC"/>
    <w:rsid w:val="00F64E5E"/>
    <w:rsid w:val="00F6518E"/>
    <w:rsid w:val="00F6537E"/>
    <w:rsid w:val="00F65506"/>
    <w:rsid w:val="00F65ED7"/>
    <w:rsid w:val="00F679D8"/>
    <w:rsid w:val="00F70FF5"/>
    <w:rsid w:val="00F711A2"/>
    <w:rsid w:val="00F74CFA"/>
    <w:rsid w:val="00F75505"/>
    <w:rsid w:val="00F755F8"/>
    <w:rsid w:val="00F80F5C"/>
    <w:rsid w:val="00F81268"/>
    <w:rsid w:val="00F81BE5"/>
    <w:rsid w:val="00F83DEB"/>
    <w:rsid w:val="00F864E6"/>
    <w:rsid w:val="00F902B1"/>
    <w:rsid w:val="00F94555"/>
    <w:rsid w:val="00F94ACF"/>
    <w:rsid w:val="00F95272"/>
    <w:rsid w:val="00F96157"/>
    <w:rsid w:val="00FA0552"/>
    <w:rsid w:val="00FA07F9"/>
    <w:rsid w:val="00FA1874"/>
    <w:rsid w:val="00FA3341"/>
    <w:rsid w:val="00FA5644"/>
    <w:rsid w:val="00FA5C4C"/>
    <w:rsid w:val="00FA5D3D"/>
    <w:rsid w:val="00FA7BE8"/>
    <w:rsid w:val="00FB0894"/>
    <w:rsid w:val="00FB14B7"/>
    <w:rsid w:val="00FB1A90"/>
    <w:rsid w:val="00FB1CA7"/>
    <w:rsid w:val="00FB1DC1"/>
    <w:rsid w:val="00FB69A7"/>
    <w:rsid w:val="00FC24A5"/>
    <w:rsid w:val="00FC2670"/>
    <w:rsid w:val="00FC38B1"/>
    <w:rsid w:val="00FC5AE6"/>
    <w:rsid w:val="00FC5AFA"/>
    <w:rsid w:val="00FC6146"/>
    <w:rsid w:val="00FC6265"/>
    <w:rsid w:val="00FD2F4D"/>
    <w:rsid w:val="00FD3133"/>
    <w:rsid w:val="00FD3AC4"/>
    <w:rsid w:val="00FD3DD8"/>
    <w:rsid w:val="00FD4E32"/>
    <w:rsid w:val="00FD4F1F"/>
    <w:rsid w:val="00FD61A7"/>
    <w:rsid w:val="00FD6B14"/>
    <w:rsid w:val="00FD6B81"/>
    <w:rsid w:val="00FD6E0B"/>
    <w:rsid w:val="00FE045C"/>
    <w:rsid w:val="00FE088F"/>
    <w:rsid w:val="00FE1A87"/>
    <w:rsid w:val="00FE1C58"/>
    <w:rsid w:val="00FE1C9A"/>
    <w:rsid w:val="00FE289F"/>
    <w:rsid w:val="00FE680F"/>
    <w:rsid w:val="00FE7B79"/>
    <w:rsid w:val="00FF0B0E"/>
    <w:rsid w:val="00FF3908"/>
    <w:rsid w:val="00FF56B2"/>
    <w:rsid w:val="00FF5747"/>
    <w:rsid w:val="00FF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D41AA70-9035-40B9-A429-A9DDEA1E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91C"/>
    <w:pPr>
      <w:widowControl w:val="0"/>
      <w:jc w:val="both"/>
    </w:pPr>
    <w:rPr>
      <w:rFonts w:ascii="Times New Roman" w:hAnsi="Times New Roman"/>
      <w:kern w:val="2"/>
      <w:sz w:val="21"/>
      <w:szCs w:val="24"/>
    </w:rPr>
  </w:style>
  <w:style w:type="paragraph" w:styleId="1">
    <w:name w:val="heading 1"/>
    <w:basedOn w:val="a"/>
    <w:next w:val="a"/>
    <w:link w:val="1Char"/>
    <w:qFormat/>
    <w:rsid w:val="00A1091C"/>
    <w:pPr>
      <w:keepNext/>
      <w:spacing w:beforeLines="100" w:afterLines="100"/>
      <w:ind w:firstLineChars="200" w:firstLine="200"/>
      <w:jc w:val="center"/>
      <w:outlineLvl w:val="0"/>
    </w:pPr>
    <w:rPr>
      <w:rFonts w:ascii="黑体" w:eastAsia="黑体"/>
      <w:kern w:val="0"/>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link w:val="2Char"/>
    <w:qFormat/>
    <w:rsid w:val="00A1091C"/>
    <w:pPr>
      <w:keepNext/>
      <w:keepLines/>
      <w:spacing w:beforeLines="100" w:afterLines="100"/>
      <w:ind w:firstLineChars="200" w:firstLine="200"/>
      <w:outlineLvl w:val="1"/>
    </w:pPr>
    <w:rPr>
      <w:rFonts w:ascii="Arial" w:hAnsi="Arial"/>
      <w:b/>
      <w:kern w:val="0"/>
      <w:sz w:val="28"/>
      <w:szCs w:val="28"/>
    </w:rPr>
  </w:style>
  <w:style w:type="paragraph" w:styleId="3">
    <w:name w:val="heading 3"/>
    <w:basedOn w:val="a"/>
    <w:next w:val="a"/>
    <w:link w:val="3Char"/>
    <w:qFormat/>
    <w:rsid w:val="00A1091C"/>
    <w:pPr>
      <w:numPr>
        <w:ilvl w:val="2"/>
        <w:numId w:val="2"/>
      </w:numPr>
      <w:spacing w:before="260" w:after="260" w:line="416" w:lineRule="auto"/>
      <w:outlineLvl w:val="2"/>
    </w:pPr>
    <w:rPr>
      <w:rFonts w:ascii="仿宋_GB2312" w:eastAsia="仿宋_GB2312"/>
      <w:sz w:val="24"/>
      <w:szCs w:val="20"/>
    </w:rPr>
  </w:style>
  <w:style w:type="paragraph" w:styleId="4">
    <w:name w:val="heading 4"/>
    <w:basedOn w:val="a"/>
    <w:next w:val="a"/>
    <w:link w:val="4Char"/>
    <w:qFormat/>
    <w:rsid w:val="00A1091C"/>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A1091C"/>
    <w:pPr>
      <w:keepNext/>
      <w:keepLines/>
      <w:numPr>
        <w:ilvl w:val="4"/>
        <w:numId w:val="1"/>
      </w:numPr>
      <w:spacing w:before="280" w:after="290" w:line="376" w:lineRule="auto"/>
      <w:ind w:firstLineChars="200" w:firstLine="200"/>
      <w:outlineLvl w:val="4"/>
    </w:pPr>
    <w:rPr>
      <w:b/>
      <w:bCs/>
      <w:sz w:val="28"/>
      <w:szCs w:val="28"/>
    </w:rPr>
  </w:style>
  <w:style w:type="paragraph" w:styleId="6">
    <w:name w:val="heading 6"/>
    <w:basedOn w:val="a"/>
    <w:next w:val="a"/>
    <w:link w:val="6Char"/>
    <w:qFormat/>
    <w:rsid w:val="00A1091C"/>
    <w:pPr>
      <w:keepNext/>
      <w:keepLines/>
      <w:numPr>
        <w:ilvl w:val="5"/>
        <w:numId w:val="1"/>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link w:val="7Char"/>
    <w:qFormat/>
    <w:rsid w:val="00A1091C"/>
    <w:pPr>
      <w:keepNext/>
      <w:keepLines/>
      <w:numPr>
        <w:ilvl w:val="6"/>
        <w:numId w:val="1"/>
      </w:numPr>
      <w:spacing w:before="240" w:after="64" w:line="320" w:lineRule="auto"/>
      <w:ind w:firstLineChars="200" w:firstLine="200"/>
      <w:outlineLvl w:val="6"/>
    </w:pPr>
    <w:rPr>
      <w:b/>
      <w:bCs/>
      <w:sz w:val="24"/>
    </w:rPr>
  </w:style>
  <w:style w:type="paragraph" w:styleId="8">
    <w:name w:val="heading 8"/>
    <w:basedOn w:val="a"/>
    <w:next w:val="a"/>
    <w:link w:val="8Char"/>
    <w:qFormat/>
    <w:rsid w:val="00A1091C"/>
    <w:pPr>
      <w:keepNext/>
      <w:keepLines/>
      <w:numPr>
        <w:ilvl w:val="7"/>
        <w:numId w:val="1"/>
      </w:numPr>
      <w:spacing w:before="240" w:after="64" w:line="320" w:lineRule="auto"/>
      <w:ind w:firstLineChars="200" w:firstLine="200"/>
      <w:outlineLvl w:val="7"/>
    </w:pPr>
    <w:rPr>
      <w:rFonts w:ascii="Arial" w:eastAsia="黑体" w:hAnsi="Arial"/>
      <w:sz w:val="24"/>
    </w:rPr>
  </w:style>
  <w:style w:type="paragraph" w:styleId="9">
    <w:name w:val="heading 9"/>
    <w:basedOn w:val="a"/>
    <w:next w:val="a"/>
    <w:link w:val="9Char"/>
    <w:qFormat/>
    <w:rsid w:val="00A1091C"/>
    <w:pPr>
      <w:keepNext/>
      <w:keepLines/>
      <w:numPr>
        <w:ilvl w:val="8"/>
        <w:numId w:val="1"/>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1091C"/>
    <w:rPr>
      <w:rFonts w:ascii="黑体" w:eastAsia="黑体" w:hAnsi="Times New Roman" w:cs="Times New Roman"/>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link w:val="2"/>
    <w:rsid w:val="00A1091C"/>
    <w:rPr>
      <w:rFonts w:ascii="Arial" w:eastAsia="宋体" w:hAnsi="Arial" w:cs="Times New Roman"/>
      <w:b/>
      <w:sz w:val="28"/>
      <w:szCs w:val="28"/>
    </w:rPr>
  </w:style>
  <w:style w:type="character" w:customStyle="1" w:styleId="3Char">
    <w:name w:val="标题 3 Char"/>
    <w:link w:val="3"/>
    <w:rsid w:val="00A1091C"/>
    <w:rPr>
      <w:rFonts w:ascii="仿宋_GB2312" w:eastAsia="仿宋_GB2312" w:hAnsi="Times New Roman"/>
      <w:kern w:val="2"/>
      <w:sz w:val="24"/>
    </w:rPr>
  </w:style>
  <w:style w:type="character" w:customStyle="1" w:styleId="4Char">
    <w:name w:val="标题 4 Char"/>
    <w:link w:val="4"/>
    <w:rsid w:val="00A1091C"/>
    <w:rPr>
      <w:rFonts w:ascii="Arial" w:eastAsia="黑体" w:hAnsi="Arial"/>
      <w:b/>
      <w:bCs/>
      <w:kern w:val="2"/>
      <w:sz w:val="28"/>
      <w:szCs w:val="28"/>
    </w:rPr>
  </w:style>
  <w:style w:type="character" w:customStyle="1" w:styleId="5Char">
    <w:name w:val="标题 5 Char"/>
    <w:link w:val="5"/>
    <w:rsid w:val="00A1091C"/>
    <w:rPr>
      <w:rFonts w:ascii="Times New Roman" w:hAnsi="Times New Roman"/>
      <w:b/>
      <w:bCs/>
      <w:kern w:val="2"/>
      <w:sz w:val="28"/>
      <w:szCs w:val="28"/>
    </w:rPr>
  </w:style>
  <w:style w:type="character" w:customStyle="1" w:styleId="6Char">
    <w:name w:val="标题 6 Char"/>
    <w:link w:val="6"/>
    <w:rsid w:val="00A1091C"/>
    <w:rPr>
      <w:rFonts w:ascii="Arial" w:eastAsia="黑体" w:hAnsi="Arial"/>
      <w:b/>
      <w:bCs/>
      <w:kern w:val="2"/>
      <w:sz w:val="24"/>
      <w:szCs w:val="24"/>
    </w:rPr>
  </w:style>
  <w:style w:type="character" w:customStyle="1" w:styleId="7Char">
    <w:name w:val="标题 7 Char"/>
    <w:link w:val="7"/>
    <w:rsid w:val="00A1091C"/>
    <w:rPr>
      <w:rFonts w:ascii="Times New Roman" w:hAnsi="Times New Roman"/>
      <w:b/>
      <w:bCs/>
      <w:kern w:val="2"/>
      <w:sz w:val="24"/>
      <w:szCs w:val="24"/>
    </w:rPr>
  </w:style>
  <w:style w:type="character" w:customStyle="1" w:styleId="8Char">
    <w:name w:val="标题 8 Char"/>
    <w:link w:val="8"/>
    <w:rsid w:val="00A1091C"/>
    <w:rPr>
      <w:rFonts w:ascii="Arial" w:eastAsia="黑体" w:hAnsi="Arial"/>
      <w:kern w:val="2"/>
      <w:sz w:val="24"/>
      <w:szCs w:val="24"/>
    </w:rPr>
  </w:style>
  <w:style w:type="character" w:customStyle="1" w:styleId="9Char">
    <w:name w:val="标题 9 Char"/>
    <w:link w:val="9"/>
    <w:rsid w:val="00A1091C"/>
    <w:rPr>
      <w:rFonts w:ascii="Arial" w:eastAsia="黑体" w:hAnsi="Arial"/>
      <w:kern w:val="2"/>
      <w:sz w:val="24"/>
      <w:szCs w:val="21"/>
    </w:rPr>
  </w:style>
  <w:style w:type="paragraph" w:customStyle="1" w:styleId="CharCharCharChar">
    <w:name w:val="Char Char Char Char"/>
    <w:basedOn w:val="a"/>
    <w:autoRedefine/>
    <w:rsid w:val="00A1091C"/>
    <w:pPr>
      <w:tabs>
        <w:tab w:val="num" w:pos="360"/>
      </w:tabs>
    </w:pPr>
    <w:rPr>
      <w:sz w:val="24"/>
    </w:rPr>
  </w:style>
  <w:style w:type="paragraph" w:customStyle="1" w:styleId="211">
    <w:name w:val="样式 标题 2 + 段前: 1 行 段后: 1 行"/>
    <w:basedOn w:val="2"/>
    <w:rsid w:val="00A1091C"/>
    <w:pPr>
      <w:tabs>
        <w:tab w:val="num" w:pos="3243"/>
      </w:tabs>
      <w:spacing w:before="447" w:after="447"/>
      <w:ind w:left="3243" w:hanging="720"/>
    </w:pPr>
    <w:rPr>
      <w:b w:val="0"/>
      <w:szCs w:val="20"/>
    </w:rPr>
  </w:style>
  <w:style w:type="paragraph" w:customStyle="1" w:styleId="CharCharCharCharCharCharChar">
    <w:name w:val="正文文字 Char Char Char Char Char Char Char"/>
    <w:basedOn w:val="a"/>
    <w:next w:val="30"/>
    <w:rsid w:val="00A1091C"/>
    <w:pPr>
      <w:tabs>
        <w:tab w:val="num" w:pos="780"/>
      </w:tabs>
      <w:spacing w:after="120"/>
      <w:ind w:left="780" w:hanging="360"/>
    </w:pPr>
    <w:rPr>
      <w:sz w:val="16"/>
      <w:szCs w:val="16"/>
    </w:rPr>
  </w:style>
  <w:style w:type="paragraph" w:styleId="30">
    <w:name w:val="Body Text 3"/>
    <w:basedOn w:val="a"/>
    <w:link w:val="3Char0"/>
    <w:rsid w:val="00A1091C"/>
    <w:pPr>
      <w:spacing w:after="120"/>
    </w:pPr>
    <w:rPr>
      <w:kern w:val="0"/>
      <w:sz w:val="16"/>
      <w:szCs w:val="16"/>
    </w:rPr>
  </w:style>
  <w:style w:type="character" w:customStyle="1" w:styleId="3Char0">
    <w:name w:val="正文文本 3 Char"/>
    <w:link w:val="30"/>
    <w:rsid w:val="00A1091C"/>
    <w:rPr>
      <w:rFonts w:ascii="Times New Roman" w:eastAsia="宋体" w:hAnsi="Times New Roman" w:cs="Times New Roman"/>
      <w:sz w:val="16"/>
      <w:szCs w:val="16"/>
    </w:rPr>
  </w:style>
  <w:style w:type="paragraph" w:styleId="10">
    <w:name w:val="toc 1"/>
    <w:basedOn w:val="a"/>
    <w:next w:val="a"/>
    <w:autoRedefine/>
    <w:uiPriority w:val="39"/>
    <w:rsid w:val="00FC6265"/>
    <w:pPr>
      <w:tabs>
        <w:tab w:val="left" w:pos="1560"/>
        <w:tab w:val="right" w:leader="dot" w:pos="7654"/>
      </w:tabs>
      <w:spacing w:line="360" w:lineRule="auto"/>
      <w:jc w:val="left"/>
    </w:pPr>
    <w:rPr>
      <w:rFonts w:ascii="宋体" w:eastAsia="黑体" w:hAnsi="宋体"/>
      <w:caps/>
      <w:noProof/>
      <w:sz w:val="24"/>
      <w:szCs w:val="28"/>
    </w:rPr>
  </w:style>
  <w:style w:type="paragraph" w:styleId="20">
    <w:name w:val="toc 2"/>
    <w:basedOn w:val="a"/>
    <w:next w:val="a"/>
    <w:autoRedefine/>
    <w:uiPriority w:val="39"/>
    <w:rsid w:val="00A1091C"/>
    <w:pPr>
      <w:tabs>
        <w:tab w:val="left" w:pos="2100"/>
        <w:tab w:val="right" w:leader="dot" w:pos="8268"/>
      </w:tabs>
      <w:ind w:leftChars="200" w:left="420" w:firstLineChars="350" w:firstLine="735"/>
      <w:contextualSpacing/>
      <w:jc w:val="left"/>
      <w:textAlignment w:val="top"/>
    </w:pPr>
    <w:rPr>
      <w:rFonts w:eastAsia="仿宋_GB2312"/>
      <w:smallCaps/>
      <w:noProof/>
      <w:szCs w:val="20"/>
    </w:rPr>
  </w:style>
  <w:style w:type="paragraph" w:customStyle="1" w:styleId="11">
    <w:name w:val="样式 标题 1 + 黑体 非加粗"/>
    <w:basedOn w:val="1"/>
    <w:rsid w:val="00A1091C"/>
    <w:pPr>
      <w:pageBreakBefore/>
    </w:pPr>
    <w:rPr>
      <w:rFonts w:hAnsi="黑体"/>
      <w:b/>
    </w:rPr>
  </w:style>
  <w:style w:type="paragraph" w:customStyle="1" w:styleId="111">
    <w:name w:val="样式 标题 1 + 段前: 1 行 段后: 1 行"/>
    <w:basedOn w:val="1"/>
    <w:rsid w:val="00A1091C"/>
    <w:pPr>
      <w:pageBreakBefore/>
    </w:pPr>
    <w:rPr>
      <w:szCs w:val="20"/>
    </w:rPr>
  </w:style>
  <w:style w:type="paragraph" w:customStyle="1" w:styleId="115">
    <w:name w:val="样式 标题 1 + 段前: 1.5 行"/>
    <w:basedOn w:val="a"/>
    <w:rsid w:val="00A1091C"/>
    <w:pPr>
      <w:tabs>
        <w:tab w:val="num" w:pos="990"/>
      </w:tabs>
      <w:ind w:left="990" w:hanging="840"/>
    </w:pPr>
    <w:rPr>
      <w:sz w:val="24"/>
      <w:szCs w:val="20"/>
    </w:rPr>
  </w:style>
  <w:style w:type="paragraph" w:customStyle="1" w:styleId="21">
    <w:name w:val="样式 首行缩进:  2 字符"/>
    <w:basedOn w:val="a"/>
    <w:rsid w:val="00A1091C"/>
    <w:pPr>
      <w:spacing w:before="100" w:beforeAutospacing="1" w:after="100" w:afterAutospacing="1" w:line="360" w:lineRule="auto"/>
      <w:ind w:firstLineChars="200" w:firstLine="480"/>
    </w:pPr>
    <w:rPr>
      <w:szCs w:val="20"/>
    </w:rPr>
  </w:style>
  <w:style w:type="paragraph" w:styleId="a3">
    <w:name w:val="header"/>
    <w:basedOn w:val="a"/>
    <w:link w:val="Char"/>
    <w:rsid w:val="00A1091C"/>
    <w:pPr>
      <w:pBdr>
        <w:bottom w:val="single" w:sz="6" w:space="1" w:color="auto"/>
      </w:pBdr>
      <w:tabs>
        <w:tab w:val="center" w:pos="4153"/>
        <w:tab w:val="right" w:pos="8306"/>
      </w:tabs>
      <w:snapToGrid w:val="0"/>
      <w:ind w:firstLineChars="200" w:firstLine="200"/>
      <w:jc w:val="center"/>
    </w:pPr>
    <w:rPr>
      <w:rFonts w:eastAsia="仿宋_GB2312"/>
      <w:kern w:val="0"/>
      <w:sz w:val="18"/>
      <w:szCs w:val="20"/>
    </w:rPr>
  </w:style>
  <w:style w:type="character" w:customStyle="1" w:styleId="Char">
    <w:name w:val="页眉 Char"/>
    <w:link w:val="a3"/>
    <w:rsid w:val="00A1091C"/>
    <w:rPr>
      <w:rFonts w:ascii="Times New Roman" w:eastAsia="仿宋_GB2312" w:hAnsi="Times New Roman" w:cs="Times New Roman"/>
      <w:sz w:val="18"/>
      <w:szCs w:val="20"/>
    </w:rPr>
  </w:style>
  <w:style w:type="character" w:styleId="a4">
    <w:name w:val="page number"/>
    <w:basedOn w:val="a0"/>
    <w:rsid w:val="00A1091C"/>
  </w:style>
  <w:style w:type="paragraph" w:styleId="a5">
    <w:name w:val="footer"/>
    <w:basedOn w:val="a"/>
    <w:link w:val="Char0"/>
    <w:uiPriority w:val="99"/>
    <w:rsid w:val="00A1091C"/>
    <w:pPr>
      <w:tabs>
        <w:tab w:val="center" w:pos="4153"/>
        <w:tab w:val="right" w:pos="8306"/>
      </w:tabs>
      <w:snapToGrid w:val="0"/>
      <w:ind w:firstLineChars="200" w:firstLine="200"/>
      <w:jc w:val="left"/>
    </w:pPr>
    <w:rPr>
      <w:rFonts w:eastAsia="仿宋_GB2312"/>
      <w:kern w:val="0"/>
      <w:sz w:val="18"/>
      <w:szCs w:val="20"/>
    </w:rPr>
  </w:style>
  <w:style w:type="character" w:customStyle="1" w:styleId="Char0">
    <w:name w:val="页脚 Char"/>
    <w:link w:val="a5"/>
    <w:uiPriority w:val="99"/>
    <w:rsid w:val="00A1091C"/>
    <w:rPr>
      <w:rFonts w:ascii="Times New Roman" w:eastAsia="仿宋_GB2312" w:hAnsi="Times New Roman" w:cs="Times New Roman"/>
      <w:sz w:val="18"/>
      <w:szCs w:val="20"/>
    </w:rPr>
  </w:style>
  <w:style w:type="paragraph" w:customStyle="1" w:styleId="2111111">
    <w:name w:val="样式 样式 样式 标题 2 + 段前: 1 行 段后: 1 行1 + 段前: 1 行 段后: 1 行 + 段前: 1 行 段后..."/>
    <w:basedOn w:val="a"/>
    <w:rsid w:val="00A1091C"/>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
    <w:rsid w:val="00A1091C"/>
    <w:pPr>
      <w:ind w:firstLineChars="0" w:firstLine="0"/>
    </w:pPr>
    <w:rPr>
      <w:bCs/>
      <w:szCs w:val="20"/>
    </w:rPr>
  </w:style>
  <w:style w:type="paragraph" w:customStyle="1" w:styleId="211111">
    <w:name w:val="样式 样式 标题 2 + 段前: 1 行 段后: 1 行1 + 段前: 1 行 段后: 1 行"/>
    <w:basedOn w:val="2111"/>
    <w:rsid w:val="00A1091C"/>
  </w:style>
  <w:style w:type="character" w:customStyle="1" w:styleId="big1">
    <w:name w:val="big1"/>
    <w:rsid w:val="00A1091C"/>
    <w:rPr>
      <w:spacing w:val="360"/>
      <w:sz w:val="22"/>
      <w:szCs w:val="22"/>
    </w:rPr>
  </w:style>
  <w:style w:type="character" w:customStyle="1" w:styleId="read1">
    <w:name w:val="read1"/>
    <w:rsid w:val="00A1091C"/>
    <w:rPr>
      <w:rFonts w:ascii="ˎ̥" w:hAnsi="ˎ̥" w:hint="default"/>
      <w:strike w:val="0"/>
      <w:dstrike w:val="0"/>
      <w:color w:val="000000"/>
      <w:u w:val="none"/>
      <w:effect w:val="none"/>
    </w:rPr>
  </w:style>
  <w:style w:type="paragraph" w:styleId="a6">
    <w:name w:val="Title"/>
    <w:basedOn w:val="a"/>
    <w:link w:val="Char1"/>
    <w:qFormat/>
    <w:rsid w:val="00A1091C"/>
    <w:pPr>
      <w:spacing w:before="240" w:after="60"/>
      <w:jc w:val="center"/>
      <w:outlineLvl w:val="0"/>
    </w:pPr>
    <w:rPr>
      <w:rFonts w:ascii="Arial" w:hAnsi="Arial"/>
      <w:b/>
      <w:bCs/>
      <w:kern w:val="0"/>
      <w:sz w:val="32"/>
      <w:szCs w:val="32"/>
    </w:rPr>
  </w:style>
  <w:style w:type="character" w:customStyle="1" w:styleId="Char1">
    <w:name w:val="标题 Char"/>
    <w:link w:val="a6"/>
    <w:rsid w:val="00A1091C"/>
    <w:rPr>
      <w:rFonts w:ascii="Arial" w:eastAsia="宋体" w:hAnsi="Arial" w:cs="Arial"/>
      <w:b/>
      <w:bCs/>
      <w:sz w:val="32"/>
      <w:szCs w:val="32"/>
    </w:rPr>
  </w:style>
  <w:style w:type="paragraph" w:styleId="a7">
    <w:name w:val="Closing"/>
    <w:basedOn w:val="a"/>
    <w:link w:val="Char2"/>
    <w:rsid w:val="00A1091C"/>
    <w:pPr>
      <w:ind w:leftChars="2100" w:left="100"/>
    </w:pPr>
    <w:rPr>
      <w:kern w:val="0"/>
      <w:sz w:val="20"/>
    </w:rPr>
  </w:style>
  <w:style w:type="character" w:customStyle="1" w:styleId="Char2">
    <w:name w:val="结束语 Char"/>
    <w:link w:val="a7"/>
    <w:rsid w:val="00A1091C"/>
    <w:rPr>
      <w:rFonts w:ascii="Times New Roman" w:eastAsia="宋体" w:hAnsi="Times New Roman" w:cs="Times New Roman"/>
      <w:szCs w:val="24"/>
    </w:rPr>
  </w:style>
  <w:style w:type="paragraph" w:styleId="a8">
    <w:name w:val="List Number"/>
    <w:basedOn w:val="a"/>
    <w:rsid w:val="00A1091C"/>
    <w:pPr>
      <w:tabs>
        <w:tab w:val="num" w:pos="360"/>
      </w:tabs>
      <w:ind w:left="360" w:hangingChars="200" w:hanging="360"/>
    </w:pPr>
  </w:style>
  <w:style w:type="paragraph" w:styleId="22">
    <w:name w:val="List Number 2"/>
    <w:basedOn w:val="a"/>
    <w:rsid w:val="00A1091C"/>
    <w:pPr>
      <w:tabs>
        <w:tab w:val="num" w:pos="780"/>
      </w:tabs>
      <w:ind w:leftChars="200" w:left="780" w:hangingChars="200" w:hanging="360"/>
    </w:pPr>
  </w:style>
  <w:style w:type="paragraph" w:styleId="31">
    <w:name w:val="List Number 3"/>
    <w:basedOn w:val="a"/>
    <w:rsid w:val="00A1091C"/>
    <w:pPr>
      <w:tabs>
        <w:tab w:val="num" w:pos="1200"/>
      </w:tabs>
      <w:ind w:leftChars="400" w:left="1200" w:hangingChars="200" w:hanging="360"/>
    </w:pPr>
  </w:style>
  <w:style w:type="paragraph" w:styleId="40">
    <w:name w:val="List Number 4"/>
    <w:basedOn w:val="a"/>
    <w:rsid w:val="00A1091C"/>
    <w:pPr>
      <w:tabs>
        <w:tab w:val="num" w:pos="1620"/>
      </w:tabs>
      <w:ind w:leftChars="600" w:left="1620" w:hangingChars="200" w:hanging="360"/>
    </w:pPr>
  </w:style>
  <w:style w:type="paragraph" w:styleId="50">
    <w:name w:val="List Number 5"/>
    <w:basedOn w:val="a"/>
    <w:rsid w:val="00A1091C"/>
    <w:pPr>
      <w:tabs>
        <w:tab w:val="num" w:pos="2040"/>
      </w:tabs>
      <w:ind w:leftChars="800" w:left="2040" w:hangingChars="200" w:hanging="360"/>
    </w:pPr>
  </w:style>
  <w:style w:type="paragraph" w:styleId="a9">
    <w:name w:val="List Bullet"/>
    <w:basedOn w:val="a"/>
    <w:autoRedefine/>
    <w:rsid w:val="00A1091C"/>
    <w:pPr>
      <w:tabs>
        <w:tab w:val="num" w:pos="360"/>
      </w:tabs>
      <w:ind w:left="360" w:hangingChars="200" w:hanging="360"/>
    </w:pPr>
  </w:style>
  <w:style w:type="paragraph" w:styleId="23">
    <w:name w:val="List Bullet 2"/>
    <w:basedOn w:val="a"/>
    <w:autoRedefine/>
    <w:rsid w:val="00A1091C"/>
    <w:pPr>
      <w:tabs>
        <w:tab w:val="num" w:pos="780"/>
      </w:tabs>
      <w:ind w:leftChars="200" w:left="780" w:hangingChars="200" w:hanging="360"/>
    </w:pPr>
  </w:style>
  <w:style w:type="paragraph" w:styleId="32">
    <w:name w:val="List Bullet 3"/>
    <w:basedOn w:val="a"/>
    <w:autoRedefine/>
    <w:rsid w:val="00A1091C"/>
    <w:pPr>
      <w:tabs>
        <w:tab w:val="num" w:pos="1200"/>
      </w:tabs>
      <w:ind w:leftChars="400" w:left="1200" w:hangingChars="200" w:hanging="360"/>
    </w:pPr>
  </w:style>
  <w:style w:type="paragraph" w:styleId="41">
    <w:name w:val="List Bullet 4"/>
    <w:basedOn w:val="a"/>
    <w:autoRedefine/>
    <w:rsid w:val="00A1091C"/>
    <w:pPr>
      <w:tabs>
        <w:tab w:val="num" w:pos="1620"/>
      </w:tabs>
      <w:ind w:leftChars="600" w:left="1620" w:hangingChars="200" w:hanging="360"/>
    </w:pPr>
  </w:style>
  <w:style w:type="paragraph" w:styleId="51">
    <w:name w:val="List Bullet 5"/>
    <w:basedOn w:val="a"/>
    <w:autoRedefine/>
    <w:rsid w:val="00A1091C"/>
    <w:pPr>
      <w:tabs>
        <w:tab w:val="num" w:pos="2040"/>
      </w:tabs>
      <w:ind w:leftChars="800" w:left="2040" w:hangingChars="200" w:hanging="360"/>
    </w:pPr>
  </w:style>
  <w:style w:type="paragraph" w:styleId="aa">
    <w:name w:val="table of figures"/>
    <w:basedOn w:val="a"/>
    <w:next w:val="a"/>
    <w:semiHidden/>
    <w:rsid w:val="00A1091C"/>
    <w:pPr>
      <w:ind w:leftChars="200" w:left="840" w:hangingChars="200" w:hanging="420"/>
    </w:pPr>
  </w:style>
  <w:style w:type="paragraph" w:styleId="ab">
    <w:name w:val="Body Text"/>
    <w:basedOn w:val="a"/>
    <w:link w:val="Char3"/>
    <w:rsid w:val="00A1091C"/>
    <w:pPr>
      <w:spacing w:after="120"/>
    </w:pPr>
    <w:rPr>
      <w:kern w:val="0"/>
      <w:sz w:val="20"/>
    </w:rPr>
  </w:style>
  <w:style w:type="character" w:customStyle="1" w:styleId="Char3">
    <w:name w:val="正文文本 Char"/>
    <w:link w:val="ab"/>
    <w:rsid w:val="00A1091C"/>
    <w:rPr>
      <w:rFonts w:ascii="Times New Roman" w:eastAsia="宋体" w:hAnsi="Times New Roman" w:cs="Times New Roman"/>
      <w:szCs w:val="24"/>
    </w:rPr>
  </w:style>
  <w:style w:type="paragraph" w:styleId="ac">
    <w:name w:val="Body Text First Indent"/>
    <w:basedOn w:val="ab"/>
    <w:link w:val="Char4"/>
    <w:rsid w:val="00A1091C"/>
    <w:pPr>
      <w:ind w:firstLineChars="100" w:firstLine="420"/>
    </w:pPr>
  </w:style>
  <w:style w:type="character" w:customStyle="1" w:styleId="Char4">
    <w:name w:val="正文首行缩进 Char"/>
    <w:basedOn w:val="Char3"/>
    <w:link w:val="ac"/>
    <w:rsid w:val="00A1091C"/>
    <w:rPr>
      <w:rFonts w:ascii="Times New Roman" w:eastAsia="宋体" w:hAnsi="Times New Roman" w:cs="Times New Roman"/>
      <w:szCs w:val="24"/>
    </w:rPr>
  </w:style>
  <w:style w:type="paragraph" w:styleId="ad">
    <w:name w:val="Body Text Indent"/>
    <w:basedOn w:val="a"/>
    <w:link w:val="Char5"/>
    <w:rsid w:val="00A1091C"/>
    <w:pPr>
      <w:spacing w:after="120"/>
      <w:ind w:left="420"/>
    </w:pPr>
    <w:rPr>
      <w:kern w:val="0"/>
      <w:sz w:val="20"/>
    </w:rPr>
  </w:style>
  <w:style w:type="character" w:customStyle="1" w:styleId="Char5">
    <w:name w:val="正文文本缩进 Char"/>
    <w:link w:val="ad"/>
    <w:rsid w:val="00A1091C"/>
    <w:rPr>
      <w:rFonts w:ascii="Times New Roman" w:eastAsia="宋体" w:hAnsi="Times New Roman" w:cs="Times New Roman"/>
      <w:szCs w:val="24"/>
    </w:rPr>
  </w:style>
  <w:style w:type="paragraph" w:styleId="ae">
    <w:name w:val="Note Heading"/>
    <w:basedOn w:val="a"/>
    <w:next w:val="a"/>
    <w:link w:val="Char6"/>
    <w:rsid w:val="00A1091C"/>
    <w:pPr>
      <w:jc w:val="center"/>
    </w:pPr>
    <w:rPr>
      <w:kern w:val="0"/>
      <w:sz w:val="20"/>
    </w:rPr>
  </w:style>
  <w:style w:type="character" w:customStyle="1" w:styleId="Char6">
    <w:name w:val="注释标题 Char"/>
    <w:link w:val="ae"/>
    <w:rsid w:val="00A1091C"/>
    <w:rPr>
      <w:rFonts w:ascii="Times New Roman" w:eastAsia="宋体" w:hAnsi="Times New Roman" w:cs="Times New Roman"/>
      <w:szCs w:val="24"/>
    </w:rPr>
  </w:style>
  <w:style w:type="character" w:customStyle="1" w:styleId="font141">
    <w:name w:val="font141"/>
    <w:rsid w:val="00A1091C"/>
    <w:rPr>
      <w:rFonts w:ascii="宋体" w:eastAsia="宋体" w:hAnsi="宋体" w:hint="eastAsia"/>
      <w:spacing w:val="300"/>
      <w:sz w:val="21"/>
      <w:szCs w:val="21"/>
    </w:rPr>
  </w:style>
  <w:style w:type="character" w:customStyle="1" w:styleId="da">
    <w:name w:val="da"/>
    <w:basedOn w:val="a0"/>
    <w:qFormat/>
    <w:rsid w:val="00A1091C"/>
  </w:style>
  <w:style w:type="paragraph" w:customStyle="1" w:styleId="af">
    <w:name w:val="特点"/>
    <w:aliases w:val="表正文,正文非缩进,段1"/>
    <w:basedOn w:val="a"/>
    <w:next w:val="af0"/>
    <w:rsid w:val="00A1091C"/>
    <w:pPr>
      <w:ind w:firstLine="420"/>
    </w:pPr>
    <w:rPr>
      <w:szCs w:val="20"/>
    </w:rPr>
  </w:style>
  <w:style w:type="paragraph" w:styleId="af0">
    <w:name w:val="Normal Indent"/>
    <w:aliases w:val="正文缩进1,ALT+Z"/>
    <w:basedOn w:val="a"/>
    <w:rsid w:val="00A1091C"/>
    <w:pPr>
      <w:ind w:firstLine="420"/>
    </w:pPr>
  </w:style>
  <w:style w:type="paragraph" w:styleId="33">
    <w:name w:val="Body Text Indent 3"/>
    <w:basedOn w:val="a"/>
    <w:link w:val="3Char1"/>
    <w:rsid w:val="00A1091C"/>
    <w:pPr>
      <w:spacing w:after="120"/>
      <w:ind w:left="420"/>
    </w:pPr>
    <w:rPr>
      <w:kern w:val="0"/>
      <w:sz w:val="16"/>
      <w:szCs w:val="16"/>
    </w:rPr>
  </w:style>
  <w:style w:type="character" w:customStyle="1" w:styleId="3Char1">
    <w:name w:val="正文文本缩进 3 Char"/>
    <w:link w:val="33"/>
    <w:rsid w:val="00A1091C"/>
    <w:rPr>
      <w:rFonts w:ascii="Times New Roman" w:eastAsia="宋体" w:hAnsi="Times New Roman" w:cs="Times New Roman"/>
      <w:sz w:val="16"/>
      <w:szCs w:val="16"/>
    </w:rPr>
  </w:style>
  <w:style w:type="paragraph" w:styleId="af1">
    <w:name w:val="Plain Text"/>
    <w:basedOn w:val="a"/>
    <w:link w:val="Char7"/>
    <w:rsid w:val="00A1091C"/>
    <w:rPr>
      <w:rFonts w:ascii="宋体" w:hAnsi="Courier New"/>
      <w:kern w:val="0"/>
      <w:sz w:val="20"/>
      <w:szCs w:val="21"/>
    </w:rPr>
  </w:style>
  <w:style w:type="character" w:customStyle="1" w:styleId="Char7">
    <w:name w:val="纯文本 Char"/>
    <w:link w:val="af1"/>
    <w:rsid w:val="00A1091C"/>
    <w:rPr>
      <w:rFonts w:ascii="宋体" w:eastAsia="宋体" w:hAnsi="Courier New" w:cs="Courier New"/>
      <w:szCs w:val="21"/>
    </w:rPr>
  </w:style>
  <w:style w:type="character" w:styleId="af2">
    <w:name w:val="Hyperlink"/>
    <w:uiPriority w:val="99"/>
    <w:rsid w:val="00A1091C"/>
    <w:rPr>
      <w:color w:val="0000FF"/>
      <w:u w:val="single"/>
    </w:rPr>
  </w:style>
  <w:style w:type="paragraph" w:styleId="24">
    <w:name w:val="Body Text Indent 2"/>
    <w:basedOn w:val="a"/>
    <w:link w:val="2Char0"/>
    <w:rsid w:val="00A1091C"/>
    <w:pPr>
      <w:spacing w:after="120" w:line="480" w:lineRule="auto"/>
      <w:ind w:left="420"/>
    </w:pPr>
    <w:rPr>
      <w:kern w:val="0"/>
      <w:sz w:val="20"/>
    </w:rPr>
  </w:style>
  <w:style w:type="character" w:customStyle="1" w:styleId="2Char0">
    <w:name w:val="正文文本缩进 2 Char"/>
    <w:link w:val="24"/>
    <w:rsid w:val="00A1091C"/>
    <w:rPr>
      <w:rFonts w:ascii="Times New Roman" w:eastAsia="宋体" w:hAnsi="Times New Roman" w:cs="Times New Roman"/>
      <w:szCs w:val="24"/>
    </w:rPr>
  </w:style>
  <w:style w:type="paragraph" w:styleId="25">
    <w:name w:val="Body Text 2"/>
    <w:basedOn w:val="a"/>
    <w:link w:val="2Char1"/>
    <w:rsid w:val="00A1091C"/>
    <w:pPr>
      <w:spacing w:after="120" w:line="480" w:lineRule="auto"/>
    </w:pPr>
    <w:rPr>
      <w:kern w:val="0"/>
      <w:sz w:val="20"/>
    </w:rPr>
  </w:style>
  <w:style w:type="character" w:customStyle="1" w:styleId="2Char1">
    <w:name w:val="正文文本 2 Char"/>
    <w:link w:val="25"/>
    <w:rsid w:val="00A1091C"/>
    <w:rPr>
      <w:rFonts w:ascii="Times New Roman" w:eastAsia="宋体" w:hAnsi="Times New Roman" w:cs="Times New Roman"/>
      <w:szCs w:val="24"/>
    </w:rPr>
  </w:style>
  <w:style w:type="character" w:styleId="af3">
    <w:name w:val="FollowedHyperlink"/>
    <w:rsid w:val="00A1091C"/>
    <w:rPr>
      <w:color w:val="800080"/>
      <w:u w:val="single"/>
    </w:rPr>
  </w:style>
  <w:style w:type="paragraph" w:styleId="HTML">
    <w:name w:val="HTML Preformatted"/>
    <w:basedOn w:val="a"/>
    <w:link w:val="HTMLChar"/>
    <w:uiPriority w:val="99"/>
    <w:rsid w:val="00A1091C"/>
    <w:rPr>
      <w:rFonts w:ascii="Courier New" w:hAnsi="Courier New"/>
      <w:kern w:val="0"/>
      <w:sz w:val="20"/>
      <w:szCs w:val="20"/>
    </w:rPr>
  </w:style>
  <w:style w:type="character" w:customStyle="1" w:styleId="HTMLChar">
    <w:name w:val="HTML 预设格式 Char"/>
    <w:link w:val="HTML"/>
    <w:uiPriority w:val="99"/>
    <w:rsid w:val="00A1091C"/>
    <w:rPr>
      <w:rFonts w:ascii="Courier New" w:eastAsia="宋体" w:hAnsi="Courier New" w:cs="Courier New"/>
      <w:sz w:val="20"/>
      <w:szCs w:val="20"/>
    </w:rPr>
  </w:style>
  <w:style w:type="paragraph" w:styleId="af4">
    <w:name w:val="Normal (Web)"/>
    <w:basedOn w:val="a"/>
    <w:rsid w:val="00A1091C"/>
    <w:rPr>
      <w:sz w:val="24"/>
    </w:rPr>
  </w:style>
  <w:style w:type="paragraph" w:styleId="af5">
    <w:name w:val="Subtitle"/>
    <w:basedOn w:val="a"/>
    <w:link w:val="Char8"/>
    <w:qFormat/>
    <w:rsid w:val="00A1091C"/>
    <w:pPr>
      <w:spacing w:before="240" w:after="60" w:line="312" w:lineRule="auto"/>
      <w:jc w:val="center"/>
      <w:outlineLvl w:val="1"/>
    </w:pPr>
    <w:rPr>
      <w:rFonts w:ascii="Arial" w:hAnsi="Arial"/>
      <w:b/>
      <w:bCs/>
      <w:kern w:val="28"/>
      <w:sz w:val="32"/>
      <w:szCs w:val="32"/>
    </w:rPr>
  </w:style>
  <w:style w:type="character" w:customStyle="1" w:styleId="Char8">
    <w:name w:val="副标题 Char"/>
    <w:link w:val="af5"/>
    <w:rsid w:val="00A1091C"/>
    <w:rPr>
      <w:rFonts w:ascii="Arial" w:eastAsia="宋体" w:hAnsi="Arial" w:cs="Arial"/>
      <w:b/>
      <w:bCs/>
      <w:kern w:val="28"/>
      <w:sz w:val="32"/>
      <w:szCs w:val="32"/>
    </w:rPr>
  </w:style>
  <w:style w:type="paragraph" w:styleId="af6">
    <w:name w:val="Block Text"/>
    <w:basedOn w:val="a"/>
    <w:rsid w:val="00A1091C"/>
    <w:pPr>
      <w:spacing w:after="120"/>
      <w:ind w:left="1440" w:right="1440"/>
    </w:pPr>
  </w:style>
  <w:style w:type="character" w:styleId="af7">
    <w:name w:val="Strong"/>
    <w:uiPriority w:val="99"/>
    <w:qFormat/>
    <w:rsid w:val="00A1091C"/>
    <w:rPr>
      <w:b/>
      <w:bCs/>
    </w:rPr>
  </w:style>
  <w:style w:type="paragraph" w:styleId="af8">
    <w:name w:val="Document Map"/>
    <w:basedOn w:val="a"/>
    <w:link w:val="Char9"/>
    <w:semiHidden/>
    <w:rsid w:val="00A1091C"/>
    <w:pPr>
      <w:shd w:val="clear" w:color="auto" w:fill="000080"/>
    </w:pPr>
    <w:rPr>
      <w:kern w:val="0"/>
      <w:sz w:val="20"/>
    </w:rPr>
  </w:style>
  <w:style w:type="character" w:customStyle="1" w:styleId="Char9">
    <w:name w:val="文档结构图 Char"/>
    <w:link w:val="af8"/>
    <w:semiHidden/>
    <w:rsid w:val="00A1091C"/>
    <w:rPr>
      <w:rFonts w:ascii="Times New Roman" w:eastAsia="宋体" w:hAnsi="Times New Roman" w:cs="Times New Roman"/>
      <w:szCs w:val="24"/>
      <w:shd w:val="clear" w:color="auto" w:fill="000080"/>
    </w:rPr>
  </w:style>
  <w:style w:type="character" w:styleId="af9">
    <w:name w:val="footnote reference"/>
    <w:semiHidden/>
    <w:rsid w:val="00A1091C"/>
    <w:rPr>
      <w:vertAlign w:val="superscript"/>
    </w:rPr>
  </w:style>
  <w:style w:type="paragraph" w:customStyle="1" w:styleId="26">
    <w:name w:val="列表2"/>
    <w:basedOn w:val="a"/>
    <w:next w:val="a6"/>
    <w:rsid w:val="00A1091C"/>
    <w:pPr>
      <w:tabs>
        <w:tab w:val="num" w:pos="360"/>
      </w:tabs>
      <w:spacing w:line="360" w:lineRule="auto"/>
    </w:pPr>
    <w:rPr>
      <w:rFonts w:ascii="宋体"/>
      <w:szCs w:val="20"/>
    </w:rPr>
  </w:style>
  <w:style w:type="paragraph" w:customStyle="1" w:styleId="12">
    <w:name w:val="列表1"/>
    <w:basedOn w:val="a"/>
    <w:next w:val="a"/>
    <w:rsid w:val="00A1091C"/>
    <w:pPr>
      <w:tabs>
        <w:tab w:val="num" w:pos="644"/>
      </w:tabs>
      <w:spacing w:line="360" w:lineRule="auto"/>
      <w:ind w:left="567" w:hanging="283"/>
    </w:pPr>
    <w:rPr>
      <w:szCs w:val="20"/>
    </w:rPr>
  </w:style>
  <w:style w:type="paragraph" w:customStyle="1" w:styleId="2211">
    <w:name w:val="样式 标题 2 + 首行缩进:  2 字符 段前: 1 行 段后: 1 行"/>
    <w:basedOn w:val="2"/>
    <w:rsid w:val="00A1091C"/>
    <w:pPr>
      <w:tabs>
        <w:tab w:val="num" w:pos="1276"/>
      </w:tabs>
      <w:spacing w:beforeLines="0" w:afterLines="0"/>
      <w:ind w:left="851" w:firstLineChars="0" w:firstLine="0"/>
    </w:pPr>
    <w:rPr>
      <w:szCs w:val="20"/>
    </w:rPr>
  </w:style>
  <w:style w:type="paragraph" w:styleId="afa">
    <w:name w:val="Balloon Text"/>
    <w:basedOn w:val="a"/>
    <w:link w:val="Chara"/>
    <w:semiHidden/>
    <w:rsid w:val="00A1091C"/>
    <w:rPr>
      <w:kern w:val="0"/>
      <w:sz w:val="18"/>
      <w:szCs w:val="18"/>
    </w:rPr>
  </w:style>
  <w:style w:type="character" w:customStyle="1" w:styleId="Chara">
    <w:name w:val="批注框文本 Char"/>
    <w:link w:val="afa"/>
    <w:semiHidden/>
    <w:rsid w:val="00A1091C"/>
    <w:rPr>
      <w:rFonts w:ascii="Times New Roman" w:eastAsia="宋体" w:hAnsi="Times New Roman" w:cs="Times New Roman"/>
      <w:sz w:val="18"/>
      <w:szCs w:val="18"/>
    </w:rPr>
  </w:style>
  <w:style w:type="character" w:customStyle="1" w:styleId="read">
    <w:name w:val="read"/>
    <w:basedOn w:val="a0"/>
    <w:rsid w:val="00A1091C"/>
  </w:style>
  <w:style w:type="paragraph" w:styleId="afb">
    <w:name w:val="annotation text"/>
    <w:basedOn w:val="a"/>
    <w:link w:val="Charb"/>
    <w:unhideWhenUsed/>
    <w:rsid w:val="00A1091C"/>
    <w:pPr>
      <w:jc w:val="left"/>
    </w:pPr>
    <w:rPr>
      <w:kern w:val="0"/>
      <w:sz w:val="20"/>
    </w:rPr>
  </w:style>
  <w:style w:type="character" w:customStyle="1" w:styleId="Charb">
    <w:name w:val="批注文字 Char"/>
    <w:link w:val="afb"/>
    <w:rsid w:val="00A1091C"/>
    <w:rPr>
      <w:rFonts w:ascii="Times New Roman" w:eastAsia="宋体" w:hAnsi="Times New Roman" w:cs="Times New Roman"/>
      <w:szCs w:val="24"/>
    </w:rPr>
  </w:style>
  <w:style w:type="paragraph" w:styleId="afc">
    <w:name w:val="annotation subject"/>
    <w:basedOn w:val="afb"/>
    <w:next w:val="afb"/>
    <w:link w:val="Charc"/>
    <w:semiHidden/>
    <w:rsid w:val="00A1091C"/>
    <w:rPr>
      <w:b/>
      <w:bCs/>
    </w:rPr>
  </w:style>
  <w:style w:type="character" w:customStyle="1" w:styleId="Charc">
    <w:name w:val="批注主题 Char"/>
    <w:link w:val="afc"/>
    <w:semiHidden/>
    <w:rsid w:val="00A1091C"/>
    <w:rPr>
      <w:rFonts w:ascii="Times New Roman" w:eastAsia="宋体" w:hAnsi="Times New Roman" w:cs="Times New Roman"/>
      <w:b/>
      <w:bCs/>
      <w:szCs w:val="24"/>
    </w:rPr>
  </w:style>
  <w:style w:type="paragraph" w:customStyle="1" w:styleId="13">
    <w:name w:val="1"/>
    <w:basedOn w:val="a"/>
    <w:rsid w:val="00A1091C"/>
    <w:pPr>
      <w:spacing w:before="100" w:beforeAutospacing="1" w:after="120" w:afterAutospacing="1" w:line="360" w:lineRule="auto"/>
      <w:ind w:leftChars="200" w:left="420"/>
    </w:pPr>
  </w:style>
  <w:style w:type="character" w:styleId="afd">
    <w:name w:val="annotation reference"/>
    <w:rsid w:val="00A1091C"/>
    <w:rPr>
      <w:sz w:val="21"/>
      <w:szCs w:val="21"/>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a"/>
    <w:autoRedefine/>
    <w:rsid w:val="00A1091C"/>
    <w:pPr>
      <w:tabs>
        <w:tab w:val="num" w:pos="987"/>
      </w:tabs>
      <w:ind w:left="987" w:hanging="283"/>
    </w:pPr>
    <w:rPr>
      <w:sz w:val="24"/>
    </w:rPr>
  </w:style>
  <w:style w:type="paragraph" w:customStyle="1" w:styleId="afe">
    <w:name w:val="正文所"/>
    <w:basedOn w:val="a"/>
    <w:rsid w:val="00A1091C"/>
    <w:pPr>
      <w:spacing w:line="360" w:lineRule="auto"/>
      <w:ind w:firstLineChars="200" w:firstLine="420"/>
    </w:pPr>
  </w:style>
  <w:style w:type="paragraph" w:customStyle="1" w:styleId="ParaChar">
    <w:name w:val="默认段落字体 Para Char"/>
    <w:basedOn w:val="a"/>
    <w:autoRedefine/>
    <w:rsid w:val="00A1091C"/>
    <w:pPr>
      <w:tabs>
        <w:tab w:val="num" w:pos="990"/>
      </w:tabs>
      <w:ind w:left="990" w:hanging="840"/>
    </w:pPr>
    <w:rPr>
      <w:sz w:val="24"/>
    </w:rPr>
  </w:style>
  <w:style w:type="paragraph" w:customStyle="1" w:styleId="Chard">
    <w:name w:val="Char"/>
    <w:basedOn w:val="a"/>
    <w:autoRedefine/>
    <w:rsid w:val="00A1091C"/>
    <w:pPr>
      <w:tabs>
        <w:tab w:val="num" w:pos="990"/>
      </w:tabs>
      <w:ind w:left="990" w:hanging="840"/>
    </w:pPr>
    <w:rPr>
      <w:sz w:val="24"/>
    </w:rPr>
  </w:style>
  <w:style w:type="paragraph" w:styleId="34">
    <w:name w:val="toc 3"/>
    <w:basedOn w:val="a"/>
    <w:next w:val="a"/>
    <w:autoRedefine/>
    <w:uiPriority w:val="39"/>
    <w:rsid w:val="00A1091C"/>
    <w:pPr>
      <w:ind w:leftChars="400" w:left="840"/>
    </w:pPr>
  </w:style>
  <w:style w:type="paragraph" w:styleId="42">
    <w:name w:val="toc 4"/>
    <w:basedOn w:val="a"/>
    <w:next w:val="a"/>
    <w:autoRedefine/>
    <w:uiPriority w:val="39"/>
    <w:rsid w:val="00A1091C"/>
    <w:pPr>
      <w:ind w:leftChars="600" w:left="1260"/>
    </w:pPr>
  </w:style>
  <w:style w:type="paragraph" w:styleId="52">
    <w:name w:val="toc 5"/>
    <w:basedOn w:val="a"/>
    <w:next w:val="a"/>
    <w:autoRedefine/>
    <w:uiPriority w:val="39"/>
    <w:rsid w:val="00A1091C"/>
    <w:pPr>
      <w:ind w:leftChars="800" w:left="1680"/>
    </w:pPr>
  </w:style>
  <w:style w:type="paragraph" w:styleId="60">
    <w:name w:val="toc 6"/>
    <w:basedOn w:val="a"/>
    <w:next w:val="a"/>
    <w:autoRedefine/>
    <w:uiPriority w:val="39"/>
    <w:rsid w:val="00A1091C"/>
    <w:pPr>
      <w:ind w:leftChars="1000" w:left="2100"/>
    </w:pPr>
  </w:style>
  <w:style w:type="paragraph" w:styleId="70">
    <w:name w:val="toc 7"/>
    <w:basedOn w:val="a"/>
    <w:next w:val="a"/>
    <w:autoRedefine/>
    <w:uiPriority w:val="39"/>
    <w:rsid w:val="00A1091C"/>
    <w:pPr>
      <w:ind w:leftChars="1200" w:left="2520"/>
    </w:pPr>
  </w:style>
  <w:style w:type="paragraph" w:styleId="80">
    <w:name w:val="toc 8"/>
    <w:basedOn w:val="a"/>
    <w:next w:val="a"/>
    <w:autoRedefine/>
    <w:uiPriority w:val="39"/>
    <w:rsid w:val="00A1091C"/>
    <w:pPr>
      <w:ind w:leftChars="1400" w:left="2940"/>
    </w:pPr>
  </w:style>
  <w:style w:type="paragraph" w:styleId="90">
    <w:name w:val="toc 9"/>
    <w:basedOn w:val="a"/>
    <w:next w:val="a"/>
    <w:autoRedefine/>
    <w:uiPriority w:val="39"/>
    <w:rsid w:val="00A1091C"/>
    <w:pPr>
      <w:ind w:leftChars="1600" w:left="3360"/>
    </w:pPr>
  </w:style>
  <w:style w:type="paragraph" w:customStyle="1" w:styleId="AODocTxt">
    <w:name w:val="AODocTxt"/>
    <w:basedOn w:val="a"/>
    <w:rsid w:val="00A1091C"/>
    <w:pPr>
      <w:widowControl/>
      <w:spacing w:before="240" w:line="260" w:lineRule="atLeast"/>
      <w:jc w:val="left"/>
    </w:pPr>
    <w:rPr>
      <w:kern w:val="0"/>
      <w:sz w:val="22"/>
      <w:szCs w:val="22"/>
      <w:lang w:val="en-GB" w:eastAsia="en-US"/>
    </w:rPr>
  </w:style>
  <w:style w:type="character" w:styleId="HTML0">
    <w:name w:val="HTML Typewriter"/>
    <w:uiPriority w:val="99"/>
    <w:rsid w:val="00A1091C"/>
    <w:rPr>
      <w:rFonts w:ascii="Arial Unicode MS" w:eastAsia="Arial Unicode MS" w:hAnsi="Arial Unicode MS" w:cs="Arial Unicode MS"/>
      <w:kern w:val="2"/>
      <w:sz w:val="20"/>
      <w:szCs w:val="20"/>
      <w:lang w:val="en-US" w:eastAsia="zh-CN" w:bidi="ar-SA"/>
    </w:rPr>
  </w:style>
  <w:style w:type="paragraph" w:customStyle="1" w:styleId="CM59">
    <w:name w:val="CM59"/>
    <w:basedOn w:val="a"/>
    <w:next w:val="a"/>
    <w:rsid w:val="00A1091C"/>
    <w:pPr>
      <w:autoSpaceDE w:val="0"/>
      <w:autoSpaceDN w:val="0"/>
      <w:adjustRightInd w:val="0"/>
      <w:spacing w:after="110"/>
      <w:jc w:val="left"/>
    </w:pPr>
    <w:rPr>
      <w:rFonts w:ascii="宋体"/>
      <w:kern w:val="0"/>
      <w:sz w:val="24"/>
    </w:rPr>
  </w:style>
  <w:style w:type="paragraph" w:customStyle="1" w:styleId="CM55">
    <w:name w:val="CM55"/>
    <w:basedOn w:val="a"/>
    <w:next w:val="a"/>
    <w:rsid w:val="00A1091C"/>
    <w:pPr>
      <w:autoSpaceDE w:val="0"/>
      <w:autoSpaceDN w:val="0"/>
      <w:adjustRightInd w:val="0"/>
      <w:spacing w:after="270"/>
      <w:jc w:val="left"/>
    </w:pPr>
    <w:rPr>
      <w:rFonts w:ascii="宋体"/>
      <w:kern w:val="0"/>
      <w:sz w:val="24"/>
    </w:rPr>
  </w:style>
  <w:style w:type="paragraph" w:customStyle="1" w:styleId="Default">
    <w:name w:val="Default"/>
    <w:rsid w:val="00A1091C"/>
    <w:pPr>
      <w:widowControl w:val="0"/>
      <w:autoSpaceDE w:val="0"/>
      <w:autoSpaceDN w:val="0"/>
      <w:adjustRightInd w:val="0"/>
    </w:pPr>
    <w:rPr>
      <w:rFonts w:ascii="宋体" w:hAnsi="Times New Roman" w:cs="宋体"/>
      <w:color w:val="000000"/>
      <w:sz w:val="24"/>
      <w:szCs w:val="24"/>
    </w:rPr>
  </w:style>
  <w:style w:type="table" w:styleId="aff">
    <w:name w:val="Table Grid"/>
    <w:basedOn w:val="a1"/>
    <w:rsid w:val="00A1091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Revision"/>
    <w:hidden/>
    <w:uiPriority w:val="99"/>
    <w:semiHidden/>
    <w:rsid w:val="00A1091C"/>
    <w:rPr>
      <w:rFonts w:ascii="Times New Roman" w:hAnsi="Times New Roman"/>
      <w:kern w:val="2"/>
      <w:sz w:val="21"/>
      <w:szCs w:val="24"/>
    </w:rPr>
  </w:style>
  <w:style w:type="paragraph" w:styleId="aff1">
    <w:name w:val="List Paragraph"/>
    <w:basedOn w:val="a"/>
    <w:uiPriority w:val="34"/>
    <w:qFormat/>
    <w:rsid w:val="00151F94"/>
    <w:pPr>
      <w:ind w:firstLineChars="200" w:firstLine="420"/>
    </w:pPr>
  </w:style>
  <w:style w:type="character" w:customStyle="1" w:styleId="CharChar11">
    <w:name w:val="Char Char11"/>
    <w:locked/>
    <w:rsid w:val="003E420E"/>
    <w:rPr>
      <w:rFonts w:ascii="宋体" w:eastAsia="宋体" w:hAnsi="Courier New" w:cs="Courier New"/>
      <w:kern w:val="2"/>
      <w:sz w:val="21"/>
      <w:szCs w:val="21"/>
      <w:lang w:val="en-US" w:eastAsia="zh-CN" w:bidi="ar-SA"/>
    </w:rPr>
  </w:style>
  <w:style w:type="character" w:customStyle="1" w:styleId="Char10">
    <w:name w:val="纯文本 Char1"/>
    <w:semiHidden/>
    <w:locked/>
    <w:rsid w:val="00273051"/>
    <w:rPr>
      <w:rFonts w:ascii="宋体" w:hAnsi="Courier New" w:cs="Courier New"/>
      <w:kern w:val="2"/>
      <w:sz w:val="21"/>
      <w:szCs w:val="21"/>
    </w:rPr>
  </w:style>
  <w:style w:type="paragraph" w:styleId="aff2">
    <w:name w:val="Date"/>
    <w:basedOn w:val="a"/>
    <w:next w:val="a"/>
    <w:link w:val="Chare"/>
    <w:uiPriority w:val="99"/>
    <w:semiHidden/>
    <w:unhideWhenUsed/>
    <w:rsid w:val="002C79C8"/>
    <w:pPr>
      <w:ind w:leftChars="2500" w:left="100"/>
    </w:pPr>
  </w:style>
  <w:style w:type="character" w:customStyle="1" w:styleId="Chare">
    <w:name w:val="日期 Char"/>
    <w:basedOn w:val="a0"/>
    <w:link w:val="aff2"/>
    <w:uiPriority w:val="99"/>
    <w:semiHidden/>
    <w:rsid w:val="002C79C8"/>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11">
      <w:bodyDiv w:val="1"/>
      <w:marLeft w:val="0"/>
      <w:marRight w:val="0"/>
      <w:marTop w:val="0"/>
      <w:marBottom w:val="0"/>
      <w:divBdr>
        <w:top w:val="none" w:sz="0" w:space="0" w:color="auto"/>
        <w:left w:val="none" w:sz="0" w:space="0" w:color="auto"/>
        <w:bottom w:val="none" w:sz="0" w:space="0" w:color="auto"/>
        <w:right w:val="none" w:sz="0" w:space="0" w:color="auto"/>
      </w:divBdr>
    </w:div>
    <w:div w:id="14815396">
      <w:bodyDiv w:val="1"/>
      <w:marLeft w:val="0"/>
      <w:marRight w:val="0"/>
      <w:marTop w:val="0"/>
      <w:marBottom w:val="0"/>
      <w:divBdr>
        <w:top w:val="none" w:sz="0" w:space="0" w:color="auto"/>
        <w:left w:val="none" w:sz="0" w:space="0" w:color="auto"/>
        <w:bottom w:val="none" w:sz="0" w:space="0" w:color="auto"/>
        <w:right w:val="none" w:sz="0" w:space="0" w:color="auto"/>
      </w:divBdr>
    </w:div>
    <w:div w:id="20976697">
      <w:bodyDiv w:val="1"/>
      <w:marLeft w:val="0"/>
      <w:marRight w:val="0"/>
      <w:marTop w:val="0"/>
      <w:marBottom w:val="0"/>
      <w:divBdr>
        <w:top w:val="none" w:sz="0" w:space="0" w:color="auto"/>
        <w:left w:val="none" w:sz="0" w:space="0" w:color="auto"/>
        <w:bottom w:val="none" w:sz="0" w:space="0" w:color="auto"/>
        <w:right w:val="none" w:sz="0" w:space="0" w:color="auto"/>
      </w:divBdr>
    </w:div>
    <w:div w:id="87700388">
      <w:bodyDiv w:val="1"/>
      <w:marLeft w:val="0"/>
      <w:marRight w:val="0"/>
      <w:marTop w:val="0"/>
      <w:marBottom w:val="0"/>
      <w:divBdr>
        <w:top w:val="none" w:sz="0" w:space="0" w:color="auto"/>
        <w:left w:val="none" w:sz="0" w:space="0" w:color="auto"/>
        <w:bottom w:val="none" w:sz="0" w:space="0" w:color="auto"/>
        <w:right w:val="none" w:sz="0" w:space="0" w:color="auto"/>
      </w:divBdr>
    </w:div>
    <w:div w:id="98258603">
      <w:bodyDiv w:val="1"/>
      <w:marLeft w:val="0"/>
      <w:marRight w:val="0"/>
      <w:marTop w:val="0"/>
      <w:marBottom w:val="0"/>
      <w:divBdr>
        <w:top w:val="none" w:sz="0" w:space="0" w:color="auto"/>
        <w:left w:val="none" w:sz="0" w:space="0" w:color="auto"/>
        <w:bottom w:val="none" w:sz="0" w:space="0" w:color="auto"/>
        <w:right w:val="none" w:sz="0" w:space="0" w:color="auto"/>
      </w:divBdr>
    </w:div>
    <w:div w:id="115176748">
      <w:bodyDiv w:val="1"/>
      <w:marLeft w:val="0"/>
      <w:marRight w:val="0"/>
      <w:marTop w:val="0"/>
      <w:marBottom w:val="0"/>
      <w:divBdr>
        <w:top w:val="none" w:sz="0" w:space="0" w:color="auto"/>
        <w:left w:val="none" w:sz="0" w:space="0" w:color="auto"/>
        <w:bottom w:val="none" w:sz="0" w:space="0" w:color="auto"/>
        <w:right w:val="none" w:sz="0" w:space="0" w:color="auto"/>
      </w:divBdr>
    </w:div>
    <w:div w:id="141510765">
      <w:bodyDiv w:val="1"/>
      <w:marLeft w:val="0"/>
      <w:marRight w:val="0"/>
      <w:marTop w:val="0"/>
      <w:marBottom w:val="0"/>
      <w:divBdr>
        <w:top w:val="none" w:sz="0" w:space="0" w:color="auto"/>
        <w:left w:val="none" w:sz="0" w:space="0" w:color="auto"/>
        <w:bottom w:val="none" w:sz="0" w:space="0" w:color="auto"/>
        <w:right w:val="none" w:sz="0" w:space="0" w:color="auto"/>
      </w:divBdr>
    </w:div>
    <w:div w:id="148637814">
      <w:bodyDiv w:val="1"/>
      <w:marLeft w:val="0"/>
      <w:marRight w:val="0"/>
      <w:marTop w:val="0"/>
      <w:marBottom w:val="0"/>
      <w:divBdr>
        <w:top w:val="none" w:sz="0" w:space="0" w:color="auto"/>
        <w:left w:val="none" w:sz="0" w:space="0" w:color="auto"/>
        <w:bottom w:val="none" w:sz="0" w:space="0" w:color="auto"/>
        <w:right w:val="none" w:sz="0" w:space="0" w:color="auto"/>
      </w:divBdr>
    </w:div>
    <w:div w:id="178734899">
      <w:bodyDiv w:val="1"/>
      <w:marLeft w:val="0"/>
      <w:marRight w:val="0"/>
      <w:marTop w:val="0"/>
      <w:marBottom w:val="0"/>
      <w:divBdr>
        <w:top w:val="none" w:sz="0" w:space="0" w:color="auto"/>
        <w:left w:val="none" w:sz="0" w:space="0" w:color="auto"/>
        <w:bottom w:val="none" w:sz="0" w:space="0" w:color="auto"/>
        <w:right w:val="none" w:sz="0" w:space="0" w:color="auto"/>
      </w:divBdr>
    </w:div>
    <w:div w:id="178814422">
      <w:bodyDiv w:val="1"/>
      <w:marLeft w:val="0"/>
      <w:marRight w:val="0"/>
      <w:marTop w:val="0"/>
      <w:marBottom w:val="0"/>
      <w:divBdr>
        <w:top w:val="none" w:sz="0" w:space="0" w:color="auto"/>
        <w:left w:val="none" w:sz="0" w:space="0" w:color="auto"/>
        <w:bottom w:val="none" w:sz="0" w:space="0" w:color="auto"/>
        <w:right w:val="none" w:sz="0" w:space="0" w:color="auto"/>
      </w:divBdr>
    </w:div>
    <w:div w:id="184633521">
      <w:bodyDiv w:val="1"/>
      <w:marLeft w:val="0"/>
      <w:marRight w:val="0"/>
      <w:marTop w:val="0"/>
      <w:marBottom w:val="0"/>
      <w:divBdr>
        <w:top w:val="none" w:sz="0" w:space="0" w:color="auto"/>
        <w:left w:val="none" w:sz="0" w:space="0" w:color="auto"/>
        <w:bottom w:val="none" w:sz="0" w:space="0" w:color="auto"/>
        <w:right w:val="none" w:sz="0" w:space="0" w:color="auto"/>
      </w:divBdr>
    </w:div>
    <w:div w:id="189882385">
      <w:bodyDiv w:val="1"/>
      <w:marLeft w:val="0"/>
      <w:marRight w:val="0"/>
      <w:marTop w:val="0"/>
      <w:marBottom w:val="0"/>
      <w:divBdr>
        <w:top w:val="none" w:sz="0" w:space="0" w:color="auto"/>
        <w:left w:val="none" w:sz="0" w:space="0" w:color="auto"/>
        <w:bottom w:val="none" w:sz="0" w:space="0" w:color="auto"/>
        <w:right w:val="none" w:sz="0" w:space="0" w:color="auto"/>
      </w:divBdr>
    </w:div>
    <w:div w:id="220793529">
      <w:bodyDiv w:val="1"/>
      <w:marLeft w:val="0"/>
      <w:marRight w:val="0"/>
      <w:marTop w:val="0"/>
      <w:marBottom w:val="0"/>
      <w:divBdr>
        <w:top w:val="none" w:sz="0" w:space="0" w:color="auto"/>
        <w:left w:val="none" w:sz="0" w:space="0" w:color="auto"/>
        <w:bottom w:val="none" w:sz="0" w:space="0" w:color="auto"/>
        <w:right w:val="none" w:sz="0" w:space="0" w:color="auto"/>
      </w:divBdr>
    </w:div>
    <w:div w:id="222059391">
      <w:bodyDiv w:val="1"/>
      <w:marLeft w:val="0"/>
      <w:marRight w:val="0"/>
      <w:marTop w:val="0"/>
      <w:marBottom w:val="0"/>
      <w:divBdr>
        <w:top w:val="none" w:sz="0" w:space="0" w:color="auto"/>
        <w:left w:val="none" w:sz="0" w:space="0" w:color="auto"/>
        <w:bottom w:val="none" w:sz="0" w:space="0" w:color="auto"/>
        <w:right w:val="none" w:sz="0" w:space="0" w:color="auto"/>
      </w:divBdr>
    </w:div>
    <w:div w:id="226697003">
      <w:bodyDiv w:val="1"/>
      <w:marLeft w:val="0"/>
      <w:marRight w:val="0"/>
      <w:marTop w:val="0"/>
      <w:marBottom w:val="0"/>
      <w:divBdr>
        <w:top w:val="none" w:sz="0" w:space="0" w:color="auto"/>
        <w:left w:val="none" w:sz="0" w:space="0" w:color="auto"/>
        <w:bottom w:val="none" w:sz="0" w:space="0" w:color="auto"/>
        <w:right w:val="none" w:sz="0" w:space="0" w:color="auto"/>
      </w:divBdr>
    </w:div>
    <w:div w:id="227031452">
      <w:bodyDiv w:val="1"/>
      <w:marLeft w:val="0"/>
      <w:marRight w:val="0"/>
      <w:marTop w:val="0"/>
      <w:marBottom w:val="0"/>
      <w:divBdr>
        <w:top w:val="none" w:sz="0" w:space="0" w:color="auto"/>
        <w:left w:val="none" w:sz="0" w:space="0" w:color="auto"/>
        <w:bottom w:val="none" w:sz="0" w:space="0" w:color="auto"/>
        <w:right w:val="none" w:sz="0" w:space="0" w:color="auto"/>
      </w:divBdr>
    </w:div>
    <w:div w:id="227345677">
      <w:bodyDiv w:val="1"/>
      <w:marLeft w:val="0"/>
      <w:marRight w:val="0"/>
      <w:marTop w:val="0"/>
      <w:marBottom w:val="0"/>
      <w:divBdr>
        <w:top w:val="none" w:sz="0" w:space="0" w:color="auto"/>
        <w:left w:val="none" w:sz="0" w:space="0" w:color="auto"/>
        <w:bottom w:val="none" w:sz="0" w:space="0" w:color="auto"/>
        <w:right w:val="none" w:sz="0" w:space="0" w:color="auto"/>
      </w:divBdr>
    </w:div>
    <w:div w:id="249504527">
      <w:bodyDiv w:val="1"/>
      <w:marLeft w:val="0"/>
      <w:marRight w:val="0"/>
      <w:marTop w:val="0"/>
      <w:marBottom w:val="0"/>
      <w:divBdr>
        <w:top w:val="none" w:sz="0" w:space="0" w:color="auto"/>
        <w:left w:val="none" w:sz="0" w:space="0" w:color="auto"/>
        <w:bottom w:val="none" w:sz="0" w:space="0" w:color="auto"/>
        <w:right w:val="none" w:sz="0" w:space="0" w:color="auto"/>
      </w:divBdr>
    </w:div>
    <w:div w:id="253829119">
      <w:bodyDiv w:val="1"/>
      <w:marLeft w:val="0"/>
      <w:marRight w:val="0"/>
      <w:marTop w:val="0"/>
      <w:marBottom w:val="0"/>
      <w:divBdr>
        <w:top w:val="none" w:sz="0" w:space="0" w:color="auto"/>
        <w:left w:val="none" w:sz="0" w:space="0" w:color="auto"/>
        <w:bottom w:val="none" w:sz="0" w:space="0" w:color="auto"/>
        <w:right w:val="none" w:sz="0" w:space="0" w:color="auto"/>
      </w:divBdr>
    </w:div>
    <w:div w:id="277444814">
      <w:bodyDiv w:val="1"/>
      <w:marLeft w:val="0"/>
      <w:marRight w:val="0"/>
      <w:marTop w:val="0"/>
      <w:marBottom w:val="0"/>
      <w:divBdr>
        <w:top w:val="none" w:sz="0" w:space="0" w:color="auto"/>
        <w:left w:val="none" w:sz="0" w:space="0" w:color="auto"/>
        <w:bottom w:val="none" w:sz="0" w:space="0" w:color="auto"/>
        <w:right w:val="none" w:sz="0" w:space="0" w:color="auto"/>
      </w:divBdr>
    </w:div>
    <w:div w:id="287199121">
      <w:bodyDiv w:val="1"/>
      <w:marLeft w:val="0"/>
      <w:marRight w:val="0"/>
      <w:marTop w:val="0"/>
      <w:marBottom w:val="0"/>
      <w:divBdr>
        <w:top w:val="none" w:sz="0" w:space="0" w:color="auto"/>
        <w:left w:val="none" w:sz="0" w:space="0" w:color="auto"/>
        <w:bottom w:val="none" w:sz="0" w:space="0" w:color="auto"/>
        <w:right w:val="none" w:sz="0" w:space="0" w:color="auto"/>
      </w:divBdr>
    </w:div>
    <w:div w:id="299261752">
      <w:bodyDiv w:val="1"/>
      <w:marLeft w:val="0"/>
      <w:marRight w:val="0"/>
      <w:marTop w:val="0"/>
      <w:marBottom w:val="0"/>
      <w:divBdr>
        <w:top w:val="none" w:sz="0" w:space="0" w:color="auto"/>
        <w:left w:val="none" w:sz="0" w:space="0" w:color="auto"/>
        <w:bottom w:val="none" w:sz="0" w:space="0" w:color="auto"/>
        <w:right w:val="none" w:sz="0" w:space="0" w:color="auto"/>
      </w:divBdr>
    </w:div>
    <w:div w:id="346954541">
      <w:bodyDiv w:val="1"/>
      <w:marLeft w:val="0"/>
      <w:marRight w:val="0"/>
      <w:marTop w:val="0"/>
      <w:marBottom w:val="0"/>
      <w:divBdr>
        <w:top w:val="none" w:sz="0" w:space="0" w:color="auto"/>
        <w:left w:val="none" w:sz="0" w:space="0" w:color="auto"/>
        <w:bottom w:val="none" w:sz="0" w:space="0" w:color="auto"/>
        <w:right w:val="none" w:sz="0" w:space="0" w:color="auto"/>
      </w:divBdr>
    </w:div>
    <w:div w:id="368728765">
      <w:bodyDiv w:val="1"/>
      <w:marLeft w:val="0"/>
      <w:marRight w:val="0"/>
      <w:marTop w:val="0"/>
      <w:marBottom w:val="0"/>
      <w:divBdr>
        <w:top w:val="none" w:sz="0" w:space="0" w:color="auto"/>
        <w:left w:val="none" w:sz="0" w:space="0" w:color="auto"/>
        <w:bottom w:val="none" w:sz="0" w:space="0" w:color="auto"/>
        <w:right w:val="none" w:sz="0" w:space="0" w:color="auto"/>
      </w:divBdr>
    </w:div>
    <w:div w:id="373115437">
      <w:bodyDiv w:val="1"/>
      <w:marLeft w:val="0"/>
      <w:marRight w:val="0"/>
      <w:marTop w:val="0"/>
      <w:marBottom w:val="0"/>
      <w:divBdr>
        <w:top w:val="none" w:sz="0" w:space="0" w:color="auto"/>
        <w:left w:val="none" w:sz="0" w:space="0" w:color="auto"/>
        <w:bottom w:val="none" w:sz="0" w:space="0" w:color="auto"/>
        <w:right w:val="none" w:sz="0" w:space="0" w:color="auto"/>
      </w:divBdr>
    </w:div>
    <w:div w:id="407847792">
      <w:bodyDiv w:val="1"/>
      <w:marLeft w:val="0"/>
      <w:marRight w:val="0"/>
      <w:marTop w:val="0"/>
      <w:marBottom w:val="0"/>
      <w:divBdr>
        <w:top w:val="none" w:sz="0" w:space="0" w:color="auto"/>
        <w:left w:val="none" w:sz="0" w:space="0" w:color="auto"/>
        <w:bottom w:val="none" w:sz="0" w:space="0" w:color="auto"/>
        <w:right w:val="none" w:sz="0" w:space="0" w:color="auto"/>
      </w:divBdr>
    </w:div>
    <w:div w:id="444155927">
      <w:bodyDiv w:val="1"/>
      <w:marLeft w:val="0"/>
      <w:marRight w:val="0"/>
      <w:marTop w:val="0"/>
      <w:marBottom w:val="0"/>
      <w:divBdr>
        <w:top w:val="none" w:sz="0" w:space="0" w:color="auto"/>
        <w:left w:val="none" w:sz="0" w:space="0" w:color="auto"/>
        <w:bottom w:val="none" w:sz="0" w:space="0" w:color="auto"/>
        <w:right w:val="none" w:sz="0" w:space="0" w:color="auto"/>
      </w:divBdr>
    </w:div>
    <w:div w:id="457842658">
      <w:bodyDiv w:val="1"/>
      <w:marLeft w:val="0"/>
      <w:marRight w:val="0"/>
      <w:marTop w:val="0"/>
      <w:marBottom w:val="0"/>
      <w:divBdr>
        <w:top w:val="none" w:sz="0" w:space="0" w:color="auto"/>
        <w:left w:val="none" w:sz="0" w:space="0" w:color="auto"/>
        <w:bottom w:val="none" w:sz="0" w:space="0" w:color="auto"/>
        <w:right w:val="none" w:sz="0" w:space="0" w:color="auto"/>
      </w:divBdr>
    </w:div>
    <w:div w:id="465899018">
      <w:bodyDiv w:val="1"/>
      <w:marLeft w:val="0"/>
      <w:marRight w:val="0"/>
      <w:marTop w:val="0"/>
      <w:marBottom w:val="0"/>
      <w:divBdr>
        <w:top w:val="none" w:sz="0" w:space="0" w:color="auto"/>
        <w:left w:val="none" w:sz="0" w:space="0" w:color="auto"/>
        <w:bottom w:val="none" w:sz="0" w:space="0" w:color="auto"/>
        <w:right w:val="none" w:sz="0" w:space="0" w:color="auto"/>
      </w:divBdr>
    </w:div>
    <w:div w:id="471673675">
      <w:bodyDiv w:val="1"/>
      <w:marLeft w:val="0"/>
      <w:marRight w:val="0"/>
      <w:marTop w:val="0"/>
      <w:marBottom w:val="0"/>
      <w:divBdr>
        <w:top w:val="none" w:sz="0" w:space="0" w:color="auto"/>
        <w:left w:val="none" w:sz="0" w:space="0" w:color="auto"/>
        <w:bottom w:val="none" w:sz="0" w:space="0" w:color="auto"/>
        <w:right w:val="none" w:sz="0" w:space="0" w:color="auto"/>
      </w:divBdr>
    </w:div>
    <w:div w:id="472525844">
      <w:bodyDiv w:val="1"/>
      <w:marLeft w:val="0"/>
      <w:marRight w:val="0"/>
      <w:marTop w:val="0"/>
      <w:marBottom w:val="0"/>
      <w:divBdr>
        <w:top w:val="none" w:sz="0" w:space="0" w:color="auto"/>
        <w:left w:val="none" w:sz="0" w:space="0" w:color="auto"/>
        <w:bottom w:val="none" w:sz="0" w:space="0" w:color="auto"/>
        <w:right w:val="none" w:sz="0" w:space="0" w:color="auto"/>
      </w:divBdr>
    </w:div>
    <w:div w:id="490604397">
      <w:bodyDiv w:val="1"/>
      <w:marLeft w:val="0"/>
      <w:marRight w:val="0"/>
      <w:marTop w:val="0"/>
      <w:marBottom w:val="0"/>
      <w:divBdr>
        <w:top w:val="none" w:sz="0" w:space="0" w:color="auto"/>
        <w:left w:val="none" w:sz="0" w:space="0" w:color="auto"/>
        <w:bottom w:val="none" w:sz="0" w:space="0" w:color="auto"/>
        <w:right w:val="none" w:sz="0" w:space="0" w:color="auto"/>
      </w:divBdr>
    </w:div>
    <w:div w:id="497228474">
      <w:bodyDiv w:val="1"/>
      <w:marLeft w:val="0"/>
      <w:marRight w:val="0"/>
      <w:marTop w:val="0"/>
      <w:marBottom w:val="0"/>
      <w:divBdr>
        <w:top w:val="none" w:sz="0" w:space="0" w:color="auto"/>
        <w:left w:val="none" w:sz="0" w:space="0" w:color="auto"/>
        <w:bottom w:val="none" w:sz="0" w:space="0" w:color="auto"/>
        <w:right w:val="none" w:sz="0" w:space="0" w:color="auto"/>
      </w:divBdr>
    </w:div>
    <w:div w:id="509835080">
      <w:bodyDiv w:val="1"/>
      <w:marLeft w:val="0"/>
      <w:marRight w:val="0"/>
      <w:marTop w:val="0"/>
      <w:marBottom w:val="0"/>
      <w:divBdr>
        <w:top w:val="none" w:sz="0" w:space="0" w:color="auto"/>
        <w:left w:val="none" w:sz="0" w:space="0" w:color="auto"/>
        <w:bottom w:val="none" w:sz="0" w:space="0" w:color="auto"/>
        <w:right w:val="none" w:sz="0" w:space="0" w:color="auto"/>
      </w:divBdr>
    </w:div>
    <w:div w:id="515729686">
      <w:bodyDiv w:val="1"/>
      <w:marLeft w:val="0"/>
      <w:marRight w:val="0"/>
      <w:marTop w:val="0"/>
      <w:marBottom w:val="0"/>
      <w:divBdr>
        <w:top w:val="none" w:sz="0" w:space="0" w:color="auto"/>
        <w:left w:val="none" w:sz="0" w:space="0" w:color="auto"/>
        <w:bottom w:val="none" w:sz="0" w:space="0" w:color="auto"/>
        <w:right w:val="none" w:sz="0" w:space="0" w:color="auto"/>
      </w:divBdr>
    </w:div>
    <w:div w:id="515772997">
      <w:bodyDiv w:val="1"/>
      <w:marLeft w:val="0"/>
      <w:marRight w:val="0"/>
      <w:marTop w:val="0"/>
      <w:marBottom w:val="0"/>
      <w:divBdr>
        <w:top w:val="none" w:sz="0" w:space="0" w:color="auto"/>
        <w:left w:val="none" w:sz="0" w:space="0" w:color="auto"/>
        <w:bottom w:val="none" w:sz="0" w:space="0" w:color="auto"/>
        <w:right w:val="none" w:sz="0" w:space="0" w:color="auto"/>
      </w:divBdr>
    </w:div>
    <w:div w:id="520126326">
      <w:bodyDiv w:val="1"/>
      <w:marLeft w:val="0"/>
      <w:marRight w:val="0"/>
      <w:marTop w:val="0"/>
      <w:marBottom w:val="0"/>
      <w:divBdr>
        <w:top w:val="none" w:sz="0" w:space="0" w:color="auto"/>
        <w:left w:val="none" w:sz="0" w:space="0" w:color="auto"/>
        <w:bottom w:val="none" w:sz="0" w:space="0" w:color="auto"/>
        <w:right w:val="none" w:sz="0" w:space="0" w:color="auto"/>
      </w:divBdr>
    </w:div>
    <w:div w:id="535167258">
      <w:bodyDiv w:val="1"/>
      <w:marLeft w:val="0"/>
      <w:marRight w:val="0"/>
      <w:marTop w:val="0"/>
      <w:marBottom w:val="0"/>
      <w:divBdr>
        <w:top w:val="none" w:sz="0" w:space="0" w:color="auto"/>
        <w:left w:val="none" w:sz="0" w:space="0" w:color="auto"/>
        <w:bottom w:val="none" w:sz="0" w:space="0" w:color="auto"/>
        <w:right w:val="none" w:sz="0" w:space="0" w:color="auto"/>
      </w:divBdr>
    </w:div>
    <w:div w:id="546644531">
      <w:bodyDiv w:val="1"/>
      <w:marLeft w:val="0"/>
      <w:marRight w:val="0"/>
      <w:marTop w:val="0"/>
      <w:marBottom w:val="0"/>
      <w:divBdr>
        <w:top w:val="none" w:sz="0" w:space="0" w:color="auto"/>
        <w:left w:val="none" w:sz="0" w:space="0" w:color="auto"/>
        <w:bottom w:val="none" w:sz="0" w:space="0" w:color="auto"/>
        <w:right w:val="none" w:sz="0" w:space="0" w:color="auto"/>
      </w:divBdr>
    </w:div>
    <w:div w:id="548691161">
      <w:bodyDiv w:val="1"/>
      <w:marLeft w:val="0"/>
      <w:marRight w:val="0"/>
      <w:marTop w:val="0"/>
      <w:marBottom w:val="0"/>
      <w:divBdr>
        <w:top w:val="none" w:sz="0" w:space="0" w:color="auto"/>
        <w:left w:val="none" w:sz="0" w:space="0" w:color="auto"/>
        <w:bottom w:val="none" w:sz="0" w:space="0" w:color="auto"/>
        <w:right w:val="none" w:sz="0" w:space="0" w:color="auto"/>
      </w:divBdr>
    </w:div>
    <w:div w:id="578101930">
      <w:bodyDiv w:val="1"/>
      <w:marLeft w:val="0"/>
      <w:marRight w:val="0"/>
      <w:marTop w:val="0"/>
      <w:marBottom w:val="0"/>
      <w:divBdr>
        <w:top w:val="none" w:sz="0" w:space="0" w:color="auto"/>
        <w:left w:val="none" w:sz="0" w:space="0" w:color="auto"/>
        <w:bottom w:val="none" w:sz="0" w:space="0" w:color="auto"/>
        <w:right w:val="none" w:sz="0" w:space="0" w:color="auto"/>
      </w:divBdr>
    </w:div>
    <w:div w:id="589630642">
      <w:bodyDiv w:val="1"/>
      <w:marLeft w:val="0"/>
      <w:marRight w:val="0"/>
      <w:marTop w:val="0"/>
      <w:marBottom w:val="0"/>
      <w:divBdr>
        <w:top w:val="none" w:sz="0" w:space="0" w:color="auto"/>
        <w:left w:val="none" w:sz="0" w:space="0" w:color="auto"/>
        <w:bottom w:val="none" w:sz="0" w:space="0" w:color="auto"/>
        <w:right w:val="none" w:sz="0" w:space="0" w:color="auto"/>
      </w:divBdr>
    </w:div>
    <w:div w:id="592324556">
      <w:bodyDiv w:val="1"/>
      <w:marLeft w:val="0"/>
      <w:marRight w:val="0"/>
      <w:marTop w:val="0"/>
      <w:marBottom w:val="0"/>
      <w:divBdr>
        <w:top w:val="none" w:sz="0" w:space="0" w:color="auto"/>
        <w:left w:val="none" w:sz="0" w:space="0" w:color="auto"/>
        <w:bottom w:val="none" w:sz="0" w:space="0" w:color="auto"/>
        <w:right w:val="none" w:sz="0" w:space="0" w:color="auto"/>
      </w:divBdr>
    </w:div>
    <w:div w:id="596402941">
      <w:bodyDiv w:val="1"/>
      <w:marLeft w:val="0"/>
      <w:marRight w:val="0"/>
      <w:marTop w:val="0"/>
      <w:marBottom w:val="0"/>
      <w:divBdr>
        <w:top w:val="none" w:sz="0" w:space="0" w:color="auto"/>
        <w:left w:val="none" w:sz="0" w:space="0" w:color="auto"/>
        <w:bottom w:val="none" w:sz="0" w:space="0" w:color="auto"/>
        <w:right w:val="none" w:sz="0" w:space="0" w:color="auto"/>
      </w:divBdr>
    </w:div>
    <w:div w:id="597906217">
      <w:bodyDiv w:val="1"/>
      <w:marLeft w:val="0"/>
      <w:marRight w:val="0"/>
      <w:marTop w:val="0"/>
      <w:marBottom w:val="0"/>
      <w:divBdr>
        <w:top w:val="none" w:sz="0" w:space="0" w:color="auto"/>
        <w:left w:val="none" w:sz="0" w:space="0" w:color="auto"/>
        <w:bottom w:val="none" w:sz="0" w:space="0" w:color="auto"/>
        <w:right w:val="none" w:sz="0" w:space="0" w:color="auto"/>
      </w:divBdr>
    </w:div>
    <w:div w:id="613294644">
      <w:bodyDiv w:val="1"/>
      <w:marLeft w:val="0"/>
      <w:marRight w:val="0"/>
      <w:marTop w:val="0"/>
      <w:marBottom w:val="0"/>
      <w:divBdr>
        <w:top w:val="none" w:sz="0" w:space="0" w:color="auto"/>
        <w:left w:val="none" w:sz="0" w:space="0" w:color="auto"/>
        <w:bottom w:val="none" w:sz="0" w:space="0" w:color="auto"/>
        <w:right w:val="none" w:sz="0" w:space="0" w:color="auto"/>
      </w:divBdr>
    </w:div>
    <w:div w:id="624501960">
      <w:bodyDiv w:val="1"/>
      <w:marLeft w:val="0"/>
      <w:marRight w:val="0"/>
      <w:marTop w:val="0"/>
      <w:marBottom w:val="0"/>
      <w:divBdr>
        <w:top w:val="none" w:sz="0" w:space="0" w:color="auto"/>
        <w:left w:val="none" w:sz="0" w:space="0" w:color="auto"/>
        <w:bottom w:val="none" w:sz="0" w:space="0" w:color="auto"/>
        <w:right w:val="none" w:sz="0" w:space="0" w:color="auto"/>
      </w:divBdr>
    </w:div>
    <w:div w:id="656228932">
      <w:bodyDiv w:val="1"/>
      <w:marLeft w:val="0"/>
      <w:marRight w:val="0"/>
      <w:marTop w:val="0"/>
      <w:marBottom w:val="0"/>
      <w:divBdr>
        <w:top w:val="none" w:sz="0" w:space="0" w:color="auto"/>
        <w:left w:val="none" w:sz="0" w:space="0" w:color="auto"/>
        <w:bottom w:val="none" w:sz="0" w:space="0" w:color="auto"/>
        <w:right w:val="none" w:sz="0" w:space="0" w:color="auto"/>
      </w:divBdr>
    </w:div>
    <w:div w:id="707342985">
      <w:bodyDiv w:val="1"/>
      <w:marLeft w:val="0"/>
      <w:marRight w:val="0"/>
      <w:marTop w:val="0"/>
      <w:marBottom w:val="0"/>
      <w:divBdr>
        <w:top w:val="none" w:sz="0" w:space="0" w:color="auto"/>
        <w:left w:val="none" w:sz="0" w:space="0" w:color="auto"/>
        <w:bottom w:val="none" w:sz="0" w:space="0" w:color="auto"/>
        <w:right w:val="none" w:sz="0" w:space="0" w:color="auto"/>
      </w:divBdr>
    </w:div>
    <w:div w:id="711925948">
      <w:bodyDiv w:val="1"/>
      <w:marLeft w:val="0"/>
      <w:marRight w:val="0"/>
      <w:marTop w:val="0"/>
      <w:marBottom w:val="0"/>
      <w:divBdr>
        <w:top w:val="none" w:sz="0" w:space="0" w:color="auto"/>
        <w:left w:val="none" w:sz="0" w:space="0" w:color="auto"/>
        <w:bottom w:val="none" w:sz="0" w:space="0" w:color="auto"/>
        <w:right w:val="none" w:sz="0" w:space="0" w:color="auto"/>
      </w:divBdr>
    </w:div>
    <w:div w:id="719521510">
      <w:bodyDiv w:val="1"/>
      <w:marLeft w:val="0"/>
      <w:marRight w:val="0"/>
      <w:marTop w:val="0"/>
      <w:marBottom w:val="0"/>
      <w:divBdr>
        <w:top w:val="none" w:sz="0" w:space="0" w:color="auto"/>
        <w:left w:val="none" w:sz="0" w:space="0" w:color="auto"/>
        <w:bottom w:val="none" w:sz="0" w:space="0" w:color="auto"/>
        <w:right w:val="none" w:sz="0" w:space="0" w:color="auto"/>
      </w:divBdr>
    </w:div>
    <w:div w:id="721176056">
      <w:bodyDiv w:val="1"/>
      <w:marLeft w:val="0"/>
      <w:marRight w:val="0"/>
      <w:marTop w:val="0"/>
      <w:marBottom w:val="0"/>
      <w:divBdr>
        <w:top w:val="none" w:sz="0" w:space="0" w:color="auto"/>
        <w:left w:val="none" w:sz="0" w:space="0" w:color="auto"/>
        <w:bottom w:val="none" w:sz="0" w:space="0" w:color="auto"/>
        <w:right w:val="none" w:sz="0" w:space="0" w:color="auto"/>
      </w:divBdr>
    </w:div>
    <w:div w:id="730077075">
      <w:bodyDiv w:val="1"/>
      <w:marLeft w:val="0"/>
      <w:marRight w:val="0"/>
      <w:marTop w:val="0"/>
      <w:marBottom w:val="0"/>
      <w:divBdr>
        <w:top w:val="none" w:sz="0" w:space="0" w:color="auto"/>
        <w:left w:val="none" w:sz="0" w:space="0" w:color="auto"/>
        <w:bottom w:val="none" w:sz="0" w:space="0" w:color="auto"/>
        <w:right w:val="none" w:sz="0" w:space="0" w:color="auto"/>
      </w:divBdr>
    </w:div>
    <w:div w:id="757598585">
      <w:bodyDiv w:val="1"/>
      <w:marLeft w:val="0"/>
      <w:marRight w:val="0"/>
      <w:marTop w:val="0"/>
      <w:marBottom w:val="0"/>
      <w:divBdr>
        <w:top w:val="none" w:sz="0" w:space="0" w:color="auto"/>
        <w:left w:val="none" w:sz="0" w:space="0" w:color="auto"/>
        <w:bottom w:val="none" w:sz="0" w:space="0" w:color="auto"/>
        <w:right w:val="none" w:sz="0" w:space="0" w:color="auto"/>
      </w:divBdr>
    </w:div>
    <w:div w:id="771049675">
      <w:bodyDiv w:val="1"/>
      <w:marLeft w:val="0"/>
      <w:marRight w:val="0"/>
      <w:marTop w:val="0"/>
      <w:marBottom w:val="0"/>
      <w:divBdr>
        <w:top w:val="none" w:sz="0" w:space="0" w:color="auto"/>
        <w:left w:val="none" w:sz="0" w:space="0" w:color="auto"/>
        <w:bottom w:val="none" w:sz="0" w:space="0" w:color="auto"/>
        <w:right w:val="none" w:sz="0" w:space="0" w:color="auto"/>
      </w:divBdr>
    </w:div>
    <w:div w:id="771052243">
      <w:bodyDiv w:val="1"/>
      <w:marLeft w:val="0"/>
      <w:marRight w:val="0"/>
      <w:marTop w:val="0"/>
      <w:marBottom w:val="0"/>
      <w:divBdr>
        <w:top w:val="none" w:sz="0" w:space="0" w:color="auto"/>
        <w:left w:val="none" w:sz="0" w:space="0" w:color="auto"/>
        <w:bottom w:val="none" w:sz="0" w:space="0" w:color="auto"/>
        <w:right w:val="none" w:sz="0" w:space="0" w:color="auto"/>
      </w:divBdr>
    </w:div>
    <w:div w:id="788934397">
      <w:bodyDiv w:val="1"/>
      <w:marLeft w:val="0"/>
      <w:marRight w:val="0"/>
      <w:marTop w:val="0"/>
      <w:marBottom w:val="0"/>
      <w:divBdr>
        <w:top w:val="none" w:sz="0" w:space="0" w:color="auto"/>
        <w:left w:val="none" w:sz="0" w:space="0" w:color="auto"/>
        <w:bottom w:val="none" w:sz="0" w:space="0" w:color="auto"/>
        <w:right w:val="none" w:sz="0" w:space="0" w:color="auto"/>
      </w:divBdr>
    </w:div>
    <w:div w:id="818762485">
      <w:bodyDiv w:val="1"/>
      <w:marLeft w:val="0"/>
      <w:marRight w:val="0"/>
      <w:marTop w:val="0"/>
      <w:marBottom w:val="0"/>
      <w:divBdr>
        <w:top w:val="none" w:sz="0" w:space="0" w:color="auto"/>
        <w:left w:val="none" w:sz="0" w:space="0" w:color="auto"/>
        <w:bottom w:val="none" w:sz="0" w:space="0" w:color="auto"/>
        <w:right w:val="none" w:sz="0" w:space="0" w:color="auto"/>
      </w:divBdr>
    </w:div>
    <w:div w:id="820737643">
      <w:bodyDiv w:val="1"/>
      <w:marLeft w:val="0"/>
      <w:marRight w:val="0"/>
      <w:marTop w:val="0"/>
      <w:marBottom w:val="0"/>
      <w:divBdr>
        <w:top w:val="none" w:sz="0" w:space="0" w:color="auto"/>
        <w:left w:val="none" w:sz="0" w:space="0" w:color="auto"/>
        <w:bottom w:val="none" w:sz="0" w:space="0" w:color="auto"/>
        <w:right w:val="none" w:sz="0" w:space="0" w:color="auto"/>
      </w:divBdr>
    </w:div>
    <w:div w:id="823276403">
      <w:bodyDiv w:val="1"/>
      <w:marLeft w:val="0"/>
      <w:marRight w:val="0"/>
      <w:marTop w:val="0"/>
      <w:marBottom w:val="0"/>
      <w:divBdr>
        <w:top w:val="none" w:sz="0" w:space="0" w:color="auto"/>
        <w:left w:val="none" w:sz="0" w:space="0" w:color="auto"/>
        <w:bottom w:val="none" w:sz="0" w:space="0" w:color="auto"/>
        <w:right w:val="none" w:sz="0" w:space="0" w:color="auto"/>
      </w:divBdr>
    </w:div>
    <w:div w:id="830219776">
      <w:bodyDiv w:val="1"/>
      <w:marLeft w:val="0"/>
      <w:marRight w:val="0"/>
      <w:marTop w:val="0"/>
      <w:marBottom w:val="0"/>
      <w:divBdr>
        <w:top w:val="none" w:sz="0" w:space="0" w:color="auto"/>
        <w:left w:val="none" w:sz="0" w:space="0" w:color="auto"/>
        <w:bottom w:val="none" w:sz="0" w:space="0" w:color="auto"/>
        <w:right w:val="none" w:sz="0" w:space="0" w:color="auto"/>
      </w:divBdr>
    </w:div>
    <w:div w:id="854417806">
      <w:bodyDiv w:val="1"/>
      <w:marLeft w:val="0"/>
      <w:marRight w:val="0"/>
      <w:marTop w:val="0"/>
      <w:marBottom w:val="0"/>
      <w:divBdr>
        <w:top w:val="none" w:sz="0" w:space="0" w:color="auto"/>
        <w:left w:val="none" w:sz="0" w:space="0" w:color="auto"/>
        <w:bottom w:val="none" w:sz="0" w:space="0" w:color="auto"/>
        <w:right w:val="none" w:sz="0" w:space="0" w:color="auto"/>
      </w:divBdr>
    </w:div>
    <w:div w:id="868489546">
      <w:bodyDiv w:val="1"/>
      <w:marLeft w:val="0"/>
      <w:marRight w:val="0"/>
      <w:marTop w:val="0"/>
      <w:marBottom w:val="0"/>
      <w:divBdr>
        <w:top w:val="none" w:sz="0" w:space="0" w:color="auto"/>
        <w:left w:val="none" w:sz="0" w:space="0" w:color="auto"/>
        <w:bottom w:val="none" w:sz="0" w:space="0" w:color="auto"/>
        <w:right w:val="none" w:sz="0" w:space="0" w:color="auto"/>
      </w:divBdr>
    </w:div>
    <w:div w:id="900556996">
      <w:bodyDiv w:val="1"/>
      <w:marLeft w:val="0"/>
      <w:marRight w:val="0"/>
      <w:marTop w:val="0"/>
      <w:marBottom w:val="0"/>
      <w:divBdr>
        <w:top w:val="none" w:sz="0" w:space="0" w:color="auto"/>
        <w:left w:val="none" w:sz="0" w:space="0" w:color="auto"/>
        <w:bottom w:val="none" w:sz="0" w:space="0" w:color="auto"/>
        <w:right w:val="none" w:sz="0" w:space="0" w:color="auto"/>
      </w:divBdr>
    </w:div>
    <w:div w:id="949631570">
      <w:bodyDiv w:val="1"/>
      <w:marLeft w:val="0"/>
      <w:marRight w:val="0"/>
      <w:marTop w:val="0"/>
      <w:marBottom w:val="0"/>
      <w:divBdr>
        <w:top w:val="none" w:sz="0" w:space="0" w:color="auto"/>
        <w:left w:val="none" w:sz="0" w:space="0" w:color="auto"/>
        <w:bottom w:val="none" w:sz="0" w:space="0" w:color="auto"/>
        <w:right w:val="none" w:sz="0" w:space="0" w:color="auto"/>
      </w:divBdr>
    </w:div>
    <w:div w:id="964506002">
      <w:bodyDiv w:val="1"/>
      <w:marLeft w:val="0"/>
      <w:marRight w:val="0"/>
      <w:marTop w:val="0"/>
      <w:marBottom w:val="0"/>
      <w:divBdr>
        <w:top w:val="none" w:sz="0" w:space="0" w:color="auto"/>
        <w:left w:val="none" w:sz="0" w:space="0" w:color="auto"/>
        <w:bottom w:val="none" w:sz="0" w:space="0" w:color="auto"/>
        <w:right w:val="none" w:sz="0" w:space="0" w:color="auto"/>
      </w:divBdr>
    </w:div>
    <w:div w:id="979845474">
      <w:bodyDiv w:val="1"/>
      <w:marLeft w:val="0"/>
      <w:marRight w:val="0"/>
      <w:marTop w:val="0"/>
      <w:marBottom w:val="0"/>
      <w:divBdr>
        <w:top w:val="none" w:sz="0" w:space="0" w:color="auto"/>
        <w:left w:val="none" w:sz="0" w:space="0" w:color="auto"/>
        <w:bottom w:val="none" w:sz="0" w:space="0" w:color="auto"/>
        <w:right w:val="none" w:sz="0" w:space="0" w:color="auto"/>
      </w:divBdr>
    </w:div>
    <w:div w:id="994845585">
      <w:bodyDiv w:val="1"/>
      <w:marLeft w:val="0"/>
      <w:marRight w:val="0"/>
      <w:marTop w:val="0"/>
      <w:marBottom w:val="0"/>
      <w:divBdr>
        <w:top w:val="none" w:sz="0" w:space="0" w:color="auto"/>
        <w:left w:val="none" w:sz="0" w:space="0" w:color="auto"/>
        <w:bottom w:val="none" w:sz="0" w:space="0" w:color="auto"/>
        <w:right w:val="none" w:sz="0" w:space="0" w:color="auto"/>
      </w:divBdr>
    </w:div>
    <w:div w:id="1026440305">
      <w:bodyDiv w:val="1"/>
      <w:marLeft w:val="0"/>
      <w:marRight w:val="0"/>
      <w:marTop w:val="0"/>
      <w:marBottom w:val="0"/>
      <w:divBdr>
        <w:top w:val="none" w:sz="0" w:space="0" w:color="auto"/>
        <w:left w:val="none" w:sz="0" w:space="0" w:color="auto"/>
        <w:bottom w:val="none" w:sz="0" w:space="0" w:color="auto"/>
        <w:right w:val="none" w:sz="0" w:space="0" w:color="auto"/>
      </w:divBdr>
    </w:div>
    <w:div w:id="1029843388">
      <w:bodyDiv w:val="1"/>
      <w:marLeft w:val="0"/>
      <w:marRight w:val="0"/>
      <w:marTop w:val="0"/>
      <w:marBottom w:val="0"/>
      <w:divBdr>
        <w:top w:val="none" w:sz="0" w:space="0" w:color="auto"/>
        <w:left w:val="none" w:sz="0" w:space="0" w:color="auto"/>
        <w:bottom w:val="none" w:sz="0" w:space="0" w:color="auto"/>
        <w:right w:val="none" w:sz="0" w:space="0" w:color="auto"/>
      </w:divBdr>
    </w:div>
    <w:div w:id="1034967143">
      <w:bodyDiv w:val="1"/>
      <w:marLeft w:val="0"/>
      <w:marRight w:val="0"/>
      <w:marTop w:val="0"/>
      <w:marBottom w:val="0"/>
      <w:divBdr>
        <w:top w:val="none" w:sz="0" w:space="0" w:color="auto"/>
        <w:left w:val="none" w:sz="0" w:space="0" w:color="auto"/>
        <w:bottom w:val="none" w:sz="0" w:space="0" w:color="auto"/>
        <w:right w:val="none" w:sz="0" w:space="0" w:color="auto"/>
      </w:divBdr>
    </w:div>
    <w:div w:id="1044595107">
      <w:bodyDiv w:val="1"/>
      <w:marLeft w:val="0"/>
      <w:marRight w:val="0"/>
      <w:marTop w:val="0"/>
      <w:marBottom w:val="0"/>
      <w:divBdr>
        <w:top w:val="none" w:sz="0" w:space="0" w:color="auto"/>
        <w:left w:val="none" w:sz="0" w:space="0" w:color="auto"/>
        <w:bottom w:val="none" w:sz="0" w:space="0" w:color="auto"/>
        <w:right w:val="none" w:sz="0" w:space="0" w:color="auto"/>
      </w:divBdr>
    </w:div>
    <w:div w:id="1045326915">
      <w:bodyDiv w:val="1"/>
      <w:marLeft w:val="0"/>
      <w:marRight w:val="0"/>
      <w:marTop w:val="0"/>
      <w:marBottom w:val="0"/>
      <w:divBdr>
        <w:top w:val="none" w:sz="0" w:space="0" w:color="auto"/>
        <w:left w:val="none" w:sz="0" w:space="0" w:color="auto"/>
        <w:bottom w:val="none" w:sz="0" w:space="0" w:color="auto"/>
        <w:right w:val="none" w:sz="0" w:space="0" w:color="auto"/>
      </w:divBdr>
    </w:div>
    <w:div w:id="1066225980">
      <w:bodyDiv w:val="1"/>
      <w:marLeft w:val="0"/>
      <w:marRight w:val="0"/>
      <w:marTop w:val="0"/>
      <w:marBottom w:val="0"/>
      <w:divBdr>
        <w:top w:val="none" w:sz="0" w:space="0" w:color="auto"/>
        <w:left w:val="none" w:sz="0" w:space="0" w:color="auto"/>
        <w:bottom w:val="none" w:sz="0" w:space="0" w:color="auto"/>
        <w:right w:val="none" w:sz="0" w:space="0" w:color="auto"/>
      </w:divBdr>
    </w:div>
    <w:div w:id="1094479174">
      <w:bodyDiv w:val="1"/>
      <w:marLeft w:val="0"/>
      <w:marRight w:val="0"/>
      <w:marTop w:val="0"/>
      <w:marBottom w:val="0"/>
      <w:divBdr>
        <w:top w:val="none" w:sz="0" w:space="0" w:color="auto"/>
        <w:left w:val="none" w:sz="0" w:space="0" w:color="auto"/>
        <w:bottom w:val="none" w:sz="0" w:space="0" w:color="auto"/>
        <w:right w:val="none" w:sz="0" w:space="0" w:color="auto"/>
      </w:divBdr>
    </w:div>
    <w:div w:id="1095445070">
      <w:bodyDiv w:val="1"/>
      <w:marLeft w:val="0"/>
      <w:marRight w:val="0"/>
      <w:marTop w:val="0"/>
      <w:marBottom w:val="0"/>
      <w:divBdr>
        <w:top w:val="none" w:sz="0" w:space="0" w:color="auto"/>
        <w:left w:val="none" w:sz="0" w:space="0" w:color="auto"/>
        <w:bottom w:val="none" w:sz="0" w:space="0" w:color="auto"/>
        <w:right w:val="none" w:sz="0" w:space="0" w:color="auto"/>
      </w:divBdr>
    </w:div>
    <w:div w:id="1112165433">
      <w:bodyDiv w:val="1"/>
      <w:marLeft w:val="0"/>
      <w:marRight w:val="0"/>
      <w:marTop w:val="0"/>
      <w:marBottom w:val="0"/>
      <w:divBdr>
        <w:top w:val="none" w:sz="0" w:space="0" w:color="auto"/>
        <w:left w:val="none" w:sz="0" w:space="0" w:color="auto"/>
        <w:bottom w:val="none" w:sz="0" w:space="0" w:color="auto"/>
        <w:right w:val="none" w:sz="0" w:space="0" w:color="auto"/>
      </w:divBdr>
    </w:div>
    <w:div w:id="1134757129">
      <w:bodyDiv w:val="1"/>
      <w:marLeft w:val="0"/>
      <w:marRight w:val="0"/>
      <w:marTop w:val="0"/>
      <w:marBottom w:val="0"/>
      <w:divBdr>
        <w:top w:val="none" w:sz="0" w:space="0" w:color="auto"/>
        <w:left w:val="none" w:sz="0" w:space="0" w:color="auto"/>
        <w:bottom w:val="none" w:sz="0" w:space="0" w:color="auto"/>
        <w:right w:val="none" w:sz="0" w:space="0" w:color="auto"/>
      </w:divBdr>
    </w:div>
    <w:div w:id="1141119555">
      <w:bodyDiv w:val="1"/>
      <w:marLeft w:val="0"/>
      <w:marRight w:val="0"/>
      <w:marTop w:val="0"/>
      <w:marBottom w:val="0"/>
      <w:divBdr>
        <w:top w:val="none" w:sz="0" w:space="0" w:color="auto"/>
        <w:left w:val="none" w:sz="0" w:space="0" w:color="auto"/>
        <w:bottom w:val="none" w:sz="0" w:space="0" w:color="auto"/>
        <w:right w:val="none" w:sz="0" w:space="0" w:color="auto"/>
      </w:divBdr>
    </w:div>
    <w:div w:id="1142691511">
      <w:bodyDiv w:val="1"/>
      <w:marLeft w:val="0"/>
      <w:marRight w:val="0"/>
      <w:marTop w:val="0"/>
      <w:marBottom w:val="0"/>
      <w:divBdr>
        <w:top w:val="none" w:sz="0" w:space="0" w:color="auto"/>
        <w:left w:val="none" w:sz="0" w:space="0" w:color="auto"/>
        <w:bottom w:val="none" w:sz="0" w:space="0" w:color="auto"/>
        <w:right w:val="none" w:sz="0" w:space="0" w:color="auto"/>
      </w:divBdr>
    </w:div>
    <w:div w:id="1160543901">
      <w:bodyDiv w:val="1"/>
      <w:marLeft w:val="0"/>
      <w:marRight w:val="0"/>
      <w:marTop w:val="0"/>
      <w:marBottom w:val="0"/>
      <w:divBdr>
        <w:top w:val="none" w:sz="0" w:space="0" w:color="auto"/>
        <w:left w:val="none" w:sz="0" w:space="0" w:color="auto"/>
        <w:bottom w:val="none" w:sz="0" w:space="0" w:color="auto"/>
        <w:right w:val="none" w:sz="0" w:space="0" w:color="auto"/>
      </w:divBdr>
    </w:div>
    <w:div w:id="1190607756">
      <w:bodyDiv w:val="1"/>
      <w:marLeft w:val="0"/>
      <w:marRight w:val="0"/>
      <w:marTop w:val="0"/>
      <w:marBottom w:val="0"/>
      <w:divBdr>
        <w:top w:val="none" w:sz="0" w:space="0" w:color="auto"/>
        <w:left w:val="none" w:sz="0" w:space="0" w:color="auto"/>
        <w:bottom w:val="none" w:sz="0" w:space="0" w:color="auto"/>
        <w:right w:val="none" w:sz="0" w:space="0" w:color="auto"/>
      </w:divBdr>
    </w:div>
    <w:div w:id="1220824748">
      <w:bodyDiv w:val="1"/>
      <w:marLeft w:val="0"/>
      <w:marRight w:val="0"/>
      <w:marTop w:val="0"/>
      <w:marBottom w:val="0"/>
      <w:divBdr>
        <w:top w:val="none" w:sz="0" w:space="0" w:color="auto"/>
        <w:left w:val="none" w:sz="0" w:space="0" w:color="auto"/>
        <w:bottom w:val="none" w:sz="0" w:space="0" w:color="auto"/>
        <w:right w:val="none" w:sz="0" w:space="0" w:color="auto"/>
      </w:divBdr>
    </w:div>
    <w:div w:id="1226070581">
      <w:bodyDiv w:val="1"/>
      <w:marLeft w:val="0"/>
      <w:marRight w:val="0"/>
      <w:marTop w:val="0"/>
      <w:marBottom w:val="0"/>
      <w:divBdr>
        <w:top w:val="none" w:sz="0" w:space="0" w:color="auto"/>
        <w:left w:val="none" w:sz="0" w:space="0" w:color="auto"/>
        <w:bottom w:val="none" w:sz="0" w:space="0" w:color="auto"/>
        <w:right w:val="none" w:sz="0" w:space="0" w:color="auto"/>
      </w:divBdr>
    </w:div>
    <w:div w:id="1254586894">
      <w:bodyDiv w:val="1"/>
      <w:marLeft w:val="0"/>
      <w:marRight w:val="0"/>
      <w:marTop w:val="0"/>
      <w:marBottom w:val="0"/>
      <w:divBdr>
        <w:top w:val="none" w:sz="0" w:space="0" w:color="auto"/>
        <w:left w:val="none" w:sz="0" w:space="0" w:color="auto"/>
        <w:bottom w:val="none" w:sz="0" w:space="0" w:color="auto"/>
        <w:right w:val="none" w:sz="0" w:space="0" w:color="auto"/>
      </w:divBdr>
    </w:div>
    <w:div w:id="1257863384">
      <w:bodyDiv w:val="1"/>
      <w:marLeft w:val="0"/>
      <w:marRight w:val="0"/>
      <w:marTop w:val="0"/>
      <w:marBottom w:val="0"/>
      <w:divBdr>
        <w:top w:val="none" w:sz="0" w:space="0" w:color="auto"/>
        <w:left w:val="none" w:sz="0" w:space="0" w:color="auto"/>
        <w:bottom w:val="none" w:sz="0" w:space="0" w:color="auto"/>
        <w:right w:val="none" w:sz="0" w:space="0" w:color="auto"/>
      </w:divBdr>
    </w:div>
    <w:div w:id="1270426153">
      <w:bodyDiv w:val="1"/>
      <w:marLeft w:val="0"/>
      <w:marRight w:val="0"/>
      <w:marTop w:val="0"/>
      <w:marBottom w:val="0"/>
      <w:divBdr>
        <w:top w:val="none" w:sz="0" w:space="0" w:color="auto"/>
        <w:left w:val="none" w:sz="0" w:space="0" w:color="auto"/>
        <w:bottom w:val="none" w:sz="0" w:space="0" w:color="auto"/>
        <w:right w:val="none" w:sz="0" w:space="0" w:color="auto"/>
      </w:divBdr>
    </w:div>
    <w:div w:id="1290866204">
      <w:bodyDiv w:val="1"/>
      <w:marLeft w:val="0"/>
      <w:marRight w:val="0"/>
      <w:marTop w:val="0"/>
      <w:marBottom w:val="0"/>
      <w:divBdr>
        <w:top w:val="none" w:sz="0" w:space="0" w:color="auto"/>
        <w:left w:val="none" w:sz="0" w:space="0" w:color="auto"/>
        <w:bottom w:val="none" w:sz="0" w:space="0" w:color="auto"/>
        <w:right w:val="none" w:sz="0" w:space="0" w:color="auto"/>
      </w:divBdr>
    </w:div>
    <w:div w:id="1300306800">
      <w:bodyDiv w:val="1"/>
      <w:marLeft w:val="0"/>
      <w:marRight w:val="0"/>
      <w:marTop w:val="0"/>
      <w:marBottom w:val="0"/>
      <w:divBdr>
        <w:top w:val="none" w:sz="0" w:space="0" w:color="auto"/>
        <w:left w:val="none" w:sz="0" w:space="0" w:color="auto"/>
        <w:bottom w:val="none" w:sz="0" w:space="0" w:color="auto"/>
        <w:right w:val="none" w:sz="0" w:space="0" w:color="auto"/>
      </w:divBdr>
    </w:div>
    <w:div w:id="1318651003">
      <w:bodyDiv w:val="1"/>
      <w:marLeft w:val="0"/>
      <w:marRight w:val="0"/>
      <w:marTop w:val="0"/>
      <w:marBottom w:val="0"/>
      <w:divBdr>
        <w:top w:val="none" w:sz="0" w:space="0" w:color="auto"/>
        <w:left w:val="none" w:sz="0" w:space="0" w:color="auto"/>
        <w:bottom w:val="none" w:sz="0" w:space="0" w:color="auto"/>
        <w:right w:val="none" w:sz="0" w:space="0" w:color="auto"/>
      </w:divBdr>
    </w:div>
    <w:div w:id="1328942833">
      <w:bodyDiv w:val="1"/>
      <w:marLeft w:val="0"/>
      <w:marRight w:val="0"/>
      <w:marTop w:val="0"/>
      <w:marBottom w:val="0"/>
      <w:divBdr>
        <w:top w:val="none" w:sz="0" w:space="0" w:color="auto"/>
        <w:left w:val="none" w:sz="0" w:space="0" w:color="auto"/>
        <w:bottom w:val="none" w:sz="0" w:space="0" w:color="auto"/>
        <w:right w:val="none" w:sz="0" w:space="0" w:color="auto"/>
      </w:divBdr>
    </w:div>
    <w:div w:id="1333801281">
      <w:bodyDiv w:val="1"/>
      <w:marLeft w:val="0"/>
      <w:marRight w:val="0"/>
      <w:marTop w:val="0"/>
      <w:marBottom w:val="0"/>
      <w:divBdr>
        <w:top w:val="none" w:sz="0" w:space="0" w:color="auto"/>
        <w:left w:val="none" w:sz="0" w:space="0" w:color="auto"/>
        <w:bottom w:val="none" w:sz="0" w:space="0" w:color="auto"/>
        <w:right w:val="none" w:sz="0" w:space="0" w:color="auto"/>
      </w:divBdr>
    </w:div>
    <w:div w:id="1356424269">
      <w:bodyDiv w:val="1"/>
      <w:marLeft w:val="0"/>
      <w:marRight w:val="0"/>
      <w:marTop w:val="0"/>
      <w:marBottom w:val="0"/>
      <w:divBdr>
        <w:top w:val="none" w:sz="0" w:space="0" w:color="auto"/>
        <w:left w:val="none" w:sz="0" w:space="0" w:color="auto"/>
        <w:bottom w:val="none" w:sz="0" w:space="0" w:color="auto"/>
        <w:right w:val="none" w:sz="0" w:space="0" w:color="auto"/>
      </w:divBdr>
    </w:div>
    <w:div w:id="1380277490">
      <w:bodyDiv w:val="1"/>
      <w:marLeft w:val="0"/>
      <w:marRight w:val="0"/>
      <w:marTop w:val="0"/>
      <w:marBottom w:val="0"/>
      <w:divBdr>
        <w:top w:val="none" w:sz="0" w:space="0" w:color="auto"/>
        <w:left w:val="none" w:sz="0" w:space="0" w:color="auto"/>
        <w:bottom w:val="none" w:sz="0" w:space="0" w:color="auto"/>
        <w:right w:val="none" w:sz="0" w:space="0" w:color="auto"/>
      </w:divBdr>
    </w:div>
    <w:div w:id="1385791369">
      <w:bodyDiv w:val="1"/>
      <w:marLeft w:val="0"/>
      <w:marRight w:val="0"/>
      <w:marTop w:val="0"/>
      <w:marBottom w:val="0"/>
      <w:divBdr>
        <w:top w:val="none" w:sz="0" w:space="0" w:color="auto"/>
        <w:left w:val="none" w:sz="0" w:space="0" w:color="auto"/>
        <w:bottom w:val="none" w:sz="0" w:space="0" w:color="auto"/>
        <w:right w:val="none" w:sz="0" w:space="0" w:color="auto"/>
      </w:divBdr>
    </w:div>
    <w:div w:id="1403676464">
      <w:bodyDiv w:val="1"/>
      <w:marLeft w:val="0"/>
      <w:marRight w:val="0"/>
      <w:marTop w:val="0"/>
      <w:marBottom w:val="0"/>
      <w:divBdr>
        <w:top w:val="none" w:sz="0" w:space="0" w:color="auto"/>
        <w:left w:val="none" w:sz="0" w:space="0" w:color="auto"/>
        <w:bottom w:val="none" w:sz="0" w:space="0" w:color="auto"/>
        <w:right w:val="none" w:sz="0" w:space="0" w:color="auto"/>
      </w:divBdr>
    </w:div>
    <w:div w:id="1419055892">
      <w:bodyDiv w:val="1"/>
      <w:marLeft w:val="0"/>
      <w:marRight w:val="0"/>
      <w:marTop w:val="0"/>
      <w:marBottom w:val="0"/>
      <w:divBdr>
        <w:top w:val="none" w:sz="0" w:space="0" w:color="auto"/>
        <w:left w:val="none" w:sz="0" w:space="0" w:color="auto"/>
        <w:bottom w:val="none" w:sz="0" w:space="0" w:color="auto"/>
        <w:right w:val="none" w:sz="0" w:space="0" w:color="auto"/>
      </w:divBdr>
    </w:div>
    <w:div w:id="1423212539">
      <w:bodyDiv w:val="1"/>
      <w:marLeft w:val="0"/>
      <w:marRight w:val="0"/>
      <w:marTop w:val="0"/>
      <w:marBottom w:val="0"/>
      <w:divBdr>
        <w:top w:val="none" w:sz="0" w:space="0" w:color="auto"/>
        <w:left w:val="none" w:sz="0" w:space="0" w:color="auto"/>
        <w:bottom w:val="none" w:sz="0" w:space="0" w:color="auto"/>
        <w:right w:val="none" w:sz="0" w:space="0" w:color="auto"/>
      </w:divBdr>
    </w:div>
    <w:div w:id="1423837596">
      <w:bodyDiv w:val="1"/>
      <w:marLeft w:val="0"/>
      <w:marRight w:val="0"/>
      <w:marTop w:val="0"/>
      <w:marBottom w:val="0"/>
      <w:divBdr>
        <w:top w:val="none" w:sz="0" w:space="0" w:color="auto"/>
        <w:left w:val="none" w:sz="0" w:space="0" w:color="auto"/>
        <w:bottom w:val="none" w:sz="0" w:space="0" w:color="auto"/>
        <w:right w:val="none" w:sz="0" w:space="0" w:color="auto"/>
      </w:divBdr>
    </w:div>
    <w:div w:id="1428304061">
      <w:bodyDiv w:val="1"/>
      <w:marLeft w:val="0"/>
      <w:marRight w:val="0"/>
      <w:marTop w:val="0"/>
      <w:marBottom w:val="0"/>
      <w:divBdr>
        <w:top w:val="none" w:sz="0" w:space="0" w:color="auto"/>
        <w:left w:val="none" w:sz="0" w:space="0" w:color="auto"/>
        <w:bottom w:val="none" w:sz="0" w:space="0" w:color="auto"/>
        <w:right w:val="none" w:sz="0" w:space="0" w:color="auto"/>
      </w:divBdr>
    </w:div>
    <w:div w:id="1431731826">
      <w:bodyDiv w:val="1"/>
      <w:marLeft w:val="0"/>
      <w:marRight w:val="0"/>
      <w:marTop w:val="0"/>
      <w:marBottom w:val="0"/>
      <w:divBdr>
        <w:top w:val="none" w:sz="0" w:space="0" w:color="auto"/>
        <w:left w:val="none" w:sz="0" w:space="0" w:color="auto"/>
        <w:bottom w:val="none" w:sz="0" w:space="0" w:color="auto"/>
        <w:right w:val="none" w:sz="0" w:space="0" w:color="auto"/>
      </w:divBdr>
    </w:div>
    <w:div w:id="1442067380">
      <w:bodyDiv w:val="1"/>
      <w:marLeft w:val="0"/>
      <w:marRight w:val="0"/>
      <w:marTop w:val="0"/>
      <w:marBottom w:val="0"/>
      <w:divBdr>
        <w:top w:val="none" w:sz="0" w:space="0" w:color="auto"/>
        <w:left w:val="none" w:sz="0" w:space="0" w:color="auto"/>
        <w:bottom w:val="none" w:sz="0" w:space="0" w:color="auto"/>
        <w:right w:val="none" w:sz="0" w:space="0" w:color="auto"/>
      </w:divBdr>
    </w:div>
    <w:div w:id="1455444369">
      <w:bodyDiv w:val="1"/>
      <w:marLeft w:val="0"/>
      <w:marRight w:val="0"/>
      <w:marTop w:val="0"/>
      <w:marBottom w:val="0"/>
      <w:divBdr>
        <w:top w:val="none" w:sz="0" w:space="0" w:color="auto"/>
        <w:left w:val="none" w:sz="0" w:space="0" w:color="auto"/>
        <w:bottom w:val="none" w:sz="0" w:space="0" w:color="auto"/>
        <w:right w:val="none" w:sz="0" w:space="0" w:color="auto"/>
      </w:divBdr>
    </w:div>
    <w:div w:id="1456021060">
      <w:bodyDiv w:val="1"/>
      <w:marLeft w:val="0"/>
      <w:marRight w:val="0"/>
      <w:marTop w:val="0"/>
      <w:marBottom w:val="0"/>
      <w:divBdr>
        <w:top w:val="none" w:sz="0" w:space="0" w:color="auto"/>
        <w:left w:val="none" w:sz="0" w:space="0" w:color="auto"/>
        <w:bottom w:val="none" w:sz="0" w:space="0" w:color="auto"/>
        <w:right w:val="none" w:sz="0" w:space="0" w:color="auto"/>
      </w:divBdr>
    </w:div>
    <w:div w:id="1464468763">
      <w:bodyDiv w:val="1"/>
      <w:marLeft w:val="0"/>
      <w:marRight w:val="0"/>
      <w:marTop w:val="0"/>
      <w:marBottom w:val="0"/>
      <w:divBdr>
        <w:top w:val="none" w:sz="0" w:space="0" w:color="auto"/>
        <w:left w:val="none" w:sz="0" w:space="0" w:color="auto"/>
        <w:bottom w:val="none" w:sz="0" w:space="0" w:color="auto"/>
        <w:right w:val="none" w:sz="0" w:space="0" w:color="auto"/>
      </w:divBdr>
    </w:div>
    <w:div w:id="1466464673">
      <w:bodyDiv w:val="1"/>
      <w:marLeft w:val="0"/>
      <w:marRight w:val="0"/>
      <w:marTop w:val="0"/>
      <w:marBottom w:val="0"/>
      <w:divBdr>
        <w:top w:val="none" w:sz="0" w:space="0" w:color="auto"/>
        <w:left w:val="none" w:sz="0" w:space="0" w:color="auto"/>
        <w:bottom w:val="none" w:sz="0" w:space="0" w:color="auto"/>
        <w:right w:val="none" w:sz="0" w:space="0" w:color="auto"/>
      </w:divBdr>
    </w:div>
    <w:div w:id="1466659556">
      <w:bodyDiv w:val="1"/>
      <w:marLeft w:val="0"/>
      <w:marRight w:val="0"/>
      <w:marTop w:val="0"/>
      <w:marBottom w:val="0"/>
      <w:divBdr>
        <w:top w:val="none" w:sz="0" w:space="0" w:color="auto"/>
        <w:left w:val="none" w:sz="0" w:space="0" w:color="auto"/>
        <w:bottom w:val="none" w:sz="0" w:space="0" w:color="auto"/>
        <w:right w:val="none" w:sz="0" w:space="0" w:color="auto"/>
      </w:divBdr>
    </w:div>
    <w:div w:id="1467435723">
      <w:bodyDiv w:val="1"/>
      <w:marLeft w:val="0"/>
      <w:marRight w:val="0"/>
      <w:marTop w:val="0"/>
      <w:marBottom w:val="0"/>
      <w:divBdr>
        <w:top w:val="none" w:sz="0" w:space="0" w:color="auto"/>
        <w:left w:val="none" w:sz="0" w:space="0" w:color="auto"/>
        <w:bottom w:val="none" w:sz="0" w:space="0" w:color="auto"/>
        <w:right w:val="none" w:sz="0" w:space="0" w:color="auto"/>
      </w:divBdr>
    </w:div>
    <w:div w:id="1484543397">
      <w:bodyDiv w:val="1"/>
      <w:marLeft w:val="0"/>
      <w:marRight w:val="0"/>
      <w:marTop w:val="0"/>
      <w:marBottom w:val="0"/>
      <w:divBdr>
        <w:top w:val="none" w:sz="0" w:space="0" w:color="auto"/>
        <w:left w:val="none" w:sz="0" w:space="0" w:color="auto"/>
        <w:bottom w:val="none" w:sz="0" w:space="0" w:color="auto"/>
        <w:right w:val="none" w:sz="0" w:space="0" w:color="auto"/>
      </w:divBdr>
    </w:div>
    <w:div w:id="1498374987">
      <w:bodyDiv w:val="1"/>
      <w:marLeft w:val="0"/>
      <w:marRight w:val="0"/>
      <w:marTop w:val="0"/>
      <w:marBottom w:val="0"/>
      <w:divBdr>
        <w:top w:val="none" w:sz="0" w:space="0" w:color="auto"/>
        <w:left w:val="none" w:sz="0" w:space="0" w:color="auto"/>
        <w:bottom w:val="none" w:sz="0" w:space="0" w:color="auto"/>
        <w:right w:val="none" w:sz="0" w:space="0" w:color="auto"/>
      </w:divBdr>
    </w:div>
    <w:div w:id="1503936291">
      <w:bodyDiv w:val="1"/>
      <w:marLeft w:val="0"/>
      <w:marRight w:val="0"/>
      <w:marTop w:val="0"/>
      <w:marBottom w:val="0"/>
      <w:divBdr>
        <w:top w:val="none" w:sz="0" w:space="0" w:color="auto"/>
        <w:left w:val="none" w:sz="0" w:space="0" w:color="auto"/>
        <w:bottom w:val="none" w:sz="0" w:space="0" w:color="auto"/>
        <w:right w:val="none" w:sz="0" w:space="0" w:color="auto"/>
      </w:divBdr>
    </w:div>
    <w:div w:id="1550923572">
      <w:bodyDiv w:val="1"/>
      <w:marLeft w:val="0"/>
      <w:marRight w:val="0"/>
      <w:marTop w:val="0"/>
      <w:marBottom w:val="0"/>
      <w:divBdr>
        <w:top w:val="none" w:sz="0" w:space="0" w:color="auto"/>
        <w:left w:val="none" w:sz="0" w:space="0" w:color="auto"/>
        <w:bottom w:val="none" w:sz="0" w:space="0" w:color="auto"/>
        <w:right w:val="none" w:sz="0" w:space="0" w:color="auto"/>
      </w:divBdr>
    </w:div>
    <w:div w:id="1555119839">
      <w:bodyDiv w:val="1"/>
      <w:marLeft w:val="0"/>
      <w:marRight w:val="0"/>
      <w:marTop w:val="0"/>
      <w:marBottom w:val="0"/>
      <w:divBdr>
        <w:top w:val="none" w:sz="0" w:space="0" w:color="auto"/>
        <w:left w:val="none" w:sz="0" w:space="0" w:color="auto"/>
        <w:bottom w:val="none" w:sz="0" w:space="0" w:color="auto"/>
        <w:right w:val="none" w:sz="0" w:space="0" w:color="auto"/>
      </w:divBdr>
    </w:div>
    <w:div w:id="1560282824">
      <w:bodyDiv w:val="1"/>
      <w:marLeft w:val="0"/>
      <w:marRight w:val="0"/>
      <w:marTop w:val="0"/>
      <w:marBottom w:val="0"/>
      <w:divBdr>
        <w:top w:val="none" w:sz="0" w:space="0" w:color="auto"/>
        <w:left w:val="none" w:sz="0" w:space="0" w:color="auto"/>
        <w:bottom w:val="none" w:sz="0" w:space="0" w:color="auto"/>
        <w:right w:val="none" w:sz="0" w:space="0" w:color="auto"/>
      </w:divBdr>
    </w:div>
    <w:div w:id="1568689453">
      <w:bodyDiv w:val="1"/>
      <w:marLeft w:val="0"/>
      <w:marRight w:val="0"/>
      <w:marTop w:val="0"/>
      <w:marBottom w:val="0"/>
      <w:divBdr>
        <w:top w:val="none" w:sz="0" w:space="0" w:color="auto"/>
        <w:left w:val="none" w:sz="0" w:space="0" w:color="auto"/>
        <w:bottom w:val="none" w:sz="0" w:space="0" w:color="auto"/>
        <w:right w:val="none" w:sz="0" w:space="0" w:color="auto"/>
      </w:divBdr>
    </w:div>
    <w:div w:id="1593782741">
      <w:bodyDiv w:val="1"/>
      <w:marLeft w:val="0"/>
      <w:marRight w:val="0"/>
      <w:marTop w:val="0"/>
      <w:marBottom w:val="0"/>
      <w:divBdr>
        <w:top w:val="none" w:sz="0" w:space="0" w:color="auto"/>
        <w:left w:val="none" w:sz="0" w:space="0" w:color="auto"/>
        <w:bottom w:val="none" w:sz="0" w:space="0" w:color="auto"/>
        <w:right w:val="none" w:sz="0" w:space="0" w:color="auto"/>
      </w:divBdr>
    </w:div>
    <w:div w:id="1606576229">
      <w:bodyDiv w:val="1"/>
      <w:marLeft w:val="0"/>
      <w:marRight w:val="0"/>
      <w:marTop w:val="0"/>
      <w:marBottom w:val="0"/>
      <w:divBdr>
        <w:top w:val="none" w:sz="0" w:space="0" w:color="auto"/>
        <w:left w:val="none" w:sz="0" w:space="0" w:color="auto"/>
        <w:bottom w:val="none" w:sz="0" w:space="0" w:color="auto"/>
        <w:right w:val="none" w:sz="0" w:space="0" w:color="auto"/>
      </w:divBdr>
    </w:div>
    <w:div w:id="1611089035">
      <w:bodyDiv w:val="1"/>
      <w:marLeft w:val="0"/>
      <w:marRight w:val="0"/>
      <w:marTop w:val="0"/>
      <w:marBottom w:val="0"/>
      <w:divBdr>
        <w:top w:val="none" w:sz="0" w:space="0" w:color="auto"/>
        <w:left w:val="none" w:sz="0" w:space="0" w:color="auto"/>
        <w:bottom w:val="none" w:sz="0" w:space="0" w:color="auto"/>
        <w:right w:val="none" w:sz="0" w:space="0" w:color="auto"/>
      </w:divBdr>
    </w:div>
    <w:div w:id="1622227024">
      <w:bodyDiv w:val="1"/>
      <w:marLeft w:val="0"/>
      <w:marRight w:val="0"/>
      <w:marTop w:val="0"/>
      <w:marBottom w:val="0"/>
      <w:divBdr>
        <w:top w:val="none" w:sz="0" w:space="0" w:color="auto"/>
        <w:left w:val="none" w:sz="0" w:space="0" w:color="auto"/>
        <w:bottom w:val="none" w:sz="0" w:space="0" w:color="auto"/>
        <w:right w:val="none" w:sz="0" w:space="0" w:color="auto"/>
      </w:divBdr>
    </w:div>
    <w:div w:id="1627933888">
      <w:bodyDiv w:val="1"/>
      <w:marLeft w:val="0"/>
      <w:marRight w:val="0"/>
      <w:marTop w:val="0"/>
      <w:marBottom w:val="0"/>
      <w:divBdr>
        <w:top w:val="none" w:sz="0" w:space="0" w:color="auto"/>
        <w:left w:val="none" w:sz="0" w:space="0" w:color="auto"/>
        <w:bottom w:val="none" w:sz="0" w:space="0" w:color="auto"/>
        <w:right w:val="none" w:sz="0" w:space="0" w:color="auto"/>
      </w:divBdr>
    </w:div>
    <w:div w:id="1674188286">
      <w:bodyDiv w:val="1"/>
      <w:marLeft w:val="0"/>
      <w:marRight w:val="0"/>
      <w:marTop w:val="0"/>
      <w:marBottom w:val="0"/>
      <w:divBdr>
        <w:top w:val="none" w:sz="0" w:space="0" w:color="auto"/>
        <w:left w:val="none" w:sz="0" w:space="0" w:color="auto"/>
        <w:bottom w:val="none" w:sz="0" w:space="0" w:color="auto"/>
        <w:right w:val="none" w:sz="0" w:space="0" w:color="auto"/>
      </w:divBdr>
    </w:div>
    <w:div w:id="1687637738">
      <w:bodyDiv w:val="1"/>
      <w:marLeft w:val="0"/>
      <w:marRight w:val="0"/>
      <w:marTop w:val="0"/>
      <w:marBottom w:val="0"/>
      <w:divBdr>
        <w:top w:val="none" w:sz="0" w:space="0" w:color="auto"/>
        <w:left w:val="none" w:sz="0" w:space="0" w:color="auto"/>
        <w:bottom w:val="none" w:sz="0" w:space="0" w:color="auto"/>
        <w:right w:val="none" w:sz="0" w:space="0" w:color="auto"/>
      </w:divBdr>
    </w:div>
    <w:div w:id="1694959432">
      <w:bodyDiv w:val="1"/>
      <w:marLeft w:val="0"/>
      <w:marRight w:val="0"/>
      <w:marTop w:val="0"/>
      <w:marBottom w:val="0"/>
      <w:divBdr>
        <w:top w:val="none" w:sz="0" w:space="0" w:color="auto"/>
        <w:left w:val="none" w:sz="0" w:space="0" w:color="auto"/>
        <w:bottom w:val="none" w:sz="0" w:space="0" w:color="auto"/>
        <w:right w:val="none" w:sz="0" w:space="0" w:color="auto"/>
      </w:divBdr>
    </w:div>
    <w:div w:id="1699815516">
      <w:bodyDiv w:val="1"/>
      <w:marLeft w:val="0"/>
      <w:marRight w:val="0"/>
      <w:marTop w:val="0"/>
      <w:marBottom w:val="0"/>
      <w:divBdr>
        <w:top w:val="none" w:sz="0" w:space="0" w:color="auto"/>
        <w:left w:val="none" w:sz="0" w:space="0" w:color="auto"/>
        <w:bottom w:val="none" w:sz="0" w:space="0" w:color="auto"/>
        <w:right w:val="none" w:sz="0" w:space="0" w:color="auto"/>
      </w:divBdr>
    </w:div>
    <w:div w:id="1705058681">
      <w:bodyDiv w:val="1"/>
      <w:marLeft w:val="0"/>
      <w:marRight w:val="0"/>
      <w:marTop w:val="0"/>
      <w:marBottom w:val="0"/>
      <w:divBdr>
        <w:top w:val="none" w:sz="0" w:space="0" w:color="auto"/>
        <w:left w:val="none" w:sz="0" w:space="0" w:color="auto"/>
        <w:bottom w:val="none" w:sz="0" w:space="0" w:color="auto"/>
        <w:right w:val="none" w:sz="0" w:space="0" w:color="auto"/>
      </w:divBdr>
    </w:div>
    <w:div w:id="1708798777">
      <w:bodyDiv w:val="1"/>
      <w:marLeft w:val="0"/>
      <w:marRight w:val="0"/>
      <w:marTop w:val="0"/>
      <w:marBottom w:val="0"/>
      <w:divBdr>
        <w:top w:val="none" w:sz="0" w:space="0" w:color="auto"/>
        <w:left w:val="none" w:sz="0" w:space="0" w:color="auto"/>
        <w:bottom w:val="none" w:sz="0" w:space="0" w:color="auto"/>
        <w:right w:val="none" w:sz="0" w:space="0" w:color="auto"/>
      </w:divBdr>
    </w:div>
    <w:div w:id="1715037401">
      <w:bodyDiv w:val="1"/>
      <w:marLeft w:val="0"/>
      <w:marRight w:val="0"/>
      <w:marTop w:val="0"/>
      <w:marBottom w:val="0"/>
      <w:divBdr>
        <w:top w:val="none" w:sz="0" w:space="0" w:color="auto"/>
        <w:left w:val="none" w:sz="0" w:space="0" w:color="auto"/>
        <w:bottom w:val="none" w:sz="0" w:space="0" w:color="auto"/>
        <w:right w:val="none" w:sz="0" w:space="0" w:color="auto"/>
      </w:divBdr>
    </w:div>
    <w:div w:id="1747994892">
      <w:bodyDiv w:val="1"/>
      <w:marLeft w:val="0"/>
      <w:marRight w:val="0"/>
      <w:marTop w:val="0"/>
      <w:marBottom w:val="0"/>
      <w:divBdr>
        <w:top w:val="none" w:sz="0" w:space="0" w:color="auto"/>
        <w:left w:val="none" w:sz="0" w:space="0" w:color="auto"/>
        <w:bottom w:val="none" w:sz="0" w:space="0" w:color="auto"/>
        <w:right w:val="none" w:sz="0" w:space="0" w:color="auto"/>
      </w:divBdr>
    </w:div>
    <w:div w:id="1751342471">
      <w:bodyDiv w:val="1"/>
      <w:marLeft w:val="0"/>
      <w:marRight w:val="0"/>
      <w:marTop w:val="0"/>
      <w:marBottom w:val="0"/>
      <w:divBdr>
        <w:top w:val="none" w:sz="0" w:space="0" w:color="auto"/>
        <w:left w:val="none" w:sz="0" w:space="0" w:color="auto"/>
        <w:bottom w:val="none" w:sz="0" w:space="0" w:color="auto"/>
        <w:right w:val="none" w:sz="0" w:space="0" w:color="auto"/>
      </w:divBdr>
    </w:div>
    <w:div w:id="1755009879">
      <w:bodyDiv w:val="1"/>
      <w:marLeft w:val="0"/>
      <w:marRight w:val="0"/>
      <w:marTop w:val="0"/>
      <w:marBottom w:val="0"/>
      <w:divBdr>
        <w:top w:val="none" w:sz="0" w:space="0" w:color="auto"/>
        <w:left w:val="none" w:sz="0" w:space="0" w:color="auto"/>
        <w:bottom w:val="none" w:sz="0" w:space="0" w:color="auto"/>
        <w:right w:val="none" w:sz="0" w:space="0" w:color="auto"/>
      </w:divBdr>
    </w:div>
    <w:div w:id="1777367481">
      <w:bodyDiv w:val="1"/>
      <w:marLeft w:val="0"/>
      <w:marRight w:val="0"/>
      <w:marTop w:val="0"/>
      <w:marBottom w:val="0"/>
      <w:divBdr>
        <w:top w:val="none" w:sz="0" w:space="0" w:color="auto"/>
        <w:left w:val="none" w:sz="0" w:space="0" w:color="auto"/>
        <w:bottom w:val="none" w:sz="0" w:space="0" w:color="auto"/>
        <w:right w:val="none" w:sz="0" w:space="0" w:color="auto"/>
      </w:divBdr>
    </w:div>
    <w:div w:id="1783259799">
      <w:bodyDiv w:val="1"/>
      <w:marLeft w:val="0"/>
      <w:marRight w:val="0"/>
      <w:marTop w:val="0"/>
      <w:marBottom w:val="0"/>
      <w:divBdr>
        <w:top w:val="none" w:sz="0" w:space="0" w:color="auto"/>
        <w:left w:val="none" w:sz="0" w:space="0" w:color="auto"/>
        <w:bottom w:val="none" w:sz="0" w:space="0" w:color="auto"/>
        <w:right w:val="none" w:sz="0" w:space="0" w:color="auto"/>
      </w:divBdr>
    </w:div>
    <w:div w:id="1793596698">
      <w:bodyDiv w:val="1"/>
      <w:marLeft w:val="0"/>
      <w:marRight w:val="0"/>
      <w:marTop w:val="0"/>
      <w:marBottom w:val="0"/>
      <w:divBdr>
        <w:top w:val="none" w:sz="0" w:space="0" w:color="auto"/>
        <w:left w:val="none" w:sz="0" w:space="0" w:color="auto"/>
        <w:bottom w:val="none" w:sz="0" w:space="0" w:color="auto"/>
        <w:right w:val="none" w:sz="0" w:space="0" w:color="auto"/>
      </w:divBdr>
    </w:div>
    <w:div w:id="1805347546">
      <w:bodyDiv w:val="1"/>
      <w:marLeft w:val="0"/>
      <w:marRight w:val="0"/>
      <w:marTop w:val="0"/>
      <w:marBottom w:val="0"/>
      <w:divBdr>
        <w:top w:val="none" w:sz="0" w:space="0" w:color="auto"/>
        <w:left w:val="none" w:sz="0" w:space="0" w:color="auto"/>
        <w:bottom w:val="none" w:sz="0" w:space="0" w:color="auto"/>
        <w:right w:val="none" w:sz="0" w:space="0" w:color="auto"/>
      </w:divBdr>
    </w:div>
    <w:div w:id="1812361654">
      <w:bodyDiv w:val="1"/>
      <w:marLeft w:val="0"/>
      <w:marRight w:val="0"/>
      <w:marTop w:val="0"/>
      <w:marBottom w:val="0"/>
      <w:divBdr>
        <w:top w:val="none" w:sz="0" w:space="0" w:color="auto"/>
        <w:left w:val="none" w:sz="0" w:space="0" w:color="auto"/>
        <w:bottom w:val="none" w:sz="0" w:space="0" w:color="auto"/>
        <w:right w:val="none" w:sz="0" w:space="0" w:color="auto"/>
      </w:divBdr>
    </w:div>
    <w:div w:id="1813524050">
      <w:bodyDiv w:val="1"/>
      <w:marLeft w:val="0"/>
      <w:marRight w:val="0"/>
      <w:marTop w:val="0"/>
      <w:marBottom w:val="0"/>
      <w:divBdr>
        <w:top w:val="none" w:sz="0" w:space="0" w:color="auto"/>
        <w:left w:val="none" w:sz="0" w:space="0" w:color="auto"/>
        <w:bottom w:val="none" w:sz="0" w:space="0" w:color="auto"/>
        <w:right w:val="none" w:sz="0" w:space="0" w:color="auto"/>
      </w:divBdr>
    </w:div>
    <w:div w:id="1824276074">
      <w:bodyDiv w:val="1"/>
      <w:marLeft w:val="0"/>
      <w:marRight w:val="0"/>
      <w:marTop w:val="0"/>
      <w:marBottom w:val="0"/>
      <w:divBdr>
        <w:top w:val="none" w:sz="0" w:space="0" w:color="auto"/>
        <w:left w:val="none" w:sz="0" w:space="0" w:color="auto"/>
        <w:bottom w:val="none" w:sz="0" w:space="0" w:color="auto"/>
        <w:right w:val="none" w:sz="0" w:space="0" w:color="auto"/>
      </w:divBdr>
    </w:div>
    <w:div w:id="1835291807">
      <w:bodyDiv w:val="1"/>
      <w:marLeft w:val="0"/>
      <w:marRight w:val="0"/>
      <w:marTop w:val="0"/>
      <w:marBottom w:val="0"/>
      <w:divBdr>
        <w:top w:val="none" w:sz="0" w:space="0" w:color="auto"/>
        <w:left w:val="none" w:sz="0" w:space="0" w:color="auto"/>
        <w:bottom w:val="none" w:sz="0" w:space="0" w:color="auto"/>
        <w:right w:val="none" w:sz="0" w:space="0" w:color="auto"/>
      </w:divBdr>
    </w:div>
    <w:div w:id="1841387902">
      <w:bodyDiv w:val="1"/>
      <w:marLeft w:val="0"/>
      <w:marRight w:val="0"/>
      <w:marTop w:val="0"/>
      <w:marBottom w:val="0"/>
      <w:divBdr>
        <w:top w:val="none" w:sz="0" w:space="0" w:color="auto"/>
        <w:left w:val="none" w:sz="0" w:space="0" w:color="auto"/>
        <w:bottom w:val="none" w:sz="0" w:space="0" w:color="auto"/>
        <w:right w:val="none" w:sz="0" w:space="0" w:color="auto"/>
      </w:divBdr>
    </w:div>
    <w:div w:id="1854219065">
      <w:bodyDiv w:val="1"/>
      <w:marLeft w:val="0"/>
      <w:marRight w:val="0"/>
      <w:marTop w:val="0"/>
      <w:marBottom w:val="0"/>
      <w:divBdr>
        <w:top w:val="none" w:sz="0" w:space="0" w:color="auto"/>
        <w:left w:val="none" w:sz="0" w:space="0" w:color="auto"/>
        <w:bottom w:val="none" w:sz="0" w:space="0" w:color="auto"/>
        <w:right w:val="none" w:sz="0" w:space="0" w:color="auto"/>
      </w:divBdr>
    </w:div>
    <w:div w:id="1872910113">
      <w:bodyDiv w:val="1"/>
      <w:marLeft w:val="0"/>
      <w:marRight w:val="0"/>
      <w:marTop w:val="0"/>
      <w:marBottom w:val="0"/>
      <w:divBdr>
        <w:top w:val="none" w:sz="0" w:space="0" w:color="auto"/>
        <w:left w:val="none" w:sz="0" w:space="0" w:color="auto"/>
        <w:bottom w:val="none" w:sz="0" w:space="0" w:color="auto"/>
        <w:right w:val="none" w:sz="0" w:space="0" w:color="auto"/>
      </w:divBdr>
    </w:div>
    <w:div w:id="1873882192">
      <w:bodyDiv w:val="1"/>
      <w:marLeft w:val="0"/>
      <w:marRight w:val="0"/>
      <w:marTop w:val="0"/>
      <w:marBottom w:val="0"/>
      <w:divBdr>
        <w:top w:val="none" w:sz="0" w:space="0" w:color="auto"/>
        <w:left w:val="none" w:sz="0" w:space="0" w:color="auto"/>
        <w:bottom w:val="none" w:sz="0" w:space="0" w:color="auto"/>
        <w:right w:val="none" w:sz="0" w:space="0" w:color="auto"/>
      </w:divBdr>
    </w:div>
    <w:div w:id="1888834961">
      <w:bodyDiv w:val="1"/>
      <w:marLeft w:val="0"/>
      <w:marRight w:val="0"/>
      <w:marTop w:val="0"/>
      <w:marBottom w:val="0"/>
      <w:divBdr>
        <w:top w:val="none" w:sz="0" w:space="0" w:color="auto"/>
        <w:left w:val="none" w:sz="0" w:space="0" w:color="auto"/>
        <w:bottom w:val="none" w:sz="0" w:space="0" w:color="auto"/>
        <w:right w:val="none" w:sz="0" w:space="0" w:color="auto"/>
      </w:divBdr>
    </w:div>
    <w:div w:id="1925456079">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3874655">
      <w:bodyDiv w:val="1"/>
      <w:marLeft w:val="0"/>
      <w:marRight w:val="0"/>
      <w:marTop w:val="0"/>
      <w:marBottom w:val="0"/>
      <w:divBdr>
        <w:top w:val="none" w:sz="0" w:space="0" w:color="auto"/>
        <w:left w:val="none" w:sz="0" w:space="0" w:color="auto"/>
        <w:bottom w:val="none" w:sz="0" w:space="0" w:color="auto"/>
        <w:right w:val="none" w:sz="0" w:space="0" w:color="auto"/>
      </w:divBdr>
    </w:div>
    <w:div w:id="1947082482">
      <w:bodyDiv w:val="1"/>
      <w:marLeft w:val="0"/>
      <w:marRight w:val="0"/>
      <w:marTop w:val="0"/>
      <w:marBottom w:val="0"/>
      <w:divBdr>
        <w:top w:val="none" w:sz="0" w:space="0" w:color="auto"/>
        <w:left w:val="none" w:sz="0" w:space="0" w:color="auto"/>
        <w:bottom w:val="none" w:sz="0" w:space="0" w:color="auto"/>
        <w:right w:val="none" w:sz="0" w:space="0" w:color="auto"/>
      </w:divBdr>
    </w:div>
    <w:div w:id="1954241456">
      <w:bodyDiv w:val="1"/>
      <w:marLeft w:val="0"/>
      <w:marRight w:val="0"/>
      <w:marTop w:val="0"/>
      <w:marBottom w:val="0"/>
      <w:divBdr>
        <w:top w:val="none" w:sz="0" w:space="0" w:color="auto"/>
        <w:left w:val="none" w:sz="0" w:space="0" w:color="auto"/>
        <w:bottom w:val="none" w:sz="0" w:space="0" w:color="auto"/>
        <w:right w:val="none" w:sz="0" w:space="0" w:color="auto"/>
      </w:divBdr>
    </w:div>
    <w:div w:id="1973512676">
      <w:bodyDiv w:val="1"/>
      <w:marLeft w:val="0"/>
      <w:marRight w:val="0"/>
      <w:marTop w:val="0"/>
      <w:marBottom w:val="0"/>
      <w:divBdr>
        <w:top w:val="none" w:sz="0" w:space="0" w:color="auto"/>
        <w:left w:val="none" w:sz="0" w:space="0" w:color="auto"/>
        <w:bottom w:val="none" w:sz="0" w:space="0" w:color="auto"/>
        <w:right w:val="none" w:sz="0" w:space="0" w:color="auto"/>
      </w:divBdr>
    </w:div>
    <w:div w:id="1988893495">
      <w:bodyDiv w:val="1"/>
      <w:marLeft w:val="0"/>
      <w:marRight w:val="0"/>
      <w:marTop w:val="0"/>
      <w:marBottom w:val="0"/>
      <w:divBdr>
        <w:top w:val="none" w:sz="0" w:space="0" w:color="auto"/>
        <w:left w:val="none" w:sz="0" w:space="0" w:color="auto"/>
        <w:bottom w:val="none" w:sz="0" w:space="0" w:color="auto"/>
        <w:right w:val="none" w:sz="0" w:space="0" w:color="auto"/>
      </w:divBdr>
    </w:div>
    <w:div w:id="1993869394">
      <w:bodyDiv w:val="1"/>
      <w:marLeft w:val="0"/>
      <w:marRight w:val="0"/>
      <w:marTop w:val="0"/>
      <w:marBottom w:val="0"/>
      <w:divBdr>
        <w:top w:val="none" w:sz="0" w:space="0" w:color="auto"/>
        <w:left w:val="none" w:sz="0" w:space="0" w:color="auto"/>
        <w:bottom w:val="none" w:sz="0" w:space="0" w:color="auto"/>
        <w:right w:val="none" w:sz="0" w:space="0" w:color="auto"/>
      </w:divBdr>
    </w:div>
    <w:div w:id="2007174033">
      <w:bodyDiv w:val="1"/>
      <w:marLeft w:val="0"/>
      <w:marRight w:val="0"/>
      <w:marTop w:val="0"/>
      <w:marBottom w:val="0"/>
      <w:divBdr>
        <w:top w:val="none" w:sz="0" w:space="0" w:color="auto"/>
        <w:left w:val="none" w:sz="0" w:space="0" w:color="auto"/>
        <w:bottom w:val="none" w:sz="0" w:space="0" w:color="auto"/>
        <w:right w:val="none" w:sz="0" w:space="0" w:color="auto"/>
      </w:divBdr>
    </w:div>
    <w:div w:id="2044011308">
      <w:bodyDiv w:val="1"/>
      <w:marLeft w:val="0"/>
      <w:marRight w:val="0"/>
      <w:marTop w:val="0"/>
      <w:marBottom w:val="0"/>
      <w:divBdr>
        <w:top w:val="none" w:sz="0" w:space="0" w:color="auto"/>
        <w:left w:val="none" w:sz="0" w:space="0" w:color="auto"/>
        <w:bottom w:val="none" w:sz="0" w:space="0" w:color="auto"/>
        <w:right w:val="none" w:sz="0" w:space="0" w:color="auto"/>
      </w:divBdr>
    </w:div>
    <w:div w:id="2051876009">
      <w:bodyDiv w:val="1"/>
      <w:marLeft w:val="0"/>
      <w:marRight w:val="0"/>
      <w:marTop w:val="0"/>
      <w:marBottom w:val="0"/>
      <w:divBdr>
        <w:top w:val="none" w:sz="0" w:space="0" w:color="auto"/>
        <w:left w:val="none" w:sz="0" w:space="0" w:color="auto"/>
        <w:bottom w:val="none" w:sz="0" w:space="0" w:color="auto"/>
        <w:right w:val="none" w:sz="0" w:space="0" w:color="auto"/>
      </w:divBdr>
    </w:div>
    <w:div w:id="2052143006">
      <w:bodyDiv w:val="1"/>
      <w:marLeft w:val="0"/>
      <w:marRight w:val="0"/>
      <w:marTop w:val="0"/>
      <w:marBottom w:val="0"/>
      <w:divBdr>
        <w:top w:val="none" w:sz="0" w:space="0" w:color="auto"/>
        <w:left w:val="none" w:sz="0" w:space="0" w:color="auto"/>
        <w:bottom w:val="none" w:sz="0" w:space="0" w:color="auto"/>
        <w:right w:val="none" w:sz="0" w:space="0" w:color="auto"/>
      </w:divBdr>
    </w:div>
    <w:div w:id="2056654865">
      <w:bodyDiv w:val="1"/>
      <w:marLeft w:val="0"/>
      <w:marRight w:val="0"/>
      <w:marTop w:val="0"/>
      <w:marBottom w:val="0"/>
      <w:divBdr>
        <w:top w:val="none" w:sz="0" w:space="0" w:color="auto"/>
        <w:left w:val="none" w:sz="0" w:space="0" w:color="auto"/>
        <w:bottom w:val="none" w:sz="0" w:space="0" w:color="auto"/>
        <w:right w:val="none" w:sz="0" w:space="0" w:color="auto"/>
      </w:divBdr>
    </w:div>
    <w:div w:id="2080706642">
      <w:bodyDiv w:val="1"/>
      <w:marLeft w:val="0"/>
      <w:marRight w:val="0"/>
      <w:marTop w:val="0"/>
      <w:marBottom w:val="0"/>
      <w:divBdr>
        <w:top w:val="none" w:sz="0" w:space="0" w:color="auto"/>
        <w:left w:val="none" w:sz="0" w:space="0" w:color="auto"/>
        <w:bottom w:val="none" w:sz="0" w:space="0" w:color="auto"/>
        <w:right w:val="none" w:sz="0" w:space="0" w:color="auto"/>
      </w:divBdr>
    </w:div>
    <w:div w:id="2088116176">
      <w:bodyDiv w:val="1"/>
      <w:marLeft w:val="0"/>
      <w:marRight w:val="0"/>
      <w:marTop w:val="0"/>
      <w:marBottom w:val="0"/>
      <w:divBdr>
        <w:top w:val="none" w:sz="0" w:space="0" w:color="auto"/>
        <w:left w:val="none" w:sz="0" w:space="0" w:color="auto"/>
        <w:bottom w:val="none" w:sz="0" w:space="0" w:color="auto"/>
        <w:right w:val="none" w:sz="0" w:space="0" w:color="auto"/>
      </w:divBdr>
    </w:div>
    <w:div w:id="2095542981">
      <w:bodyDiv w:val="1"/>
      <w:marLeft w:val="0"/>
      <w:marRight w:val="0"/>
      <w:marTop w:val="0"/>
      <w:marBottom w:val="0"/>
      <w:divBdr>
        <w:top w:val="none" w:sz="0" w:space="0" w:color="auto"/>
        <w:left w:val="none" w:sz="0" w:space="0" w:color="auto"/>
        <w:bottom w:val="none" w:sz="0" w:space="0" w:color="auto"/>
        <w:right w:val="none" w:sz="0" w:space="0" w:color="auto"/>
      </w:divBdr>
    </w:div>
    <w:div w:id="2097747123">
      <w:bodyDiv w:val="1"/>
      <w:marLeft w:val="0"/>
      <w:marRight w:val="0"/>
      <w:marTop w:val="0"/>
      <w:marBottom w:val="0"/>
      <w:divBdr>
        <w:top w:val="none" w:sz="0" w:space="0" w:color="auto"/>
        <w:left w:val="none" w:sz="0" w:space="0" w:color="auto"/>
        <w:bottom w:val="none" w:sz="0" w:space="0" w:color="auto"/>
        <w:right w:val="none" w:sz="0" w:space="0" w:color="auto"/>
      </w:divBdr>
    </w:div>
    <w:div w:id="2109424081">
      <w:bodyDiv w:val="1"/>
      <w:marLeft w:val="0"/>
      <w:marRight w:val="0"/>
      <w:marTop w:val="0"/>
      <w:marBottom w:val="0"/>
      <w:divBdr>
        <w:top w:val="none" w:sz="0" w:space="0" w:color="auto"/>
        <w:left w:val="none" w:sz="0" w:space="0" w:color="auto"/>
        <w:bottom w:val="none" w:sz="0" w:space="0" w:color="auto"/>
        <w:right w:val="none" w:sz="0" w:space="0" w:color="auto"/>
      </w:divBdr>
    </w:div>
    <w:div w:id="2119174134">
      <w:bodyDiv w:val="1"/>
      <w:marLeft w:val="0"/>
      <w:marRight w:val="0"/>
      <w:marTop w:val="0"/>
      <w:marBottom w:val="0"/>
      <w:divBdr>
        <w:top w:val="none" w:sz="0" w:space="0" w:color="auto"/>
        <w:left w:val="none" w:sz="0" w:space="0" w:color="auto"/>
        <w:bottom w:val="none" w:sz="0" w:space="0" w:color="auto"/>
        <w:right w:val="none" w:sz="0" w:space="0" w:color="auto"/>
      </w:divBdr>
    </w:div>
    <w:div w:id="2123839246">
      <w:bodyDiv w:val="1"/>
      <w:marLeft w:val="0"/>
      <w:marRight w:val="0"/>
      <w:marTop w:val="0"/>
      <w:marBottom w:val="0"/>
      <w:divBdr>
        <w:top w:val="none" w:sz="0" w:space="0" w:color="auto"/>
        <w:left w:val="none" w:sz="0" w:space="0" w:color="auto"/>
        <w:bottom w:val="none" w:sz="0" w:space="0" w:color="auto"/>
        <w:right w:val="none" w:sz="0" w:space="0" w:color="auto"/>
      </w:divBdr>
    </w:div>
    <w:div w:id="2128700409">
      <w:bodyDiv w:val="1"/>
      <w:marLeft w:val="0"/>
      <w:marRight w:val="0"/>
      <w:marTop w:val="0"/>
      <w:marBottom w:val="0"/>
      <w:divBdr>
        <w:top w:val="none" w:sz="0" w:space="0" w:color="auto"/>
        <w:left w:val="none" w:sz="0" w:space="0" w:color="auto"/>
        <w:bottom w:val="none" w:sz="0" w:space="0" w:color="auto"/>
        <w:right w:val="none" w:sz="0" w:space="0" w:color="auto"/>
      </w:divBdr>
    </w:div>
    <w:div w:id="2142765519">
      <w:bodyDiv w:val="1"/>
      <w:marLeft w:val="0"/>
      <w:marRight w:val="0"/>
      <w:marTop w:val="0"/>
      <w:marBottom w:val="0"/>
      <w:divBdr>
        <w:top w:val="none" w:sz="0" w:space="0" w:color="auto"/>
        <w:left w:val="none" w:sz="0" w:space="0" w:color="auto"/>
        <w:bottom w:val="none" w:sz="0" w:space="0" w:color="auto"/>
        <w:right w:val="none" w:sz="0" w:space="0" w:color="auto"/>
      </w:divBdr>
    </w:div>
    <w:div w:id="21428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ervice@efunds.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9F464C-C8D4-4863-AD3E-D26EE3D7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17440</Words>
  <Characters>99409</Characters>
  <Application>Microsoft Office Word</Application>
  <DocSecurity>0</DocSecurity>
  <Lines>828</Lines>
  <Paragraphs>233</Paragraphs>
  <ScaleCrop>false</ScaleCrop>
  <Company>易方达基金管理有限公司</Company>
  <LinksUpToDate>false</LinksUpToDate>
  <CharactersWithSpaces>116616</CharactersWithSpaces>
  <SharedDoc>false</SharedDoc>
  <HLinks>
    <vt:vector size="168" baseType="variant">
      <vt:variant>
        <vt:i4>1704044</vt:i4>
      </vt:variant>
      <vt:variant>
        <vt:i4>186</vt:i4>
      </vt:variant>
      <vt:variant>
        <vt:i4>0</vt:i4>
      </vt:variant>
      <vt:variant>
        <vt:i4>5</vt:i4>
      </vt:variant>
      <vt:variant>
        <vt:lpwstr>mailto:service@efunds.com.cn</vt:lpwstr>
      </vt:variant>
      <vt:variant>
        <vt:lpwstr/>
      </vt:variant>
      <vt:variant>
        <vt:i4>6160454</vt:i4>
      </vt:variant>
      <vt:variant>
        <vt:i4>183</vt:i4>
      </vt:variant>
      <vt:variant>
        <vt:i4>0</vt:i4>
      </vt:variant>
      <vt:variant>
        <vt:i4>5</vt:i4>
      </vt:variant>
      <vt:variant>
        <vt:lpwstr>http://www.efunds.com.cn/</vt:lpwstr>
      </vt:variant>
      <vt:variant>
        <vt:lpwstr/>
      </vt:variant>
      <vt:variant>
        <vt:i4>1376308</vt:i4>
      </vt:variant>
      <vt:variant>
        <vt:i4>152</vt:i4>
      </vt:variant>
      <vt:variant>
        <vt:i4>0</vt:i4>
      </vt:variant>
      <vt:variant>
        <vt:i4>5</vt:i4>
      </vt:variant>
      <vt:variant>
        <vt:lpwstr/>
      </vt:variant>
      <vt:variant>
        <vt:lpwstr>_Toc466468086</vt:lpwstr>
      </vt:variant>
      <vt:variant>
        <vt:i4>1376308</vt:i4>
      </vt:variant>
      <vt:variant>
        <vt:i4>146</vt:i4>
      </vt:variant>
      <vt:variant>
        <vt:i4>0</vt:i4>
      </vt:variant>
      <vt:variant>
        <vt:i4>5</vt:i4>
      </vt:variant>
      <vt:variant>
        <vt:lpwstr/>
      </vt:variant>
      <vt:variant>
        <vt:lpwstr>_Toc466468085</vt:lpwstr>
      </vt:variant>
      <vt:variant>
        <vt:i4>1376308</vt:i4>
      </vt:variant>
      <vt:variant>
        <vt:i4>140</vt:i4>
      </vt:variant>
      <vt:variant>
        <vt:i4>0</vt:i4>
      </vt:variant>
      <vt:variant>
        <vt:i4>5</vt:i4>
      </vt:variant>
      <vt:variant>
        <vt:lpwstr/>
      </vt:variant>
      <vt:variant>
        <vt:lpwstr>_Toc466468084</vt:lpwstr>
      </vt:variant>
      <vt:variant>
        <vt:i4>1376308</vt:i4>
      </vt:variant>
      <vt:variant>
        <vt:i4>134</vt:i4>
      </vt:variant>
      <vt:variant>
        <vt:i4>0</vt:i4>
      </vt:variant>
      <vt:variant>
        <vt:i4>5</vt:i4>
      </vt:variant>
      <vt:variant>
        <vt:lpwstr/>
      </vt:variant>
      <vt:variant>
        <vt:lpwstr>_Toc466468083</vt:lpwstr>
      </vt:variant>
      <vt:variant>
        <vt:i4>1376308</vt:i4>
      </vt:variant>
      <vt:variant>
        <vt:i4>128</vt:i4>
      </vt:variant>
      <vt:variant>
        <vt:i4>0</vt:i4>
      </vt:variant>
      <vt:variant>
        <vt:i4>5</vt:i4>
      </vt:variant>
      <vt:variant>
        <vt:lpwstr/>
      </vt:variant>
      <vt:variant>
        <vt:lpwstr>_Toc466468082</vt:lpwstr>
      </vt:variant>
      <vt:variant>
        <vt:i4>1376308</vt:i4>
      </vt:variant>
      <vt:variant>
        <vt:i4>122</vt:i4>
      </vt:variant>
      <vt:variant>
        <vt:i4>0</vt:i4>
      </vt:variant>
      <vt:variant>
        <vt:i4>5</vt:i4>
      </vt:variant>
      <vt:variant>
        <vt:lpwstr/>
      </vt:variant>
      <vt:variant>
        <vt:lpwstr>_Toc466468081</vt:lpwstr>
      </vt:variant>
      <vt:variant>
        <vt:i4>1376308</vt:i4>
      </vt:variant>
      <vt:variant>
        <vt:i4>116</vt:i4>
      </vt:variant>
      <vt:variant>
        <vt:i4>0</vt:i4>
      </vt:variant>
      <vt:variant>
        <vt:i4>5</vt:i4>
      </vt:variant>
      <vt:variant>
        <vt:lpwstr/>
      </vt:variant>
      <vt:variant>
        <vt:lpwstr>_Toc466468080</vt:lpwstr>
      </vt:variant>
      <vt:variant>
        <vt:i4>1703988</vt:i4>
      </vt:variant>
      <vt:variant>
        <vt:i4>110</vt:i4>
      </vt:variant>
      <vt:variant>
        <vt:i4>0</vt:i4>
      </vt:variant>
      <vt:variant>
        <vt:i4>5</vt:i4>
      </vt:variant>
      <vt:variant>
        <vt:lpwstr/>
      </vt:variant>
      <vt:variant>
        <vt:lpwstr>_Toc466468079</vt:lpwstr>
      </vt:variant>
      <vt:variant>
        <vt:i4>1703988</vt:i4>
      </vt:variant>
      <vt:variant>
        <vt:i4>104</vt:i4>
      </vt:variant>
      <vt:variant>
        <vt:i4>0</vt:i4>
      </vt:variant>
      <vt:variant>
        <vt:i4>5</vt:i4>
      </vt:variant>
      <vt:variant>
        <vt:lpwstr/>
      </vt:variant>
      <vt:variant>
        <vt:lpwstr>_Toc466468078</vt:lpwstr>
      </vt:variant>
      <vt:variant>
        <vt:i4>1703988</vt:i4>
      </vt:variant>
      <vt:variant>
        <vt:i4>98</vt:i4>
      </vt:variant>
      <vt:variant>
        <vt:i4>0</vt:i4>
      </vt:variant>
      <vt:variant>
        <vt:i4>5</vt:i4>
      </vt:variant>
      <vt:variant>
        <vt:lpwstr/>
      </vt:variant>
      <vt:variant>
        <vt:lpwstr>_Toc466468077</vt:lpwstr>
      </vt:variant>
      <vt:variant>
        <vt:i4>1703988</vt:i4>
      </vt:variant>
      <vt:variant>
        <vt:i4>92</vt:i4>
      </vt:variant>
      <vt:variant>
        <vt:i4>0</vt:i4>
      </vt:variant>
      <vt:variant>
        <vt:i4>5</vt:i4>
      </vt:variant>
      <vt:variant>
        <vt:lpwstr/>
      </vt:variant>
      <vt:variant>
        <vt:lpwstr>_Toc466468076</vt:lpwstr>
      </vt:variant>
      <vt:variant>
        <vt:i4>1703988</vt:i4>
      </vt:variant>
      <vt:variant>
        <vt:i4>86</vt:i4>
      </vt:variant>
      <vt:variant>
        <vt:i4>0</vt:i4>
      </vt:variant>
      <vt:variant>
        <vt:i4>5</vt:i4>
      </vt:variant>
      <vt:variant>
        <vt:lpwstr/>
      </vt:variant>
      <vt:variant>
        <vt:lpwstr>_Toc466468075</vt:lpwstr>
      </vt:variant>
      <vt:variant>
        <vt:i4>1703988</vt:i4>
      </vt:variant>
      <vt:variant>
        <vt:i4>80</vt:i4>
      </vt:variant>
      <vt:variant>
        <vt:i4>0</vt:i4>
      </vt:variant>
      <vt:variant>
        <vt:i4>5</vt:i4>
      </vt:variant>
      <vt:variant>
        <vt:lpwstr/>
      </vt:variant>
      <vt:variant>
        <vt:lpwstr>_Toc466468074</vt:lpwstr>
      </vt:variant>
      <vt:variant>
        <vt:i4>1703988</vt:i4>
      </vt:variant>
      <vt:variant>
        <vt:i4>74</vt:i4>
      </vt:variant>
      <vt:variant>
        <vt:i4>0</vt:i4>
      </vt:variant>
      <vt:variant>
        <vt:i4>5</vt:i4>
      </vt:variant>
      <vt:variant>
        <vt:lpwstr/>
      </vt:variant>
      <vt:variant>
        <vt:lpwstr>_Toc466468073</vt:lpwstr>
      </vt:variant>
      <vt:variant>
        <vt:i4>1703988</vt:i4>
      </vt:variant>
      <vt:variant>
        <vt:i4>68</vt:i4>
      </vt:variant>
      <vt:variant>
        <vt:i4>0</vt:i4>
      </vt:variant>
      <vt:variant>
        <vt:i4>5</vt:i4>
      </vt:variant>
      <vt:variant>
        <vt:lpwstr/>
      </vt:variant>
      <vt:variant>
        <vt:lpwstr>_Toc466468072</vt:lpwstr>
      </vt:variant>
      <vt:variant>
        <vt:i4>1703988</vt:i4>
      </vt:variant>
      <vt:variant>
        <vt:i4>62</vt:i4>
      </vt:variant>
      <vt:variant>
        <vt:i4>0</vt:i4>
      </vt:variant>
      <vt:variant>
        <vt:i4>5</vt:i4>
      </vt:variant>
      <vt:variant>
        <vt:lpwstr/>
      </vt:variant>
      <vt:variant>
        <vt:lpwstr>_Toc466468071</vt:lpwstr>
      </vt:variant>
      <vt:variant>
        <vt:i4>1703988</vt:i4>
      </vt:variant>
      <vt:variant>
        <vt:i4>56</vt:i4>
      </vt:variant>
      <vt:variant>
        <vt:i4>0</vt:i4>
      </vt:variant>
      <vt:variant>
        <vt:i4>5</vt:i4>
      </vt:variant>
      <vt:variant>
        <vt:lpwstr/>
      </vt:variant>
      <vt:variant>
        <vt:lpwstr>_Toc466468070</vt:lpwstr>
      </vt:variant>
      <vt:variant>
        <vt:i4>1769524</vt:i4>
      </vt:variant>
      <vt:variant>
        <vt:i4>50</vt:i4>
      </vt:variant>
      <vt:variant>
        <vt:i4>0</vt:i4>
      </vt:variant>
      <vt:variant>
        <vt:i4>5</vt:i4>
      </vt:variant>
      <vt:variant>
        <vt:lpwstr/>
      </vt:variant>
      <vt:variant>
        <vt:lpwstr>_Toc466468069</vt:lpwstr>
      </vt:variant>
      <vt:variant>
        <vt:i4>1769524</vt:i4>
      </vt:variant>
      <vt:variant>
        <vt:i4>44</vt:i4>
      </vt:variant>
      <vt:variant>
        <vt:i4>0</vt:i4>
      </vt:variant>
      <vt:variant>
        <vt:i4>5</vt:i4>
      </vt:variant>
      <vt:variant>
        <vt:lpwstr/>
      </vt:variant>
      <vt:variant>
        <vt:lpwstr>_Toc466468068</vt:lpwstr>
      </vt:variant>
      <vt:variant>
        <vt:i4>1769524</vt:i4>
      </vt:variant>
      <vt:variant>
        <vt:i4>38</vt:i4>
      </vt:variant>
      <vt:variant>
        <vt:i4>0</vt:i4>
      </vt:variant>
      <vt:variant>
        <vt:i4>5</vt:i4>
      </vt:variant>
      <vt:variant>
        <vt:lpwstr/>
      </vt:variant>
      <vt:variant>
        <vt:lpwstr>_Toc466468067</vt:lpwstr>
      </vt:variant>
      <vt:variant>
        <vt:i4>1769524</vt:i4>
      </vt:variant>
      <vt:variant>
        <vt:i4>32</vt:i4>
      </vt:variant>
      <vt:variant>
        <vt:i4>0</vt:i4>
      </vt:variant>
      <vt:variant>
        <vt:i4>5</vt:i4>
      </vt:variant>
      <vt:variant>
        <vt:lpwstr/>
      </vt:variant>
      <vt:variant>
        <vt:lpwstr>_Toc466468066</vt:lpwstr>
      </vt:variant>
      <vt:variant>
        <vt:i4>1769524</vt:i4>
      </vt:variant>
      <vt:variant>
        <vt:i4>26</vt:i4>
      </vt:variant>
      <vt:variant>
        <vt:i4>0</vt:i4>
      </vt:variant>
      <vt:variant>
        <vt:i4>5</vt:i4>
      </vt:variant>
      <vt:variant>
        <vt:lpwstr/>
      </vt:variant>
      <vt:variant>
        <vt:lpwstr>_Toc466468065</vt:lpwstr>
      </vt:variant>
      <vt:variant>
        <vt:i4>1769524</vt:i4>
      </vt:variant>
      <vt:variant>
        <vt:i4>20</vt:i4>
      </vt:variant>
      <vt:variant>
        <vt:i4>0</vt:i4>
      </vt:variant>
      <vt:variant>
        <vt:i4>5</vt:i4>
      </vt:variant>
      <vt:variant>
        <vt:lpwstr/>
      </vt:variant>
      <vt:variant>
        <vt:lpwstr>_Toc466468064</vt:lpwstr>
      </vt:variant>
      <vt:variant>
        <vt:i4>1769524</vt:i4>
      </vt:variant>
      <vt:variant>
        <vt:i4>14</vt:i4>
      </vt:variant>
      <vt:variant>
        <vt:i4>0</vt:i4>
      </vt:variant>
      <vt:variant>
        <vt:i4>5</vt:i4>
      </vt:variant>
      <vt:variant>
        <vt:lpwstr/>
      </vt:variant>
      <vt:variant>
        <vt:lpwstr>_Toc466468063</vt:lpwstr>
      </vt:variant>
      <vt:variant>
        <vt:i4>1769524</vt:i4>
      </vt:variant>
      <vt:variant>
        <vt:i4>8</vt:i4>
      </vt:variant>
      <vt:variant>
        <vt:i4>0</vt:i4>
      </vt:variant>
      <vt:variant>
        <vt:i4>5</vt:i4>
      </vt:variant>
      <vt:variant>
        <vt:lpwstr/>
      </vt:variant>
      <vt:variant>
        <vt:lpwstr>_Toc466468062</vt:lpwstr>
      </vt:variant>
      <vt:variant>
        <vt:i4>1769524</vt:i4>
      </vt:variant>
      <vt:variant>
        <vt:i4>2</vt:i4>
      </vt:variant>
      <vt:variant>
        <vt:i4>0</vt:i4>
      </vt:variant>
      <vt:variant>
        <vt:i4>5</vt:i4>
      </vt:variant>
      <vt:variant>
        <vt:lpwstr/>
      </vt:variant>
      <vt:variant>
        <vt:lpwstr>_Toc466468061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杨敏</dc:creator>
  <cp:keywords/>
  <dc:description/>
  <cp:lastModifiedBy>陈红</cp:lastModifiedBy>
  <cp:revision>8</cp:revision>
  <cp:lastPrinted>2016-09-13T07:16:00Z</cp:lastPrinted>
  <dcterms:created xsi:type="dcterms:W3CDTF">2021-09-24T08:12:00Z</dcterms:created>
  <dcterms:modified xsi:type="dcterms:W3CDTF">2021-09-30T07:26:00Z</dcterms:modified>
</cp:coreProperties>
</file>