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5EAB" w14:textId="4485CA67" w:rsidR="00451095" w:rsidRPr="00451095" w:rsidRDefault="00451095" w:rsidP="00451095">
      <w:pPr>
        <w:widowControl/>
        <w:spacing w:afterLines="50" w:after="156" w:line="360" w:lineRule="auto"/>
        <w:jc w:val="center"/>
        <w:rPr>
          <w:rStyle w:val="awspan1"/>
          <w:b/>
          <w:bCs/>
          <w:sz w:val="36"/>
          <w:szCs w:val="36"/>
        </w:rPr>
      </w:pPr>
      <w:r w:rsidRPr="00451095">
        <w:rPr>
          <w:rStyle w:val="awspan1"/>
          <w:b/>
          <w:bCs/>
          <w:sz w:val="36"/>
          <w:szCs w:val="36"/>
        </w:rPr>
        <w:t>全国中小企业股份转让系统挂牌公司股票交易风险揭示书与北京证券交易所</w:t>
      </w:r>
      <w:r w:rsidR="004030B7">
        <w:rPr>
          <w:rStyle w:val="awspan1"/>
          <w:rFonts w:hint="eastAsia"/>
          <w:b/>
          <w:bCs/>
          <w:sz w:val="36"/>
          <w:szCs w:val="36"/>
        </w:rPr>
        <w:t>投资</w:t>
      </w:r>
      <w:r w:rsidRPr="00451095">
        <w:rPr>
          <w:rStyle w:val="awspan1"/>
          <w:b/>
          <w:bCs/>
          <w:sz w:val="36"/>
          <w:szCs w:val="36"/>
        </w:rPr>
        <w:t>风险揭示书</w:t>
      </w:r>
    </w:p>
    <w:p w14:paraId="5EA33F20" w14:textId="732DE61A" w:rsidR="00941074" w:rsidRDefault="00620E3F">
      <w:pPr>
        <w:widowControl/>
        <w:spacing w:line="360" w:lineRule="auto"/>
        <w:jc w:val="left"/>
        <w:rPr>
          <w:rFonts w:ascii="仿宋" w:eastAsia="仿宋" w:hAnsi="仿宋"/>
          <w:sz w:val="30"/>
          <w:szCs w:val="30"/>
        </w:rPr>
      </w:pPr>
      <w:r>
        <w:rPr>
          <w:rFonts w:ascii="仿宋" w:eastAsia="仿宋" w:hAnsi="仿宋" w:hint="eastAsia"/>
          <w:sz w:val="30"/>
          <w:szCs w:val="30"/>
        </w:rPr>
        <w:t>尊敬的投资者：</w:t>
      </w:r>
    </w:p>
    <w:p w14:paraId="37B99102" w14:textId="43C64813" w:rsidR="00941074" w:rsidRDefault="00620E3F">
      <w:pPr>
        <w:widowControl/>
        <w:spacing w:line="360" w:lineRule="auto"/>
        <w:ind w:firstLineChars="200" w:firstLine="600"/>
        <w:jc w:val="left"/>
        <w:rPr>
          <w:rFonts w:ascii="仿宋" w:eastAsia="仿宋" w:hAnsi="仿宋"/>
          <w:sz w:val="30"/>
          <w:szCs w:val="30"/>
          <w:highlight w:val="yellow"/>
        </w:rPr>
      </w:pPr>
      <w:r>
        <w:rPr>
          <w:rFonts w:ascii="仿宋" w:eastAsia="仿宋" w:hAnsi="仿宋" w:hint="eastAsia"/>
          <w:sz w:val="30"/>
          <w:szCs w:val="30"/>
        </w:rPr>
        <w:t>为了使您更好地了解全国中小企业股份转让系统（以下简称“全国股转系统”）挂牌公司股票交易的投资风险，根据《全国中小企业股份转让系统投资者适当性管理办法》的规定，本公司特向您提供《</w:t>
      </w:r>
      <w:r w:rsidR="002970E0" w:rsidRPr="002970E0">
        <w:rPr>
          <w:rFonts w:ascii="仿宋" w:eastAsia="仿宋" w:hAnsi="仿宋"/>
          <w:sz w:val="30"/>
          <w:szCs w:val="30"/>
        </w:rPr>
        <w:t>全国中小企业股份转让系统挂牌公司股票交易风险揭示书与北京证券交易所投资风险揭示书</w:t>
      </w:r>
      <w:r w:rsidR="002970E0">
        <w:rPr>
          <w:rFonts w:ascii="仿宋" w:eastAsia="仿宋" w:hAnsi="仿宋" w:hint="eastAsia"/>
          <w:sz w:val="30"/>
          <w:szCs w:val="30"/>
        </w:rPr>
        <w:t>》</w:t>
      </w:r>
      <w:r>
        <w:rPr>
          <w:rFonts w:ascii="仿宋" w:eastAsia="仿宋" w:hAnsi="仿宋" w:hint="eastAsia"/>
          <w:sz w:val="30"/>
          <w:szCs w:val="30"/>
        </w:rPr>
        <w:t>，揭示参与挂牌公司股票交易存在的风险，请您认真阅读并签署。</w:t>
      </w:r>
    </w:p>
    <w:p w14:paraId="64FCC028" w14:textId="77777777" w:rsidR="00941074" w:rsidRDefault="00620E3F">
      <w:pPr>
        <w:widowControl/>
        <w:spacing w:line="360" w:lineRule="auto"/>
        <w:ind w:firstLine="556"/>
        <w:jc w:val="left"/>
        <w:rPr>
          <w:rFonts w:ascii="黑体" w:eastAsia="黑体" w:hAnsi="黑体"/>
          <w:bCs/>
          <w:sz w:val="30"/>
          <w:szCs w:val="30"/>
        </w:rPr>
      </w:pPr>
      <w:r>
        <w:rPr>
          <w:rFonts w:ascii="黑体" w:eastAsia="黑体" w:hAnsi="黑体" w:hint="eastAsia"/>
          <w:bCs/>
          <w:sz w:val="30"/>
          <w:szCs w:val="30"/>
        </w:rPr>
        <w:t>一、重要提示</w:t>
      </w:r>
    </w:p>
    <w:p w14:paraId="4F64B4D8"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.全国股</w:t>
      </w:r>
      <w:proofErr w:type="gramStart"/>
      <w:r>
        <w:rPr>
          <w:rFonts w:ascii="仿宋" w:eastAsia="仿宋" w:hAnsi="仿宋" w:hint="eastAsia"/>
          <w:sz w:val="30"/>
          <w:szCs w:val="30"/>
        </w:rPr>
        <w:t>转系统</w:t>
      </w:r>
      <w:proofErr w:type="gramEnd"/>
      <w:r>
        <w:rPr>
          <w:rFonts w:ascii="仿宋" w:eastAsia="仿宋" w:hAnsi="仿宋" w:hint="eastAsia"/>
          <w:sz w:val="30"/>
          <w:szCs w:val="30"/>
        </w:rPr>
        <w:t>的制度规则与上海、深圳证券交易所的制度规则存在较大差别。在参与挂牌公司股票交易之前，请您务必认真阅读《全国中小企业股份转让系统业务规则（试行）》等有关业务规则、细则、指引和通知。</w:t>
      </w:r>
    </w:p>
    <w:p w14:paraId="657A950A"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.全国股</w:t>
      </w:r>
      <w:proofErr w:type="gramStart"/>
      <w:r>
        <w:rPr>
          <w:rFonts w:ascii="仿宋" w:eastAsia="仿宋" w:hAnsi="仿宋" w:hint="eastAsia"/>
          <w:sz w:val="30"/>
          <w:szCs w:val="30"/>
        </w:rPr>
        <w:t>转系统</w:t>
      </w:r>
      <w:proofErr w:type="gramEnd"/>
      <w:r>
        <w:rPr>
          <w:rFonts w:ascii="仿宋" w:eastAsia="仿宋" w:hAnsi="仿宋" w:hint="eastAsia"/>
          <w:sz w:val="30"/>
          <w:szCs w:val="30"/>
        </w:rPr>
        <w:t>是经国务院批准设立的全国性证券交易场所，为挂牌公司提供股票交易服务，作为全新的市场，相关制度规则还需要不断修订和完善，请您务必密切关注相关制度调整。</w:t>
      </w:r>
    </w:p>
    <w:p w14:paraId="2AB480EB"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.全国股</w:t>
      </w:r>
      <w:proofErr w:type="gramStart"/>
      <w:r>
        <w:rPr>
          <w:rFonts w:ascii="仿宋" w:eastAsia="仿宋" w:hAnsi="仿宋" w:hint="eastAsia"/>
          <w:sz w:val="30"/>
          <w:szCs w:val="30"/>
        </w:rPr>
        <w:t>转系统</w:t>
      </w:r>
      <w:proofErr w:type="gramEnd"/>
      <w:r>
        <w:rPr>
          <w:rFonts w:ascii="仿宋" w:eastAsia="仿宋" w:hAnsi="仿宋" w:hint="eastAsia"/>
          <w:sz w:val="30"/>
          <w:szCs w:val="30"/>
        </w:rPr>
        <w:t>的挂牌公司是根据《非上市公众公司监督管理办法》《全国中小企业股份转让系统业务规则（试行）》的规定，经全国中小企业股份转让系统有限责任公司（以下简称“全国股转公司”）审查同意，中国证券监督管理委员会（以下简称“中国证监会”）核准后，</w:t>
      </w:r>
      <w:r>
        <w:rPr>
          <w:rFonts w:ascii="仿宋" w:eastAsia="仿宋" w:hAnsi="仿宋" w:hint="eastAsia"/>
          <w:sz w:val="30"/>
          <w:szCs w:val="30"/>
        </w:rPr>
        <w:lastRenderedPageBreak/>
        <w:t>股票在全国股</w:t>
      </w:r>
      <w:proofErr w:type="gramStart"/>
      <w:r>
        <w:rPr>
          <w:rFonts w:ascii="仿宋" w:eastAsia="仿宋" w:hAnsi="仿宋" w:hint="eastAsia"/>
          <w:sz w:val="30"/>
          <w:szCs w:val="30"/>
        </w:rPr>
        <w:t>转系统</w:t>
      </w:r>
      <w:proofErr w:type="gramEnd"/>
      <w:r>
        <w:rPr>
          <w:rFonts w:ascii="仿宋" w:eastAsia="仿宋" w:hAnsi="仿宋" w:hint="eastAsia"/>
          <w:sz w:val="30"/>
          <w:szCs w:val="30"/>
        </w:rPr>
        <w:t>挂牌交易的非上市公众公司，公司股东人数可以超过</w:t>
      </w:r>
      <w:r>
        <w:rPr>
          <w:rFonts w:ascii="仿宋" w:eastAsia="仿宋" w:hAnsi="仿宋"/>
          <w:sz w:val="30"/>
          <w:szCs w:val="30"/>
        </w:rPr>
        <w:t>200</w:t>
      </w:r>
      <w:r>
        <w:rPr>
          <w:rFonts w:ascii="仿宋" w:eastAsia="仿宋" w:hAnsi="仿宋" w:hint="eastAsia"/>
          <w:sz w:val="30"/>
          <w:szCs w:val="30"/>
        </w:rPr>
        <w:t>人。</w:t>
      </w:r>
    </w:p>
    <w:p w14:paraId="69C27A81"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中国证监会和全国股转公司不对挂牌公司的投资价值及投资者的收益</w:t>
      </w:r>
      <w:proofErr w:type="gramStart"/>
      <w:r>
        <w:rPr>
          <w:rFonts w:ascii="仿宋" w:eastAsia="仿宋" w:hAnsi="仿宋" w:hint="eastAsia"/>
          <w:sz w:val="30"/>
          <w:szCs w:val="30"/>
        </w:rPr>
        <w:t>作出</w:t>
      </w:r>
      <w:proofErr w:type="gramEnd"/>
      <w:r>
        <w:rPr>
          <w:rFonts w:ascii="仿宋" w:eastAsia="仿宋" w:hAnsi="仿宋" w:hint="eastAsia"/>
          <w:sz w:val="30"/>
          <w:szCs w:val="30"/>
        </w:rPr>
        <w:t>实质性判断或者保证。</w:t>
      </w:r>
    </w:p>
    <w:p w14:paraId="64E29D79"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4.全国股</w:t>
      </w:r>
      <w:proofErr w:type="gramStart"/>
      <w:r>
        <w:rPr>
          <w:rFonts w:ascii="仿宋" w:eastAsia="仿宋" w:hAnsi="仿宋" w:hint="eastAsia"/>
          <w:sz w:val="30"/>
          <w:szCs w:val="30"/>
        </w:rPr>
        <w:t>转系统</w:t>
      </w:r>
      <w:proofErr w:type="gramEnd"/>
      <w:r>
        <w:rPr>
          <w:rFonts w:ascii="仿宋" w:eastAsia="仿宋" w:hAnsi="仿宋" w:hint="eastAsia"/>
          <w:sz w:val="30"/>
          <w:szCs w:val="30"/>
        </w:rPr>
        <w:t>挂牌公司的信息披露要求与上市公司存在差异。主办券商负责指导和督促挂牌公司规范履行信息披露义务，挂牌公司及</w:t>
      </w:r>
      <w:r>
        <w:rPr>
          <w:rFonts w:ascii="仿宋" w:eastAsia="仿宋" w:hAnsi="仿宋"/>
          <w:sz w:val="30"/>
          <w:szCs w:val="30"/>
        </w:rPr>
        <w:t>其他信息披露义务人</w:t>
      </w:r>
      <w:r>
        <w:rPr>
          <w:rFonts w:ascii="仿宋" w:eastAsia="仿宋" w:hAnsi="仿宋" w:hint="eastAsia"/>
          <w:sz w:val="30"/>
          <w:szCs w:val="30"/>
        </w:rPr>
        <w:t>对其信息披露内容的真实、准确、完整负责。</w:t>
      </w:r>
    </w:p>
    <w:p w14:paraId="64C01966"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5.挂牌公司股票价格可能因多种原因发生波动，投资者应充分关注投资风险。本公司仅为投资者提供代理股票交易服务，对投资损失不承担任何责任。</w:t>
      </w:r>
    </w:p>
    <w:p w14:paraId="389B5438"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6.除全国股转公司规定的情形外，不符合参与新三板股票交易准入标准的投资者只能买卖其持有或曾持有的挂牌公司股票，不得委托买卖其他挂牌公司的股票。</w:t>
      </w:r>
    </w:p>
    <w:p w14:paraId="39FAACFB"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7.北京证券交易所</w:t>
      </w:r>
      <w:r>
        <w:rPr>
          <w:rFonts w:ascii="仿宋" w:eastAsia="仿宋" w:hAnsi="仿宋"/>
          <w:sz w:val="30"/>
          <w:szCs w:val="30"/>
        </w:rPr>
        <w:t>（以下简称“</w:t>
      </w:r>
      <w:r>
        <w:rPr>
          <w:rFonts w:ascii="仿宋" w:eastAsia="仿宋" w:hAnsi="仿宋" w:hint="eastAsia"/>
          <w:sz w:val="30"/>
          <w:szCs w:val="30"/>
        </w:rPr>
        <w:t>北交所</w:t>
      </w:r>
      <w:r>
        <w:rPr>
          <w:rFonts w:ascii="仿宋" w:eastAsia="仿宋" w:hAnsi="仿宋"/>
          <w:sz w:val="30"/>
          <w:szCs w:val="30"/>
        </w:rPr>
        <w:t>”）</w:t>
      </w:r>
      <w:r>
        <w:rPr>
          <w:rFonts w:ascii="仿宋" w:eastAsia="仿宋" w:hAnsi="仿宋" w:hint="eastAsia"/>
          <w:sz w:val="30"/>
          <w:szCs w:val="30"/>
        </w:rPr>
        <w:t>主要服务创新型中小企业，企业多处于成长期，规模可能偏小，往往具有依赖核心技术人员和供应商、客户集中度高、应对外部冲击能力较弱等特点，企业上市后的持续创新能力、收入及盈利水平等仍具有较大不确定性。</w:t>
      </w:r>
    </w:p>
    <w:p w14:paraId="60CADB58"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8.北交所设置四套上市标准，其中允许未盈利企业上市。因此可能存在企业向不特定合格投资者公开发行股票并在北交所上市时尚未盈利、有累计未弥补亏损等情形，以及在上市后仍无法盈利、持续亏损、无法进行利润分配等情况。</w:t>
      </w:r>
    </w:p>
    <w:p w14:paraId="614DA7B7"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9.北交所股票发行人发行承销过程中，出现预计发行后总市值无法满足招股文件所</w:t>
      </w:r>
      <w:proofErr w:type="gramStart"/>
      <w:r>
        <w:rPr>
          <w:rFonts w:ascii="仿宋" w:eastAsia="仿宋" w:hAnsi="仿宋" w:hint="eastAsia"/>
          <w:sz w:val="30"/>
          <w:szCs w:val="30"/>
        </w:rPr>
        <w:t>选上市</w:t>
      </w:r>
      <w:proofErr w:type="gramEnd"/>
      <w:r>
        <w:rPr>
          <w:rFonts w:ascii="仿宋" w:eastAsia="仿宋" w:hAnsi="仿宋" w:hint="eastAsia"/>
          <w:sz w:val="30"/>
          <w:szCs w:val="30"/>
        </w:rPr>
        <w:t>标准的，将按规定中止发行。</w:t>
      </w:r>
    </w:p>
    <w:p w14:paraId="7B281522"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lastRenderedPageBreak/>
        <w:t>10.投资者应关注北交所股票网上发行、回拨比例、申购单位、配售规则、投资风险特别公告发布等股票发行承销制度安排，在申购环节充分知悉相关风险。</w:t>
      </w:r>
    </w:p>
    <w:p w14:paraId="4BBFAAA5"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11.在北交所公开发行股票并上市时，发行人和主承销商可以采用超额配售选择权，即存在超额配售选择权实施结束后，发行人增发股票的可能性。</w:t>
      </w:r>
    </w:p>
    <w:p w14:paraId="130247FF"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12.投资者应关注北交所股票限售及减持的相关制度安排，充分知悉相关投资风险。</w:t>
      </w:r>
    </w:p>
    <w:p w14:paraId="5990C31F"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13.北交所允许上市公司存在表决权差异安排。根据此项安排，上市公司可能存在控制权相对集中，以及因每一特别表决权股份拥有的表决权数量大于每一普通股份拥有的表决权数量等情形，而使普通投资者的表决权利及对公司日常经营等事务的影响力受到限制。出现北交所上市规则及上市公司章程规定的情形时，特别表决权股份将按1:1的比例转换为普通股份，股份</w:t>
      </w:r>
      <w:proofErr w:type="gramStart"/>
      <w:r>
        <w:rPr>
          <w:rFonts w:ascii="仿宋" w:eastAsia="仿宋" w:hAnsi="仿宋" w:hint="eastAsia"/>
          <w:sz w:val="30"/>
          <w:szCs w:val="30"/>
        </w:rPr>
        <w:t>转换自</w:t>
      </w:r>
      <w:proofErr w:type="gramEnd"/>
      <w:r>
        <w:rPr>
          <w:rFonts w:ascii="仿宋" w:eastAsia="仿宋" w:hAnsi="仿宋" w:hint="eastAsia"/>
          <w:sz w:val="30"/>
          <w:szCs w:val="30"/>
        </w:rPr>
        <w:t>相关情形发生时生效，并可能与相关股份转换登记时点存在差异。投资者需及时关注上市公司相关公告，以了解特别表决权股份变动事宜。</w:t>
      </w:r>
    </w:p>
    <w:p w14:paraId="219A7306"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14.北交所股票交易具有盘中临时停牌情形，设有异常波动股票核查制度，投资者应当关注与此相关的风险。</w:t>
      </w:r>
    </w:p>
    <w:p w14:paraId="3D3B8333"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15.投资者应关注北交所股票交易的单笔申报数量、最小价格变动单位、有效申报价格范围等基本交易规则，避免产生无效申报。</w:t>
      </w:r>
    </w:p>
    <w:p w14:paraId="2F250316"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16.北交所证券相关法律、行政法规、部门规章、规范性文件（以下简称法律法规）和交易所业务规则，可能根据公开征求意见结果和</w:t>
      </w:r>
      <w:r>
        <w:rPr>
          <w:rFonts w:ascii="仿宋" w:eastAsia="仿宋" w:hAnsi="仿宋" w:hint="eastAsia"/>
          <w:sz w:val="30"/>
          <w:szCs w:val="30"/>
        </w:rPr>
        <w:lastRenderedPageBreak/>
        <w:t>市场情况进行修改，或者由相关部门制定新的法律法规和业务规则，投资者应当及时予以关注和了解。</w:t>
      </w:r>
    </w:p>
    <w:p w14:paraId="39F42860" w14:textId="77777777" w:rsidR="00941074" w:rsidRDefault="00620E3F">
      <w:pPr>
        <w:widowControl/>
        <w:spacing w:line="360" w:lineRule="auto"/>
        <w:ind w:firstLine="556"/>
        <w:jc w:val="left"/>
        <w:rPr>
          <w:rFonts w:ascii="黑体" w:eastAsia="黑体" w:hAnsi="黑体"/>
          <w:bCs/>
          <w:sz w:val="30"/>
          <w:szCs w:val="30"/>
        </w:rPr>
      </w:pPr>
      <w:r>
        <w:rPr>
          <w:rFonts w:ascii="黑体" w:eastAsia="黑体" w:hAnsi="黑体" w:hint="eastAsia"/>
          <w:bCs/>
          <w:sz w:val="30"/>
          <w:szCs w:val="30"/>
        </w:rPr>
        <w:t>二、风险揭示</w:t>
      </w:r>
    </w:p>
    <w:p w14:paraId="66BDCC5B"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参与挂牌公司股票交易，除股票投资的共有风险外，还应特别关注以下风险：</w:t>
      </w:r>
    </w:p>
    <w:p w14:paraId="1A55A4F7"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公司风险：部分挂牌公司具有规模较小，对单一技术依赖度较高，受技术更新换代影响较大；对核心技术人员依赖度较高；客户集中度高，议价能力不强等特点。部分公司抗市场风险和行业风险的能力较弱，业务收入可能波动较大。</w:t>
      </w:r>
    </w:p>
    <w:p w14:paraId="62A64C67"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.流动性风险：与上市公司相比，挂牌公司股权相对集中，市场整体流动性低于沪深证券交易所。</w:t>
      </w:r>
    </w:p>
    <w:p w14:paraId="20CDFFDC"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.信息风险：挂牌公司信息披露要求和标准与</w:t>
      </w:r>
      <w:r>
        <w:rPr>
          <w:rFonts w:ascii="仿宋" w:eastAsia="仿宋" w:hAnsi="仿宋"/>
          <w:sz w:val="30"/>
          <w:szCs w:val="30"/>
        </w:rPr>
        <w:t>上市公司</w:t>
      </w:r>
      <w:r>
        <w:rPr>
          <w:rFonts w:ascii="仿宋" w:eastAsia="仿宋" w:hAnsi="仿宋" w:hint="eastAsia"/>
          <w:sz w:val="30"/>
          <w:szCs w:val="30"/>
        </w:rPr>
        <w:t>存在</w:t>
      </w:r>
      <w:r>
        <w:rPr>
          <w:rFonts w:ascii="仿宋" w:eastAsia="仿宋" w:hAnsi="仿宋"/>
          <w:sz w:val="30"/>
          <w:szCs w:val="30"/>
        </w:rPr>
        <w:t>差异</w:t>
      </w:r>
      <w:r>
        <w:rPr>
          <w:rFonts w:ascii="仿宋" w:eastAsia="仿宋" w:hAnsi="仿宋" w:hint="eastAsia"/>
          <w:sz w:val="30"/>
          <w:szCs w:val="30"/>
        </w:rPr>
        <w:t>，除挂牌公司所披露的信息外，投资者还需认真获取和</w:t>
      </w:r>
      <w:proofErr w:type="gramStart"/>
      <w:r>
        <w:rPr>
          <w:rFonts w:ascii="仿宋" w:eastAsia="仿宋" w:hAnsi="仿宋" w:hint="eastAsia"/>
          <w:sz w:val="30"/>
          <w:szCs w:val="30"/>
        </w:rPr>
        <w:t>研判</w:t>
      </w:r>
      <w:proofErr w:type="gramEnd"/>
      <w:r>
        <w:rPr>
          <w:rFonts w:ascii="仿宋" w:eastAsia="仿宋" w:hAnsi="仿宋" w:hint="eastAsia"/>
          <w:sz w:val="30"/>
          <w:szCs w:val="30"/>
        </w:rPr>
        <w:t>其他信息，审慎做出投资决策。</w:t>
      </w:r>
    </w:p>
    <w:p w14:paraId="19DD58BE"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4.股价波动风险：北交所新股发行价格、发行时点、发行规模、发行节奏等坚持市场化导向。新股发行可以采用定价、询价、竞价三种方式，由发行人和主承销商协商确定。采用询价方式的，询价对象限定为在中国证券业协会注册、符合中国证券业协会规定条件并已开通北交所交易权限的网下投资者，不符合规定条件、未注册的个人投资者无法直接参与发行定价。同时，因北交所上市企业多聚焦行业细分领域，业绩受外部环境影响大，可比公司较少，传统估值方法可能不适用，上市后可能存在股价波动的风险。</w:t>
      </w:r>
    </w:p>
    <w:p w14:paraId="5BA21EE1"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lastRenderedPageBreak/>
        <w:t>北交所股票上市首日不设涨跌幅限制，其后涨跌幅限制为30%，投资者应当关注可能产生的股价波动风险。</w:t>
      </w:r>
    </w:p>
    <w:p w14:paraId="75877DDE" w14:textId="77777777" w:rsidR="00941074" w:rsidRDefault="00620E3F">
      <w:pPr>
        <w:widowControl/>
        <w:spacing w:line="360" w:lineRule="auto"/>
        <w:ind w:firstLine="556"/>
        <w:jc w:val="left"/>
        <w:rPr>
          <w:rFonts w:ascii="仿宋" w:eastAsia="仿宋" w:hAnsi="仿宋"/>
          <w:sz w:val="30"/>
          <w:szCs w:val="30"/>
        </w:rPr>
      </w:pPr>
      <w:r>
        <w:rPr>
          <w:rFonts w:ascii="仿宋" w:eastAsia="仿宋" w:hAnsi="仿宋" w:hint="eastAsia"/>
          <w:sz w:val="30"/>
          <w:szCs w:val="30"/>
        </w:rPr>
        <w:t>5.终止上市风险：北交所股票可能因触及退市情形被终止上市。因触及交易类情形被终止上市的北交所股票，不进入退市整理期；因触及财务类、规范类及重大违法类情形被终止上市的，进入退市整理期交易15个交易日，且首个交易日不设价格涨跌幅限制。投资者应当充分了解北交所退市制度及相关规定，密切关注北交所股票退市相关风险，及时从符合《证券法》规定的信息披露平台获取相关信息。</w:t>
      </w:r>
    </w:p>
    <w:p w14:paraId="69F4AF92" w14:textId="77777777" w:rsidR="00941074" w:rsidRDefault="00941074">
      <w:pPr>
        <w:widowControl/>
        <w:spacing w:line="560" w:lineRule="exact"/>
        <w:jc w:val="left"/>
        <w:rPr>
          <w:rFonts w:ascii="仿宋" w:eastAsia="仿宋" w:hAnsi="仿宋"/>
          <w:sz w:val="30"/>
          <w:szCs w:val="30"/>
        </w:rPr>
      </w:pPr>
    </w:p>
    <w:p w14:paraId="6B00730A" w14:textId="77777777" w:rsidR="00941074" w:rsidRDefault="00620E3F">
      <w:pPr>
        <w:widowControl/>
        <w:spacing w:line="360" w:lineRule="auto"/>
        <w:ind w:firstLine="556"/>
        <w:jc w:val="left"/>
        <w:rPr>
          <w:rFonts w:ascii="仿宋" w:eastAsia="仿宋" w:hAnsi="仿宋"/>
          <w:b/>
          <w:bCs/>
          <w:sz w:val="30"/>
          <w:szCs w:val="30"/>
          <w:u w:val="double"/>
        </w:rPr>
      </w:pPr>
      <w:proofErr w:type="gramStart"/>
      <w:r>
        <w:rPr>
          <w:rFonts w:ascii="仿宋" w:eastAsia="仿宋" w:hAnsi="仿宋" w:hint="eastAsia"/>
          <w:b/>
          <w:bCs/>
          <w:sz w:val="30"/>
          <w:szCs w:val="30"/>
          <w:u w:val="double"/>
        </w:rPr>
        <w:t>本风险</w:t>
      </w:r>
      <w:proofErr w:type="gramEnd"/>
      <w:r>
        <w:rPr>
          <w:rFonts w:ascii="仿宋" w:eastAsia="仿宋" w:hAnsi="仿宋" w:hint="eastAsia"/>
          <w:b/>
          <w:bCs/>
          <w:sz w:val="30"/>
          <w:szCs w:val="30"/>
          <w:u w:val="double"/>
        </w:rPr>
        <w:t>揭示书的揭示事项仅为列举性质，未能详尽列示股票交易的全部投资风险和可能导致投资损失的所有因素。您在参与此项业务前，请务必对此有清醒的认识。我们诚挚地建议您，从风险承受能力、风险认知能力、投资目标、心理和生理承受能力等自身实际情况出发，审慎参与挂牌公司、北京证券交易所股票交易，合理配置金融资产。</w:t>
      </w:r>
    </w:p>
    <w:p w14:paraId="0B4A4245" w14:textId="77777777" w:rsidR="00941074" w:rsidRDefault="00941074">
      <w:pPr>
        <w:widowControl/>
        <w:spacing w:beforeLines="50" w:before="156" w:afterLines="50" w:after="156" w:line="540" w:lineRule="exact"/>
        <w:ind w:firstLine="573"/>
        <w:jc w:val="left"/>
        <w:rPr>
          <w:rFonts w:ascii="仿宋" w:eastAsia="仿宋" w:hAnsi="仿宋"/>
          <w:b/>
          <w:bCs/>
          <w:sz w:val="30"/>
          <w:szCs w:val="30"/>
        </w:rPr>
      </w:pPr>
      <w:bookmarkStart w:id="0" w:name="_Hlk513116528"/>
    </w:p>
    <w:p w14:paraId="3ADCF974" w14:textId="2FF58C99" w:rsidR="00941074" w:rsidRDefault="00620E3F">
      <w:pPr>
        <w:widowControl/>
        <w:spacing w:afterLines="50" w:after="156" w:line="560" w:lineRule="exact"/>
        <w:ind w:firstLineChars="200" w:firstLine="602"/>
        <w:jc w:val="left"/>
        <w:rPr>
          <w:rFonts w:ascii="仿宋" w:eastAsia="仿宋" w:hAnsi="仿宋" w:cs="宋体"/>
          <w:b/>
          <w:bCs/>
          <w:sz w:val="30"/>
          <w:szCs w:val="30"/>
        </w:rPr>
      </w:pPr>
      <w:r>
        <w:rPr>
          <w:rFonts w:ascii="仿宋" w:eastAsia="仿宋" w:hAnsi="仿宋" w:hint="eastAsia"/>
          <w:b/>
          <w:bCs/>
          <w:sz w:val="30"/>
          <w:szCs w:val="30"/>
        </w:rPr>
        <w:t>投资者声明：</w:t>
      </w:r>
      <w:r>
        <w:rPr>
          <w:rFonts w:ascii="仿宋" w:eastAsia="仿宋" w:hAnsi="仿宋" w:cs="宋体" w:hint="eastAsia"/>
          <w:b/>
          <w:bCs/>
          <w:sz w:val="30"/>
          <w:szCs w:val="30"/>
        </w:rPr>
        <w:t>本人</w:t>
      </w:r>
      <w:r>
        <w:rPr>
          <w:rFonts w:ascii="仿宋" w:eastAsia="仿宋" w:hAnsi="仿宋" w:cs="宋体"/>
          <w:b/>
          <w:bCs/>
          <w:sz w:val="30"/>
          <w:szCs w:val="30"/>
        </w:rPr>
        <w:t>/</w:t>
      </w:r>
      <w:r>
        <w:rPr>
          <w:rFonts w:ascii="仿宋" w:eastAsia="仿宋" w:hAnsi="仿宋" w:cs="宋体" w:hint="eastAsia"/>
          <w:b/>
          <w:bCs/>
          <w:sz w:val="30"/>
          <w:szCs w:val="30"/>
        </w:rPr>
        <w:t>本机构</w:t>
      </w:r>
      <w:r>
        <w:rPr>
          <w:rFonts w:ascii="仿宋" w:eastAsia="仿宋" w:hAnsi="仿宋"/>
          <w:b/>
          <w:bCs/>
          <w:sz w:val="30"/>
          <w:szCs w:val="30"/>
          <w:u w:val="single"/>
        </w:rPr>
        <w:t xml:space="preserve">                    </w:t>
      </w:r>
      <w:r>
        <w:rPr>
          <w:rFonts w:ascii="仿宋" w:eastAsia="仿宋" w:hAnsi="仿宋" w:cs="宋体" w:hint="eastAsia"/>
          <w:b/>
          <w:bCs/>
          <w:sz w:val="30"/>
          <w:szCs w:val="30"/>
        </w:rPr>
        <w:t>确认已知晓并理解《</w:t>
      </w:r>
      <w:r w:rsidR="00287126" w:rsidRPr="00287126">
        <w:rPr>
          <w:rFonts w:ascii="仿宋" w:eastAsia="仿宋" w:hAnsi="仿宋" w:cs="宋体"/>
          <w:b/>
          <w:bCs/>
          <w:sz w:val="30"/>
          <w:szCs w:val="30"/>
        </w:rPr>
        <w:t>全国中小企业股份转让系统挂牌公司股票交易风险揭示书与北京证券交易所投资风险揭示书</w:t>
      </w:r>
      <w:r>
        <w:rPr>
          <w:rFonts w:ascii="仿宋" w:eastAsia="仿宋" w:hAnsi="仿宋" w:cs="宋体" w:hint="eastAsia"/>
          <w:b/>
          <w:bCs/>
          <w:sz w:val="30"/>
          <w:szCs w:val="30"/>
        </w:rPr>
        <w:t>》的所有内容，自愿承担参与挂牌公司</w:t>
      </w:r>
      <w:r>
        <w:rPr>
          <w:rFonts w:ascii="仿宋" w:eastAsia="仿宋" w:hAnsi="仿宋" w:hint="eastAsia"/>
          <w:b/>
          <w:bCs/>
          <w:sz w:val="30"/>
          <w:szCs w:val="30"/>
        </w:rPr>
        <w:t>、北京证券交易所</w:t>
      </w:r>
      <w:r>
        <w:rPr>
          <w:rFonts w:ascii="仿宋" w:eastAsia="仿宋" w:hAnsi="仿宋" w:cs="宋体" w:hint="eastAsia"/>
          <w:b/>
          <w:bCs/>
          <w:sz w:val="30"/>
          <w:szCs w:val="30"/>
        </w:rPr>
        <w:t>股票交易的全部风险和损失。</w:t>
      </w:r>
    </w:p>
    <w:p w14:paraId="4A5AAD4F" w14:textId="77777777" w:rsidR="00941074" w:rsidRDefault="00941074">
      <w:pPr>
        <w:widowControl/>
        <w:spacing w:beforeLines="50" w:before="156" w:afterLines="50" w:after="156" w:line="540" w:lineRule="exact"/>
        <w:jc w:val="left"/>
        <w:rPr>
          <w:rFonts w:ascii="仿宋" w:eastAsia="仿宋" w:hAnsi="仿宋" w:cs="宋体"/>
          <w:b/>
          <w:bCs/>
          <w:sz w:val="30"/>
          <w:szCs w:val="30"/>
        </w:rPr>
      </w:pPr>
    </w:p>
    <w:bookmarkEnd w:id="0"/>
    <w:p w14:paraId="13B78532" w14:textId="77777777" w:rsidR="00941074" w:rsidRDefault="00620E3F">
      <w:pPr>
        <w:spacing w:line="480" w:lineRule="auto"/>
        <w:ind w:firstLineChars="100" w:firstLine="240"/>
        <w:rPr>
          <w:rFonts w:ascii="宋体" w:hAnsi="宋体" w:cstheme="minorBidi"/>
          <w:sz w:val="24"/>
          <w:szCs w:val="24"/>
        </w:rPr>
      </w:pPr>
      <w:r>
        <w:rPr>
          <w:rFonts w:ascii="宋体" w:hAnsi="宋体" w:hint="eastAsia"/>
          <w:sz w:val="24"/>
          <w:szCs w:val="24"/>
        </w:rPr>
        <w:t xml:space="preserve">资产账号：                           </w:t>
      </w:r>
      <w:proofErr w:type="gramStart"/>
      <w:r>
        <w:rPr>
          <w:rFonts w:ascii="宋体" w:hAnsi="宋体" w:hint="eastAsia"/>
          <w:sz w:val="24"/>
          <w:szCs w:val="24"/>
        </w:rPr>
        <w:t>川财证券</w:t>
      </w:r>
      <w:proofErr w:type="gramEnd"/>
      <w:r>
        <w:rPr>
          <w:rFonts w:ascii="宋体" w:hAnsi="宋体" w:hint="eastAsia"/>
          <w:sz w:val="24"/>
          <w:szCs w:val="24"/>
        </w:rPr>
        <w:t>有限责任公司</w:t>
      </w:r>
    </w:p>
    <w:p w14:paraId="027D8C4F" w14:textId="77777777" w:rsidR="00941074" w:rsidRDefault="00620E3F">
      <w:pPr>
        <w:spacing w:line="48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（盖章）</w:t>
      </w:r>
    </w:p>
    <w:p w14:paraId="257C6E92" w14:textId="77777777" w:rsidR="00941074" w:rsidRDefault="00620E3F">
      <w:pPr>
        <w:spacing w:beforeLines="50" w:before="156" w:afterLines="100" w:after="312" w:line="480" w:lineRule="auto"/>
        <w:ind w:firstLineChars="100" w:firstLine="240"/>
        <w:rPr>
          <w:rFonts w:ascii="宋体" w:hAnsi="宋体"/>
          <w:sz w:val="24"/>
          <w:szCs w:val="24"/>
        </w:rPr>
      </w:pPr>
      <w:r>
        <w:rPr>
          <w:rFonts w:ascii="宋体" w:hAnsi="宋体" w:hint="eastAsia"/>
          <w:sz w:val="24"/>
          <w:szCs w:val="24"/>
        </w:rPr>
        <w:lastRenderedPageBreak/>
        <w:t>投资者签字（盖章）：                  经办人：</w:t>
      </w:r>
    </w:p>
    <w:p w14:paraId="31AA8F8A" w14:textId="77777777" w:rsidR="00941074" w:rsidRDefault="00620E3F">
      <w:pPr>
        <w:spacing w:line="480" w:lineRule="auto"/>
        <w:ind w:firstLineChars="100" w:firstLine="240"/>
        <w:rPr>
          <w:rFonts w:ascii="宋体" w:hAnsi="宋体"/>
          <w:sz w:val="24"/>
          <w:szCs w:val="24"/>
        </w:rPr>
      </w:pPr>
      <w:r>
        <w:rPr>
          <w:rFonts w:ascii="宋体" w:hAnsi="宋体" w:hint="eastAsia"/>
          <w:sz w:val="24"/>
          <w:szCs w:val="24"/>
        </w:rPr>
        <w:t>日期：    年  月  日                 日期：    年  月  日</w:t>
      </w:r>
    </w:p>
    <w:sectPr w:rsidR="00941074">
      <w:footerReference w:type="default" r:id="rId7"/>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2D15" w14:textId="77777777" w:rsidR="00002152" w:rsidRDefault="00002152">
      <w:r>
        <w:separator/>
      </w:r>
    </w:p>
  </w:endnote>
  <w:endnote w:type="continuationSeparator" w:id="0">
    <w:p w14:paraId="69F58721" w14:textId="77777777" w:rsidR="00002152" w:rsidRDefault="0000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907975"/>
    </w:sdtPr>
    <w:sdtEndPr/>
    <w:sdtContent>
      <w:p w14:paraId="7F85BE7F" w14:textId="77777777" w:rsidR="00941074" w:rsidRDefault="00620E3F">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571B" w14:textId="77777777" w:rsidR="00002152" w:rsidRDefault="00002152">
      <w:r>
        <w:separator/>
      </w:r>
    </w:p>
  </w:footnote>
  <w:footnote w:type="continuationSeparator" w:id="0">
    <w:p w14:paraId="3556FC41" w14:textId="77777777" w:rsidR="00002152" w:rsidRDefault="00002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FE8"/>
    <w:rsid w:val="00000B0C"/>
    <w:rsid w:val="00002152"/>
    <w:rsid w:val="0007699B"/>
    <w:rsid w:val="000856D2"/>
    <w:rsid w:val="000A1856"/>
    <w:rsid w:val="000A1C75"/>
    <w:rsid w:val="000C5A71"/>
    <w:rsid w:val="000D26EA"/>
    <w:rsid w:val="0015530A"/>
    <w:rsid w:val="00172579"/>
    <w:rsid w:val="001C7693"/>
    <w:rsid w:val="002072F4"/>
    <w:rsid w:val="00224B3B"/>
    <w:rsid w:val="002817BE"/>
    <w:rsid w:val="00287126"/>
    <w:rsid w:val="002970E0"/>
    <w:rsid w:val="002A4A9D"/>
    <w:rsid w:val="003038B3"/>
    <w:rsid w:val="003435E3"/>
    <w:rsid w:val="0034651F"/>
    <w:rsid w:val="00363CDF"/>
    <w:rsid w:val="00367643"/>
    <w:rsid w:val="00391234"/>
    <w:rsid w:val="0039671F"/>
    <w:rsid w:val="003D32F6"/>
    <w:rsid w:val="003D5C22"/>
    <w:rsid w:val="003D7691"/>
    <w:rsid w:val="004030B7"/>
    <w:rsid w:val="0041677E"/>
    <w:rsid w:val="00424B09"/>
    <w:rsid w:val="0043603D"/>
    <w:rsid w:val="00441888"/>
    <w:rsid w:val="00442DC7"/>
    <w:rsid w:val="00444C92"/>
    <w:rsid w:val="00451095"/>
    <w:rsid w:val="004610AC"/>
    <w:rsid w:val="004E1FED"/>
    <w:rsid w:val="004E26AD"/>
    <w:rsid w:val="005F7733"/>
    <w:rsid w:val="00620E3F"/>
    <w:rsid w:val="00640F7C"/>
    <w:rsid w:val="00642A02"/>
    <w:rsid w:val="00775A72"/>
    <w:rsid w:val="00781CEF"/>
    <w:rsid w:val="007C7ED2"/>
    <w:rsid w:val="00826D20"/>
    <w:rsid w:val="008432FD"/>
    <w:rsid w:val="008A21EF"/>
    <w:rsid w:val="008B2869"/>
    <w:rsid w:val="008F1EF1"/>
    <w:rsid w:val="00941074"/>
    <w:rsid w:val="00954847"/>
    <w:rsid w:val="009D6FD9"/>
    <w:rsid w:val="00A177C8"/>
    <w:rsid w:val="00A64DEE"/>
    <w:rsid w:val="00A87932"/>
    <w:rsid w:val="00AD37A1"/>
    <w:rsid w:val="00AF4626"/>
    <w:rsid w:val="00B54785"/>
    <w:rsid w:val="00B7237D"/>
    <w:rsid w:val="00BC6F64"/>
    <w:rsid w:val="00BF21EB"/>
    <w:rsid w:val="00C1621A"/>
    <w:rsid w:val="00C16E44"/>
    <w:rsid w:val="00C20945"/>
    <w:rsid w:val="00C520A5"/>
    <w:rsid w:val="00C57807"/>
    <w:rsid w:val="00C75C33"/>
    <w:rsid w:val="00C933C7"/>
    <w:rsid w:val="00CA7ED9"/>
    <w:rsid w:val="00CB79F8"/>
    <w:rsid w:val="00CC1570"/>
    <w:rsid w:val="00CD5144"/>
    <w:rsid w:val="00D55AA7"/>
    <w:rsid w:val="00D77FE8"/>
    <w:rsid w:val="00E3477F"/>
    <w:rsid w:val="00E950DF"/>
    <w:rsid w:val="00ED0E9D"/>
    <w:rsid w:val="00F0686E"/>
    <w:rsid w:val="00F26A22"/>
    <w:rsid w:val="00F66C7C"/>
    <w:rsid w:val="00F855F3"/>
    <w:rsid w:val="00FF414F"/>
    <w:rsid w:val="2C4023DA"/>
    <w:rsid w:val="331A2DD1"/>
    <w:rsid w:val="3E6A4525"/>
    <w:rsid w:val="3FCD0210"/>
    <w:rsid w:val="3FF17DB4"/>
    <w:rsid w:val="467B71BB"/>
    <w:rsid w:val="545A0BA3"/>
    <w:rsid w:val="588C5DF5"/>
    <w:rsid w:val="5F536FCC"/>
    <w:rsid w:val="7C9C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F218"/>
  <w15:docId w15:val="{F9025C79-9BED-475A-BD7F-22AF80D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adjustRightInd w:val="0"/>
      <w:spacing w:before="36"/>
      <w:ind w:left="118"/>
      <w:jc w:val="left"/>
    </w:pPr>
    <w:rPr>
      <w:rFonts w:ascii="宋体" w:hAnsi="Times New Roman" w:cs="宋体"/>
      <w:kern w:val="0"/>
      <w:sz w:val="24"/>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Calibri" w:eastAsia="宋体" w:hAnsi="Calibri" w:cs="Calibri"/>
      <w:sz w:val="18"/>
      <w:szCs w:val="18"/>
    </w:rPr>
  </w:style>
  <w:style w:type="character" w:customStyle="1" w:styleId="a6">
    <w:name w:val="页脚 字符"/>
    <w:basedOn w:val="a0"/>
    <w:link w:val="a5"/>
    <w:uiPriority w:val="99"/>
    <w:qFormat/>
    <w:rPr>
      <w:rFonts w:ascii="Calibri" w:eastAsia="宋体" w:hAnsi="Calibri" w:cs="Calibri"/>
      <w:sz w:val="18"/>
      <w:szCs w:val="18"/>
    </w:rPr>
  </w:style>
  <w:style w:type="character" w:customStyle="1" w:styleId="a4">
    <w:name w:val="正文文本 字符"/>
    <w:basedOn w:val="a0"/>
    <w:link w:val="a3"/>
    <w:uiPriority w:val="1"/>
    <w:qFormat/>
    <w:rPr>
      <w:rFonts w:ascii="宋体" w:eastAsia="宋体" w:hAnsi="Times New Roman" w:cs="宋体"/>
      <w:sz w:val="24"/>
      <w:szCs w:val="24"/>
    </w:rPr>
  </w:style>
  <w:style w:type="character" w:customStyle="1" w:styleId="awspan1">
    <w:name w:val="awspan1"/>
    <w:basedOn w:val="a0"/>
    <w:rsid w:val="0045109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黄娟</dc:creator>
  <cp:lastModifiedBy>黄娟</cp:lastModifiedBy>
  <cp:revision>57</cp:revision>
  <cp:lastPrinted>2018-05-03T05:04:00Z</cp:lastPrinted>
  <dcterms:created xsi:type="dcterms:W3CDTF">2018-02-05T04:59:00Z</dcterms:created>
  <dcterms:modified xsi:type="dcterms:W3CDTF">2021-09-22T07:35:00Z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