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E6" w:rsidRPr="004A57FA" w:rsidRDefault="00AF2EE6" w:rsidP="00385845">
      <w:pPr>
        <w:snapToGrid w:val="0"/>
        <w:spacing w:line="360" w:lineRule="auto"/>
        <w:ind w:firstLine="881"/>
        <w:jc w:val="center"/>
        <w:rPr>
          <w:rFonts w:asciiTheme="minorEastAsia" w:eastAsiaTheme="minorEastAsia" w:hAnsiTheme="minorEastAsia"/>
          <w:b/>
          <w:sz w:val="44"/>
        </w:rPr>
      </w:pPr>
    </w:p>
    <w:p w:rsidR="00AF2EE6" w:rsidRPr="004A57FA" w:rsidRDefault="00AF2EE6" w:rsidP="00385845">
      <w:pPr>
        <w:snapToGrid w:val="0"/>
        <w:spacing w:line="360" w:lineRule="auto"/>
        <w:ind w:firstLine="881"/>
        <w:jc w:val="center"/>
        <w:rPr>
          <w:rFonts w:asciiTheme="minorEastAsia" w:eastAsiaTheme="minorEastAsia" w:hAnsiTheme="minorEastAsia"/>
          <w:b/>
          <w:sz w:val="44"/>
        </w:rPr>
      </w:pPr>
    </w:p>
    <w:p w:rsidR="00AF2EE6" w:rsidRPr="004A57FA" w:rsidRDefault="00AF2EE6" w:rsidP="00385845">
      <w:pPr>
        <w:snapToGrid w:val="0"/>
        <w:spacing w:line="360" w:lineRule="auto"/>
        <w:rPr>
          <w:rFonts w:asciiTheme="minorEastAsia" w:eastAsiaTheme="minorEastAsia" w:hAnsiTheme="minorEastAsia"/>
          <w:b/>
          <w:sz w:val="44"/>
        </w:rPr>
      </w:pPr>
    </w:p>
    <w:p w:rsidR="00AF2EE6" w:rsidRPr="004A57FA" w:rsidRDefault="00AF2EE6" w:rsidP="00385845">
      <w:pPr>
        <w:snapToGrid w:val="0"/>
        <w:spacing w:line="360" w:lineRule="auto"/>
        <w:jc w:val="center"/>
        <w:rPr>
          <w:rFonts w:asciiTheme="minorEastAsia" w:eastAsiaTheme="minorEastAsia" w:hAnsiTheme="minorEastAsia"/>
          <w:b/>
          <w:sz w:val="44"/>
        </w:rPr>
      </w:pPr>
      <w:r w:rsidRPr="004A57FA">
        <w:rPr>
          <w:rFonts w:asciiTheme="minorEastAsia" w:eastAsiaTheme="minorEastAsia" w:hAnsiTheme="minorEastAsia" w:hint="eastAsia"/>
          <w:b/>
          <w:sz w:val="44"/>
        </w:rPr>
        <w:t>易方达科翔</w:t>
      </w:r>
      <w:r w:rsidR="00E369BB" w:rsidRPr="004A57FA">
        <w:rPr>
          <w:rFonts w:asciiTheme="minorEastAsia" w:eastAsiaTheme="minorEastAsia" w:hAnsiTheme="minorEastAsia" w:hint="eastAsia"/>
          <w:b/>
          <w:sz w:val="44"/>
        </w:rPr>
        <w:t>混合</w:t>
      </w:r>
      <w:r w:rsidRPr="004A57FA">
        <w:rPr>
          <w:rFonts w:asciiTheme="minorEastAsia" w:eastAsiaTheme="minorEastAsia" w:hAnsiTheme="minorEastAsia" w:hint="eastAsia"/>
          <w:b/>
          <w:sz w:val="44"/>
        </w:rPr>
        <w:t>型证券投资基金</w:t>
      </w:r>
    </w:p>
    <w:p w:rsidR="00AF2EE6" w:rsidRPr="004A57FA" w:rsidRDefault="00AF2EE6" w:rsidP="00385845">
      <w:pPr>
        <w:snapToGrid w:val="0"/>
        <w:spacing w:line="360" w:lineRule="auto"/>
        <w:jc w:val="center"/>
        <w:rPr>
          <w:rFonts w:asciiTheme="minorEastAsia" w:eastAsiaTheme="minorEastAsia" w:hAnsiTheme="minorEastAsia"/>
          <w:b/>
          <w:sz w:val="44"/>
        </w:rPr>
      </w:pPr>
      <w:r w:rsidRPr="004A57FA">
        <w:rPr>
          <w:rFonts w:asciiTheme="minorEastAsia" w:eastAsiaTheme="minorEastAsia" w:hAnsiTheme="minorEastAsia" w:hint="eastAsia"/>
          <w:b/>
          <w:sz w:val="44"/>
        </w:rPr>
        <w:t>更新的招募说明书</w:t>
      </w:r>
    </w:p>
    <w:p w:rsidR="006F648E" w:rsidRPr="004A57FA" w:rsidRDefault="006F648E" w:rsidP="006F648E">
      <w:pPr>
        <w:snapToGrid w:val="0"/>
        <w:spacing w:line="360" w:lineRule="auto"/>
        <w:ind w:leftChars="800" w:left="1680"/>
        <w:rPr>
          <w:rFonts w:asciiTheme="minorEastAsia" w:eastAsiaTheme="minorEastAsia" w:hAnsiTheme="minorEastAsia"/>
          <w:sz w:val="30"/>
          <w:szCs w:val="30"/>
        </w:rPr>
      </w:pPr>
    </w:p>
    <w:p w:rsidR="006F648E" w:rsidRPr="004A57FA" w:rsidRDefault="006F648E" w:rsidP="006F648E">
      <w:pPr>
        <w:snapToGrid w:val="0"/>
        <w:spacing w:line="360" w:lineRule="auto"/>
        <w:ind w:leftChars="800" w:left="1680"/>
        <w:rPr>
          <w:rFonts w:asciiTheme="minorEastAsia" w:eastAsiaTheme="minorEastAsia" w:hAnsiTheme="minorEastAsia"/>
          <w:sz w:val="30"/>
          <w:szCs w:val="30"/>
        </w:rPr>
      </w:pPr>
    </w:p>
    <w:p w:rsidR="006F648E" w:rsidRPr="004A57FA" w:rsidRDefault="006F648E" w:rsidP="006F648E">
      <w:pPr>
        <w:snapToGrid w:val="0"/>
        <w:spacing w:line="360" w:lineRule="auto"/>
        <w:ind w:leftChars="800" w:left="1680"/>
        <w:rPr>
          <w:rFonts w:asciiTheme="minorEastAsia" w:eastAsiaTheme="minorEastAsia" w:hAnsiTheme="minorEastAsia"/>
          <w:sz w:val="30"/>
          <w:szCs w:val="30"/>
        </w:rPr>
      </w:pPr>
    </w:p>
    <w:p w:rsidR="006F648E" w:rsidRPr="004A57FA" w:rsidRDefault="006F648E" w:rsidP="006F648E">
      <w:pPr>
        <w:snapToGrid w:val="0"/>
        <w:spacing w:line="360" w:lineRule="auto"/>
        <w:ind w:leftChars="800" w:left="1680"/>
        <w:rPr>
          <w:rFonts w:asciiTheme="minorEastAsia" w:eastAsiaTheme="minorEastAsia" w:hAnsiTheme="minorEastAsia"/>
          <w:sz w:val="30"/>
          <w:szCs w:val="30"/>
        </w:rPr>
      </w:pPr>
    </w:p>
    <w:p w:rsidR="00AF2EE6" w:rsidRPr="004A57FA" w:rsidRDefault="00AF2EE6" w:rsidP="004A2694">
      <w:pPr>
        <w:snapToGrid w:val="0"/>
        <w:spacing w:line="360" w:lineRule="auto"/>
        <w:ind w:leftChars="800" w:left="1680"/>
        <w:rPr>
          <w:rFonts w:asciiTheme="minorEastAsia" w:eastAsiaTheme="minorEastAsia" w:hAnsiTheme="minorEastAsia"/>
          <w:sz w:val="30"/>
          <w:szCs w:val="30"/>
        </w:rPr>
      </w:pPr>
    </w:p>
    <w:p w:rsidR="00AF2EE6" w:rsidRPr="004A57FA" w:rsidRDefault="00AF2EE6" w:rsidP="00385845">
      <w:pPr>
        <w:snapToGrid w:val="0"/>
        <w:spacing w:line="360" w:lineRule="auto"/>
        <w:ind w:firstLine="600"/>
        <w:jc w:val="center"/>
        <w:rPr>
          <w:rFonts w:asciiTheme="minorEastAsia" w:eastAsiaTheme="minorEastAsia" w:hAnsiTheme="minorEastAsia"/>
          <w:sz w:val="24"/>
        </w:rPr>
      </w:pPr>
    </w:p>
    <w:p w:rsidR="00AF2EE6" w:rsidRPr="004A57FA" w:rsidRDefault="00AF2EE6" w:rsidP="00385845">
      <w:pPr>
        <w:snapToGrid w:val="0"/>
        <w:spacing w:line="360" w:lineRule="auto"/>
        <w:ind w:leftChars="800" w:left="1680"/>
        <w:rPr>
          <w:rFonts w:asciiTheme="minorEastAsia" w:eastAsiaTheme="minorEastAsia" w:hAnsiTheme="minorEastAsia"/>
          <w:sz w:val="30"/>
          <w:szCs w:val="30"/>
        </w:rPr>
      </w:pPr>
    </w:p>
    <w:p w:rsidR="00AF2EE6" w:rsidRPr="004A57FA" w:rsidRDefault="00AF2EE6" w:rsidP="00385845">
      <w:pPr>
        <w:snapToGrid w:val="0"/>
        <w:spacing w:line="360" w:lineRule="auto"/>
        <w:ind w:leftChars="800" w:left="1680"/>
        <w:rPr>
          <w:rFonts w:asciiTheme="minorEastAsia" w:eastAsiaTheme="minorEastAsia" w:hAnsiTheme="minorEastAsia"/>
          <w:sz w:val="30"/>
          <w:szCs w:val="30"/>
        </w:rPr>
      </w:pPr>
    </w:p>
    <w:p w:rsidR="00AF2EE6" w:rsidRPr="004A57FA" w:rsidRDefault="00AF2EE6" w:rsidP="00385845">
      <w:pPr>
        <w:snapToGrid w:val="0"/>
        <w:spacing w:line="360" w:lineRule="auto"/>
        <w:ind w:leftChars="800" w:left="1680"/>
        <w:rPr>
          <w:rFonts w:asciiTheme="minorEastAsia" w:eastAsiaTheme="minorEastAsia" w:hAnsiTheme="minorEastAsia"/>
          <w:sz w:val="30"/>
          <w:szCs w:val="30"/>
        </w:rPr>
      </w:pPr>
      <w:r w:rsidRPr="004A57FA">
        <w:rPr>
          <w:rFonts w:asciiTheme="minorEastAsia" w:eastAsiaTheme="minorEastAsia" w:hAnsiTheme="minorEastAsia" w:hint="eastAsia"/>
          <w:sz w:val="30"/>
          <w:szCs w:val="30"/>
        </w:rPr>
        <w:t>基金管理人：易方达基金管理有限公司</w:t>
      </w:r>
    </w:p>
    <w:p w:rsidR="00AF2EE6" w:rsidRPr="004A57FA" w:rsidRDefault="00AF2EE6" w:rsidP="00385845">
      <w:pPr>
        <w:snapToGrid w:val="0"/>
        <w:spacing w:line="360" w:lineRule="auto"/>
        <w:ind w:leftChars="800" w:left="1680"/>
        <w:rPr>
          <w:rFonts w:asciiTheme="minorEastAsia" w:eastAsiaTheme="minorEastAsia" w:hAnsiTheme="minorEastAsia"/>
          <w:sz w:val="30"/>
          <w:szCs w:val="30"/>
        </w:rPr>
      </w:pPr>
      <w:r w:rsidRPr="004A57FA">
        <w:rPr>
          <w:rFonts w:asciiTheme="minorEastAsia" w:eastAsiaTheme="minorEastAsia" w:hAnsiTheme="minorEastAsia" w:hint="eastAsia"/>
          <w:sz w:val="30"/>
          <w:szCs w:val="30"/>
        </w:rPr>
        <w:t>基金托管人：中国工商银行股份有限公司</w:t>
      </w:r>
    </w:p>
    <w:p w:rsidR="00AF2EE6" w:rsidRPr="004A57FA" w:rsidRDefault="00AF2EE6" w:rsidP="00385845">
      <w:pPr>
        <w:snapToGrid w:val="0"/>
        <w:spacing w:line="360" w:lineRule="auto"/>
        <w:ind w:firstLine="561"/>
        <w:rPr>
          <w:rFonts w:asciiTheme="minorEastAsia" w:eastAsiaTheme="minorEastAsia" w:hAnsiTheme="minorEastAsia"/>
          <w:b/>
          <w:sz w:val="24"/>
        </w:rPr>
      </w:pPr>
    </w:p>
    <w:p w:rsidR="001E73A8" w:rsidRPr="004A57FA" w:rsidRDefault="001E73A8" w:rsidP="00385845">
      <w:pPr>
        <w:snapToGrid w:val="0"/>
        <w:spacing w:line="360" w:lineRule="auto"/>
        <w:jc w:val="center"/>
        <w:rPr>
          <w:rFonts w:asciiTheme="minorEastAsia" w:eastAsiaTheme="minorEastAsia" w:hAnsiTheme="minorEastAsia"/>
          <w:sz w:val="30"/>
          <w:szCs w:val="30"/>
        </w:rPr>
      </w:pPr>
      <w:r>
        <w:rPr>
          <w:sz w:val="30"/>
        </w:rPr>
        <w:t>二〇二一年八月</w:t>
      </w:r>
    </w:p>
    <w:p w:rsidR="00AF2EE6" w:rsidRPr="004A57FA" w:rsidRDefault="00AF2EE6" w:rsidP="00385845">
      <w:pPr>
        <w:snapToGrid w:val="0"/>
        <w:spacing w:line="360" w:lineRule="auto"/>
        <w:jc w:val="center"/>
        <w:rPr>
          <w:rFonts w:asciiTheme="minorEastAsia" w:eastAsiaTheme="minorEastAsia" w:hAnsiTheme="minorEastAsia"/>
          <w:b/>
          <w:sz w:val="28"/>
          <w:szCs w:val="28"/>
        </w:rPr>
      </w:pPr>
      <w:r w:rsidRPr="004A57FA">
        <w:rPr>
          <w:rFonts w:asciiTheme="minorEastAsia" w:eastAsiaTheme="minorEastAsia" w:hAnsiTheme="minorEastAsia"/>
          <w:b/>
          <w:sz w:val="24"/>
        </w:rPr>
        <w:br w:type="page"/>
      </w:r>
      <w:r w:rsidRPr="004A57FA">
        <w:rPr>
          <w:rFonts w:asciiTheme="minorEastAsia" w:eastAsiaTheme="minorEastAsia" w:hAnsiTheme="minorEastAsia" w:hint="eastAsia"/>
          <w:b/>
          <w:sz w:val="28"/>
          <w:szCs w:val="28"/>
        </w:rPr>
        <w:lastRenderedPageBreak/>
        <w:t>重要提示</w:t>
      </w:r>
    </w:p>
    <w:p w:rsidR="00AF2EE6" w:rsidRPr="004A57FA" w:rsidRDefault="00AF2EE6" w:rsidP="00385845">
      <w:pPr>
        <w:adjustRightInd w:val="0"/>
        <w:snapToGrid w:val="0"/>
        <w:spacing w:line="360" w:lineRule="auto"/>
        <w:ind w:firstLine="480"/>
        <w:rPr>
          <w:rFonts w:asciiTheme="minorEastAsia" w:eastAsiaTheme="minorEastAsia" w:hAnsiTheme="minorEastAsia"/>
          <w:b/>
          <w:szCs w:val="21"/>
        </w:rPr>
      </w:pPr>
      <w:r w:rsidRPr="004A57FA">
        <w:rPr>
          <w:rFonts w:asciiTheme="minorEastAsia" w:eastAsiaTheme="minorEastAsia" w:hAnsiTheme="minorEastAsia" w:hint="eastAsia"/>
          <w:b/>
        </w:rPr>
        <w:t>依据中国证监会</w:t>
      </w:r>
      <w:r w:rsidRPr="004A57FA">
        <w:rPr>
          <w:rFonts w:asciiTheme="minorEastAsia" w:eastAsiaTheme="minorEastAsia" w:hAnsiTheme="minorEastAsia" w:hint="eastAsia"/>
          <w:b/>
          <w:szCs w:val="21"/>
        </w:rPr>
        <w:t>证监许可</w:t>
      </w:r>
      <w:r w:rsidRPr="004A57FA">
        <w:rPr>
          <w:rFonts w:asciiTheme="minorEastAsia" w:eastAsiaTheme="minorEastAsia" w:hAnsiTheme="minorEastAsia"/>
          <w:b/>
          <w:szCs w:val="21"/>
        </w:rPr>
        <w:t>[200</w:t>
      </w:r>
      <w:r w:rsidRPr="004A57FA">
        <w:rPr>
          <w:rFonts w:asciiTheme="minorEastAsia" w:eastAsiaTheme="minorEastAsia" w:hAnsiTheme="minorEastAsia" w:hint="eastAsia"/>
          <w:b/>
          <w:szCs w:val="21"/>
        </w:rPr>
        <w:t>8</w:t>
      </w:r>
      <w:r w:rsidRPr="004A57FA">
        <w:rPr>
          <w:rFonts w:asciiTheme="minorEastAsia" w:eastAsiaTheme="minorEastAsia" w:hAnsiTheme="minorEastAsia"/>
          <w:b/>
          <w:szCs w:val="21"/>
        </w:rPr>
        <w:t>]</w:t>
      </w:r>
      <w:r w:rsidRPr="004A57FA">
        <w:rPr>
          <w:rFonts w:asciiTheme="minorEastAsia" w:eastAsiaTheme="minorEastAsia" w:hAnsiTheme="minorEastAsia" w:hint="eastAsia"/>
          <w:b/>
          <w:szCs w:val="21"/>
        </w:rPr>
        <w:t>1221</w:t>
      </w:r>
      <w:r w:rsidRPr="004A57FA">
        <w:rPr>
          <w:rFonts w:asciiTheme="minorEastAsia" w:eastAsiaTheme="minorEastAsia" w:hAnsiTheme="minorEastAsia"/>
          <w:b/>
          <w:szCs w:val="21"/>
        </w:rPr>
        <w:t>号</w:t>
      </w:r>
      <w:r w:rsidRPr="004A57FA">
        <w:rPr>
          <w:rFonts w:asciiTheme="minorEastAsia" w:eastAsiaTheme="minorEastAsia" w:hAnsiTheme="minorEastAsia" w:hint="eastAsia"/>
          <w:b/>
        </w:rPr>
        <w:t>文核准的科翔证券投资基金基金份额持有人大会决议，科翔证券投资基金由封闭式基金转为开放式基金、</w:t>
      </w:r>
      <w:r w:rsidRPr="004A57FA">
        <w:rPr>
          <w:rFonts w:asciiTheme="minorEastAsia" w:eastAsiaTheme="minorEastAsia" w:hAnsiTheme="minorEastAsia" w:hint="eastAsia"/>
          <w:b/>
          <w:szCs w:val="21"/>
        </w:rPr>
        <w:t>调整存续期限、终止上市、调整投资目标、投资范围、投资策略以及修订基金合同等</w:t>
      </w:r>
      <w:r w:rsidRPr="004A57FA">
        <w:rPr>
          <w:rFonts w:asciiTheme="minorEastAsia" w:eastAsiaTheme="minorEastAsia" w:hAnsiTheme="minorEastAsia" w:hint="eastAsia"/>
          <w:b/>
        </w:rPr>
        <w:t>，并更名为“易方达科翔股票型证券投资基金”。</w:t>
      </w:r>
      <w:r w:rsidRPr="004A57FA">
        <w:rPr>
          <w:rFonts w:asciiTheme="minorEastAsia" w:eastAsiaTheme="minorEastAsia" w:hAnsiTheme="minorEastAsia" w:hint="eastAsia"/>
          <w:b/>
          <w:szCs w:val="21"/>
        </w:rPr>
        <w:t>自</w:t>
      </w:r>
      <w:r w:rsidRPr="004A57FA">
        <w:rPr>
          <w:rFonts w:asciiTheme="minorEastAsia" w:eastAsiaTheme="minorEastAsia" w:hAnsiTheme="minorEastAsia"/>
          <w:b/>
          <w:szCs w:val="21"/>
        </w:rPr>
        <w:t>2008</w:t>
      </w:r>
      <w:r w:rsidRPr="004A57FA">
        <w:rPr>
          <w:rFonts w:asciiTheme="minorEastAsia" w:eastAsiaTheme="minorEastAsia" w:hAnsiTheme="minorEastAsia" w:hint="eastAsia"/>
          <w:b/>
          <w:szCs w:val="21"/>
        </w:rPr>
        <w:t>年</w:t>
      </w:r>
      <w:smartTag w:uri="urn:schemas-microsoft-com:office:smarttags" w:element="chsdate">
        <w:smartTagPr>
          <w:attr w:name="Year" w:val="2008"/>
          <w:attr w:name="Month" w:val="11"/>
          <w:attr w:name="Day" w:val="13"/>
          <w:attr w:name="IsLunarDate" w:val="False"/>
          <w:attr w:name="IsROCDate" w:val="False"/>
        </w:smartTagPr>
        <w:smartTag w:uri="urn:schemas-microsoft-com:office:smarttags" w:element="chsdate">
          <w:smartTagPr>
            <w:attr w:name="IsROCDate" w:val="False"/>
            <w:attr w:name="IsLunarDate" w:val="False"/>
            <w:attr w:name="Day" w:val="13"/>
            <w:attr w:name="Month" w:val="11"/>
            <w:attr w:name="Year" w:val="2008"/>
          </w:smartTagPr>
          <w:r w:rsidRPr="004A57FA">
            <w:rPr>
              <w:rFonts w:asciiTheme="minorEastAsia" w:eastAsiaTheme="minorEastAsia" w:hAnsiTheme="minorEastAsia" w:hint="eastAsia"/>
              <w:b/>
              <w:szCs w:val="21"/>
            </w:rPr>
            <w:t>11月13日</w:t>
          </w:r>
        </w:smartTag>
        <w:r w:rsidRPr="004A57FA">
          <w:rPr>
            <w:rFonts w:asciiTheme="minorEastAsia" w:eastAsiaTheme="minorEastAsia" w:hAnsiTheme="minorEastAsia" w:hint="eastAsia"/>
            <w:b/>
            <w:szCs w:val="21"/>
          </w:rPr>
          <w:t>起</w:t>
        </w:r>
      </w:smartTag>
      <w:r w:rsidRPr="004A57FA">
        <w:rPr>
          <w:rFonts w:asciiTheme="minorEastAsia" w:eastAsiaTheme="minorEastAsia" w:hAnsiTheme="minorEastAsia" w:hint="eastAsia"/>
          <w:b/>
          <w:szCs w:val="21"/>
        </w:rPr>
        <w:t>，由《科翔证券投资基金基金合同》修订而成的《易方达科翔股票型证券投资基金基金合同》生效。</w:t>
      </w:r>
      <w:r w:rsidR="00DE4028" w:rsidRPr="004A57FA">
        <w:rPr>
          <w:rFonts w:asciiTheme="minorEastAsia" w:eastAsiaTheme="minorEastAsia" w:hAnsiTheme="minorEastAsia" w:hint="eastAsia"/>
          <w:b/>
          <w:szCs w:val="21"/>
        </w:rPr>
        <w:t>2015年7月25日，根据《运作办法》的规定，本基金变更基金类别并由“易方达科翔股票型证券投资基金”更名为“易方达科翔混合型证券投资基金”。</w:t>
      </w:r>
    </w:p>
    <w:p w:rsidR="00AF2EE6" w:rsidRPr="004A57FA" w:rsidRDefault="00AF2EE6" w:rsidP="00385845">
      <w:pPr>
        <w:adjustRightInd w:val="0"/>
        <w:snapToGrid w:val="0"/>
        <w:spacing w:line="360" w:lineRule="auto"/>
        <w:ind w:firstLine="420"/>
        <w:rPr>
          <w:rFonts w:asciiTheme="minorEastAsia" w:eastAsiaTheme="minorEastAsia" w:hAnsiTheme="minorEastAsia"/>
          <w:b/>
          <w:szCs w:val="21"/>
        </w:rPr>
      </w:pPr>
      <w:r w:rsidRPr="004A57FA">
        <w:rPr>
          <w:rFonts w:asciiTheme="minorEastAsia" w:eastAsiaTheme="minorEastAsia" w:hAnsiTheme="minorEastAsia" w:hint="eastAsia"/>
          <w:b/>
          <w:szCs w:val="21"/>
        </w:rPr>
        <w:t>基金管理人保证《招募说明书》的内容真实、准确、完整。</w:t>
      </w:r>
      <w:r w:rsidRPr="004A57FA">
        <w:rPr>
          <w:rFonts w:asciiTheme="minorEastAsia" w:eastAsiaTheme="minorEastAsia" w:hAnsiTheme="minorEastAsia"/>
          <w:b/>
          <w:szCs w:val="21"/>
        </w:rPr>
        <w:t>基金管理人依照恪尽职守、诚实信用、谨慎勤勉的原则管理和运用基金</w:t>
      </w:r>
      <w:r w:rsidRPr="004A57FA">
        <w:rPr>
          <w:rFonts w:asciiTheme="minorEastAsia" w:eastAsiaTheme="minorEastAsia" w:hAnsiTheme="minorEastAsia" w:hint="eastAsia"/>
          <w:b/>
          <w:szCs w:val="21"/>
        </w:rPr>
        <w:t>财产</w:t>
      </w:r>
      <w:r w:rsidRPr="004A57FA">
        <w:rPr>
          <w:rFonts w:asciiTheme="minorEastAsia" w:eastAsiaTheme="minorEastAsia" w:hAnsiTheme="minorEastAsia"/>
          <w:b/>
          <w:szCs w:val="21"/>
        </w:rPr>
        <w:t>，</w:t>
      </w:r>
      <w:r w:rsidRPr="004A57FA">
        <w:rPr>
          <w:rFonts w:asciiTheme="minorEastAsia" w:eastAsiaTheme="minorEastAsia" w:hAnsiTheme="minorEastAsia" w:hint="eastAsia"/>
          <w:b/>
          <w:szCs w:val="21"/>
        </w:rPr>
        <w:t>但</w:t>
      </w:r>
      <w:r w:rsidRPr="004A57FA">
        <w:rPr>
          <w:rFonts w:asciiTheme="minorEastAsia" w:eastAsiaTheme="minorEastAsia" w:hAnsiTheme="minorEastAsia"/>
          <w:b/>
          <w:szCs w:val="21"/>
        </w:rPr>
        <w:t>不保证基金一定盈利，也不保证最低收益</w:t>
      </w:r>
      <w:r w:rsidRPr="004A57FA">
        <w:rPr>
          <w:rFonts w:asciiTheme="minorEastAsia" w:eastAsiaTheme="minorEastAsia" w:hAnsiTheme="minorEastAsia" w:hint="eastAsia"/>
          <w:b/>
          <w:szCs w:val="21"/>
        </w:rPr>
        <w:t>。本《招募说明书》经中国证监会核准，但中国证监会对本基金募集的核准，并不表明其对本基金的价值和收益作出实质性判断或保证，也不表明投资于本基金没有风险。</w:t>
      </w:r>
    </w:p>
    <w:p w:rsidR="00AF2EE6" w:rsidRPr="004A57FA" w:rsidRDefault="00AF2EE6" w:rsidP="00385845">
      <w:pPr>
        <w:adjustRightInd w:val="0"/>
        <w:snapToGrid w:val="0"/>
        <w:spacing w:line="360" w:lineRule="auto"/>
        <w:ind w:firstLine="480"/>
        <w:rPr>
          <w:rFonts w:asciiTheme="minorEastAsia" w:eastAsiaTheme="minorEastAsia" w:hAnsiTheme="minorEastAsia"/>
          <w:b/>
          <w:szCs w:val="21"/>
        </w:rPr>
      </w:pPr>
      <w:r w:rsidRPr="004A57FA">
        <w:rPr>
          <w:rFonts w:asciiTheme="minorEastAsia" w:eastAsiaTheme="minorEastAsia" w:hAnsiTheme="minorEastAsia" w:hint="eastAsia"/>
          <w:b/>
          <w:szCs w:val="21"/>
        </w:rPr>
        <w:t>本基金投资于证券市场，基金净值会因为证券市场波动等因素产生波动，投资有风险，投资者在投资本基金前，请认真阅读本</w:t>
      </w:r>
      <w:r w:rsidR="00BF356A" w:rsidRPr="004A57FA">
        <w:rPr>
          <w:rFonts w:asciiTheme="minorEastAsia" w:eastAsiaTheme="minorEastAsia" w:hAnsiTheme="minorEastAsia" w:hint="eastAsia"/>
          <w:b/>
          <w:szCs w:val="21"/>
        </w:rPr>
        <w:t>招募说明书、基金合同和基金产品资料概要等信息披露文件</w:t>
      </w:r>
      <w:r w:rsidRPr="004A57FA">
        <w:rPr>
          <w:rFonts w:asciiTheme="minorEastAsia" w:eastAsiaTheme="minorEastAsia" w:hAnsiTheme="minorEastAsia" w:hint="eastAsia"/>
          <w:b/>
          <w:szCs w:val="21"/>
        </w:rPr>
        <w:t>，全面认识本基金产品的风险收益特征和产品特性，充分考虑自身的风险承受能力，理性判断市场，对申购基金的意愿、时机、数量等投资行为作出独立决策，获得基金投资收益，亦承担基金投资中出现的各类风险。</w:t>
      </w:r>
      <w:r w:rsidR="00AC0CD4" w:rsidRPr="004A57FA">
        <w:rPr>
          <w:rFonts w:asciiTheme="minorEastAsia" w:eastAsiaTheme="minorEastAsia" w:hAnsiTheme="minorEastAsia" w:hint="eastAsia"/>
          <w:b/>
        </w:rPr>
        <w:t>投资本基金可能遇到的特有风险包括：（</w:t>
      </w:r>
      <w:r w:rsidR="00AC0CD4" w:rsidRPr="004A57FA">
        <w:rPr>
          <w:rFonts w:asciiTheme="minorEastAsia" w:eastAsiaTheme="minorEastAsia" w:hAnsiTheme="minorEastAsia"/>
          <w:b/>
        </w:rPr>
        <w:t>1</w:t>
      </w:r>
      <w:r w:rsidR="00AC0CD4" w:rsidRPr="004A57FA">
        <w:rPr>
          <w:rFonts w:asciiTheme="minorEastAsia" w:eastAsiaTheme="minorEastAsia" w:hAnsiTheme="minorEastAsia" w:hint="eastAsia"/>
          <w:b/>
        </w:rPr>
        <w:t>）本</w:t>
      </w:r>
      <w:r w:rsidR="00AC0CD4" w:rsidRPr="004A57FA">
        <w:rPr>
          <w:rFonts w:asciiTheme="minorEastAsia" w:eastAsiaTheme="minorEastAsia" w:hAnsiTheme="minorEastAsia"/>
          <w:b/>
        </w:rPr>
        <w:t>基金</w:t>
      </w:r>
      <w:r w:rsidR="00AC0CD4" w:rsidRPr="004A57FA">
        <w:rPr>
          <w:rFonts w:asciiTheme="minorEastAsia" w:eastAsiaTheme="minorEastAsia" w:hAnsiTheme="minorEastAsia" w:hint="eastAsia"/>
          <w:b/>
        </w:rPr>
        <w:t>股票资产</w:t>
      </w:r>
      <w:r w:rsidR="00AC0CD4" w:rsidRPr="004A57FA">
        <w:rPr>
          <w:rFonts w:asciiTheme="minorEastAsia" w:eastAsiaTheme="minorEastAsia" w:hAnsiTheme="minorEastAsia"/>
          <w:b/>
        </w:rPr>
        <w:t>仓位</w:t>
      </w:r>
      <w:r w:rsidR="00AC0CD4" w:rsidRPr="004A57FA">
        <w:rPr>
          <w:rFonts w:asciiTheme="minorEastAsia" w:eastAsiaTheme="minorEastAsia" w:hAnsiTheme="minorEastAsia" w:hint="eastAsia"/>
          <w:b/>
        </w:rPr>
        <w:t>偏高</w:t>
      </w:r>
      <w:r w:rsidR="00AC0CD4" w:rsidRPr="004A57FA">
        <w:rPr>
          <w:rFonts w:asciiTheme="minorEastAsia" w:eastAsiaTheme="minorEastAsia" w:hAnsiTheme="minorEastAsia"/>
          <w:b/>
        </w:rPr>
        <w:t>且相对稳定</w:t>
      </w:r>
      <w:r w:rsidR="00AC0CD4" w:rsidRPr="004A57FA">
        <w:rPr>
          <w:rFonts w:asciiTheme="minorEastAsia" w:eastAsiaTheme="minorEastAsia" w:hAnsiTheme="minorEastAsia" w:hint="eastAsia"/>
          <w:b/>
        </w:rPr>
        <w:t>而</w:t>
      </w:r>
      <w:r w:rsidR="00AC0CD4" w:rsidRPr="004A57FA">
        <w:rPr>
          <w:rFonts w:asciiTheme="minorEastAsia" w:eastAsiaTheme="minorEastAsia" w:hAnsiTheme="minorEastAsia"/>
          <w:b/>
        </w:rPr>
        <w:t>面临</w:t>
      </w:r>
      <w:r w:rsidR="00AC0CD4" w:rsidRPr="004A57FA">
        <w:rPr>
          <w:rFonts w:asciiTheme="minorEastAsia" w:eastAsiaTheme="minorEastAsia" w:hAnsiTheme="minorEastAsia" w:hint="eastAsia"/>
          <w:b/>
        </w:rPr>
        <w:t>的资产配置风险；（</w:t>
      </w:r>
      <w:r w:rsidR="00AC0CD4" w:rsidRPr="004A57FA">
        <w:rPr>
          <w:rFonts w:asciiTheme="minorEastAsia" w:eastAsiaTheme="minorEastAsia" w:hAnsiTheme="minorEastAsia"/>
          <w:b/>
        </w:rPr>
        <w:t>2</w:t>
      </w:r>
      <w:r w:rsidR="00AC0CD4" w:rsidRPr="004A57FA">
        <w:rPr>
          <w:rFonts w:asciiTheme="minorEastAsia" w:eastAsiaTheme="minorEastAsia" w:hAnsiTheme="minorEastAsia" w:hint="eastAsia"/>
          <w:b/>
        </w:rPr>
        <w:t>）股票资产主要投资红利股而面临的风险；</w:t>
      </w:r>
      <w:r w:rsidR="00AC0CD4" w:rsidRPr="004A57FA">
        <w:rPr>
          <w:rFonts w:asciiTheme="minorEastAsia" w:eastAsiaTheme="minorEastAsia" w:hAnsiTheme="minorEastAsia"/>
          <w:b/>
        </w:rPr>
        <w:t>（3）</w:t>
      </w:r>
      <w:r w:rsidR="00AC0CD4" w:rsidRPr="004A57FA">
        <w:rPr>
          <w:rFonts w:asciiTheme="minorEastAsia" w:eastAsiaTheme="minorEastAsia" w:hAnsiTheme="minorEastAsia" w:hint="eastAsia"/>
          <w:b/>
        </w:rPr>
        <w:t>本</w:t>
      </w:r>
      <w:r w:rsidR="00AC0CD4" w:rsidRPr="004A57FA">
        <w:rPr>
          <w:rFonts w:asciiTheme="minorEastAsia" w:eastAsiaTheme="minorEastAsia" w:hAnsiTheme="minorEastAsia"/>
          <w:b/>
        </w:rPr>
        <w:t>基金投资</w:t>
      </w:r>
      <w:r w:rsidR="00AC0CD4" w:rsidRPr="004A57FA">
        <w:rPr>
          <w:rFonts w:asciiTheme="minorEastAsia" w:eastAsiaTheme="minorEastAsia" w:hAnsiTheme="minorEastAsia" w:hint="eastAsia"/>
          <w:b/>
        </w:rPr>
        <w:t>范围</w:t>
      </w:r>
      <w:r w:rsidR="00AC0CD4" w:rsidRPr="004A57FA">
        <w:rPr>
          <w:rFonts w:asciiTheme="minorEastAsia" w:eastAsiaTheme="minorEastAsia" w:hAnsiTheme="minorEastAsia"/>
          <w:b/>
        </w:rPr>
        <w:t>包括</w:t>
      </w:r>
      <w:r w:rsidR="00AC0CD4" w:rsidRPr="004A57FA">
        <w:rPr>
          <w:rFonts w:asciiTheme="minorEastAsia" w:eastAsiaTheme="minorEastAsia" w:hAnsiTheme="minorEastAsia" w:hint="eastAsia"/>
          <w:b/>
        </w:rPr>
        <w:t>科创板股票</w:t>
      </w:r>
      <w:r w:rsidR="00C11497" w:rsidRPr="004A57FA">
        <w:rPr>
          <w:rFonts w:asciiTheme="minorEastAsia" w:eastAsiaTheme="minorEastAsia" w:hAnsiTheme="minorEastAsia" w:hint="eastAsia"/>
          <w:b/>
        </w:rPr>
        <w:t>、存托凭证</w:t>
      </w:r>
      <w:r w:rsidR="00AC0CD4" w:rsidRPr="004A57FA">
        <w:rPr>
          <w:rFonts w:asciiTheme="minorEastAsia" w:eastAsiaTheme="minorEastAsia" w:hAnsiTheme="minorEastAsia" w:hint="eastAsia"/>
          <w:b/>
        </w:rPr>
        <w:t>、资产支持证券等特殊</w:t>
      </w:r>
      <w:r w:rsidR="00AC0CD4" w:rsidRPr="004A57FA">
        <w:rPr>
          <w:rFonts w:asciiTheme="minorEastAsia" w:eastAsiaTheme="minorEastAsia" w:hAnsiTheme="minorEastAsia"/>
          <w:b/>
        </w:rPr>
        <w:t>品种</w:t>
      </w:r>
      <w:r w:rsidR="00AC0CD4" w:rsidRPr="004A57FA">
        <w:rPr>
          <w:rFonts w:asciiTheme="minorEastAsia" w:eastAsiaTheme="minorEastAsia" w:hAnsiTheme="minorEastAsia" w:hint="eastAsia"/>
          <w:b/>
        </w:rPr>
        <w:t>而</w:t>
      </w:r>
      <w:r w:rsidR="00AC0CD4" w:rsidRPr="004A57FA">
        <w:rPr>
          <w:rFonts w:asciiTheme="minorEastAsia" w:eastAsiaTheme="minorEastAsia" w:hAnsiTheme="minorEastAsia"/>
          <w:b/>
        </w:rPr>
        <w:t>面临的其他额外风险</w:t>
      </w:r>
      <w:r w:rsidR="00AC0CD4" w:rsidRPr="004A57FA">
        <w:rPr>
          <w:rFonts w:asciiTheme="minorEastAsia" w:eastAsiaTheme="minorEastAsia" w:hAnsiTheme="minorEastAsia" w:hint="eastAsia"/>
          <w:b/>
        </w:rPr>
        <w:t>。此外，本基金还将面临市场风险、流动性风险、管理风险、本基金法律文件中涉及基金风险特征的表述与销售机构对基金的风险评级可能不一致的风险等其他一般风险。</w:t>
      </w:r>
      <w:r w:rsidRPr="004A57FA">
        <w:rPr>
          <w:rFonts w:asciiTheme="minorEastAsia" w:eastAsiaTheme="minorEastAsia" w:hAnsiTheme="minorEastAsia" w:hint="eastAsia"/>
          <w:b/>
          <w:szCs w:val="21"/>
        </w:rPr>
        <w:t>基金管理人提醒投资者基金投资的“买者自负”原则，在投资者作出投资决策后，基金运营状况与基金净值变化引致的投资风险，由投资者自行负责。</w:t>
      </w:r>
    </w:p>
    <w:p w:rsidR="00AF2EE6" w:rsidRPr="004A57FA" w:rsidRDefault="00AF2EE6" w:rsidP="00385845">
      <w:pPr>
        <w:adjustRightInd w:val="0"/>
        <w:snapToGrid w:val="0"/>
        <w:spacing w:line="360" w:lineRule="auto"/>
        <w:ind w:firstLine="480"/>
        <w:rPr>
          <w:rFonts w:asciiTheme="minorEastAsia" w:eastAsiaTheme="minorEastAsia" w:hAnsiTheme="minorEastAsia"/>
          <w:b/>
          <w:szCs w:val="21"/>
        </w:rPr>
      </w:pPr>
      <w:r w:rsidRPr="004A57FA">
        <w:rPr>
          <w:rFonts w:asciiTheme="minorEastAsia" w:eastAsiaTheme="minorEastAsia" w:hAnsiTheme="minorEastAsia" w:hint="eastAsia"/>
          <w:b/>
          <w:szCs w:val="21"/>
        </w:rPr>
        <w:t>基金的过往业绩并不预示其未来表现。</w:t>
      </w:r>
    </w:p>
    <w:p w:rsidR="00AF2EE6" w:rsidRPr="004A57FA" w:rsidRDefault="001E73A8" w:rsidP="00385845">
      <w:pPr>
        <w:adjustRightInd w:val="0"/>
        <w:snapToGrid w:val="0"/>
        <w:spacing w:line="360" w:lineRule="auto"/>
        <w:ind w:firstLine="480"/>
        <w:rPr>
          <w:rFonts w:asciiTheme="minorEastAsia" w:eastAsiaTheme="minorEastAsia" w:hAnsiTheme="minorEastAsia"/>
          <w:b/>
          <w:szCs w:val="21"/>
        </w:rPr>
        <w:sectPr w:rsidR="00AF2EE6" w:rsidRPr="004A57FA" w:rsidSect="00A805DC">
          <w:headerReference w:type="even" r:id="rId9"/>
          <w:headerReference w:type="default" r:id="rId10"/>
          <w:footerReference w:type="even" r:id="rId11"/>
          <w:footerReference w:type="default" r:id="rId12"/>
          <w:headerReference w:type="first" r:id="rId13"/>
          <w:footerReference w:type="first" r:id="rId14"/>
          <w:pgSz w:w="11907" w:h="16840" w:code="9"/>
          <w:pgMar w:top="1440" w:right="1800" w:bottom="1440" w:left="1800" w:header="1134" w:footer="1247" w:gutter="0"/>
          <w:pgNumType w:fmt="upperRoman" w:start="1"/>
          <w:cols w:space="425"/>
          <w:titlePg/>
          <w:docGrid w:type="lines" w:linePitch="447"/>
        </w:sectPr>
      </w:pPr>
      <w:r>
        <w:rPr>
          <w:b/>
        </w:rPr>
        <w:t>本基金有关财务数据截止日为</w:t>
      </w:r>
      <w:r>
        <w:rPr>
          <w:b/>
        </w:rPr>
        <w:t>2021</w:t>
      </w:r>
      <w:r>
        <w:rPr>
          <w:b/>
        </w:rPr>
        <w:t>年</w:t>
      </w:r>
      <w:r>
        <w:rPr>
          <w:b/>
        </w:rPr>
        <w:t>6</w:t>
      </w:r>
      <w:r>
        <w:rPr>
          <w:b/>
        </w:rPr>
        <w:t>月</w:t>
      </w:r>
      <w:r>
        <w:rPr>
          <w:b/>
        </w:rPr>
        <w:t>30</w:t>
      </w:r>
      <w:r>
        <w:rPr>
          <w:b/>
        </w:rPr>
        <w:t>日，净值表现截止日为</w:t>
      </w:r>
      <w:r>
        <w:rPr>
          <w:b/>
        </w:rPr>
        <w:t>2020</w:t>
      </w:r>
      <w:r>
        <w:rPr>
          <w:b/>
        </w:rPr>
        <w:t>年</w:t>
      </w:r>
      <w:r>
        <w:rPr>
          <w:b/>
        </w:rPr>
        <w:t>12</w:t>
      </w:r>
      <w:r>
        <w:rPr>
          <w:b/>
        </w:rPr>
        <w:t>月</w:t>
      </w:r>
      <w:r>
        <w:rPr>
          <w:b/>
        </w:rPr>
        <w:t>31</w:t>
      </w:r>
      <w:r>
        <w:rPr>
          <w:b/>
        </w:rPr>
        <w:t>日，主要人员情况截止日为</w:t>
      </w:r>
      <w:r>
        <w:rPr>
          <w:b/>
        </w:rPr>
        <w:t>2021</w:t>
      </w:r>
      <w:r>
        <w:rPr>
          <w:b/>
        </w:rPr>
        <w:t>年</w:t>
      </w:r>
      <w:r>
        <w:rPr>
          <w:b/>
        </w:rPr>
        <w:t>8</w:t>
      </w:r>
      <w:r>
        <w:rPr>
          <w:b/>
        </w:rPr>
        <w:t>月</w:t>
      </w:r>
      <w:r>
        <w:rPr>
          <w:b/>
        </w:rPr>
        <w:t>30</w:t>
      </w:r>
      <w:r>
        <w:rPr>
          <w:b/>
        </w:rPr>
        <w:t>日，除非另有说明，本招募说明书其他所载内容截止日为</w:t>
      </w:r>
      <w:r>
        <w:rPr>
          <w:b/>
        </w:rPr>
        <w:t>2021</w:t>
      </w:r>
      <w:r>
        <w:rPr>
          <w:b/>
        </w:rPr>
        <w:t>年</w:t>
      </w:r>
      <w:r>
        <w:rPr>
          <w:b/>
        </w:rPr>
        <w:t>7</w:t>
      </w:r>
      <w:r>
        <w:rPr>
          <w:b/>
        </w:rPr>
        <w:t>月</w:t>
      </w:r>
      <w:r>
        <w:rPr>
          <w:b/>
        </w:rPr>
        <w:t>16</w:t>
      </w:r>
      <w:r>
        <w:rPr>
          <w:b/>
        </w:rPr>
        <w:t>日。（本报告中财务数据未经审计）</w:t>
      </w:r>
    </w:p>
    <w:p w:rsidR="00AF2EE6" w:rsidRPr="004A57FA" w:rsidRDefault="00AF2EE6" w:rsidP="00385845">
      <w:pPr>
        <w:adjustRightInd w:val="0"/>
        <w:snapToGrid w:val="0"/>
        <w:spacing w:line="360" w:lineRule="auto"/>
        <w:jc w:val="center"/>
        <w:rPr>
          <w:rFonts w:asciiTheme="minorEastAsia" w:eastAsiaTheme="minorEastAsia" w:hAnsiTheme="minorEastAsia"/>
          <w:b/>
          <w:sz w:val="28"/>
          <w:szCs w:val="28"/>
        </w:rPr>
      </w:pPr>
      <w:r w:rsidRPr="004A57FA">
        <w:rPr>
          <w:rFonts w:asciiTheme="minorEastAsia" w:eastAsiaTheme="minorEastAsia" w:hAnsiTheme="minorEastAsia" w:hint="eastAsia"/>
          <w:b/>
          <w:sz w:val="28"/>
          <w:szCs w:val="28"/>
        </w:rPr>
        <w:lastRenderedPageBreak/>
        <w:t>目录</w:t>
      </w:r>
    </w:p>
    <w:p w:rsidR="007A5CF8" w:rsidRDefault="00297BB2">
      <w:pPr>
        <w:pStyle w:val="10"/>
        <w:rPr>
          <w:rFonts w:asciiTheme="minorHAnsi" w:eastAsiaTheme="minorEastAsia" w:hAnsiTheme="minorHAnsi" w:cstheme="minorBidi"/>
          <w:caps w:val="0"/>
          <w:sz w:val="21"/>
          <w:szCs w:val="22"/>
        </w:rPr>
      </w:pPr>
      <w:r w:rsidRPr="004A57FA">
        <w:rPr>
          <w:rFonts w:asciiTheme="minorEastAsia" w:eastAsiaTheme="minorEastAsia" w:hAnsiTheme="minorEastAsia"/>
          <w:b/>
          <w:caps w:val="0"/>
          <w:szCs w:val="21"/>
        </w:rPr>
        <w:fldChar w:fldCharType="begin"/>
      </w:r>
      <w:r w:rsidR="00AF2EE6" w:rsidRPr="004A57FA">
        <w:rPr>
          <w:rFonts w:asciiTheme="minorEastAsia" w:eastAsiaTheme="minorEastAsia" w:hAnsiTheme="minorEastAsia"/>
          <w:b/>
          <w:caps w:val="0"/>
          <w:szCs w:val="21"/>
        </w:rPr>
        <w:instrText xml:space="preserve"> TOC \o "1-3" \h \z \u </w:instrText>
      </w:r>
      <w:r w:rsidRPr="004A57FA">
        <w:rPr>
          <w:rFonts w:asciiTheme="minorEastAsia" w:eastAsiaTheme="minorEastAsia" w:hAnsiTheme="minorEastAsia"/>
          <w:b/>
          <w:caps w:val="0"/>
          <w:szCs w:val="21"/>
        </w:rPr>
        <w:fldChar w:fldCharType="separate"/>
      </w:r>
      <w:hyperlink w:anchor="_Toc81230970" w:history="1">
        <w:r w:rsidR="007A5CF8" w:rsidRPr="00EC71FA">
          <w:rPr>
            <w:rStyle w:val="af2"/>
            <w:rFonts w:asciiTheme="minorEastAsia" w:hAnsiTheme="minorEastAsia" w:hint="eastAsia"/>
            <w:b/>
            <w:bCs/>
          </w:rPr>
          <w:t>一、绪言</w:t>
        </w:r>
        <w:r w:rsidR="007A5CF8">
          <w:rPr>
            <w:webHidden/>
          </w:rPr>
          <w:tab/>
        </w:r>
        <w:r w:rsidR="007A5CF8">
          <w:rPr>
            <w:webHidden/>
          </w:rPr>
          <w:fldChar w:fldCharType="begin"/>
        </w:r>
        <w:r w:rsidR="007A5CF8">
          <w:rPr>
            <w:webHidden/>
          </w:rPr>
          <w:instrText xml:space="preserve"> PAGEREF _Toc81230970 \h </w:instrText>
        </w:r>
        <w:r w:rsidR="007A5CF8">
          <w:rPr>
            <w:webHidden/>
          </w:rPr>
        </w:r>
        <w:r w:rsidR="007A5CF8">
          <w:rPr>
            <w:webHidden/>
          </w:rPr>
          <w:fldChar w:fldCharType="separate"/>
        </w:r>
        <w:r w:rsidR="00365A7C">
          <w:rPr>
            <w:webHidden/>
          </w:rPr>
          <w:t>1</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71" w:history="1">
        <w:r w:rsidR="007A5CF8" w:rsidRPr="00EC71FA">
          <w:rPr>
            <w:rStyle w:val="af2"/>
            <w:rFonts w:asciiTheme="minorEastAsia" w:hAnsiTheme="minorEastAsia" w:hint="eastAsia"/>
            <w:b/>
          </w:rPr>
          <w:t>二、释义</w:t>
        </w:r>
        <w:r w:rsidR="007A5CF8">
          <w:rPr>
            <w:webHidden/>
          </w:rPr>
          <w:tab/>
        </w:r>
        <w:r w:rsidR="007A5CF8">
          <w:rPr>
            <w:webHidden/>
          </w:rPr>
          <w:fldChar w:fldCharType="begin"/>
        </w:r>
        <w:r w:rsidR="007A5CF8">
          <w:rPr>
            <w:webHidden/>
          </w:rPr>
          <w:instrText xml:space="preserve"> PAGEREF _Toc81230971 \h </w:instrText>
        </w:r>
        <w:r w:rsidR="007A5CF8">
          <w:rPr>
            <w:webHidden/>
          </w:rPr>
        </w:r>
        <w:r w:rsidR="007A5CF8">
          <w:rPr>
            <w:webHidden/>
          </w:rPr>
          <w:fldChar w:fldCharType="separate"/>
        </w:r>
        <w:r w:rsidR="00365A7C">
          <w:rPr>
            <w:webHidden/>
          </w:rPr>
          <w:t>2</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72" w:history="1">
        <w:r w:rsidR="007A5CF8" w:rsidRPr="00EC71FA">
          <w:rPr>
            <w:rStyle w:val="af2"/>
            <w:rFonts w:asciiTheme="minorEastAsia" w:hAnsiTheme="minorEastAsia" w:hint="eastAsia"/>
            <w:b/>
            <w:bCs/>
          </w:rPr>
          <w:t>三、基金管理人</w:t>
        </w:r>
        <w:r w:rsidR="007A5CF8">
          <w:rPr>
            <w:webHidden/>
          </w:rPr>
          <w:tab/>
        </w:r>
        <w:r w:rsidR="007A5CF8">
          <w:rPr>
            <w:webHidden/>
          </w:rPr>
          <w:fldChar w:fldCharType="begin"/>
        </w:r>
        <w:r w:rsidR="007A5CF8">
          <w:rPr>
            <w:webHidden/>
          </w:rPr>
          <w:instrText xml:space="preserve"> PAGEREF _Toc81230972 \h </w:instrText>
        </w:r>
        <w:r w:rsidR="007A5CF8">
          <w:rPr>
            <w:webHidden/>
          </w:rPr>
        </w:r>
        <w:r w:rsidR="007A5CF8">
          <w:rPr>
            <w:webHidden/>
          </w:rPr>
          <w:fldChar w:fldCharType="separate"/>
        </w:r>
        <w:r w:rsidR="00365A7C">
          <w:rPr>
            <w:webHidden/>
          </w:rPr>
          <w:t>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73" w:history="1">
        <w:r w:rsidR="007A5CF8" w:rsidRPr="00EC71FA">
          <w:rPr>
            <w:rStyle w:val="af2"/>
            <w:rFonts w:asciiTheme="minorEastAsia" w:hAnsiTheme="minorEastAsia" w:hint="eastAsia"/>
            <w:kern w:val="0"/>
          </w:rPr>
          <w:t>（一）基金管理人基本情况</w:t>
        </w:r>
        <w:r w:rsidR="007A5CF8">
          <w:rPr>
            <w:webHidden/>
          </w:rPr>
          <w:tab/>
        </w:r>
        <w:r w:rsidR="007A5CF8">
          <w:rPr>
            <w:webHidden/>
          </w:rPr>
          <w:fldChar w:fldCharType="begin"/>
        </w:r>
        <w:r w:rsidR="007A5CF8">
          <w:rPr>
            <w:webHidden/>
          </w:rPr>
          <w:instrText xml:space="preserve"> PAGEREF _Toc81230973 \h </w:instrText>
        </w:r>
        <w:r w:rsidR="007A5CF8">
          <w:rPr>
            <w:webHidden/>
          </w:rPr>
        </w:r>
        <w:r w:rsidR="007A5CF8">
          <w:rPr>
            <w:webHidden/>
          </w:rPr>
          <w:fldChar w:fldCharType="separate"/>
        </w:r>
        <w:r w:rsidR="00365A7C">
          <w:rPr>
            <w:webHidden/>
          </w:rPr>
          <w:t>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74" w:history="1">
        <w:r w:rsidR="007A5CF8" w:rsidRPr="00EC71FA">
          <w:rPr>
            <w:rStyle w:val="af2"/>
            <w:rFonts w:asciiTheme="minorEastAsia" w:hAnsiTheme="minorEastAsia" w:hint="eastAsia"/>
          </w:rPr>
          <w:t>（二）主要人员情况</w:t>
        </w:r>
        <w:r w:rsidR="007A5CF8">
          <w:rPr>
            <w:webHidden/>
          </w:rPr>
          <w:tab/>
        </w:r>
        <w:r w:rsidR="007A5CF8">
          <w:rPr>
            <w:webHidden/>
          </w:rPr>
          <w:fldChar w:fldCharType="begin"/>
        </w:r>
        <w:r w:rsidR="007A5CF8">
          <w:rPr>
            <w:webHidden/>
          </w:rPr>
          <w:instrText xml:space="preserve"> PAGEREF _Toc81230974 \h </w:instrText>
        </w:r>
        <w:r w:rsidR="007A5CF8">
          <w:rPr>
            <w:webHidden/>
          </w:rPr>
        </w:r>
        <w:r w:rsidR="007A5CF8">
          <w:rPr>
            <w:webHidden/>
          </w:rPr>
          <w:fldChar w:fldCharType="separate"/>
        </w:r>
        <w:r w:rsidR="00365A7C">
          <w:rPr>
            <w:webHidden/>
          </w:rPr>
          <w:t>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75" w:history="1">
        <w:r w:rsidR="007A5CF8" w:rsidRPr="00EC71FA">
          <w:rPr>
            <w:rStyle w:val="af2"/>
            <w:rFonts w:asciiTheme="minorEastAsia" w:hAnsiTheme="minorEastAsia" w:hint="eastAsia"/>
            <w:bCs/>
          </w:rPr>
          <w:t>（三）基金管理人的职责</w:t>
        </w:r>
        <w:r w:rsidR="007A5CF8">
          <w:rPr>
            <w:webHidden/>
          </w:rPr>
          <w:tab/>
        </w:r>
        <w:r w:rsidR="007A5CF8">
          <w:rPr>
            <w:webHidden/>
          </w:rPr>
          <w:fldChar w:fldCharType="begin"/>
        </w:r>
        <w:r w:rsidR="007A5CF8">
          <w:rPr>
            <w:webHidden/>
          </w:rPr>
          <w:instrText xml:space="preserve"> PAGEREF _Toc81230975 \h </w:instrText>
        </w:r>
        <w:r w:rsidR="007A5CF8">
          <w:rPr>
            <w:webHidden/>
          </w:rPr>
        </w:r>
        <w:r w:rsidR="007A5CF8">
          <w:rPr>
            <w:webHidden/>
          </w:rPr>
          <w:fldChar w:fldCharType="separate"/>
        </w:r>
        <w:r w:rsidR="00365A7C">
          <w:rPr>
            <w:webHidden/>
          </w:rPr>
          <w:t>12</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76" w:history="1">
        <w:r w:rsidR="007A5CF8" w:rsidRPr="00EC71FA">
          <w:rPr>
            <w:rStyle w:val="af2"/>
            <w:rFonts w:asciiTheme="minorEastAsia" w:hAnsiTheme="minorEastAsia" w:hint="eastAsia"/>
            <w:bCs/>
          </w:rPr>
          <w:t>（四）基金管理人的承诺</w:t>
        </w:r>
        <w:r w:rsidR="007A5CF8">
          <w:rPr>
            <w:webHidden/>
          </w:rPr>
          <w:tab/>
        </w:r>
        <w:r w:rsidR="007A5CF8">
          <w:rPr>
            <w:webHidden/>
          </w:rPr>
          <w:fldChar w:fldCharType="begin"/>
        </w:r>
        <w:r w:rsidR="007A5CF8">
          <w:rPr>
            <w:webHidden/>
          </w:rPr>
          <w:instrText xml:space="preserve"> PAGEREF _Toc81230976 \h </w:instrText>
        </w:r>
        <w:r w:rsidR="007A5CF8">
          <w:rPr>
            <w:webHidden/>
          </w:rPr>
        </w:r>
        <w:r w:rsidR="007A5CF8">
          <w:rPr>
            <w:webHidden/>
          </w:rPr>
          <w:fldChar w:fldCharType="separate"/>
        </w:r>
        <w:r w:rsidR="00365A7C">
          <w:rPr>
            <w:webHidden/>
          </w:rPr>
          <w:t>13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77" w:history="1">
        <w:r w:rsidR="007A5CF8" w:rsidRPr="00EC71FA">
          <w:rPr>
            <w:rStyle w:val="af2"/>
            <w:rFonts w:asciiTheme="minorEastAsia" w:hAnsiTheme="minorEastAsia" w:hint="eastAsia"/>
            <w:bCs/>
          </w:rPr>
          <w:t>（五）基金管理人的内部控制制度</w:t>
        </w:r>
        <w:r w:rsidR="007A5CF8">
          <w:rPr>
            <w:webHidden/>
          </w:rPr>
          <w:tab/>
        </w:r>
        <w:r w:rsidR="007A5CF8">
          <w:rPr>
            <w:webHidden/>
          </w:rPr>
          <w:fldChar w:fldCharType="begin"/>
        </w:r>
        <w:r w:rsidR="007A5CF8">
          <w:rPr>
            <w:webHidden/>
          </w:rPr>
          <w:instrText xml:space="preserve"> PAGEREF _Toc81230977 \h </w:instrText>
        </w:r>
        <w:r w:rsidR="007A5CF8">
          <w:rPr>
            <w:webHidden/>
          </w:rPr>
        </w:r>
        <w:r w:rsidR="007A5CF8">
          <w:rPr>
            <w:webHidden/>
          </w:rPr>
          <w:fldChar w:fldCharType="separate"/>
        </w:r>
        <w:r w:rsidR="00365A7C">
          <w:rPr>
            <w:webHidden/>
          </w:rPr>
          <w:t>14</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78" w:history="1">
        <w:r w:rsidR="007A5CF8" w:rsidRPr="00EC71FA">
          <w:rPr>
            <w:rStyle w:val="af2"/>
            <w:rFonts w:asciiTheme="minorEastAsia" w:hAnsiTheme="minorEastAsia" w:hint="eastAsia"/>
            <w:b/>
            <w:bCs/>
          </w:rPr>
          <w:t>四、基金托管人</w:t>
        </w:r>
        <w:r w:rsidR="007A5CF8">
          <w:rPr>
            <w:webHidden/>
          </w:rPr>
          <w:tab/>
        </w:r>
        <w:r w:rsidR="007A5CF8">
          <w:rPr>
            <w:webHidden/>
          </w:rPr>
          <w:fldChar w:fldCharType="begin"/>
        </w:r>
        <w:r w:rsidR="007A5CF8">
          <w:rPr>
            <w:webHidden/>
          </w:rPr>
          <w:instrText xml:space="preserve"> PAGEREF _Toc81230978 \h </w:instrText>
        </w:r>
        <w:r w:rsidR="007A5CF8">
          <w:rPr>
            <w:webHidden/>
          </w:rPr>
        </w:r>
        <w:r w:rsidR="007A5CF8">
          <w:rPr>
            <w:webHidden/>
          </w:rPr>
          <w:fldChar w:fldCharType="separate"/>
        </w:r>
        <w:r w:rsidR="00365A7C">
          <w:rPr>
            <w:webHidden/>
          </w:rPr>
          <w:t>17</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79" w:history="1">
        <w:r w:rsidR="007A5CF8" w:rsidRPr="00EC71FA">
          <w:rPr>
            <w:rStyle w:val="af2"/>
            <w:rFonts w:asciiTheme="minorEastAsia" w:hAnsiTheme="minorEastAsia" w:hint="eastAsia"/>
            <w:b/>
            <w:bCs/>
          </w:rPr>
          <w:t>五、相关服务机构</w:t>
        </w:r>
        <w:r w:rsidR="007A5CF8">
          <w:rPr>
            <w:webHidden/>
          </w:rPr>
          <w:tab/>
        </w:r>
        <w:r w:rsidR="007A5CF8">
          <w:rPr>
            <w:webHidden/>
          </w:rPr>
          <w:fldChar w:fldCharType="begin"/>
        </w:r>
        <w:r w:rsidR="007A5CF8">
          <w:rPr>
            <w:webHidden/>
          </w:rPr>
          <w:instrText xml:space="preserve"> PAGEREF _Toc81230979 \h </w:instrText>
        </w:r>
        <w:r w:rsidR="007A5CF8">
          <w:rPr>
            <w:webHidden/>
          </w:rPr>
        </w:r>
        <w:r w:rsidR="007A5CF8">
          <w:rPr>
            <w:webHidden/>
          </w:rPr>
          <w:fldChar w:fldCharType="separate"/>
        </w:r>
        <w:r w:rsidR="00365A7C">
          <w:rPr>
            <w:webHidden/>
          </w:rPr>
          <w:t>21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0" w:history="1">
        <w:r w:rsidR="007A5CF8" w:rsidRPr="00EC71FA">
          <w:rPr>
            <w:rStyle w:val="af2"/>
            <w:rFonts w:asciiTheme="minorEastAsia" w:hAnsiTheme="minorEastAsia" w:hint="eastAsia"/>
            <w:bCs/>
          </w:rPr>
          <w:t>（一）基金份额销售机构</w:t>
        </w:r>
        <w:r w:rsidR="007A5CF8">
          <w:rPr>
            <w:webHidden/>
          </w:rPr>
          <w:tab/>
        </w:r>
        <w:r w:rsidR="007A5CF8">
          <w:rPr>
            <w:webHidden/>
          </w:rPr>
          <w:fldChar w:fldCharType="begin"/>
        </w:r>
        <w:r w:rsidR="007A5CF8">
          <w:rPr>
            <w:webHidden/>
          </w:rPr>
          <w:instrText xml:space="preserve"> PAGEREF _Toc81230980 \h </w:instrText>
        </w:r>
        <w:r w:rsidR="007A5CF8">
          <w:rPr>
            <w:webHidden/>
          </w:rPr>
        </w:r>
        <w:r w:rsidR="007A5CF8">
          <w:rPr>
            <w:webHidden/>
          </w:rPr>
          <w:fldChar w:fldCharType="separate"/>
        </w:r>
        <w:r w:rsidR="00365A7C">
          <w:rPr>
            <w:webHidden/>
          </w:rPr>
          <w:t>21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1" w:history="1">
        <w:r w:rsidR="007A5CF8" w:rsidRPr="00EC71FA">
          <w:rPr>
            <w:rStyle w:val="af2"/>
            <w:rFonts w:asciiTheme="minorEastAsia" w:hAnsiTheme="minorEastAsia" w:hint="eastAsia"/>
            <w:bCs/>
          </w:rPr>
          <w:t>（二）基金注册登记机构</w:t>
        </w:r>
        <w:r w:rsidR="007A5CF8">
          <w:rPr>
            <w:webHidden/>
          </w:rPr>
          <w:tab/>
        </w:r>
        <w:r w:rsidR="007A5CF8">
          <w:rPr>
            <w:webHidden/>
          </w:rPr>
          <w:fldChar w:fldCharType="begin"/>
        </w:r>
        <w:r w:rsidR="007A5CF8">
          <w:rPr>
            <w:webHidden/>
          </w:rPr>
          <w:instrText xml:space="preserve"> PAGEREF _Toc81230981 \h </w:instrText>
        </w:r>
        <w:r w:rsidR="007A5CF8">
          <w:rPr>
            <w:webHidden/>
          </w:rPr>
        </w:r>
        <w:r w:rsidR="007A5CF8">
          <w:rPr>
            <w:webHidden/>
          </w:rPr>
          <w:fldChar w:fldCharType="separate"/>
        </w:r>
        <w:r w:rsidR="00365A7C">
          <w:rPr>
            <w:webHidden/>
          </w:rPr>
          <w:t>85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2" w:history="1">
        <w:r w:rsidR="007A5CF8" w:rsidRPr="00EC71FA">
          <w:rPr>
            <w:rStyle w:val="af2"/>
            <w:rFonts w:asciiTheme="minorEastAsia" w:hAnsiTheme="minorEastAsia" w:hint="eastAsia"/>
            <w:bCs/>
          </w:rPr>
          <w:t>（三）律师事务所和经办律师</w:t>
        </w:r>
        <w:r w:rsidR="007A5CF8">
          <w:rPr>
            <w:webHidden/>
          </w:rPr>
          <w:tab/>
        </w:r>
        <w:r w:rsidR="007A5CF8">
          <w:rPr>
            <w:webHidden/>
          </w:rPr>
          <w:fldChar w:fldCharType="begin"/>
        </w:r>
        <w:r w:rsidR="007A5CF8">
          <w:rPr>
            <w:webHidden/>
          </w:rPr>
          <w:instrText xml:space="preserve"> PAGEREF _Toc81230982 \h </w:instrText>
        </w:r>
        <w:r w:rsidR="007A5CF8">
          <w:rPr>
            <w:webHidden/>
          </w:rPr>
        </w:r>
        <w:r w:rsidR="007A5CF8">
          <w:rPr>
            <w:webHidden/>
          </w:rPr>
          <w:fldChar w:fldCharType="separate"/>
        </w:r>
        <w:r w:rsidR="00365A7C">
          <w:rPr>
            <w:webHidden/>
          </w:rPr>
          <w:t>85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3" w:history="1">
        <w:r w:rsidR="007A5CF8" w:rsidRPr="00EC71FA">
          <w:rPr>
            <w:rStyle w:val="af2"/>
            <w:rFonts w:asciiTheme="minorEastAsia" w:hAnsiTheme="minorEastAsia" w:hint="eastAsia"/>
            <w:bCs/>
          </w:rPr>
          <w:t>（四）会计师事务所和经办注册会计师</w:t>
        </w:r>
        <w:r w:rsidR="007A5CF8">
          <w:rPr>
            <w:webHidden/>
          </w:rPr>
          <w:tab/>
        </w:r>
        <w:r w:rsidR="007A5CF8">
          <w:rPr>
            <w:webHidden/>
          </w:rPr>
          <w:fldChar w:fldCharType="begin"/>
        </w:r>
        <w:r w:rsidR="007A5CF8">
          <w:rPr>
            <w:webHidden/>
          </w:rPr>
          <w:instrText xml:space="preserve"> PAGEREF _Toc81230983 \h </w:instrText>
        </w:r>
        <w:r w:rsidR="007A5CF8">
          <w:rPr>
            <w:webHidden/>
          </w:rPr>
        </w:r>
        <w:r w:rsidR="007A5CF8">
          <w:rPr>
            <w:webHidden/>
          </w:rPr>
          <w:fldChar w:fldCharType="separate"/>
        </w:r>
        <w:r w:rsidR="00365A7C">
          <w:rPr>
            <w:webHidden/>
          </w:rPr>
          <w:t>85</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84" w:history="1">
        <w:r w:rsidR="007A5CF8" w:rsidRPr="00EC71FA">
          <w:rPr>
            <w:rStyle w:val="af2"/>
            <w:rFonts w:asciiTheme="minorEastAsia" w:hAnsiTheme="minorEastAsia" w:hint="eastAsia"/>
            <w:b/>
            <w:bCs/>
          </w:rPr>
          <w:t>六、基金的历史沿革</w:t>
        </w:r>
        <w:r w:rsidR="007A5CF8">
          <w:rPr>
            <w:webHidden/>
          </w:rPr>
          <w:tab/>
        </w:r>
        <w:r w:rsidR="007A5CF8">
          <w:rPr>
            <w:webHidden/>
          </w:rPr>
          <w:fldChar w:fldCharType="begin"/>
        </w:r>
        <w:r w:rsidR="007A5CF8">
          <w:rPr>
            <w:webHidden/>
          </w:rPr>
          <w:instrText xml:space="preserve"> PAGEREF _Toc81230984 \h </w:instrText>
        </w:r>
        <w:r w:rsidR="007A5CF8">
          <w:rPr>
            <w:webHidden/>
          </w:rPr>
        </w:r>
        <w:r w:rsidR="007A5CF8">
          <w:rPr>
            <w:webHidden/>
          </w:rPr>
          <w:fldChar w:fldCharType="separate"/>
        </w:r>
        <w:r w:rsidR="00365A7C">
          <w:rPr>
            <w:webHidden/>
          </w:rPr>
          <w:t>87</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85" w:history="1">
        <w:r w:rsidR="007A5CF8" w:rsidRPr="00EC71FA">
          <w:rPr>
            <w:rStyle w:val="af2"/>
            <w:rFonts w:asciiTheme="minorEastAsia" w:hAnsiTheme="minorEastAsia" w:hint="eastAsia"/>
            <w:b/>
            <w:bCs/>
          </w:rPr>
          <w:t>七、基金的存续</w:t>
        </w:r>
        <w:r w:rsidR="007A5CF8">
          <w:rPr>
            <w:webHidden/>
          </w:rPr>
          <w:tab/>
        </w:r>
        <w:r w:rsidR="007A5CF8">
          <w:rPr>
            <w:webHidden/>
          </w:rPr>
          <w:fldChar w:fldCharType="begin"/>
        </w:r>
        <w:r w:rsidR="007A5CF8">
          <w:rPr>
            <w:webHidden/>
          </w:rPr>
          <w:instrText xml:space="preserve"> PAGEREF _Toc81230985 \h </w:instrText>
        </w:r>
        <w:r w:rsidR="007A5CF8">
          <w:rPr>
            <w:webHidden/>
          </w:rPr>
        </w:r>
        <w:r w:rsidR="007A5CF8">
          <w:rPr>
            <w:webHidden/>
          </w:rPr>
          <w:fldChar w:fldCharType="separate"/>
        </w:r>
        <w:r w:rsidR="00365A7C">
          <w:rPr>
            <w:webHidden/>
          </w:rPr>
          <w:t>88</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86" w:history="1">
        <w:r w:rsidR="007A5CF8" w:rsidRPr="00EC71FA">
          <w:rPr>
            <w:rStyle w:val="af2"/>
            <w:rFonts w:asciiTheme="minorEastAsia" w:hAnsiTheme="minorEastAsia" w:hint="eastAsia"/>
            <w:b/>
            <w:bCs/>
          </w:rPr>
          <w:t>八、基金的集中申购</w:t>
        </w:r>
        <w:r w:rsidR="007A5CF8">
          <w:rPr>
            <w:webHidden/>
          </w:rPr>
          <w:tab/>
        </w:r>
        <w:r w:rsidR="007A5CF8">
          <w:rPr>
            <w:webHidden/>
          </w:rPr>
          <w:fldChar w:fldCharType="begin"/>
        </w:r>
        <w:r w:rsidR="007A5CF8">
          <w:rPr>
            <w:webHidden/>
          </w:rPr>
          <w:instrText xml:space="preserve"> PAGEREF _Toc81230986 \h </w:instrText>
        </w:r>
        <w:r w:rsidR="007A5CF8">
          <w:rPr>
            <w:webHidden/>
          </w:rPr>
        </w:r>
        <w:r w:rsidR="007A5CF8">
          <w:rPr>
            <w:webHidden/>
          </w:rPr>
          <w:fldChar w:fldCharType="separate"/>
        </w:r>
        <w:r w:rsidR="00365A7C">
          <w:rPr>
            <w:webHidden/>
          </w:rPr>
          <w:t>89</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87" w:history="1">
        <w:r w:rsidR="007A5CF8" w:rsidRPr="00EC71FA">
          <w:rPr>
            <w:rStyle w:val="af2"/>
            <w:rFonts w:asciiTheme="minorEastAsia" w:hAnsiTheme="minorEastAsia" w:hint="eastAsia"/>
            <w:b/>
            <w:bCs/>
          </w:rPr>
          <w:t>九、基金份额的申购、赎回</w:t>
        </w:r>
        <w:r w:rsidR="007A5CF8">
          <w:rPr>
            <w:webHidden/>
          </w:rPr>
          <w:tab/>
        </w:r>
        <w:r w:rsidR="007A5CF8">
          <w:rPr>
            <w:webHidden/>
          </w:rPr>
          <w:fldChar w:fldCharType="begin"/>
        </w:r>
        <w:r w:rsidR="007A5CF8">
          <w:rPr>
            <w:webHidden/>
          </w:rPr>
          <w:instrText xml:space="preserve"> PAGEREF _Toc81230987 \h </w:instrText>
        </w:r>
        <w:r w:rsidR="007A5CF8">
          <w:rPr>
            <w:webHidden/>
          </w:rPr>
        </w:r>
        <w:r w:rsidR="007A5CF8">
          <w:rPr>
            <w:webHidden/>
          </w:rPr>
          <w:fldChar w:fldCharType="separate"/>
        </w:r>
        <w:r w:rsidR="00365A7C">
          <w:rPr>
            <w:webHidden/>
          </w:rPr>
          <w:t>90</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8" w:history="1">
        <w:r w:rsidR="007A5CF8" w:rsidRPr="00EC71FA">
          <w:rPr>
            <w:rStyle w:val="af2"/>
            <w:rFonts w:asciiTheme="minorEastAsia" w:hAnsiTheme="minorEastAsia" w:hint="eastAsia"/>
          </w:rPr>
          <w:t>（一）基金投资者范围</w:t>
        </w:r>
        <w:r w:rsidR="007A5CF8">
          <w:rPr>
            <w:webHidden/>
          </w:rPr>
          <w:tab/>
        </w:r>
        <w:r w:rsidR="007A5CF8">
          <w:rPr>
            <w:webHidden/>
          </w:rPr>
          <w:fldChar w:fldCharType="begin"/>
        </w:r>
        <w:r w:rsidR="007A5CF8">
          <w:rPr>
            <w:webHidden/>
          </w:rPr>
          <w:instrText xml:space="preserve"> PAGEREF _Toc81230988 \h </w:instrText>
        </w:r>
        <w:r w:rsidR="007A5CF8">
          <w:rPr>
            <w:webHidden/>
          </w:rPr>
        </w:r>
        <w:r w:rsidR="007A5CF8">
          <w:rPr>
            <w:webHidden/>
          </w:rPr>
          <w:fldChar w:fldCharType="separate"/>
        </w:r>
        <w:r w:rsidR="00365A7C">
          <w:rPr>
            <w:webHidden/>
          </w:rPr>
          <w:t>90</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89" w:history="1">
        <w:r w:rsidR="007A5CF8" w:rsidRPr="00EC71FA">
          <w:rPr>
            <w:rStyle w:val="af2"/>
            <w:rFonts w:asciiTheme="minorEastAsia" w:hAnsiTheme="minorEastAsia" w:hint="eastAsia"/>
          </w:rPr>
          <w:t>（二）申购、赎回的场所</w:t>
        </w:r>
        <w:r w:rsidR="007A5CF8">
          <w:rPr>
            <w:webHidden/>
          </w:rPr>
          <w:tab/>
        </w:r>
        <w:r w:rsidR="007A5CF8">
          <w:rPr>
            <w:webHidden/>
          </w:rPr>
          <w:fldChar w:fldCharType="begin"/>
        </w:r>
        <w:r w:rsidR="007A5CF8">
          <w:rPr>
            <w:webHidden/>
          </w:rPr>
          <w:instrText xml:space="preserve"> PAGEREF _Toc81230989 \h </w:instrText>
        </w:r>
        <w:r w:rsidR="007A5CF8">
          <w:rPr>
            <w:webHidden/>
          </w:rPr>
        </w:r>
        <w:r w:rsidR="007A5CF8">
          <w:rPr>
            <w:webHidden/>
          </w:rPr>
          <w:fldChar w:fldCharType="separate"/>
        </w:r>
        <w:r w:rsidR="00365A7C">
          <w:rPr>
            <w:webHidden/>
          </w:rPr>
          <w:t>90</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0" w:history="1">
        <w:r w:rsidR="007A5CF8" w:rsidRPr="00EC71FA">
          <w:rPr>
            <w:rStyle w:val="af2"/>
            <w:rFonts w:asciiTheme="minorEastAsia" w:hAnsiTheme="minorEastAsia" w:hint="eastAsia"/>
          </w:rPr>
          <w:t>（三）申购、赎回的时间</w:t>
        </w:r>
        <w:r w:rsidR="007A5CF8">
          <w:rPr>
            <w:webHidden/>
          </w:rPr>
          <w:tab/>
        </w:r>
        <w:r w:rsidR="007A5CF8">
          <w:rPr>
            <w:webHidden/>
          </w:rPr>
          <w:fldChar w:fldCharType="begin"/>
        </w:r>
        <w:r w:rsidR="007A5CF8">
          <w:rPr>
            <w:webHidden/>
          </w:rPr>
          <w:instrText xml:space="preserve"> PAGEREF _Toc81230990 \h </w:instrText>
        </w:r>
        <w:r w:rsidR="007A5CF8">
          <w:rPr>
            <w:webHidden/>
          </w:rPr>
        </w:r>
        <w:r w:rsidR="007A5CF8">
          <w:rPr>
            <w:webHidden/>
          </w:rPr>
          <w:fldChar w:fldCharType="separate"/>
        </w:r>
        <w:r w:rsidR="00365A7C">
          <w:rPr>
            <w:webHidden/>
          </w:rPr>
          <w:t>90</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1" w:history="1">
        <w:r w:rsidR="007A5CF8" w:rsidRPr="00EC71FA">
          <w:rPr>
            <w:rStyle w:val="af2"/>
            <w:rFonts w:asciiTheme="minorEastAsia" w:hAnsiTheme="minorEastAsia" w:hint="eastAsia"/>
            <w:bCs/>
          </w:rPr>
          <w:t>（四）申购、赎回的原则</w:t>
        </w:r>
        <w:r w:rsidR="007A5CF8">
          <w:rPr>
            <w:webHidden/>
          </w:rPr>
          <w:tab/>
        </w:r>
        <w:r w:rsidR="007A5CF8">
          <w:rPr>
            <w:webHidden/>
          </w:rPr>
          <w:fldChar w:fldCharType="begin"/>
        </w:r>
        <w:r w:rsidR="007A5CF8">
          <w:rPr>
            <w:webHidden/>
          </w:rPr>
          <w:instrText xml:space="preserve"> PAGEREF _Toc81230991 \h </w:instrText>
        </w:r>
        <w:r w:rsidR="007A5CF8">
          <w:rPr>
            <w:webHidden/>
          </w:rPr>
        </w:r>
        <w:r w:rsidR="007A5CF8">
          <w:rPr>
            <w:webHidden/>
          </w:rPr>
          <w:fldChar w:fldCharType="separate"/>
        </w:r>
        <w:r w:rsidR="00365A7C">
          <w:rPr>
            <w:webHidden/>
          </w:rPr>
          <w:t>90</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2" w:history="1">
        <w:r w:rsidR="007A5CF8" w:rsidRPr="00EC71FA">
          <w:rPr>
            <w:rStyle w:val="af2"/>
            <w:rFonts w:asciiTheme="minorEastAsia" w:hAnsiTheme="minorEastAsia" w:hint="eastAsia"/>
          </w:rPr>
          <w:t>（五）申购、赎回的程序</w:t>
        </w:r>
        <w:r w:rsidR="007A5CF8">
          <w:rPr>
            <w:webHidden/>
          </w:rPr>
          <w:tab/>
        </w:r>
        <w:r w:rsidR="007A5CF8">
          <w:rPr>
            <w:webHidden/>
          </w:rPr>
          <w:fldChar w:fldCharType="begin"/>
        </w:r>
        <w:r w:rsidR="007A5CF8">
          <w:rPr>
            <w:webHidden/>
          </w:rPr>
          <w:instrText xml:space="preserve"> PAGEREF _Toc81230992 \h </w:instrText>
        </w:r>
        <w:r w:rsidR="007A5CF8">
          <w:rPr>
            <w:webHidden/>
          </w:rPr>
        </w:r>
        <w:r w:rsidR="007A5CF8">
          <w:rPr>
            <w:webHidden/>
          </w:rPr>
          <w:fldChar w:fldCharType="separate"/>
        </w:r>
        <w:r w:rsidR="00365A7C">
          <w:rPr>
            <w:webHidden/>
          </w:rPr>
          <w:t>91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3" w:history="1">
        <w:r w:rsidR="007A5CF8" w:rsidRPr="00EC71FA">
          <w:rPr>
            <w:rStyle w:val="af2"/>
            <w:rFonts w:asciiTheme="minorEastAsia" w:hAnsiTheme="minorEastAsia" w:hint="eastAsia"/>
          </w:rPr>
          <w:t>（六）申购、赎回的数额限制</w:t>
        </w:r>
        <w:r w:rsidR="007A5CF8">
          <w:rPr>
            <w:webHidden/>
          </w:rPr>
          <w:tab/>
        </w:r>
        <w:r w:rsidR="007A5CF8">
          <w:rPr>
            <w:webHidden/>
          </w:rPr>
          <w:fldChar w:fldCharType="begin"/>
        </w:r>
        <w:r w:rsidR="007A5CF8">
          <w:rPr>
            <w:webHidden/>
          </w:rPr>
          <w:instrText xml:space="preserve"> PAGEREF _Toc81230993 \h </w:instrText>
        </w:r>
        <w:r w:rsidR="007A5CF8">
          <w:rPr>
            <w:webHidden/>
          </w:rPr>
        </w:r>
        <w:r w:rsidR="007A5CF8">
          <w:rPr>
            <w:webHidden/>
          </w:rPr>
          <w:fldChar w:fldCharType="separate"/>
        </w:r>
        <w:r w:rsidR="00365A7C">
          <w:rPr>
            <w:webHidden/>
          </w:rPr>
          <w:t>91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4" w:history="1">
        <w:r w:rsidR="007A5CF8" w:rsidRPr="00EC71FA">
          <w:rPr>
            <w:rStyle w:val="af2"/>
            <w:rFonts w:asciiTheme="minorEastAsia" w:hAnsiTheme="minorEastAsia" w:hint="eastAsia"/>
          </w:rPr>
          <w:t>（七）申购、赎回的费率</w:t>
        </w:r>
        <w:r w:rsidR="007A5CF8">
          <w:rPr>
            <w:webHidden/>
          </w:rPr>
          <w:tab/>
        </w:r>
        <w:r w:rsidR="007A5CF8">
          <w:rPr>
            <w:webHidden/>
          </w:rPr>
          <w:fldChar w:fldCharType="begin"/>
        </w:r>
        <w:r w:rsidR="007A5CF8">
          <w:rPr>
            <w:webHidden/>
          </w:rPr>
          <w:instrText xml:space="preserve"> PAGEREF _Toc81230994 \h </w:instrText>
        </w:r>
        <w:r w:rsidR="007A5CF8">
          <w:rPr>
            <w:webHidden/>
          </w:rPr>
        </w:r>
        <w:r w:rsidR="007A5CF8">
          <w:rPr>
            <w:webHidden/>
          </w:rPr>
          <w:fldChar w:fldCharType="separate"/>
        </w:r>
        <w:r w:rsidR="00365A7C">
          <w:rPr>
            <w:webHidden/>
          </w:rPr>
          <w:t>92</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5" w:history="1">
        <w:r w:rsidR="007A5CF8" w:rsidRPr="00EC71FA">
          <w:rPr>
            <w:rStyle w:val="af2"/>
            <w:rFonts w:asciiTheme="minorEastAsia" w:hAnsiTheme="minorEastAsia" w:hint="eastAsia"/>
          </w:rPr>
          <w:t>（八）申购份额、赎回金额的计算方式</w:t>
        </w:r>
        <w:r w:rsidR="007A5CF8">
          <w:rPr>
            <w:webHidden/>
          </w:rPr>
          <w:tab/>
        </w:r>
        <w:r w:rsidR="007A5CF8">
          <w:rPr>
            <w:webHidden/>
          </w:rPr>
          <w:fldChar w:fldCharType="begin"/>
        </w:r>
        <w:r w:rsidR="007A5CF8">
          <w:rPr>
            <w:webHidden/>
          </w:rPr>
          <w:instrText xml:space="preserve"> PAGEREF _Toc81230995 \h </w:instrText>
        </w:r>
        <w:r w:rsidR="007A5CF8">
          <w:rPr>
            <w:webHidden/>
          </w:rPr>
        </w:r>
        <w:r w:rsidR="007A5CF8">
          <w:rPr>
            <w:webHidden/>
          </w:rPr>
          <w:fldChar w:fldCharType="separate"/>
        </w:r>
        <w:r w:rsidR="00365A7C">
          <w:rPr>
            <w:webHidden/>
          </w:rPr>
          <w:t>93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6" w:history="1">
        <w:r w:rsidR="007A5CF8" w:rsidRPr="00EC71FA">
          <w:rPr>
            <w:rStyle w:val="af2"/>
            <w:rFonts w:asciiTheme="minorEastAsia" w:hAnsiTheme="minorEastAsia" w:hint="eastAsia"/>
          </w:rPr>
          <w:t>（九）申购、赎回的注册登记</w:t>
        </w:r>
        <w:r w:rsidR="007A5CF8">
          <w:rPr>
            <w:webHidden/>
          </w:rPr>
          <w:tab/>
        </w:r>
        <w:r w:rsidR="007A5CF8">
          <w:rPr>
            <w:webHidden/>
          </w:rPr>
          <w:fldChar w:fldCharType="begin"/>
        </w:r>
        <w:r w:rsidR="007A5CF8">
          <w:rPr>
            <w:webHidden/>
          </w:rPr>
          <w:instrText xml:space="preserve"> PAGEREF _Toc81230996 \h </w:instrText>
        </w:r>
        <w:r w:rsidR="007A5CF8">
          <w:rPr>
            <w:webHidden/>
          </w:rPr>
        </w:r>
        <w:r w:rsidR="007A5CF8">
          <w:rPr>
            <w:webHidden/>
          </w:rPr>
          <w:fldChar w:fldCharType="separate"/>
        </w:r>
        <w:r w:rsidR="00365A7C">
          <w:rPr>
            <w:webHidden/>
          </w:rPr>
          <w:t>94</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7" w:history="1">
        <w:r w:rsidR="007A5CF8" w:rsidRPr="00EC71FA">
          <w:rPr>
            <w:rStyle w:val="af2"/>
            <w:rFonts w:asciiTheme="minorEastAsia" w:hAnsiTheme="minorEastAsia" w:hint="eastAsia"/>
          </w:rPr>
          <w:t>（十）巨额赎回的认定及处理方式</w:t>
        </w:r>
        <w:r w:rsidR="007A5CF8">
          <w:rPr>
            <w:webHidden/>
          </w:rPr>
          <w:tab/>
        </w:r>
        <w:r w:rsidR="007A5CF8">
          <w:rPr>
            <w:webHidden/>
          </w:rPr>
          <w:fldChar w:fldCharType="begin"/>
        </w:r>
        <w:r w:rsidR="007A5CF8">
          <w:rPr>
            <w:webHidden/>
          </w:rPr>
          <w:instrText xml:space="preserve"> PAGEREF _Toc81230997 \h </w:instrText>
        </w:r>
        <w:r w:rsidR="007A5CF8">
          <w:rPr>
            <w:webHidden/>
          </w:rPr>
        </w:r>
        <w:r w:rsidR="007A5CF8">
          <w:rPr>
            <w:webHidden/>
          </w:rPr>
          <w:fldChar w:fldCharType="separate"/>
        </w:r>
        <w:r w:rsidR="00365A7C">
          <w:rPr>
            <w:webHidden/>
          </w:rPr>
          <w:t>94</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0998" w:history="1">
        <w:r w:rsidR="007A5CF8" w:rsidRPr="00EC71FA">
          <w:rPr>
            <w:rStyle w:val="af2"/>
            <w:rFonts w:asciiTheme="minorEastAsia" w:hAnsiTheme="minorEastAsia" w:hint="eastAsia"/>
          </w:rPr>
          <w:t>（十一）拒绝或暂停申购、赎回的情形及处理方式</w:t>
        </w:r>
        <w:r w:rsidR="007A5CF8">
          <w:rPr>
            <w:webHidden/>
          </w:rPr>
          <w:tab/>
        </w:r>
        <w:r w:rsidR="007A5CF8">
          <w:rPr>
            <w:webHidden/>
          </w:rPr>
          <w:fldChar w:fldCharType="begin"/>
        </w:r>
        <w:r w:rsidR="007A5CF8">
          <w:rPr>
            <w:webHidden/>
          </w:rPr>
          <w:instrText xml:space="preserve"> PAGEREF _Toc81230998 \h </w:instrText>
        </w:r>
        <w:r w:rsidR="007A5CF8">
          <w:rPr>
            <w:webHidden/>
          </w:rPr>
        </w:r>
        <w:r w:rsidR="007A5CF8">
          <w:rPr>
            <w:webHidden/>
          </w:rPr>
          <w:fldChar w:fldCharType="separate"/>
        </w:r>
        <w:r w:rsidR="00365A7C">
          <w:rPr>
            <w:webHidden/>
          </w:rPr>
          <w:t>95</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0999" w:history="1">
        <w:r w:rsidR="007A5CF8" w:rsidRPr="00EC71FA">
          <w:rPr>
            <w:rStyle w:val="af2"/>
            <w:rFonts w:asciiTheme="minorEastAsia" w:hAnsiTheme="minorEastAsia" w:hint="eastAsia"/>
            <w:b/>
          </w:rPr>
          <w:t>十、基金转换</w:t>
        </w:r>
        <w:r w:rsidR="007A5CF8">
          <w:rPr>
            <w:webHidden/>
          </w:rPr>
          <w:tab/>
        </w:r>
        <w:r w:rsidR="007A5CF8">
          <w:rPr>
            <w:webHidden/>
          </w:rPr>
          <w:fldChar w:fldCharType="begin"/>
        </w:r>
        <w:r w:rsidR="007A5CF8">
          <w:rPr>
            <w:webHidden/>
          </w:rPr>
          <w:instrText xml:space="preserve"> PAGEREF _Toc81230999 \h </w:instrText>
        </w:r>
        <w:r w:rsidR="007A5CF8">
          <w:rPr>
            <w:webHidden/>
          </w:rPr>
        </w:r>
        <w:r w:rsidR="007A5CF8">
          <w:rPr>
            <w:webHidden/>
          </w:rPr>
          <w:fldChar w:fldCharType="separate"/>
        </w:r>
        <w:r w:rsidR="00365A7C">
          <w:rPr>
            <w:webHidden/>
          </w:rPr>
          <w:t>98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0" w:history="1">
        <w:r w:rsidR="007A5CF8" w:rsidRPr="00EC71FA">
          <w:rPr>
            <w:rStyle w:val="af2"/>
            <w:rFonts w:asciiTheme="minorEastAsia" w:hAnsiTheme="minorEastAsia" w:hint="eastAsia"/>
          </w:rPr>
          <w:t>（一）基金转换的开放日及时间</w:t>
        </w:r>
        <w:r w:rsidR="007A5CF8">
          <w:rPr>
            <w:webHidden/>
          </w:rPr>
          <w:tab/>
        </w:r>
        <w:r w:rsidR="007A5CF8">
          <w:rPr>
            <w:webHidden/>
          </w:rPr>
          <w:fldChar w:fldCharType="begin"/>
        </w:r>
        <w:r w:rsidR="007A5CF8">
          <w:rPr>
            <w:webHidden/>
          </w:rPr>
          <w:instrText xml:space="preserve"> PAGEREF _Toc81231000 \h </w:instrText>
        </w:r>
        <w:r w:rsidR="007A5CF8">
          <w:rPr>
            <w:webHidden/>
          </w:rPr>
        </w:r>
        <w:r w:rsidR="007A5CF8">
          <w:rPr>
            <w:webHidden/>
          </w:rPr>
          <w:fldChar w:fldCharType="separate"/>
        </w:r>
        <w:r w:rsidR="00365A7C">
          <w:rPr>
            <w:webHidden/>
          </w:rPr>
          <w:t>98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1" w:history="1">
        <w:r w:rsidR="007A5CF8" w:rsidRPr="00EC71FA">
          <w:rPr>
            <w:rStyle w:val="af2"/>
            <w:rFonts w:asciiTheme="minorEastAsia" w:hAnsiTheme="minorEastAsia" w:hint="eastAsia"/>
          </w:rPr>
          <w:t>（二）基金转换业务规则</w:t>
        </w:r>
        <w:r w:rsidR="007A5CF8">
          <w:rPr>
            <w:webHidden/>
          </w:rPr>
          <w:tab/>
        </w:r>
        <w:r w:rsidR="007A5CF8">
          <w:rPr>
            <w:webHidden/>
          </w:rPr>
          <w:fldChar w:fldCharType="begin"/>
        </w:r>
        <w:r w:rsidR="007A5CF8">
          <w:rPr>
            <w:webHidden/>
          </w:rPr>
          <w:instrText xml:space="preserve"> PAGEREF _Toc81231001 \h </w:instrText>
        </w:r>
        <w:r w:rsidR="007A5CF8">
          <w:rPr>
            <w:webHidden/>
          </w:rPr>
        </w:r>
        <w:r w:rsidR="007A5CF8">
          <w:rPr>
            <w:webHidden/>
          </w:rPr>
          <w:fldChar w:fldCharType="separate"/>
        </w:r>
        <w:r w:rsidR="00365A7C">
          <w:rPr>
            <w:webHidden/>
          </w:rPr>
          <w:t>98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2" w:history="1">
        <w:r w:rsidR="007A5CF8" w:rsidRPr="00EC71FA">
          <w:rPr>
            <w:rStyle w:val="af2"/>
            <w:rFonts w:asciiTheme="minorEastAsia" w:hAnsiTheme="minorEastAsia" w:hint="eastAsia"/>
          </w:rPr>
          <w:t>（三）基金转换的程序</w:t>
        </w:r>
        <w:r w:rsidR="007A5CF8">
          <w:rPr>
            <w:webHidden/>
          </w:rPr>
          <w:tab/>
        </w:r>
        <w:r w:rsidR="007A5CF8">
          <w:rPr>
            <w:webHidden/>
          </w:rPr>
          <w:fldChar w:fldCharType="begin"/>
        </w:r>
        <w:r w:rsidR="007A5CF8">
          <w:rPr>
            <w:webHidden/>
          </w:rPr>
          <w:instrText xml:space="preserve"> PAGEREF _Toc81231002 \h </w:instrText>
        </w:r>
        <w:r w:rsidR="007A5CF8">
          <w:rPr>
            <w:webHidden/>
          </w:rPr>
        </w:r>
        <w:r w:rsidR="007A5CF8">
          <w:rPr>
            <w:webHidden/>
          </w:rPr>
          <w:fldChar w:fldCharType="separate"/>
        </w:r>
        <w:r w:rsidR="00365A7C">
          <w:rPr>
            <w:webHidden/>
          </w:rPr>
          <w:t>98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3" w:history="1">
        <w:r w:rsidR="007A5CF8" w:rsidRPr="00EC71FA">
          <w:rPr>
            <w:rStyle w:val="af2"/>
            <w:rFonts w:asciiTheme="minorEastAsia" w:hAnsiTheme="minorEastAsia" w:hint="eastAsia"/>
          </w:rPr>
          <w:t>（四）基金转换的数额限制</w:t>
        </w:r>
        <w:r w:rsidR="007A5CF8">
          <w:rPr>
            <w:webHidden/>
          </w:rPr>
          <w:tab/>
        </w:r>
        <w:r w:rsidR="007A5CF8">
          <w:rPr>
            <w:webHidden/>
          </w:rPr>
          <w:fldChar w:fldCharType="begin"/>
        </w:r>
        <w:r w:rsidR="007A5CF8">
          <w:rPr>
            <w:webHidden/>
          </w:rPr>
          <w:instrText xml:space="preserve"> PAGEREF _Toc81231003 \h </w:instrText>
        </w:r>
        <w:r w:rsidR="007A5CF8">
          <w:rPr>
            <w:webHidden/>
          </w:rPr>
        </w:r>
        <w:r w:rsidR="007A5CF8">
          <w:rPr>
            <w:webHidden/>
          </w:rPr>
          <w:fldChar w:fldCharType="separate"/>
        </w:r>
        <w:r w:rsidR="00365A7C">
          <w:rPr>
            <w:webHidden/>
          </w:rPr>
          <w:t>99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4" w:history="1">
        <w:r w:rsidR="007A5CF8" w:rsidRPr="00EC71FA">
          <w:rPr>
            <w:rStyle w:val="af2"/>
            <w:rFonts w:asciiTheme="minorEastAsia" w:hAnsiTheme="minorEastAsia" w:hint="eastAsia"/>
          </w:rPr>
          <w:t>（五）基金转换费率</w:t>
        </w:r>
        <w:r w:rsidR="007A5CF8">
          <w:rPr>
            <w:webHidden/>
          </w:rPr>
          <w:tab/>
        </w:r>
        <w:r w:rsidR="007A5CF8">
          <w:rPr>
            <w:webHidden/>
          </w:rPr>
          <w:fldChar w:fldCharType="begin"/>
        </w:r>
        <w:r w:rsidR="007A5CF8">
          <w:rPr>
            <w:webHidden/>
          </w:rPr>
          <w:instrText xml:space="preserve"> PAGEREF _Toc81231004 \h </w:instrText>
        </w:r>
        <w:r w:rsidR="007A5CF8">
          <w:rPr>
            <w:webHidden/>
          </w:rPr>
        </w:r>
        <w:r w:rsidR="007A5CF8">
          <w:rPr>
            <w:webHidden/>
          </w:rPr>
          <w:fldChar w:fldCharType="separate"/>
        </w:r>
        <w:r w:rsidR="00365A7C">
          <w:rPr>
            <w:webHidden/>
          </w:rPr>
          <w:t>99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5" w:history="1">
        <w:r w:rsidR="007A5CF8" w:rsidRPr="00EC71FA">
          <w:rPr>
            <w:rStyle w:val="af2"/>
            <w:rFonts w:asciiTheme="minorEastAsia" w:hAnsiTheme="minorEastAsia" w:hint="eastAsia"/>
          </w:rPr>
          <w:t>（六）基金转换份额的计算方式</w:t>
        </w:r>
        <w:r w:rsidR="007A5CF8">
          <w:rPr>
            <w:webHidden/>
          </w:rPr>
          <w:tab/>
        </w:r>
        <w:r w:rsidR="007A5CF8">
          <w:rPr>
            <w:webHidden/>
          </w:rPr>
          <w:fldChar w:fldCharType="begin"/>
        </w:r>
        <w:r w:rsidR="007A5CF8">
          <w:rPr>
            <w:webHidden/>
          </w:rPr>
          <w:instrText xml:space="preserve"> PAGEREF _Toc81231005 \h </w:instrText>
        </w:r>
        <w:r w:rsidR="007A5CF8">
          <w:rPr>
            <w:webHidden/>
          </w:rPr>
        </w:r>
        <w:r w:rsidR="007A5CF8">
          <w:rPr>
            <w:webHidden/>
          </w:rPr>
          <w:fldChar w:fldCharType="separate"/>
        </w:r>
        <w:r w:rsidR="00365A7C">
          <w:rPr>
            <w:webHidden/>
          </w:rPr>
          <w:t>99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6" w:history="1">
        <w:r w:rsidR="007A5CF8" w:rsidRPr="00EC71FA">
          <w:rPr>
            <w:rStyle w:val="af2"/>
            <w:rFonts w:asciiTheme="minorEastAsia" w:hAnsiTheme="minorEastAsia" w:hint="eastAsia"/>
          </w:rPr>
          <w:t>（七）基金转换的注册登记</w:t>
        </w:r>
        <w:r w:rsidR="007A5CF8">
          <w:rPr>
            <w:webHidden/>
          </w:rPr>
          <w:tab/>
        </w:r>
        <w:r w:rsidR="007A5CF8">
          <w:rPr>
            <w:webHidden/>
          </w:rPr>
          <w:fldChar w:fldCharType="begin"/>
        </w:r>
        <w:r w:rsidR="007A5CF8">
          <w:rPr>
            <w:webHidden/>
          </w:rPr>
          <w:instrText xml:space="preserve"> PAGEREF _Toc81231006 \h </w:instrText>
        </w:r>
        <w:r w:rsidR="007A5CF8">
          <w:rPr>
            <w:webHidden/>
          </w:rPr>
        </w:r>
        <w:r w:rsidR="007A5CF8">
          <w:rPr>
            <w:webHidden/>
          </w:rPr>
          <w:fldChar w:fldCharType="separate"/>
        </w:r>
        <w:r w:rsidR="00365A7C">
          <w:rPr>
            <w:webHidden/>
          </w:rPr>
          <w:t>101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7" w:history="1">
        <w:r w:rsidR="007A5CF8" w:rsidRPr="00EC71FA">
          <w:rPr>
            <w:rStyle w:val="af2"/>
            <w:rFonts w:asciiTheme="minorEastAsia" w:hAnsiTheme="minorEastAsia" w:hint="eastAsia"/>
          </w:rPr>
          <w:t>（八）基金转换与巨额赎回</w:t>
        </w:r>
        <w:r w:rsidR="007A5CF8">
          <w:rPr>
            <w:webHidden/>
          </w:rPr>
          <w:tab/>
        </w:r>
        <w:r w:rsidR="007A5CF8">
          <w:rPr>
            <w:webHidden/>
          </w:rPr>
          <w:fldChar w:fldCharType="begin"/>
        </w:r>
        <w:r w:rsidR="007A5CF8">
          <w:rPr>
            <w:webHidden/>
          </w:rPr>
          <w:instrText xml:space="preserve"> PAGEREF _Toc81231007 \h </w:instrText>
        </w:r>
        <w:r w:rsidR="007A5CF8">
          <w:rPr>
            <w:webHidden/>
          </w:rPr>
        </w:r>
        <w:r w:rsidR="007A5CF8">
          <w:rPr>
            <w:webHidden/>
          </w:rPr>
          <w:fldChar w:fldCharType="separate"/>
        </w:r>
        <w:r w:rsidR="00365A7C">
          <w:rPr>
            <w:webHidden/>
          </w:rPr>
          <w:t>101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08" w:history="1">
        <w:r w:rsidR="007A5CF8" w:rsidRPr="00EC71FA">
          <w:rPr>
            <w:rStyle w:val="af2"/>
            <w:rFonts w:asciiTheme="minorEastAsia" w:hAnsiTheme="minorEastAsia" w:hint="eastAsia"/>
          </w:rPr>
          <w:t>（九）暂停基金转换的情形</w:t>
        </w:r>
        <w:r w:rsidR="007A5CF8">
          <w:rPr>
            <w:webHidden/>
          </w:rPr>
          <w:tab/>
        </w:r>
        <w:r w:rsidR="007A5CF8">
          <w:rPr>
            <w:webHidden/>
          </w:rPr>
          <w:fldChar w:fldCharType="begin"/>
        </w:r>
        <w:r w:rsidR="007A5CF8">
          <w:rPr>
            <w:webHidden/>
          </w:rPr>
          <w:instrText xml:space="preserve"> PAGEREF _Toc81231008 \h </w:instrText>
        </w:r>
        <w:r w:rsidR="007A5CF8">
          <w:rPr>
            <w:webHidden/>
          </w:rPr>
        </w:r>
        <w:r w:rsidR="007A5CF8">
          <w:rPr>
            <w:webHidden/>
          </w:rPr>
          <w:fldChar w:fldCharType="separate"/>
        </w:r>
        <w:r w:rsidR="00365A7C">
          <w:rPr>
            <w:webHidden/>
          </w:rPr>
          <w:t>101</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09" w:history="1">
        <w:r w:rsidR="007A5CF8" w:rsidRPr="00EC71FA">
          <w:rPr>
            <w:rStyle w:val="af2"/>
            <w:rFonts w:asciiTheme="minorEastAsia" w:hAnsiTheme="minorEastAsia" w:hint="eastAsia"/>
            <w:b/>
            <w:bCs/>
          </w:rPr>
          <w:t>十一、基金的非交易过户、转托管及冻结与解冻</w:t>
        </w:r>
        <w:r w:rsidR="007A5CF8">
          <w:rPr>
            <w:webHidden/>
          </w:rPr>
          <w:tab/>
        </w:r>
        <w:r w:rsidR="007A5CF8">
          <w:rPr>
            <w:webHidden/>
          </w:rPr>
          <w:fldChar w:fldCharType="begin"/>
        </w:r>
        <w:r w:rsidR="007A5CF8">
          <w:rPr>
            <w:webHidden/>
          </w:rPr>
          <w:instrText xml:space="preserve"> PAGEREF _Toc81231009 \h </w:instrText>
        </w:r>
        <w:r w:rsidR="007A5CF8">
          <w:rPr>
            <w:webHidden/>
          </w:rPr>
        </w:r>
        <w:r w:rsidR="007A5CF8">
          <w:rPr>
            <w:webHidden/>
          </w:rPr>
          <w:fldChar w:fldCharType="separate"/>
        </w:r>
        <w:r w:rsidR="00365A7C">
          <w:rPr>
            <w:webHidden/>
          </w:rPr>
          <w:t>102</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10" w:history="1">
        <w:r w:rsidR="007A5CF8" w:rsidRPr="00EC71FA">
          <w:rPr>
            <w:rStyle w:val="af2"/>
            <w:rFonts w:asciiTheme="minorEastAsia" w:hAnsiTheme="minorEastAsia" w:hint="eastAsia"/>
            <w:b/>
            <w:bCs/>
          </w:rPr>
          <w:t>十二、基金的投资</w:t>
        </w:r>
        <w:r w:rsidR="007A5CF8">
          <w:rPr>
            <w:webHidden/>
          </w:rPr>
          <w:tab/>
        </w:r>
        <w:r w:rsidR="007A5CF8">
          <w:rPr>
            <w:webHidden/>
          </w:rPr>
          <w:fldChar w:fldCharType="begin"/>
        </w:r>
        <w:r w:rsidR="007A5CF8">
          <w:rPr>
            <w:webHidden/>
          </w:rPr>
          <w:instrText xml:space="preserve"> PAGEREF _Toc81231010 \h </w:instrText>
        </w:r>
        <w:r w:rsidR="007A5CF8">
          <w:rPr>
            <w:webHidden/>
          </w:rPr>
        </w:r>
        <w:r w:rsidR="007A5CF8">
          <w:rPr>
            <w:webHidden/>
          </w:rPr>
          <w:fldChar w:fldCharType="separate"/>
        </w:r>
        <w:r w:rsidR="00365A7C">
          <w:rPr>
            <w:webHidden/>
          </w:rPr>
          <w:t>103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1" w:history="1">
        <w:r w:rsidR="007A5CF8" w:rsidRPr="00EC71FA">
          <w:rPr>
            <w:rStyle w:val="af2"/>
            <w:rFonts w:asciiTheme="minorEastAsia" w:hAnsiTheme="minorEastAsia" w:hint="eastAsia"/>
            <w:bCs/>
          </w:rPr>
          <w:t>（一）投资目标</w:t>
        </w:r>
        <w:r w:rsidR="007A5CF8">
          <w:rPr>
            <w:webHidden/>
          </w:rPr>
          <w:tab/>
        </w:r>
        <w:r w:rsidR="007A5CF8">
          <w:rPr>
            <w:webHidden/>
          </w:rPr>
          <w:fldChar w:fldCharType="begin"/>
        </w:r>
        <w:r w:rsidR="007A5CF8">
          <w:rPr>
            <w:webHidden/>
          </w:rPr>
          <w:instrText xml:space="preserve"> PAGEREF _Toc81231011 \h </w:instrText>
        </w:r>
        <w:r w:rsidR="007A5CF8">
          <w:rPr>
            <w:webHidden/>
          </w:rPr>
        </w:r>
        <w:r w:rsidR="007A5CF8">
          <w:rPr>
            <w:webHidden/>
          </w:rPr>
          <w:fldChar w:fldCharType="separate"/>
        </w:r>
        <w:r w:rsidR="00365A7C">
          <w:rPr>
            <w:webHidden/>
          </w:rPr>
          <w:t>103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2" w:history="1">
        <w:r w:rsidR="007A5CF8" w:rsidRPr="00EC71FA">
          <w:rPr>
            <w:rStyle w:val="af2"/>
            <w:rFonts w:asciiTheme="minorEastAsia" w:hAnsiTheme="minorEastAsia" w:hint="eastAsia"/>
            <w:bCs/>
          </w:rPr>
          <w:t>（二）投资范围</w:t>
        </w:r>
        <w:r w:rsidR="007A5CF8">
          <w:rPr>
            <w:webHidden/>
          </w:rPr>
          <w:tab/>
        </w:r>
        <w:r w:rsidR="007A5CF8">
          <w:rPr>
            <w:webHidden/>
          </w:rPr>
          <w:fldChar w:fldCharType="begin"/>
        </w:r>
        <w:r w:rsidR="007A5CF8">
          <w:rPr>
            <w:webHidden/>
          </w:rPr>
          <w:instrText xml:space="preserve"> PAGEREF _Toc81231012 \h </w:instrText>
        </w:r>
        <w:r w:rsidR="007A5CF8">
          <w:rPr>
            <w:webHidden/>
          </w:rPr>
        </w:r>
        <w:r w:rsidR="007A5CF8">
          <w:rPr>
            <w:webHidden/>
          </w:rPr>
          <w:fldChar w:fldCharType="separate"/>
        </w:r>
        <w:r w:rsidR="00365A7C">
          <w:rPr>
            <w:webHidden/>
          </w:rPr>
          <w:t>103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3" w:history="1">
        <w:r w:rsidR="007A5CF8" w:rsidRPr="00EC71FA">
          <w:rPr>
            <w:rStyle w:val="af2"/>
            <w:rFonts w:asciiTheme="minorEastAsia" w:hAnsiTheme="minorEastAsia" w:hint="eastAsia"/>
            <w:bCs/>
          </w:rPr>
          <w:t>（三）投资理念</w:t>
        </w:r>
        <w:r w:rsidR="007A5CF8">
          <w:rPr>
            <w:webHidden/>
          </w:rPr>
          <w:tab/>
        </w:r>
        <w:r w:rsidR="007A5CF8">
          <w:rPr>
            <w:webHidden/>
          </w:rPr>
          <w:fldChar w:fldCharType="begin"/>
        </w:r>
        <w:r w:rsidR="007A5CF8">
          <w:rPr>
            <w:webHidden/>
          </w:rPr>
          <w:instrText xml:space="preserve"> PAGEREF _Toc81231013 \h </w:instrText>
        </w:r>
        <w:r w:rsidR="007A5CF8">
          <w:rPr>
            <w:webHidden/>
          </w:rPr>
        </w:r>
        <w:r w:rsidR="007A5CF8">
          <w:rPr>
            <w:webHidden/>
          </w:rPr>
          <w:fldChar w:fldCharType="separate"/>
        </w:r>
        <w:r w:rsidR="00365A7C">
          <w:rPr>
            <w:webHidden/>
          </w:rPr>
          <w:t>103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4" w:history="1">
        <w:r w:rsidR="007A5CF8" w:rsidRPr="00EC71FA">
          <w:rPr>
            <w:rStyle w:val="af2"/>
            <w:rFonts w:asciiTheme="minorEastAsia" w:hAnsiTheme="minorEastAsia" w:hint="eastAsia"/>
            <w:bCs/>
          </w:rPr>
          <w:t>（四）投资策略</w:t>
        </w:r>
        <w:r w:rsidR="007A5CF8">
          <w:rPr>
            <w:webHidden/>
          </w:rPr>
          <w:tab/>
        </w:r>
        <w:r w:rsidR="007A5CF8">
          <w:rPr>
            <w:webHidden/>
          </w:rPr>
          <w:fldChar w:fldCharType="begin"/>
        </w:r>
        <w:r w:rsidR="007A5CF8">
          <w:rPr>
            <w:webHidden/>
          </w:rPr>
          <w:instrText xml:space="preserve"> PAGEREF _Toc81231014 \h </w:instrText>
        </w:r>
        <w:r w:rsidR="007A5CF8">
          <w:rPr>
            <w:webHidden/>
          </w:rPr>
        </w:r>
        <w:r w:rsidR="007A5CF8">
          <w:rPr>
            <w:webHidden/>
          </w:rPr>
          <w:fldChar w:fldCharType="separate"/>
        </w:r>
        <w:r w:rsidR="00365A7C">
          <w:rPr>
            <w:webHidden/>
          </w:rPr>
          <w:t>103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5" w:history="1">
        <w:r w:rsidR="007A5CF8" w:rsidRPr="00EC71FA">
          <w:rPr>
            <w:rStyle w:val="af2"/>
            <w:rFonts w:asciiTheme="minorEastAsia" w:hAnsiTheme="minorEastAsia" w:hint="eastAsia"/>
            <w:bCs/>
          </w:rPr>
          <w:t>（五）业绩比较基准</w:t>
        </w:r>
        <w:r w:rsidR="007A5CF8">
          <w:rPr>
            <w:webHidden/>
          </w:rPr>
          <w:tab/>
        </w:r>
        <w:r w:rsidR="007A5CF8">
          <w:rPr>
            <w:webHidden/>
          </w:rPr>
          <w:fldChar w:fldCharType="begin"/>
        </w:r>
        <w:r w:rsidR="007A5CF8">
          <w:rPr>
            <w:webHidden/>
          </w:rPr>
          <w:instrText xml:space="preserve"> PAGEREF _Toc81231015 \h </w:instrText>
        </w:r>
        <w:r w:rsidR="007A5CF8">
          <w:rPr>
            <w:webHidden/>
          </w:rPr>
        </w:r>
        <w:r w:rsidR="007A5CF8">
          <w:rPr>
            <w:webHidden/>
          </w:rPr>
          <w:fldChar w:fldCharType="separate"/>
        </w:r>
        <w:r w:rsidR="00365A7C">
          <w:rPr>
            <w:webHidden/>
          </w:rPr>
          <w:t>106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6" w:history="1">
        <w:r w:rsidR="007A5CF8" w:rsidRPr="00EC71FA">
          <w:rPr>
            <w:rStyle w:val="af2"/>
            <w:rFonts w:asciiTheme="minorEastAsia" w:hAnsiTheme="minorEastAsia" w:hint="eastAsia"/>
            <w:bCs/>
          </w:rPr>
          <w:t>（六）风险收益特征</w:t>
        </w:r>
        <w:r w:rsidR="007A5CF8">
          <w:rPr>
            <w:webHidden/>
          </w:rPr>
          <w:tab/>
        </w:r>
        <w:r w:rsidR="007A5CF8">
          <w:rPr>
            <w:webHidden/>
          </w:rPr>
          <w:fldChar w:fldCharType="begin"/>
        </w:r>
        <w:r w:rsidR="007A5CF8">
          <w:rPr>
            <w:webHidden/>
          </w:rPr>
          <w:instrText xml:space="preserve"> PAGEREF _Toc81231016 \h </w:instrText>
        </w:r>
        <w:r w:rsidR="007A5CF8">
          <w:rPr>
            <w:webHidden/>
          </w:rPr>
        </w:r>
        <w:r w:rsidR="007A5CF8">
          <w:rPr>
            <w:webHidden/>
          </w:rPr>
          <w:fldChar w:fldCharType="separate"/>
        </w:r>
        <w:r w:rsidR="00365A7C">
          <w:rPr>
            <w:webHidden/>
          </w:rPr>
          <w:t>106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7" w:history="1">
        <w:r w:rsidR="007A5CF8" w:rsidRPr="00EC71FA">
          <w:rPr>
            <w:rStyle w:val="af2"/>
            <w:rFonts w:asciiTheme="minorEastAsia" w:hAnsiTheme="minorEastAsia" w:hint="eastAsia"/>
            <w:bCs/>
          </w:rPr>
          <w:t>（七）投资决策</w:t>
        </w:r>
        <w:r w:rsidR="007A5CF8">
          <w:rPr>
            <w:webHidden/>
          </w:rPr>
          <w:tab/>
        </w:r>
        <w:r w:rsidR="007A5CF8">
          <w:rPr>
            <w:webHidden/>
          </w:rPr>
          <w:fldChar w:fldCharType="begin"/>
        </w:r>
        <w:r w:rsidR="007A5CF8">
          <w:rPr>
            <w:webHidden/>
          </w:rPr>
          <w:instrText xml:space="preserve"> PAGEREF _Toc81231017 \h </w:instrText>
        </w:r>
        <w:r w:rsidR="007A5CF8">
          <w:rPr>
            <w:webHidden/>
          </w:rPr>
        </w:r>
        <w:r w:rsidR="007A5CF8">
          <w:rPr>
            <w:webHidden/>
          </w:rPr>
          <w:fldChar w:fldCharType="separate"/>
        </w:r>
        <w:r w:rsidR="00365A7C">
          <w:rPr>
            <w:webHidden/>
          </w:rPr>
          <w:t>106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8" w:history="1">
        <w:r w:rsidR="007A5CF8" w:rsidRPr="00EC71FA">
          <w:rPr>
            <w:rStyle w:val="af2"/>
            <w:rFonts w:asciiTheme="minorEastAsia" w:hAnsiTheme="minorEastAsia" w:hint="eastAsia"/>
            <w:bCs/>
          </w:rPr>
          <w:t>（八）投资限制</w:t>
        </w:r>
        <w:r w:rsidR="007A5CF8">
          <w:rPr>
            <w:webHidden/>
          </w:rPr>
          <w:tab/>
        </w:r>
        <w:r w:rsidR="007A5CF8">
          <w:rPr>
            <w:webHidden/>
          </w:rPr>
          <w:fldChar w:fldCharType="begin"/>
        </w:r>
        <w:r w:rsidR="007A5CF8">
          <w:rPr>
            <w:webHidden/>
          </w:rPr>
          <w:instrText xml:space="preserve"> PAGEREF _Toc81231018 \h </w:instrText>
        </w:r>
        <w:r w:rsidR="007A5CF8">
          <w:rPr>
            <w:webHidden/>
          </w:rPr>
        </w:r>
        <w:r w:rsidR="007A5CF8">
          <w:rPr>
            <w:webHidden/>
          </w:rPr>
          <w:fldChar w:fldCharType="separate"/>
        </w:r>
        <w:r w:rsidR="00365A7C">
          <w:rPr>
            <w:webHidden/>
          </w:rPr>
          <w:t>107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19" w:history="1">
        <w:r w:rsidR="007A5CF8" w:rsidRPr="00EC71FA">
          <w:rPr>
            <w:rStyle w:val="af2"/>
            <w:rFonts w:asciiTheme="minorEastAsia" w:hAnsiTheme="minorEastAsia" w:hint="eastAsia"/>
            <w:bCs/>
          </w:rPr>
          <w:t>（九）禁止行为</w:t>
        </w:r>
        <w:r w:rsidR="007A5CF8">
          <w:rPr>
            <w:webHidden/>
          </w:rPr>
          <w:tab/>
        </w:r>
        <w:r w:rsidR="007A5CF8">
          <w:rPr>
            <w:webHidden/>
          </w:rPr>
          <w:fldChar w:fldCharType="begin"/>
        </w:r>
        <w:r w:rsidR="007A5CF8">
          <w:rPr>
            <w:webHidden/>
          </w:rPr>
          <w:instrText xml:space="preserve"> PAGEREF _Toc81231019 \h </w:instrText>
        </w:r>
        <w:r w:rsidR="007A5CF8">
          <w:rPr>
            <w:webHidden/>
          </w:rPr>
        </w:r>
        <w:r w:rsidR="007A5CF8">
          <w:rPr>
            <w:webHidden/>
          </w:rPr>
          <w:fldChar w:fldCharType="separate"/>
        </w:r>
        <w:r w:rsidR="00365A7C">
          <w:rPr>
            <w:webHidden/>
          </w:rPr>
          <w:t>108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0" w:history="1">
        <w:r w:rsidR="007A5CF8" w:rsidRPr="00EC71FA">
          <w:rPr>
            <w:rStyle w:val="af2"/>
            <w:rFonts w:asciiTheme="minorEastAsia" w:hAnsiTheme="minorEastAsia" w:hint="eastAsia"/>
            <w:bCs/>
          </w:rPr>
          <w:t>（十）</w:t>
        </w:r>
        <w:r w:rsidR="007A5CF8" w:rsidRPr="00EC71FA">
          <w:rPr>
            <w:rStyle w:val="af2"/>
            <w:rFonts w:asciiTheme="minorEastAsia" w:hAnsiTheme="minorEastAsia" w:hint="eastAsia"/>
            <w:bCs/>
            <w:spacing w:val="-6"/>
          </w:rPr>
          <w:t>基金管理人代表基金行使所投资证券产生权利的处理原则及方法</w:t>
        </w:r>
        <w:r w:rsidR="007A5CF8">
          <w:rPr>
            <w:webHidden/>
          </w:rPr>
          <w:tab/>
        </w:r>
        <w:r w:rsidR="007A5CF8">
          <w:rPr>
            <w:webHidden/>
          </w:rPr>
          <w:fldChar w:fldCharType="begin"/>
        </w:r>
        <w:r w:rsidR="007A5CF8">
          <w:rPr>
            <w:webHidden/>
          </w:rPr>
          <w:instrText xml:space="preserve"> PAGEREF _Toc81231020 \h </w:instrText>
        </w:r>
        <w:r w:rsidR="007A5CF8">
          <w:rPr>
            <w:webHidden/>
          </w:rPr>
        </w:r>
        <w:r w:rsidR="007A5CF8">
          <w:rPr>
            <w:webHidden/>
          </w:rPr>
          <w:fldChar w:fldCharType="separate"/>
        </w:r>
        <w:r w:rsidR="00365A7C">
          <w:rPr>
            <w:webHidden/>
          </w:rPr>
          <w:t>108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1" w:history="1">
        <w:r w:rsidR="007A5CF8" w:rsidRPr="00EC71FA">
          <w:rPr>
            <w:rStyle w:val="af2"/>
            <w:rFonts w:asciiTheme="minorEastAsia" w:hAnsiTheme="minorEastAsia" w:hint="eastAsia"/>
            <w:bCs/>
          </w:rPr>
          <w:t>（十</w:t>
        </w:r>
        <w:r w:rsidR="007A5CF8" w:rsidRPr="00EC71FA">
          <w:rPr>
            <w:rStyle w:val="af2"/>
            <w:rFonts w:asciiTheme="minorEastAsia" w:hAnsiTheme="minorEastAsia" w:hint="eastAsia"/>
          </w:rPr>
          <w:t>一</w:t>
        </w:r>
        <w:r w:rsidR="007A5CF8" w:rsidRPr="00EC71FA">
          <w:rPr>
            <w:rStyle w:val="af2"/>
            <w:rFonts w:asciiTheme="minorEastAsia" w:hAnsiTheme="minorEastAsia" w:hint="eastAsia"/>
            <w:bCs/>
          </w:rPr>
          <w:t>）基金的融资融券</w:t>
        </w:r>
        <w:r w:rsidR="007A5CF8">
          <w:rPr>
            <w:webHidden/>
          </w:rPr>
          <w:tab/>
        </w:r>
        <w:r w:rsidR="007A5CF8">
          <w:rPr>
            <w:webHidden/>
          </w:rPr>
          <w:fldChar w:fldCharType="begin"/>
        </w:r>
        <w:r w:rsidR="007A5CF8">
          <w:rPr>
            <w:webHidden/>
          </w:rPr>
          <w:instrText xml:space="preserve"> PAGEREF _Toc81231021 \h </w:instrText>
        </w:r>
        <w:r w:rsidR="007A5CF8">
          <w:rPr>
            <w:webHidden/>
          </w:rPr>
        </w:r>
        <w:r w:rsidR="007A5CF8">
          <w:rPr>
            <w:webHidden/>
          </w:rPr>
          <w:fldChar w:fldCharType="separate"/>
        </w:r>
        <w:r w:rsidR="00365A7C">
          <w:rPr>
            <w:webHidden/>
          </w:rPr>
          <w:t>108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2" w:history="1">
        <w:r w:rsidR="007A5CF8" w:rsidRPr="00EC71FA">
          <w:rPr>
            <w:rStyle w:val="af2"/>
            <w:rFonts w:asciiTheme="minorEastAsia" w:hAnsiTheme="minorEastAsia" w:hint="eastAsia"/>
            <w:bCs/>
          </w:rPr>
          <w:t>（十</w:t>
        </w:r>
        <w:r w:rsidR="007A5CF8" w:rsidRPr="00EC71FA">
          <w:rPr>
            <w:rStyle w:val="af2"/>
            <w:rFonts w:asciiTheme="minorEastAsia" w:hAnsiTheme="minorEastAsia" w:hint="eastAsia"/>
          </w:rPr>
          <w:t>二</w:t>
        </w:r>
        <w:r w:rsidR="007A5CF8" w:rsidRPr="00EC71FA">
          <w:rPr>
            <w:rStyle w:val="af2"/>
            <w:rFonts w:asciiTheme="minorEastAsia" w:hAnsiTheme="minorEastAsia" w:hint="eastAsia"/>
            <w:bCs/>
          </w:rPr>
          <w:t>）基金投资组合报告（未经审计）</w:t>
        </w:r>
        <w:r w:rsidR="007A5CF8">
          <w:rPr>
            <w:webHidden/>
          </w:rPr>
          <w:tab/>
        </w:r>
        <w:r w:rsidR="007A5CF8">
          <w:rPr>
            <w:webHidden/>
          </w:rPr>
          <w:fldChar w:fldCharType="begin"/>
        </w:r>
        <w:r w:rsidR="007A5CF8">
          <w:rPr>
            <w:webHidden/>
          </w:rPr>
          <w:instrText xml:space="preserve"> PAGEREF _Toc81231022 \h </w:instrText>
        </w:r>
        <w:r w:rsidR="007A5CF8">
          <w:rPr>
            <w:webHidden/>
          </w:rPr>
        </w:r>
        <w:r w:rsidR="007A5CF8">
          <w:rPr>
            <w:webHidden/>
          </w:rPr>
          <w:fldChar w:fldCharType="separate"/>
        </w:r>
        <w:r w:rsidR="00365A7C">
          <w:rPr>
            <w:webHidden/>
          </w:rPr>
          <w:t>108</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23" w:history="1">
        <w:r w:rsidR="007A5CF8" w:rsidRPr="00EC71FA">
          <w:rPr>
            <w:rStyle w:val="af2"/>
            <w:rFonts w:asciiTheme="minorEastAsia" w:hAnsiTheme="minorEastAsia" w:hint="eastAsia"/>
            <w:b/>
            <w:bCs/>
          </w:rPr>
          <w:t>十三、基金的业绩</w:t>
        </w:r>
        <w:r w:rsidR="007A5CF8">
          <w:rPr>
            <w:webHidden/>
          </w:rPr>
          <w:tab/>
        </w:r>
        <w:r w:rsidR="007A5CF8">
          <w:rPr>
            <w:webHidden/>
          </w:rPr>
          <w:fldChar w:fldCharType="begin"/>
        </w:r>
        <w:r w:rsidR="007A5CF8">
          <w:rPr>
            <w:webHidden/>
          </w:rPr>
          <w:instrText xml:space="preserve"> PAGEREF _Toc81231023 \h </w:instrText>
        </w:r>
        <w:r w:rsidR="007A5CF8">
          <w:rPr>
            <w:webHidden/>
          </w:rPr>
        </w:r>
        <w:r w:rsidR="007A5CF8">
          <w:rPr>
            <w:webHidden/>
          </w:rPr>
          <w:fldChar w:fldCharType="separate"/>
        </w:r>
        <w:r w:rsidR="00365A7C">
          <w:rPr>
            <w:webHidden/>
          </w:rPr>
          <w:t>112</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24" w:history="1">
        <w:r w:rsidR="007A5CF8" w:rsidRPr="00EC71FA">
          <w:rPr>
            <w:rStyle w:val="af2"/>
            <w:rFonts w:asciiTheme="minorEastAsia" w:hAnsiTheme="minorEastAsia" w:hint="eastAsia"/>
            <w:b/>
            <w:bCs/>
          </w:rPr>
          <w:t>十四、基金的财产</w:t>
        </w:r>
        <w:r w:rsidR="007A5CF8">
          <w:rPr>
            <w:webHidden/>
          </w:rPr>
          <w:tab/>
        </w:r>
        <w:r w:rsidR="007A5CF8">
          <w:rPr>
            <w:webHidden/>
          </w:rPr>
          <w:fldChar w:fldCharType="begin"/>
        </w:r>
        <w:r w:rsidR="007A5CF8">
          <w:rPr>
            <w:webHidden/>
          </w:rPr>
          <w:instrText xml:space="preserve"> PAGEREF _Toc81231024 \h </w:instrText>
        </w:r>
        <w:r w:rsidR="007A5CF8">
          <w:rPr>
            <w:webHidden/>
          </w:rPr>
        </w:r>
        <w:r w:rsidR="007A5CF8">
          <w:rPr>
            <w:webHidden/>
          </w:rPr>
          <w:fldChar w:fldCharType="separate"/>
        </w:r>
        <w:r w:rsidR="00365A7C">
          <w:rPr>
            <w:webHidden/>
          </w:rPr>
          <w:t>114</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25" w:history="1">
        <w:r w:rsidR="007A5CF8" w:rsidRPr="00EC71FA">
          <w:rPr>
            <w:rStyle w:val="af2"/>
            <w:rFonts w:asciiTheme="minorEastAsia" w:hAnsiTheme="minorEastAsia" w:hint="eastAsia"/>
            <w:b/>
            <w:bCs/>
          </w:rPr>
          <w:t>十五、基金资产估值</w:t>
        </w:r>
        <w:r w:rsidR="007A5CF8">
          <w:rPr>
            <w:webHidden/>
          </w:rPr>
          <w:tab/>
        </w:r>
        <w:r w:rsidR="007A5CF8">
          <w:rPr>
            <w:webHidden/>
          </w:rPr>
          <w:fldChar w:fldCharType="begin"/>
        </w:r>
        <w:r w:rsidR="007A5CF8">
          <w:rPr>
            <w:webHidden/>
          </w:rPr>
          <w:instrText xml:space="preserve"> PAGEREF _Toc81231025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6" w:history="1">
        <w:r w:rsidR="007A5CF8" w:rsidRPr="00EC71FA">
          <w:rPr>
            <w:rStyle w:val="af2"/>
            <w:rFonts w:asciiTheme="minorEastAsia" w:hAnsiTheme="minorEastAsia" w:hint="eastAsia"/>
          </w:rPr>
          <w:t>（一）估值目的</w:t>
        </w:r>
        <w:r w:rsidR="007A5CF8">
          <w:rPr>
            <w:webHidden/>
          </w:rPr>
          <w:tab/>
        </w:r>
        <w:r w:rsidR="007A5CF8">
          <w:rPr>
            <w:webHidden/>
          </w:rPr>
          <w:fldChar w:fldCharType="begin"/>
        </w:r>
        <w:r w:rsidR="007A5CF8">
          <w:rPr>
            <w:webHidden/>
          </w:rPr>
          <w:instrText xml:space="preserve"> PAGEREF _Toc81231026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7" w:history="1">
        <w:r w:rsidR="007A5CF8" w:rsidRPr="00EC71FA">
          <w:rPr>
            <w:rStyle w:val="af2"/>
            <w:rFonts w:asciiTheme="minorEastAsia" w:hAnsiTheme="minorEastAsia" w:hint="eastAsia"/>
          </w:rPr>
          <w:t>（二）估值日</w:t>
        </w:r>
        <w:r w:rsidR="007A5CF8">
          <w:rPr>
            <w:webHidden/>
          </w:rPr>
          <w:tab/>
        </w:r>
        <w:r w:rsidR="007A5CF8">
          <w:rPr>
            <w:webHidden/>
          </w:rPr>
          <w:fldChar w:fldCharType="begin"/>
        </w:r>
        <w:r w:rsidR="007A5CF8">
          <w:rPr>
            <w:webHidden/>
          </w:rPr>
          <w:instrText xml:space="preserve"> PAGEREF _Toc81231027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8" w:history="1">
        <w:r w:rsidR="007A5CF8" w:rsidRPr="00EC71FA">
          <w:rPr>
            <w:rStyle w:val="af2"/>
            <w:rFonts w:asciiTheme="minorEastAsia" w:hAnsiTheme="minorEastAsia" w:hint="eastAsia"/>
          </w:rPr>
          <w:t>（三）估值对象</w:t>
        </w:r>
        <w:r w:rsidR="007A5CF8">
          <w:rPr>
            <w:webHidden/>
          </w:rPr>
          <w:tab/>
        </w:r>
        <w:r w:rsidR="007A5CF8">
          <w:rPr>
            <w:webHidden/>
          </w:rPr>
          <w:fldChar w:fldCharType="begin"/>
        </w:r>
        <w:r w:rsidR="007A5CF8">
          <w:rPr>
            <w:webHidden/>
          </w:rPr>
          <w:instrText xml:space="preserve"> PAGEREF _Toc81231028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29" w:history="1">
        <w:r w:rsidR="007A5CF8" w:rsidRPr="00EC71FA">
          <w:rPr>
            <w:rStyle w:val="af2"/>
            <w:rFonts w:asciiTheme="minorEastAsia" w:hAnsiTheme="minorEastAsia" w:hint="eastAsia"/>
          </w:rPr>
          <w:t>（四）估值程序</w:t>
        </w:r>
        <w:r w:rsidR="007A5CF8">
          <w:rPr>
            <w:webHidden/>
          </w:rPr>
          <w:tab/>
        </w:r>
        <w:r w:rsidR="007A5CF8">
          <w:rPr>
            <w:webHidden/>
          </w:rPr>
          <w:fldChar w:fldCharType="begin"/>
        </w:r>
        <w:r w:rsidR="007A5CF8">
          <w:rPr>
            <w:webHidden/>
          </w:rPr>
          <w:instrText xml:space="preserve"> PAGEREF _Toc81231029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0" w:history="1">
        <w:r w:rsidR="007A5CF8" w:rsidRPr="00EC71FA">
          <w:rPr>
            <w:rStyle w:val="af2"/>
            <w:rFonts w:asciiTheme="minorEastAsia" w:hAnsiTheme="minorEastAsia" w:hint="eastAsia"/>
          </w:rPr>
          <w:t>（五）估值方法</w:t>
        </w:r>
        <w:r w:rsidR="007A5CF8">
          <w:rPr>
            <w:webHidden/>
          </w:rPr>
          <w:tab/>
        </w:r>
        <w:r w:rsidR="007A5CF8">
          <w:rPr>
            <w:webHidden/>
          </w:rPr>
          <w:fldChar w:fldCharType="begin"/>
        </w:r>
        <w:r w:rsidR="007A5CF8">
          <w:rPr>
            <w:webHidden/>
          </w:rPr>
          <w:instrText xml:space="preserve"> PAGEREF _Toc81231030 \h </w:instrText>
        </w:r>
        <w:r w:rsidR="007A5CF8">
          <w:rPr>
            <w:webHidden/>
          </w:rPr>
        </w:r>
        <w:r w:rsidR="007A5CF8">
          <w:rPr>
            <w:webHidden/>
          </w:rPr>
          <w:fldChar w:fldCharType="separate"/>
        </w:r>
        <w:r w:rsidR="00365A7C">
          <w:rPr>
            <w:webHidden/>
          </w:rPr>
          <w:t>115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1" w:history="1">
        <w:r w:rsidR="007A5CF8" w:rsidRPr="00EC71FA">
          <w:rPr>
            <w:rStyle w:val="af2"/>
            <w:rFonts w:asciiTheme="minorEastAsia" w:hAnsiTheme="minorEastAsia" w:hint="eastAsia"/>
          </w:rPr>
          <w:t>（六）基金份额净值的确认和估值错误的处理</w:t>
        </w:r>
        <w:r w:rsidR="007A5CF8">
          <w:rPr>
            <w:webHidden/>
          </w:rPr>
          <w:tab/>
        </w:r>
        <w:r w:rsidR="007A5CF8">
          <w:rPr>
            <w:webHidden/>
          </w:rPr>
          <w:fldChar w:fldCharType="begin"/>
        </w:r>
        <w:r w:rsidR="007A5CF8">
          <w:rPr>
            <w:webHidden/>
          </w:rPr>
          <w:instrText xml:space="preserve"> PAGEREF _Toc81231031 \h </w:instrText>
        </w:r>
        <w:r w:rsidR="007A5CF8">
          <w:rPr>
            <w:webHidden/>
          </w:rPr>
        </w:r>
        <w:r w:rsidR="007A5CF8">
          <w:rPr>
            <w:webHidden/>
          </w:rPr>
          <w:fldChar w:fldCharType="separate"/>
        </w:r>
        <w:r w:rsidR="00365A7C">
          <w:rPr>
            <w:webHidden/>
          </w:rPr>
          <w:t>116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2" w:history="1">
        <w:r w:rsidR="007A5CF8" w:rsidRPr="00EC71FA">
          <w:rPr>
            <w:rStyle w:val="af2"/>
            <w:rFonts w:asciiTheme="minorEastAsia" w:hAnsiTheme="minorEastAsia" w:hint="eastAsia"/>
          </w:rPr>
          <w:t>（七）暂停估值的情形</w:t>
        </w:r>
        <w:r w:rsidR="007A5CF8">
          <w:rPr>
            <w:webHidden/>
          </w:rPr>
          <w:tab/>
        </w:r>
        <w:r w:rsidR="007A5CF8">
          <w:rPr>
            <w:webHidden/>
          </w:rPr>
          <w:fldChar w:fldCharType="begin"/>
        </w:r>
        <w:r w:rsidR="007A5CF8">
          <w:rPr>
            <w:webHidden/>
          </w:rPr>
          <w:instrText xml:space="preserve"> PAGEREF _Toc81231032 \h </w:instrText>
        </w:r>
        <w:r w:rsidR="007A5CF8">
          <w:rPr>
            <w:webHidden/>
          </w:rPr>
        </w:r>
        <w:r w:rsidR="007A5CF8">
          <w:rPr>
            <w:webHidden/>
          </w:rPr>
          <w:fldChar w:fldCharType="separate"/>
        </w:r>
        <w:r w:rsidR="00365A7C">
          <w:rPr>
            <w:webHidden/>
          </w:rPr>
          <w:t>118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3" w:history="1">
        <w:r w:rsidR="007A5CF8" w:rsidRPr="00EC71FA">
          <w:rPr>
            <w:rStyle w:val="af2"/>
            <w:rFonts w:asciiTheme="minorEastAsia" w:hAnsiTheme="minorEastAsia" w:hint="eastAsia"/>
          </w:rPr>
          <w:t>（八）特殊情形的处理</w:t>
        </w:r>
        <w:r w:rsidR="007A5CF8">
          <w:rPr>
            <w:webHidden/>
          </w:rPr>
          <w:tab/>
        </w:r>
        <w:r w:rsidR="007A5CF8">
          <w:rPr>
            <w:webHidden/>
          </w:rPr>
          <w:fldChar w:fldCharType="begin"/>
        </w:r>
        <w:r w:rsidR="007A5CF8">
          <w:rPr>
            <w:webHidden/>
          </w:rPr>
          <w:instrText xml:space="preserve"> PAGEREF _Toc81231033 \h </w:instrText>
        </w:r>
        <w:r w:rsidR="007A5CF8">
          <w:rPr>
            <w:webHidden/>
          </w:rPr>
        </w:r>
        <w:r w:rsidR="007A5CF8">
          <w:rPr>
            <w:webHidden/>
          </w:rPr>
          <w:fldChar w:fldCharType="separate"/>
        </w:r>
        <w:r w:rsidR="00365A7C">
          <w:rPr>
            <w:webHidden/>
          </w:rPr>
          <w:t>118</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34" w:history="1">
        <w:r w:rsidR="007A5CF8" w:rsidRPr="00EC71FA">
          <w:rPr>
            <w:rStyle w:val="af2"/>
            <w:rFonts w:asciiTheme="minorEastAsia" w:hAnsiTheme="minorEastAsia" w:hint="eastAsia"/>
            <w:b/>
            <w:bCs/>
          </w:rPr>
          <w:t>十六、基金的收益与分配</w:t>
        </w:r>
        <w:r w:rsidR="007A5CF8">
          <w:rPr>
            <w:webHidden/>
          </w:rPr>
          <w:tab/>
        </w:r>
        <w:r w:rsidR="007A5CF8">
          <w:rPr>
            <w:webHidden/>
          </w:rPr>
          <w:fldChar w:fldCharType="begin"/>
        </w:r>
        <w:r w:rsidR="007A5CF8">
          <w:rPr>
            <w:webHidden/>
          </w:rPr>
          <w:instrText xml:space="preserve"> PAGEREF _Toc81231034 \h </w:instrText>
        </w:r>
        <w:r w:rsidR="007A5CF8">
          <w:rPr>
            <w:webHidden/>
          </w:rPr>
        </w:r>
        <w:r w:rsidR="007A5CF8">
          <w:rPr>
            <w:webHidden/>
          </w:rPr>
          <w:fldChar w:fldCharType="separate"/>
        </w:r>
        <w:r w:rsidR="00365A7C">
          <w:rPr>
            <w:webHidden/>
          </w:rPr>
          <w:t>119</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35" w:history="1">
        <w:r w:rsidR="007A5CF8" w:rsidRPr="00EC71FA">
          <w:rPr>
            <w:rStyle w:val="af2"/>
            <w:rFonts w:asciiTheme="minorEastAsia" w:hAnsiTheme="minorEastAsia" w:hint="eastAsia"/>
            <w:b/>
            <w:bCs/>
          </w:rPr>
          <w:t>十七、基金的费用与税收</w:t>
        </w:r>
        <w:r w:rsidR="007A5CF8">
          <w:rPr>
            <w:webHidden/>
          </w:rPr>
          <w:tab/>
        </w:r>
        <w:r w:rsidR="007A5CF8">
          <w:rPr>
            <w:webHidden/>
          </w:rPr>
          <w:fldChar w:fldCharType="begin"/>
        </w:r>
        <w:r w:rsidR="007A5CF8">
          <w:rPr>
            <w:webHidden/>
          </w:rPr>
          <w:instrText xml:space="preserve"> PAGEREF _Toc81231035 \h </w:instrText>
        </w:r>
        <w:r w:rsidR="007A5CF8">
          <w:rPr>
            <w:webHidden/>
          </w:rPr>
        </w:r>
        <w:r w:rsidR="007A5CF8">
          <w:rPr>
            <w:webHidden/>
          </w:rPr>
          <w:fldChar w:fldCharType="separate"/>
        </w:r>
        <w:r w:rsidR="00365A7C">
          <w:rPr>
            <w:webHidden/>
          </w:rPr>
          <w:t>121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6" w:history="1">
        <w:r w:rsidR="007A5CF8" w:rsidRPr="00EC71FA">
          <w:rPr>
            <w:rStyle w:val="af2"/>
            <w:rFonts w:asciiTheme="minorEastAsia" w:hAnsiTheme="minorEastAsia" w:hint="eastAsia"/>
          </w:rPr>
          <w:t>（一）与基金运作相关的费用</w:t>
        </w:r>
        <w:r w:rsidR="007A5CF8">
          <w:rPr>
            <w:webHidden/>
          </w:rPr>
          <w:tab/>
        </w:r>
        <w:r w:rsidR="007A5CF8">
          <w:rPr>
            <w:webHidden/>
          </w:rPr>
          <w:fldChar w:fldCharType="begin"/>
        </w:r>
        <w:r w:rsidR="007A5CF8">
          <w:rPr>
            <w:webHidden/>
          </w:rPr>
          <w:instrText xml:space="preserve"> PAGEREF _Toc81231036 \h </w:instrText>
        </w:r>
        <w:r w:rsidR="007A5CF8">
          <w:rPr>
            <w:webHidden/>
          </w:rPr>
        </w:r>
        <w:r w:rsidR="007A5CF8">
          <w:rPr>
            <w:webHidden/>
          </w:rPr>
          <w:fldChar w:fldCharType="separate"/>
        </w:r>
        <w:r w:rsidR="00365A7C">
          <w:rPr>
            <w:webHidden/>
          </w:rPr>
          <w:t>121</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7" w:history="1">
        <w:r w:rsidR="007A5CF8" w:rsidRPr="00EC71FA">
          <w:rPr>
            <w:rStyle w:val="af2"/>
            <w:rFonts w:asciiTheme="minorEastAsia" w:hAnsiTheme="minorEastAsia" w:hint="eastAsia"/>
          </w:rPr>
          <w:t>（二）与基金销售有关的费用</w:t>
        </w:r>
        <w:r w:rsidR="007A5CF8">
          <w:rPr>
            <w:webHidden/>
          </w:rPr>
          <w:tab/>
        </w:r>
        <w:r w:rsidR="007A5CF8">
          <w:rPr>
            <w:webHidden/>
          </w:rPr>
          <w:fldChar w:fldCharType="begin"/>
        </w:r>
        <w:r w:rsidR="007A5CF8">
          <w:rPr>
            <w:webHidden/>
          </w:rPr>
          <w:instrText xml:space="preserve"> PAGEREF _Toc81231037 \h </w:instrText>
        </w:r>
        <w:r w:rsidR="007A5CF8">
          <w:rPr>
            <w:webHidden/>
          </w:rPr>
        </w:r>
        <w:r w:rsidR="007A5CF8">
          <w:rPr>
            <w:webHidden/>
          </w:rPr>
          <w:fldChar w:fldCharType="separate"/>
        </w:r>
        <w:r w:rsidR="00365A7C">
          <w:rPr>
            <w:webHidden/>
          </w:rPr>
          <w:t>122</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38" w:history="1">
        <w:r w:rsidR="007A5CF8" w:rsidRPr="00EC71FA">
          <w:rPr>
            <w:rStyle w:val="af2"/>
            <w:rFonts w:asciiTheme="minorEastAsia" w:hAnsiTheme="minorEastAsia" w:hint="eastAsia"/>
          </w:rPr>
          <w:t>（三）基金税收</w:t>
        </w:r>
        <w:r w:rsidR="007A5CF8">
          <w:rPr>
            <w:webHidden/>
          </w:rPr>
          <w:tab/>
        </w:r>
        <w:r w:rsidR="007A5CF8">
          <w:rPr>
            <w:webHidden/>
          </w:rPr>
          <w:fldChar w:fldCharType="begin"/>
        </w:r>
        <w:r w:rsidR="007A5CF8">
          <w:rPr>
            <w:webHidden/>
          </w:rPr>
          <w:instrText xml:space="preserve"> PAGEREF _Toc81231038 \h </w:instrText>
        </w:r>
        <w:r w:rsidR="007A5CF8">
          <w:rPr>
            <w:webHidden/>
          </w:rPr>
        </w:r>
        <w:r w:rsidR="007A5CF8">
          <w:rPr>
            <w:webHidden/>
          </w:rPr>
          <w:fldChar w:fldCharType="separate"/>
        </w:r>
        <w:r w:rsidR="00365A7C">
          <w:rPr>
            <w:webHidden/>
          </w:rPr>
          <w:t>122</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39" w:history="1">
        <w:r w:rsidR="007A5CF8" w:rsidRPr="00EC71FA">
          <w:rPr>
            <w:rStyle w:val="af2"/>
            <w:rFonts w:asciiTheme="minorEastAsia" w:hAnsiTheme="minorEastAsia" w:hint="eastAsia"/>
            <w:b/>
            <w:bCs/>
          </w:rPr>
          <w:t>十八、基金的会计与审计</w:t>
        </w:r>
        <w:r w:rsidR="007A5CF8">
          <w:rPr>
            <w:webHidden/>
          </w:rPr>
          <w:tab/>
        </w:r>
        <w:r w:rsidR="007A5CF8">
          <w:rPr>
            <w:webHidden/>
          </w:rPr>
          <w:fldChar w:fldCharType="begin"/>
        </w:r>
        <w:r w:rsidR="007A5CF8">
          <w:rPr>
            <w:webHidden/>
          </w:rPr>
          <w:instrText xml:space="preserve"> PAGEREF _Toc81231039 \h </w:instrText>
        </w:r>
        <w:r w:rsidR="007A5CF8">
          <w:rPr>
            <w:webHidden/>
          </w:rPr>
        </w:r>
        <w:r w:rsidR="007A5CF8">
          <w:rPr>
            <w:webHidden/>
          </w:rPr>
          <w:fldChar w:fldCharType="separate"/>
        </w:r>
        <w:r w:rsidR="00365A7C">
          <w:rPr>
            <w:webHidden/>
          </w:rPr>
          <w:t>123</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40" w:history="1">
        <w:r w:rsidR="007A5CF8" w:rsidRPr="00EC71FA">
          <w:rPr>
            <w:rStyle w:val="af2"/>
            <w:rFonts w:asciiTheme="minorEastAsia" w:hAnsiTheme="minorEastAsia" w:hint="eastAsia"/>
            <w:b/>
            <w:bCs/>
          </w:rPr>
          <w:t>十九、基金的信息披露</w:t>
        </w:r>
        <w:r w:rsidR="007A5CF8">
          <w:rPr>
            <w:webHidden/>
          </w:rPr>
          <w:tab/>
        </w:r>
        <w:r w:rsidR="007A5CF8">
          <w:rPr>
            <w:webHidden/>
          </w:rPr>
          <w:fldChar w:fldCharType="begin"/>
        </w:r>
        <w:r w:rsidR="007A5CF8">
          <w:rPr>
            <w:webHidden/>
          </w:rPr>
          <w:instrText xml:space="preserve"> PAGEREF _Toc81231040 \h </w:instrText>
        </w:r>
        <w:r w:rsidR="007A5CF8">
          <w:rPr>
            <w:webHidden/>
          </w:rPr>
        </w:r>
        <w:r w:rsidR="007A5CF8">
          <w:rPr>
            <w:webHidden/>
          </w:rPr>
          <w:fldChar w:fldCharType="separate"/>
        </w:r>
        <w:r w:rsidR="00365A7C">
          <w:rPr>
            <w:webHidden/>
          </w:rPr>
          <w:t>124</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41" w:history="1">
        <w:r w:rsidR="007A5CF8" w:rsidRPr="00EC71FA">
          <w:rPr>
            <w:rStyle w:val="af2"/>
            <w:rFonts w:asciiTheme="minorEastAsia" w:hAnsiTheme="minorEastAsia" w:hint="eastAsia"/>
            <w:b/>
            <w:bCs/>
          </w:rPr>
          <w:t>二十、风险揭示</w:t>
        </w:r>
        <w:r w:rsidR="007A5CF8">
          <w:rPr>
            <w:webHidden/>
          </w:rPr>
          <w:tab/>
        </w:r>
        <w:r w:rsidR="007A5CF8">
          <w:rPr>
            <w:webHidden/>
          </w:rPr>
          <w:fldChar w:fldCharType="begin"/>
        </w:r>
        <w:r w:rsidR="007A5CF8">
          <w:rPr>
            <w:webHidden/>
          </w:rPr>
          <w:instrText xml:space="preserve"> PAGEREF _Toc81231041 \h </w:instrText>
        </w:r>
        <w:r w:rsidR="007A5CF8">
          <w:rPr>
            <w:webHidden/>
          </w:rPr>
        </w:r>
        <w:r w:rsidR="007A5CF8">
          <w:rPr>
            <w:webHidden/>
          </w:rPr>
          <w:fldChar w:fldCharType="separate"/>
        </w:r>
        <w:r w:rsidR="00365A7C">
          <w:rPr>
            <w:webHidden/>
          </w:rPr>
          <w:t>129</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42" w:history="1">
        <w:r w:rsidR="007A5CF8" w:rsidRPr="00EC71FA">
          <w:rPr>
            <w:rStyle w:val="af2"/>
            <w:rFonts w:asciiTheme="minorEastAsia" w:hAnsiTheme="minorEastAsia" w:hint="eastAsia"/>
            <w:b/>
            <w:bCs/>
          </w:rPr>
          <w:t>二十一、基金合同的终止与基金财产的清算</w:t>
        </w:r>
        <w:r w:rsidR="007A5CF8">
          <w:rPr>
            <w:webHidden/>
          </w:rPr>
          <w:tab/>
        </w:r>
        <w:r w:rsidR="007A5CF8">
          <w:rPr>
            <w:webHidden/>
          </w:rPr>
          <w:fldChar w:fldCharType="begin"/>
        </w:r>
        <w:r w:rsidR="007A5CF8">
          <w:rPr>
            <w:webHidden/>
          </w:rPr>
          <w:instrText xml:space="preserve"> PAGEREF _Toc81231042 \h </w:instrText>
        </w:r>
        <w:r w:rsidR="007A5CF8">
          <w:rPr>
            <w:webHidden/>
          </w:rPr>
        </w:r>
        <w:r w:rsidR="007A5CF8">
          <w:rPr>
            <w:webHidden/>
          </w:rPr>
          <w:fldChar w:fldCharType="separate"/>
        </w:r>
        <w:r w:rsidR="00365A7C">
          <w:rPr>
            <w:webHidden/>
          </w:rPr>
          <w:t>133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3" w:history="1">
        <w:r w:rsidR="007A5CF8" w:rsidRPr="00EC71FA">
          <w:rPr>
            <w:rStyle w:val="af2"/>
            <w:rFonts w:asciiTheme="minorEastAsia" w:hAnsiTheme="minorEastAsia" w:hint="eastAsia"/>
          </w:rPr>
          <w:t>（一）基金合同的终止</w:t>
        </w:r>
        <w:r w:rsidR="007A5CF8">
          <w:rPr>
            <w:webHidden/>
          </w:rPr>
          <w:tab/>
        </w:r>
        <w:r w:rsidR="007A5CF8">
          <w:rPr>
            <w:webHidden/>
          </w:rPr>
          <w:fldChar w:fldCharType="begin"/>
        </w:r>
        <w:r w:rsidR="007A5CF8">
          <w:rPr>
            <w:webHidden/>
          </w:rPr>
          <w:instrText xml:space="preserve"> PAGEREF _Toc81231043 \h </w:instrText>
        </w:r>
        <w:r w:rsidR="007A5CF8">
          <w:rPr>
            <w:webHidden/>
          </w:rPr>
        </w:r>
        <w:r w:rsidR="007A5CF8">
          <w:rPr>
            <w:webHidden/>
          </w:rPr>
          <w:fldChar w:fldCharType="separate"/>
        </w:r>
        <w:r w:rsidR="00365A7C">
          <w:rPr>
            <w:webHidden/>
          </w:rPr>
          <w:t>133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4" w:history="1">
        <w:r w:rsidR="007A5CF8" w:rsidRPr="00EC71FA">
          <w:rPr>
            <w:rStyle w:val="af2"/>
            <w:rFonts w:asciiTheme="minorEastAsia" w:hAnsiTheme="minorEastAsia" w:hint="eastAsia"/>
          </w:rPr>
          <w:t>（二）基金财产的清算</w:t>
        </w:r>
        <w:r w:rsidR="007A5CF8">
          <w:rPr>
            <w:webHidden/>
          </w:rPr>
          <w:tab/>
        </w:r>
        <w:r w:rsidR="007A5CF8">
          <w:rPr>
            <w:webHidden/>
          </w:rPr>
          <w:fldChar w:fldCharType="begin"/>
        </w:r>
        <w:r w:rsidR="007A5CF8">
          <w:rPr>
            <w:webHidden/>
          </w:rPr>
          <w:instrText xml:space="preserve"> PAGEREF _Toc81231044 \h </w:instrText>
        </w:r>
        <w:r w:rsidR="007A5CF8">
          <w:rPr>
            <w:webHidden/>
          </w:rPr>
        </w:r>
        <w:r w:rsidR="007A5CF8">
          <w:rPr>
            <w:webHidden/>
          </w:rPr>
          <w:fldChar w:fldCharType="separate"/>
        </w:r>
        <w:r w:rsidR="00365A7C">
          <w:rPr>
            <w:webHidden/>
          </w:rPr>
          <w:t>133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5" w:history="1">
        <w:r w:rsidR="007A5CF8" w:rsidRPr="00EC71FA">
          <w:rPr>
            <w:rStyle w:val="af2"/>
            <w:rFonts w:asciiTheme="minorEastAsia" w:hAnsiTheme="minorEastAsia" w:hint="eastAsia"/>
          </w:rPr>
          <w:t>（三）清算费用</w:t>
        </w:r>
        <w:r w:rsidR="007A5CF8">
          <w:rPr>
            <w:webHidden/>
          </w:rPr>
          <w:tab/>
        </w:r>
        <w:r w:rsidR="007A5CF8">
          <w:rPr>
            <w:webHidden/>
          </w:rPr>
          <w:fldChar w:fldCharType="begin"/>
        </w:r>
        <w:r w:rsidR="007A5CF8">
          <w:rPr>
            <w:webHidden/>
          </w:rPr>
          <w:instrText xml:space="preserve"> PAGEREF _Toc81231045 \h </w:instrText>
        </w:r>
        <w:r w:rsidR="007A5CF8">
          <w:rPr>
            <w:webHidden/>
          </w:rPr>
        </w:r>
        <w:r w:rsidR="007A5CF8">
          <w:rPr>
            <w:webHidden/>
          </w:rPr>
          <w:fldChar w:fldCharType="separate"/>
        </w:r>
        <w:r w:rsidR="00365A7C">
          <w:rPr>
            <w:webHidden/>
          </w:rPr>
          <w:t>133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6" w:history="1">
        <w:r w:rsidR="007A5CF8" w:rsidRPr="00EC71FA">
          <w:rPr>
            <w:rStyle w:val="af2"/>
            <w:rFonts w:asciiTheme="minorEastAsia" w:hAnsiTheme="minorEastAsia" w:hint="eastAsia"/>
          </w:rPr>
          <w:t>（四）基金财产清算剩余资产的分配</w:t>
        </w:r>
        <w:r w:rsidR="007A5CF8">
          <w:rPr>
            <w:webHidden/>
          </w:rPr>
          <w:tab/>
        </w:r>
        <w:r w:rsidR="007A5CF8">
          <w:rPr>
            <w:webHidden/>
          </w:rPr>
          <w:fldChar w:fldCharType="begin"/>
        </w:r>
        <w:r w:rsidR="007A5CF8">
          <w:rPr>
            <w:webHidden/>
          </w:rPr>
          <w:instrText xml:space="preserve"> PAGEREF _Toc81231046 \h </w:instrText>
        </w:r>
        <w:r w:rsidR="007A5CF8">
          <w:rPr>
            <w:webHidden/>
          </w:rPr>
        </w:r>
        <w:r w:rsidR="007A5CF8">
          <w:rPr>
            <w:webHidden/>
          </w:rPr>
          <w:fldChar w:fldCharType="separate"/>
        </w:r>
        <w:r w:rsidR="00365A7C">
          <w:rPr>
            <w:webHidden/>
          </w:rPr>
          <w:t>133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7" w:history="1">
        <w:r w:rsidR="007A5CF8" w:rsidRPr="00EC71FA">
          <w:rPr>
            <w:rStyle w:val="af2"/>
            <w:rFonts w:asciiTheme="minorEastAsia" w:hAnsiTheme="minorEastAsia" w:hint="eastAsia"/>
          </w:rPr>
          <w:t>（五）基金财产清算的公告</w:t>
        </w:r>
        <w:r w:rsidR="007A5CF8">
          <w:rPr>
            <w:webHidden/>
          </w:rPr>
          <w:tab/>
        </w:r>
        <w:r w:rsidR="007A5CF8">
          <w:rPr>
            <w:webHidden/>
          </w:rPr>
          <w:fldChar w:fldCharType="begin"/>
        </w:r>
        <w:r w:rsidR="007A5CF8">
          <w:rPr>
            <w:webHidden/>
          </w:rPr>
          <w:instrText xml:space="preserve"> PAGEREF _Toc81231047 \h </w:instrText>
        </w:r>
        <w:r w:rsidR="007A5CF8">
          <w:rPr>
            <w:webHidden/>
          </w:rPr>
        </w:r>
        <w:r w:rsidR="007A5CF8">
          <w:rPr>
            <w:webHidden/>
          </w:rPr>
          <w:fldChar w:fldCharType="separate"/>
        </w:r>
        <w:r w:rsidR="00365A7C">
          <w:rPr>
            <w:webHidden/>
          </w:rPr>
          <w:t>134</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48" w:history="1">
        <w:r w:rsidR="007A5CF8" w:rsidRPr="00EC71FA">
          <w:rPr>
            <w:rStyle w:val="af2"/>
            <w:rFonts w:asciiTheme="minorEastAsia" w:hAnsiTheme="minorEastAsia" w:hint="eastAsia"/>
          </w:rPr>
          <w:t>（六）基金财产清算账册及文件的保存</w:t>
        </w:r>
        <w:r w:rsidR="007A5CF8">
          <w:rPr>
            <w:webHidden/>
          </w:rPr>
          <w:tab/>
        </w:r>
        <w:r w:rsidR="007A5CF8">
          <w:rPr>
            <w:webHidden/>
          </w:rPr>
          <w:fldChar w:fldCharType="begin"/>
        </w:r>
        <w:r w:rsidR="007A5CF8">
          <w:rPr>
            <w:webHidden/>
          </w:rPr>
          <w:instrText xml:space="preserve"> PAGEREF _Toc81231048 \h </w:instrText>
        </w:r>
        <w:r w:rsidR="007A5CF8">
          <w:rPr>
            <w:webHidden/>
          </w:rPr>
        </w:r>
        <w:r w:rsidR="007A5CF8">
          <w:rPr>
            <w:webHidden/>
          </w:rPr>
          <w:fldChar w:fldCharType="separate"/>
        </w:r>
        <w:r w:rsidR="00365A7C">
          <w:rPr>
            <w:webHidden/>
          </w:rPr>
          <w:t>134</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49" w:history="1">
        <w:r w:rsidR="007A5CF8" w:rsidRPr="00EC71FA">
          <w:rPr>
            <w:rStyle w:val="af2"/>
            <w:rFonts w:asciiTheme="minorEastAsia" w:hAnsiTheme="minorEastAsia" w:hint="eastAsia"/>
            <w:b/>
            <w:bCs/>
          </w:rPr>
          <w:t>二十二、基金合同内容摘要</w:t>
        </w:r>
        <w:r w:rsidR="007A5CF8">
          <w:rPr>
            <w:webHidden/>
          </w:rPr>
          <w:tab/>
        </w:r>
        <w:r w:rsidR="007A5CF8">
          <w:rPr>
            <w:webHidden/>
          </w:rPr>
          <w:fldChar w:fldCharType="begin"/>
        </w:r>
        <w:r w:rsidR="007A5CF8">
          <w:rPr>
            <w:webHidden/>
          </w:rPr>
          <w:instrText xml:space="preserve"> PAGEREF _Toc81231049 \h </w:instrText>
        </w:r>
        <w:r w:rsidR="007A5CF8">
          <w:rPr>
            <w:webHidden/>
          </w:rPr>
        </w:r>
        <w:r w:rsidR="007A5CF8">
          <w:rPr>
            <w:webHidden/>
          </w:rPr>
          <w:fldChar w:fldCharType="separate"/>
        </w:r>
        <w:r w:rsidR="00365A7C">
          <w:rPr>
            <w:webHidden/>
          </w:rPr>
          <w:t>135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0" w:history="1">
        <w:r w:rsidR="007A5CF8" w:rsidRPr="00EC71FA">
          <w:rPr>
            <w:rStyle w:val="af2"/>
            <w:rFonts w:asciiTheme="minorEastAsia" w:hAnsiTheme="minorEastAsia" w:hint="eastAsia"/>
            <w:bCs/>
          </w:rPr>
          <w:t>（一）基金管理人的权利与义务</w:t>
        </w:r>
        <w:r w:rsidR="007A5CF8">
          <w:rPr>
            <w:webHidden/>
          </w:rPr>
          <w:tab/>
        </w:r>
        <w:r w:rsidR="007A5CF8">
          <w:rPr>
            <w:webHidden/>
          </w:rPr>
          <w:fldChar w:fldCharType="begin"/>
        </w:r>
        <w:r w:rsidR="007A5CF8">
          <w:rPr>
            <w:webHidden/>
          </w:rPr>
          <w:instrText xml:space="preserve"> PAGEREF _Toc81231050 \h </w:instrText>
        </w:r>
        <w:r w:rsidR="007A5CF8">
          <w:rPr>
            <w:webHidden/>
          </w:rPr>
        </w:r>
        <w:r w:rsidR="007A5CF8">
          <w:rPr>
            <w:webHidden/>
          </w:rPr>
          <w:fldChar w:fldCharType="separate"/>
        </w:r>
        <w:r w:rsidR="00365A7C">
          <w:rPr>
            <w:webHidden/>
          </w:rPr>
          <w:t>135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1" w:history="1">
        <w:r w:rsidR="007A5CF8" w:rsidRPr="00EC71FA">
          <w:rPr>
            <w:rStyle w:val="af2"/>
            <w:rFonts w:asciiTheme="minorEastAsia" w:hAnsiTheme="minorEastAsia" w:hint="eastAsia"/>
            <w:bCs/>
          </w:rPr>
          <w:t>（二）基金托管人的权利与义务</w:t>
        </w:r>
        <w:r w:rsidR="007A5CF8">
          <w:rPr>
            <w:webHidden/>
          </w:rPr>
          <w:tab/>
        </w:r>
        <w:r w:rsidR="007A5CF8">
          <w:rPr>
            <w:webHidden/>
          </w:rPr>
          <w:fldChar w:fldCharType="begin"/>
        </w:r>
        <w:r w:rsidR="007A5CF8">
          <w:rPr>
            <w:webHidden/>
          </w:rPr>
          <w:instrText xml:space="preserve"> PAGEREF _Toc81231051 \h </w:instrText>
        </w:r>
        <w:r w:rsidR="007A5CF8">
          <w:rPr>
            <w:webHidden/>
          </w:rPr>
        </w:r>
        <w:r w:rsidR="007A5CF8">
          <w:rPr>
            <w:webHidden/>
          </w:rPr>
          <w:fldChar w:fldCharType="separate"/>
        </w:r>
        <w:r w:rsidR="00365A7C">
          <w:rPr>
            <w:webHidden/>
          </w:rPr>
          <w:t>137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2" w:history="1">
        <w:r w:rsidR="007A5CF8" w:rsidRPr="00EC71FA">
          <w:rPr>
            <w:rStyle w:val="af2"/>
            <w:rFonts w:asciiTheme="minorEastAsia" w:hAnsiTheme="minorEastAsia" w:hint="eastAsia"/>
            <w:bCs/>
          </w:rPr>
          <w:t>（三）基金份额持有人的权利与义务</w:t>
        </w:r>
        <w:r w:rsidR="007A5CF8">
          <w:rPr>
            <w:webHidden/>
          </w:rPr>
          <w:tab/>
        </w:r>
        <w:r w:rsidR="007A5CF8">
          <w:rPr>
            <w:webHidden/>
          </w:rPr>
          <w:fldChar w:fldCharType="begin"/>
        </w:r>
        <w:r w:rsidR="007A5CF8">
          <w:rPr>
            <w:webHidden/>
          </w:rPr>
          <w:instrText xml:space="preserve"> PAGEREF _Toc81231052 \h </w:instrText>
        </w:r>
        <w:r w:rsidR="007A5CF8">
          <w:rPr>
            <w:webHidden/>
          </w:rPr>
        </w:r>
        <w:r w:rsidR="007A5CF8">
          <w:rPr>
            <w:webHidden/>
          </w:rPr>
          <w:fldChar w:fldCharType="separate"/>
        </w:r>
        <w:r w:rsidR="00365A7C">
          <w:rPr>
            <w:webHidden/>
          </w:rPr>
          <w:t>139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3" w:history="1">
        <w:r w:rsidR="007A5CF8" w:rsidRPr="00EC71FA">
          <w:rPr>
            <w:rStyle w:val="af2"/>
            <w:rFonts w:asciiTheme="minorEastAsia" w:hAnsiTheme="minorEastAsia" w:hint="eastAsia"/>
            <w:bCs/>
          </w:rPr>
          <w:t>（四）基金份额持有人大会</w:t>
        </w:r>
        <w:r w:rsidR="007A5CF8">
          <w:rPr>
            <w:webHidden/>
          </w:rPr>
          <w:tab/>
        </w:r>
        <w:r w:rsidR="007A5CF8">
          <w:rPr>
            <w:webHidden/>
          </w:rPr>
          <w:fldChar w:fldCharType="begin"/>
        </w:r>
        <w:r w:rsidR="007A5CF8">
          <w:rPr>
            <w:webHidden/>
          </w:rPr>
          <w:instrText xml:space="preserve"> PAGEREF _Toc81231053 \h </w:instrText>
        </w:r>
        <w:r w:rsidR="007A5CF8">
          <w:rPr>
            <w:webHidden/>
          </w:rPr>
        </w:r>
        <w:r w:rsidR="007A5CF8">
          <w:rPr>
            <w:webHidden/>
          </w:rPr>
          <w:fldChar w:fldCharType="separate"/>
        </w:r>
        <w:r w:rsidR="00365A7C">
          <w:rPr>
            <w:webHidden/>
          </w:rPr>
          <w:t>139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4" w:history="1">
        <w:r w:rsidR="007A5CF8" w:rsidRPr="00EC71FA">
          <w:rPr>
            <w:rStyle w:val="af2"/>
            <w:rFonts w:asciiTheme="minorEastAsia" w:hAnsiTheme="minorEastAsia" w:hint="eastAsia"/>
            <w:bCs/>
          </w:rPr>
          <w:t>（五）基金合同的变更和终止</w:t>
        </w:r>
        <w:r w:rsidR="007A5CF8">
          <w:rPr>
            <w:webHidden/>
          </w:rPr>
          <w:tab/>
        </w:r>
        <w:r w:rsidR="007A5CF8">
          <w:rPr>
            <w:webHidden/>
          </w:rPr>
          <w:fldChar w:fldCharType="begin"/>
        </w:r>
        <w:r w:rsidR="007A5CF8">
          <w:rPr>
            <w:webHidden/>
          </w:rPr>
          <w:instrText xml:space="preserve"> PAGEREF _Toc81231054 \h </w:instrText>
        </w:r>
        <w:r w:rsidR="007A5CF8">
          <w:rPr>
            <w:webHidden/>
          </w:rPr>
        </w:r>
        <w:r w:rsidR="007A5CF8">
          <w:rPr>
            <w:webHidden/>
          </w:rPr>
          <w:fldChar w:fldCharType="separate"/>
        </w:r>
        <w:r w:rsidR="00365A7C">
          <w:rPr>
            <w:webHidden/>
          </w:rPr>
          <w:t>145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5" w:history="1">
        <w:r w:rsidR="007A5CF8" w:rsidRPr="00EC71FA">
          <w:rPr>
            <w:rStyle w:val="af2"/>
            <w:rFonts w:asciiTheme="minorEastAsia" w:hAnsiTheme="minorEastAsia" w:hint="eastAsia"/>
            <w:bCs/>
          </w:rPr>
          <w:t>（六）争议的处理和适用的法律</w:t>
        </w:r>
        <w:r w:rsidR="007A5CF8">
          <w:rPr>
            <w:webHidden/>
          </w:rPr>
          <w:tab/>
        </w:r>
        <w:r w:rsidR="007A5CF8">
          <w:rPr>
            <w:webHidden/>
          </w:rPr>
          <w:fldChar w:fldCharType="begin"/>
        </w:r>
        <w:r w:rsidR="007A5CF8">
          <w:rPr>
            <w:webHidden/>
          </w:rPr>
          <w:instrText xml:space="preserve"> PAGEREF _Toc81231055 \h </w:instrText>
        </w:r>
        <w:r w:rsidR="007A5CF8">
          <w:rPr>
            <w:webHidden/>
          </w:rPr>
        </w:r>
        <w:r w:rsidR="007A5CF8">
          <w:rPr>
            <w:webHidden/>
          </w:rPr>
          <w:fldChar w:fldCharType="separate"/>
        </w:r>
        <w:r w:rsidR="00365A7C">
          <w:rPr>
            <w:webHidden/>
          </w:rPr>
          <w:t>146</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6" w:history="1">
        <w:r w:rsidR="007A5CF8" w:rsidRPr="00EC71FA">
          <w:rPr>
            <w:rStyle w:val="af2"/>
            <w:rFonts w:asciiTheme="minorEastAsia" w:hAnsiTheme="minorEastAsia" w:hint="eastAsia"/>
            <w:bCs/>
          </w:rPr>
          <w:t>（七）基金合同的存放及查阅方式</w:t>
        </w:r>
        <w:r w:rsidR="007A5CF8">
          <w:rPr>
            <w:webHidden/>
          </w:rPr>
          <w:tab/>
        </w:r>
        <w:r w:rsidR="007A5CF8">
          <w:rPr>
            <w:webHidden/>
          </w:rPr>
          <w:fldChar w:fldCharType="begin"/>
        </w:r>
        <w:r w:rsidR="007A5CF8">
          <w:rPr>
            <w:webHidden/>
          </w:rPr>
          <w:instrText xml:space="preserve"> PAGEREF _Toc81231056 \h </w:instrText>
        </w:r>
        <w:r w:rsidR="007A5CF8">
          <w:rPr>
            <w:webHidden/>
          </w:rPr>
        </w:r>
        <w:r w:rsidR="007A5CF8">
          <w:rPr>
            <w:webHidden/>
          </w:rPr>
          <w:fldChar w:fldCharType="separate"/>
        </w:r>
        <w:r w:rsidR="00365A7C">
          <w:rPr>
            <w:webHidden/>
          </w:rPr>
          <w:t>146</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57" w:history="1">
        <w:r w:rsidR="007A5CF8" w:rsidRPr="00EC71FA">
          <w:rPr>
            <w:rStyle w:val="af2"/>
            <w:rFonts w:asciiTheme="minorEastAsia" w:hAnsiTheme="minorEastAsia" w:hint="eastAsia"/>
            <w:b/>
            <w:bCs/>
          </w:rPr>
          <w:t>二十三、基金托管协议的内容摘要</w:t>
        </w:r>
        <w:r w:rsidR="007A5CF8">
          <w:rPr>
            <w:webHidden/>
          </w:rPr>
          <w:tab/>
        </w:r>
        <w:r w:rsidR="007A5CF8">
          <w:rPr>
            <w:webHidden/>
          </w:rPr>
          <w:fldChar w:fldCharType="begin"/>
        </w:r>
        <w:r w:rsidR="007A5CF8">
          <w:rPr>
            <w:webHidden/>
          </w:rPr>
          <w:instrText xml:space="preserve"> PAGEREF _Toc81231057 \h </w:instrText>
        </w:r>
        <w:r w:rsidR="007A5CF8">
          <w:rPr>
            <w:webHidden/>
          </w:rPr>
        </w:r>
        <w:r w:rsidR="007A5CF8">
          <w:rPr>
            <w:webHidden/>
          </w:rPr>
          <w:fldChar w:fldCharType="separate"/>
        </w:r>
        <w:r w:rsidR="00365A7C">
          <w:rPr>
            <w:webHidden/>
          </w:rPr>
          <w:t>147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8" w:history="1">
        <w:r w:rsidR="007A5CF8" w:rsidRPr="00EC71FA">
          <w:rPr>
            <w:rStyle w:val="af2"/>
            <w:rFonts w:asciiTheme="minorEastAsia" w:hAnsiTheme="minorEastAsia" w:hint="eastAsia"/>
            <w:bCs/>
          </w:rPr>
          <w:t>（一）托管协议当事人</w:t>
        </w:r>
        <w:r w:rsidR="007A5CF8">
          <w:rPr>
            <w:webHidden/>
          </w:rPr>
          <w:tab/>
        </w:r>
        <w:r w:rsidR="007A5CF8">
          <w:rPr>
            <w:webHidden/>
          </w:rPr>
          <w:fldChar w:fldCharType="begin"/>
        </w:r>
        <w:r w:rsidR="007A5CF8">
          <w:rPr>
            <w:webHidden/>
          </w:rPr>
          <w:instrText xml:space="preserve"> PAGEREF _Toc81231058 \h </w:instrText>
        </w:r>
        <w:r w:rsidR="007A5CF8">
          <w:rPr>
            <w:webHidden/>
          </w:rPr>
        </w:r>
        <w:r w:rsidR="007A5CF8">
          <w:rPr>
            <w:webHidden/>
          </w:rPr>
          <w:fldChar w:fldCharType="separate"/>
        </w:r>
        <w:r w:rsidR="00365A7C">
          <w:rPr>
            <w:webHidden/>
          </w:rPr>
          <w:t>147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59" w:history="1">
        <w:r w:rsidR="007A5CF8" w:rsidRPr="00EC71FA">
          <w:rPr>
            <w:rStyle w:val="af2"/>
            <w:rFonts w:asciiTheme="minorEastAsia" w:hAnsiTheme="minorEastAsia" w:hint="eastAsia"/>
            <w:bCs/>
          </w:rPr>
          <w:t>（二）基金托管人对基金管理人的业务监督和核查</w:t>
        </w:r>
        <w:r w:rsidR="007A5CF8">
          <w:rPr>
            <w:webHidden/>
          </w:rPr>
          <w:tab/>
        </w:r>
        <w:r w:rsidR="007A5CF8">
          <w:rPr>
            <w:webHidden/>
          </w:rPr>
          <w:fldChar w:fldCharType="begin"/>
        </w:r>
        <w:r w:rsidR="007A5CF8">
          <w:rPr>
            <w:webHidden/>
          </w:rPr>
          <w:instrText xml:space="preserve"> PAGEREF _Toc81231059 \h </w:instrText>
        </w:r>
        <w:r w:rsidR="007A5CF8">
          <w:rPr>
            <w:webHidden/>
          </w:rPr>
        </w:r>
        <w:r w:rsidR="007A5CF8">
          <w:rPr>
            <w:webHidden/>
          </w:rPr>
          <w:fldChar w:fldCharType="separate"/>
        </w:r>
        <w:r w:rsidR="00365A7C">
          <w:rPr>
            <w:webHidden/>
          </w:rPr>
          <w:t>148</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0" w:history="1">
        <w:r w:rsidR="007A5CF8" w:rsidRPr="00EC71FA">
          <w:rPr>
            <w:rStyle w:val="af2"/>
            <w:rFonts w:asciiTheme="minorEastAsia" w:hAnsiTheme="minorEastAsia" w:hint="eastAsia"/>
            <w:bCs/>
          </w:rPr>
          <w:t>（三）基金管理人对基金托管人的业务核查</w:t>
        </w:r>
        <w:r w:rsidR="007A5CF8">
          <w:rPr>
            <w:webHidden/>
          </w:rPr>
          <w:tab/>
        </w:r>
        <w:r w:rsidR="007A5CF8">
          <w:rPr>
            <w:webHidden/>
          </w:rPr>
          <w:fldChar w:fldCharType="begin"/>
        </w:r>
        <w:r w:rsidR="007A5CF8">
          <w:rPr>
            <w:webHidden/>
          </w:rPr>
          <w:instrText xml:space="preserve"> PAGEREF _Toc81231060 \h </w:instrText>
        </w:r>
        <w:r w:rsidR="007A5CF8">
          <w:rPr>
            <w:webHidden/>
          </w:rPr>
        </w:r>
        <w:r w:rsidR="007A5CF8">
          <w:rPr>
            <w:webHidden/>
          </w:rPr>
          <w:fldChar w:fldCharType="separate"/>
        </w:r>
        <w:r w:rsidR="00365A7C">
          <w:rPr>
            <w:webHidden/>
          </w:rPr>
          <w:t>153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1" w:history="1">
        <w:r w:rsidR="007A5CF8" w:rsidRPr="00EC71FA">
          <w:rPr>
            <w:rStyle w:val="af2"/>
            <w:rFonts w:asciiTheme="minorEastAsia" w:hAnsiTheme="minorEastAsia" w:hint="eastAsia"/>
            <w:bCs/>
          </w:rPr>
          <w:t>（四）基金财产保管</w:t>
        </w:r>
        <w:r w:rsidR="007A5CF8">
          <w:rPr>
            <w:webHidden/>
          </w:rPr>
          <w:tab/>
        </w:r>
        <w:r w:rsidR="007A5CF8">
          <w:rPr>
            <w:webHidden/>
          </w:rPr>
          <w:fldChar w:fldCharType="begin"/>
        </w:r>
        <w:r w:rsidR="007A5CF8">
          <w:rPr>
            <w:webHidden/>
          </w:rPr>
          <w:instrText xml:space="preserve"> PAGEREF _Toc81231061 \h </w:instrText>
        </w:r>
        <w:r w:rsidR="007A5CF8">
          <w:rPr>
            <w:webHidden/>
          </w:rPr>
        </w:r>
        <w:r w:rsidR="007A5CF8">
          <w:rPr>
            <w:webHidden/>
          </w:rPr>
          <w:fldChar w:fldCharType="separate"/>
        </w:r>
        <w:r w:rsidR="00365A7C">
          <w:rPr>
            <w:webHidden/>
          </w:rPr>
          <w:t>153</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2" w:history="1">
        <w:r w:rsidR="007A5CF8" w:rsidRPr="00EC71FA">
          <w:rPr>
            <w:rStyle w:val="af2"/>
            <w:rFonts w:asciiTheme="minorEastAsia" w:hAnsiTheme="minorEastAsia" w:hint="eastAsia"/>
            <w:bCs/>
          </w:rPr>
          <w:t>（五）基金资产净值计算与复核</w:t>
        </w:r>
        <w:r w:rsidR="007A5CF8">
          <w:rPr>
            <w:webHidden/>
          </w:rPr>
          <w:tab/>
        </w:r>
        <w:r w:rsidR="007A5CF8">
          <w:rPr>
            <w:webHidden/>
          </w:rPr>
          <w:fldChar w:fldCharType="begin"/>
        </w:r>
        <w:r w:rsidR="007A5CF8">
          <w:rPr>
            <w:webHidden/>
          </w:rPr>
          <w:instrText xml:space="preserve"> PAGEREF _Toc81231062 \h </w:instrText>
        </w:r>
        <w:r w:rsidR="007A5CF8">
          <w:rPr>
            <w:webHidden/>
          </w:rPr>
        </w:r>
        <w:r w:rsidR="007A5CF8">
          <w:rPr>
            <w:webHidden/>
          </w:rPr>
          <w:fldChar w:fldCharType="separate"/>
        </w:r>
        <w:r w:rsidR="00365A7C">
          <w:rPr>
            <w:webHidden/>
          </w:rPr>
          <w:t>155</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3" w:history="1">
        <w:r w:rsidR="007A5CF8" w:rsidRPr="00EC71FA">
          <w:rPr>
            <w:rStyle w:val="af2"/>
            <w:rFonts w:asciiTheme="minorEastAsia" w:hAnsiTheme="minorEastAsia" w:hint="eastAsia"/>
            <w:bCs/>
          </w:rPr>
          <w:t>（六）基金份额持有人名册的保管</w:t>
        </w:r>
        <w:r w:rsidR="007A5CF8">
          <w:rPr>
            <w:webHidden/>
          </w:rPr>
          <w:tab/>
        </w:r>
        <w:r w:rsidR="007A5CF8">
          <w:rPr>
            <w:webHidden/>
          </w:rPr>
          <w:fldChar w:fldCharType="begin"/>
        </w:r>
        <w:r w:rsidR="007A5CF8">
          <w:rPr>
            <w:webHidden/>
          </w:rPr>
          <w:instrText xml:space="preserve"> PAGEREF _Toc81231063 \h </w:instrText>
        </w:r>
        <w:r w:rsidR="007A5CF8">
          <w:rPr>
            <w:webHidden/>
          </w:rPr>
        </w:r>
        <w:r w:rsidR="007A5CF8">
          <w:rPr>
            <w:webHidden/>
          </w:rPr>
          <w:fldChar w:fldCharType="separate"/>
        </w:r>
        <w:r w:rsidR="00365A7C">
          <w:rPr>
            <w:webHidden/>
          </w:rPr>
          <w:t>157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4" w:history="1">
        <w:r w:rsidR="007A5CF8" w:rsidRPr="00EC71FA">
          <w:rPr>
            <w:rStyle w:val="af2"/>
            <w:rFonts w:asciiTheme="minorEastAsia" w:hAnsiTheme="minorEastAsia" w:hint="eastAsia"/>
            <w:bCs/>
          </w:rPr>
          <w:t>（七）争议解决方式</w:t>
        </w:r>
        <w:r w:rsidR="007A5CF8">
          <w:rPr>
            <w:webHidden/>
          </w:rPr>
          <w:tab/>
        </w:r>
        <w:r w:rsidR="007A5CF8">
          <w:rPr>
            <w:webHidden/>
          </w:rPr>
          <w:fldChar w:fldCharType="begin"/>
        </w:r>
        <w:r w:rsidR="007A5CF8">
          <w:rPr>
            <w:webHidden/>
          </w:rPr>
          <w:instrText xml:space="preserve"> PAGEREF _Toc81231064 \h </w:instrText>
        </w:r>
        <w:r w:rsidR="007A5CF8">
          <w:rPr>
            <w:webHidden/>
          </w:rPr>
        </w:r>
        <w:r w:rsidR="007A5CF8">
          <w:rPr>
            <w:webHidden/>
          </w:rPr>
          <w:fldChar w:fldCharType="separate"/>
        </w:r>
        <w:r w:rsidR="00365A7C">
          <w:rPr>
            <w:webHidden/>
          </w:rPr>
          <w:t>157</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5" w:history="1">
        <w:r w:rsidR="007A5CF8" w:rsidRPr="00EC71FA">
          <w:rPr>
            <w:rStyle w:val="af2"/>
            <w:rFonts w:asciiTheme="minorEastAsia" w:hAnsiTheme="minorEastAsia" w:hint="eastAsia"/>
            <w:bCs/>
          </w:rPr>
          <w:t>（八）托管协议的变更与终止</w:t>
        </w:r>
        <w:r w:rsidR="007A5CF8">
          <w:rPr>
            <w:webHidden/>
          </w:rPr>
          <w:tab/>
        </w:r>
        <w:r w:rsidR="007A5CF8">
          <w:rPr>
            <w:webHidden/>
          </w:rPr>
          <w:fldChar w:fldCharType="begin"/>
        </w:r>
        <w:r w:rsidR="007A5CF8">
          <w:rPr>
            <w:webHidden/>
          </w:rPr>
          <w:instrText xml:space="preserve"> PAGEREF _Toc81231065 \h </w:instrText>
        </w:r>
        <w:r w:rsidR="007A5CF8">
          <w:rPr>
            <w:webHidden/>
          </w:rPr>
        </w:r>
        <w:r w:rsidR="007A5CF8">
          <w:rPr>
            <w:webHidden/>
          </w:rPr>
          <w:fldChar w:fldCharType="separate"/>
        </w:r>
        <w:r w:rsidR="00365A7C">
          <w:rPr>
            <w:webHidden/>
          </w:rPr>
          <w:t>158</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66" w:history="1">
        <w:r w:rsidR="007A5CF8" w:rsidRPr="00EC71FA">
          <w:rPr>
            <w:rStyle w:val="af2"/>
            <w:rFonts w:asciiTheme="minorEastAsia" w:hAnsiTheme="minorEastAsia" w:hint="eastAsia"/>
            <w:b/>
            <w:bCs/>
          </w:rPr>
          <w:t>二十四、对基金份额持有人的服务</w:t>
        </w:r>
        <w:r w:rsidR="007A5CF8">
          <w:rPr>
            <w:webHidden/>
          </w:rPr>
          <w:tab/>
        </w:r>
        <w:r w:rsidR="007A5CF8">
          <w:rPr>
            <w:webHidden/>
          </w:rPr>
          <w:fldChar w:fldCharType="begin"/>
        </w:r>
        <w:r w:rsidR="007A5CF8">
          <w:rPr>
            <w:webHidden/>
          </w:rPr>
          <w:instrText xml:space="preserve"> PAGEREF _Toc81231066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7" w:history="1">
        <w:r w:rsidR="007A5CF8" w:rsidRPr="00EC71FA">
          <w:rPr>
            <w:rStyle w:val="af2"/>
            <w:rFonts w:asciiTheme="minorEastAsia" w:hAnsiTheme="minorEastAsia" w:hint="eastAsia"/>
            <w:bCs/>
          </w:rPr>
          <w:t>（一）基金份额持有人投资交易确认服务</w:t>
        </w:r>
        <w:r w:rsidR="007A5CF8">
          <w:rPr>
            <w:webHidden/>
          </w:rPr>
          <w:tab/>
        </w:r>
        <w:r w:rsidR="007A5CF8">
          <w:rPr>
            <w:webHidden/>
          </w:rPr>
          <w:fldChar w:fldCharType="begin"/>
        </w:r>
        <w:r w:rsidR="007A5CF8">
          <w:rPr>
            <w:webHidden/>
          </w:rPr>
          <w:instrText xml:space="preserve"> PAGEREF _Toc81231067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8" w:history="1">
        <w:r w:rsidR="007A5CF8" w:rsidRPr="00EC71FA">
          <w:rPr>
            <w:rStyle w:val="af2"/>
            <w:rFonts w:asciiTheme="minorEastAsia" w:hAnsiTheme="minorEastAsia" w:hint="eastAsia"/>
            <w:bCs/>
          </w:rPr>
          <w:t>（二）基金份额持有人交易记录查询服务</w:t>
        </w:r>
        <w:r w:rsidR="007A5CF8">
          <w:rPr>
            <w:webHidden/>
          </w:rPr>
          <w:tab/>
        </w:r>
        <w:r w:rsidR="007A5CF8">
          <w:rPr>
            <w:webHidden/>
          </w:rPr>
          <w:fldChar w:fldCharType="begin"/>
        </w:r>
        <w:r w:rsidR="007A5CF8">
          <w:rPr>
            <w:webHidden/>
          </w:rPr>
          <w:instrText xml:space="preserve"> PAGEREF _Toc81231068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69" w:history="1">
        <w:r w:rsidR="007A5CF8" w:rsidRPr="00EC71FA">
          <w:rPr>
            <w:rStyle w:val="af2"/>
            <w:rFonts w:asciiTheme="minorEastAsia" w:hAnsiTheme="minorEastAsia" w:hint="eastAsia"/>
            <w:bCs/>
          </w:rPr>
          <w:t>（三）基金份额持有人的对账单服务</w:t>
        </w:r>
        <w:r w:rsidR="007A5CF8">
          <w:rPr>
            <w:webHidden/>
          </w:rPr>
          <w:tab/>
        </w:r>
        <w:r w:rsidR="007A5CF8">
          <w:rPr>
            <w:webHidden/>
          </w:rPr>
          <w:fldChar w:fldCharType="begin"/>
        </w:r>
        <w:r w:rsidR="007A5CF8">
          <w:rPr>
            <w:webHidden/>
          </w:rPr>
          <w:instrText xml:space="preserve"> PAGEREF _Toc81231069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70" w:history="1">
        <w:r w:rsidR="007A5CF8" w:rsidRPr="00EC71FA">
          <w:rPr>
            <w:rStyle w:val="af2"/>
            <w:rFonts w:asciiTheme="minorEastAsia" w:hAnsiTheme="minorEastAsia" w:hint="eastAsia"/>
            <w:bCs/>
          </w:rPr>
          <w:t>（四）定期定额投资计划</w:t>
        </w:r>
        <w:r w:rsidR="007A5CF8">
          <w:rPr>
            <w:webHidden/>
          </w:rPr>
          <w:tab/>
        </w:r>
        <w:r w:rsidR="007A5CF8">
          <w:rPr>
            <w:webHidden/>
          </w:rPr>
          <w:fldChar w:fldCharType="begin"/>
        </w:r>
        <w:r w:rsidR="007A5CF8">
          <w:rPr>
            <w:webHidden/>
          </w:rPr>
          <w:instrText xml:space="preserve"> PAGEREF _Toc81231070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21"/>
        <w:rPr>
          <w:rFonts w:asciiTheme="minorHAnsi" w:eastAsiaTheme="minorEastAsia" w:hAnsiTheme="minorHAnsi" w:cstheme="minorBidi"/>
          <w:smallCaps w:val="0"/>
          <w:szCs w:val="22"/>
        </w:rPr>
      </w:pPr>
      <w:hyperlink w:anchor="_Toc81231071" w:history="1">
        <w:r w:rsidR="007A5CF8" w:rsidRPr="00EC71FA">
          <w:rPr>
            <w:rStyle w:val="af2"/>
            <w:rFonts w:asciiTheme="minorEastAsia" w:hAnsiTheme="minorEastAsia" w:hint="eastAsia"/>
            <w:bCs/>
          </w:rPr>
          <w:t>（五）资讯服务</w:t>
        </w:r>
        <w:r w:rsidR="007A5CF8">
          <w:rPr>
            <w:webHidden/>
          </w:rPr>
          <w:tab/>
        </w:r>
        <w:r w:rsidR="007A5CF8">
          <w:rPr>
            <w:webHidden/>
          </w:rPr>
          <w:fldChar w:fldCharType="begin"/>
        </w:r>
        <w:r w:rsidR="007A5CF8">
          <w:rPr>
            <w:webHidden/>
          </w:rPr>
          <w:instrText xml:space="preserve"> PAGEREF _Toc81231071 \h </w:instrText>
        </w:r>
        <w:r w:rsidR="007A5CF8">
          <w:rPr>
            <w:webHidden/>
          </w:rPr>
        </w:r>
        <w:r w:rsidR="007A5CF8">
          <w:rPr>
            <w:webHidden/>
          </w:rPr>
          <w:fldChar w:fldCharType="separate"/>
        </w:r>
        <w:r w:rsidR="00365A7C">
          <w:rPr>
            <w:webHidden/>
          </w:rPr>
          <w:t>159</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72" w:history="1">
        <w:r w:rsidR="007A5CF8" w:rsidRPr="00EC71FA">
          <w:rPr>
            <w:rStyle w:val="af2"/>
            <w:rFonts w:asciiTheme="minorEastAsia" w:hAnsiTheme="minorEastAsia" w:hint="eastAsia"/>
            <w:b/>
            <w:bCs/>
          </w:rPr>
          <w:t>二十五、其他应披露事项</w:t>
        </w:r>
        <w:r w:rsidR="007A5CF8">
          <w:rPr>
            <w:webHidden/>
          </w:rPr>
          <w:tab/>
        </w:r>
        <w:r w:rsidR="007A5CF8">
          <w:rPr>
            <w:webHidden/>
          </w:rPr>
          <w:fldChar w:fldCharType="begin"/>
        </w:r>
        <w:r w:rsidR="007A5CF8">
          <w:rPr>
            <w:webHidden/>
          </w:rPr>
          <w:instrText xml:space="preserve"> PAGEREF _Toc81231072 \h </w:instrText>
        </w:r>
        <w:r w:rsidR="007A5CF8">
          <w:rPr>
            <w:webHidden/>
          </w:rPr>
        </w:r>
        <w:r w:rsidR="007A5CF8">
          <w:rPr>
            <w:webHidden/>
          </w:rPr>
          <w:fldChar w:fldCharType="separate"/>
        </w:r>
        <w:r w:rsidR="00365A7C">
          <w:rPr>
            <w:webHidden/>
          </w:rPr>
          <w:t>160</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73" w:history="1">
        <w:r w:rsidR="007A5CF8" w:rsidRPr="00EC71FA">
          <w:rPr>
            <w:rStyle w:val="af2"/>
            <w:rFonts w:asciiTheme="minorEastAsia" w:hAnsiTheme="minorEastAsia" w:hint="eastAsia"/>
            <w:b/>
            <w:bCs/>
          </w:rPr>
          <w:t>二十六、招募说明书存放及查阅方式</w:t>
        </w:r>
        <w:r w:rsidR="007A5CF8">
          <w:rPr>
            <w:webHidden/>
          </w:rPr>
          <w:tab/>
        </w:r>
        <w:r w:rsidR="007A5CF8">
          <w:rPr>
            <w:webHidden/>
          </w:rPr>
          <w:fldChar w:fldCharType="begin"/>
        </w:r>
        <w:r w:rsidR="007A5CF8">
          <w:rPr>
            <w:webHidden/>
          </w:rPr>
          <w:instrText xml:space="preserve"> PAGEREF _Toc81231073 \h </w:instrText>
        </w:r>
        <w:r w:rsidR="007A5CF8">
          <w:rPr>
            <w:webHidden/>
          </w:rPr>
        </w:r>
        <w:r w:rsidR="007A5CF8">
          <w:rPr>
            <w:webHidden/>
          </w:rPr>
          <w:fldChar w:fldCharType="separate"/>
        </w:r>
        <w:r w:rsidR="00365A7C">
          <w:rPr>
            <w:webHidden/>
          </w:rPr>
          <w:t>162</w:t>
        </w:r>
        <w:r w:rsidR="007A5CF8">
          <w:rPr>
            <w:webHidden/>
          </w:rPr>
          <w:fldChar w:fldCharType="end"/>
        </w:r>
      </w:hyperlink>
    </w:p>
    <w:p w:rsidR="007A5CF8" w:rsidRDefault="00C614B9">
      <w:pPr>
        <w:pStyle w:val="10"/>
        <w:rPr>
          <w:rFonts w:asciiTheme="minorHAnsi" w:eastAsiaTheme="minorEastAsia" w:hAnsiTheme="minorHAnsi" w:cstheme="minorBidi"/>
          <w:caps w:val="0"/>
          <w:sz w:val="21"/>
          <w:szCs w:val="22"/>
        </w:rPr>
      </w:pPr>
      <w:hyperlink w:anchor="_Toc81231074" w:history="1">
        <w:r w:rsidR="007A5CF8" w:rsidRPr="00EC71FA">
          <w:rPr>
            <w:rStyle w:val="af2"/>
            <w:rFonts w:asciiTheme="minorEastAsia" w:hAnsiTheme="minorEastAsia" w:hint="eastAsia"/>
            <w:b/>
            <w:bCs/>
          </w:rPr>
          <w:t>二十七、备查文</w:t>
        </w:r>
        <w:r w:rsidR="007A5CF8" w:rsidRPr="00EC71FA">
          <w:rPr>
            <w:rStyle w:val="af2"/>
            <w:rFonts w:asciiTheme="minorEastAsia" w:hAnsiTheme="minorEastAsia" w:hint="eastAsia"/>
            <w:b/>
            <w:bCs/>
          </w:rPr>
          <w:t>件</w:t>
        </w:r>
        <w:r w:rsidR="007A5CF8">
          <w:rPr>
            <w:webHidden/>
          </w:rPr>
          <w:tab/>
        </w:r>
        <w:r w:rsidR="007A5CF8">
          <w:rPr>
            <w:webHidden/>
          </w:rPr>
          <w:fldChar w:fldCharType="begin"/>
        </w:r>
        <w:r w:rsidR="007A5CF8">
          <w:rPr>
            <w:webHidden/>
          </w:rPr>
          <w:instrText xml:space="preserve"> PAGEREF _Toc81231074 \h </w:instrText>
        </w:r>
        <w:r w:rsidR="007A5CF8">
          <w:rPr>
            <w:webHidden/>
          </w:rPr>
        </w:r>
        <w:r w:rsidR="007A5CF8">
          <w:rPr>
            <w:webHidden/>
          </w:rPr>
          <w:fldChar w:fldCharType="separate"/>
        </w:r>
        <w:r w:rsidR="00365A7C">
          <w:rPr>
            <w:webHidden/>
          </w:rPr>
          <w:t>163</w:t>
        </w:r>
        <w:r w:rsidR="007A5CF8">
          <w:rPr>
            <w:webHidden/>
          </w:rPr>
          <w:fldChar w:fldCharType="end"/>
        </w:r>
      </w:hyperlink>
    </w:p>
    <w:p w:rsidR="00AF2EE6" w:rsidRPr="004A57FA" w:rsidRDefault="00297BB2" w:rsidP="00385845">
      <w:pPr>
        <w:snapToGrid w:val="0"/>
        <w:spacing w:line="360" w:lineRule="auto"/>
        <w:ind w:firstLine="560"/>
        <w:jc w:val="center"/>
        <w:rPr>
          <w:rFonts w:asciiTheme="minorEastAsia" w:eastAsiaTheme="minorEastAsia" w:hAnsiTheme="minorEastAsia"/>
          <w:szCs w:val="21"/>
        </w:rPr>
        <w:sectPr w:rsidR="00AF2EE6" w:rsidRPr="004A57FA" w:rsidSect="00A805DC">
          <w:footerReference w:type="default" r:id="rId15"/>
          <w:headerReference w:type="first" r:id="rId16"/>
          <w:footerReference w:type="first" r:id="rId17"/>
          <w:pgSz w:w="11907" w:h="16840" w:code="9"/>
          <w:pgMar w:top="1440" w:right="1800" w:bottom="1440" w:left="1800" w:header="1134" w:footer="1247" w:gutter="0"/>
          <w:pgNumType w:fmt="upperRoman" w:start="1"/>
          <w:cols w:space="425"/>
          <w:titlePg/>
          <w:docGrid w:type="lines" w:linePitch="447"/>
        </w:sectPr>
      </w:pPr>
      <w:r w:rsidRPr="004A57FA">
        <w:rPr>
          <w:rFonts w:asciiTheme="minorEastAsia" w:eastAsiaTheme="minorEastAsia" w:hAnsiTheme="minorEastAsia"/>
          <w:b/>
          <w:caps/>
          <w:noProof/>
          <w:sz w:val="24"/>
          <w:szCs w:val="21"/>
        </w:rPr>
        <w:fldChar w:fldCharType="end"/>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0" w:name="_Toc38432421"/>
      <w:bookmarkStart w:id="1" w:name="_Toc81230970"/>
      <w:r w:rsidRPr="004A57FA">
        <w:rPr>
          <w:rFonts w:asciiTheme="minorEastAsia" w:eastAsiaTheme="minorEastAsia" w:hAnsiTheme="minorEastAsia" w:hint="eastAsia"/>
          <w:b/>
          <w:bCs/>
        </w:rPr>
        <w:lastRenderedPageBreak/>
        <w:t>一、绪言</w:t>
      </w:r>
      <w:bookmarkEnd w:id="0"/>
      <w:bookmarkEnd w:id="1"/>
    </w:p>
    <w:p w:rsidR="00AF2EE6" w:rsidRPr="004A57FA" w:rsidRDefault="00AF2EE6" w:rsidP="00C53017">
      <w:pPr>
        <w:snapToGrid w:val="0"/>
        <w:spacing w:line="360" w:lineRule="auto"/>
        <w:ind w:firstLine="482"/>
        <w:rPr>
          <w:rFonts w:asciiTheme="minorEastAsia" w:eastAsiaTheme="minorEastAsia" w:hAnsiTheme="minorEastAsia"/>
          <w:szCs w:val="21"/>
        </w:rPr>
      </w:pPr>
      <w:r w:rsidRPr="004A57FA">
        <w:rPr>
          <w:rFonts w:asciiTheme="minorEastAsia" w:eastAsiaTheme="minorEastAsia" w:hAnsiTheme="minorEastAsia" w:hint="eastAsia"/>
          <w:szCs w:val="21"/>
        </w:rPr>
        <w:t>本《招募说明书》依据《中华人民共和国证券投资基金法》（以下简称《基金法》）、《</w:t>
      </w:r>
      <w:r w:rsidR="00E369BB" w:rsidRPr="004A57FA">
        <w:rPr>
          <w:rFonts w:asciiTheme="minorEastAsia" w:eastAsiaTheme="minorEastAsia" w:hAnsiTheme="minorEastAsia" w:hint="eastAsia"/>
          <w:szCs w:val="21"/>
        </w:rPr>
        <w:t>公开募集</w:t>
      </w:r>
      <w:r w:rsidRPr="004A57FA">
        <w:rPr>
          <w:rFonts w:asciiTheme="minorEastAsia" w:eastAsiaTheme="minorEastAsia" w:hAnsiTheme="minorEastAsia" w:hint="eastAsia"/>
          <w:szCs w:val="21"/>
        </w:rPr>
        <w:t>证券投资基金运作管理办法》（以下简称《运作办法》）、《证券投资基金销售管理办法》（以下简称《销售办法》）、《</w:t>
      </w:r>
      <w:r w:rsidR="00F514B6" w:rsidRPr="004A57FA">
        <w:rPr>
          <w:rFonts w:asciiTheme="minorEastAsia" w:eastAsiaTheme="minorEastAsia" w:hAnsiTheme="minorEastAsia" w:hint="eastAsia"/>
          <w:szCs w:val="21"/>
        </w:rPr>
        <w:t>公开募集</w:t>
      </w:r>
      <w:r w:rsidRPr="004A57FA">
        <w:rPr>
          <w:rFonts w:asciiTheme="minorEastAsia" w:eastAsiaTheme="minorEastAsia" w:hAnsiTheme="minorEastAsia" w:hint="eastAsia"/>
          <w:szCs w:val="21"/>
        </w:rPr>
        <w:t>证券投资基金信息披露管理办法》（以下简称《信息披露办法》）、</w:t>
      </w:r>
      <w:r w:rsidRPr="004A57FA">
        <w:rPr>
          <w:rFonts w:asciiTheme="minorEastAsia" w:eastAsiaTheme="minorEastAsia" w:hAnsiTheme="minorEastAsia" w:hint="eastAsia"/>
        </w:rPr>
        <w:t>《证券投资基金信息披露内容与格式准则第</w:t>
      </w:r>
      <w:r w:rsidRPr="004A57FA">
        <w:rPr>
          <w:rFonts w:asciiTheme="minorEastAsia" w:eastAsiaTheme="minorEastAsia" w:hAnsiTheme="minorEastAsia"/>
        </w:rPr>
        <w:t>5</w:t>
      </w:r>
      <w:r w:rsidRPr="004A57FA">
        <w:rPr>
          <w:rFonts w:asciiTheme="minorEastAsia" w:eastAsiaTheme="minorEastAsia" w:hAnsiTheme="minorEastAsia" w:hint="eastAsia"/>
        </w:rPr>
        <w:t>号</w:t>
      </w:r>
      <w:r w:rsidRPr="004A57FA">
        <w:rPr>
          <w:rFonts w:asciiTheme="minorEastAsia" w:eastAsiaTheme="minorEastAsia" w:hAnsiTheme="minorEastAsia"/>
        </w:rPr>
        <w:t>&lt;</w:t>
      </w:r>
      <w:r w:rsidRPr="004A57FA">
        <w:rPr>
          <w:rFonts w:asciiTheme="minorEastAsia" w:eastAsiaTheme="minorEastAsia" w:hAnsiTheme="minorEastAsia" w:hint="eastAsia"/>
        </w:rPr>
        <w:t>招募说明书的内容与格式</w:t>
      </w:r>
      <w:r w:rsidRPr="004A57FA">
        <w:rPr>
          <w:rFonts w:asciiTheme="minorEastAsia" w:eastAsiaTheme="minorEastAsia" w:hAnsiTheme="minorEastAsia"/>
        </w:rPr>
        <w:t>&gt;</w:t>
      </w:r>
      <w:r w:rsidRPr="004A57FA">
        <w:rPr>
          <w:rFonts w:asciiTheme="minorEastAsia" w:eastAsiaTheme="minorEastAsia" w:hAnsiTheme="minorEastAsia" w:hint="eastAsia"/>
        </w:rPr>
        <w:t>》</w:t>
      </w:r>
      <w:r w:rsidR="00261475" w:rsidRPr="004A57FA">
        <w:rPr>
          <w:rFonts w:asciiTheme="minorEastAsia" w:eastAsiaTheme="minorEastAsia" w:hAnsiTheme="minorEastAsia" w:hint="eastAsia"/>
        </w:rPr>
        <w:t>、《公开募集开放式证券投资基金流动性风险管理规定》（以下简称“《管理规定》”）</w:t>
      </w:r>
      <w:r w:rsidRPr="004A57FA">
        <w:rPr>
          <w:rFonts w:asciiTheme="minorEastAsia" w:eastAsiaTheme="minorEastAsia" w:hAnsiTheme="minorEastAsia" w:hint="eastAsia"/>
          <w:szCs w:val="21"/>
        </w:rPr>
        <w:t>等有关法律法规以及《易方达科翔</w:t>
      </w:r>
      <w:r w:rsidR="00E369BB"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型证券投资基金基金合同》编写。</w:t>
      </w:r>
    </w:p>
    <w:p w:rsidR="00AF2EE6" w:rsidRPr="004A57FA" w:rsidRDefault="00AF2EE6" w:rsidP="00C53017">
      <w:pPr>
        <w:snapToGrid w:val="0"/>
        <w:spacing w:line="360" w:lineRule="auto"/>
        <w:ind w:firstLine="482"/>
        <w:rPr>
          <w:rStyle w:val="da"/>
          <w:rFonts w:asciiTheme="minorEastAsia" w:eastAsiaTheme="minorEastAsia" w:hAnsiTheme="minorEastAsia"/>
        </w:rPr>
      </w:pPr>
      <w:r w:rsidRPr="004A57FA">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或对本招募说明书作任何解释或者说明。</w:t>
      </w:r>
    </w:p>
    <w:p w:rsidR="00AF2EE6" w:rsidRPr="004A57FA" w:rsidRDefault="00AF2EE6" w:rsidP="00C53017">
      <w:pPr>
        <w:snapToGrid w:val="0"/>
        <w:spacing w:line="360" w:lineRule="auto"/>
        <w:ind w:firstLine="482"/>
        <w:rPr>
          <w:rStyle w:val="da"/>
          <w:rFonts w:asciiTheme="minorEastAsia" w:eastAsiaTheme="minorEastAsia" w:hAnsiTheme="minorEastAsia"/>
        </w:rPr>
      </w:pPr>
      <w:r w:rsidRPr="004A57FA">
        <w:rPr>
          <w:rStyle w:val="da"/>
          <w:rFonts w:asciiTheme="minorEastAsia" w:eastAsiaTheme="minorEastAsia" w:hAnsiTheme="minorEastAsia"/>
        </w:rPr>
        <w:t>本招募说明书根据本基金的基金合同编写</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即成为基金份额持有人和基金合同的当事人</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其持有基金份额的行为本身即表明其对基金合同的承认和接受</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并按照《基金法》、基金合同及其他有关规定享有权利、承担义务。基金投资者欲了解基金份额持有人的权利和义务</w:t>
      </w:r>
      <w:r w:rsidRPr="004A57FA">
        <w:rPr>
          <w:rStyle w:val="da"/>
          <w:rFonts w:asciiTheme="minorEastAsia" w:eastAsiaTheme="minorEastAsia" w:hAnsiTheme="minorEastAsia" w:hint="eastAsia"/>
        </w:rPr>
        <w:t>，</w:t>
      </w:r>
      <w:r w:rsidRPr="004A57FA">
        <w:rPr>
          <w:rStyle w:val="da"/>
          <w:rFonts w:asciiTheme="minorEastAsia" w:eastAsiaTheme="minorEastAsia" w:hAnsiTheme="minorEastAsia"/>
        </w:rPr>
        <w:t>应详细查阅基金合同</w:t>
      </w:r>
      <w:r w:rsidRPr="004A57FA">
        <w:rPr>
          <w:rStyle w:val="da"/>
          <w:rFonts w:asciiTheme="minorEastAsia" w:eastAsiaTheme="minorEastAsia" w:hAnsiTheme="minorEastAsia" w:hint="eastAsia"/>
        </w:rPr>
        <w:t>。</w:t>
      </w:r>
    </w:p>
    <w:p w:rsidR="00AF2EE6" w:rsidRPr="004A57FA" w:rsidRDefault="00AF2EE6" w:rsidP="00C53017">
      <w:pPr>
        <w:snapToGrid w:val="0"/>
        <w:spacing w:line="360" w:lineRule="auto"/>
        <w:ind w:firstLine="482"/>
        <w:rPr>
          <w:rFonts w:asciiTheme="minorEastAsia" w:eastAsiaTheme="minorEastAsia" w:hAnsiTheme="minorEastAsia"/>
          <w:szCs w:val="21"/>
        </w:rPr>
      </w:pPr>
    </w:p>
    <w:p w:rsidR="00AF2EE6" w:rsidRPr="004A57FA" w:rsidRDefault="00AF2EE6" w:rsidP="00C53017">
      <w:pPr>
        <w:snapToGrid w:val="0"/>
        <w:spacing w:line="360" w:lineRule="auto"/>
        <w:ind w:firstLine="482"/>
        <w:rPr>
          <w:rFonts w:asciiTheme="minorEastAsia" w:eastAsiaTheme="minorEastAsia" w:hAnsiTheme="minorEastAsia"/>
          <w:szCs w:val="21"/>
        </w:rPr>
      </w:pPr>
    </w:p>
    <w:p w:rsidR="00AF2EE6" w:rsidRPr="004A57FA" w:rsidRDefault="00AF2EE6" w:rsidP="00C53017">
      <w:pPr>
        <w:snapToGrid w:val="0"/>
        <w:spacing w:line="360" w:lineRule="auto"/>
        <w:ind w:firstLine="482"/>
        <w:rPr>
          <w:rFonts w:asciiTheme="minorEastAsia" w:eastAsiaTheme="minorEastAsia" w:hAnsiTheme="minorEastAsia"/>
          <w:szCs w:val="21"/>
        </w:rPr>
      </w:pPr>
    </w:p>
    <w:p w:rsidR="00AF2EE6" w:rsidRPr="004A57FA" w:rsidRDefault="00AF2EE6" w:rsidP="00C53017">
      <w:pPr>
        <w:snapToGrid w:val="0"/>
        <w:spacing w:line="360" w:lineRule="auto"/>
        <w:ind w:firstLine="482"/>
        <w:rPr>
          <w:rFonts w:asciiTheme="minorEastAsia" w:eastAsiaTheme="minorEastAsia" w:hAnsiTheme="minorEastAsia"/>
          <w:szCs w:val="21"/>
        </w:rPr>
      </w:pPr>
    </w:p>
    <w:p w:rsidR="00AF2EE6" w:rsidRPr="004A57FA" w:rsidRDefault="00AF2EE6" w:rsidP="00C53017">
      <w:pPr>
        <w:snapToGrid w:val="0"/>
        <w:spacing w:line="360" w:lineRule="auto"/>
        <w:ind w:firstLine="482"/>
        <w:rPr>
          <w:rFonts w:asciiTheme="minorEastAsia" w:eastAsiaTheme="minorEastAsia" w:hAnsiTheme="minorEastAsia"/>
          <w:szCs w:val="21"/>
        </w:rPr>
      </w:pPr>
    </w:p>
    <w:p w:rsidR="00AF2EE6" w:rsidRPr="004A57FA" w:rsidRDefault="00AF2EE6" w:rsidP="00C53017">
      <w:pPr>
        <w:pStyle w:val="111"/>
        <w:snapToGrid w:val="0"/>
        <w:spacing w:beforeLines="0" w:afterLines="0" w:line="360" w:lineRule="auto"/>
        <w:ind w:firstLine="643"/>
        <w:rPr>
          <w:rFonts w:asciiTheme="minorEastAsia" w:eastAsiaTheme="minorEastAsia" w:hAnsiTheme="minorEastAsia"/>
          <w:b/>
          <w:szCs w:val="32"/>
        </w:rPr>
      </w:pPr>
      <w:bookmarkStart w:id="2" w:name="_Toc38432422"/>
      <w:bookmarkStart w:id="3" w:name="_Toc81230971"/>
      <w:r w:rsidRPr="004A57FA">
        <w:rPr>
          <w:rFonts w:asciiTheme="minorEastAsia" w:eastAsiaTheme="minorEastAsia" w:hAnsiTheme="minorEastAsia" w:hint="eastAsia"/>
          <w:b/>
          <w:szCs w:val="32"/>
        </w:rPr>
        <w:lastRenderedPageBreak/>
        <w:t>二、释义</w:t>
      </w:r>
      <w:bookmarkEnd w:id="2"/>
      <w:bookmarkEnd w:id="3"/>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本《招募说明书》中除非文意另有所指</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下列词语有如下含义：</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《基金合同》</w:t>
      </w:r>
      <w:r w:rsidRPr="004A57FA">
        <w:rPr>
          <w:rFonts w:asciiTheme="minorEastAsia" w:eastAsiaTheme="minorEastAsia" w:hAnsiTheme="minorEastAsia" w:hint="eastAsia"/>
          <w:szCs w:val="21"/>
        </w:rPr>
        <w:tab/>
        <w:t>指《易方达科翔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型证券投资基金基金合同》及对基金合同的任何有效的修订和补充；《基金合同》由《科翔证券投资基金基金合同》修订而成</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中国</w:t>
      </w:r>
      <w:r w:rsidRPr="004A57FA">
        <w:rPr>
          <w:rFonts w:asciiTheme="minorEastAsia" w:eastAsiaTheme="minorEastAsia" w:hAnsiTheme="minorEastAsia" w:hint="eastAsia"/>
          <w:szCs w:val="21"/>
        </w:rPr>
        <w:tab/>
        <w:t>指中华人民共和国</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仅为《基金合同》目的不包括香港特别行政区、澳门特别行政区及台湾地区</w:t>
      </w:r>
      <w:r w:rsidRPr="004A57FA">
        <w:rPr>
          <w:rFonts w:asciiTheme="minorEastAsia" w:eastAsiaTheme="minorEastAsia" w:hAnsiTheme="minorEastAsia"/>
          <w:szCs w:val="21"/>
        </w:rPr>
        <w:t>)</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法律法规</w:t>
      </w:r>
      <w:r w:rsidRPr="004A57FA">
        <w:rPr>
          <w:rFonts w:asciiTheme="minorEastAsia" w:eastAsiaTheme="minorEastAsia" w:hAnsiTheme="minorEastAsia" w:hint="eastAsia"/>
          <w:szCs w:val="21"/>
        </w:rPr>
        <w:tab/>
        <w:t>指中国现时有效并公布实施的法律、行政法规、部门规章及规范性文件</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《基金法》</w:t>
      </w:r>
      <w:r w:rsidRPr="004A57FA">
        <w:rPr>
          <w:rFonts w:asciiTheme="minorEastAsia" w:eastAsiaTheme="minorEastAsia" w:hAnsiTheme="minorEastAsia" w:hint="eastAsia"/>
          <w:szCs w:val="21"/>
        </w:rPr>
        <w:tab/>
        <w:t>指《中华人民共和国证券投资基金法》</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《销售办法》</w:t>
      </w:r>
      <w:r w:rsidRPr="004A57FA">
        <w:rPr>
          <w:rFonts w:asciiTheme="minorEastAsia" w:eastAsiaTheme="minorEastAsia" w:hAnsiTheme="minorEastAsia" w:hint="eastAsia"/>
          <w:szCs w:val="21"/>
        </w:rPr>
        <w:tab/>
        <w:t>指《证券投资基金销售管理办法》</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《运作办法》</w:t>
      </w:r>
      <w:r w:rsidRPr="004A57FA">
        <w:rPr>
          <w:rFonts w:asciiTheme="minorEastAsia" w:eastAsiaTheme="minorEastAsia" w:hAnsiTheme="minorEastAsia" w:hint="eastAsia"/>
          <w:szCs w:val="21"/>
        </w:rPr>
        <w:tab/>
        <w:t>指《</w:t>
      </w:r>
      <w:r w:rsidR="00413950" w:rsidRPr="004A57FA">
        <w:rPr>
          <w:rFonts w:asciiTheme="minorEastAsia" w:eastAsiaTheme="minorEastAsia" w:hAnsiTheme="minorEastAsia" w:hint="eastAsia"/>
          <w:szCs w:val="21"/>
        </w:rPr>
        <w:t>公开募集</w:t>
      </w:r>
      <w:r w:rsidRPr="004A57FA">
        <w:rPr>
          <w:rFonts w:asciiTheme="minorEastAsia" w:eastAsiaTheme="minorEastAsia" w:hAnsiTheme="minorEastAsia" w:hint="eastAsia"/>
          <w:szCs w:val="21"/>
        </w:rPr>
        <w:t>证券投资基金运作管理办法》</w:t>
      </w:r>
    </w:p>
    <w:p w:rsidR="00261475" w:rsidRPr="004A57FA" w:rsidRDefault="00261475"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kern w:val="0"/>
          <w:szCs w:val="21"/>
        </w:rPr>
        <w:t>《管理规定</w:t>
      </w:r>
      <w:r w:rsidRPr="004A57FA">
        <w:rPr>
          <w:rFonts w:asciiTheme="minorEastAsia" w:eastAsiaTheme="minorEastAsia" w:hAnsiTheme="minorEastAsia"/>
          <w:szCs w:val="21"/>
        </w:rPr>
        <w:t>》</w:t>
      </w:r>
      <w:r w:rsidR="00951052" w:rsidRPr="004A57FA">
        <w:rPr>
          <w:rFonts w:asciiTheme="minorEastAsia" w:eastAsiaTheme="minorEastAsia" w:hAnsiTheme="minorEastAsia" w:hint="eastAsia"/>
          <w:szCs w:val="21"/>
        </w:rPr>
        <w:tab/>
      </w:r>
      <w:r w:rsidRPr="004A57FA">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《信息披露办法》</w:t>
      </w:r>
      <w:r w:rsidRPr="004A57FA">
        <w:rPr>
          <w:rFonts w:asciiTheme="minorEastAsia" w:eastAsiaTheme="minorEastAsia" w:hAnsiTheme="minorEastAsia" w:hint="eastAsia"/>
          <w:szCs w:val="21"/>
        </w:rPr>
        <w:tab/>
      </w:r>
      <w:r w:rsidR="00F514B6" w:rsidRPr="004A57FA">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元</w:t>
      </w:r>
      <w:r w:rsidRPr="004A57FA">
        <w:rPr>
          <w:rFonts w:asciiTheme="minorEastAsia" w:eastAsiaTheme="minorEastAsia" w:hAnsiTheme="minorEastAsia" w:hint="eastAsia"/>
          <w:szCs w:val="21"/>
        </w:rPr>
        <w:tab/>
        <w:t>指中国法定货币人民币元</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基金或本基金</w:t>
      </w:r>
      <w:r w:rsidRPr="004A57FA">
        <w:rPr>
          <w:rFonts w:asciiTheme="minorEastAsia" w:eastAsiaTheme="minorEastAsia" w:hAnsiTheme="minorEastAsia" w:hint="eastAsia"/>
          <w:szCs w:val="21"/>
        </w:rPr>
        <w:tab/>
        <w:t>指易方达科翔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型证券投资基金，本基金由科翔证券投资基金转型而成</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招募说明书</w:t>
      </w:r>
      <w:r w:rsidRPr="004A57FA">
        <w:rPr>
          <w:rFonts w:asciiTheme="minorEastAsia" w:eastAsiaTheme="minorEastAsia" w:hAnsiTheme="minorEastAsia" w:hint="eastAsia"/>
          <w:szCs w:val="21"/>
        </w:rPr>
        <w:tab/>
        <w:t>指《易方达科翔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型证券投资基金招募说明书》</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更新的招募说明书</w:t>
      </w:r>
      <w:r w:rsidR="00951052" w:rsidRPr="004A57FA">
        <w:rPr>
          <w:rFonts w:asciiTheme="minorEastAsia" w:eastAsiaTheme="minorEastAsia" w:hAnsiTheme="minorEastAsia" w:hint="eastAsia"/>
          <w:szCs w:val="21"/>
        </w:rPr>
        <w:tab/>
      </w:r>
      <w:r w:rsidRPr="004A57FA">
        <w:rPr>
          <w:rFonts w:asciiTheme="minorEastAsia" w:eastAsiaTheme="minorEastAsia" w:hAnsiTheme="minorEastAsia" w:hint="eastAsia"/>
          <w:szCs w:val="21"/>
        </w:rPr>
        <w:t>指易方达科翔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型证券投资基金更新的招募说明书，即根据相关法律、法规及其他有关规定对招募说明书进行的更新</w:t>
      </w:r>
    </w:p>
    <w:p w:rsidR="00F514B6" w:rsidRPr="004A57FA" w:rsidRDefault="00F514B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基金产品资料概要</w:t>
      </w:r>
      <w:r w:rsidRPr="004A57FA">
        <w:rPr>
          <w:rFonts w:asciiTheme="minorEastAsia" w:eastAsiaTheme="minorEastAsia" w:hAnsiTheme="minorEastAsia"/>
          <w:szCs w:val="21"/>
        </w:rPr>
        <w:tab/>
      </w:r>
      <w:r w:rsidRPr="004A57FA">
        <w:rPr>
          <w:rFonts w:asciiTheme="minorEastAsia" w:eastAsiaTheme="minorEastAsia" w:hAnsiTheme="minorEastAsia" w:hint="eastAsia"/>
          <w:szCs w:val="21"/>
        </w:rPr>
        <w:t>指《易方达科翔混合型证券投资基金基金产品资料概要》及其更新</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托管协议</w:t>
      </w:r>
      <w:r w:rsidRPr="004A57FA">
        <w:rPr>
          <w:rFonts w:asciiTheme="minorEastAsia" w:eastAsiaTheme="minorEastAsia" w:hAnsiTheme="minorEastAsia" w:hint="eastAsia"/>
          <w:szCs w:val="21"/>
        </w:rPr>
        <w:tab/>
      </w:r>
      <w:r w:rsidRPr="004A57FA">
        <w:rPr>
          <w:rFonts w:asciiTheme="minorEastAsia" w:eastAsiaTheme="minorEastAsia" w:hAnsiTheme="minorEastAsia"/>
          <w:szCs w:val="21"/>
        </w:rPr>
        <w:t>指基金管理人与基金托管人就本基金签订之《</w:t>
      </w:r>
      <w:r w:rsidRPr="004A57FA">
        <w:rPr>
          <w:rFonts w:asciiTheme="minorEastAsia" w:eastAsiaTheme="minorEastAsia" w:hAnsiTheme="minorEastAsia" w:hint="eastAsia"/>
          <w:szCs w:val="21"/>
        </w:rPr>
        <w:t>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w:t>
      </w:r>
      <w:r w:rsidRPr="004A57FA">
        <w:rPr>
          <w:rFonts w:asciiTheme="minorEastAsia" w:eastAsiaTheme="minorEastAsia" w:hAnsiTheme="minorEastAsia"/>
          <w:szCs w:val="21"/>
        </w:rPr>
        <w:t>托管协议》及对该</w:t>
      </w:r>
      <w:r w:rsidRPr="004A57FA">
        <w:rPr>
          <w:rFonts w:asciiTheme="minorEastAsia" w:eastAsiaTheme="minorEastAsia" w:hAnsiTheme="minorEastAsia" w:hint="eastAsia"/>
          <w:szCs w:val="21"/>
        </w:rPr>
        <w:t>托管</w:t>
      </w:r>
      <w:r w:rsidRPr="004A57FA">
        <w:rPr>
          <w:rFonts w:asciiTheme="minorEastAsia" w:eastAsiaTheme="minorEastAsia" w:hAnsiTheme="minorEastAsia"/>
          <w:szCs w:val="21"/>
        </w:rPr>
        <w:t>协议的任何有效修订和补充</w:t>
      </w:r>
      <w:r w:rsidRPr="004A57FA">
        <w:rPr>
          <w:rFonts w:asciiTheme="minorEastAsia" w:eastAsiaTheme="minorEastAsia" w:hAnsiTheme="minorEastAsia" w:hint="eastAsia"/>
          <w:szCs w:val="21"/>
        </w:rPr>
        <w:t>，托管协议由《科翔证券投资基金托管协议》修订而成</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发售公告</w:t>
      </w:r>
      <w:r w:rsidRPr="004A57FA">
        <w:rPr>
          <w:rFonts w:asciiTheme="minorEastAsia" w:eastAsiaTheme="minorEastAsia" w:hAnsiTheme="minorEastAsia" w:hint="eastAsia"/>
          <w:szCs w:val="21"/>
        </w:rPr>
        <w:tab/>
        <w:t>指《易方达科翔股票型证券投资基金</w:t>
      </w:r>
      <w:r w:rsidRPr="004A57FA">
        <w:rPr>
          <w:rFonts w:asciiTheme="minorEastAsia" w:eastAsiaTheme="minorEastAsia" w:hAnsiTheme="minorEastAsia" w:hint="eastAsia"/>
          <w:kern w:val="0"/>
          <w:szCs w:val="21"/>
        </w:rPr>
        <w:t>集中申购期基金份额发售公告</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《业务规则》</w:t>
      </w:r>
      <w:r w:rsidRPr="004A57FA">
        <w:rPr>
          <w:rFonts w:asciiTheme="minorEastAsia" w:eastAsiaTheme="minorEastAsia" w:hAnsiTheme="minorEastAsia" w:hint="eastAsia"/>
          <w:szCs w:val="21"/>
        </w:rPr>
        <w:tab/>
        <w:t>指</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易方达基金管理有限公司开放式基金业务规则</w:t>
      </w:r>
      <w:r w:rsidRPr="004A57FA">
        <w:rPr>
          <w:rFonts w:asciiTheme="minorEastAsia" w:eastAsiaTheme="minorEastAsia" w:hAnsiTheme="minorEastAsia"/>
          <w:szCs w:val="21"/>
        </w:rPr>
        <w:t>》</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中国证监会</w:t>
      </w:r>
      <w:r w:rsidRPr="004A57FA">
        <w:rPr>
          <w:rFonts w:asciiTheme="minorEastAsia" w:eastAsiaTheme="minorEastAsia" w:hAnsiTheme="minorEastAsia" w:hint="eastAsia"/>
          <w:szCs w:val="21"/>
        </w:rPr>
        <w:tab/>
        <w:t>指中国证券监督管理委员会</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银行监管机构</w:t>
      </w:r>
      <w:r w:rsidRPr="004A57FA">
        <w:rPr>
          <w:rFonts w:asciiTheme="minorEastAsia" w:eastAsiaTheme="minorEastAsia" w:hAnsiTheme="minorEastAsia" w:hint="eastAsia"/>
          <w:szCs w:val="21"/>
        </w:rPr>
        <w:tab/>
      </w:r>
      <w:r w:rsidR="002F3D38" w:rsidRPr="004A57FA">
        <w:rPr>
          <w:rFonts w:asciiTheme="minorEastAsia" w:eastAsiaTheme="minorEastAsia" w:hAnsiTheme="minorEastAsia" w:hint="eastAsia"/>
          <w:szCs w:val="21"/>
        </w:rPr>
        <w:t>指中国银行保险监督管理委员会或其他经国务院授权的机构</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基金管理人</w:t>
      </w:r>
      <w:r w:rsidRPr="004A57FA">
        <w:rPr>
          <w:rFonts w:asciiTheme="minorEastAsia" w:eastAsiaTheme="minorEastAsia" w:hAnsiTheme="minorEastAsia" w:hint="eastAsia"/>
          <w:szCs w:val="21"/>
        </w:rPr>
        <w:tab/>
        <w:t>指易方达基金管理有限公司</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基金托管人</w:t>
      </w:r>
      <w:r w:rsidRPr="004A57FA">
        <w:rPr>
          <w:rFonts w:asciiTheme="minorEastAsia" w:eastAsiaTheme="minorEastAsia" w:hAnsiTheme="minorEastAsia" w:hint="eastAsia"/>
          <w:szCs w:val="21"/>
        </w:rPr>
        <w:tab/>
        <w:t>指中国工商银行股份有限公司</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Style w:val="read"/>
          <w:rFonts w:asciiTheme="minorEastAsia" w:eastAsiaTheme="minorEastAsia" w:hAnsiTheme="minorEastAsia" w:hint="eastAsia"/>
          <w:szCs w:val="21"/>
        </w:rPr>
        <w:t>基金份额持有人</w:t>
      </w:r>
      <w:r w:rsidRPr="004A57FA">
        <w:rPr>
          <w:rStyle w:val="read"/>
          <w:rFonts w:asciiTheme="minorEastAsia" w:eastAsiaTheme="minorEastAsia" w:hAnsiTheme="minorEastAsia" w:hint="eastAsia"/>
          <w:szCs w:val="21"/>
        </w:rPr>
        <w:tab/>
        <w:t>指根据《基金合同》及相关文件合法取得本基金基金份额的投资者；</w:t>
      </w:r>
    </w:p>
    <w:p w:rsidR="00831608" w:rsidRPr="004A57FA" w:rsidRDefault="00831608" w:rsidP="00C53017">
      <w:pPr>
        <w:snapToGrid w:val="0"/>
        <w:spacing w:line="360" w:lineRule="auto"/>
        <w:ind w:leftChars="200" w:left="2730" w:hangingChars="1100" w:hanging="2310"/>
        <w:rPr>
          <w:rStyle w:val="da"/>
          <w:rFonts w:asciiTheme="minorEastAsia" w:eastAsiaTheme="minorEastAsia" w:hAnsiTheme="minorEastAsia"/>
        </w:rPr>
      </w:pPr>
      <w:r w:rsidRPr="004A57FA">
        <w:rPr>
          <w:rFonts w:asciiTheme="minorEastAsia" w:eastAsiaTheme="minorEastAsia" w:hAnsiTheme="minorEastAsia" w:hint="eastAsia"/>
          <w:szCs w:val="21"/>
        </w:rPr>
        <w:t>销售机构</w:t>
      </w:r>
      <w:r w:rsidRPr="004A57FA">
        <w:rPr>
          <w:rFonts w:asciiTheme="minorEastAsia" w:eastAsiaTheme="minorEastAsia" w:hAnsiTheme="minorEastAsia" w:hint="eastAsia"/>
          <w:szCs w:val="21"/>
        </w:rPr>
        <w:tab/>
        <w:t>指直销机构及</w:t>
      </w:r>
      <w:r w:rsidRPr="004A57FA">
        <w:rPr>
          <w:rStyle w:val="da"/>
          <w:rFonts w:asciiTheme="minorEastAsia" w:eastAsiaTheme="minorEastAsia" w:hAnsiTheme="minorEastAsia" w:hint="eastAsia"/>
        </w:rPr>
        <w:t>非直销销售机构</w:t>
      </w:r>
    </w:p>
    <w:p w:rsidR="00831608" w:rsidRPr="004A57FA" w:rsidRDefault="00831608" w:rsidP="00C53017">
      <w:pPr>
        <w:snapToGrid w:val="0"/>
        <w:spacing w:line="360" w:lineRule="auto"/>
        <w:ind w:leftChars="200" w:left="2730" w:hangingChars="1100" w:hanging="2310"/>
        <w:rPr>
          <w:rFonts w:asciiTheme="minorEastAsia" w:eastAsiaTheme="minorEastAsia" w:hAnsiTheme="minorEastAsia"/>
          <w:szCs w:val="21"/>
        </w:rPr>
      </w:pPr>
      <w:r w:rsidRPr="004A57FA">
        <w:rPr>
          <w:rStyle w:val="da"/>
          <w:rFonts w:asciiTheme="minorEastAsia" w:eastAsiaTheme="minorEastAsia" w:hAnsiTheme="minorEastAsia" w:hint="eastAsia"/>
        </w:rPr>
        <w:t>直销机构</w:t>
      </w:r>
      <w:r w:rsidR="00951052" w:rsidRPr="004A57FA">
        <w:rPr>
          <w:rFonts w:asciiTheme="minorEastAsia" w:eastAsiaTheme="minorEastAsia" w:hAnsiTheme="minorEastAsia" w:hint="eastAsia"/>
          <w:szCs w:val="21"/>
        </w:rPr>
        <w:tab/>
      </w:r>
      <w:r w:rsidRPr="004A57FA">
        <w:rPr>
          <w:rStyle w:val="da"/>
          <w:rFonts w:asciiTheme="minorEastAsia" w:eastAsiaTheme="minorEastAsia" w:hAnsiTheme="minorEastAsia" w:hint="eastAsia"/>
        </w:rPr>
        <w:t>指易方达基金管理有限公司</w:t>
      </w:r>
    </w:p>
    <w:p w:rsidR="00AF2EE6" w:rsidRPr="004A57FA" w:rsidRDefault="00831608"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非直销销售机构</w:t>
      </w:r>
      <w:r w:rsidRPr="004A57FA">
        <w:rPr>
          <w:rFonts w:asciiTheme="minorEastAsia" w:eastAsiaTheme="minorEastAsia" w:hAnsiTheme="minorEastAsia" w:hint="eastAsia"/>
          <w:szCs w:val="21"/>
        </w:rPr>
        <w:tab/>
      </w:r>
      <w:r w:rsidRPr="004A57FA">
        <w:rPr>
          <w:rStyle w:val="da"/>
          <w:rFonts w:asciiTheme="minorEastAsia" w:eastAsiaTheme="minorEastAsia" w:hAnsiTheme="minorEastAsia" w:hint="eastAsia"/>
        </w:rPr>
        <w:t>指符合《销售办法》和中国证监会规定的其他条件，取得基金销售业务资格并</w:t>
      </w:r>
      <w:r w:rsidR="0020281D" w:rsidRPr="004A57FA">
        <w:rPr>
          <w:rStyle w:val="da"/>
          <w:rFonts w:asciiTheme="minorEastAsia" w:eastAsiaTheme="minorEastAsia" w:hAnsiTheme="minorEastAsia" w:hint="eastAsia"/>
        </w:rPr>
        <w:t>与基金管理人签订了基金销售服务协议</w:t>
      </w:r>
      <w:r w:rsidRPr="004A57FA">
        <w:rPr>
          <w:rStyle w:val="da"/>
          <w:rFonts w:asciiTheme="minorEastAsia" w:eastAsiaTheme="minorEastAsia" w:hAnsiTheme="minorEastAsia" w:hint="eastAsia"/>
        </w:rPr>
        <w:t>，办理基金销售业务的机构</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注册登记业务</w:t>
      </w:r>
      <w:r w:rsidRPr="004A57FA">
        <w:rPr>
          <w:rFonts w:asciiTheme="minorEastAsia" w:eastAsiaTheme="minorEastAsia" w:hAnsiTheme="minorEastAsia" w:hint="eastAsia"/>
          <w:szCs w:val="21"/>
        </w:rPr>
        <w:tab/>
        <w:t>指基金登记、存管、清算和交收业务，具体内容包括投资者基金账户管理、基金份额注册登记、清算及基金交易确认、发放红利、建立并保管基金份额持有人名册等</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基金注册登记机构</w:t>
      </w:r>
      <w:r w:rsidRPr="004A57FA">
        <w:rPr>
          <w:rFonts w:asciiTheme="minorEastAsia" w:eastAsiaTheme="minorEastAsia" w:hAnsiTheme="minorEastAsia" w:hint="eastAsia"/>
          <w:szCs w:val="21"/>
        </w:rPr>
        <w:tab/>
        <w:t>指易方达基金管理有限公司或其委托的其他符合条件的办理基金注册登记业务的机构</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《基金合同》当事人</w:t>
      </w:r>
      <w:r w:rsidRPr="004A57FA">
        <w:rPr>
          <w:rFonts w:asciiTheme="minorEastAsia" w:eastAsiaTheme="minorEastAsia" w:hAnsiTheme="minorEastAsia" w:hint="eastAsia"/>
          <w:szCs w:val="21"/>
        </w:rPr>
        <w:tab/>
        <w:t>指受《基金合同》约束，根据《基金合同》享受权利并承担义务的法律主体，包括基金管理人、基金托管人和基金份额持有人</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个人投资者</w:t>
      </w:r>
      <w:r w:rsidRPr="004A57FA">
        <w:rPr>
          <w:rFonts w:asciiTheme="minorEastAsia" w:eastAsiaTheme="minorEastAsia" w:hAnsiTheme="minorEastAsia" w:hint="eastAsia"/>
          <w:szCs w:val="21"/>
        </w:rPr>
        <w:tab/>
        <w:t>指符合法律法规规定的条件可以投资开放式证券投资基金的自然人</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机构投资者</w:t>
      </w:r>
      <w:r w:rsidRPr="004A57FA">
        <w:rPr>
          <w:rFonts w:asciiTheme="minorEastAsia" w:eastAsiaTheme="minorEastAsia" w:hAnsiTheme="minorEastAsia" w:hint="eastAsia"/>
          <w:szCs w:val="21"/>
        </w:rPr>
        <w:tab/>
        <w:t>指符合法律法规规定可以投资开放式证券投资基金的在中国合法注册登记并存续或经政府有关部门批准设立的并存续的企业法人、事业法人、社会团体和其他组织</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合格境外机构投资者</w:t>
      </w:r>
      <w:r w:rsidRPr="004A57FA">
        <w:rPr>
          <w:rFonts w:asciiTheme="minorEastAsia" w:eastAsiaTheme="minorEastAsia" w:hAnsiTheme="minorEastAsia" w:hint="eastAsia"/>
          <w:szCs w:val="21"/>
        </w:rPr>
        <w:tab/>
        <w:t>指符合《合格境外机构投资者境内证券投资管理办法》及相关法律法规规定的可投资于中国境内合法募集的证券投资基金的中国境外的</w:t>
      </w:r>
      <w:r w:rsidRPr="004A57FA">
        <w:rPr>
          <w:rFonts w:asciiTheme="minorEastAsia" w:eastAsiaTheme="minorEastAsia" w:hAnsiTheme="minorEastAsia"/>
          <w:szCs w:val="21"/>
        </w:rPr>
        <w:t>基金管理机构、保险公司、证券公司以及其他资产管理机构</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投资者</w:t>
      </w:r>
      <w:r w:rsidRPr="004A57FA">
        <w:rPr>
          <w:rFonts w:asciiTheme="minorEastAsia" w:eastAsiaTheme="minorEastAsia" w:hAnsiTheme="minorEastAsia" w:hint="eastAsia"/>
          <w:szCs w:val="21"/>
        </w:rPr>
        <w:tab/>
        <w:t>指个人投资者、机构投资者、合格境外机构投资者和法律法规或中国证监会允许购买开放式证券投资基金的其他投资者的总称</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基金转型</w:t>
      </w:r>
      <w:r w:rsidR="00172518" w:rsidRPr="004A57FA">
        <w:rPr>
          <w:rFonts w:asciiTheme="minorEastAsia" w:eastAsiaTheme="minorEastAsia" w:hAnsiTheme="minorEastAsia"/>
          <w:szCs w:val="21"/>
        </w:rPr>
        <w:tab/>
      </w:r>
      <w:r w:rsidRPr="004A57FA">
        <w:rPr>
          <w:rFonts w:asciiTheme="minorEastAsia" w:eastAsiaTheme="minorEastAsia" w:hAnsiTheme="minorEastAsia" w:hint="eastAsia"/>
          <w:szCs w:val="21"/>
        </w:rPr>
        <w:t>指对包括科翔证券投资基金由封闭式基金转为开放式基金、调整基金存续期限、更换注册登记人、更名为“易方达科翔股票型证券投资基金”、修改基金投资目标、投资策略等条款的一系列事项的统称</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基金合同生效日</w:t>
      </w:r>
      <w:r w:rsidRPr="004A57FA">
        <w:rPr>
          <w:rFonts w:asciiTheme="minorEastAsia" w:eastAsiaTheme="minorEastAsia" w:hAnsiTheme="minorEastAsia" w:hint="eastAsia"/>
          <w:szCs w:val="21"/>
        </w:rPr>
        <w:tab/>
        <w:t>指</w:t>
      </w:r>
      <w:r w:rsidR="000C4FFA" w:rsidRPr="004A57FA">
        <w:rPr>
          <w:rFonts w:asciiTheme="minorEastAsia" w:eastAsiaTheme="minorEastAsia" w:hAnsiTheme="minorEastAsia" w:hint="eastAsia"/>
          <w:szCs w:val="21"/>
        </w:rPr>
        <w:t>本基金根据《运作办法》变更为混合基金前的</w:t>
      </w:r>
      <w:r w:rsidRPr="004A57FA">
        <w:rPr>
          <w:rFonts w:asciiTheme="minorEastAsia" w:eastAsiaTheme="minorEastAsia" w:hAnsiTheme="minorEastAsia" w:hint="eastAsia"/>
          <w:szCs w:val="21"/>
        </w:rPr>
        <w:t>《易方达科翔股票型证券投资基金基金合同》生效起始日，基金合同自科翔证券投资基金终止上市之日起生效，原《科翔证券投资基金基金合同》自同一日起失效</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集中申购期</w:t>
      </w:r>
      <w:r w:rsidRPr="004A57FA">
        <w:rPr>
          <w:rFonts w:asciiTheme="minorEastAsia" w:eastAsiaTheme="minorEastAsia" w:hAnsiTheme="minorEastAsia" w:hint="eastAsia"/>
          <w:szCs w:val="21"/>
        </w:rPr>
        <w:tab/>
        <w:t>指基金合同生效后仅开放申购、不开放赎回的一段时间，最长不超过一个月</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基金存续期</w:t>
      </w:r>
      <w:r w:rsidRPr="004A57FA">
        <w:rPr>
          <w:rFonts w:asciiTheme="minorEastAsia" w:eastAsiaTheme="minorEastAsia" w:hAnsiTheme="minorEastAsia" w:hint="eastAsia"/>
          <w:szCs w:val="21"/>
        </w:rPr>
        <w:tab/>
        <w:t>指《基金合同》生效后合法存续的不定期之期间</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日/天</w:t>
      </w:r>
      <w:r w:rsidRPr="004A57FA">
        <w:rPr>
          <w:rFonts w:asciiTheme="minorEastAsia" w:eastAsiaTheme="minorEastAsia" w:hAnsiTheme="minorEastAsia" w:hint="eastAsia"/>
          <w:szCs w:val="21"/>
        </w:rPr>
        <w:tab/>
        <w:t>指公历日</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月</w:t>
      </w:r>
      <w:r w:rsidRPr="004A57FA">
        <w:rPr>
          <w:rFonts w:asciiTheme="minorEastAsia" w:eastAsiaTheme="minorEastAsia" w:hAnsiTheme="minorEastAsia" w:hint="eastAsia"/>
          <w:szCs w:val="21"/>
        </w:rPr>
        <w:tab/>
        <w:t>指公历月</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工作日</w:t>
      </w:r>
      <w:r w:rsidRPr="004A57FA">
        <w:rPr>
          <w:rFonts w:asciiTheme="minorEastAsia" w:eastAsiaTheme="minorEastAsia" w:hAnsiTheme="minorEastAsia" w:hint="eastAsia"/>
          <w:szCs w:val="21"/>
        </w:rPr>
        <w:tab/>
        <w:t>指上海证券交易所和深圳证券交易所的正常交易日</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开放日</w:t>
      </w:r>
      <w:r w:rsidRPr="004A57FA">
        <w:rPr>
          <w:rFonts w:asciiTheme="minorEastAsia" w:eastAsiaTheme="minorEastAsia" w:hAnsiTheme="minorEastAsia" w:hint="eastAsia"/>
          <w:szCs w:val="21"/>
        </w:rPr>
        <w:tab/>
        <w:t>指销售机构办理本基金份额申购、赎回等业务的工作日</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T日</w:t>
      </w:r>
      <w:r w:rsidRPr="004A57FA">
        <w:rPr>
          <w:rFonts w:asciiTheme="minorEastAsia" w:eastAsiaTheme="minorEastAsia" w:hAnsiTheme="minorEastAsia" w:hint="eastAsia"/>
          <w:szCs w:val="21"/>
        </w:rPr>
        <w:tab/>
        <w:t>指申购、赎回或办理其他基金业务的申请日</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T+</w:t>
      </w:r>
      <w:r w:rsidRPr="004A57FA">
        <w:rPr>
          <w:rFonts w:asciiTheme="minorEastAsia" w:eastAsiaTheme="minorEastAsia" w:hAnsiTheme="minorEastAsia"/>
          <w:szCs w:val="21"/>
        </w:rPr>
        <w:t>n</w:t>
      </w:r>
      <w:r w:rsidRPr="004A57FA">
        <w:rPr>
          <w:rFonts w:asciiTheme="minorEastAsia" w:eastAsiaTheme="minorEastAsia" w:hAnsiTheme="minorEastAsia" w:hint="eastAsia"/>
          <w:szCs w:val="21"/>
        </w:rPr>
        <w:t>日</w:t>
      </w:r>
      <w:r w:rsidRPr="004A57FA">
        <w:rPr>
          <w:rFonts w:asciiTheme="minorEastAsia" w:eastAsiaTheme="minorEastAsia" w:hAnsiTheme="minorEastAsia" w:hint="eastAsia"/>
          <w:szCs w:val="21"/>
        </w:rPr>
        <w:tab/>
        <w:t>指自T日起第</w:t>
      </w:r>
      <w:r w:rsidRPr="004A57FA">
        <w:rPr>
          <w:rFonts w:asciiTheme="minorEastAsia" w:eastAsiaTheme="minorEastAsia" w:hAnsiTheme="minorEastAsia"/>
          <w:szCs w:val="21"/>
        </w:rPr>
        <w:t>n</w:t>
      </w:r>
      <w:r w:rsidRPr="004A57FA">
        <w:rPr>
          <w:rFonts w:asciiTheme="minorEastAsia" w:eastAsiaTheme="minorEastAsia" w:hAnsiTheme="minorEastAsia" w:hint="eastAsia"/>
          <w:szCs w:val="21"/>
        </w:rPr>
        <w:t>个工作日（不包含T日）</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申购</w:t>
      </w:r>
      <w:r w:rsidRPr="004A57FA">
        <w:rPr>
          <w:rFonts w:asciiTheme="minorEastAsia" w:eastAsiaTheme="minorEastAsia" w:hAnsiTheme="minorEastAsia" w:hint="eastAsia"/>
          <w:szCs w:val="21"/>
        </w:rPr>
        <w:tab/>
        <w:t>指在基金合同生效后的存续期间，投资人申请购买本基金基金份额的行为</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赎回</w:t>
      </w:r>
      <w:r w:rsidRPr="004A57FA">
        <w:rPr>
          <w:rFonts w:asciiTheme="minorEastAsia" w:eastAsiaTheme="minorEastAsia" w:hAnsiTheme="minorEastAsia" w:hint="eastAsia"/>
          <w:szCs w:val="21"/>
        </w:rPr>
        <w:tab/>
        <w:t>指在基金合同生效后的存续期间，基金份额持有人按基金合同规定的条件，要求基金购回本基金基金份额的行为</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巨额赎回</w:t>
      </w:r>
      <w:r w:rsidRPr="004A57FA">
        <w:rPr>
          <w:rFonts w:asciiTheme="minorEastAsia" w:eastAsiaTheme="minorEastAsia" w:hAnsiTheme="minorEastAsia"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w:t>
      </w:r>
      <w:r w:rsidRPr="004A57FA">
        <w:rPr>
          <w:rFonts w:asciiTheme="minorEastAsia" w:eastAsiaTheme="minorEastAsia" w:hAnsiTheme="minorEastAsia"/>
          <w:szCs w:val="21"/>
        </w:rPr>
        <w:t>10%</w:t>
      </w:r>
      <w:r w:rsidRPr="004A57FA">
        <w:rPr>
          <w:rFonts w:asciiTheme="minorEastAsia" w:eastAsiaTheme="minorEastAsia" w:hAnsiTheme="minorEastAsia" w:hint="eastAsia"/>
          <w:szCs w:val="21"/>
        </w:rPr>
        <w:t>时的情形</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基金账户</w:t>
      </w:r>
      <w:r w:rsidRPr="004A57FA">
        <w:rPr>
          <w:rFonts w:asciiTheme="minorEastAsia" w:eastAsiaTheme="minorEastAsia" w:hAnsiTheme="minorEastAsia" w:hint="eastAsia"/>
          <w:szCs w:val="21"/>
        </w:rPr>
        <w:tab/>
        <w:t>指基金注册登记机构给投资者开立的用于记录投资者持有基金管理人管理的开放式基金份额情况的账户</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交易账户</w:t>
      </w:r>
      <w:r w:rsidRPr="004A57FA">
        <w:rPr>
          <w:rFonts w:asciiTheme="minorEastAsia" w:eastAsiaTheme="minorEastAsia" w:hAnsiTheme="minorEastAsia" w:hint="eastAsia"/>
          <w:szCs w:val="21"/>
        </w:rPr>
        <w:tab/>
        <w:t>指各销售机构为投资者开立的记录投资者通过该销售机构办理基金交易所引起的基金份额的变动及结余情况的账户</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szCs w:val="21"/>
        </w:rPr>
        <w:t>转托管</w:t>
      </w:r>
      <w:r w:rsidRPr="004A57FA">
        <w:rPr>
          <w:rFonts w:asciiTheme="minorEastAsia" w:eastAsiaTheme="minorEastAsia" w:hAnsiTheme="minorEastAsia" w:hint="eastAsia"/>
          <w:szCs w:val="21"/>
        </w:rPr>
        <w:tab/>
      </w:r>
      <w:r w:rsidRPr="004A57FA">
        <w:rPr>
          <w:rFonts w:asciiTheme="minorEastAsia" w:eastAsiaTheme="minorEastAsia" w:hAnsiTheme="minorEastAsia"/>
          <w:szCs w:val="21"/>
        </w:rPr>
        <w:t>指投资者将其持有的同一基金账户下的基金份额从某一交易账户转入另一交易账户的业务</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rPr>
      </w:pPr>
      <w:r w:rsidRPr="004A57FA">
        <w:rPr>
          <w:rFonts w:asciiTheme="minorEastAsia" w:eastAsiaTheme="minorEastAsia" w:hAnsiTheme="minorEastAsia" w:hint="eastAsia"/>
          <w:szCs w:val="21"/>
        </w:rPr>
        <w:t>基金转换</w:t>
      </w:r>
      <w:r w:rsidRPr="004A57FA">
        <w:rPr>
          <w:rFonts w:asciiTheme="minorEastAsia" w:eastAsiaTheme="minorEastAsia" w:hAnsiTheme="minorEastAsia" w:hint="eastAsia"/>
          <w:szCs w:val="21"/>
        </w:rPr>
        <w:tab/>
      </w:r>
      <w:r w:rsidRPr="004A57FA">
        <w:rPr>
          <w:rFonts w:asciiTheme="minorEastAsia" w:eastAsiaTheme="minorEastAsia" w:hAnsiTheme="minorEastAsia"/>
        </w:rPr>
        <w:t>指基金份额持有人按基金管理人规定的条件，将其持有的某一基金的基金份额转为</w:t>
      </w:r>
      <w:r w:rsidRPr="004A57FA">
        <w:rPr>
          <w:rFonts w:asciiTheme="minorEastAsia" w:eastAsiaTheme="minorEastAsia" w:hAnsiTheme="minorEastAsia" w:hint="eastAsia"/>
        </w:rPr>
        <w:t>同一</w:t>
      </w:r>
      <w:r w:rsidRPr="004A57FA">
        <w:rPr>
          <w:rFonts w:asciiTheme="minorEastAsia" w:eastAsiaTheme="minorEastAsia" w:hAnsiTheme="minorEastAsia"/>
        </w:rPr>
        <w:t>基金管理人管理的其他基金的基金份额的行为</w:t>
      </w:r>
      <w:r w:rsidRPr="004A57FA">
        <w:rPr>
          <w:rFonts w:asciiTheme="minorEastAsia" w:eastAsiaTheme="minorEastAsia" w:hAnsiTheme="minorEastAsia" w:hint="eastAsia"/>
        </w:rPr>
        <w:t>。</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定期定额投资计划</w:t>
      </w:r>
      <w:r w:rsidRPr="004A57FA">
        <w:rPr>
          <w:rFonts w:asciiTheme="minorEastAsia" w:eastAsiaTheme="minorEastAsia" w:hAnsiTheme="minorEastAsia" w:hint="eastAsia"/>
          <w:szCs w:val="21"/>
        </w:rPr>
        <w:tab/>
        <w:t>指投资者通过有关销售机构提出申请，约定每期扣款日、扣款金额及扣款方式，由销售机构于每期约定扣款日在投资者指定银行账户内自动完成扣款及基金申购申请的一种投资方式</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基金收益</w:t>
      </w:r>
      <w:r w:rsidRPr="004A57FA">
        <w:rPr>
          <w:rFonts w:asciiTheme="minorEastAsia" w:eastAsiaTheme="minorEastAsia" w:hAnsiTheme="minorEastAsia" w:hint="eastAsia"/>
          <w:szCs w:val="21"/>
        </w:rPr>
        <w:tab/>
        <w:t>指基金投资所得的股票红利、股息、债券利息、票据投资收益、</w:t>
      </w:r>
      <w:r w:rsidRPr="004A57FA">
        <w:rPr>
          <w:rFonts w:asciiTheme="minorEastAsia" w:eastAsiaTheme="minorEastAsia" w:hAnsiTheme="minorEastAsia" w:hint="eastAsia"/>
          <w:szCs w:val="21"/>
        </w:rPr>
        <w:lastRenderedPageBreak/>
        <w:t>买卖证券差价、银行存款利息以及其他收益和因运用基金财产带来的成本或费用的节约</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基金资产总值</w:t>
      </w:r>
      <w:r w:rsidRPr="004A57FA">
        <w:rPr>
          <w:rFonts w:asciiTheme="minorEastAsia" w:eastAsiaTheme="minorEastAsia" w:hAnsiTheme="minorEastAsia" w:hint="eastAsia"/>
          <w:szCs w:val="21"/>
        </w:rPr>
        <w:tab/>
        <w:t>指基金所拥有的各类证券及票据价值、银行存款本息和本基金应收的申购基金款以及其他投资所形成的价值总和</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基金资产净值</w:t>
      </w:r>
      <w:r w:rsidRPr="004A57FA">
        <w:rPr>
          <w:rFonts w:asciiTheme="minorEastAsia" w:eastAsiaTheme="minorEastAsia" w:hAnsiTheme="minorEastAsia" w:hint="eastAsia"/>
          <w:szCs w:val="21"/>
        </w:rPr>
        <w:tab/>
        <w:t>指基金资产总值扣除负债后的净资产值</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基金资产估值</w:t>
      </w:r>
      <w:r w:rsidRPr="004A57FA">
        <w:rPr>
          <w:rFonts w:asciiTheme="minorEastAsia" w:eastAsiaTheme="minorEastAsia" w:hAnsiTheme="minorEastAsia" w:hint="eastAsia"/>
          <w:szCs w:val="21"/>
        </w:rPr>
        <w:tab/>
        <w:t>指计算评估基金资产和负债的价值，以确定基金资产净值的过程</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货币市场工具</w:t>
      </w:r>
      <w:r w:rsidRPr="004A57FA">
        <w:rPr>
          <w:rFonts w:asciiTheme="minorEastAsia" w:eastAsiaTheme="minorEastAsia" w:hAnsiTheme="minorEastAsia" w:hint="eastAsia"/>
          <w:szCs w:val="21"/>
        </w:rPr>
        <w:tab/>
        <w:t>指现金；</w:t>
      </w:r>
      <w:r w:rsidRPr="004A57FA">
        <w:rPr>
          <w:rFonts w:asciiTheme="minorEastAsia" w:eastAsiaTheme="minorEastAsia" w:hAnsiTheme="minorEastAsia"/>
          <w:szCs w:val="21"/>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4A57FA">
        <w:rPr>
          <w:rFonts w:asciiTheme="minorEastAsia" w:eastAsiaTheme="minorEastAsia" w:hAnsiTheme="minorEastAsia" w:hint="eastAsia"/>
          <w:szCs w:val="21"/>
        </w:rPr>
        <w:t>金融</w:t>
      </w:r>
      <w:r w:rsidRPr="004A57FA">
        <w:rPr>
          <w:rFonts w:asciiTheme="minorEastAsia" w:eastAsiaTheme="minorEastAsia" w:hAnsiTheme="minorEastAsia"/>
          <w:szCs w:val="21"/>
        </w:rPr>
        <w:t>工具</w:t>
      </w:r>
    </w:p>
    <w:p w:rsidR="00AF2EE6" w:rsidRPr="004A57FA" w:rsidRDefault="00F514B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指定媒介</w:t>
      </w:r>
      <w:r w:rsidR="00AF2EE6" w:rsidRPr="004A57FA">
        <w:rPr>
          <w:rFonts w:asciiTheme="minorEastAsia" w:eastAsiaTheme="minorEastAsia" w:hAnsiTheme="minorEastAsia" w:hint="eastAsia"/>
          <w:szCs w:val="21"/>
        </w:rPr>
        <w:tab/>
      </w:r>
      <w:r w:rsidRPr="004A57FA">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不可抗力</w:t>
      </w:r>
      <w:r w:rsidR="00172518" w:rsidRPr="004A57FA">
        <w:rPr>
          <w:rFonts w:asciiTheme="minorEastAsia" w:eastAsiaTheme="minorEastAsia" w:hAnsiTheme="minorEastAsia"/>
          <w:szCs w:val="21"/>
        </w:rPr>
        <w:tab/>
      </w:r>
      <w:r w:rsidRPr="004A57FA">
        <w:rPr>
          <w:rFonts w:asciiTheme="minorEastAsia" w:eastAsiaTheme="minorEastAsia" w:hAnsiTheme="minorEastAsia" w:hint="eastAsia"/>
          <w:szCs w:val="21"/>
        </w:rPr>
        <w:t>指基金合同当事人不能预见、不能避免且不能克服的客观事件</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基金份额持有人服务</w:t>
      </w:r>
      <w:r w:rsidR="00172518" w:rsidRPr="004A57FA">
        <w:rPr>
          <w:rFonts w:asciiTheme="minorEastAsia" w:eastAsiaTheme="minorEastAsia" w:hAnsiTheme="minorEastAsia"/>
          <w:szCs w:val="21"/>
        </w:rPr>
        <w:tab/>
      </w:r>
      <w:r w:rsidRPr="004A57FA">
        <w:rPr>
          <w:rFonts w:asciiTheme="minorEastAsia" w:eastAsiaTheme="minorEastAsia" w:hAnsiTheme="minorEastAsia" w:hint="eastAsia"/>
          <w:szCs w:val="21"/>
        </w:rPr>
        <w:t>指基金管理人承诺为基金份额持有人提供的一系列服务</w:t>
      </w:r>
    </w:p>
    <w:p w:rsidR="00261475" w:rsidRPr="004A57FA" w:rsidRDefault="00261475" w:rsidP="00C53017">
      <w:pPr>
        <w:snapToGrid w:val="0"/>
        <w:spacing w:line="360" w:lineRule="auto"/>
        <w:ind w:leftChars="200" w:left="2730" w:hangingChars="1100" w:hanging="2310"/>
        <w:rPr>
          <w:rFonts w:asciiTheme="minorEastAsia" w:eastAsiaTheme="minorEastAsia" w:hAnsiTheme="minorEastAsia"/>
          <w:szCs w:val="21"/>
        </w:rPr>
      </w:pPr>
      <w:r w:rsidRPr="004A57FA">
        <w:rPr>
          <w:rFonts w:asciiTheme="minorEastAsia" w:eastAsiaTheme="minorEastAsia" w:hAnsiTheme="minorEastAsia" w:hint="eastAsia"/>
          <w:kern w:val="0"/>
          <w:szCs w:val="21"/>
        </w:rPr>
        <w:t>流动性受限资产</w:t>
      </w:r>
      <w:r w:rsidR="00172518" w:rsidRPr="004A57FA">
        <w:rPr>
          <w:rFonts w:asciiTheme="minorEastAsia" w:eastAsiaTheme="minorEastAsia" w:hAnsiTheme="minorEastAsia"/>
          <w:kern w:val="0"/>
          <w:szCs w:val="21"/>
        </w:rPr>
        <w:tab/>
      </w:r>
      <w:r w:rsidRPr="004A57FA">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AF2EE6" w:rsidRPr="004A57FA" w:rsidRDefault="00AF2EE6" w:rsidP="00C53017">
      <w:pPr>
        <w:snapToGrid w:val="0"/>
        <w:spacing w:line="360" w:lineRule="auto"/>
        <w:ind w:leftChars="200" w:left="2730" w:hangingChars="1100" w:hanging="2310"/>
        <w:rPr>
          <w:rFonts w:asciiTheme="minorEastAsia" w:eastAsiaTheme="minorEastAsia" w:hAnsiTheme="minorEastAsia"/>
          <w:szCs w:val="21"/>
        </w:rPr>
      </w:pPr>
    </w:p>
    <w:p w:rsidR="00AF2EE6" w:rsidRPr="004A57FA" w:rsidRDefault="00AF2EE6" w:rsidP="00C53017">
      <w:pPr>
        <w:snapToGrid w:val="0"/>
        <w:spacing w:line="360" w:lineRule="auto"/>
        <w:ind w:firstLine="480"/>
        <w:jc w:val="center"/>
        <w:rPr>
          <w:rFonts w:asciiTheme="minorEastAsia" w:eastAsiaTheme="minorEastAsia" w:hAnsiTheme="minorEastAsia"/>
          <w:szCs w:val="21"/>
        </w:rPr>
      </w:pPr>
    </w:p>
    <w:p w:rsidR="00AF2EE6" w:rsidRPr="004A57FA" w:rsidRDefault="00AF2EE6" w:rsidP="00C53017">
      <w:pPr>
        <w:snapToGrid w:val="0"/>
        <w:spacing w:line="360" w:lineRule="auto"/>
        <w:ind w:firstLine="480"/>
        <w:jc w:val="center"/>
        <w:rPr>
          <w:rFonts w:asciiTheme="minorEastAsia" w:eastAsiaTheme="minorEastAsia" w:hAnsiTheme="minorEastAsia"/>
        </w:rPr>
        <w:sectPr w:rsidR="00AF2EE6" w:rsidRPr="004A57FA" w:rsidSect="00A805DC">
          <w:pgSz w:w="11907" w:h="16840" w:code="9"/>
          <w:pgMar w:top="1440" w:right="1800" w:bottom="1440" w:left="1800" w:header="851" w:footer="992" w:gutter="0"/>
          <w:pgNumType w:start="1"/>
          <w:cols w:space="425"/>
          <w:docGrid w:type="lines" w:linePitch="312"/>
        </w:sectPr>
      </w:pP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4" w:name="_Toc81230972"/>
      <w:r w:rsidRPr="004A57FA">
        <w:rPr>
          <w:rFonts w:asciiTheme="minorEastAsia" w:eastAsiaTheme="minorEastAsia" w:hAnsiTheme="minorEastAsia" w:hint="eastAsia"/>
          <w:b/>
          <w:bCs/>
        </w:rPr>
        <w:lastRenderedPageBreak/>
        <w:t>三、基金管理人</w:t>
      </w:r>
      <w:bookmarkEnd w:id="4"/>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1"/>
        </w:rPr>
      </w:pPr>
      <w:bookmarkStart w:id="5" w:name="_Toc198959588"/>
      <w:bookmarkStart w:id="6" w:name="_Toc81230973"/>
      <w:bookmarkStart w:id="7" w:name="_Toc133292563"/>
      <w:bookmarkStart w:id="8" w:name="_Toc163189520"/>
      <w:r w:rsidRPr="004A57FA">
        <w:rPr>
          <w:rFonts w:asciiTheme="minorEastAsia" w:eastAsiaTheme="minorEastAsia" w:hAnsiTheme="minorEastAsia" w:hint="eastAsia"/>
          <w:b w:val="0"/>
          <w:kern w:val="0"/>
        </w:rPr>
        <w:t>（一）</w:t>
      </w:r>
      <w:r w:rsidRPr="004A57FA">
        <w:rPr>
          <w:rFonts w:asciiTheme="minorEastAsia" w:eastAsiaTheme="minorEastAsia" w:hAnsiTheme="minorEastAsia"/>
          <w:b w:val="0"/>
          <w:kern w:val="0"/>
        </w:rPr>
        <w:t>基金管理人</w:t>
      </w:r>
      <w:r w:rsidRPr="004A57FA">
        <w:rPr>
          <w:rFonts w:asciiTheme="minorEastAsia" w:eastAsiaTheme="minorEastAsia" w:hAnsiTheme="minorEastAsia" w:hint="eastAsia"/>
          <w:b w:val="0"/>
          <w:kern w:val="0"/>
        </w:rPr>
        <w:t>基本情况</w:t>
      </w:r>
      <w:bookmarkEnd w:id="5"/>
      <w:bookmarkEnd w:id="6"/>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DA6D89" w:rsidRPr="004A57FA">
        <w:rPr>
          <w:rFonts w:asciiTheme="minorEastAsia" w:eastAsiaTheme="minorEastAsia" w:hAnsiTheme="minorEastAsia" w:hint="eastAsia"/>
        </w:rPr>
        <w:t>、</w:t>
      </w:r>
      <w:r w:rsidRPr="004A57FA">
        <w:rPr>
          <w:rFonts w:asciiTheme="minorEastAsia" w:eastAsiaTheme="minorEastAsia" w:hAnsiTheme="minorEastAsia"/>
        </w:rPr>
        <w:t>基金管理人：易方达基金管理有限公司</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注册地址：</w:t>
      </w:r>
      <w:r w:rsidR="0042062A" w:rsidRPr="004A57FA">
        <w:rPr>
          <w:rFonts w:asciiTheme="minorEastAsia" w:eastAsiaTheme="minorEastAsia" w:hAnsiTheme="minorEastAsia" w:hint="eastAsia"/>
          <w:szCs w:val="21"/>
        </w:rPr>
        <w:t>广东省珠海市横琴新区宝华路6号105室－42891（集中办公区）</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办公地址：广州市</w:t>
      </w:r>
      <w:r w:rsidR="004D36B7" w:rsidRPr="004A57FA">
        <w:rPr>
          <w:rFonts w:asciiTheme="minorEastAsia" w:eastAsiaTheme="minorEastAsia" w:hAnsiTheme="minorEastAsia" w:hint="eastAsia"/>
        </w:rPr>
        <w:t>天河区</w:t>
      </w:r>
      <w:r w:rsidR="00E44D46" w:rsidRPr="004A57FA">
        <w:rPr>
          <w:rFonts w:asciiTheme="minorEastAsia" w:eastAsiaTheme="minorEastAsia" w:hAnsiTheme="minorEastAsia" w:hint="eastAsia"/>
        </w:rPr>
        <w:t>珠江新城</w:t>
      </w:r>
      <w:r w:rsidR="004D36B7" w:rsidRPr="004A57FA">
        <w:rPr>
          <w:rFonts w:asciiTheme="minorEastAsia" w:eastAsiaTheme="minorEastAsia" w:hAnsiTheme="minorEastAsia" w:hint="eastAsia"/>
        </w:rPr>
        <w:t>珠江东路30号广州银行大厦40-43楼</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设立日期：</w:t>
      </w:r>
      <w:smartTag w:uri="urn:schemas-microsoft-com:office:smarttags" w:element="chsdate">
        <w:smartTagPr>
          <w:attr w:name="Year" w:val="2001"/>
          <w:attr w:name="Month" w:val="4"/>
          <w:attr w:name="Day" w:val="17"/>
          <w:attr w:name="IsLunarDate" w:val="False"/>
          <w:attr w:name="IsROCDate" w:val="False"/>
        </w:smartTagPr>
        <w:r w:rsidRPr="004A57FA">
          <w:rPr>
            <w:rFonts w:asciiTheme="minorEastAsia" w:eastAsiaTheme="minorEastAsia" w:hAnsiTheme="minorEastAsia" w:hint="eastAsia"/>
          </w:rPr>
          <w:t>2001年4月17日</w:t>
        </w:r>
      </w:smartTag>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法定代表人：</w:t>
      </w:r>
      <w:r w:rsidR="00A243BA" w:rsidRPr="004A57FA">
        <w:rPr>
          <w:rFonts w:asciiTheme="minorEastAsia" w:eastAsiaTheme="minorEastAsia" w:hAnsiTheme="minorEastAsia" w:hint="eastAsia"/>
        </w:rPr>
        <w:t>刘晓艳</w:t>
      </w:r>
    </w:p>
    <w:p w:rsidR="00AF2EE6" w:rsidRPr="004A57FA" w:rsidRDefault="009D1DFF"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注册资本：13,244.2万元人民币</w:t>
      </w:r>
    </w:p>
    <w:p w:rsidR="00AF2EE6" w:rsidRPr="004A57FA" w:rsidRDefault="00CD1A2D"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联系人：李红枫</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联系</w:t>
      </w:r>
      <w:r w:rsidRPr="004A57FA">
        <w:rPr>
          <w:rFonts w:asciiTheme="minorEastAsia" w:eastAsiaTheme="minorEastAsia" w:hAnsiTheme="minorEastAsia"/>
        </w:rPr>
        <w:t>电话：4008818088</w:t>
      </w:r>
    </w:p>
    <w:p w:rsidR="005940EA" w:rsidRPr="004A57FA" w:rsidRDefault="005940EA"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批准设立机关及文号：</w:t>
      </w:r>
      <w:r w:rsidRPr="004A57FA">
        <w:rPr>
          <w:rFonts w:asciiTheme="minorEastAsia" w:eastAsiaTheme="minorEastAsia" w:hAnsiTheme="minorEastAsia" w:hint="eastAsia"/>
        </w:rPr>
        <w:t>中国证券监督管理委员会</w:t>
      </w:r>
      <w:r w:rsidRPr="004A57FA">
        <w:rPr>
          <w:rFonts w:asciiTheme="minorEastAsia" w:eastAsiaTheme="minorEastAsia" w:hAnsiTheme="minorEastAsia" w:hint="eastAsia"/>
          <w:szCs w:val="21"/>
        </w:rPr>
        <w:t>，证监基金字[2001]4号</w:t>
      </w:r>
    </w:p>
    <w:p w:rsidR="002A38FC" w:rsidRPr="004A57FA" w:rsidRDefault="005940EA"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经营范围：</w:t>
      </w:r>
      <w:r w:rsidR="0042062A" w:rsidRPr="004A57FA">
        <w:rPr>
          <w:rFonts w:asciiTheme="minorEastAsia" w:eastAsiaTheme="minorEastAsia" w:hAnsiTheme="minorEastAsia" w:hint="eastAsia"/>
          <w:szCs w:val="21"/>
        </w:rPr>
        <w:t>公开募集证券投资基金管理、基金销售、特定客户资产管理</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DA6D89" w:rsidRPr="004A57FA">
        <w:rPr>
          <w:rFonts w:asciiTheme="minorEastAsia" w:eastAsiaTheme="minorEastAsia" w:hAnsiTheme="minorEastAsia" w:hint="eastAsia"/>
        </w:rPr>
        <w:t>、</w:t>
      </w:r>
      <w:r w:rsidRPr="004A57FA">
        <w:rPr>
          <w:rFonts w:asciiTheme="minorEastAsia" w:eastAsiaTheme="minorEastAsia" w:hAnsiTheme="minorEastAsia" w:hint="eastAsia"/>
        </w:rPr>
        <w:t>股权结构：</w:t>
      </w: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1837"/>
      </w:tblGrid>
      <w:tr w:rsidR="004A57FA" w:rsidRPr="004A57FA" w:rsidTr="002721AC">
        <w:trPr>
          <w:jc w:val="center"/>
        </w:trPr>
        <w:tc>
          <w:tcPr>
            <w:tcW w:w="4772" w:type="dxa"/>
            <w:vAlign w:val="center"/>
          </w:tcPr>
          <w:p w:rsidR="00AF2EE6" w:rsidRPr="004A57FA" w:rsidRDefault="00AF2EE6" w:rsidP="00C53017">
            <w:pPr>
              <w:snapToGrid w:val="0"/>
              <w:spacing w:line="360" w:lineRule="auto"/>
              <w:ind w:firstLine="420"/>
              <w:jc w:val="center"/>
              <w:rPr>
                <w:rFonts w:asciiTheme="minorEastAsia" w:eastAsiaTheme="minorEastAsia" w:hAnsiTheme="minorEastAsia"/>
              </w:rPr>
            </w:pPr>
            <w:r w:rsidRPr="004A57FA">
              <w:rPr>
                <w:rFonts w:asciiTheme="minorEastAsia" w:eastAsiaTheme="minorEastAsia" w:hAnsiTheme="minorEastAsia" w:hint="eastAsia"/>
              </w:rPr>
              <w:t>股东名称</w:t>
            </w:r>
          </w:p>
        </w:tc>
        <w:tc>
          <w:tcPr>
            <w:tcW w:w="1837" w:type="dxa"/>
            <w:vAlign w:val="center"/>
          </w:tcPr>
          <w:p w:rsidR="00AF2EE6" w:rsidRPr="004A57FA" w:rsidRDefault="00AF2EE6" w:rsidP="00C53017">
            <w:pPr>
              <w:snapToGrid w:val="0"/>
              <w:spacing w:line="360" w:lineRule="auto"/>
              <w:ind w:firstLine="420"/>
              <w:jc w:val="center"/>
              <w:rPr>
                <w:rFonts w:asciiTheme="minorEastAsia" w:eastAsiaTheme="minorEastAsia" w:hAnsiTheme="minorEastAsia"/>
              </w:rPr>
            </w:pPr>
            <w:r w:rsidRPr="004A57FA">
              <w:rPr>
                <w:rFonts w:asciiTheme="minorEastAsia" w:eastAsiaTheme="minorEastAsia" w:hAnsiTheme="minorEastAsia" w:hint="eastAsia"/>
              </w:rPr>
              <w:t>出资比例</w:t>
            </w:r>
          </w:p>
        </w:tc>
      </w:tr>
      <w:tr w:rsidR="00673FF9">
        <w:trPr>
          <w:jc w:val="center"/>
        </w:trPr>
        <w:tc>
          <w:tcPr>
            <w:tcW w:w="4772" w:type="dxa"/>
          </w:tcPr>
          <w:p w:rsidR="00673FF9" w:rsidRDefault="00D61F4E">
            <w:pPr>
              <w:jc w:val="center"/>
            </w:pPr>
            <w:r>
              <w:t>广东粤财信托有限公司</w:t>
            </w:r>
          </w:p>
        </w:tc>
        <w:tc>
          <w:tcPr>
            <w:tcW w:w="1837" w:type="dxa"/>
          </w:tcPr>
          <w:p w:rsidR="00673FF9" w:rsidRDefault="00D61F4E">
            <w:pPr>
              <w:jc w:val="center"/>
            </w:pPr>
            <w:r>
              <w:t>22.6514</w:t>
            </w:r>
            <w:r>
              <w:t>％</w:t>
            </w:r>
          </w:p>
        </w:tc>
      </w:tr>
      <w:tr w:rsidR="00673FF9">
        <w:trPr>
          <w:jc w:val="center"/>
        </w:trPr>
        <w:tc>
          <w:tcPr>
            <w:tcW w:w="4772" w:type="dxa"/>
          </w:tcPr>
          <w:p w:rsidR="00673FF9" w:rsidRDefault="00D61F4E">
            <w:pPr>
              <w:jc w:val="center"/>
            </w:pPr>
            <w:r>
              <w:t>广发证券股份有限公司</w:t>
            </w:r>
          </w:p>
        </w:tc>
        <w:tc>
          <w:tcPr>
            <w:tcW w:w="1837" w:type="dxa"/>
          </w:tcPr>
          <w:p w:rsidR="00673FF9" w:rsidRDefault="00D61F4E">
            <w:pPr>
              <w:jc w:val="center"/>
            </w:pPr>
            <w:r>
              <w:t>22.6514</w:t>
            </w:r>
            <w:r>
              <w:t>％</w:t>
            </w:r>
          </w:p>
        </w:tc>
      </w:tr>
      <w:tr w:rsidR="00673FF9">
        <w:trPr>
          <w:jc w:val="center"/>
        </w:trPr>
        <w:tc>
          <w:tcPr>
            <w:tcW w:w="4772" w:type="dxa"/>
          </w:tcPr>
          <w:p w:rsidR="00673FF9" w:rsidRDefault="00D61F4E">
            <w:pPr>
              <w:jc w:val="center"/>
            </w:pPr>
            <w:r>
              <w:t>盈峰集团有限公司</w:t>
            </w:r>
          </w:p>
        </w:tc>
        <w:tc>
          <w:tcPr>
            <w:tcW w:w="1837" w:type="dxa"/>
          </w:tcPr>
          <w:p w:rsidR="00673FF9" w:rsidRDefault="00D61F4E">
            <w:pPr>
              <w:jc w:val="center"/>
            </w:pPr>
            <w:r>
              <w:t>22.6514</w:t>
            </w:r>
            <w:r>
              <w:t>％</w:t>
            </w:r>
          </w:p>
        </w:tc>
      </w:tr>
      <w:tr w:rsidR="00673FF9">
        <w:trPr>
          <w:jc w:val="center"/>
        </w:trPr>
        <w:tc>
          <w:tcPr>
            <w:tcW w:w="4772" w:type="dxa"/>
          </w:tcPr>
          <w:p w:rsidR="00673FF9" w:rsidRDefault="00D61F4E">
            <w:pPr>
              <w:jc w:val="center"/>
            </w:pPr>
            <w:r>
              <w:t>广东省广晟控股集团有限公司</w:t>
            </w:r>
          </w:p>
        </w:tc>
        <w:tc>
          <w:tcPr>
            <w:tcW w:w="1837" w:type="dxa"/>
          </w:tcPr>
          <w:p w:rsidR="00673FF9" w:rsidRDefault="00D61F4E">
            <w:pPr>
              <w:jc w:val="center"/>
            </w:pPr>
            <w:r>
              <w:t>15.1010</w:t>
            </w:r>
            <w:r>
              <w:t>％</w:t>
            </w:r>
          </w:p>
        </w:tc>
      </w:tr>
      <w:tr w:rsidR="00673FF9">
        <w:trPr>
          <w:jc w:val="center"/>
        </w:trPr>
        <w:tc>
          <w:tcPr>
            <w:tcW w:w="4772" w:type="dxa"/>
          </w:tcPr>
          <w:p w:rsidR="00673FF9" w:rsidRDefault="00D61F4E">
            <w:pPr>
              <w:jc w:val="center"/>
            </w:pPr>
            <w:r>
              <w:t>广州市广永国有资产经营有限公司</w:t>
            </w:r>
          </w:p>
        </w:tc>
        <w:tc>
          <w:tcPr>
            <w:tcW w:w="1837" w:type="dxa"/>
          </w:tcPr>
          <w:p w:rsidR="00673FF9" w:rsidRDefault="00D61F4E">
            <w:pPr>
              <w:jc w:val="center"/>
            </w:pPr>
            <w:r>
              <w:t>7.5505</w:t>
            </w:r>
            <w:r>
              <w:t>％</w:t>
            </w:r>
          </w:p>
        </w:tc>
      </w:tr>
      <w:tr w:rsidR="00673FF9">
        <w:trPr>
          <w:jc w:val="center"/>
        </w:trPr>
        <w:tc>
          <w:tcPr>
            <w:tcW w:w="4772" w:type="dxa"/>
          </w:tcPr>
          <w:p w:rsidR="00673FF9" w:rsidRDefault="00D61F4E">
            <w:pPr>
              <w:jc w:val="center"/>
            </w:pPr>
            <w:r>
              <w:t>珠海祺荣宝股权投资合伙企业（有限合伙）</w:t>
            </w:r>
          </w:p>
        </w:tc>
        <w:tc>
          <w:tcPr>
            <w:tcW w:w="1837" w:type="dxa"/>
          </w:tcPr>
          <w:p w:rsidR="00673FF9" w:rsidRDefault="00D61F4E">
            <w:pPr>
              <w:jc w:val="center"/>
            </w:pPr>
            <w:r>
              <w:t>1.5087</w:t>
            </w:r>
            <w:r>
              <w:t>％</w:t>
            </w:r>
          </w:p>
        </w:tc>
      </w:tr>
      <w:tr w:rsidR="00673FF9">
        <w:trPr>
          <w:jc w:val="center"/>
        </w:trPr>
        <w:tc>
          <w:tcPr>
            <w:tcW w:w="4772" w:type="dxa"/>
          </w:tcPr>
          <w:p w:rsidR="00673FF9" w:rsidRDefault="00D61F4E">
            <w:pPr>
              <w:jc w:val="center"/>
            </w:pPr>
            <w:r>
              <w:t>珠海祺泰宝股权投资合伙企业（有限合伙）</w:t>
            </w:r>
          </w:p>
        </w:tc>
        <w:tc>
          <w:tcPr>
            <w:tcW w:w="1837" w:type="dxa"/>
          </w:tcPr>
          <w:p w:rsidR="00673FF9" w:rsidRDefault="00D61F4E">
            <w:pPr>
              <w:jc w:val="center"/>
            </w:pPr>
            <w:r>
              <w:t>1.6205</w:t>
            </w:r>
            <w:r>
              <w:t>％</w:t>
            </w:r>
          </w:p>
        </w:tc>
      </w:tr>
      <w:tr w:rsidR="00673FF9">
        <w:trPr>
          <w:jc w:val="center"/>
        </w:trPr>
        <w:tc>
          <w:tcPr>
            <w:tcW w:w="4772" w:type="dxa"/>
          </w:tcPr>
          <w:p w:rsidR="00673FF9" w:rsidRDefault="00D61F4E">
            <w:pPr>
              <w:jc w:val="center"/>
            </w:pPr>
            <w:r>
              <w:t>珠海祺丰宝股权投资合伙企业（有限合伙）</w:t>
            </w:r>
          </w:p>
        </w:tc>
        <w:tc>
          <w:tcPr>
            <w:tcW w:w="1837" w:type="dxa"/>
          </w:tcPr>
          <w:p w:rsidR="00673FF9" w:rsidRDefault="00D61F4E">
            <w:pPr>
              <w:jc w:val="center"/>
            </w:pPr>
            <w:r>
              <w:t>1.5309</w:t>
            </w:r>
            <w:r>
              <w:t>％</w:t>
            </w:r>
          </w:p>
        </w:tc>
      </w:tr>
      <w:tr w:rsidR="00673FF9">
        <w:trPr>
          <w:jc w:val="center"/>
        </w:trPr>
        <w:tc>
          <w:tcPr>
            <w:tcW w:w="4772" w:type="dxa"/>
          </w:tcPr>
          <w:p w:rsidR="00673FF9" w:rsidRDefault="00D61F4E">
            <w:pPr>
              <w:jc w:val="center"/>
            </w:pPr>
            <w:r>
              <w:t>珠海聚莱康股权投资合伙企业（有限合伙）</w:t>
            </w:r>
          </w:p>
        </w:tc>
        <w:tc>
          <w:tcPr>
            <w:tcW w:w="1837" w:type="dxa"/>
          </w:tcPr>
          <w:p w:rsidR="00673FF9" w:rsidRDefault="00D61F4E">
            <w:pPr>
              <w:jc w:val="center"/>
            </w:pPr>
            <w:r>
              <w:t>1.7558</w:t>
            </w:r>
            <w:r>
              <w:t>％</w:t>
            </w:r>
          </w:p>
        </w:tc>
      </w:tr>
      <w:tr w:rsidR="00673FF9">
        <w:trPr>
          <w:jc w:val="center"/>
        </w:trPr>
        <w:tc>
          <w:tcPr>
            <w:tcW w:w="4772" w:type="dxa"/>
          </w:tcPr>
          <w:p w:rsidR="00673FF9" w:rsidRDefault="00D61F4E">
            <w:pPr>
              <w:jc w:val="center"/>
            </w:pPr>
            <w:r>
              <w:t>珠海聚宁康股权投资合伙企业（有限合伙）</w:t>
            </w:r>
          </w:p>
        </w:tc>
        <w:tc>
          <w:tcPr>
            <w:tcW w:w="1837" w:type="dxa"/>
          </w:tcPr>
          <w:p w:rsidR="00673FF9" w:rsidRDefault="00D61F4E">
            <w:pPr>
              <w:jc w:val="center"/>
            </w:pPr>
            <w:r>
              <w:t>1.4396</w:t>
            </w:r>
            <w:r>
              <w:t>％</w:t>
            </w:r>
          </w:p>
        </w:tc>
      </w:tr>
      <w:tr w:rsidR="00673FF9">
        <w:trPr>
          <w:jc w:val="center"/>
        </w:trPr>
        <w:tc>
          <w:tcPr>
            <w:tcW w:w="4772" w:type="dxa"/>
          </w:tcPr>
          <w:p w:rsidR="00673FF9" w:rsidRDefault="00D61F4E">
            <w:pPr>
              <w:jc w:val="center"/>
            </w:pPr>
            <w:r>
              <w:t>珠海聚弘康股权投资合伙企业（有限合伙）</w:t>
            </w:r>
          </w:p>
        </w:tc>
        <w:tc>
          <w:tcPr>
            <w:tcW w:w="1837" w:type="dxa"/>
          </w:tcPr>
          <w:p w:rsidR="00673FF9" w:rsidRDefault="00D61F4E">
            <w:pPr>
              <w:jc w:val="center"/>
            </w:pPr>
            <w:r>
              <w:t>1.5388</w:t>
            </w:r>
            <w:r>
              <w:t>％</w:t>
            </w:r>
          </w:p>
        </w:tc>
      </w:tr>
      <w:tr w:rsidR="00673FF9">
        <w:trPr>
          <w:jc w:val="center"/>
        </w:trPr>
        <w:tc>
          <w:tcPr>
            <w:tcW w:w="4772" w:type="dxa"/>
          </w:tcPr>
          <w:p w:rsidR="00673FF9" w:rsidRDefault="00D61F4E">
            <w:pPr>
              <w:jc w:val="center"/>
            </w:pPr>
            <w:r>
              <w:t>总</w:t>
            </w:r>
            <w:r>
              <w:t xml:space="preserve">   </w:t>
            </w:r>
            <w:r>
              <w:t>计</w:t>
            </w:r>
          </w:p>
        </w:tc>
        <w:tc>
          <w:tcPr>
            <w:tcW w:w="1837" w:type="dxa"/>
          </w:tcPr>
          <w:p w:rsidR="00673FF9" w:rsidRDefault="00D61F4E">
            <w:pPr>
              <w:jc w:val="center"/>
            </w:pPr>
            <w:r>
              <w:t>100%</w:t>
            </w:r>
          </w:p>
        </w:tc>
      </w:tr>
    </w:tbl>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kern w:val="0"/>
        </w:rPr>
      </w:pPr>
      <w:bookmarkStart w:id="9" w:name="_Toc198959589"/>
      <w:bookmarkStart w:id="10" w:name="_Toc81230974"/>
      <w:r w:rsidRPr="004A57FA">
        <w:rPr>
          <w:rFonts w:asciiTheme="minorEastAsia" w:eastAsiaTheme="minorEastAsia" w:hAnsiTheme="minorEastAsia" w:hint="eastAsia"/>
          <w:b w:val="0"/>
        </w:rPr>
        <w:t>（二）</w:t>
      </w:r>
      <w:r w:rsidRPr="004A57FA">
        <w:rPr>
          <w:rFonts w:asciiTheme="minorEastAsia" w:eastAsiaTheme="minorEastAsia" w:hAnsiTheme="minorEastAsia"/>
          <w:b w:val="0"/>
        </w:rPr>
        <w:t>主要人员情况</w:t>
      </w:r>
      <w:bookmarkEnd w:id="9"/>
      <w:bookmarkEnd w:id="10"/>
    </w:p>
    <w:p w:rsidR="00AF2EE6" w:rsidRPr="004A57FA" w:rsidRDefault="00AF2EE6" w:rsidP="00C53017">
      <w:pPr>
        <w:pStyle w:val="CharCharCharCharCharCharChar"/>
        <w:numPr>
          <w:ilvl w:val="0"/>
          <w:numId w:val="0"/>
        </w:numPr>
        <w:snapToGrid w:val="0"/>
        <w:spacing w:after="0" w:line="360" w:lineRule="auto"/>
        <w:ind w:firstLine="420"/>
        <w:textAlignment w:val="baseline"/>
        <w:rPr>
          <w:rFonts w:asciiTheme="minorEastAsia" w:eastAsiaTheme="minorEastAsia" w:hAnsiTheme="minorEastAsia" w:cs="仿宋_GB2312"/>
          <w:b/>
          <w:bCs/>
          <w:kern w:val="0"/>
          <w:sz w:val="21"/>
          <w:szCs w:val="24"/>
        </w:rPr>
      </w:pPr>
      <w:r w:rsidRPr="004A57FA">
        <w:rPr>
          <w:rFonts w:asciiTheme="minorEastAsia" w:eastAsiaTheme="minorEastAsia" w:hAnsiTheme="minorEastAsia" w:cs="仿宋_GB2312" w:hint="eastAsia"/>
          <w:b/>
          <w:bCs/>
          <w:kern w:val="0"/>
          <w:sz w:val="21"/>
          <w:szCs w:val="24"/>
        </w:rPr>
        <w:t>1</w:t>
      </w:r>
      <w:r w:rsidR="00DA6D89" w:rsidRPr="004A57FA">
        <w:rPr>
          <w:rFonts w:asciiTheme="minorEastAsia" w:eastAsiaTheme="minorEastAsia" w:hAnsiTheme="minorEastAsia" w:cs="仿宋_GB2312" w:hint="eastAsia"/>
          <w:b/>
          <w:bCs/>
          <w:kern w:val="0"/>
          <w:sz w:val="21"/>
          <w:szCs w:val="24"/>
        </w:rPr>
        <w:t>、</w:t>
      </w:r>
      <w:r w:rsidRPr="004A57FA">
        <w:rPr>
          <w:rFonts w:asciiTheme="minorEastAsia" w:eastAsiaTheme="minorEastAsia" w:hAnsiTheme="minorEastAsia" w:cs="仿宋_GB2312" w:hint="eastAsia"/>
          <w:b/>
          <w:bCs/>
          <w:kern w:val="0"/>
          <w:sz w:val="21"/>
          <w:szCs w:val="24"/>
        </w:rPr>
        <w:t>董事、监事及高级管理人员</w:t>
      </w:r>
    </w:p>
    <w:p w:rsidR="002617D6" w:rsidRPr="00A805DC" w:rsidRDefault="002617D6" w:rsidP="00A805DC">
      <w:pPr>
        <w:spacing w:line="360" w:lineRule="auto"/>
        <w:ind w:firstLine="420"/>
      </w:pPr>
      <w:r>
        <w:rPr>
          <w:rFonts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2617D6" w:rsidRDefault="002617D6" w:rsidP="00A805DC">
      <w:pPr>
        <w:spacing w:line="360" w:lineRule="auto"/>
        <w:ind w:firstLine="420"/>
      </w:pPr>
      <w:r>
        <w:rPr>
          <w:rFonts w:hint="eastAsia"/>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2617D6" w:rsidRDefault="002617D6" w:rsidP="00A805DC">
      <w:pPr>
        <w:spacing w:line="360" w:lineRule="auto"/>
        <w:ind w:firstLine="420"/>
      </w:pPr>
      <w:r>
        <w:rPr>
          <w:rFonts w:hint="eastAsia"/>
        </w:rPr>
        <w:t>周泽群先生，高级管理人员工商管理硕士（</w:t>
      </w:r>
      <w:r>
        <w:rPr>
          <w:rFonts w:hint="eastAsia"/>
        </w:rPr>
        <w:t>EMBA</w:t>
      </w:r>
      <w:r>
        <w:rPr>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2617D6" w:rsidRPr="00A805DC" w:rsidRDefault="002617D6" w:rsidP="00A805DC">
      <w:pPr>
        <w:spacing w:line="360" w:lineRule="auto"/>
        <w:ind w:firstLine="420"/>
      </w:pPr>
      <w:r w:rsidRPr="00A805DC">
        <w:rPr>
          <w:rFonts w:hint="eastAsia"/>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2617D6" w:rsidRPr="00A805DC" w:rsidRDefault="002617D6" w:rsidP="00A805DC">
      <w:pPr>
        <w:spacing w:line="360" w:lineRule="auto"/>
        <w:ind w:firstLine="420"/>
      </w:pPr>
      <w:r w:rsidRPr="00A805DC">
        <w:rPr>
          <w:rFonts w:hint="eastAsia"/>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w:t>
      </w:r>
    </w:p>
    <w:p w:rsidR="002617D6" w:rsidRPr="00A805DC" w:rsidRDefault="002617D6" w:rsidP="00A805DC">
      <w:pPr>
        <w:spacing w:line="360" w:lineRule="auto"/>
        <w:ind w:firstLine="420"/>
      </w:pPr>
      <w:r w:rsidRPr="00A805DC">
        <w:rPr>
          <w:rFonts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rsidR="002617D6" w:rsidRPr="00A805DC" w:rsidRDefault="002617D6" w:rsidP="00A805DC">
      <w:pPr>
        <w:spacing w:line="360" w:lineRule="auto"/>
        <w:ind w:firstLine="420"/>
      </w:pPr>
      <w:r w:rsidRPr="00A805DC">
        <w:rPr>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rsidR="002617D6" w:rsidRPr="00A805DC" w:rsidRDefault="002617D6" w:rsidP="00A805DC">
      <w:pPr>
        <w:spacing w:line="360" w:lineRule="auto"/>
        <w:ind w:firstLine="420"/>
      </w:pPr>
      <w:r w:rsidRPr="00A805DC">
        <w:rPr>
          <w:rFonts w:hint="eastAsia"/>
        </w:rPr>
        <w:lastRenderedPageBreak/>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2617D6" w:rsidRPr="00A805DC" w:rsidRDefault="002617D6" w:rsidP="00A805DC">
      <w:pPr>
        <w:spacing w:line="360" w:lineRule="auto"/>
        <w:ind w:firstLine="420"/>
      </w:pPr>
      <w:r w:rsidRPr="00A805DC">
        <w:rPr>
          <w:rFonts w:hint="eastAsia"/>
        </w:rPr>
        <w:t>王承志先生，法学博士，独立董事。曾任美国天普大学法学院访问副教授。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w:t>
      </w:r>
    </w:p>
    <w:p w:rsidR="002617D6" w:rsidRPr="00A805DC" w:rsidRDefault="002617D6" w:rsidP="00A805DC">
      <w:pPr>
        <w:spacing w:line="360" w:lineRule="auto"/>
        <w:ind w:firstLine="420"/>
      </w:pPr>
      <w:r w:rsidRPr="00A805DC">
        <w:rPr>
          <w:rFonts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2617D6" w:rsidRPr="00A805DC" w:rsidRDefault="002617D6" w:rsidP="00A805DC">
      <w:pPr>
        <w:spacing w:line="360" w:lineRule="auto"/>
        <w:ind w:firstLine="420"/>
      </w:pPr>
      <w:r w:rsidRPr="00A805DC">
        <w:rPr>
          <w:rFonts w:hint="eastAsia"/>
        </w:rPr>
        <w:t>危勇先生，经济学博士，监事。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现任易方达基金管理有限公司监事，广州市广永国有资产经营有限公司董事长、总裁，广州赛马娱乐总公司董事，万联证券股份有限公司监事，广州银行股份有限公司董事，广州广永投资管理有限公司董事长。</w:t>
      </w:r>
    </w:p>
    <w:p w:rsidR="002617D6" w:rsidRPr="00A805DC" w:rsidRDefault="002617D6" w:rsidP="00A805DC">
      <w:pPr>
        <w:spacing w:line="360" w:lineRule="auto"/>
        <w:ind w:firstLine="420"/>
      </w:pPr>
      <w:r w:rsidRPr="00A805DC">
        <w:rPr>
          <w:rFonts w:hint="eastAsia"/>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rsidR="002617D6" w:rsidRPr="00A805DC" w:rsidRDefault="002617D6" w:rsidP="00A805DC">
      <w:pPr>
        <w:spacing w:line="360" w:lineRule="auto"/>
        <w:ind w:firstLine="420"/>
      </w:pPr>
      <w:r w:rsidRPr="00A805DC">
        <w:rPr>
          <w:rFonts w:hint="eastAsia"/>
        </w:rPr>
        <w:lastRenderedPageBreak/>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2617D6" w:rsidRPr="00A805DC" w:rsidRDefault="002617D6" w:rsidP="00A805DC">
      <w:pPr>
        <w:spacing w:line="360" w:lineRule="auto"/>
        <w:ind w:firstLine="420"/>
      </w:pPr>
      <w:r w:rsidRPr="00A805DC">
        <w:rPr>
          <w:rFonts w:hint="eastAsia"/>
        </w:rPr>
        <w:t>刘炜先生，工商管理硕士（</w:t>
      </w:r>
      <w:r w:rsidRPr="00A805DC">
        <w:t>EMBA</w:t>
      </w:r>
      <w:r w:rsidRPr="00A805DC">
        <w:rPr>
          <w:rFonts w:hint="eastAsia"/>
        </w:rPr>
        <w:t>）、法学硕士，监事。曾任易方达基金管理有限公司监察部监察员、上海分公司销售经理、市场部总经理助理、人力资源部副总经理、综合管理部总经理。现任易方达基金管理有限公司监事、人力资源部总经理。</w:t>
      </w:r>
    </w:p>
    <w:p w:rsidR="002617D6" w:rsidRPr="00A805DC" w:rsidRDefault="002617D6" w:rsidP="00A805DC">
      <w:pPr>
        <w:spacing w:line="360" w:lineRule="auto"/>
        <w:ind w:firstLine="420"/>
      </w:pPr>
      <w:r w:rsidRPr="00A805DC">
        <w:rPr>
          <w:rFonts w:hint="eastAsia"/>
        </w:rPr>
        <w:t>马骏先生，工商管理硕士（</w:t>
      </w:r>
      <w:r w:rsidRPr="00A805DC">
        <w:t>EMBA</w:t>
      </w:r>
      <w:r w:rsidRPr="00A805DC">
        <w:rPr>
          <w:rFonts w:hint="eastAsia"/>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A805DC">
        <w:t>RQFII</w:t>
      </w:r>
      <w:r w:rsidRPr="00A805DC">
        <w:rPr>
          <w:rFonts w:hint="eastAsia"/>
        </w:rPr>
        <w:t>）业务负责人、证券交易负责人员（</w:t>
      </w:r>
      <w:r w:rsidRPr="00A805DC">
        <w:t>RO</w:t>
      </w:r>
      <w:r w:rsidRPr="00A805DC">
        <w:rPr>
          <w:rFonts w:hint="eastAsia"/>
        </w:rPr>
        <w:t>）、就证券提供意见负责人员（</w:t>
      </w:r>
      <w:r w:rsidRPr="00A805DC">
        <w:t>RO</w:t>
      </w:r>
      <w:r w:rsidRPr="00A805DC">
        <w:rPr>
          <w:rFonts w:hint="eastAsia"/>
        </w:rPr>
        <w:t>）、提供资产管理负责人员（</w:t>
      </w:r>
      <w:r w:rsidRPr="00A805DC">
        <w:t>RO</w:t>
      </w:r>
      <w:r w:rsidRPr="00A805DC">
        <w:rPr>
          <w:rFonts w:hint="eastAsia"/>
        </w:rPr>
        <w:t>）、产品审批委员会委员。</w:t>
      </w:r>
    </w:p>
    <w:p w:rsidR="002617D6" w:rsidRPr="00A805DC" w:rsidRDefault="002617D6" w:rsidP="00A805DC">
      <w:pPr>
        <w:spacing w:line="360" w:lineRule="auto"/>
        <w:ind w:firstLine="420"/>
      </w:pPr>
      <w:r w:rsidRPr="00A805DC">
        <w:rPr>
          <w:rFonts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2617D6" w:rsidRPr="00A805DC" w:rsidRDefault="002617D6" w:rsidP="00A805DC">
      <w:pPr>
        <w:spacing w:line="360" w:lineRule="auto"/>
        <w:ind w:firstLine="420"/>
      </w:pPr>
      <w:r w:rsidRPr="00A805DC">
        <w:rPr>
          <w:rFonts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2617D6" w:rsidRPr="00A805DC" w:rsidRDefault="002617D6" w:rsidP="00A805DC">
      <w:pPr>
        <w:spacing w:line="360" w:lineRule="auto"/>
        <w:ind w:firstLine="420"/>
      </w:pPr>
      <w:r w:rsidRPr="00A805DC">
        <w:rPr>
          <w:rFonts w:hint="eastAsia"/>
        </w:rPr>
        <w:t>张南女士，经济学博士，督察长。曾任广东省经济贸易委员会主任科员、副处长，易方达基金管理有限公司市场拓展部副总经理、监察部总经理。现任易方达基金管理有限公司督察长。</w:t>
      </w:r>
    </w:p>
    <w:p w:rsidR="002617D6" w:rsidRPr="00A805DC" w:rsidRDefault="002617D6" w:rsidP="00A805DC">
      <w:pPr>
        <w:spacing w:line="360" w:lineRule="auto"/>
        <w:ind w:firstLine="420"/>
      </w:pPr>
      <w:r w:rsidRPr="00A805DC">
        <w:rPr>
          <w:rFonts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2617D6" w:rsidRPr="00A805DC" w:rsidRDefault="002617D6" w:rsidP="00A805DC">
      <w:pPr>
        <w:spacing w:line="360" w:lineRule="auto"/>
        <w:ind w:firstLine="420"/>
      </w:pPr>
      <w:r w:rsidRPr="00A805DC">
        <w:rPr>
          <w:rFonts w:hint="eastAsia"/>
        </w:rPr>
        <w:lastRenderedPageBreak/>
        <w:t>高松凡先生，工商管理硕士（</w:t>
      </w:r>
      <w:r w:rsidRPr="00A805DC">
        <w:t>EMBA</w:t>
      </w:r>
      <w:r w:rsidRPr="00A805DC">
        <w:rPr>
          <w:rFonts w:hint="eastAsia"/>
        </w:rPr>
        <w:t>），</w:t>
      </w:r>
      <w:r>
        <w:rPr>
          <w:rFonts w:hint="eastAsia"/>
        </w:rPr>
        <w:t>副总经理级</w:t>
      </w:r>
      <w:r w:rsidRPr="00A805DC">
        <w:rPr>
          <w:rFonts w:hint="eastAsia"/>
        </w:rPr>
        <w:t>高级管理人员。曾任招商银行总行人事部高级经理、企业年金中心副主任，浦东发展银行总行企业年金部总经理，长江养老保险公司首席市场总监，易方达基金管理有限公司养老金业务总监。现任易方达基金管理有限公司</w:t>
      </w:r>
      <w:r>
        <w:rPr>
          <w:rFonts w:hint="eastAsia"/>
        </w:rPr>
        <w:t>副总经理级</w:t>
      </w:r>
      <w:r w:rsidRPr="00A805DC">
        <w:rPr>
          <w:rFonts w:hint="eastAsia"/>
        </w:rPr>
        <w:t>高级管理人员。</w:t>
      </w:r>
    </w:p>
    <w:p w:rsidR="002617D6" w:rsidRPr="00A805DC" w:rsidRDefault="002617D6" w:rsidP="00A805DC">
      <w:pPr>
        <w:spacing w:line="360" w:lineRule="auto"/>
        <w:ind w:firstLine="420"/>
      </w:pPr>
      <w:r w:rsidRPr="00A805DC">
        <w:rPr>
          <w:rFonts w:hint="eastAsia"/>
        </w:rPr>
        <w:t>关秀霞女士，工商管理硕士、金融学硕士，</w:t>
      </w:r>
      <w:r>
        <w:rPr>
          <w:rFonts w:hint="eastAsia"/>
        </w:rPr>
        <w:t>副总经理级</w:t>
      </w:r>
      <w:r w:rsidRPr="00A805DC">
        <w:rPr>
          <w:rFonts w:hint="eastAsia"/>
        </w:rPr>
        <w:t>高级管理人员。曾任中国银行（香港）有限公司分析员，</w:t>
      </w:r>
      <w:r w:rsidRPr="00A805DC">
        <w:t>Daniel Dennis</w:t>
      </w:r>
      <w:r w:rsidRPr="00A805DC">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w:t>
      </w:r>
      <w:r>
        <w:rPr>
          <w:rFonts w:hint="eastAsia"/>
        </w:rPr>
        <w:t>副总经理级</w:t>
      </w:r>
      <w:r w:rsidRPr="00A805DC">
        <w:rPr>
          <w:rFonts w:hint="eastAsia"/>
        </w:rPr>
        <w:t>高级管理人员。</w:t>
      </w:r>
    </w:p>
    <w:p w:rsidR="002617D6" w:rsidRPr="00A805DC" w:rsidRDefault="002617D6" w:rsidP="00A805DC">
      <w:pPr>
        <w:spacing w:line="360" w:lineRule="auto"/>
        <w:ind w:firstLine="420"/>
      </w:pPr>
      <w:r w:rsidRPr="00A805DC">
        <w:rPr>
          <w:rFonts w:hint="eastAsia"/>
        </w:rPr>
        <w:t>陈荣女士，经济学博士，</w:t>
      </w:r>
      <w:r>
        <w:rPr>
          <w:rFonts w:hint="eastAsia"/>
        </w:rPr>
        <w:t>副总经理级</w:t>
      </w:r>
      <w:r w:rsidRPr="00A805DC">
        <w:rPr>
          <w:rFonts w:hint="eastAsia"/>
        </w:rPr>
        <w:t>高级管理人员。</w:t>
      </w:r>
      <w:r>
        <w:rPr>
          <w:rFonts w:hint="eastAsia"/>
        </w:rPr>
        <w:t>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2617D6" w:rsidRPr="00A805DC" w:rsidRDefault="002617D6" w:rsidP="00A805DC">
      <w:pPr>
        <w:spacing w:line="360" w:lineRule="auto"/>
        <w:ind w:firstLine="420"/>
      </w:pPr>
      <w:r>
        <w:rPr>
          <w:rFonts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2617D6" w:rsidRPr="00A805DC" w:rsidRDefault="002617D6" w:rsidP="00A805DC">
      <w:pPr>
        <w:spacing w:line="360" w:lineRule="auto"/>
        <w:ind w:firstLine="420"/>
      </w:pPr>
      <w:r w:rsidRPr="00A805DC">
        <w:rPr>
          <w:rFonts w:hint="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2617D6" w:rsidRPr="00A805DC" w:rsidRDefault="002617D6" w:rsidP="00A805DC">
      <w:pPr>
        <w:spacing w:line="360" w:lineRule="auto"/>
        <w:ind w:firstLine="420"/>
      </w:pPr>
      <w:r w:rsidRPr="00A805DC">
        <w:rPr>
          <w:rFonts w:hint="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2617D6" w:rsidRPr="00A805DC" w:rsidRDefault="002617D6" w:rsidP="00A805DC">
      <w:pPr>
        <w:spacing w:line="360" w:lineRule="auto"/>
        <w:ind w:firstLine="420"/>
      </w:pPr>
      <w:r w:rsidRPr="00A805DC">
        <w:rPr>
          <w:rFonts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w:t>
      </w:r>
      <w:r w:rsidRPr="00A805DC">
        <w:rPr>
          <w:rFonts w:hint="eastAsia"/>
        </w:rPr>
        <w:lastRenderedPageBreak/>
        <w:t>金经理。</w:t>
      </w:r>
    </w:p>
    <w:p w:rsidR="002617D6" w:rsidRPr="00A805DC" w:rsidRDefault="002617D6" w:rsidP="00A805DC">
      <w:pPr>
        <w:spacing w:line="360" w:lineRule="auto"/>
        <w:ind w:firstLine="420"/>
      </w:pPr>
      <w:r w:rsidRPr="00A805DC">
        <w:rPr>
          <w:rFonts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2617D6" w:rsidRPr="00A805DC" w:rsidRDefault="002617D6" w:rsidP="00A805DC">
      <w:pPr>
        <w:spacing w:line="360" w:lineRule="auto"/>
        <w:ind w:firstLine="420"/>
      </w:pPr>
      <w:r w:rsidRPr="00A805DC">
        <w:rPr>
          <w:rFonts w:hint="eastAsia"/>
        </w:rPr>
        <w:t>娄利舟女士，工商管理硕士（</w:t>
      </w:r>
      <w:r w:rsidRPr="00A805DC">
        <w:t>EMBA</w:t>
      </w:r>
      <w:r w:rsidRPr="00A805DC">
        <w:rPr>
          <w:rFonts w:hint="eastAsia"/>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A805DC">
        <w:t>FOF</w:t>
      </w:r>
      <w:r w:rsidRPr="00A805DC">
        <w:rPr>
          <w:rFonts w:hint="eastAsia"/>
        </w:rPr>
        <w:t>投资决策委员会委员，易方达资产管理有限公司董事长，易方达资产管理（香港）有限公司董事。</w:t>
      </w:r>
    </w:p>
    <w:p w:rsidR="002617D6" w:rsidRPr="00A805DC" w:rsidRDefault="002617D6" w:rsidP="00A805DC">
      <w:pPr>
        <w:spacing w:line="360" w:lineRule="auto"/>
        <w:ind w:firstLine="420"/>
      </w:pPr>
      <w:r w:rsidRPr="00A805DC">
        <w:rPr>
          <w:rFonts w:hint="eastAsia"/>
        </w:rPr>
        <w:t>萧楠先生，经济学硕士，副总经理级高级管理人员。曾任易方达基金管理有限公司行业研究员、基金经理助理、投资经理。现任易方达基金管理有限公司副总经理级高级管理人员、投资三部总经理、研究部副总经理、基金经理。</w:t>
      </w:r>
    </w:p>
    <w:p w:rsidR="002617D6" w:rsidRPr="00A805DC" w:rsidRDefault="002617D6" w:rsidP="00A805DC">
      <w:pPr>
        <w:spacing w:line="360" w:lineRule="auto"/>
        <w:ind w:firstLine="420"/>
      </w:pPr>
      <w:r w:rsidRPr="00A805DC">
        <w:rPr>
          <w:rFonts w:hint="eastAsia"/>
        </w:rPr>
        <w:t>管勇先生，理学硕士，首席信息官。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现任易方达基金管理有限公司首席信息官、数据平台研发中心总经理、</w:t>
      </w:r>
      <w:r w:rsidR="0002592E">
        <w:rPr>
          <w:rFonts w:ascii="Calibri" w:hAnsi="Calibri" w:hint="eastAsia"/>
        </w:rPr>
        <w:t>规划与支持中心总经理</w:t>
      </w:r>
      <w:r w:rsidRPr="00A805DC">
        <w:rPr>
          <w:rFonts w:hint="eastAsia"/>
        </w:rPr>
        <w:t>。</w:t>
      </w:r>
    </w:p>
    <w:p w:rsidR="002617D6" w:rsidRPr="00A805DC" w:rsidRDefault="002617D6" w:rsidP="00A805DC">
      <w:pPr>
        <w:spacing w:line="360" w:lineRule="auto"/>
        <w:ind w:firstLine="420"/>
      </w:pPr>
      <w:r w:rsidRPr="00A805DC">
        <w:rPr>
          <w:rFonts w:hint="eastAsia"/>
        </w:rPr>
        <w:t>杨冬梅女士，工商管理硕士、经济学硕士，副总经理级高级管理人员。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现任易方达基金管理有限公司副总经理级高级管理人员、董事会秘书、宣传策划部总经理、全球投资客户部总经理，易方达资产管理（香港）有限公司董事。</w:t>
      </w:r>
    </w:p>
    <w:bookmarkEnd w:id="7"/>
    <w:bookmarkEnd w:id="8"/>
    <w:p w:rsidR="00A36CD2" w:rsidRPr="004A57FA" w:rsidRDefault="00A36CD2" w:rsidP="00A36A41">
      <w:pPr>
        <w:snapToGrid w:val="0"/>
        <w:spacing w:line="360" w:lineRule="auto"/>
        <w:ind w:firstLineChars="200" w:firstLine="420"/>
        <w:rPr>
          <w:rFonts w:asciiTheme="minorEastAsia" w:eastAsiaTheme="minorEastAsia" w:hAnsiTheme="minorEastAsia" w:cs="Courier New"/>
          <w:szCs w:val="21"/>
        </w:rPr>
      </w:pPr>
      <w:r w:rsidRPr="004A57FA">
        <w:rPr>
          <w:rFonts w:asciiTheme="minorEastAsia" w:eastAsiaTheme="minorEastAsia" w:hAnsiTheme="minorEastAsia" w:cs="Courier New"/>
          <w:szCs w:val="21"/>
        </w:rPr>
        <w:t>2、基金经理</w:t>
      </w:r>
    </w:p>
    <w:p w:rsidR="00EB73C1" w:rsidRDefault="001529C6">
      <w:pPr>
        <w:spacing w:line="360" w:lineRule="auto"/>
        <w:ind w:firstLine="420"/>
      </w:pPr>
      <w:r>
        <w:t>陈皓先生，管理学硕士，本基金的基金经理。曾任易方达基金管理有限公司行业研究员、基金经理助理、投资一部总经理助理、投资一部副总经理、投资经理、易方达价值精选混合型证券投资基金基金经理（自</w:t>
      </w:r>
      <w:r>
        <w:t>2014</w:t>
      </w:r>
      <w:r>
        <w:t>年</w:t>
      </w:r>
      <w:r>
        <w:t>11</w:t>
      </w:r>
      <w:r>
        <w:t>月</w:t>
      </w:r>
      <w:r>
        <w:t>22</w:t>
      </w:r>
      <w:r>
        <w:t>日至</w:t>
      </w:r>
      <w:r>
        <w:t>2017</w:t>
      </w:r>
      <w:r>
        <w:t>年</w:t>
      </w:r>
      <w:r>
        <w:t>5</w:t>
      </w:r>
      <w:r>
        <w:t>月</w:t>
      </w:r>
      <w:r>
        <w:t>10</w:t>
      </w:r>
      <w:r>
        <w:t>日）、易方达供给改革灵活配置混合型证券投资基金基金经理（自</w:t>
      </w:r>
      <w:r>
        <w:t>2017</w:t>
      </w:r>
      <w:r>
        <w:t>年</w:t>
      </w:r>
      <w:r>
        <w:t>1</w:t>
      </w:r>
      <w:r>
        <w:t>月</w:t>
      </w:r>
      <w:r>
        <w:t>25</w:t>
      </w:r>
      <w:r>
        <w:t>日至</w:t>
      </w:r>
      <w:r>
        <w:t>2018</w:t>
      </w:r>
      <w:r>
        <w:t>年</w:t>
      </w:r>
      <w:r>
        <w:t>12</w:t>
      </w:r>
      <w:r>
        <w:t>月</w:t>
      </w:r>
      <w:r>
        <w:t>24</w:t>
      </w:r>
      <w:r>
        <w:t>日）、易方达</w:t>
      </w:r>
      <w:r>
        <w:lastRenderedPageBreak/>
        <w:t>国防军工混合型证券投资基金基金经理（自</w:t>
      </w:r>
      <w:r>
        <w:t>2015</w:t>
      </w:r>
      <w:r>
        <w:t>年</w:t>
      </w:r>
      <w:r>
        <w:t>6</w:t>
      </w:r>
      <w:r>
        <w:t>月</w:t>
      </w:r>
      <w:r>
        <w:t>19</w:t>
      </w:r>
      <w:r>
        <w:t>日至</w:t>
      </w:r>
      <w:r>
        <w:t>2020</w:t>
      </w:r>
      <w:r>
        <w:t>年</w:t>
      </w:r>
      <w:r>
        <w:t>6</w:t>
      </w:r>
      <w:r>
        <w:t>月</w:t>
      </w:r>
      <w:r>
        <w:t>5</w:t>
      </w:r>
      <w:r>
        <w:t>日）、易方达科融混合型证券投资基金基金经理（自</w:t>
      </w:r>
      <w:r>
        <w:t>2019</w:t>
      </w:r>
      <w:r>
        <w:t>年</w:t>
      </w:r>
      <w:r>
        <w:t>3</w:t>
      </w:r>
      <w:r>
        <w:t>月</w:t>
      </w:r>
      <w:r>
        <w:t>26</w:t>
      </w:r>
      <w:r>
        <w:t>日至</w:t>
      </w:r>
      <w:r>
        <w:t>2020</w:t>
      </w:r>
      <w:r>
        <w:t>年</w:t>
      </w:r>
      <w:r>
        <w:t>7</w:t>
      </w:r>
      <w:r>
        <w:t>月</w:t>
      </w:r>
      <w:r>
        <w:t>31</w:t>
      </w:r>
      <w:r>
        <w:t>日）。现任易方达基金管理有限公司副总经理级高级管理人员、投资一部总经理、权益投资决策委员会委员、易方达平稳增长证券投资基金基金经理（自</w:t>
      </w:r>
      <w:r>
        <w:t>2012</w:t>
      </w:r>
      <w:r>
        <w:t>年</w:t>
      </w:r>
      <w:r>
        <w:t>9</w:t>
      </w:r>
      <w:r>
        <w:t>月</w:t>
      </w:r>
      <w:r>
        <w:t>28</w:t>
      </w:r>
      <w:r>
        <w:t>日起任职）、易方达科翔混合型证券投资基金基金经理（自</w:t>
      </w:r>
      <w:r>
        <w:t>2014</w:t>
      </w:r>
      <w:r>
        <w:t>年</w:t>
      </w:r>
      <w:r>
        <w:t>5</w:t>
      </w:r>
      <w:r>
        <w:t>月</w:t>
      </w:r>
      <w:r>
        <w:t>10</w:t>
      </w:r>
      <w:r>
        <w:t>日起任职）、易方达新经济灵活配置混合型证券投资基金基金经理（自</w:t>
      </w:r>
      <w:r>
        <w:t>2015</w:t>
      </w:r>
      <w:r>
        <w:t>年</w:t>
      </w:r>
      <w:r>
        <w:t>2</w:t>
      </w:r>
      <w:r>
        <w:t>月</w:t>
      </w:r>
      <w:r>
        <w:t>12</w:t>
      </w:r>
      <w:r>
        <w:t>日起任职）、易方达科讯混合型证券投资基金基金经理（自</w:t>
      </w:r>
      <w:r>
        <w:t>2018</w:t>
      </w:r>
      <w:r>
        <w:t>年</w:t>
      </w:r>
      <w:r>
        <w:t>12</w:t>
      </w:r>
      <w:r>
        <w:t>月</w:t>
      </w:r>
      <w:r>
        <w:t>11</w:t>
      </w:r>
      <w:r>
        <w:t>日起任职）、易方达均衡成长股票型证券投资基金基金经理（自</w:t>
      </w:r>
      <w:r>
        <w:t>2020</w:t>
      </w:r>
      <w:r>
        <w:t>年</w:t>
      </w:r>
      <w:r>
        <w:t>5</w:t>
      </w:r>
      <w:r>
        <w:t>月</w:t>
      </w:r>
      <w:r>
        <w:t>22</w:t>
      </w:r>
      <w:r>
        <w:t>日起任职）、易方达创新未来</w:t>
      </w:r>
      <w:r>
        <w:t>18</w:t>
      </w:r>
      <w:r>
        <w:t>个月封闭运作混合型证券投资基金基金经理（自</w:t>
      </w:r>
      <w:r>
        <w:t>2020</w:t>
      </w:r>
      <w:r>
        <w:t>年</w:t>
      </w:r>
      <w:r>
        <w:t>9</w:t>
      </w:r>
      <w:r>
        <w:t>月</w:t>
      </w:r>
      <w:r>
        <w:t>29</w:t>
      </w:r>
      <w:r>
        <w:t>日起任职）。</w:t>
      </w:r>
    </w:p>
    <w:p w:rsidR="00EB73C1" w:rsidRDefault="001529C6">
      <w:pPr>
        <w:spacing w:line="360" w:lineRule="auto"/>
        <w:ind w:firstLine="420"/>
      </w:pPr>
      <w:r>
        <w:t>本基金历任基金经理情况：刘芳洁，管理时间为</w:t>
      </w:r>
      <w:r>
        <w:t>2008</w:t>
      </w:r>
      <w:r>
        <w:t>年</w:t>
      </w:r>
      <w:r>
        <w:t>11</w:t>
      </w:r>
      <w:r>
        <w:t>月</w:t>
      </w:r>
      <w:r>
        <w:t>13</w:t>
      </w:r>
      <w:r>
        <w:t>日至</w:t>
      </w:r>
      <w:r>
        <w:t>2010</w:t>
      </w:r>
      <w:r>
        <w:t>年</w:t>
      </w:r>
      <w:r>
        <w:t>12</w:t>
      </w:r>
      <w:r>
        <w:t>月</w:t>
      </w:r>
      <w:r>
        <w:t>30</w:t>
      </w:r>
      <w:r>
        <w:t>日；付浩，管理时间为</w:t>
      </w:r>
      <w:r>
        <w:t>2011</w:t>
      </w:r>
      <w:r>
        <w:t>年</w:t>
      </w:r>
      <w:r>
        <w:t>1</w:t>
      </w:r>
      <w:r>
        <w:t>月</w:t>
      </w:r>
      <w:r>
        <w:t>1</w:t>
      </w:r>
      <w:r>
        <w:t>日至</w:t>
      </w:r>
      <w:r>
        <w:t>2014</w:t>
      </w:r>
      <w:r>
        <w:t>年</w:t>
      </w:r>
      <w:r>
        <w:t>5</w:t>
      </w:r>
      <w:r>
        <w:t>月</w:t>
      </w:r>
      <w:r>
        <w:t>9</w:t>
      </w:r>
      <w:r>
        <w:t>日。</w:t>
      </w:r>
    </w:p>
    <w:p w:rsidR="00EB73C1" w:rsidRDefault="001529C6">
      <w:pPr>
        <w:spacing w:line="360" w:lineRule="auto"/>
        <w:ind w:firstLine="420"/>
      </w:pPr>
      <w:r>
        <w:t>3</w:t>
      </w:r>
      <w:r>
        <w:t>、权益投资决策委员会成员</w:t>
      </w:r>
    </w:p>
    <w:p w:rsidR="00EB73C1" w:rsidRDefault="001529C6">
      <w:pPr>
        <w:spacing w:line="360" w:lineRule="auto"/>
        <w:ind w:firstLine="420"/>
      </w:pPr>
      <w:r>
        <w:t>本公司权益投资决策委员会成员包括：吴欣荣先生、冯波先生、陈皓先生、张坤先生、孙松先生、付浩先生。</w:t>
      </w:r>
    </w:p>
    <w:p w:rsidR="00EB73C1" w:rsidRDefault="001529C6">
      <w:pPr>
        <w:spacing w:line="360" w:lineRule="auto"/>
        <w:ind w:firstLine="420"/>
      </w:pPr>
      <w:r>
        <w:t>吴欣荣先生，同上。</w:t>
      </w:r>
    </w:p>
    <w:p w:rsidR="00EB73C1" w:rsidRDefault="001529C6">
      <w:pPr>
        <w:spacing w:line="360" w:lineRule="auto"/>
        <w:ind w:firstLine="420"/>
      </w:pPr>
      <w:r>
        <w:t>冯波先生，同上。</w:t>
      </w:r>
    </w:p>
    <w:p w:rsidR="00EB73C1" w:rsidRDefault="001529C6">
      <w:pPr>
        <w:spacing w:line="360" w:lineRule="auto"/>
        <w:ind w:firstLine="420"/>
      </w:pPr>
      <w:r>
        <w:t>陈皓先生，同上。</w:t>
      </w:r>
    </w:p>
    <w:p w:rsidR="00EB73C1" w:rsidRDefault="001529C6">
      <w:pPr>
        <w:spacing w:line="360" w:lineRule="auto"/>
        <w:ind w:firstLine="420"/>
      </w:pPr>
      <w:r>
        <w:t>张坤先生，同上。</w:t>
      </w:r>
    </w:p>
    <w:p w:rsidR="00EB73C1" w:rsidRDefault="001529C6">
      <w:pPr>
        <w:spacing w:line="360" w:lineRule="auto"/>
        <w:ind w:firstLine="420"/>
      </w:pPr>
      <w:r>
        <w:t>孙松先生，易方达基金管理有限公司投资二部总经理、基金经理。</w:t>
      </w:r>
    </w:p>
    <w:p w:rsidR="00EB73C1" w:rsidRDefault="001529C6">
      <w:pPr>
        <w:spacing w:line="360" w:lineRule="auto"/>
        <w:ind w:firstLine="420"/>
      </w:pPr>
      <w:r>
        <w:t>付浩先生，易方达基金管理有限公司权益投资管理部总经理、基金经理。</w:t>
      </w:r>
    </w:p>
    <w:p w:rsidR="00AF2EE6" w:rsidRPr="004A57FA" w:rsidRDefault="00DA6D89" w:rsidP="0075142E">
      <w:pPr>
        <w:pStyle w:val="CharCharCharCharCharCharChar"/>
        <w:numPr>
          <w:ilvl w:val="0"/>
          <w:numId w:val="0"/>
        </w:numPr>
        <w:snapToGrid w:val="0"/>
        <w:spacing w:after="0" w:line="360" w:lineRule="auto"/>
        <w:ind w:firstLine="420"/>
        <w:textAlignment w:val="baseline"/>
        <w:rPr>
          <w:rFonts w:asciiTheme="minorEastAsia" w:eastAsiaTheme="minorEastAsia" w:hAnsiTheme="minorEastAsia" w:cs="仿宋_GB2312"/>
          <w:bCs/>
          <w:kern w:val="0"/>
          <w:szCs w:val="24"/>
        </w:rPr>
      </w:pPr>
      <w:r w:rsidRPr="004A57FA">
        <w:rPr>
          <w:rFonts w:asciiTheme="minorEastAsia" w:eastAsiaTheme="minorEastAsia" w:hAnsiTheme="minorEastAsia" w:cs="仿宋_GB2312"/>
          <w:bCs/>
          <w:kern w:val="0"/>
          <w:sz w:val="21"/>
          <w:szCs w:val="24"/>
        </w:rPr>
        <w:t>4、</w:t>
      </w:r>
      <w:r w:rsidR="00AF2EE6" w:rsidRPr="004A57FA">
        <w:rPr>
          <w:rFonts w:asciiTheme="minorEastAsia" w:eastAsiaTheme="minorEastAsia" w:hAnsiTheme="minorEastAsia" w:cs="仿宋_GB2312" w:hint="eastAsia"/>
          <w:bCs/>
          <w:kern w:val="0"/>
          <w:sz w:val="21"/>
          <w:szCs w:val="24"/>
        </w:rPr>
        <w:t>上述人员之间均不存在近亲属关系。</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cs="仿宋_GB2312"/>
          <w:b w:val="0"/>
          <w:bCs/>
        </w:rPr>
      </w:pPr>
      <w:bookmarkStart w:id="11" w:name="_Toc133292565"/>
      <w:bookmarkStart w:id="12" w:name="_Toc163189522"/>
      <w:bookmarkStart w:id="13" w:name="_Toc81230975"/>
      <w:r w:rsidRPr="004A57FA">
        <w:rPr>
          <w:rFonts w:asciiTheme="minorEastAsia" w:eastAsiaTheme="minorEastAsia" w:hAnsiTheme="minorEastAsia" w:hint="eastAsia"/>
          <w:b w:val="0"/>
          <w:bCs/>
          <w:szCs w:val="21"/>
        </w:rPr>
        <w:t>（三）</w:t>
      </w:r>
      <w:r w:rsidRPr="004A57FA">
        <w:rPr>
          <w:rFonts w:asciiTheme="minorEastAsia" w:eastAsiaTheme="minorEastAsia" w:hAnsiTheme="minorEastAsia"/>
          <w:b w:val="0"/>
          <w:bCs/>
          <w:szCs w:val="21"/>
        </w:rPr>
        <w:t>基金管理人的职责</w:t>
      </w:r>
      <w:bookmarkEnd w:id="11"/>
      <w:bookmarkEnd w:id="12"/>
      <w:bookmarkEnd w:id="13"/>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1、</w:t>
      </w:r>
      <w:r w:rsidR="00831608" w:rsidRPr="004A57FA">
        <w:rPr>
          <w:rFonts w:asciiTheme="minorEastAsia" w:eastAsiaTheme="minorEastAsia" w:hAnsiTheme="minorEastAsia" w:hint="eastAsia"/>
          <w:kern w:val="0"/>
          <w:szCs w:val="20"/>
        </w:rPr>
        <w:t>依法募集资金，办理基金份额的发售和登记事宜；</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2、</w:t>
      </w:r>
      <w:r w:rsidR="00AF2EE6" w:rsidRPr="004A57FA">
        <w:rPr>
          <w:rFonts w:asciiTheme="minorEastAsia" w:eastAsiaTheme="minorEastAsia" w:hAnsiTheme="minorEastAsia"/>
          <w:kern w:val="0"/>
          <w:szCs w:val="20"/>
        </w:rPr>
        <w:t>办理基金备案手续；</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3、</w:t>
      </w:r>
      <w:r w:rsidR="00AF2EE6" w:rsidRPr="004A57FA">
        <w:rPr>
          <w:rFonts w:asciiTheme="minorEastAsia" w:eastAsiaTheme="minorEastAsia" w:hAnsiTheme="minorEastAsia"/>
          <w:kern w:val="0"/>
          <w:szCs w:val="20"/>
        </w:rPr>
        <w:t>对所管理的不同基金财产分别管理、分别记账，进行证券投资；</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4、</w:t>
      </w:r>
      <w:r w:rsidR="00AF2EE6" w:rsidRPr="004A57FA">
        <w:rPr>
          <w:rFonts w:asciiTheme="minorEastAsia" w:eastAsiaTheme="minorEastAsia" w:hAnsiTheme="minorEastAsia"/>
          <w:kern w:val="0"/>
          <w:szCs w:val="20"/>
        </w:rPr>
        <w:t>按照基金合同的约定确定基金收益分配方案，及时向基金份额持有人分配收益；</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5、</w:t>
      </w:r>
      <w:r w:rsidR="00AF2EE6" w:rsidRPr="004A57FA">
        <w:rPr>
          <w:rFonts w:asciiTheme="minorEastAsia" w:eastAsiaTheme="minorEastAsia" w:hAnsiTheme="minorEastAsia"/>
          <w:kern w:val="0"/>
          <w:szCs w:val="20"/>
        </w:rPr>
        <w:t>进行基金会计核算并编制基金财务会计报告；</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6、</w:t>
      </w:r>
      <w:r w:rsidR="00AF2EE6" w:rsidRPr="004A57FA">
        <w:rPr>
          <w:rFonts w:asciiTheme="minorEastAsia" w:eastAsiaTheme="minorEastAsia" w:hAnsiTheme="minorEastAsia"/>
          <w:kern w:val="0"/>
          <w:szCs w:val="20"/>
        </w:rPr>
        <w:t>编制</w:t>
      </w:r>
      <w:r w:rsidR="00F514B6" w:rsidRPr="004A57FA">
        <w:rPr>
          <w:rFonts w:asciiTheme="minorEastAsia" w:eastAsiaTheme="minorEastAsia" w:hAnsiTheme="minorEastAsia" w:hint="eastAsia"/>
        </w:rPr>
        <w:t>季度报告、中期报告和年度报告</w:t>
      </w:r>
      <w:r w:rsidR="00AF2EE6" w:rsidRPr="004A57FA">
        <w:rPr>
          <w:rFonts w:asciiTheme="minorEastAsia" w:eastAsiaTheme="minorEastAsia" w:hAnsiTheme="minorEastAsia"/>
          <w:kern w:val="0"/>
          <w:szCs w:val="20"/>
        </w:rPr>
        <w:t>；</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7、</w:t>
      </w:r>
      <w:r w:rsidR="00AF2EE6" w:rsidRPr="004A57FA">
        <w:rPr>
          <w:rFonts w:asciiTheme="minorEastAsia" w:eastAsiaTheme="minorEastAsia" w:hAnsiTheme="minorEastAsia"/>
          <w:kern w:val="0"/>
          <w:szCs w:val="20"/>
        </w:rPr>
        <w:t>计算并公告基金</w:t>
      </w:r>
      <w:r w:rsidR="00F514B6" w:rsidRPr="004A57FA">
        <w:rPr>
          <w:rFonts w:asciiTheme="minorEastAsia" w:eastAsiaTheme="minorEastAsia" w:hAnsiTheme="minorEastAsia" w:hint="eastAsia"/>
        </w:rPr>
        <w:t>净值信息</w:t>
      </w:r>
      <w:r w:rsidR="00AF2EE6" w:rsidRPr="004A57FA">
        <w:rPr>
          <w:rFonts w:asciiTheme="minorEastAsia" w:eastAsiaTheme="minorEastAsia" w:hAnsiTheme="minorEastAsia"/>
          <w:kern w:val="0"/>
          <w:szCs w:val="20"/>
        </w:rPr>
        <w:t>，确定基金份额申购、赎回价格；</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8、</w:t>
      </w:r>
      <w:r w:rsidR="00AF2EE6" w:rsidRPr="004A57FA">
        <w:rPr>
          <w:rFonts w:asciiTheme="minorEastAsia" w:eastAsiaTheme="minorEastAsia" w:hAnsiTheme="minorEastAsia"/>
          <w:kern w:val="0"/>
          <w:szCs w:val="20"/>
        </w:rPr>
        <w:t>办理与基金财产管理业务活动有关的信息披露事项；</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9、</w:t>
      </w:r>
      <w:r w:rsidR="00831608" w:rsidRPr="004A57FA">
        <w:rPr>
          <w:rFonts w:asciiTheme="minorEastAsia" w:eastAsiaTheme="minorEastAsia" w:hAnsiTheme="minorEastAsia" w:hint="eastAsia"/>
          <w:kern w:val="0"/>
          <w:szCs w:val="20"/>
        </w:rPr>
        <w:t>按照规定</w:t>
      </w:r>
      <w:r w:rsidR="00AF2EE6" w:rsidRPr="004A57FA">
        <w:rPr>
          <w:rFonts w:asciiTheme="minorEastAsia" w:eastAsiaTheme="minorEastAsia" w:hAnsiTheme="minorEastAsia"/>
          <w:kern w:val="0"/>
          <w:szCs w:val="20"/>
        </w:rPr>
        <w:t>召集基金份额持有人大会；</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lastRenderedPageBreak/>
        <w:t>10、</w:t>
      </w:r>
      <w:r w:rsidR="00AF2EE6" w:rsidRPr="004A57FA">
        <w:rPr>
          <w:rFonts w:asciiTheme="minorEastAsia" w:eastAsiaTheme="minorEastAsia" w:hAnsiTheme="minorEastAsia" w:hint="eastAsia"/>
          <w:kern w:val="0"/>
          <w:szCs w:val="20"/>
        </w:rPr>
        <w:t>保存基</w:t>
      </w:r>
      <w:r w:rsidR="00AF2EE6" w:rsidRPr="004A57FA">
        <w:rPr>
          <w:rFonts w:asciiTheme="minorEastAsia" w:eastAsiaTheme="minorEastAsia" w:hAnsiTheme="minorEastAsia"/>
          <w:kern w:val="0"/>
          <w:szCs w:val="20"/>
        </w:rPr>
        <w:t>金财产管理业务活动的记录、账册、报表和其他相关资料；</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11、</w:t>
      </w:r>
      <w:r w:rsidR="00AF2EE6" w:rsidRPr="004A57FA">
        <w:rPr>
          <w:rFonts w:asciiTheme="minorEastAsia" w:eastAsiaTheme="minorEastAsia" w:hAnsiTheme="minorEastAsia"/>
          <w:kern w:val="0"/>
          <w:szCs w:val="20"/>
        </w:rPr>
        <w:t>以基金管理人名义，代表基金份额持有人利益行使诉讼权利或者实施其他法律行为；</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12、</w:t>
      </w:r>
      <w:r w:rsidR="00AF2EE6" w:rsidRPr="004A57FA">
        <w:rPr>
          <w:rFonts w:asciiTheme="minorEastAsia" w:eastAsiaTheme="minorEastAsia" w:hAnsiTheme="minorEastAsia"/>
          <w:kern w:val="0"/>
          <w:szCs w:val="20"/>
        </w:rPr>
        <w:t>国务院证券监督管理机构规定的其他职责。</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1"/>
        </w:rPr>
      </w:pPr>
      <w:bookmarkStart w:id="14" w:name="_Toc133292566"/>
      <w:bookmarkStart w:id="15" w:name="_Toc163189523"/>
      <w:bookmarkStart w:id="16" w:name="_Toc81230976"/>
      <w:r w:rsidRPr="004A57FA">
        <w:rPr>
          <w:rFonts w:asciiTheme="minorEastAsia" w:eastAsiaTheme="minorEastAsia" w:hAnsiTheme="minorEastAsia" w:hint="eastAsia"/>
          <w:b w:val="0"/>
          <w:bCs/>
          <w:szCs w:val="21"/>
        </w:rPr>
        <w:t>（四）</w:t>
      </w:r>
      <w:r w:rsidRPr="004A57FA">
        <w:rPr>
          <w:rFonts w:asciiTheme="minorEastAsia" w:eastAsiaTheme="minorEastAsia" w:hAnsiTheme="minorEastAsia"/>
          <w:b w:val="0"/>
          <w:bCs/>
          <w:szCs w:val="21"/>
        </w:rPr>
        <w:t>基金管理人的承诺</w:t>
      </w:r>
      <w:bookmarkEnd w:id="14"/>
      <w:bookmarkEnd w:id="15"/>
      <w:bookmarkEnd w:id="16"/>
    </w:p>
    <w:p w:rsidR="00AF2EE6" w:rsidRPr="004A57FA" w:rsidRDefault="00AF2EE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kern w:val="0"/>
          <w:szCs w:val="20"/>
        </w:rPr>
        <w:t>1</w:t>
      </w:r>
      <w:r w:rsidR="00DB77B6" w:rsidRPr="004A57FA">
        <w:rPr>
          <w:rFonts w:asciiTheme="minorEastAsia" w:eastAsiaTheme="minorEastAsia" w:hAnsiTheme="minorEastAsia" w:hint="eastAsia"/>
          <w:kern w:val="0"/>
          <w:szCs w:val="20"/>
        </w:rPr>
        <w:t>、</w:t>
      </w:r>
      <w:r w:rsidRPr="004A57FA">
        <w:rPr>
          <w:rFonts w:asciiTheme="minorEastAsia" w:eastAsiaTheme="minorEastAsia" w:hAnsiTheme="minorEastAsia"/>
          <w:kern w:val="0"/>
          <w:szCs w:val="2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AF2EE6" w:rsidRPr="004A57FA" w:rsidRDefault="00AF2EE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kern w:val="0"/>
          <w:szCs w:val="20"/>
        </w:rPr>
        <w:t>2</w:t>
      </w:r>
      <w:r w:rsidR="00DB77B6" w:rsidRPr="004A57FA">
        <w:rPr>
          <w:rFonts w:asciiTheme="minorEastAsia" w:eastAsiaTheme="minorEastAsia" w:hAnsiTheme="minorEastAsia" w:hint="eastAsia"/>
          <w:kern w:val="0"/>
          <w:szCs w:val="20"/>
        </w:rPr>
        <w:t>、</w:t>
      </w:r>
      <w:r w:rsidRPr="004A57FA">
        <w:rPr>
          <w:rFonts w:asciiTheme="minorEastAsia" w:eastAsiaTheme="minorEastAsia" w:hAnsiTheme="minorEastAsia"/>
          <w:kern w:val="0"/>
          <w:szCs w:val="20"/>
        </w:rPr>
        <w:t>本</w:t>
      </w:r>
      <w:r w:rsidRPr="004A57FA">
        <w:rPr>
          <w:rFonts w:asciiTheme="minorEastAsia" w:eastAsiaTheme="minorEastAsia" w:hAnsiTheme="minorEastAsia" w:hint="eastAsia"/>
          <w:kern w:val="0"/>
          <w:szCs w:val="20"/>
        </w:rPr>
        <w:t>基金管理人承诺严格遵守《证券法》、《基金法》及有关法律法规，建立健全内部控</w:t>
      </w:r>
      <w:r w:rsidRPr="004A57FA">
        <w:rPr>
          <w:rFonts w:asciiTheme="minorEastAsia" w:eastAsiaTheme="minorEastAsia" w:hAnsiTheme="minorEastAsia"/>
          <w:kern w:val="0"/>
          <w:szCs w:val="20"/>
        </w:rPr>
        <w:t>制制度，采取有效措施，防止下列行为发生：</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（1）</w:t>
      </w:r>
      <w:r w:rsidR="00AF2EE6" w:rsidRPr="004A57FA">
        <w:rPr>
          <w:rFonts w:asciiTheme="minorEastAsia" w:eastAsiaTheme="minorEastAsia" w:hAnsiTheme="minorEastAsia"/>
          <w:kern w:val="0"/>
          <w:szCs w:val="20"/>
        </w:rPr>
        <w:t>将其固有财产或者他人财产混同于基金财产从事证券投资；</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（2）</w:t>
      </w:r>
      <w:r w:rsidR="00AF2EE6" w:rsidRPr="004A57FA">
        <w:rPr>
          <w:rFonts w:asciiTheme="minorEastAsia" w:eastAsiaTheme="minorEastAsia" w:hAnsiTheme="minorEastAsia"/>
          <w:kern w:val="0"/>
          <w:szCs w:val="20"/>
        </w:rPr>
        <w:t>不公平地对待其管理的不同基金财产；</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（3）</w:t>
      </w:r>
      <w:r w:rsidR="00AF2EE6" w:rsidRPr="004A57FA">
        <w:rPr>
          <w:rFonts w:asciiTheme="minorEastAsia" w:eastAsiaTheme="minorEastAsia" w:hAnsiTheme="minorEastAsia"/>
          <w:kern w:val="0"/>
          <w:szCs w:val="20"/>
        </w:rPr>
        <w:t>利用基金财产</w:t>
      </w:r>
      <w:r w:rsidR="00831608" w:rsidRPr="004A57FA">
        <w:rPr>
          <w:rFonts w:asciiTheme="minorEastAsia" w:eastAsiaTheme="minorEastAsia" w:hAnsiTheme="minorEastAsia" w:hint="eastAsia"/>
          <w:kern w:val="0"/>
          <w:szCs w:val="20"/>
        </w:rPr>
        <w:t>或者职务之便</w:t>
      </w:r>
      <w:r w:rsidR="00AF2EE6" w:rsidRPr="004A57FA">
        <w:rPr>
          <w:rFonts w:asciiTheme="minorEastAsia" w:eastAsiaTheme="minorEastAsia" w:hAnsiTheme="minorEastAsia"/>
          <w:kern w:val="0"/>
          <w:szCs w:val="20"/>
        </w:rPr>
        <w:t>为基金份额持有人以外的第三人谋取利益；</w:t>
      </w:r>
    </w:p>
    <w:p w:rsidR="00AF2EE6"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（4）</w:t>
      </w:r>
      <w:r w:rsidR="00AF2EE6" w:rsidRPr="004A57FA">
        <w:rPr>
          <w:rFonts w:asciiTheme="minorEastAsia" w:eastAsiaTheme="minorEastAsia" w:hAnsiTheme="minorEastAsia"/>
          <w:kern w:val="0"/>
          <w:szCs w:val="20"/>
        </w:rPr>
        <w:t>向基金份额持有人违规承诺收益或者承担损失；</w:t>
      </w:r>
    </w:p>
    <w:p w:rsidR="00831608"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（5）</w:t>
      </w:r>
      <w:r w:rsidR="00831608" w:rsidRPr="004A57FA">
        <w:rPr>
          <w:rFonts w:asciiTheme="minorEastAsia" w:eastAsiaTheme="minorEastAsia" w:hAnsiTheme="minorEastAsia" w:hint="eastAsia"/>
          <w:kern w:val="0"/>
          <w:szCs w:val="20"/>
        </w:rPr>
        <w:t>侵占、挪用基金财产；</w:t>
      </w:r>
    </w:p>
    <w:p w:rsidR="00831608"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（6）</w:t>
      </w:r>
      <w:r w:rsidR="00831608" w:rsidRPr="004A57FA">
        <w:rPr>
          <w:rFonts w:asciiTheme="minorEastAsia" w:eastAsiaTheme="minorEastAsia" w:hAnsiTheme="minorEastAsia" w:hint="eastAsia"/>
          <w:kern w:val="0"/>
          <w:szCs w:val="20"/>
        </w:rPr>
        <w:t>泄露因职务便利获取的未公开信息、利用该信息从事或者明示、暗示他人从事相关的交易活动；</w:t>
      </w:r>
    </w:p>
    <w:p w:rsidR="00831608"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（7）</w:t>
      </w:r>
      <w:r w:rsidR="00831608" w:rsidRPr="004A57FA">
        <w:rPr>
          <w:rFonts w:asciiTheme="minorEastAsia" w:eastAsiaTheme="minorEastAsia" w:hAnsiTheme="minorEastAsia" w:hint="eastAsia"/>
          <w:kern w:val="0"/>
          <w:szCs w:val="20"/>
        </w:rPr>
        <w:t>玩忽职守，不按照规定履行职责；</w:t>
      </w:r>
    </w:p>
    <w:p w:rsidR="00831608" w:rsidRPr="004A57FA" w:rsidRDefault="00DB77B6" w:rsidP="00C530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4A57FA">
        <w:rPr>
          <w:rFonts w:asciiTheme="minorEastAsia" w:eastAsiaTheme="minorEastAsia" w:hAnsiTheme="minorEastAsia" w:hint="eastAsia"/>
          <w:kern w:val="0"/>
          <w:szCs w:val="20"/>
        </w:rPr>
        <w:t>（8）</w:t>
      </w:r>
      <w:r w:rsidR="00831608" w:rsidRPr="004A57FA">
        <w:rPr>
          <w:rFonts w:asciiTheme="minorEastAsia" w:eastAsiaTheme="minorEastAsia" w:hAnsiTheme="minorEastAsia" w:hint="eastAsia"/>
          <w:kern w:val="0"/>
          <w:szCs w:val="20"/>
        </w:rPr>
        <w:t>法律、行政法规和中国证监会规定禁止的其他行为。</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3</w:t>
      </w:r>
      <w:r w:rsidR="00DB77B6" w:rsidRPr="004A57FA">
        <w:rPr>
          <w:rFonts w:asciiTheme="minorEastAsia" w:eastAsiaTheme="minorEastAsia" w:hAnsiTheme="minorEastAsia" w:hint="eastAsia"/>
          <w:kern w:val="0"/>
          <w:szCs w:val="21"/>
        </w:rPr>
        <w:t>、</w:t>
      </w:r>
      <w:r w:rsidRPr="004A57FA">
        <w:rPr>
          <w:rFonts w:asciiTheme="minorEastAsia" w:eastAsiaTheme="minorEastAsia" w:hAnsiTheme="minorEastAsia"/>
          <w:kern w:val="0"/>
          <w:szCs w:val="21"/>
        </w:rPr>
        <w:t>本基金管理人承诺加强人员管理，强化职业操守，督促和约束员工遵守国家有关法律、法规及行业规范，诚实信用、勤勉尽责，不从事以下活动：</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（1）越权或违规经营；</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（2）违反基金合同或托管协议；</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（3）故意损害基金份额持有人或其他基金相关机构的合法利益；</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（4）在向中国证监会报送的资料中弄虚作假；</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（5）拒绝、干扰、阻挠或严重影响中国证监会依法监管；</w:t>
      </w:r>
    </w:p>
    <w:p w:rsidR="00AF2EE6" w:rsidRPr="004A57FA" w:rsidRDefault="00AF2EE6" w:rsidP="00C53017">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（6）玩忽职守、滥用职权；</w:t>
      </w:r>
    </w:p>
    <w:p w:rsidR="00AF2EE6" w:rsidRPr="004A57FA" w:rsidRDefault="00AF2EE6" w:rsidP="00C53017">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（8）违反证券交易场所业务规则，利用对敲、倒仓等手段操纵市场价格，扰乱市场秩序；</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（9）贬损同行，以抬高自己；</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（10）以不正当手段谋求业务发展；</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（11）有悖社会公德，损害证券投资基金人员形象；</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lastRenderedPageBreak/>
        <w:t>（12）在公开信息披露和广告中故意含有虚假、误导、欺诈成分；</w:t>
      </w:r>
    </w:p>
    <w:p w:rsidR="00AF2EE6" w:rsidRPr="004A57FA" w:rsidRDefault="00AF2EE6" w:rsidP="00C53017">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（13）其他法律、行政法规以及中国证监会禁止的行为。</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4</w:t>
      </w:r>
      <w:r w:rsidR="00DB77B6" w:rsidRPr="004A57FA">
        <w:rPr>
          <w:rFonts w:asciiTheme="minorEastAsia" w:eastAsiaTheme="minorEastAsia" w:hAnsiTheme="minorEastAsia" w:hint="eastAsia"/>
          <w:kern w:val="0"/>
          <w:szCs w:val="21"/>
        </w:rPr>
        <w:t>、</w:t>
      </w:r>
      <w:r w:rsidRPr="004A57FA">
        <w:rPr>
          <w:rFonts w:asciiTheme="minorEastAsia" w:eastAsiaTheme="minorEastAsia" w:hAnsiTheme="minorEastAsia"/>
          <w:kern w:val="0"/>
          <w:szCs w:val="21"/>
        </w:rPr>
        <w:t>基金经理承诺</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（1）依照有关法律、法规和基金合同的规定，本着谨慎的原则为基金份额持有人谋取最大利益；</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A57FA">
        <w:rPr>
          <w:rFonts w:asciiTheme="minorEastAsia" w:eastAsiaTheme="minorEastAsia" w:hAnsiTheme="minorEastAsia"/>
          <w:kern w:val="0"/>
          <w:szCs w:val="21"/>
        </w:rPr>
        <w:t>（2）不利用职务之便为自己及其代理人、受雇人或任何第三人谋取利益；</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A57FA">
        <w:rPr>
          <w:rFonts w:asciiTheme="minorEastAsia" w:eastAsiaTheme="minorEastAsia" w:hAnsiTheme="minorEastAsia"/>
          <w:kern w:val="0"/>
        </w:rPr>
        <w:t>（3）不</w:t>
      </w:r>
      <w:r w:rsidRPr="004A57FA">
        <w:rPr>
          <w:rFonts w:asciiTheme="minorEastAsia" w:eastAsiaTheme="minorEastAsia" w:hAnsiTheme="minorEastAsia"/>
          <w:kern w:val="0"/>
          <w:szCs w:val="21"/>
        </w:rPr>
        <w:t>违反现行有效的有关法律、法规、规章、基金合同和中国证监会的有关规定，</w:t>
      </w:r>
      <w:r w:rsidRPr="004A57FA">
        <w:rPr>
          <w:rFonts w:asciiTheme="minorEastAsia" w:eastAsiaTheme="minorEastAsia" w:hAnsiTheme="minorEastAsia"/>
          <w:kern w:val="0"/>
        </w:rPr>
        <w:t>泄漏在任职期间知悉的有关证券、基金的商业秘密、尚未依法公开的基金投资内容、基金投资计划等信息；</w:t>
      </w:r>
    </w:p>
    <w:p w:rsidR="00AF2EE6" w:rsidRPr="004A57FA" w:rsidRDefault="00AF2EE6" w:rsidP="00C53017">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A57FA">
        <w:rPr>
          <w:rFonts w:asciiTheme="minorEastAsia" w:eastAsiaTheme="minorEastAsia" w:hAnsiTheme="minorEastAsia"/>
          <w:kern w:val="0"/>
        </w:rPr>
        <w:t>（4）不从事损害基金财产和基金份额持有人利益的证券交易及其他活动。</w:t>
      </w:r>
    </w:p>
    <w:p w:rsidR="00AF2EE6" w:rsidRPr="004A57FA" w:rsidRDefault="00AF2EE6" w:rsidP="00C53017">
      <w:pPr>
        <w:pStyle w:val="20"/>
        <w:snapToGrid w:val="0"/>
        <w:spacing w:beforeLines="0" w:afterLines="0" w:line="360" w:lineRule="auto"/>
        <w:ind w:firstLineChars="0" w:firstLine="0"/>
        <w:rPr>
          <w:rStyle w:val="da"/>
          <w:rFonts w:asciiTheme="minorEastAsia" w:eastAsiaTheme="minorEastAsia" w:hAnsiTheme="minorEastAsia"/>
          <w:b w:val="0"/>
          <w:sz w:val="21"/>
        </w:rPr>
      </w:pPr>
      <w:bookmarkStart w:id="17" w:name="_Toc133292567"/>
      <w:bookmarkStart w:id="18" w:name="_Toc163189524"/>
      <w:bookmarkStart w:id="19" w:name="_Toc81230977"/>
      <w:r w:rsidRPr="004A57FA">
        <w:rPr>
          <w:rFonts w:asciiTheme="minorEastAsia" w:eastAsiaTheme="minorEastAsia" w:hAnsiTheme="minorEastAsia" w:hint="eastAsia"/>
          <w:b w:val="0"/>
          <w:bCs/>
          <w:szCs w:val="21"/>
        </w:rPr>
        <w:t>（五）</w:t>
      </w:r>
      <w:r w:rsidRPr="004A57FA">
        <w:rPr>
          <w:rFonts w:asciiTheme="minorEastAsia" w:eastAsiaTheme="minorEastAsia" w:hAnsiTheme="minorEastAsia"/>
          <w:b w:val="0"/>
          <w:bCs/>
          <w:szCs w:val="21"/>
        </w:rPr>
        <w:t>基金管理人的内部控制制度</w:t>
      </w:r>
      <w:bookmarkEnd w:id="17"/>
      <w:bookmarkEnd w:id="18"/>
      <w:bookmarkEnd w:id="19"/>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为保证公司规范化运作，有效地防范和化解经营风险，促进公司诚信、合法、有效经营，保障基金份额持有人利益，维护公司及公司股东的合法权益，本基金管理人建立了科学、严密、高效的内部控制体系。</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1、公司内部控制的总体目标</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（1）保证公司经营管理活动的合法合规性；</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（2）保证各类基金份额持有人及委托人的合法权益不受侵犯；</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（3）防范和化解经营风险，提高经营管理效率，确保业务稳健经营运行和受托资产安全完整，实现公司的持续、健康发展，促进公司实现发展战略；</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（4）督促公司全体员工恪守职业操守，正直诚信，廉洁自律，勤勉尽责；</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（5）维护公司的声誉，保持公司的良好形象。</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2、公司内部控制遵循的原则</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（1）健全性原则。内部控制应当包括公司的各项业务、各个部门或机构和各级人员,并涵盖到决策、执行、监督、反馈等各个环节。</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（2）有效性原则。通过科学的内控手段和方法，建立合理的内控程序，维护内控制度的有效执行。</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（3）独立性原则。公司机构、部门和岗位职责应当保持相对独立，除非法律法规另有规定，公司基金资产、自有资产、其他资产的运作应当分离。</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（4）相互制约原则。公司内部部门和岗位的设置应当体现权责分明、相互制衡。</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（5）成本效益原则。公司运用科学化的经营管理方法降低运作成本，提高经济效益，力争以合理的控制成本达到最佳的内部控制效果。</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3、内部控制的制度体系</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公司制定了合理、完备、有效并易于执行的制度体系。公司制度体系由不同层面的制度构成。按照其效力大小分为四个层面：第一个层面是公司章程；第二个层面是公司内部控制</w:t>
      </w:r>
      <w:r w:rsidRPr="00C73E7C">
        <w:rPr>
          <w:rFonts w:asciiTheme="minorEastAsia" w:eastAsiaTheme="minorEastAsia" w:hAnsiTheme="minorEastAsia" w:hint="eastAsia"/>
          <w:kern w:val="0"/>
        </w:rPr>
        <w:lastRenderedPageBreak/>
        <w:t>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4、关于授权、研究、投资、交易等方面的控制点</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（1）授权制度</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（2）公司研究业务</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（3）基金投资业务</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（4）交易业务</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（5）基金会计核算</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lastRenderedPageBreak/>
        <w:t>（6）信息披露</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公司建立了完备的信息披露制度，指定了信息披露负责人，并建立了相应的制度流程规范相关信息的收集、组织、审核和发布，努力确保公开披露的信息真实、准确、完整、及时。</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（7）监察与合规管理</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公司设立监察合规管理部门，并保障其独立性。监察合规管理部门按照公司规定和督察长的安排履行监察与合规管理职责。</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监察合规管理部门通过定期或不定期检查内部控制制度的执行情况，督促公司和旗下基金的管理运作规范进行。</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公司董事会和管理层充分重视和支持监察与合规管理工作，对违反法律、法规和公司内部控制制度的，追究有关部门和人员的责任。</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5、基金管理人关于内部控制制度声明书</w:t>
      </w:r>
    </w:p>
    <w:p w:rsidR="00C73E7C"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（1）本公司承诺以上关于内部控制制度的披露真实、准确；</w:t>
      </w:r>
    </w:p>
    <w:p w:rsidR="00AF2EE6" w:rsidRPr="00C73E7C" w:rsidRDefault="00C73E7C" w:rsidP="00C73E7C">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C73E7C">
        <w:rPr>
          <w:rFonts w:asciiTheme="minorEastAsia" w:eastAsiaTheme="minorEastAsia" w:hAnsiTheme="minorEastAsia" w:hint="eastAsia"/>
          <w:kern w:val="0"/>
        </w:rPr>
        <w:t>（2）本公司承诺根据市场变化和公司业务发展不断完善内部控制制度。</w:t>
      </w:r>
    </w:p>
    <w:p w:rsidR="00385845" w:rsidRPr="004A57FA" w:rsidRDefault="00385845" w:rsidP="00C53017">
      <w:pPr>
        <w:widowControl/>
        <w:spacing w:line="360" w:lineRule="auto"/>
        <w:jc w:val="left"/>
        <w:rPr>
          <w:rFonts w:asciiTheme="minorEastAsia" w:eastAsiaTheme="minorEastAsia" w:hAnsiTheme="minorEastAsia"/>
        </w:rPr>
      </w:pPr>
      <w:r w:rsidRPr="004A57FA">
        <w:rPr>
          <w:rFonts w:asciiTheme="minorEastAsia" w:eastAsiaTheme="minorEastAsia" w:hAnsiTheme="minorEastAsia"/>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0" w:name="_Toc81230978"/>
      <w:r w:rsidRPr="004A57FA">
        <w:rPr>
          <w:rFonts w:asciiTheme="minorEastAsia" w:eastAsiaTheme="minorEastAsia" w:hAnsiTheme="minorEastAsia" w:hint="eastAsia"/>
          <w:b/>
          <w:bCs/>
        </w:rPr>
        <w:lastRenderedPageBreak/>
        <w:t>四、基金托管人</w:t>
      </w:r>
      <w:bookmarkEnd w:id="20"/>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 xml:space="preserve">（一）基金托管人基本情况 </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名称：中国工商银行股份有限公司</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注册地址：北京市西城区复兴门内大街55号</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成立时间：</w:t>
      </w:r>
      <w:r w:rsidRPr="00076156">
        <w:rPr>
          <w:rFonts w:asciiTheme="minorEastAsia" w:eastAsiaTheme="minorEastAsia" w:hAnsiTheme="minorEastAsia"/>
          <w:kern w:val="0"/>
        </w:rPr>
        <w:t>198</w:t>
      </w:r>
      <w:r w:rsidRPr="00076156">
        <w:rPr>
          <w:rFonts w:asciiTheme="minorEastAsia" w:eastAsiaTheme="minorEastAsia" w:hAnsiTheme="minorEastAsia" w:hint="eastAsia"/>
          <w:kern w:val="0"/>
        </w:rPr>
        <w:t>4</w:t>
      </w:r>
      <w:r w:rsidRPr="00076156">
        <w:rPr>
          <w:rFonts w:asciiTheme="minorEastAsia" w:eastAsiaTheme="minorEastAsia" w:hAnsiTheme="minorEastAsia"/>
          <w:kern w:val="0"/>
        </w:rPr>
        <w:t>年</w:t>
      </w:r>
      <w:r w:rsidRPr="00076156">
        <w:rPr>
          <w:rFonts w:asciiTheme="minorEastAsia" w:eastAsiaTheme="minorEastAsia" w:hAnsiTheme="minorEastAsia" w:hint="eastAsia"/>
          <w:kern w:val="0"/>
        </w:rPr>
        <w:t>1</w:t>
      </w:r>
      <w:r w:rsidRPr="00076156">
        <w:rPr>
          <w:rFonts w:asciiTheme="minorEastAsia" w:eastAsiaTheme="minorEastAsia" w:hAnsiTheme="minorEastAsia"/>
          <w:kern w:val="0"/>
        </w:rPr>
        <w:t>月</w:t>
      </w:r>
      <w:r w:rsidRPr="00076156">
        <w:rPr>
          <w:rFonts w:asciiTheme="minorEastAsia" w:eastAsiaTheme="minorEastAsia" w:hAnsiTheme="minorEastAsia" w:hint="eastAsia"/>
          <w:kern w:val="0"/>
        </w:rPr>
        <w:t>1</w:t>
      </w:r>
      <w:r w:rsidRPr="00076156">
        <w:rPr>
          <w:rFonts w:asciiTheme="minorEastAsia" w:eastAsiaTheme="minorEastAsia" w:hAnsiTheme="minorEastAsia"/>
          <w:kern w:val="0"/>
        </w:rPr>
        <w:t>日</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法定代表人：陈四清</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注册资本：人民币35,640,625.7089万元</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联系电话：010-66105799</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联系人：郭明</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（二）主要人员情况</w:t>
      </w:r>
    </w:p>
    <w:p w:rsidR="00D83048" w:rsidRPr="00076156" w:rsidRDefault="00A805DC"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A805DC">
        <w:rPr>
          <w:rFonts w:asciiTheme="minorEastAsia" w:eastAsiaTheme="minorEastAsia" w:hAnsiTheme="minorEastAsia" w:hint="eastAsia"/>
          <w:kern w:val="0"/>
        </w:rPr>
        <w:t>截至2021年6月，中国工商银行资产托管部共有员工214人，平均年龄34岁，95%以上员工拥有大学本科以上学历，高管人员均拥有研究生以上学历或高级技术职称</w:t>
      </w:r>
      <w:r w:rsidR="00D61F4E" w:rsidRPr="00076156">
        <w:rPr>
          <w:rFonts w:asciiTheme="minorEastAsia" w:eastAsiaTheme="minorEastAsia" w:hAnsiTheme="minorEastAsia" w:hint="eastAsia"/>
          <w:kern w:val="0"/>
        </w:rPr>
        <w:t>。</w:t>
      </w:r>
    </w:p>
    <w:p w:rsidR="00D83048"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（三）基金托管业务经营情况</w:t>
      </w:r>
    </w:p>
    <w:p w:rsidR="00AD0AAE" w:rsidRPr="00076156" w:rsidRDefault="00A805DC"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A805DC">
        <w:rPr>
          <w:rFonts w:asciiTheme="minorEastAsia" w:eastAsiaTheme="minorEastAsia" w:hAnsiTheme="minorEastAsia" w:hint="eastAsia"/>
          <w:kern w:val="0"/>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r w:rsidR="00D61F4E" w:rsidRPr="00076156">
        <w:rPr>
          <w:rFonts w:asciiTheme="minorEastAsia" w:eastAsiaTheme="minorEastAsia" w:hAnsiTheme="minorEastAsia"/>
          <w:kern w:val="0"/>
        </w:rPr>
        <w:t>。</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（四）基金托管人的内部控制制度</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织内部控制</w:t>
      </w:r>
      <w:r w:rsidRPr="00076156">
        <w:rPr>
          <w:rFonts w:asciiTheme="minorEastAsia" w:eastAsiaTheme="minorEastAsia" w:hAnsiTheme="minorEastAsia" w:hint="eastAsia"/>
          <w:kern w:val="0"/>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1、内部风险控制目标</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2、内部风险控制组织结构</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3、内部风险控制原则</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（1）合法性原则。内控制度应当符合国家法律法规及监管机构的监管要求，并贯穿于托管业务经营管理活动的始终。</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（2）完整性原则。托管业务的各项经营管理活动都必须有相应的规范程序和监督制约；监督制约应渗透到托管业务的全过程和各个操作环节，覆盖所有的部门、岗位和人员。</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（3）及时性原则。托管业务经营活动必须在发生时能准确及时地记录；按照“内控优先”的原则，新设机构或新增业务品种时，必须做到已建立相关的规章制度。</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（4）审慎性原则。各项业务经营活动必须防范风险，审慎经营，保证基金资产和其他委托资产的安全与完整。</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（5）有效性原则。内控制度应根据国家政策、法律及经营管理的需要适时修改完善，并保证得到全面落实执行，不得有任何空间、时限及人员的例外。</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（6）独立性原则。设立专门履行托管人职责的管理部门；直接操作人员和控制人员必须相对独立，适当分离；内控制度的检查、评价部门必须独立于内控制度的制定和执行部门。</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4、内部风险控制措施实施</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（4）经营控制。资产托管部通过制定计划、编制预算等方法开展各种业务营销活动、处理各项事务，从而有效地控制和配置组织资源，达到资源利用和效益最大化目的。</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5）内部风险管理。资产托管部通过稽核监察、风险评估等方式加强内部风险管理，定期或不定期地对业务运作状况进行检查、监控，指导业务部门进行风险识别、评估，制定并实施风险控制措施，排查风险隐患。</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（6）数据安全控制。我们通过业务操作区相对独立、数据和传真加密、数据传输线路的冗余备份、监控设施的运用和保障等措施来保障数据安全。</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5、资产托管部内部风险控制情况</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（1）资产托管部内部设置专职稽核监察部门，配备专职稽核监察人员，在总经理的直接领导下，依照有关法律规章，全面贯彻落实全程监控思想，确保资产托管业务健康、稳定地发展。</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（4）内部风险控制始终是托管部工作重点之一，保持与业务发展同等地位。资产托管业务是商业银行新兴的中间业务，资产托管部从成立之日起就特别强调规范运作，一直将建</w:t>
      </w:r>
      <w:r w:rsidRPr="00076156">
        <w:rPr>
          <w:rFonts w:asciiTheme="minorEastAsia" w:eastAsiaTheme="minorEastAsia" w:hAnsiTheme="minorEastAsia" w:hint="eastAsia"/>
          <w:kern w:val="0"/>
        </w:rPr>
        <w:lastRenderedPageBreak/>
        <w:t>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（五）基金托管人对基金管理人运作基金进行监督的方法和程序</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D3B26" w:rsidRPr="00076156" w:rsidRDefault="00D61F4E" w:rsidP="00076156">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076156">
        <w:rPr>
          <w:rFonts w:asciiTheme="minorEastAsia" w:eastAsiaTheme="minorEastAsia" w:hAnsiTheme="minorEastAsia" w:hint="eastAsia"/>
          <w:kern w:val="0"/>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D3B26" w:rsidRPr="004D3B26" w:rsidRDefault="00D61F4E" w:rsidP="00076156">
      <w:pPr>
        <w:autoSpaceDE w:val="0"/>
        <w:autoSpaceDN w:val="0"/>
        <w:adjustRightInd w:val="0"/>
        <w:snapToGrid w:val="0"/>
        <w:spacing w:line="360" w:lineRule="auto"/>
        <w:ind w:firstLineChars="200" w:firstLine="420"/>
        <w:jc w:val="left"/>
        <w:rPr>
          <w:rFonts w:ascii="宋体" w:hAnsi="宋体"/>
          <w:spacing w:val="6"/>
        </w:rPr>
      </w:pPr>
      <w:r w:rsidRPr="00076156">
        <w:rPr>
          <w:rFonts w:asciiTheme="minorEastAsia" w:eastAsiaTheme="minorEastAsia" w:hAnsiTheme="minorEastAsia" w:hint="eastAsia"/>
          <w:kern w:val="0"/>
        </w:rPr>
        <w:t>基金托管人发现基金管理人有重大违规行为，应立即报告中国证监会，同时通知基金管理人限期纠正。</w:t>
      </w:r>
      <w:r w:rsidRPr="004D3B26">
        <w:rPr>
          <w:rFonts w:ascii="宋体" w:hAnsi="宋体" w:hint="eastAsia"/>
          <w:spacing w:val="6"/>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1" w:name="_Toc81230979"/>
      <w:r w:rsidRPr="004A57FA">
        <w:rPr>
          <w:rFonts w:asciiTheme="minorEastAsia" w:eastAsiaTheme="minorEastAsia" w:hAnsiTheme="minorEastAsia" w:hint="eastAsia"/>
          <w:b/>
          <w:bCs/>
        </w:rPr>
        <w:lastRenderedPageBreak/>
        <w:t>五、相关服务机构</w:t>
      </w:r>
      <w:bookmarkEnd w:id="21"/>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22" w:name="_Toc81230980"/>
      <w:r w:rsidRPr="004A57FA">
        <w:rPr>
          <w:rFonts w:asciiTheme="minorEastAsia" w:eastAsiaTheme="minorEastAsia" w:hAnsiTheme="minorEastAsia" w:hint="eastAsia"/>
          <w:b w:val="0"/>
          <w:bCs/>
          <w:szCs w:val="21"/>
        </w:rPr>
        <w:t>（一）基金份额销售机构</w:t>
      </w:r>
      <w:bookmarkEnd w:id="22"/>
    </w:p>
    <w:p w:rsidR="00CD6575" w:rsidRPr="004A57FA" w:rsidRDefault="00385845" w:rsidP="00C53017">
      <w:pPr>
        <w:snapToGrid w:val="0"/>
        <w:spacing w:line="360" w:lineRule="auto"/>
        <w:ind w:firstLineChars="200" w:firstLine="422"/>
        <w:rPr>
          <w:rFonts w:asciiTheme="minorEastAsia" w:eastAsiaTheme="minorEastAsia" w:hAnsiTheme="minorEastAsia"/>
          <w:b/>
          <w:szCs w:val="21"/>
        </w:rPr>
      </w:pPr>
      <w:r w:rsidRPr="004A57FA">
        <w:rPr>
          <w:rFonts w:asciiTheme="minorEastAsia" w:eastAsiaTheme="minorEastAsia" w:hAnsiTheme="minorEastAsia" w:hint="eastAsia"/>
          <w:b/>
          <w:szCs w:val="21"/>
        </w:rPr>
        <w:t>1、</w:t>
      </w:r>
      <w:r w:rsidR="00AF2EE6" w:rsidRPr="004A57FA">
        <w:rPr>
          <w:rFonts w:asciiTheme="minorEastAsia" w:eastAsiaTheme="minorEastAsia" w:hAnsiTheme="minorEastAsia" w:hint="eastAsia"/>
          <w:b/>
          <w:szCs w:val="21"/>
        </w:rPr>
        <w:t>直销机构：</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易方达基金管理有限公司</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注册地址：</w:t>
      </w:r>
      <w:r w:rsidR="0042062A" w:rsidRPr="004A57FA">
        <w:rPr>
          <w:rFonts w:asciiTheme="minorEastAsia" w:eastAsiaTheme="minorEastAsia" w:hAnsiTheme="minorEastAsia" w:hint="eastAsia"/>
          <w:szCs w:val="21"/>
        </w:rPr>
        <w:t>广东省珠海市横琴新区宝华路6号105室－42891（集中办公区）</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办公地址：</w:t>
      </w:r>
      <w:r w:rsidR="00BD5CA5" w:rsidRPr="004A57FA">
        <w:rPr>
          <w:rFonts w:asciiTheme="minorEastAsia" w:eastAsiaTheme="minorEastAsia" w:hAnsiTheme="minorEastAsia" w:hint="eastAsia"/>
          <w:szCs w:val="21"/>
        </w:rPr>
        <w:t>广州市天河区珠江新城珠江东路30号广州银行大厦40-43</w:t>
      </w:r>
      <w:r w:rsidR="00350121" w:rsidRPr="004A57FA">
        <w:rPr>
          <w:rFonts w:asciiTheme="minorEastAsia" w:eastAsiaTheme="minorEastAsia" w:hAnsiTheme="minorEastAsia" w:hint="eastAsia"/>
          <w:szCs w:val="21"/>
        </w:rPr>
        <w:t>楼</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法定代表人：</w:t>
      </w:r>
      <w:r w:rsidR="00781699" w:rsidRPr="004A57FA">
        <w:rPr>
          <w:rFonts w:asciiTheme="minorEastAsia" w:eastAsiaTheme="minorEastAsia" w:hAnsiTheme="minorEastAsia" w:hint="eastAsia"/>
          <w:szCs w:val="21"/>
        </w:rPr>
        <w:t>刘晓艳</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电话：</w:t>
      </w:r>
      <w:r w:rsidRPr="004A57FA">
        <w:rPr>
          <w:rFonts w:asciiTheme="minorEastAsia" w:eastAsiaTheme="minorEastAsia" w:hAnsiTheme="minorEastAsia"/>
          <w:szCs w:val="21"/>
        </w:rPr>
        <w:t>020</w:t>
      </w:r>
      <w:r w:rsidRPr="004A57FA">
        <w:rPr>
          <w:rFonts w:asciiTheme="minorEastAsia" w:eastAsiaTheme="minorEastAsia" w:hAnsiTheme="minorEastAsia" w:hint="eastAsia"/>
          <w:szCs w:val="21"/>
        </w:rPr>
        <w:t>-85102506</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传真：4008818099</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t>联系人：梁美</w:t>
      </w:r>
    </w:p>
    <w:p w:rsidR="00AF2EE6" w:rsidRPr="004A57FA" w:rsidRDefault="00AF2EE6" w:rsidP="00C53017">
      <w:pPr>
        <w:tabs>
          <w:tab w:val="num" w:pos="840"/>
        </w:tabs>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网址：www.efunds.com.cn</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直销机构网点信息：</w:t>
      </w:r>
    </w:p>
    <w:p w:rsidR="00AF2EE6" w:rsidRPr="004A57FA" w:rsidRDefault="00AF2EE6" w:rsidP="00C53017">
      <w:pPr>
        <w:widowControl/>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（1）易方达基金管理有限公司广州直销中心</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办公地址：</w:t>
      </w:r>
      <w:r w:rsidR="00BD5CA5" w:rsidRPr="004A57FA">
        <w:rPr>
          <w:rFonts w:asciiTheme="minorEastAsia" w:eastAsiaTheme="minorEastAsia" w:hAnsiTheme="minorEastAsia" w:hint="eastAsia"/>
          <w:szCs w:val="21"/>
        </w:rPr>
        <w:t>广州市天河区珠江新城珠江东路30号广州银行大厦</w:t>
      </w:r>
      <w:smartTag w:uri="urn:schemas-microsoft-com:office:smarttags" w:element="chmetcnv">
        <w:smartTagPr>
          <w:attr w:name="TCSC" w:val="0"/>
          <w:attr w:name="NumberType" w:val="1"/>
          <w:attr w:name="Negative" w:val="False"/>
          <w:attr w:name="HasSpace" w:val="False"/>
          <w:attr w:name="SourceValue" w:val="40"/>
          <w:attr w:name="UnitName" w:val="F"/>
        </w:smartTagPr>
        <w:r w:rsidR="00BD5CA5" w:rsidRPr="004A57FA">
          <w:rPr>
            <w:rFonts w:asciiTheme="minorEastAsia" w:eastAsiaTheme="minorEastAsia" w:hAnsiTheme="minorEastAsia" w:hint="eastAsia"/>
            <w:szCs w:val="21"/>
          </w:rPr>
          <w:t>40F</w:t>
        </w:r>
      </w:smartTag>
    </w:p>
    <w:p w:rsidR="00AF2EE6" w:rsidRPr="004A57FA" w:rsidRDefault="00AF2EE6" w:rsidP="00C53017">
      <w:pPr>
        <w:snapToGrid w:val="0"/>
        <w:spacing w:line="360" w:lineRule="auto"/>
        <w:ind w:left="420"/>
        <w:rPr>
          <w:rFonts w:asciiTheme="minorEastAsia" w:eastAsiaTheme="minorEastAsia" w:hAnsiTheme="minorEastAsia"/>
          <w:szCs w:val="21"/>
        </w:rPr>
      </w:pPr>
      <w:r w:rsidRPr="004A57FA">
        <w:rPr>
          <w:rFonts w:asciiTheme="minorEastAsia" w:eastAsiaTheme="minorEastAsia" w:hAnsiTheme="minorEastAsia" w:hint="eastAsia"/>
          <w:szCs w:val="21"/>
        </w:rPr>
        <w:t>电话：020-85102506</w:t>
      </w:r>
    </w:p>
    <w:p w:rsidR="00AF2EE6" w:rsidRPr="004A57FA" w:rsidRDefault="00AF2EE6" w:rsidP="00C53017">
      <w:pPr>
        <w:snapToGrid w:val="0"/>
        <w:spacing w:line="360" w:lineRule="auto"/>
        <w:ind w:left="420"/>
        <w:rPr>
          <w:rFonts w:asciiTheme="minorEastAsia" w:eastAsiaTheme="minorEastAsia" w:hAnsiTheme="minorEastAsia"/>
          <w:szCs w:val="21"/>
        </w:rPr>
      </w:pPr>
      <w:r w:rsidRPr="004A57FA">
        <w:rPr>
          <w:rFonts w:asciiTheme="minorEastAsia" w:eastAsiaTheme="minorEastAsia" w:hAnsiTheme="minorEastAsia" w:hint="eastAsia"/>
          <w:szCs w:val="21"/>
        </w:rPr>
        <w:t>传真：4008818099</w:t>
      </w:r>
    </w:p>
    <w:p w:rsidR="00AF2EE6" w:rsidRPr="004A57FA" w:rsidRDefault="00AF2EE6" w:rsidP="00C53017">
      <w:pPr>
        <w:snapToGrid w:val="0"/>
        <w:spacing w:line="360" w:lineRule="auto"/>
        <w:ind w:left="420"/>
        <w:rPr>
          <w:rFonts w:asciiTheme="minorEastAsia" w:eastAsiaTheme="minorEastAsia" w:hAnsiTheme="minorEastAsia"/>
          <w:szCs w:val="21"/>
        </w:rPr>
      </w:pPr>
      <w:r>
        <w:t>联系人：梁美</w:t>
      </w:r>
    </w:p>
    <w:p w:rsidR="00AF2EE6" w:rsidRPr="004A57FA" w:rsidRDefault="00AF2EE6" w:rsidP="00C53017">
      <w:pPr>
        <w:widowControl/>
        <w:snapToGrid w:val="0"/>
        <w:spacing w:line="360" w:lineRule="auto"/>
        <w:ind w:left="420"/>
        <w:rPr>
          <w:rFonts w:asciiTheme="minorEastAsia" w:eastAsiaTheme="minorEastAsia" w:hAnsiTheme="minorEastAsia"/>
          <w:szCs w:val="21"/>
        </w:rPr>
      </w:pPr>
      <w:r w:rsidRPr="004A57FA">
        <w:rPr>
          <w:rFonts w:asciiTheme="minorEastAsia" w:eastAsiaTheme="minorEastAsia" w:hAnsiTheme="minorEastAsia" w:hint="eastAsia"/>
          <w:szCs w:val="21"/>
        </w:rPr>
        <w:t>（2）易方达基金管理有限公司北京直销中心</w:t>
      </w:r>
    </w:p>
    <w:p w:rsidR="00AF2EE6" w:rsidRPr="004A57FA" w:rsidRDefault="00AF2EE6" w:rsidP="00C53017">
      <w:pPr>
        <w:snapToGrid w:val="0"/>
        <w:spacing w:line="360" w:lineRule="auto"/>
        <w:ind w:left="420"/>
        <w:rPr>
          <w:rFonts w:asciiTheme="minorEastAsia" w:eastAsiaTheme="minorEastAsia" w:hAnsiTheme="minorEastAsia"/>
          <w:szCs w:val="21"/>
        </w:rPr>
      </w:pPr>
      <w:r w:rsidRPr="004A57FA">
        <w:rPr>
          <w:rFonts w:asciiTheme="minorEastAsia" w:eastAsiaTheme="minorEastAsia" w:hAnsiTheme="minorEastAsia" w:hint="eastAsia"/>
          <w:szCs w:val="21"/>
        </w:rPr>
        <w:t>办公地址：</w:t>
      </w:r>
      <w:r w:rsidR="00CD1A2D" w:rsidRPr="004A57FA">
        <w:rPr>
          <w:rFonts w:asciiTheme="minorEastAsia" w:eastAsiaTheme="minorEastAsia" w:hAnsiTheme="minorEastAsia" w:cs="宋体" w:hint="eastAsia"/>
          <w:kern w:val="0"/>
          <w:szCs w:val="21"/>
        </w:rPr>
        <w:t>北京市西城区武定侯街2号泰康国际大厦18层</w:t>
      </w:r>
    </w:p>
    <w:p w:rsidR="00AF2EE6" w:rsidRPr="004A57FA" w:rsidRDefault="00AF2EE6" w:rsidP="00C53017">
      <w:pPr>
        <w:snapToGrid w:val="0"/>
        <w:spacing w:line="360" w:lineRule="auto"/>
        <w:ind w:left="420"/>
        <w:rPr>
          <w:rFonts w:asciiTheme="minorEastAsia" w:eastAsiaTheme="minorEastAsia" w:hAnsiTheme="minorEastAsia"/>
          <w:szCs w:val="21"/>
        </w:rPr>
      </w:pPr>
      <w:r w:rsidRPr="004A57FA">
        <w:rPr>
          <w:rFonts w:asciiTheme="minorEastAsia" w:eastAsiaTheme="minorEastAsia" w:hAnsiTheme="minorEastAsia" w:hint="eastAsia"/>
          <w:szCs w:val="21"/>
        </w:rPr>
        <w:t>电话：</w:t>
      </w:r>
      <w:r w:rsidRPr="004A57FA">
        <w:rPr>
          <w:rFonts w:asciiTheme="minorEastAsia" w:eastAsiaTheme="minorEastAsia" w:hAnsiTheme="minorEastAsia"/>
          <w:szCs w:val="21"/>
        </w:rPr>
        <w:t>010-63213377</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传真：4008818099</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联系人：</w:t>
      </w:r>
      <w:r w:rsidR="00E01EED" w:rsidRPr="004A57FA">
        <w:rPr>
          <w:rFonts w:asciiTheme="minorEastAsia" w:eastAsiaTheme="minorEastAsia" w:hAnsiTheme="minorEastAsia" w:hint="eastAsia"/>
          <w:szCs w:val="21"/>
        </w:rPr>
        <w:t>刘蕾</w:t>
      </w:r>
    </w:p>
    <w:p w:rsidR="00AF2EE6" w:rsidRPr="004A57FA" w:rsidRDefault="00AF2EE6" w:rsidP="00C53017">
      <w:pPr>
        <w:widowControl/>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（3）易方达基金管理有限公司上海直销中心</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办公地址：</w:t>
      </w:r>
      <w:r w:rsidR="004A4A56" w:rsidRPr="004A57FA">
        <w:rPr>
          <w:rFonts w:asciiTheme="minorEastAsia" w:eastAsiaTheme="minorEastAsia" w:hAnsiTheme="minorEastAsia" w:hint="eastAsia"/>
          <w:kern w:val="0"/>
        </w:rPr>
        <w:t>上海市浦东新区世纪大道</w:t>
      </w:r>
      <w:r w:rsidR="004A4A56" w:rsidRPr="004A57FA">
        <w:rPr>
          <w:rFonts w:asciiTheme="minorEastAsia" w:eastAsiaTheme="minorEastAsia" w:hAnsiTheme="minorEastAsia"/>
          <w:kern w:val="0"/>
        </w:rPr>
        <w:t>88</w:t>
      </w:r>
      <w:r w:rsidR="004A4A56" w:rsidRPr="004A57FA">
        <w:rPr>
          <w:rFonts w:asciiTheme="minorEastAsia" w:eastAsiaTheme="minorEastAsia" w:hAnsiTheme="minorEastAsia" w:hint="eastAsia"/>
          <w:kern w:val="0"/>
        </w:rPr>
        <w:t>号金茂大厦</w:t>
      </w:r>
      <w:r w:rsidR="004A4A56" w:rsidRPr="004A57FA">
        <w:rPr>
          <w:rFonts w:asciiTheme="minorEastAsia" w:eastAsiaTheme="minorEastAsia" w:hAnsiTheme="minorEastAsia"/>
          <w:kern w:val="0"/>
        </w:rPr>
        <w:t>46</w:t>
      </w:r>
      <w:r w:rsidR="004A4A56" w:rsidRPr="004A57FA">
        <w:rPr>
          <w:rFonts w:asciiTheme="minorEastAsia" w:eastAsiaTheme="minorEastAsia" w:hAnsiTheme="minorEastAsia" w:hint="eastAsia"/>
          <w:kern w:val="0"/>
        </w:rPr>
        <w:t>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电话：021-50476668</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传真：4008818099</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联系人：</w:t>
      </w:r>
      <w:r w:rsidR="006179C1" w:rsidRPr="004A57FA">
        <w:rPr>
          <w:rFonts w:asciiTheme="minorEastAsia" w:eastAsiaTheme="minorEastAsia" w:hAnsiTheme="minorEastAsia" w:hint="eastAsia"/>
          <w:szCs w:val="21"/>
        </w:rPr>
        <w:t>王程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(4）易方达基金管理有限公司网上交易系统</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网址：www.efunds.com.cn</w:t>
      </w:r>
    </w:p>
    <w:p w:rsidR="009F6BCB" w:rsidRPr="004A57FA" w:rsidRDefault="00385845" w:rsidP="00C53017">
      <w:pPr>
        <w:snapToGrid w:val="0"/>
        <w:spacing w:line="360" w:lineRule="auto"/>
        <w:ind w:firstLineChars="200" w:firstLine="422"/>
        <w:rPr>
          <w:rFonts w:asciiTheme="minorEastAsia" w:eastAsiaTheme="minorEastAsia" w:hAnsiTheme="minorEastAsia"/>
          <w:szCs w:val="21"/>
        </w:rPr>
      </w:pPr>
      <w:r w:rsidRPr="004A57FA">
        <w:rPr>
          <w:rFonts w:asciiTheme="minorEastAsia" w:eastAsiaTheme="minorEastAsia" w:hAnsiTheme="minorEastAsia" w:hint="eastAsia"/>
          <w:b/>
          <w:szCs w:val="21"/>
        </w:rPr>
        <w:t>2、</w:t>
      </w:r>
      <w:r w:rsidR="00E07CF1" w:rsidRPr="004A57FA">
        <w:rPr>
          <w:rFonts w:asciiTheme="minorEastAsia" w:eastAsiaTheme="minorEastAsia" w:hAnsiTheme="minorEastAsia" w:hint="eastAsia"/>
          <w:b/>
          <w:szCs w:val="21"/>
        </w:rPr>
        <w:t>非直销销售</w:t>
      </w:r>
      <w:r w:rsidR="00AF2EE6" w:rsidRPr="004A57FA">
        <w:rPr>
          <w:rFonts w:asciiTheme="minorEastAsia" w:eastAsiaTheme="minorEastAsia" w:hAnsiTheme="minorEastAsia" w:hint="eastAsia"/>
          <w:b/>
          <w:szCs w:val="21"/>
        </w:rPr>
        <w:t>机构</w:t>
      </w:r>
      <w:r w:rsidR="00AF2EE6" w:rsidRPr="004A57FA">
        <w:rPr>
          <w:rFonts w:asciiTheme="minorEastAsia" w:eastAsiaTheme="minorEastAsia" w:hAnsiTheme="minorEastAsia" w:hint="eastAsia"/>
          <w:szCs w:val="21"/>
        </w:rPr>
        <w:t>（以下排序不分先后）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(1)中国工商银行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注册地址:北京西城区复兴门内大街55号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办公地址:北京西城区复兴门内大街55号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法定代表人:陈四清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网址:www.icbc.com.cn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(2)渤海银行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注册地址:天津市河东区海河东路218号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办公地址:天津市河东区海河东路218号渤海银行大厦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法定代表人:李伏安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联系电话:022-58316666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客户服务电话:95541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传真:022-58316569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网址:www.cbhb.com.cn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(3)广发银行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注册地址:广东省广州市越秀区东风东路713号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办公地址:广东省广州市越秀区东风东路713号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客户服务电话:400-830-8003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网址:www.cgbchina.com.cn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(4)恒丰银行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注册地址:济南市历下区泺源大街8号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办公地址:山东省烟台市莱山区港城东大街289号南山世纪大厦A座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联系人:李胜贤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联系电话:021-63890179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传真:021-63890196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网址:www.hfbank.com.cn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(5)华夏银行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注册地址:北京市东城区建国门内大街22号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办公地址:北京市东城区建国门内大街22号华夏银行大厦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法定代表人:李民吉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联系人:刘湘波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网址:www.hxb.com.cn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(6)交通银行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注册地址:中国（上海）自由贸易试验区银城中路188号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办公地址:中国（上海）自由贸易试验区银城中路188号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法定代表人:任德奇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联系人:高天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联系电话:021-58781234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客户服务电话:95559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网址:www.bankcomm.com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(7)平安银行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注册地址:广东省深圳市罗湖区深南东路5047号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办公地址:广东省深圳市罗湖区深南东路5047号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法定代表人:谢永林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联系人:赵杨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联系电话:0755-22166574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客户服务电话:95511-3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传真:021-50979507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网址:bank.pingan.com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(8)浦发银行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注册地址:上海市中山东一路12号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办公地址:上海市中山东一路12号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法定代表人:郑杨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联系人:赵守良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联系电话:021-61618888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传真:021-63604196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网址:www.spdb.com.cn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(9)兴业银行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注册地址:福州市湖东路154号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办公地址:上海市银城路167号兴业银行大厦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法定代表人:吕家进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联系人:孙琪虹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网址:www.cib.com.cn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(10)招商银行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注册地址:深圳市福田区深南大道7088号招商银行大厦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办公地址:深圳市福田区深南大道7088号招商银行大厦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法定代表人:缪建民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联系人:季平伟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网址:www.cmbchina.com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(11)浙商银行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注册地址:浙江省杭州市萧山区鸿宁路1788号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办公地址:浙江杭州市庆春路288号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法定代表人:沈仁康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联系人:沈崟杰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联系电话:0571- 88261822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传真:0571-87659954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网址:www.czbank.com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(12)中国建设银行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注册地址:北京市西城区金融大街25号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办公地址:北京市西城区闹市口大街1号院1号楼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法定代表人:田国立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联系人:王未雨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(13)中国民生银行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注册地址:北京市西城区复兴门内大街2号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办公地址:北京市西城区复兴门内大街2号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法定代表人:高迎欣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联系人:徐野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网址:www.cmbc.com.cn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(14)中国农业银行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注册地址:北京市东城区建国门内大街69号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办公地址:北京市东城区建国门内大街69号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法定代表人:谷澍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联系人:李紫钰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传真:010-85109219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网址:www.abchina.com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(15)中国银行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注册地址:北京市西城区复兴门内大街1号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办公地址:北京市西城区复兴门内大街1号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法定代表人:刘连舸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网址:www.boc.cn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(16)中国邮政储蓄银行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办公地址:北京市西城区金融大街3号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法定代表人:张金良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联系人:王硕</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传真:010-68858057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网址:www.psbc.com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(17)中信银行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注册地址:北京市朝阳区光华路10号院1号楼6-30层、32-42层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办公地址:北京市朝阳区光华路10号院1号楼6-30层、32-42层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法定代表人:李庆萍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联系人:王晓琳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客户服务电话:95558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传真:010-85230049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网址:bank.ecitic.com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(18)长安银行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注册地址:西安市高新技术产业开发区高新四路13号1幢1单元10101室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办公地址:西安市高新技术产业开发区高新四路13号朗臣大厦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法定代表人:张全明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联系人:闫石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客户服务电话:400-05-96669；（029）96669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传真:029-88609566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网址:http://www.ccabchina.com/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(19)长城华西银行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注册地址:德阳市旌阳区蒙山街14号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办公地址:四川省德阳市旌阳区蒙山街14号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法定代表人:谭运财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联系人:王丽鹃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联系电话:028-61963271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客户服务电话:028-96836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传真:0838-2371812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网址:www.gwbank.com.cn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(20)长沙银行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注册地址:长沙市岳麓区滨江路53号楷林商务中心B座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办公地址:长沙市岳麓区滨江路长沙银行大厦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法定代表人:朱玉国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联系人:龙秀芳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联系电话:0731-89736250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客户服务电话:0731-96511（湖南省内）、40067-96511（全国）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网址:www.bankofchangsha.com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(21)大连银行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注册地址:大连市中山区中山路88号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办公地址:大连市中山区中山路88号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法定代表人:彭寿斌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联系人:卜书慧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联系电话:0411-82311936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客户服务电话:400-664-0099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网址:www.bankofdl.com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(22)德州银行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注册地址:山东省德州市三八东路1266号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办公地址:山东省德州市三八东路1266号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法定代表人:牛洪春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联系人:王方震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联系电话:0534-2297326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客户服务电话:400-01-96588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网址:www.dzbchina.com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(23)东莞银行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注册地址:东莞市莞城区体育路21号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办公地址:东莞市莞城区体育路21号东莞银行大厦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法定代表人:卢国锋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联系人:朱杰霞</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联系电话:0769-27239605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网址:www.dongguanbank.cn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(24)福建海峡银行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注册地址:福建省福州市台江区江滨中大道358号海峡银行大厦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办公地址:福建省福州市台江区江滨中大道358号福建海峡银行8楼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法定代表人:俞敏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联系人:黄晶</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联系电话:0591-87385069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客户服务电话:400-893-9999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传真:0591-87330926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网址:www.fjhxbank.com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(25)富滇银行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注册地址:云南省昆明市拓东路41号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办公地址:云南省昆明市拓东路41号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法定代表人:洪维智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联系人:杨翊琳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联系电话:0871-63140324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客户服务电话:400-88-96533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传真:0871-63122311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网址:http://www.fudian-bank.com/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(26)广东华兴银行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注册地址:广东省汕头市龙湖区黄山路28号四层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办公地址:广州市天河区天河路533号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法定代表人:周泽荣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联系人:许悦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联系电话:020-38173552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客户服务电话:95091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传真:020-38173857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网址:www.ghbank.com.cn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(27)广东南粤银行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注册地址:湛江经济技术开发区乐山路27号财富汇金融中心1层01、02号商铺、2层01号商铺、3层01号商铺、39-45层办公室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办公地址:湛江经济技术开发区乐山路27号财富汇金融中心1层01、02号商铺、2层01号商铺、3层01号商铺、39-45层办公室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法定代表人:蒋丹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联系电话:020-28308757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客户服务电话:4000-961818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网址:www.gdnybank.com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(28)广州银行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注册地址:广州市天河区珠江东路30号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办公地址:广州市天河区珠江东路30号广州银行大厦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法定代表人:丘斌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联系人:唐荟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客户服务电话:96699（广东）400-83-96699（全国）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网址:www.gzcb.com.cn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(29)贵阳银行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注册地址:贵州省贵阳市观山湖区长岭北路中天？会展城B区金融商务区东区1-6栋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办公地址:贵州省贵阳市观山湖区长岭北路中天？会展城B区金融商务区东区1-6栋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法定代表人:张正海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联系人:弋利佳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联系电话:0851-86857571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客户服务电话:40011-96033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传真:0851-86740523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网址:http://www.96033.cn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(30)哈尔滨银行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注册地址:哈尔滨市道里区尚志大街160号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办公地址:哈尔滨市道里区上江街888号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法定代表人:邓新权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联系人:贾琳娜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联系电话:0451-86779669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传真:0451-87792682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网址:www.hrbb.com.cn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(31)汉口银行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注册地址:武汉市江汉区建设大道933号武汉商业银行大厦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办公地址:武汉市江汉区建设大道933号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法定代表人:陈新民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联系人:周田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联系电话:027-82656785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客户服务电话:4006096558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传真:027-82656213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网址:http://www.hkbchina.com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(32)杭州银行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注册地址:浙江省杭州市下城区庆春路46号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办公地址:杭州市下城区庆春路46号杭州银行大厦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法定代表人:陈震山</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联系人:蒋梦君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联系电话:0571-85120718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客户服务电话:95398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传真:0571-85106576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网址:www.hzbank.com.cn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(33)河北银行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注册地址:石家庄市平安北大街28号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办公地址:石家庄市平安北大街28号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法定代表人:梅爱斌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联系电话:0311-88627587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客户服务电话:400-612-9999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传真:0311-67806407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网址:www.hebbank.com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(34)华融湘江银行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注册地址:长沙市天心区芙蓉南路一段828号杰座大厦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办公地址:湖南省长沙市湘府东路二段208号万境财智中心南栋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法定代表人:黄卫忠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联系人:闾娇蓉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联系电话:0731-89828182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客户服务电话:0731-96599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传真:0731-89828806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网址:www.hrxjbank.com.cn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(35)吉林银行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注册地址:吉林省长春市经济技术开发区东南湖大路1817号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办公地址:吉林省长春市经济技术开发区东南湖大路1817号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法定代表人:陈宇龙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联系电话:0431-84999627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传真:0431-84992649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网址:www.jlbank.com.cn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(36)嘉兴银行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注册地址:浙江省嘉兴市昌盛南路1001号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办公地址:浙江省嘉兴市昌盛南路1001号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联系人:任正东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联系电话:0573-82080201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客户服务电话:0573-96528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网址:http://www.bojx.com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(37)江苏银行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注册地址:南京市中华路26号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办公地址:南京市中华路26号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法定代表人:夏平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联系人:展海军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联系电话:025-58587039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传真:025-58587820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网址:www.jsbchina.cn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(38)江西银行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注册地址:江西省南昌市红谷滩新区金融大街699号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办公地址:江西省南昌市红谷滩新区金融大街699号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法定代表人:陈晓明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联系人:陈云波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联系电话:0791-86796029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传真:0791-86790795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网址:www.jx-bank.com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(39)金华银行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注册地址:浙江省金华市丹溪路1388号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办公地址:浙江省金华市丹溪路1388号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法定代表人:裘豪</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联系人:陈霞、王智慧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联系电话:0579-82178271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客户服务电话:400-711-6668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传真:0579-82178321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网址:www.jhccb.com.cn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(40)锦州银行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注册地址:辽宁省锦州市科技路68号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办公地址:辽宁省锦州市科技路68号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法定代表人:魏学坤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联系人:庞璐璐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客户服务电话:400-66-96178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网址:www.jinzhoubank.com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(41)兰州银行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注册地址:甘肃省兰州市城关区酒泉路211号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办公地址:甘肃省兰州市城关区酒泉路211号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法定代表人:许建平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联系人:杜珊珊、景亚楠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联系电话:0931-4600528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客户服务电话:400-88-96799（全国）、96799（甘肃省内）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网址:https://www.lzbank.com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(42)龙江银行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注册地址:黑龙江省哈尔滨市道里区友谊路436号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办公地址:黑龙江省哈尔滨市道里区友谊路436号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法定代表人:张建辉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联系人:闫勇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联系电话:0451-85706107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客户服务电话:400-645-8888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传真:0451-85706036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网址:http://www.lj-bank.com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(43)洛阳银行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注册地址:洛阳市洛阳新区开元大道与通济街交叉口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办公地址:河南省洛阳市开元大道256号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法定代表人:王建甫</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联系人:郭文博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联系电话:0379-65921977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客户服务电话:0379-96699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传真:0379-65938595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网址:www.bankofluoyang.com.cn/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(44)南京银行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注册地址:南京市玄武区中山路288号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办公地址:南京市玄武区中山路288号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法定代表人:胡升荣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联系人:赵世光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网址:www.njcb.com.cn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(45)宁波银行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注册地址:浙江省宁波市鄞州区宁东路345号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办公地址:浙江省宁波市鄞州区宁东路345号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法定代表人:陆华裕</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联系人:陈佳瑜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网址:www.nbcb.com.cn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(46)齐商银行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注册地址:淄博市张店区中心路105号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办公地址:山东省淄博市张店区金晶大道105号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法定代表人:李大鹏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联系人:焦浦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联系电话:0533-2178888-9907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客户服务电话:400-86-96588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传真:0533-2180303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网址:www.qsbank.cc</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(47)青岛银行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注册地址:山东省青岛市崂山区秦岭路6号3号楼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办公地址:山东省青岛市崂山区秦岭路6号3号楼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法定代表人:郭少泉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联系人:陈界交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联系电话:0532-68629956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客户服务电话:96588（青岛）400-66-96588（全国）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网址:http://www.qdccb.com/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(48)青海银行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注册地址:青海省西宁市城西区西关大街130号2号楼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办公地址:青海省西宁市城西区西关大街130号2号楼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法定代表人:李锦军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联系人:柴森燕</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联系电话:0971-8117880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客户服务电话:0971-96399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传真:0971-6111792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网址:www.bankqh.com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(49)泉州银行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注册地址:泉州市丰泽区泉泰路266号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办公地址:泉州市丰泽区泉泰路266号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法定代表人:傅子能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联系人:董培姗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联系电话:0595-22551071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客户服务电话:400-88-96312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传真:0595-22578871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网址:http://www.qzccbank.com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(50)日照银行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注册地址:山东省日照市烟台路197号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办公地址:山东省日照市烟台路197号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联系人:邱丽萍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联系电话:0633-8081619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客户服务电话:400-68-96588（全国） 、0633-96588（日照）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传真:0633-8081276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网址:http://www.bankofrizhao.com.cn/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(51)上海银行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注册地址:中国（上海）自由贸易试验区银城中路168号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办公地址:上海市浦东新区银城中路168号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法定代表人:金煜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联系电话:021-68475732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客户服务电话:95594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网址:http://www.bosc.cn/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(52)四川天府银行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注册地址:四川省南充市顺庆区滨江中路一段97号26栋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办公地址:四川省成都市锦江区东大街下东大街258号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法定代表人:邢敏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联系人:卢菁菁</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联系电话:028-67676031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客户服务电话:400-16-96869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网址:www.tf.cn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(53)苏州银行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注册地址:江苏省苏州市工业园区钟园路728号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办公地址:江苏省苏州市工业园区钟园路728号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法定代表人:王兰凤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联系人:吴骏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联系电话:0512-69868373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客户服务电话:96067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传真:0512-69868373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网址:www.suzhoubank.com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(54)天津银行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注册地址:天津市河西区友谊路15号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办公地址:天津市河西区友谊路15号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法定代表人:李宗唐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联系电话:022-28405684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客户服务电话:956056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传真:022-28405631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网址:www.bank-of-tianjin.com.cn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(55)威海市商业银行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注册地址:威海市宝泉路9号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办公地址:威海市宝泉路9号财政大厦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法定代表人:谭先国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联系人:冯十卉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联系电话:0531-68978175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客户服务电话:山东省内96636、中国境内40000-96636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传真:0531-68978176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网址:www.whccb.com，www.whccb.com.cn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(56)潍坊银行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注册地址:山东省潍坊市奎文区胜利东街5139号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办公地址:山东省潍坊市奎文区胜利东街5139号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法定代表人:郭虎英</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联系人:井靖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联系电话:0536-8051904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客户服务电话:400-61-96588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传真:0536-8056061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网址:www.wfccb.com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(57)西安银行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注册地址:西安市高新路60号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办公地址:西安市高新路60号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法定代表人:郭军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联系人:白智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联系电话:029-88992881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客户服务电话:40086-96779（全国）、96779（陕西）</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网址:www.xacbank.com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(58)厦门国际银行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注册地址:厦门市思明区鹭江道8-10号国际银行大厦1-6层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办公地址:厦门市思明区鹭江道8-10号国际银行大厦1-6层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法定代表人:王晓健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联系人:王文彦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联系电话:0592-2078888-6878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客户服务电话:4001623623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网址:https://www.xib.com.cn/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(59)厦门银行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注册地址:厦门市思明区湖滨北路101号商业银行大厦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办公地址:厦门市思明区湖滨北路101号商业银行大厦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法定代表人:吴世群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联系电话:0592-5310251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客户服务电话:400-858-8888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传真:0592-5373973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网址:www.xmbankonline.com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(60)烟台银行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注册地址:山东省烟台市芝罘区海港路25号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办公地址:山东省烟台市芝罘区海港路25号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法定代表人:吴明理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联系人:张卓智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联系电话:0535-6699671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客户服务电话:4008-311-777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传真:0535-6699884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网址:www.yantaibank.net</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(61)云南红塔银行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注册地址:云南省玉溪市东风南路2号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办公地址:云南省昆明市盘龙区世博路低碳中心A座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法定代表人:李光林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联系人:马杰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联系电话:0871-65236624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客户服务电话:0877-96522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网址:www.ynhtbank.com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(62)浙江稠州商业银行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注册地址:浙江省义乌市江滨路义乌乐园东侧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办公地址:杭州市上城区望潮路158号稠银大厦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法定代表人:金子军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联系人:谢圆圆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联系电话:0571-87117661/13777805250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客户服务电话:0571-96527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传真:0571—87117607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网址:http://www.czcb.com.cn/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(63)浙江泰隆商业银行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注册地址:浙江省台州市路桥区南官大道188号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办公地址:浙江省台州市路桥区南官大道188号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联系人:陈妍宇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联系电话:0571-87219677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客户服务电话:95347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网址:www.zjtlcb.com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(64)中原银行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注册地址:河南省郑州市郑东新区CBD商务外环路23号中科金座大厦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办公地址:河南省郑州市郑东新区CBD商务外环路23号中科金座大厦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法定代表人:窦荣兴</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联系人:田力源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联系电话:0371-61910219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客户服务电话:95186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网址:www.zybank.com.cn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(65)重庆银行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注册地址:重庆市江北区永平门街6号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办公地址:重庆市江北区永平门街6号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联系人:李俊锋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联系电话:023-63367180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客户服务电话:96899，4007096899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网址:www.cqcbank.com.cn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(66)珠海华润银行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注册地址:广东省珠海市吉大九洲大道东1346号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办公地址:广东省珠海市吉大九洲大道东1346号珠海华润银行大厦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法定代表人:李福利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联系电话:4008800338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客户服务电话:96588（广东省外请加拨0756），400-8800-338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网址:www.crbank.com.cn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(67)北京农商银行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注册地址:北京市西城区月坛南街1号院2号楼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办公地址:北京市西城区月坛南街1号院2号楼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法定代表人:王金山</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联系人:鲁娟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联系电话:010-89198762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客户服务电话:010-96198，4008896198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网址:www.bjrcb.com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(68)长春农商银行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注册地址:吉林省长春市二道区自由大路5755号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办公地址:吉林省长春市绿园区正阳街4288号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法定代表人:马铁刚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联系人:张俊峰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客户服务电话:96888-1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网址:www.cccb.cn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(69)东莞农村商业银行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注册地址:广东省东莞市东城区鸿福东路2号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办公地址:广东省东莞市东城区鸿福东路2号东莞农商银行大厦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法定代表人:王耀球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联系人:钟燕珊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客户服务电话:0769-961122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网址:www.drcbank.com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(70)佛山农商银行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注册地址:佛山市禅城区华远东路5号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办公地址:佛山市禅城区华远东路5号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法定代表人:李川</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联系人:陈棠熙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客户服务电话:96138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网址:www.foshanbank.cn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(71)富阳农商银行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注册地址:杭州市富阳区鹿山街道依江路501号第1幢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办公地址:杭州市富阳区鹿山街道依江路501号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法定代表人:丁松茂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联系人:周群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联系电话:0571-61732352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客户服务电话:96596、4008896596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网址:www.fyrcbk.com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(72)广州农商银行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注册地址:广州市黄埔区映日路9号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办公地址:广州市天河区珠江新城华夏路1号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法定代表人:王继康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联系电话:020-22389067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传真:020-22389031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网址:www.grcbank.com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(73)杭州联合银行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注册地址:浙江省杭州市上城区建国中路99号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办公地址:杭州市建国中路99号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法定代表人:张海林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联系人:吴徐立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联系电话:0571-87923324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传真:0571-87923214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网址:www.urcb.com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(74)江南农村商业银行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注册地址:常州市武进区延政中路9号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办公地址:常州市武进区延政中路9号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法定代表人:陆向阳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联系电话:0519-80585939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客户服务电话:0519-96005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传真:0519-89995170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网址:http://www.jnbank.com.cn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(75)九台农商银行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注册地址:吉林省长春市九台区新华大街504号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办公地址:吉林省长春市高新开发区蔚山路2559号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法定代表人:高兵</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联系人:曲凌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客户服务电话:0431-96888-0-2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网址:http://www.jtnsh.com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(76)昆山农村商业银行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注册地址:江苏省昆山市前进东路828号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办公地址:江苏省昆山市前进东路828号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法定代表人:谢铁军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联系人:黄怡</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客户服务电话:0512-96079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网址:www.ksrcb.com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(77)乐清农商银行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注册地址:浙江省乐清市城南街道伯乐西路99号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办公地址:浙江省乐清市城南街道伯乐西路99号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法定代表人:黄定表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联系人:金晓娇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联系电话:0577-61566028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传真:0577-61566063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(78)龙湾农商银行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注册地址:浙江省温州市龙湾区永中街道永宁西路555号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办公地址:浙江省温州市龙湾区永中街道永宁西路555号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法定代表人:朱朋远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联系人:胡肖雅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联系电话:0577-86923223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传真:0577-86921250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(79)鹿城农商银行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注册地址:浙江省温州市鹿城区会展路1500号富银大厦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办公地址:温州市车站大道547号信合大厦A幢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法定代表人:陈宏强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联系人:董雷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联系电话:0577-88077675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网址:http://www.lcrcbank.com/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(80)南海农商银行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注册地址:广东省佛山市南海区桂城街道南海大道北26号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办公地址:广东省佛山市南海区桂城街道南海大道北26号农商银行大厦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法定代表人:李宜心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联系人:廖雪</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联系电话:0757-86266566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客户服务电话:96138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传真:0757-86250627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网址:www.nanhaibank.com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(81)青岛农商银行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注册地址:山东省青岛市崂山区秦岭路6号1号楼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办公地址:山东省青岛市崂山区秦岭路6号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法定代表人:刘仲生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联系人:严菲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联系电话:0532-66957360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客户服务电话:0532-96668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传真:0532-66957229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网址:www.qrcb.com.cn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(82)瑞安农商银行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注册地址:瑞安市安阳街道万松东路148号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办公地址:瑞安市安阳街道万松东路148号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法定代表人:王光领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联系人:吴小娜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联系电话:0577-66681245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客户服务电话:4008057702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(83)瑞丰银行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注册地址:浙江省绍兴市柯桥区笛扬路1363号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办公地址:浙江省绍兴市柯桥区笛扬路1363号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法定代表人:章伟东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联系人:孟建潮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联系电话:0575-81105323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传真:0575-84788134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网址:www.borf.cn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(84)上海农村商业银行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注册地址:上海市黄浦区中山东二路70号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办公地址:上海市黄浦区中山东二路70号上海农商银行大厦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法定代表人:徐力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联系人:施传荣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联系电话:021-61899999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客户服务电话:021-962999、 4006962999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(85)顺德农村商业银行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注册地址:广东佛山市顺德区大良德和居委会拥翠路2号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办公地址:广东佛山市顺德区大良德和居委会拥翠路2号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法定代表人:姚真勇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联系人:杨素苗、区敏欣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联系电话:0757-22382524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客户服务电话:0757-22223388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传真:0757-22388777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网址:www.sdebank.com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(86)苏州农村商业银行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注册地址:江苏省苏州市吴江区中山南路1777号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办公地址:江苏省苏州市吴江区中山南路1777号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法定代表人:徐晓军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联系人:葛晓亮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联系电话:0512-63969209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客户服务电话:956111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传真:0512-63969209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网址:www.szrcb.com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(87)天津农商银行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注册地址:天津市河西区马场道59号国际经济贸易中心A座1-6层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办公地址:天津市河西区马场道59号国际经济贸易中心A座1-6层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法定代表人:徐庆宏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联系人:满与谦、梁冯雷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联系电话:022-83872155,022-83872800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客户服务电话:022-96155，400-80-96155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传真:022-83872156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网址:www.trcbank.com.cn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(88)武汉农村商业银行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注册地址:湖北省武汉市江岸区建设大道618号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办公地址:湖北省武汉市江岸区建设大道618号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法定代表人:徐小建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联系人:邹君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联系电话:027-85497270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传真:027-85497270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网址:http://www.whrcbank.com/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(89)萧山农商银行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注册地址:浙江省人民路258号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办公地址:浙江省杭州市萧山区人民路258号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法定代表人:王云龙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联系人:朱光锋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联系电话:0571-82739513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网址:http://www.zjxsbank.com/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(90)新昌农商银行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注册地址:浙江省绍兴市新昌县七星街道七星路18号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办公地址:浙江省绍兴市新昌县七星街道七星路18号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法定代表人:陆斌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联系电话:0575-86266991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客户服务电话:4008896596、0575-86266991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传真:0575-86383121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网址:http://www.xcbank.com/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(91)余杭农村商业银行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注册地址:杭州市余杭区南苑街道南大街72号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办公地址:杭州市余杭区南苑街道南大街72号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法定代表人:来煜标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联系人:蔡亮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联系电话:0571-86209980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客户服务电话:96596，4008896596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网址:www.yhrcb.com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(92)重庆农村商业银行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注册地址:重庆市江北区金沙门路36号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办公地址:重庆市江北区金沙门路36号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法定代表人:刘建忠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联系电话:13880285822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客户服务电话:95389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传真:023-61110146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网址:www.cqrcb.com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(93)鄞州银行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注册地址:宁波市鄞州区民惠西路88号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办公地址:宁波市鄞州区民惠西路88号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法定代表人:周建斌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联系人:朱霓虹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联系电话:0574-87412569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客户服务电话:956058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网址:www.beeb.com.cn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(94)南洋商业银行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注册地址:中国（上海）自由贸易试验区世纪大道800号三层、六层至九层（不含六层A座）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办公地址:中国（上海）自由贸易试验区世纪大道800号三层、六层至九层（不含六层A座）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法定代表人:孙建东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联系人:施艳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联系电话:021-38566625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客户服务电话:8008207898（内地固话用户）、4008207898（内地手机用户）、（86551）64360499（港澳台及境外）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传真:021-38566400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网址:http://www.ncbchina.cn/cn/index.html</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(95)安信证券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注册地址:深圳市福田区金田路4018号安联大厦35层、28层A02单元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办公地址:深圳市福田区金田路4018号安联大厦35层、28层A02单元      深圳市福</w:t>
      </w:r>
      <w:r w:rsidRPr="00162C05">
        <w:rPr>
          <w:rFonts w:asciiTheme="minorEastAsia" w:eastAsiaTheme="minorEastAsia" w:hAnsiTheme="minorEastAsia" w:hint="eastAsia"/>
        </w:rPr>
        <w:lastRenderedPageBreak/>
        <w:t>田区深南大道2008号中国凤凰大厦1栋9层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法定代表人:黄炎勋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联系人:陈剑虹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联系电话:0755-82825551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客户服务电话:95517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传真:0755-82558355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网址:www.essence.com.cn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(96)渤海证券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注册地址:天津市经济技术开发区第二大街42号写字楼101室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办公地址:天津市南开区宾水西道8号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法定代表人:安志勇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联系电话:022-28451922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客户服务电话:400-651-5988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传真:022-28451892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网址:www.ewww.com.cn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(97)财达证券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注册地址:河北省石家庄市桥西区自强路35号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办公地址:河北省石家庄市桥西区自强路35号庄家金融大厦23-26层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法定代表人:翟建强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联系人:李卓颖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联系电话:0311-66008561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客户服务电话:95363（河北省内）；0311-95363（河北省外）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传真:0311-66006414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网址:www.s10000.com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(98)财通证券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注册地址:浙江省杭州市西湖区天目山路198号财通双冠大厦西楼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办公地址:浙江省杭州市西湖区天目山路198号财通双冠大厦西楼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法定代表人:陆建强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联系人:蔡驰宙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联系电话:0571-87821867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网址:www.ctsec.com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(99)财信证券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注册地址:湖南省长沙市岳麓区茶子山东路112号滨江金融中心T3、T4及裙房718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办公地址:长沙市芙蓉中路二段80号顺天国际财富中心26-28层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法定代表人:刘宛晨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联系人:郭静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联系电话:0731-84403347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客户服务电话:95317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传真:0731-84403439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网址:www.cfzq.com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(100)长城国瑞证券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注册地址:厦门市思明区莲前西路2号莲富大厦17楼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办公地址:厦门市思明区深田路46号深田国际大厦20楼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联系人:布前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联系电话:010-68085771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客户服务电话:400-0099-886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传真:0592-2079602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网址:www.gwgsc.com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(101)长城证券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注册地址:深圳市福田区福田街道金田路2026号能源大厦南塔楼10-19层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办公地址:深圳市福田区福田街道金田路2026号能源大厦南塔楼10-19层长城证券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联系人:梁浩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联系电话:0755-83530715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客户服务电话:400-6666-888或95514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传真:0755-83515567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网址:www.cgws.com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(102)长江证券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注册地址:湖北省武汉市新华路特8号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办公地址:湖北省武汉市新华路特8号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法定代表人:李新华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联系人:奚博宇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联系电话:027-65799999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客户服务电话:95579或4008-888-999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传真:027-85481900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网址:www.95579.com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(103)川财证券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注册地址:中国（四川）自由贸易试验区成都高新区交子大道177号中海国际中心B座17楼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办公地址:四川省成都高新区交子大道177号中海国际中心B座17楼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法定代表人:金树成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联系人:匡婷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联系电话:028-86583053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客户服务电话:028-962708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网址:www.cczq.com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(104)大通证券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注册地址:辽宁省大连市沙河口区会展路129号大连国际金融中心A座-大连期货大厦38、39层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办公地址:辽宁省大连市沙河口区会展路129号大连国际金融中心A座-大连期货大厦38、39层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法定代表人:赵玺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联系人:谢立军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联系电话:0411-39991807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客户服务电话:4008-169-169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传真:0411-39673214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网址:www.daton.com.cn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(105)大同证券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注册地址:山西省大同市城区迎宾街15号桐城中央21层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办公地址:山西省太原市小店区长治路111号山西世贸中心A座F12、F13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法定代表人:董祥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联系人:薛津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联系电话:0351-4130322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客户服务电话:4007121212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传真:0351-7219891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网址:www.dtsbc.com.cn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(106)德邦证券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注册地址:上海市普陀区曹杨路510号南半幢9楼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办公地址:上海市福山路500号城建国际中心29楼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法定代表人:武晓春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联系人:李林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联系电话:021-68761616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客户服务电话:400-8888-128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传真:021-68767880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网址:http://www.tebon.com.cn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(107)第一创业证券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注册地址:深圳市福田区福华一路115号投行大厦20楼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办公地址:深圳市福田区福华一路115号投行大厦20楼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法定代表人:刘学民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联系人:单晶</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联系电话:0755-23838750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客户服务电话:95358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网址:www.firstcapital.com.cn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(108)东北证券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注册地址:长春市生态大街6666号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办公地址:长春市生态大街6666号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法定代表人:李福春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联系人:安岩岩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联系电话:0431-85096517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客户服务电话:95360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传真:0431-85096795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网址:www.nesc.cn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(109)东方财富证券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注册地址:西藏自治区拉萨市柳梧新区国际总部城10栋楼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办公地址:上海市徐汇区宛平南路88号金座东方财富大厦16楼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法定代表人:戴彦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联系人:付佳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联系电话:021-23586603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网址:http://www.18.cn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(110)东方证券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注册地址:上海市黄浦区中山南路119号东方证券大厦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办公地址:上海市中山南路318号2号楼22层、23层、25层-29层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法定代表人:金文忠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联系人:龚玉君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联系电话:021-63325888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传真:021-63326729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网址:http://www.dfzq.com.cn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(111)东海证券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注册地址:江苏省常州市延陵西路23号投资广场18层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办公地址:上海市浦东新区东方路1928号东海证券大厦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法定代表人:钱俊文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联系人:王一彦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联系电话:021-20333333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客户服务电话:95531、400-8888-588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传真:021-50498825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网址:www.longone.com.cn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(112)东吴证券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注册地址:苏州工业园区星阳街5号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办公地址:苏州工业园区星阳街5号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法定代表人:范力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联系人:陆晓</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联系电话:0512-62938521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客户服务电话:95330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传真:0512-65588021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网址:www.dwzq.com.cn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(113)东兴证券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注册地址:北京市西城区金融大街5号（新盛大厦）12、15层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办公地址:北京市西城区金融大街5号新盛大厦B座10层、12层、15层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法定代表人:魏庆华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联系人:郑旷怡</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联系电话:010-66559039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客户服务电话:95309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传真:010-66555133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网址:www.dxzq.net</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(114)东莞证券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注册地址:东莞市莞城区可园南路一号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办公地址:东莞市莞城区可园南路1号金源中心30楼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法定代表人:陈照星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联系人:陈士锐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联系电话:0769-22112151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传真:0769-22115712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网址:www.dgzq.com.cn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(115)方正证券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注册地址:湖南省长沙市天心区湘江中路二段36号华远华中心4、5号楼3701-3717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办公地址:北京市朝阳区朝阳门南大街10号兆泰国际中心A座16-19层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法定代表人:施华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联系人:丁敏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联系电话:010-59355997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传真:010-56437030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网址:www.foundersc.com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(116)光大证券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注册地址:上海市静安区新闸路1508号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办公地址:上海市静安区新闸路1508号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法定代表人:刘秋明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联系人:郁疆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联系电话:021-22169999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网址:www.ebscn.com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(117)广发证券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注册地址:广东省广州市黄埔区中新广州知识城腾飞一街2号618室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办公地址:广州市天河区马场路26号广发证券大厦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法定代表人:林传辉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联系人:黄岚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客户服务电话:95575或02095575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网址:www.gf.com.cn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(118)国都证券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注册地址:北京市东城区东直门南大街3号国华投资大厦9层10层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办公地址:北京市东城区东直门南大街3号国华投资大厦9层10层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法定代表人:翁振杰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联系人:黄静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联系电话:010-84183333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客户服务电话:400-818-8118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传真:010-84183311-3122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网址:www.guodu.com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(119)国海证券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注册地址:广西壮族自治区桂林市七星区辅星路13号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办公地址:广西壮族自治区南宁市青秀区滨湖路46号国海大厦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法定代表人:何春梅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联系电话:0755-88313842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客户服务电话:95563或0771-95563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网址:www.ghzq.com.cn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(120)国金证券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注册地址:成都市青羊区东城根上街95号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办公地址:成都市青羊区东城根上街95号成证大厦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法定代表人:冉云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联系人:杜晶、黎建平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联系电话:028-86690057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客户服务电话:95310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传真:028-86690126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网址:www.gjzq.com.cn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(121)国联证券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注册地址:江苏省无锡市太湖新城金融一街8号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办公地址:江苏省无锡市太湖新城金融一街8号国联金融大厦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法定代表人:姚志勇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联系人:祁昊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联系电话:0510-82831662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传真:0510-82830162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网址:www.glsc.com.cn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(122)国融证券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注册地址:内蒙古自治区呼和浩特市武川县腾飞大道1号4楼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办公地址:北京市西城区宣武门西大街甲129号金隅大厦16层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法定代表人:张智河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联系人:刘云龙、张泽浩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联系电话:010-83991889、010-83991862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客户服务电话:95385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传真:010-66412537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网址:www.grzq.com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(123)国盛证券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注册地址:江西省南昌市新建区子实路1589号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办公地址:江西省南昌市红谷滩新区凤凰中大道1115号北京银行大厦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联系人:占文驰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联系电话:0791-88250812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传真:0791-86281305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网址:www.gszq.com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(124)国泰君安证券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注册地址:中国（上海）自由贸易试验区商城路618号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办公地址:上海市静安区南京西路768号国泰君安大厦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法定代表人:贺青</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联系人:芮敏祺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传真:021-38670666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网址:www.gtja.com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(125)国信证券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注册地址:深圳市罗湖区红岭中路1012号国信证券大厦十六层至二十六层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办公地址:深圳市罗湖区红岭中路1012号国信证券大厦十六层至二十六层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法定代表人:张纳沙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联系电话:0755-82130833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传真:0755-82133952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网址:www.guosen.com.cn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(126)国元证券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注册地址:安徽省合肥市梅山路18号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办公地址:安徽省合肥市梅山路18号安徽国际金融中心A座国元证券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法定代表人:俞仕新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联系人:汪先哲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联系电话:0551-62207400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传真:0551-2272100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网址:www.gyzq.com.cn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(127)海通证券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注册地址:上海市广东路689号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办公地址:上海市广东路689号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联系人:金芸、李笑鸣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联系电话:021-23219000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传真:021-23219100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网址:www.htsec.com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(128)红塔证券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注册地址:云南省昆明市北京路155号附1号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办公地址:云南省昆明市北京路155号附1号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法定代表人:沈春晖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联系人:杨敏珺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联系电话:0871-63353652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客户服务电话:956060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传真:0871-63578827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网址:http://www.hongtastock.com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(129)华安证券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注册地址:安徽省合肥市政务文化新区天鹅湖路198号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办公地址:安徽省合肥市政务文化新区天鹅湖路198号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法定代表人:章宏韬</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联系人:范超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联系电话:0551-65161821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传真:0551-65161825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网址:www.hazq.com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(130)华宝证券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注册地址:中国（上海）自由贸易试验区世纪大道100号57层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办公地址:中国（上海）自由贸易试验区世纪大道100号57层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法定代表人:刘加海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联系人:刘闻川</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联系电话:021-20515385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客户服务电话:400-820-9898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传真:021-20515593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网址:www.cnhbstock.com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(131)华福证券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注册地址:福建省福州市鼓楼区鼓屏路27号1#楼3层、4层、5层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办公地址:上海市浦东新区滨江大道5129号N1座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法定代表人:黄金琳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联系电话:021-20655183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客户服务电话:95547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传真:021-20655196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网址:www.hfzq.com.cn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(132)华林证券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注册地址:西藏自治区拉萨市柳梧新区国际总部城3幢1单元5-5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办公地址:深圳市南山区深南大道9668号华润置地大厦C座31-33层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联系人:郑琢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联系电话:0755-82707766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客户服务电话:400-188-3888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传真:0755-82707993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网址:www.chinalin.com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(133)华龙证券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注册地址:兰州市城关区东岗西路638号兰州财富中心21楼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办公地址:兰州市城关区东岗西路638号兰州财富中心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法定代表人:陈牧原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联系人:范坤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联系电话:0931-4890208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客户服务电话:95368、400-689-8888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传真:0931-4890628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网址:www.hlzq.com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(134)华融证券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办公地址:北京市朝阳区朝阳门北大街18号中国人保寿险大厦12至18层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法定代表人:张海文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联系人:孙燕波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联系电话:010-85556048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客户服务电话:95390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传真:010-85556088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网址:www.hrsec.com.cn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(135)华泰证券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注册地址:南京市江东中路228号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办公地址:南京市建邺区江东中路228号华泰证券广场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联系人:庞晓芸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联系电话:0755-82492193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客户服务电话:95597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传真:025-83387523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网址:www.htsc.com.cn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(136)华西证券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注册地址:四川省成都市高新区天府二街198号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办公地址:四川省成都市高新区天府二街198号华西证券大厦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法定代表人:杨炯洋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联系人:赵静静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联系电话:010-58124967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客户服务电话:95584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传真:028-86150040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网址:www.hx168.com.cn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(137)华鑫证券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注册地址:深圳市福田区莲花街道福中社区深南大道2008号中国凤凰大厦1栋20C-1房</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办公地址:上海市徐汇区宛平南路8号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法定代表人:俞洋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联系电话:021-54967387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客户服务电话:95323（全国）、400-109-9918（全国）、029-68918888（西安）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传真:021- 54967293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网址:www.cfsc.com.cn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(138)江海证券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注册地址:黑龙江省哈尔滨市香坊区赣水路56号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办公地址:黑龙江省哈尔滨市松北区创新三路833号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法定代表人:赵洪波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联系人:王金娇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联系电话:0451-87765732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客户服务电话:956007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传真:0451-82337279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网址:www.jhzq.com.cn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(139)金元证券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注册地址:海口市南宝路36号证券大厦4楼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办公地址:深圳市深南大道4001号时代金融中心大厦17楼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法定代表人:王作义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联系电话:0755-83025693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客户服务电话:95372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传真:0755-83025625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网址:www.jyzq.cn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(140)九州证券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注册地址:青海省西宁市南川工业园区创业路108号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办公地址:北京市朝阳区安立路30号仰山公园东一门2号楼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法定代表人:魏先锋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联系人:张晓黎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联系电话:010-57672186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网址:www.jzsec.com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(141)开源证券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注册地址:陕西省西安市高新区锦业路1号都市之门B座5层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办公地址:陕西省西安市高新区锦业路1号都市之门B座5层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联系电话:029-88365809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网址:www.kysec.cn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(142)联储证券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注册地址:山东省青岛市崂山区苗岭路15号金融中心大厦15层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办公地址:上海市浦东新区陆家嘴环路1366号富士康大厦9、10层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法定代表人:吕春卫</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联系人:尹铮铮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联系电话:010-86499807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客户服务电话:400-620-6868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网址:www.lczq.com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(143)民生证券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注册地址:中国(上海)自由贸易试验区世纪大道1168号B座2101、2104A室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办公地址:北京市东城区建国门内大街28号民生金融中心A座16-20层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法定代表人:冯鹤年</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联系人:胡梦雅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联系电话:010-85127627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客户服务电话:95376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网址:www.mszq.com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(144)南京证券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注册地址:南京市江东中路389号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办公地址:南京市江东中路389号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法定代表人:李剑锋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联系人:王万君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联系电话:025-58519523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传真:025-83369725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网址:www.njzq.com.cn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(145)平安证券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注册地址:深圳市福田区福田街道益田路5023号平安金融中心B座第22-25层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办公地址:深圳市福田区金田路4036号荣超大厦16-20层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法定代表人:何之江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联系人:周驰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联系电话:021-38643230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客户服务电话:95511-8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传真:021-58991896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网址:stock.pingan.com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(146)瑞银证券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注册地址:北京市西城区金融大街7号英蓝国际金融中心12层、15层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办公地址:北京市西城区金融大街7号英蓝国际金融中心12层、15层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法定代表人:钱于军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联系人:谢丹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联系电话:0755-22158878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客户服务电话:400-887-8827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传真:010-58328170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网址:https://www.ubs.com/ubssecurities</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(147)山西证券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注册地址:太原市府西街69号山西国际贸易中心东塔楼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办公地址:太原市府西街69号山西国际贸易中心东塔楼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法定代表人:王怡里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联系人:谢武兵</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联系电话:0351-8686721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客户服务电话:95573或400-666-1618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传真:0351-8686619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网址:www.i618.com.cn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(148)上海证券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注册地址:上海市黄浦区四川中路213号7楼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办公地址:上海市四川中路213号久事商务大厦7楼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法定代表人:何伟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联系人:邵珍珍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联系电话:021-53686888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客户服务电话:4008-918-918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传真:021-53686100-7008，021-53686200-7008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网址:https://www.shzq.com/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(149)申万宏源西部证券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注册地址:新疆乌鲁木齐市高新区（新市区）北京南路358号大成国际大厦20楼2005室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办公地址:新疆乌鲁木齐市高新区（新市区）北京南路358号大成国际大厦20楼2005室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法定代表人:王献军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联系人:王怀春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联系电话:0991-2307105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客户服务电话:95523、4008895523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传真:010-88085195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网址:www.swhysc.com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(150)申万宏源证券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注册地址:上海市徐汇区长乐路989号45层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办公地址:上海市徐汇区长乐路989号世纪商贸广场45层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法定代表人:杨玉成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联系电话:021-33388252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客户服务电话:95523、4008895523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传真:021-33388224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网址:www.swhysc.com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(151)世纪证券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注册地址:深圳市前海深港合作区南山街道桂湾五路128号前海深港基金小镇对冲基金中心406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办公地址:广东省深圳市福田区福田街道金田路2026号能源大厦北塔23-25楼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联系人:徐玲娟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联系电话:0755-83199599-9135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客户服务电话:4008323000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网址:www.csco.com.cn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(152)首创证券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注册地址:北京市西城区德胜门外大街115号德胜尚城E座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办公地址:北京市西城区德胜门外大街115号德胜尚城E座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法定代表人:毕劲松</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联系电话:010-59366070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客户服务电话:95381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传真:010-59366238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网址:www.sczq.com.cn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(153)天风证券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注册地址:湖北省武汉市东湖新技术开发区关东园路2号高科大厦四楼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办公地址:湖北省武汉市武昌区中南路99号保利广场A座37楼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法定代表人:余磊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联系人:王雅薇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联系电话:027-87617017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客户服务电话:95391/400-800-5000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传真:027-87618863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网址:http://www.tfzq.com/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(154)万和证券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注册地址:海南省海口市南沙路49号通信广场二楼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办公地址:深圳市福田区深南大道7028号时代科技大厦20层西厅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法定代表人:冯周让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联系人:李晟辉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联系电话:0755-82830333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客户服务电话:4008-882-882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传真:0755-25842783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网址:http://www.wanhesec.com.cn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(155)万联证券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注册地址:广州市天河区珠江东路11号18、19楼全层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办公地址:广州市天河区珠江东路13号高德置地广场E栋12层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法定代表人:袁笑一</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联系人:吕祥崟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联系电话:020-38286692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传真:020-38286588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网址:www.wlzq.cn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(156)五矿证券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注册地址:深圳市南山区粤海街道海珠社区滨海大道3165号五矿金融大厦2401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办公地址:深圳市南山区滨海大道与后海滨路交汇处滨海大道3165号五矿金融大厦（18-25层）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法定代表人:黄海洲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联系人:戴佳璐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联系电话:0755-23375492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客户服务电话:40018-40028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传真:0755-82545500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网址:www.wkzq.com.cn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(157)西部证券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注册地址:陕西省西安市新城区东新街319号8幢10000室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办公地址:陕西省西安市新城区东新街319号8幢10000室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法定代表人:徐朝晖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联系人:张吉安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联系电话:029-87211668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传真:029-87211478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网址:www.westsecu.com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(158)西南证券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注册地址:重庆市江北区桥北苑8号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办公地址:重庆市江北区桥北苑8号西南证券大厦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法定代表人:廖庆轩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联系人:魏馨怡</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联系电话:023-67663104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客户服务电话:4008096096或95355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传真:023-63786212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网址:www.swsc.com.cn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(159)湘财证券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注册地址:湖南省长沙市天心区湘府中路198号新南城商务中心A栋11楼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办公地址:湖南省长沙市天心区湘府中路198号新南城商务中心A栋11楼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法定代表人:高振营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联系人:江恩前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联系电话:021-38784580-8920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传真:021-68865680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网址:www.xcsc.com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(160)新时代证券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注册地址:北京市海淀区北三环西路99号院1号楼15层1501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办公地址:北京市海淀区北三环西路99号院1号楼15层1501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联系人:廖晓</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联系电话:010-83561321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网址:www.xsdzq.cn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(161)信达证券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注册地址:北京市西城区闹市口大街9号院1号楼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办公地址:北京市西城区闹市口大街9号院1号楼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法定代表人:祝瑞敏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联系人:王薇安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联系电话:010-83252170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传真:010-63080978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网址:www.cindasc.com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(162)兴业证券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注册地址:福州市湖东路268号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办公地址:上海浦东新区长柳路36号兴业证券大厦20楼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法定代表人:杨华辉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联系人:乔琳雪</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联系电话:021-38565547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网址:www.xyzq.com.cn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(163)银河证券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注册地址:北京市西城区金融大街35号2-6层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办公地址:北京市丰台区西营街8号院1号楼青海金融大厦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法定代表人:陈共炎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联系人:辛国政</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联系电话:010-80928123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客户服务电话:4008-888-888或95551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网址:www.chinastock.com.cn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(164)英大证券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注册地址:深圳市福田区深南中路华能大厦三十、三十一层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办公地址:深圳市福田区深南中路华能大厦三十、三十一层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法定代表人:郝京春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联系人:林培鑫</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联系电话:0755-83637967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客户服务电话:4000188688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传真:0755-83007034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网址:www.ydzq.sgcc.com.cn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(165)粤开证券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注册地址:广州经济技术开发区科学大道60号开发区控股中心21、22、23层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办公地址:广州经济技术开发区科学大道60号开发区控股中心21、22、23层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法定代表人:严亦斌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联系人:彭莲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联系电话:0755-83331195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网址:http://www.ykzq.com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(166)招商证券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注册地址:深圳市福田区福田街道福华一路111号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办公地址:深圳市福田区福田街道福华一路111号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法定代表人:霍达</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联系人:黄婵君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联系电话:0755-82943666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客户服务电话:95565、400-8888-111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传真:0755-82943636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网址:www.newone.com.cn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(167)浙商证券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注册地址:浙江省杭州市江干区五星路201号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办公地址:浙江省杭州市江干区五星路201号浙商证券大楼8楼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法定代表人:吴承根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联系人:高扬</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联系电话:0571-87902974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客户服务电话:95345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传真:0571-87901913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网址:www.stocke.com.cn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(168)中航证券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注册地址:江西省南昌市红谷滩新区红谷中大道1619号南昌国际金融大厦A栋41层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办公地址:江西省南昌市红谷滩新区红谷中大道1619号南昌国际金融大厦A栋41层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法定代表人:丛中</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联系人:王紫雯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联系电话:010-59562468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客户服务电话:95335或400-88-95335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传真:010-59562637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网址:www.avicsec.com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(169)中金财富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注册地址:深圳市福田区益田路与福中路交界处荣超商务中心A栋第18-21层及第04层01.02.03.05.11.12.13.15.16.18.19.20.21.22.23单元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办公地址:深圳福田区益田路6003号荣超商务中心A座4层、18-21层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法定代表人:高涛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联系人:万玉琳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联系电话:0755-82026907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网址:https://www.ciccwm.com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(170)中金公司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注册地址:北京市朝阳区建国门外大街1号国贸大厦2座27层及28层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办公地址:北京市朝阳区建国门外大街甲6号SK大厦38层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法定代表人:沈如军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联系人:杨涵宇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联系电话:010-65051166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客户服务电话:4009101166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网址:www.cicc.com.cn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(171)中山证券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注册地址:深圳市南山区粤海街道蔚蓝海岸社区创业路1777号海信南方大厦21、22层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办公地址:深圳市南山区创业路1777号海信南方大厦21、22层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法定代表人:吴小静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联系人:罗艺琳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联系电话:0755-82943755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传真:0755-82960582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网址:www.zszq.com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(172)中泰证券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注册地址:济南市市中区经七路86号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办公地址:山东省济南市经七路86号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联系人:许曼华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联系电话:021-20315290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客户服务电话:95538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传真:0531-68889095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网址:www.zts.com.cn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(173)中天证券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注册地址:辽宁省沈阳市和平区光荣街23甲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办公地址:辽宁省沈阳市和平区光荣街23甲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法定代表人:马功勋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联系人:李泓灏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联系电话:024-23255256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客户服务电话:024-95346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传真:024-23255606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网址:www.iztzq.com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(174)中信建投证券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注册地址:北京市朝阳区安立路66号4号楼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办公地址:北京市朝阳门内大街188号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法定代表人:王常青</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联系电话:010－85130554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客户服务电话:95587或4008-888-108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网址:http://www.csc108.com/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(175)中信证券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注册地址:广东省深圳市福田区中心三路8号卓越时代广场（二期）北座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办公地址:北京市朝阳区亮马桥路48号中信证券大厦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法定代表人:张佑君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联系人:王一通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联系电话:010-60838888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客户服务电话:95548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传真:010-60836029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网址:www.cs.ecitic.com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(176)中信证券（山东）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注册地址:青岛市崂山区深圳路222号1号楼2001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办公地址:青岛市市南区东海西路28号龙翔广场东座5层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法定代表人:冯恩新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联系人:焦刚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联系电话:0531-89606166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客户服务电话:95548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传真:0532-85022605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网址:http://sd.citics.com/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(177)中信证券华南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注册地址:广州市天河区临江大道395号901室(部位:自编01),1001室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办公地址:广州市天河区临江大道395号合利天德广场T1楼10层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法定代表人:胡伏云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联系人:陈靖</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联系电话:020-88836999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客户服务电话:95548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传真:020-88836984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网址:www.gzs.com.cn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(178)中银证券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注册地址:上海市浦东新区银城中路200号中银大厦39层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办公地址:上海市浦东新区银城中路200号中银大厦39-40层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法定代表人:宁敏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联系人:王炜哲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客户服务电话:400-620-8888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传真:021-50372474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网址:www.bocichina.com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(179)中邮证券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注册地址:陕西省西安市唐延路5号（陕西邮政信息大厦9-11层）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办公地址:北京市东城区珠市口东大街17号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法定代表人:郭成林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联系人:岳帅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联系电话:010-67017788-6068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客户服务电话:4008-888-005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传真:010-67017788-9696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网址:www.cnpsec.com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(180)中原证券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注册地址:郑州市郑东新区商务外环路10号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办公地址:河南省郑州市郑东新区商务外环路10号中原广发金融大厦19楼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法定代表人:菅明军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联系人:程月艳  李盼盼 党静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联系电话:0371-69099882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客户服务电话:95377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传真:0371--65585899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网址:www.ccnew.com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(181)甬兴证券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注册地址:浙江省宁波市鄞州区海晏北路565、577号8-11层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办公地址:浙江省宁波市鄞州区海晏北路565、577号8-11层；上海市浦东新区南泉北路429号泰康大厦31-32层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法定代表人:李抱</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联系人:戴璐璐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联系电话:021-20587260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客户服务电话:400-916-0666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网址:www.yongxingsec.com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(182)长量基金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注册地址:上海市浦东新区高翔路526号2幢220室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办公地址:上海市浦东新区东方路1267号陆家嘴金融服务广场二期11层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法定代表人:张跃伟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联系人:孙娅雯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联系电话:021-20691819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客户服务电话:400-820-2899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传真:021-20691861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网址:www.erichfund.com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(183)创金启富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注册地址:北京市西城区白纸坊东街2号院6号楼712室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办公地址:北京市西城区白纸坊东街2号院6号楼712室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法定代表人:梁蓉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联系人:魏素清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联系电话:010-66154828-8047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客户服务电话:010-66154828-8005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传真:010-63583991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网址:www.5irich.com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(184)大智慧基金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注册地址:中国（上海）自由贸易试验区杨高南路428号1号楼1102单元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办公地址:中国（上海）自由贸易试验区杨高南路428号1号楼1102单元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联系人:张蜓</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联系电话:021-20219988-35374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客户服务电话:021-20292031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传真:021-20219923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网址:https://www.wg.com.cn/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(185)蛋卷基金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注册地址:北京市朝阳区创远路34号院6号楼15层1501室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办公地址:北京市朝阳区创远路 34 号院融新科技中心 C 座 17 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法定代表人:钟斐斐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联系人:侯芳芳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联系电话:010-61840688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客户服务电话:400-159-9288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网址:https://danjuanapp.com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(186)度小满基金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注册地址:北京市海淀区西北旺东路10号院西区4号楼1层103室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办公地址:北京市海淀区西北旺东路10号院西区4号楼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法定代表人:葛新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联系人:孙博超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联系电话:010-59403028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客户服务电话:95055-4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网址:www.baiyingfund.com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(187)泛华普益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注册地址:四川省成都市成华区建设路9号高地中心1101室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办公地址:成都市金牛区花照壁西顺街399号1栋1单元龙湖西宸天街B座1201号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法定代表人:于海锋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联系电话:15114053620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客户服务电话:400-080-3388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网址:www.puyifund.com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(188)富济基金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注册地址:深圳市福田区福田街道岗厦社区金田路3088号中洲大厦3203A单元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办公地址:深圳市福田区福田街道岗厦社区金田路3088号中洲大厦3203A单元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法定代表人:祝中村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联系人:曾瑶敏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联系电话:0755-83999907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客户服务电话:0755-83999907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传真:0755-83999926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网址:www.fujifund.cn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(189)海银基金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注册地址:中国（上海）自由贸易试验区银城中路8号402室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办公地址:上海市浦东新区银城中路8号海银金融中心4楼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法定代表人:巩巧丽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联系人:李卓楠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联系电话:021-80134149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客户服务电话:400-808-1016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传真:021-80133413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网址:www.fundhaiyin.com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(190)好买基金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注册地址:上海市虹口区欧阳路196号26号楼2楼41号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办公地址:上海市浦东南路1118号鄂尔多斯国际大厦903～906室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法定代表人:杨文斌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联系人:高源</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联系电话:021-36696312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客户服务电话:400-700-9665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传真:021-68596919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网址:www.ehowbuy.com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(191)恒天明泽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注册地址:北京市经济技术开发区宏达北路10号五层5122室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办公地址:北京市朝阳区东三环北路甲19号SOHO嘉盛中心30层3001室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联系人:侯艳红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联系电话:010-59313555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客户服务电话:400-8980-618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传真:010-59313586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网址:www.chtwm.com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(192)虹点基金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注册地址:北京市朝阳区东三环北路17号10层1015室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办公地址:北京市朝阳区东三环北路17号10层1015室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法定代表人:何静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联系人:王重阳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联系电话:010-65951887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客户服务电话:400-618-0707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网址:www.hongdianfund.com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(193)华夏财富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注册地址:上海市虹口区东大名路687号1幢2楼268室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办公地址:北京市西城区金融大街33号通泰大厦B座8层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法定代表人:毛淮平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联系人:张静怡</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联系电话:010-88066326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客户服务电话:400-817-5666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传真:010-63136184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网址:www.amcfortune.com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(194)汇成基金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注册地址:北京市西城区宣武门外大街甲1号环球财讯中心D座4层401-2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办公地址:北京市西城区宣武门外大街甲1号环球财讯中心D座401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法定代表人:王伟刚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联系人:王骁骁</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联系电话:010-56251471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客户服务电话:400-619-9059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网址:www.hcfunds.com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(195)汇付基金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注册地址:上海市黄浦区九江路769号1807-3室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办公地址:上海市徐汇区宜山路700号普天信息产业园2期C5栋 汇付天下总部大楼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法定代表人:金佶</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联系人:甄宝林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联系电话:021-34013996-3011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客户服务电话:021-34013999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传真:021-33323837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网址:www.hotjijin.com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(196)基煜基金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注册地址:上海市黄浦区广东路500号30层3001单元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办公地址:上海市浦东新区银城中路488号太平金融大厦1503室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法定代表人:王翔</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联系人:张巍婧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联系电话:021-65370077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客户服务电话:400-820-5369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传真:021-55085991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网址:https://www.jiyufund.com.cn/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(197)济安财富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注册地址:北京市朝阳区太阳宫中路16号院1号楼3层307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办公地址:北京市朝阳区太阳宫中路16号院1号楼冠捷大厦3层307单元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法定代表人:杨健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联系人:李海燕</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联系电话:010-65309516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客户服务电话:400-673-7010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传真:010-65330699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网址:www.jianfortune.com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(198)嘉实财富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注册地址:中国（上海）自由贸易试验区世纪大道8号上海国金中心办公楼二期27层2716单元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办公地址:北京市朝阳区建国门外大街21号北京国际俱乐部C座写字楼11层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联系人:闫欢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联系电话:010-85097302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客户服务电话:400-021-8850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传真:010-85712195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网址:www.harvestwm.cn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(199)加和基金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注册地址:北京市西城区平原里21号楼4层A502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办公地址:北京市西城区平原里21号楼4层A502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法定代表人:曲阳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联系人:王梓骄</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联系电话:010-80456756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客户服务电话:400-803-1188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传真:010-8045 6278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网址:www.bzfunds.com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(200)京东肯特瑞</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注册地址:北京市海淀区西三旗建材城中路12号17号平房157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办公地址:北京市通州区亦庄经济技术开发区科创十一街18号院京东集团总部A座17层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联系人:邢锦超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客户服务电话:95118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网址:kenterui.jd.com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(201)凯石财富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注册地址:上海市黄浦区西藏南路765号602-115室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办公地址:上海市黄浦区延安东路1号凯石大厦4楼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法定代表人:陈继武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联系人:冯强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联系电话:021-63333389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客户服务电话:4006-433-389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传真:021-63333390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网址:www.vstonewealth.com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(202)利得基金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注册地址:上海市宝山区月浦镇塘南街57号6幢221室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办公地址:上海市虹口区东大名路1098号浦江国际金融广场53层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法定代表人:李兴春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联系人:张仕钰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联系电话:021-60195205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客户服务电话:400-032-5885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传真:86-21-61101630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网址:www.leadbank.com.cn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(203)联泰基金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注册地址:中国（上海）自由贸易试验区富特北路277号3层310室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办公地址:上海市长宁区福泉北路518号8座3楼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法定代表人:尹彬彬</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联系电话:021-52822063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客户服务电话:400-118-1188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传真:021-52975270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网址:www.66zichan.com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(204)陆基金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注册地址:中国（上海）自由贸易试验区源深路1088号7层（实际楼层6层）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办公地址:上海市源深路1088号平安财富大厦7楼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法定代表人:陈祎彬</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联系人:宁博宇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联系电话:021-20665952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客户服务电话:4008219031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传真:021-22066653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网址:www.lufunds.com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(205)蚂蚁基金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注册地址:浙江省杭州市余杭区五常街道文一西路969号3幢5层599室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办公地址:浙江省杭州市西湖区万塘路18号黄龙时代广场B座6F</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法定代表人:祖国明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联系人:韩爱彬</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联系电话:0571-26888888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客户服务电话:4000-766-123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网址:http://www.fund123.cn/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(206)民商基金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注册地址:上海黄浦区北京东路666号H区（东座）6楼A31室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办公地址:上海市浦东新区张杨路707号生命人寿大厦32楼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法定代表人:贲惠琴</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联系人:林志枫</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联系电话:021-50206003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客户服务电话:021-50206003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传真:021-50206001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网址:http://www.msftec.com/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(207)诺亚正行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注册地址:上海市虹口区飞虹路360弄9号3724室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办公地址:上海市杨浦区长阳路1687号长阳谷2号楼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法定代表人:汪静波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联系电话:021-80358523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客户服务电话:400-821-5399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传真:021-80358749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网址:www.noah-fund.com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(208)浦领基金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注册地址:北京市朝阳区望京东园四区2号楼10层1001号04室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办公地址:北京市朝阳区望京浦项中心A座9层04-08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法定代表人:张昱</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联系人:李艳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联系电话:010-59497361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客户服务电话:400-012-5899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传真:010-64788016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网址:www.zscffund.com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(209)钱景基金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注册地址:北京市石景山区城通街26号院2号楼17层1735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办公地址:北京市石景山区城通街26号院2号楼17层1735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法定代表人:王利刚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联系人:白皓</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联系电话:010-59422766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客户服务电话:400-893-6885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传真:010-62565181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网址:www.qianjing.com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(210)尚善基金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注册地址:浦东新区上丰路977号1幢B座812室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办公地址:上海市浦东新区碧波路690号4幢201-2A室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法定代表人:孙晓慧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联系人:陆纪青</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联系电话:021-80234888-6813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客户服务电话:400-699-1888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网址:www.998fund.com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(211)苏宁基金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注册地址:南京市玄武区苏宁大道1-5号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办公地址:南京市玄武区苏宁大道1-5号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联系人:冯鹏鹏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联系电话:025-66996699-882796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客户服务电话:95177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网址:www.snjijin.com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(212)腾安基金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注册地址:深圳市前海深港合作区前湾一路1号A栋201室（入驻深圳市前海商务秘书有限公司）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办公地址:深圳市南山区海天二路33号腾讯滨海大厦15楼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法定代表人:刘明军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联系人:谭广锋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客户服务电话:95017（拨通后转1转8）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网址:https://www.txfund.com/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(213)天天基金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注册地址:上海市徐汇区龙田路190号2号楼2层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办公地址:上海市徐汇区宛平南路88号东方财富大厦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法定代表人:其实</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联系人:屠彦洋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联系电话:021-54509977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客户服务电话:95021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传真:021-64385308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网址:www.1234567.com.cn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(214)通华财富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注册地址:上海市虹口区同丰路667弄107号201室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办公地址:上海市浦东新区金沪路55号通华科技大厦2楼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法定代表人:沈丹义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联系人:杨涛、庄洁茹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联系电话:021-60810586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客户服务电话:400-101-9301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传真:021-60810695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网址:www.tonghuafund.com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(215)同花顺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注册地址:浙江省杭州市文二西路1号903室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办公地址:杭州市余杭区五常街道同顺街18号同花顺大楼4层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联系人:吴强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联系电话:0571-88911818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客户服务电话:952555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传真:0571-86800423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网址:www.5ifund.com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(216)途牛基金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注册地址:江苏省南京市玄武区玄武大道699-1号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办公地址:江苏省南京市玄武区玄武大道699-32号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法定代表人:单宏杰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联系人:贺杰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联系电话:025-86853960-66727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客户服务电话:4007-999-999转3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网址:http://jr.tuniu.com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(217)挖财基金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注册地址:中国（上海）自由贸易试验区杨高南路759号18层03单元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办公地址:中国（上海）自由贸易试验区杨高南路759号18层03单元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法定代表人:吕柳霞</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联系人:毛善波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联系电话:021-50810687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客户服务电话:021-50810673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网址:www.wacaijijin.com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(218)万得基金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注册地址:中国（上海）自由贸易试验区福山路33号11楼B座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办公地址:上海市浦东新区浦明路1500号万得大厦11楼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法定代表人:黄祎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联系人:徐亚丹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联系电话:021-50712782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客户服务电话:400-799-1888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网址:www.520fund.com.cn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(219)万家财富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注册地址:天津自贸区（中心商务区）迎宾大道1988号滨海浙商大厦公寓2-2413室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办公地址:北京市西城区丰盛胡同28号太平洋保险大厦A座5层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法定代表人:戴晓云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联系人:王芳芳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联系电话:010-59013828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客户服务电话:010-59013895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网址:http://www.wanjiawealth.com/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(220)新浪仓石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注册地址:北京市海淀区东北旺西路中关村软件园二期（西扩）N-1、N-2地块新浪总部科研楼5层518室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办公地址:北京市海淀区西北旺东路10号院东区3号楼为明大厦C座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法定代表人:赵芯蕊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联系人:赵芯蕊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联系电话:010-62625768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客户服务电话:010-62675369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传真:010-62676582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网址:www.xincai.com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(221)一路财富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注册地址:北京市海淀区宝盛南路1号院20号楼9层101-14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办公地址:北京市海淀区宝盛南路奥北科技园20号楼国泰大厦9层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法定代表人:吴雪秀</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联系人:董宣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联系电话:010-88312877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客户服务电话:400-001-1566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传真:010-88312099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网址:www.yilucaifu.com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(222)宜信普泽</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注册地址:北京市朝阳区光华路7号楼20层20A1、20A2单元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办公地址:北京市朝阳区光华路7号楼20层20A1、20A2单元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法定代表人:才殿阳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联系人:魏晨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联系电话:13260309352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客户服务电话:400-6099-200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传真:010-59644044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网址:www.yixinfund.com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(223)盈米基金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注册地址:珠海市横琴新区宝华路6号105室-3491（集中办公区）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办公地址:广州市海珠区阅江中路688号保利国际广场北塔33层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法定代表人:肖雯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联系人:邱湘湘</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联系电话:020-89629099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客户服务电话:020-89629066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传真:020-89629011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网址:www.yingmi.cn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(224)云湾基金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注册地址:中国（上海）自由贸易试验区新金桥路27号、明月路1257号1幢1层103-1、103-2办公区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办公地址:上海市浦东新区新金桥路27号1号楼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法定代表人:冯轶明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联系人:范泽杰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联系电话:021-20530186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客户服务电话:400-820-1515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传真:021-20539999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网址:http://www.zhengtongfunds.com/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(225)增财基金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注册地址:北京市西城区德胜门外大街83号4层407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办公地址:北京市西城区德胜门外大街83号4层407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法定代表人:罗细安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联系人:闫丽敏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联系电话:010-67000988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客户服务电话:010-67000988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传真:010-67000988-6000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网址:www.zcvc.com.cn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(226)展恒基金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注册地址:北京市朝阳区安苑路11号西楼6层604、607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办公地址:北京市朝阳区北四环中路27号盘古大观3205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法定代表人:闫振杰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联系人:武文佳</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联系电话:010-59601399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客户服务电话:400-818-8000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传真:0351-4110714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网址:www.myfund.com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(227)植信基金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注册地址:北京市密云区兴盛南路8号院2号楼106室-67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办公地址:北京市朝阳区盛世龙源国食苑10号楼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法定代表人:王军辉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联系人:吴鹏</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联系电话:010-56075718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客户服务电话:4006-802-123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网址:www.zhixin-inv.com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(228)中欧财富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注册地址:中国（上海）自由贸易试验区陆家嘴环路333号502室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办公地址:上海市虹口区公平路18号8栋嘉昱大厦6层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法定代表人:许欣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联系人:黎静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联系电话:021-68609600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客户服务电话:400-700-9700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网址:www.qiangungun.com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(229)中期时代基金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注册地址:北京市朝阳区建国门外光华路14号1幢11层1103号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办公地址:北京市朝阳区建国门外光华路14号1幢4层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法定代表人:田宏莉</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联系人:尹庆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联系电话:010-65807865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客户服务电话:95162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传真:010-65807864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网址:www.jrtoo.com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(230)中正达广</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注册地址:上海市徐汇区龙兰路277号1号楼1203、1204室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办公地址:上海市徐汇区龙兰路277号1号楼1203、1204室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法定代表人:黄欣</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联系人:戴珉微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联系电话:021-33768132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客户服务电话:400-6767-523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传真:021-33768132-802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网址:www.zhongzhengfund.com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(231)众禄基金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注册地址:深圳市罗湖区笋岗街道笋西社区梨园路8号HALO广场一期四层12-13室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办公地址:深圳市罗湖区笋岗街道笋西社区梨园路8号HALO广场一期四层12-13室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法定代表人:薛峰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联系人:龚江江</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联系电话:0755-33227950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客户服务电话:4006-788-887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传真:0755-33227951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网址:www.zlfund.cn    www.jjmmw.com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(232)奕丰金融</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注册地址:深圳市前海深港合作区前湾一路1号A栋201室（入驻深圳市前海商务秘书有限公司）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办公地址:深圳市南山区海德三道航天科技广场A座17楼1704室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法定代表人:TEO WEE HOWE</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联系人:叶健</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联系电话:0755-89460507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客户服务电话:400-684-0500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传真:0755-21674453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网址:www.ifastps.com.cn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(233)晟视天下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注册地址:北京市怀柔区九渡河镇黄坎村735号03室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办公地址:北京市朝阳区朝外大街甲六号万通中心D座21层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法定代表人:蒋煜</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联系人:史俊杰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联系电话:010-58170936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客户服务电话:010-58170761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传真:010-58170800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网址:www.shengshiview.com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(234)鼎信汇金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注册地址:北京市朝阳区霄云路40号院1号楼3层306室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办公地址:北京市朝阳区霄云路40号院1号楼3层306室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法定代表人:齐凌峰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联系人:阮志凌</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联系电话:010-82050520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客户服务电话:400-158-5050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传真:010-82086110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网址:www.9ifund.com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(235)和讯信息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注册地址:北京市朝阳区朝外大街22号1002室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办公地址:北京市朝阳区朝外大街22号泛利大厦10层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法定代表人:章知方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联系人:陈慧慧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联系电话:010-85657353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客户服务电话:400-920-0022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传真:010-65884788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网址:http://licaike.hexun.com/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(236)金百临</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注册地址:无锡市滨湖区锦溪路99号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办公地址:江苏省无锡市太湖新城锦溪道楝泽路9号楼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法定代表人:费晓燕</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联系人:邹云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联系电话:0510-81188088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客户服务电话:0510-9688988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网址:www.jsjbl.com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(237)深圳新兰德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注册地址:深圳市福田区福田街道民田路178号华融大厦27层2704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办公地址:北京市西城区宣武门外大街28号富卓大厦A座16层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法定代表人:洪弘</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联系人:文雯</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联系电话:010-83363101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客户服务电话:400-166-1188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传真:010-83363010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网址:http://8.jrj.com.cn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(238)中证金牛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注册地址:北京市丰台区东管头1号2号楼2-45室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办公地址:北京市西城区宣武门外大街甲1号环球财讯中心A座5层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法定代表人:钱昊旻</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联系人:沈晨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联系电话:010-59336544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客户服务电话:4008-909-998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网址:www.jnlc.com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(239)鑫鼎盛</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注册地址:厦门市思明区鹭江道2号厦门第一广场西座1501-1502室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办公地址:厦门市思明区鹭江道2号厦门第一广场西座1501-1502室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法定代表人:林劲</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联系人:梁云波</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联系电话:0592-3122757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客户服务电话:400-6533-789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网址:www.xds.com.cn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(240)阳光人寿保险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注册地址:海南省三亚市迎宾路360-1号三亚阳光金融广场16层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办公地址:北京市朝阳区朝阳门外大街乙12号院1号昆泰国际大厦12层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法定代表人:李科</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联系人:王超</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联系电话:010-85632771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客户服务电话:95510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传真:010-85632773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网址:http://fund.sinosig.com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(241)中国人寿</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注册地址:北京市西城区金融大街16号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办公地址:北京市西城区金融大街16号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法定代表人:王滨</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联系人:杨子彤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联系电话:010-63631752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客户服务电话:95519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网址:www.e-chinalife.com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(242)和谐销售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注册地址:北京市朝阳区建国门外大街6号11层1102内103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办公地址:北京市朝阳区建国门外大街6号安邦金融中心</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法定代表人:左荣林</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联系人:张楠</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联系电话:010-85256214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客户服务电话:4008195569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网址:www.hx-sales.com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(243)华瑞保险销售</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注册地址:上海市嘉定区南翔镇众仁路399号运通星财富广场1号楼B座13、14层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办公地址:上海市浦东新区向城路288号国华人寿金融大厦8层806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法定代表人:路昊</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联系人:茆勇强</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联系电话:021-68595698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客户服务电话:952303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传真:021-68595766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网址:www.huaruisales.com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(244)玄元保险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注册地址:中国（上海）自由贸易试验区张杨路707号1105室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办公地址:中国（上海）自由贸易试验区张杨路707号1105室</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法定代表人:马永谙</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联系人:卢亚博</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联系电话:021-50701003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客户服务电话:400-080-8208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传真:021-50701053</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网址:https://www.licaimofang.cn/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(245)东证期货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注册地址:中国（上海）自由贸易试验区浦电路500号上海期货大厦14层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办公地址:上海市黄浦区中山南路318号2号楼22楼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法定代表人:卢大印</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联系人:张敏圆</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联系电话:021-63325888-4259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客户服务电话:4008859999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传真:021-63326752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网址:www.dzqh.com.cn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(246)弘业期货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注册地址:江苏省南京市秦淮区中华路50号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办公地址:江苏省南京市秦淮区中华路50号弘业大厦9楼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法定代表人:周剑秋</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联系人:张苏怡</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联系电话:025-52278981</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客户服务电话:400-828-1288</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网址:www.ftol.com.cn</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(247)徽商期货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注册地址:安徽省合肥市芜湖路258号3号楼6-7层，6号楼1-2层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办公地址:合肥市芜湖路258号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法定代表人:吴国华</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联系人:申倩倩</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联系电话:0551-62865215</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客户服务电话:400-887-8707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网址:www.hsqh.net</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(248)中国国际期货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注册地址:北京市朝阳区建国门外光华路14号1幢6层609号、610号</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办公地址:北京市朝阳区建国门外光华路14号1幢1层、2层、9层、11层、12层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法定代表人:王兵</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联系人:霍丽文</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联系电话:010-65807827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客户服务电话:95162</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传真:010-59539806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网址:http://www.cifco.net/</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(249)中信建投期货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注册地址:重庆市渝中区中山三路131号希尔顿商务中心27楼、30楼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办公地址:重庆市渝中区中山三路107号皇冠大厦11楼</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法定代表人:王广学</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联系人:刘芸</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联系电话:023-86769637</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客户服务电话:400-8877-780</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传真:023-86769629</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lastRenderedPageBreak/>
        <w:t>网址:www.cfc108.com</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(250)中信期货</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注册地址:广东省深圳市福田区中心三路8号卓越时代广场（二期）北座13层1301-1305室、14层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办公地址:深圳市福田区中心三路8号卓越时代广场（二期）北座13层1301-1305室、14层</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法定代表人:张皓</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联系人:刘宏莹</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联系电话:010-6083 3754</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客户服务电话:400-990-8826</w:t>
      </w:r>
    </w:p>
    <w:p w:rsidR="00162C05" w:rsidRPr="00162C0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传真:021-60819988</w:t>
      </w:r>
    </w:p>
    <w:p w:rsidR="00195415" w:rsidRDefault="00162C05" w:rsidP="00162C05">
      <w:pPr>
        <w:snapToGrid w:val="0"/>
        <w:spacing w:line="360" w:lineRule="auto"/>
        <w:ind w:firstLineChars="200" w:firstLine="420"/>
        <w:rPr>
          <w:rFonts w:asciiTheme="minorEastAsia" w:eastAsiaTheme="minorEastAsia" w:hAnsiTheme="minorEastAsia"/>
        </w:rPr>
      </w:pPr>
      <w:r w:rsidRPr="00162C05">
        <w:rPr>
          <w:rFonts w:asciiTheme="minorEastAsia" w:eastAsiaTheme="minorEastAsia" w:hAnsiTheme="minorEastAsia" w:hint="eastAsia"/>
        </w:rPr>
        <w:t>网址:www.citicsf.com</w:t>
      </w:r>
    </w:p>
    <w:p w:rsidR="00C607F8" w:rsidRPr="004A57FA" w:rsidRDefault="00C607F8" w:rsidP="00162C05">
      <w:pPr>
        <w:snapToGrid w:val="0"/>
        <w:spacing w:line="360" w:lineRule="auto"/>
        <w:ind w:firstLineChars="200" w:firstLine="420"/>
        <w:rPr>
          <w:rFonts w:asciiTheme="minorEastAsia" w:eastAsiaTheme="minorEastAsia" w:hAnsiTheme="minorEastAsia"/>
        </w:rPr>
      </w:pPr>
      <w:r w:rsidRPr="00C607F8">
        <w:rPr>
          <w:rFonts w:asciiTheme="minorEastAsia" w:eastAsiaTheme="minorEastAsia" w:hAnsiTheme="minorEastAsia" w:hint="eastAsia"/>
        </w:rPr>
        <w:t>基金管理人可根据情况变更或增减销售机构并在基金管理人网站公示。</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23" w:name="_Toc38432429"/>
      <w:bookmarkStart w:id="24" w:name="_Toc81230981"/>
      <w:r w:rsidRPr="004A57FA">
        <w:rPr>
          <w:rFonts w:asciiTheme="minorEastAsia" w:eastAsiaTheme="minorEastAsia" w:hAnsiTheme="minorEastAsia" w:hint="eastAsia"/>
          <w:b w:val="0"/>
          <w:bCs/>
          <w:szCs w:val="21"/>
        </w:rPr>
        <w:t>（二）基金注册登记机构</w:t>
      </w:r>
      <w:bookmarkEnd w:id="23"/>
      <w:bookmarkEnd w:id="24"/>
    </w:p>
    <w:p w:rsidR="00AF2EE6" w:rsidRPr="004A57FA" w:rsidRDefault="00AF2EE6" w:rsidP="00C53017">
      <w:pPr>
        <w:snapToGrid w:val="0"/>
        <w:spacing w:line="360" w:lineRule="auto"/>
        <w:ind w:firstLine="480"/>
        <w:rPr>
          <w:rFonts w:asciiTheme="minorEastAsia" w:eastAsiaTheme="minorEastAsia" w:hAnsiTheme="minorEastAsia"/>
        </w:rPr>
      </w:pPr>
      <w:r w:rsidRPr="004A57FA">
        <w:rPr>
          <w:rFonts w:asciiTheme="minorEastAsia" w:eastAsiaTheme="minorEastAsia" w:hAnsiTheme="minorEastAsia" w:hint="eastAsia"/>
        </w:rPr>
        <w:t>名称：易方达基金管理有限公司</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rPr>
        <w:t>注册地址：</w:t>
      </w:r>
      <w:r w:rsidR="0042062A" w:rsidRPr="004A57FA">
        <w:rPr>
          <w:rFonts w:asciiTheme="minorEastAsia" w:eastAsiaTheme="minorEastAsia" w:hAnsiTheme="minorEastAsia" w:cs="仿宋_GB2312" w:hint="eastAsia"/>
          <w:kern w:val="0"/>
        </w:rPr>
        <w:t>广东省珠海市横琴新区宝华路6号105室－42891（集中办公区）</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rPr>
        <w:t>办公</w:t>
      </w:r>
      <w:r w:rsidRPr="004A57FA">
        <w:rPr>
          <w:rFonts w:asciiTheme="minorEastAsia" w:eastAsiaTheme="minorEastAsia" w:hAnsiTheme="minorEastAsia" w:hint="eastAsia"/>
          <w:szCs w:val="21"/>
        </w:rPr>
        <w:t>地址：</w:t>
      </w:r>
      <w:r w:rsidR="00E44D46" w:rsidRPr="004A57FA">
        <w:rPr>
          <w:rFonts w:asciiTheme="minorEastAsia" w:eastAsiaTheme="minorEastAsia" w:hAnsiTheme="minorEastAsia"/>
        </w:rPr>
        <w:t>广州市</w:t>
      </w:r>
      <w:r w:rsidR="00E44D46" w:rsidRPr="004A57FA">
        <w:rPr>
          <w:rFonts w:asciiTheme="minorEastAsia" w:eastAsiaTheme="minorEastAsia" w:hAnsiTheme="minorEastAsia" w:hint="eastAsia"/>
        </w:rPr>
        <w:t>天河区珠江新城珠江东路30号广州银行大厦40-43楼</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法定代表人：</w:t>
      </w:r>
      <w:r w:rsidR="00781699" w:rsidRPr="004A57FA">
        <w:rPr>
          <w:rFonts w:asciiTheme="minorEastAsia" w:eastAsiaTheme="minorEastAsia" w:hAnsiTheme="minorEastAsia" w:hint="eastAsia"/>
          <w:szCs w:val="21"/>
        </w:rPr>
        <w:t>刘晓艳</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电话：4008818088</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传真：</w:t>
      </w:r>
      <w:r w:rsidRPr="004A57FA">
        <w:rPr>
          <w:rFonts w:asciiTheme="minorEastAsia" w:eastAsiaTheme="minorEastAsia" w:hAnsiTheme="minorEastAsia"/>
          <w:szCs w:val="21"/>
        </w:rPr>
        <w:t>020</w:t>
      </w:r>
      <w:r w:rsidRPr="004A57FA">
        <w:rPr>
          <w:rFonts w:asciiTheme="minorEastAsia" w:eastAsiaTheme="minorEastAsia" w:hAnsiTheme="minorEastAsia" w:hint="eastAsia"/>
          <w:szCs w:val="21"/>
        </w:rPr>
        <w:t>-38799249</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联系人：余贤高</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25" w:name="_Toc38432430"/>
      <w:bookmarkStart w:id="26" w:name="_Toc81230982"/>
      <w:r w:rsidRPr="004A57FA">
        <w:rPr>
          <w:rFonts w:asciiTheme="minorEastAsia" w:eastAsiaTheme="minorEastAsia" w:hAnsiTheme="minorEastAsia" w:hint="eastAsia"/>
          <w:b w:val="0"/>
          <w:bCs/>
          <w:szCs w:val="21"/>
        </w:rPr>
        <w:t>（三）律师事务所和经办律师</w:t>
      </w:r>
      <w:bookmarkEnd w:id="25"/>
      <w:bookmarkEnd w:id="26"/>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名称：北京市天元律师事务所</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住所：北京市西城区丰盛胡同28号太平洋保险大厦10层</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负责人：王立华</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联系电话：（010）88092188</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传真：（010）88092150</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联系人：王立华</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经办律师：陈华、杨科</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27" w:name="_Toc38432431"/>
      <w:bookmarkStart w:id="28" w:name="_Toc81230983"/>
      <w:r w:rsidRPr="004A57FA">
        <w:rPr>
          <w:rFonts w:asciiTheme="minorEastAsia" w:eastAsiaTheme="minorEastAsia" w:hAnsiTheme="minorEastAsia" w:hint="eastAsia"/>
          <w:b w:val="0"/>
          <w:bCs/>
          <w:szCs w:val="21"/>
        </w:rPr>
        <w:t>（四）会计师事务所和经办注册会计师</w:t>
      </w:r>
      <w:bookmarkEnd w:id="27"/>
      <w:bookmarkEnd w:id="28"/>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会计师事务所：</w:t>
      </w:r>
      <w:r w:rsidR="001F0045" w:rsidRPr="004A57FA">
        <w:rPr>
          <w:rFonts w:asciiTheme="minorEastAsia" w:eastAsiaTheme="minorEastAsia" w:hAnsiTheme="minorEastAsia" w:hint="eastAsia"/>
          <w:szCs w:val="21"/>
        </w:rPr>
        <w:t>安永华明会计师事务所（特殊普通合伙）</w:t>
      </w:r>
    </w:p>
    <w:p w:rsidR="009D5705" w:rsidRPr="004A57FA" w:rsidRDefault="00565680"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主要经营场所</w:t>
      </w:r>
      <w:r w:rsidR="00AF2EE6" w:rsidRPr="004A57FA">
        <w:rPr>
          <w:rFonts w:asciiTheme="minorEastAsia" w:eastAsiaTheme="minorEastAsia" w:hAnsiTheme="minorEastAsia" w:hint="eastAsia"/>
          <w:szCs w:val="21"/>
        </w:rPr>
        <w:t>：</w:t>
      </w:r>
      <w:r w:rsidR="001F0045" w:rsidRPr="004A57FA">
        <w:rPr>
          <w:rFonts w:asciiTheme="minorEastAsia" w:eastAsiaTheme="minorEastAsia" w:hAnsiTheme="minorEastAsia" w:hint="eastAsia"/>
          <w:szCs w:val="21"/>
        </w:rPr>
        <w:t>北京市东城区东长安街</w:t>
      </w:r>
      <w:r w:rsidR="001F0045" w:rsidRPr="004A57FA">
        <w:rPr>
          <w:rFonts w:asciiTheme="minorEastAsia" w:eastAsiaTheme="minorEastAsia" w:hAnsiTheme="minorEastAsia"/>
          <w:szCs w:val="21"/>
        </w:rPr>
        <w:t>1</w:t>
      </w:r>
      <w:r w:rsidR="001F0045" w:rsidRPr="004A57FA">
        <w:rPr>
          <w:rFonts w:asciiTheme="minorEastAsia" w:eastAsiaTheme="minorEastAsia" w:hAnsiTheme="minorEastAsia" w:hint="eastAsia"/>
          <w:szCs w:val="21"/>
        </w:rPr>
        <w:t>号东方广场安永大楼</w:t>
      </w:r>
      <w:r w:rsidR="001F0045" w:rsidRPr="004A57FA">
        <w:rPr>
          <w:rFonts w:asciiTheme="minorEastAsia" w:eastAsiaTheme="minorEastAsia" w:hAnsiTheme="minorEastAsia"/>
          <w:szCs w:val="21"/>
        </w:rPr>
        <w:t>17</w:t>
      </w:r>
      <w:r w:rsidR="001F0045" w:rsidRPr="004A57FA">
        <w:rPr>
          <w:rFonts w:asciiTheme="minorEastAsia" w:eastAsiaTheme="minorEastAsia" w:hAnsiTheme="minorEastAsia" w:hint="eastAsia"/>
          <w:szCs w:val="21"/>
        </w:rPr>
        <w:t>层</w:t>
      </w:r>
      <w:r w:rsidR="001F0045" w:rsidRPr="004A57FA">
        <w:rPr>
          <w:rFonts w:asciiTheme="minorEastAsia" w:eastAsiaTheme="minorEastAsia" w:hAnsiTheme="minorEastAsia"/>
          <w:szCs w:val="21"/>
        </w:rPr>
        <w:t>01-12</w:t>
      </w:r>
      <w:r w:rsidR="001F0045" w:rsidRPr="004A57FA">
        <w:rPr>
          <w:rFonts w:asciiTheme="minorEastAsia" w:eastAsiaTheme="minorEastAsia" w:hAnsiTheme="minorEastAsia" w:hint="eastAsia"/>
          <w:szCs w:val="21"/>
        </w:rPr>
        <w:t>室</w:t>
      </w:r>
    </w:p>
    <w:p w:rsidR="00AF2EE6" w:rsidRPr="004A57FA" w:rsidRDefault="00726045"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执行事务合伙人</w:t>
      </w:r>
      <w:r w:rsidR="00AF2EE6" w:rsidRPr="004A57FA">
        <w:rPr>
          <w:rFonts w:asciiTheme="minorEastAsia" w:eastAsiaTheme="minorEastAsia" w:hAnsiTheme="minorEastAsia" w:hint="eastAsia"/>
          <w:szCs w:val="21"/>
        </w:rPr>
        <w:t>：</w:t>
      </w:r>
      <w:r w:rsidR="002A38FC" w:rsidRPr="004A57FA">
        <w:rPr>
          <w:rFonts w:asciiTheme="minorEastAsia" w:eastAsiaTheme="minorEastAsia" w:hAnsiTheme="minorEastAsia"/>
          <w:szCs w:val="21"/>
        </w:rPr>
        <w:t>TonyMao</w:t>
      </w:r>
      <w:r w:rsidR="002A38FC" w:rsidRPr="004A57FA">
        <w:rPr>
          <w:rFonts w:asciiTheme="minorEastAsia" w:eastAsiaTheme="minorEastAsia" w:hAnsiTheme="minorEastAsia" w:hint="eastAsia"/>
          <w:szCs w:val="21"/>
        </w:rPr>
        <w:t>毛鞍宁</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电话：010-58153000</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传真：010-85188298</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经办注册会计师：</w:t>
      </w:r>
      <w:r w:rsidR="00195415" w:rsidRPr="004A57FA">
        <w:rPr>
          <w:rFonts w:asciiTheme="minorEastAsia" w:eastAsiaTheme="minorEastAsia" w:hAnsiTheme="minorEastAsia" w:hint="eastAsia"/>
          <w:szCs w:val="21"/>
        </w:rPr>
        <w:t>昌华、马婧</w:t>
      </w:r>
    </w:p>
    <w:p w:rsidR="00385845" w:rsidRPr="004A57FA" w:rsidRDefault="00AF2EE6" w:rsidP="008F055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联系人：</w:t>
      </w:r>
      <w:r w:rsidR="00E97823" w:rsidRPr="004A57FA">
        <w:rPr>
          <w:rFonts w:asciiTheme="minorEastAsia" w:eastAsiaTheme="minorEastAsia" w:hAnsiTheme="minorEastAsia" w:hint="eastAsia"/>
          <w:szCs w:val="21"/>
        </w:rPr>
        <w:t>昌华</w:t>
      </w:r>
      <w:r w:rsidR="00385845" w:rsidRPr="004A57FA">
        <w:rPr>
          <w:rFonts w:asciiTheme="minorEastAsia" w:eastAsiaTheme="minorEastAsia" w:hAnsiTheme="minorEastAsia"/>
          <w:szCs w:val="21"/>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9" w:name="_Toc38432432"/>
      <w:bookmarkStart w:id="30" w:name="_Toc81230984"/>
      <w:r w:rsidRPr="004A57FA">
        <w:rPr>
          <w:rFonts w:asciiTheme="minorEastAsia" w:eastAsiaTheme="minorEastAsia" w:hAnsiTheme="minorEastAsia" w:hint="eastAsia"/>
          <w:b/>
          <w:bCs/>
        </w:rPr>
        <w:lastRenderedPageBreak/>
        <w:t>六、基金的历史沿革</w:t>
      </w:r>
      <w:bookmarkEnd w:id="29"/>
      <w:bookmarkEnd w:id="30"/>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31" w:name="_Toc38432433"/>
      <w:r w:rsidRPr="004A57FA">
        <w:rPr>
          <w:rFonts w:asciiTheme="minorEastAsia" w:eastAsiaTheme="minorEastAsia" w:hAnsiTheme="minorEastAsia" w:hint="eastAsia"/>
          <w:szCs w:val="21"/>
        </w:rPr>
        <w:t>本基金由科翔证券投资基金（以下简称“基金科翔”）转型而来。</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基金科翔是按《证券投资基金管理暂行办法》、国务院关于原有投资基金清理规范的有关要求和中国证监会证监基金字</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2000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19号文批准</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由原广发投资基金二期及南方投资基金清理规范后合并而成的契约型封闭式投资基金。</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根据</w:t>
      </w:r>
      <w:smartTag w:uri="urn:schemas-microsoft-com:office:smarttags" w:element="chsdate">
        <w:smartTagPr>
          <w:attr w:name="Year" w:val="2000"/>
          <w:attr w:name="Month" w:val="6"/>
          <w:attr w:name="Day" w:val="30"/>
          <w:attr w:name="IsLunarDate" w:val="False"/>
          <w:attr w:name="IsROCDate" w:val="False"/>
        </w:smartTagPr>
        <w:r w:rsidRPr="004A57FA">
          <w:rPr>
            <w:rFonts w:asciiTheme="minorEastAsia" w:eastAsiaTheme="minorEastAsia" w:hAnsiTheme="minorEastAsia" w:hint="eastAsia"/>
            <w:szCs w:val="21"/>
          </w:rPr>
          <w:t>2000年6月30日</w:t>
        </w:r>
      </w:smartTag>
      <w:r w:rsidRPr="004A57FA">
        <w:rPr>
          <w:rFonts w:asciiTheme="minorEastAsia" w:eastAsiaTheme="minorEastAsia" w:hAnsiTheme="minorEastAsia" w:hint="eastAsia"/>
          <w:szCs w:val="21"/>
        </w:rPr>
        <w:t>原基金持有人大会决议，基金管理人更换为易方达基金管理有限公司，基金托管人更换为中国工商银行，并于</w:t>
      </w:r>
      <w:smartTag w:uri="urn:schemas-microsoft-com:office:smarttags" w:element="chsdate">
        <w:smartTagPr>
          <w:attr w:name="Year" w:val="2000"/>
          <w:attr w:name="Month" w:val="7"/>
          <w:attr w:name="Day" w:val="18"/>
          <w:attr w:name="IsLunarDate" w:val="False"/>
          <w:attr w:name="IsROCDate" w:val="False"/>
        </w:smartTagPr>
        <w:r w:rsidRPr="004A57FA">
          <w:rPr>
            <w:rFonts w:asciiTheme="minorEastAsia" w:eastAsiaTheme="minorEastAsia" w:hAnsiTheme="minorEastAsia" w:hint="eastAsia"/>
            <w:szCs w:val="21"/>
          </w:rPr>
          <w:t>2000年7月18日</w:t>
        </w:r>
      </w:smartTag>
      <w:r w:rsidRPr="004A57FA">
        <w:rPr>
          <w:rFonts w:asciiTheme="minorEastAsia" w:eastAsiaTheme="minorEastAsia" w:hAnsiTheme="minorEastAsia" w:hint="eastAsia"/>
          <w:szCs w:val="21"/>
        </w:rPr>
        <w:t>开始办理资产移交手续。根据</w:t>
      </w:r>
      <w:smartTag w:uri="urn:schemas-microsoft-com:office:smarttags" w:element="chsdate">
        <w:smartTagPr>
          <w:attr w:name="Year" w:val="2001"/>
          <w:attr w:name="Month" w:val="5"/>
          <w:attr w:name="Day" w:val="25"/>
          <w:attr w:name="IsLunarDate" w:val="False"/>
          <w:attr w:name="IsROCDate" w:val="False"/>
        </w:smartTagPr>
        <w:r w:rsidRPr="004A57FA">
          <w:rPr>
            <w:rFonts w:asciiTheme="minorEastAsia" w:eastAsiaTheme="minorEastAsia" w:hAnsiTheme="minorEastAsia" w:hint="eastAsia"/>
            <w:szCs w:val="21"/>
          </w:rPr>
          <w:t>2001年5月25日</w:t>
        </w:r>
      </w:smartTag>
      <w:r w:rsidRPr="004A57FA">
        <w:rPr>
          <w:rFonts w:asciiTheme="minorEastAsia" w:eastAsiaTheme="minorEastAsia" w:hAnsiTheme="minorEastAsia" w:hint="eastAsia"/>
          <w:szCs w:val="21"/>
        </w:rPr>
        <w:t>中国证监会证监基金字[2001]11号文件《关于同意科汇、科讯、科翔证券投资基金上市、扩募和续期的批复》批准，基金合同正式生效。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基金科翔于</w:t>
      </w:r>
      <w:smartTag w:uri="urn:schemas-microsoft-com:office:smarttags" w:element="chsdate">
        <w:smartTagPr>
          <w:attr w:name="Year" w:val="2001"/>
          <w:attr w:name="Month" w:val="7"/>
          <w:attr w:name="Day" w:val="2"/>
          <w:attr w:name="IsLunarDate" w:val="False"/>
          <w:attr w:name="IsROCDate" w:val="False"/>
        </w:smartTagPr>
        <w:r w:rsidRPr="004A57FA">
          <w:rPr>
            <w:rFonts w:asciiTheme="minorEastAsia" w:eastAsiaTheme="minorEastAsia" w:hAnsiTheme="minorEastAsia" w:hint="eastAsia"/>
            <w:szCs w:val="21"/>
          </w:rPr>
          <w:t>2001年7月2日</w:t>
        </w:r>
      </w:smartTag>
      <w:r w:rsidRPr="004A57FA">
        <w:rPr>
          <w:rFonts w:asciiTheme="minorEastAsia" w:eastAsiaTheme="minorEastAsia" w:hAnsiTheme="minorEastAsia" w:hint="eastAsia"/>
          <w:szCs w:val="21"/>
        </w:rPr>
        <w:t>完成扩募，基金规模由281,211,609份扩募至8亿份基金份额，存续期由</w:t>
      </w:r>
      <w:smartTag w:uri="urn:schemas-microsoft-com:office:smarttags" w:element="chsdate">
        <w:smartTagPr>
          <w:attr w:name="Year" w:val="1993"/>
          <w:attr w:name="Month" w:val="12"/>
          <w:attr w:name="Day" w:val="14"/>
          <w:attr w:name="IsLunarDate" w:val="False"/>
          <w:attr w:name="IsROCDate" w:val="False"/>
        </w:smartTagPr>
        <w:r w:rsidRPr="004A57FA">
          <w:rPr>
            <w:rFonts w:asciiTheme="minorEastAsia" w:eastAsiaTheme="minorEastAsia" w:hAnsiTheme="minorEastAsia" w:hint="eastAsia"/>
            <w:szCs w:val="21"/>
          </w:rPr>
          <w:t>1993年12月14日</w:t>
        </w:r>
      </w:smartTag>
      <w:r w:rsidRPr="004A57FA">
        <w:rPr>
          <w:rFonts w:asciiTheme="minorEastAsia" w:eastAsiaTheme="minorEastAsia" w:hAnsiTheme="minorEastAsia" w:hint="eastAsia"/>
          <w:szCs w:val="21"/>
        </w:rPr>
        <w:t>至</w:t>
      </w:r>
      <w:smartTag w:uri="urn:schemas-microsoft-com:office:smarttags" w:element="chsdate">
        <w:smartTagPr>
          <w:attr w:name="Year" w:val="2003"/>
          <w:attr w:name="Month" w:val="12"/>
          <w:attr w:name="Day" w:val="13"/>
          <w:attr w:name="IsLunarDate" w:val="False"/>
          <w:attr w:name="IsROCDate" w:val="False"/>
        </w:smartTagPr>
        <w:r w:rsidRPr="004A57FA">
          <w:rPr>
            <w:rFonts w:asciiTheme="minorEastAsia" w:eastAsiaTheme="minorEastAsia" w:hAnsiTheme="minorEastAsia" w:hint="eastAsia"/>
            <w:szCs w:val="21"/>
          </w:rPr>
          <w:t>2003年12月13日</w:t>
        </w:r>
      </w:smartTag>
      <w:r w:rsidRPr="004A57FA">
        <w:rPr>
          <w:rFonts w:asciiTheme="minorEastAsia" w:eastAsiaTheme="minorEastAsia" w:hAnsiTheme="minorEastAsia" w:hint="eastAsia"/>
          <w:szCs w:val="21"/>
        </w:rPr>
        <w:t>延长5年至</w:t>
      </w:r>
      <w:smartTag w:uri="urn:schemas-microsoft-com:office:smarttags" w:element="chsdate">
        <w:smartTagPr>
          <w:attr w:name="Year" w:val="2008"/>
          <w:attr w:name="Month" w:val="12"/>
          <w:attr w:name="Day" w:val="13"/>
          <w:attr w:name="IsLunarDate" w:val="False"/>
          <w:attr w:name="IsROCDate" w:val="False"/>
        </w:smartTagPr>
        <w:r w:rsidRPr="004A57FA">
          <w:rPr>
            <w:rFonts w:asciiTheme="minorEastAsia" w:eastAsiaTheme="minorEastAsia" w:hAnsiTheme="minorEastAsia" w:hint="eastAsia"/>
            <w:szCs w:val="21"/>
          </w:rPr>
          <w:t>2008年12月13日</w:t>
        </w:r>
      </w:smartTag>
      <w:r w:rsidRPr="004A57FA">
        <w:rPr>
          <w:rFonts w:asciiTheme="minorEastAsia" w:eastAsiaTheme="minorEastAsia" w:hAnsiTheme="minorEastAsia" w:hint="eastAsia"/>
          <w:szCs w:val="21"/>
        </w:rPr>
        <w:t>。经深圳证券交易所（简称“深交所”）深证上[2001]61号文批准，基金科翔于</w:t>
      </w:r>
      <w:smartTag w:uri="urn:schemas-microsoft-com:office:smarttags" w:element="chsdate">
        <w:smartTagPr>
          <w:attr w:name="Year" w:val="2001"/>
          <w:attr w:name="Month" w:val="6"/>
          <w:attr w:name="Day" w:val="20"/>
          <w:attr w:name="IsLunarDate" w:val="False"/>
          <w:attr w:name="IsROCDate" w:val="False"/>
        </w:smartTagPr>
        <w:r w:rsidRPr="004A57FA">
          <w:rPr>
            <w:rFonts w:asciiTheme="minorEastAsia" w:eastAsiaTheme="minorEastAsia" w:hAnsiTheme="minorEastAsia" w:hint="eastAsia"/>
            <w:szCs w:val="21"/>
          </w:rPr>
          <w:t>2001年6月20日</w:t>
        </w:r>
      </w:smartTag>
      <w:r w:rsidRPr="004A57FA">
        <w:rPr>
          <w:rFonts w:asciiTheme="minorEastAsia" w:eastAsiaTheme="minorEastAsia" w:hAnsiTheme="minorEastAsia" w:hint="eastAsia"/>
          <w:szCs w:val="21"/>
        </w:rPr>
        <w:t>在深交所挂牌交易。</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smartTag w:uri="urn:schemas-microsoft-com:office:smarttags" w:element="chsdate">
        <w:smartTagPr>
          <w:attr w:name="Year" w:val="2008"/>
          <w:attr w:name="Month" w:val="8"/>
          <w:attr w:name="Day" w:val="26"/>
          <w:attr w:name="IsLunarDate" w:val="False"/>
          <w:attr w:name="IsROCDate" w:val="False"/>
        </w:smartTagPr>
        <w:r w:rsidRPr="004A57FA">
          <w:rPr>
            <w:rFonts w:asciiTheme="minorEastAsia" w:eastAsiaTheme="minorEastAsia" w:hAnsiTheme="minorEastAsia"/>
            <w:szCs w:val="21"/>
          </w:rPr>
          <w:t>2008年</w:t>
        </w:r>
        <w:r w:rsidRPr="004A57FA">
          <w:rPr>
            <w:rFonts w:asciiTheme="minorEastAsia" w:eastAsiaTheme="minorEastAsia" w:hAnsiTheme="minorEastAsia" w:hint="eastAsia"/>
            <w:szCs w:val="21"/>
          </w:rPr>
          <w:t>8</w:t>
        </w:r>
        <w:r w:rsidRPr="004A57FA">
          <w:rPr>
            <w:rFonts w:asciiTheme="minorEastAsia" w:eastAsiaTheme="minorEastAsia" w:hAnsiTheme="minorEastAsia"/>
            <w:szCs w:val="21"/>
          </w:rPr>
          <w:t>月</w:t>
        </w:r>
        <w:r w:rsidRPr="004A57FA">
          <w:rPr>
            <w:rFonts w:asciiTheme="minorEastAsia" w:eastAsiaTheme="minorEastAsia" w:hAnsiTheme="minorEastAsia" w:hint="eastAsia"/>
            <w:szCs w:val="21"/>
          </w:rPr>
          <w:t>26</w:t>
        </w:r>
        <w:r w:rsidRPr="004A57FA">
          <w:rPr>
            <w:rFonts w:asciiTheme="minorEastAsia" w:eastAsiaTheme="minorEastAsia" w:hAnsiTheme="minorEastAsia"/>
            <w:szCs w:val="21"/>
          </w:rPr>
          <w:t>日</w:t>
        </w:r>
      </w:smartTag>
      <w:r w:rsidRPr="004A57FA">
        <w:rPr>
          <w:rFonts w:asciiTheme="minorEastAsia" w:eastAsiaTheme="minorEastAsia" w:hAnsiTheme="minorEastAsia"/>
          <w:szCs w:val="21"/>
        </w:rPr>
        <w:t>至</w:t>
      </w:r>
      <w:smartTag w:uri="urn:schemas-microsoft-com:office:smarttags" w:element="chsdate">
        <w:smartTagPr>
          <w:attr w:name="Year" w:val="2008"/>
          <w:attr w:name="Month" w:val="9"/>
          <w:attr w:name="Day" w:val="18"/>
          <w:attr w:name="IsLunarDate" w:val="False"/>
          <w:attr w:name="IsROCDate" w:val="False"/>
        </w:smartTagPr>
        <w:r w:rsidRPr="004A57FA">
          <w:rPr>
            <w:rFonts w:asciiTheme="minorEastAsia" w:eastAsiaTheme="minorEastAsia" w:hAnsiTheme="minorEastAsia"/>
            <w:szCs w:val="21"/>
          </w:rPr>
          <w:t>2008年</w:t>
        </w:r>
        <w:r w:rsidRPr="004A57FA">
          <w:rPr>
            <w:rFonts w:asciiTheme="minorEastAsia" w:eastAsiaTheme="minorEastAsia" w:hAnsiTheme="minorEastAsia" w:hint="eastAsia"/>
            <w:szCs w:val="21"/>
          </w:rPr>
          <w:t>9</w:t>
        </w:r>
        <w:r w:rsidRPr="004A57FA">
          <w:rPr>
            <w:rFonts w:asciiTheme="minorEastAsia" w:eastAsiaTheme="minorEastAsia" w:hAnsiTheme="minorEastAsia"/>
            <w:szCs w:val="21"/>
          </w:rPr>
          <w:t>月</w:t>
        </w:r>
        <w:r w:rsidRPr="004A57FA">
          <w:rPr>
            <w:rFonts w:asciiTheme="minorEastAsia" w:eastAsiaTheme="minorEastAsia" w:hAnsiTheme="minorEastAsia" w:hint="eastAsia"/>
            <w:szCs w:val="21"/>
          </w:rPr>
          <w:t>18</w:t>
        </w:r>
        <w:r w:rsidRPr="004A57FA">
          <w:rPr>
            <w:rFonts w:asciiTheme="minorEastAsia" w:eastAsiaTheme="minorEastAsia" w:hAnsiTheme="minorEastAsia"/>
            <w:szCs w:val="21"/>
          </w:rPr>
          <w:t>日</w:t>
        </w:r>
      </w:smartTag>
      <w:r w:rsidRPr="004A57FA">
        <w:rPr>
          <w:rFonts w:asciiTheme="minorEastAsia" w:eastAsiaTheme="minorEastAsia" w:hAnsiTheme="minorEastAsia" w:hint="eastAsia"/>
          <w:szCs w:val="21"/>
        </w:rPr>
        <w:t>，基金科翔基金份额持有人大会以通讯方式召开，大会通过了《</w:t>
      </w:r>
      <w:r w:rsidRPr="004A57FA">
        <w:rPr>
          <w:rFonts w:asciiTheme="minorEastAsia" w:eastAsiaTheme="minorEastAsia" w:hAnsiTheme="minorEastAsia"/>
          <w:szCs w:val="21"/>
        </w:rPr>
        <w:t>关于科翔证券投资基金转型有关事项的议案</w:t>
      </w:r>
      <w:r w:rsidRPr="004A57FA">
        <w:rPr>
          <w:rFonts w:asciiTheme="minorEastAsia" w:eastAsiaTheme="minorEastAsia" w:hAnsiTheme="minorEastAsia" w:hint="eastAsia"/>
          <w:szCs w:val="21"/>
        </w:rPr>
        <w:t>》，内容包括基金科翔由封闭式基金转为开放式基金、调整存续期限、终止上市、调整投资目标、投资范围、投资策略以及修订基金合同等。依据中国证监会</w:t>
      </w:r>
      <w:r w:rsidRPr="004A57FA">
        <w:rPr>
          <w:rFonts w:asciiTheme="minorEastAsia" w:eastAsiaTheme="minorEastAsia" w:hAnsiTheme="minorEastAsia"/>
          <w:szCs w:val="21"/>
        </w:rPr>
        <w:t>200</w:t>
      </w:r>
      <w:r w:rsidRPr="004A57FA">
        <w:rPr>
          <w:rFonts w:asciiTheme="minorEastAsia" w:eastAsiaTheme="minorEastAsia" w:hAnsiTheme="minorEastAsia" w:hint="eastAsia"/>
          <w:szCs w:val="21"/>
        </w:rPr>
        <w:t>8年10月29日证监许可</w:t>
      </w:r>
      <w:r w:rsidRPr="004A57FA">
        <w:rPr>
          <w:rFonts w:asciiTheme="minorEastAsia" w:eastAsiaTheme="minorEastAsia" w:hAnsiTheme="minorEastAsia"/>
          <w:szCs w:val="21"/>
        </w:rPr>
        <w:t>[200</w:t>
      </w:r>
      <w:r w:rsidRPr="004A57FA">
        <w:rPr>
          <w:rFonts w:asciiTheme="minorEastAsia" w:eastAsiaTheme="minorEastAsia" w:hAnsiTheme="minorEastAsia" w:hint="eastAsia"/>
          <w:szCs w:val="21"/>
        </w:rPr>
        <w:t>8</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1221号文核准，基金份额持有人大会决议生效。依据基金份额持有人大会决议，基金管理人向深交所申请基金终止上市，自基金终止上市之日起，原《科翔证券投资基金基金合同》失效，《易方达科翔股票型证券投资基金基金合同》生效，基金正式转型为开放式基金，存续期限调整为无限期，基金投资目标、范围和策略进行调整，同时基金更名为</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易方达科翔股票型证券投资基金</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w:t>
      </w:r>
    </w:p>
    <w:bookmarkEnd w:id="31"/>
    <w:p w:rsidR="00990433" w:rsidRPr="004A57FA" w:rsidRDefault="00990433"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2015年7月25日，根据《运作办法》的规定，本基金变更基金类别并由“易方达科翔股票型证券投资基金”更名为“易方达科翔混合型证券投资基金”。</w:t>
      </w:r>
    </w:p>
    <w:p w:rsidR="00AF2EE6" w:rsidRPr="004A57FA" w:rsidRDefault="00AF2EE6" w:rsidP="00C53017">
      <w:pPr>
        <w:snapToGrid w:val="0"/>
        <w:spacing w:line="360" w:lineRule="auto"/>
        <w:rPr>
          <w:rFonts w:asciiTheme="minorEastAsia" w:eastAsiaTheme="minorEastAsia" w:hAnsiTheme="minorEastAsia"/>
        </w:rPr>
      </w:pPr>
    </w:p>
    <w:p w:rsidR="00DB77B6" w:rsidRPr="004A57FA" w:rsidRDefault="00DB77B6" w:rsidP="00C53017">
      <w:pPr>
        <w:snapToGrid w:val="0"/>
        <w:spacing w:line="360" w:lineRule="auto"/>
        <w:rPr>
          <w:rFonts w:asciiTheme="minorEastAsia" w:eastAsiaTheme="minorEastAsia" w:hAnsiTheme="minorEastAsia"/>
        </w:rPr>
      </w:pPr>
    </w:p>
    <w:p w:rsidR="00DB77B6" w:rsidRPr="004A57FA" w:rsidRDefault="00DB77B6" w:rsidP="00C53017">
      <w:pPr>
        <w:snapToGrid w:val="0"/>
        <w:spacing w:line="360" w:lineRule="auto"/>
        <w:rPr>
          <w:rFonts w:asciiTheme="minorEastAsia" w:eastAsiaTheme="minorEastAsia" w:hAnsiTheme="minorEastAsia"/>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tabs>
          <w:tab w:val="left" w:pos="2385"/>
        </w:tabs>
        <w:snapToGrid w:val="0"/>
        <w:spacing w:beforeLines="0" w:afterLines="0" w:line="360" w:lineRule="auto"/>
        <w:ind w:firstLineChars="1000" w:firstLine="3213"/>
        <w:jc w:val="both"/>
        <w:rPr>
          <w:rFonts w:asciiTheme="minorEastAsia" w:eastAsiaTheme="minorEastAsia" w:hAnsiTheme="minorEastAsia"/>
          <w:b/>
        </w:rPr>
      </w:pPr>
      <w:bookmarkStart w:id="32" w:name="_Toc81230985"/>
      <w:r w:rsidRPr="004A57FA">
        <w:rPr>
          <w:rFonts w:asciiTheme="minorEastAsia" w:eastAsiaTheme="minorEastAsia" w:hAnsiTheme="minorEastAsia" w:hint="eastAsia"/>
          <w:b/>
          <w:bCs/>
        </w:rPr>
        <w:lastRenderedPageBreak/>
        <w:t>七、基金的存续</w:t>
      </w:r>
      <w:bookmarkEnd w:id="32"/>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33" w:name="_Toc38432438"/>
      <w:bookmarkStart w:id="34" w:name="_Toc200522910"/>
      <w:r w:rsidRPr="004A57FA">
        <w:rPr>
          <w:rFonts w:asciiTheme="minorEastAsia" w:eastAsiaTheme="minorEastAsia" w:hAnsiTheme="minorEastAsia" w:hint="eastAsia"/>
          <w:szCs w:val="21"/>
        </w:rPr>
        <w:t>（一）基金份额的变更登记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自基金科翔终止上市之日起</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个工作日内，基金管理人向中国证券登记结算有限责任公司申请办理基金份额的变更登记。基金管理人向中国证券登记结算有限责任公司深圳分公司取得终止上市权益登记日的基金份额持有人名册之后，将投资者权益数据转登记到易方达基金管理有限公司的注册登记系统，进行投资者持有基金份额的初始登记，并进行基金份额更名以及必要的信息变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（二）基金存续期内的基金份额持有人数量和资产规模</w:t>
      </w:r>
    </w:p>
    <w:p w:rsidR="00674F75" w:rsidRPr="004A57FA" w:rsidRDefault="00E131A2"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法律法规另有规定时，从其规定。</w:t>
      </w:r>
      <w:bookmarkStart w:id="35" w:name="_Toc181718225"/>
      <w:bookmarkEnd w:id="33"/>
      <w:bookmarkEnd w:id="34"/>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Chars="0" w:firstLine="0"/>
        <w:rPr>
          <w:rFonts w:asciiTheme="minorEastAsia" w:eastAsiaTheme="minorEastAsia" w:hAnsiTheme="minorEastAsia"/>
          <w:b/>
          <w:bCs/>
        </w:rPr>
      </w:pPr>
      <w:bookmarkStart w:id="36" w:name="_Toc81230986"/>
      <w:r w:rsidRPr="004A57FA">
        <w:rPr>
          <w:rFonts w:asciiTheme="minorEastAsia" w:eastAsiaTheme="minorEastAsia" w:hAnsiTheme="minorEastAsia" w:hint="eastAsia"/>
          <w:b/>
          <w:bCs/>
        </w:rPr>
        <w:lastRenderedPageBreak/>
        <w:t>八、基金的集中申购</w:t>
      </w:r>
      <w:bookmarkEnd w:id="35"/>
      <w:bookmarkEnd w:id="36"/>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本基金集中申购期为</w:t>
      </w:r>
      <w:smartTag w:uri="urn:schemas-microsoft-com:office:smarttags" w:element="chsdate">
        <w:smartTagPr>
          <w:attr w:name="Year" w:val="2008"/>
          <w:attr w:name="Month" w:val="11"/>
          <w:attr w:name="Day" w:val="18"/>
          <w:attr w:name="IsLunarDate" w:val="False"/>
          <w:attr w:name="IsROCDate" w:val="False"/>
        </w:smartTagPr>
        <w:r w:rsidRPr="004A57FA">
          <w:rPr>
            <w:rFonts w:asciiTheme="minorEastAsia" w:eastAsiaTheme="minorEastAsia" w:hAnsiTheme="minorEastAsia"/>
            <w:szCs w:val="21"/>
          </w:rPr>
          <w:t>2008年</w:t>
        </w:r>
        <w:r w:rsidRPr="004A57FA">
          <w:rPr>
            <w:rFonts w:asciiTheme="minorEastAsia" w:eastAsiaTheme="minorEastAsia" w:hAnsiTheme="minorEastAsia" w:hint="eastAsia"/>
            <w:szCs w:val="21"/>
          </w:rPr>
          <w:t>11</w:t>
        </w:r>
        <w:r w:rsidRPr="004A57FA">
          <w:rPr>
            <w:rFonts w:asciiTheme="minorEastAsia" w:eastAsiaTheme="minorEastAsia" w:hAnsiTheme="minorEastAsia"/>
            <w:szCs w:val="21"/>
          </w:rPr>
          <w:t>月</w:t>
        </w:r>
        <w:r w:rsidRPr="004A57FA">
          <w:rPr>
            <w:rFonts w:asciiTheme="minorEastAsia" w:eastAsiaTheme="minorEastAsia" w:hAnsiTheme="minorEastAsia" w:hint="eastAsia"/>
            <w:szCs w:val="21"/>
          </w:rPr>
          <w:t>18</w:t>
        </w:r>
        <w:r w:rsidRPr="004A57FA">
          <w:rPr>
            <w:rFonts w:asciiTheme="minorEastAsia" w:eastAsiaTheme="minorEastAsia" w:hAnsiTheme="minorEastAsia"/>
            <w:szCs w:val="21"/>
          </w:rPr>
          <w:t>日</w:t>
        </w:r>
      </w:smartTag>
      <w:r w:rsidRPr="004A57FA">
        <w:rPr>
          <w:rFonts w:asciiTheme="minorEastAsia" w:eastAsiaTheme="minorEastAsia" w:hAnsiTheme="minorEastAsia"/>
          <w:szCs w:val="21"/>
        </w:rPr>
        <w:t>至</w:t>
      </w:r>
      <w:smartTag w:uri="urn:schemas-microsoft-com:office:smarttags" w:element="chsdate">
        <w:smartTagPr>
          <w:attr w:name="Year" w:val="2008"/>
          <w:attr w:name="Month" w:val="12"/>
          <w:attr w:name="Day" w:val="12"/>
          <w:attr w:name="IsLunarDate" w:val="False"/>
          <w:attr w:name="IsROCDate" w:val="False"/>
        </w:smartTagPr>
        <w:r w:rsidRPr="004A57FA">
          <w:rPr>
            <w:rFonts w:asciiTheme="minorEastAsia" w:eastAsiaTheme="minorEastAsia" w:hAnsiTheme="minorEastAsia"/>
            <w:szCs w:val="21"/>
          </w:rPr>
          <w:t>2008年</w:t>
        </w:r>
        <w:r w:rsidRPr="004A57FA">
          <w:rPr>
            <w:rFonts w:asciiTheme="minorEastAsia" w:eastAsiaTheme="minorEastAsia" w:hAnsiTheme="minorEastAsia" w:hint="eastAsia"/>
            <w:szCs w:val="21"/>
          </w:rPr>
          <w:t>12</w:t>
        </w:r>
        <w:r w:rsidRPr="004A57FA">
          <w:rPr>
            <w:rFonts w:asciiTheme="minorEastAsia" w:eastAsiaTheme="minorEastAsia" w:hAnsiTheme="minorEastAsia"/>
            <w:szCs w:val="21"/>
          </w:rPr>
          <w:t>月</w:t>
        </w:r>
        <w:r w:rsidRPr="004A57FA">
          <w:rPr>
            <w:rFonts w:asciiTheme="minorEastAsia" w:eastAsiaTheme="minorEastAsia" w:hAnsiTheme="minorEastAsia" w:hint="eastAsia"/>
            <w:szCs w:val="21"/>
          </w:rPr>
          <w:t>12</w:t>
        </w:r>
        <w:r w:rsidRPr="004A57FA">
          <w:rPr>
            <w:rFonts w:asciiTheme="minorEastAsia" w:eastAsiaTheme="minorEastAsia" w:hAnsiTheme="minorEastAsia"/>
            <w:szCs w:val="21"/>
          </w:rPr>
          <w:t>日</w:t>
        </w:r>
      </w:smartTag>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本基金的最终有效净集中申购金额为360,443,118.36元人民币，有效集中申购申</w:t>
      </w:r>
      <w:r w:rsidRPr="004A57FA">
        <w:rPr>
          <w:rFonts w:asciiTheme="minorEastAsia" w:eastAsiaTheme="minorEastAsia" w:hAnsiTheme="minorEastAsia" w:hint="eastAsia"/>
          <w:szCs w:val="21"/>
        </w:rPr>
        <w:t>请</w:t>
      </w:r>
      <w:r w:rsidRPr="004A57FA">
        <w:rPr>
          <w:rFonts w:asciiTheme="minorEastAsia" w:eastAsiaTheme="minorEastAsia" w:hAnsiTheme="minorEastAsia"/>
          <w:szCs w:val="21"/>
        </w:rPr>
        <w:t>金额产生的银行利息共计</w:t>
      </w:r>
      <w:r w:rsidRPr="004A57FA">
        <w:rPr>
          <w:rFonts w:asciiTheme="minorEastAsia" w:eastAsiaTheme="minorEastAsia" w:hAnsiTheme="minorEastAsia" w:hint="eastAsia"/>
          <w:szCs w:val="21"/>
        </w:rPr>
        <w:t>55,031.14</w:t>
      </w:r>
      <w:r w:rsidRPr="004A57FA">
        <w:rPr>
          <w:rFonts w:asciiTheme="minorEastAsia" w:eastAsiaTheme="minorEastAsia" w:hAnsiTheme="minorEastAsia"/>
          <w:szCs w:val="21"/>
        </w:rPr>
        <w:t>元人民币。本次集中申购有效净申购资金及产生的银行利息已全额划入本基金在基金托管人</w:t>
      </w:r>
      <w:r w:rsidRPr="004A57FA">
        <w:rPr>
          <w:rFonts w:asciiTheme="minorEastAsia" w:eastAsiaTheme="minorEastAsia" w:hAnsiTheme="minorEastAsia" w:hint="eastAsia"/>
          <w:szCs w:val="21"/>
        </w:rPr>
        <w:t>中国工商</w:t>
      </w:r>
      <w:r w:rsidRPr="004A57FA">
        <w:rPr>
          <w:rFonts w:asciiTheme="minorEastAsia" w:eastAsiaTheme="minorEastAsia" w:hAnsiTheme="minorEastAsia"/>
          <w:szCs w:val="21"/>
        </w:rPr>
        <w:t>银行股份有限公司开立的托管专户。本次集中申购有效申购户数为</w:t>
      </w:r>
      <w:r w:rsidRPr="004A57FA">
        <w:rPr>
          <w:rFonts w:asciiTheme="minorEastAsia" w:eastAsiaTheme="minorEastAsia" w:hAnsiTheme="minorEastAsia" w:hint="eastAsia"/>
          <w:szCs w:val="21"/>
        </w:rPr>
        <w:t>4092</w:t>
      </w:r>
      <w:r w:rsidRPr="004A57FA">
        <w:rPr>
          <w:rFonts w:asciiTheme="minorEastAsia" w:eastAsiaTheme="minorEastAsia" w:hAnsiTheme="minorEastAsia"/>
          <w:szCs w:val="21"/>
        </w:rPr>
        <w:t>户，按照每份基金</w:t>
      </w:r>
      <w:r w:rsidRPr="004A57FA">
        <w:rPr>
          <w:rFonts w:asciiTheme="minorEastAsia" w:eastAsiaTheme="minorEastAsia" w:hAnsiTheme="minorEastAsia" w:hint="eastAsia"/>
          <w:szCs w:val="21"/>
        </w:rPr>
        <w:t>份额发售价格1.000</w:t>
      </w:r>
      <w:r w:rsidRPr="004A57FA">
        <w:rPr>
          <w:rFonts w:asciiTheme="minorEastAsia" w:eastAsiaTheme="minorEastAsia" w:hAnsiTheme="minorEastAsia"/>
          <w:szCs w:val="21"/>
        </w:rPr>
        <w:t>元人民币计算，本次集中申购有效净申购资金及产生的利息结转的基金份额共计360,498,149.50份，已分别计入参加集中申购的各基金份额持有人的基金账户，归参加集中申购的各基金份额持有人所有。</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DB77B6" w:rsidRPr="004A57FA" w:rsidRDefault="00DB77B6" w:rsidP="00C53017">
      <w:pPr>
        <w:snapToGrid w:val="0"/>
        <w:spacing w:line="360" w:lineRule="auto"/>
        <w:ind w:firstLineChars="200"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Chars="0" w:firstLine="0"/>
        <w:rPr>
          <w:rFonts w:asciiTheme="minorEastAsia" w:eastAsiaTheme="minorEastAsia" w:hAnsiTheme="minorEastAsia"/>
          <w:b/>
          <w:bCs/>
        </w:rPr>
      </w:pPr>
      <w:bookmarkStart w:id="37" w:name="_Toc81230987"/>
      <w:r w:rsidRPr="004A57FA">
        <w:rPr>
          <w:rFonts w:asciiTheme="minorEastAsia" w:eastAsiaTheme="minorEastAsia" w:hAnsiTheme="minorEastAsia" w:hint="eastAsia"/>
          <w:b/>
          <w:bCs/>
        </w:rPr>
        <w:lastRenderedPageBreak/>
        <w:t>九、基金份额的申购、赎回</w:t>
      </w:r>
      <w:bookmarkEnd w:id="37"/>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38" w:name="_Toc81230988"/>
      <w:r w:rsidRPr="004A57FA">
        <w:rPr>
          <w:rFonts w:asciiTheme="minorEastAsia" w:eastAsiaTheme="minorEastAsia" w:hAnsiTheme="minorEastAsia" w:hint="eastAsia"/>
          <w:b w:val="0"/>
        </w:rPr>
        <w:t>（一）基金投资者范围</w:t>
      </w:r>
      <w:bookmarkEnd w:id="38"/>
    </w:p>
    <w:p w:rsidR="00AF2EE6" w:rsidRPr="004A57FA" w:rsidRDefault="00AF2EE6" w:rsidP="00C53017">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指个人投资者、机构投资者、合格境外机构投资者和法律法规或中国证监会允许购买开放式证券投资基金的其他投资者。</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rPr>
      </w:pPr>
      <w:bookmarkStart w:id="39" w:name="_Toc81230989"/>
      <w:r w:rsidRPr="004A57FA">
        <w:rPr>
          <w:rFonts w:asciiTheme="minorEastAsia" w:eastAsiaTheme="minorEastAsia" w:hAnsiTheme="minorEastAsia" w:hint="eastAsia"/>
          <w:b w:val="0"/>
        </w:rPr>
        <w:t>（二）申购、赎回的场所</w:t>
      </w:r>
      <w:bookmarkEnd w:id="39"/>
    </w:p>
    <w:p w:rsidR="00AF2EE6" w:rsidRPr="004A57FA" w:rsidRDefault="00AF2EE6" w:rsidP="00C53017">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4A57FA">
        <w:rPr>
          <w:rFonts w:asciiTheme="minorEastAsia" w:eastAsiaTheme="minorEastAsia" w:hAnsiTheme="minorEastAsia"/>
        </w:rPr>
        <w:t>1</w:t>
      </w:r>
      <w:r w:rsidRPr="004A57FA">
        <w:rPr>
          <w:rFonts w:asciiTheme="minorEastAsia" w:eastAsiaTheme="minorEastAsia" w:hAnsiTheme="minorEastAsia" w:hint="eastAsia"/>
        </w:rPr>
        <w:t>.</w:t>
      </w:r>
      <w:r w:rsidRPr="004A57FA">
        <w:rPr>
          <w:rFonts w:asciiTheme="minorEastAsia" w:eastAsiaTheme="minorEastAsia" w:hAnsiTheme="minorEastAsia"/>
        </w:rPr>
        <w:t>基金管理</w:t>
      </w:r>
      <w:r w:rsidRPr="004A57FA">
        <w:rPr>
          <w:rFonts w:asciiTheme="minorEastAsia" w:eastAsiaTheme="minorEastAsia" w:hAnsiTheme="minorEastAsia" w:hint="eastAsia"/>
        </w:rPr>
        <w:t>人的直销中心、网上交易系统(www.efunds.com.cn)</w:t>
      </w:r>
      <w:r w:rsidRPr="004A57FA">
        <w:rPr>
          <w:rFonts w:asciiTheme="minorEastAsia" w:eastAsiaTheme="minorEastAsia" w:hAnsiTheme="minorEastAsia"/>
        </w:rPr>
        <w:t>；</w:t>
      </w:r>
    </w:p>
    <w:p w:rsidR="00AF2EE6" w:rsidRPr="004A57FA" w:rsidRDefault="00AF2EE6" w:rsidP="00C53017">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4A57FA">
        <w:rPr>
          <w:rFonts w:asciiTheme="minorEastAsia" w:eastAsiaTheme="minorEastAsia" w:hAnsiTheme="minorEastAsia"/>
        </w:rPr>
        <w:t>2</w:t>
      </w:r>
      <w:r w:rsidRPr="004A57FA">
        <w:rPr>
          <w:rFonts w:asciiTheme="minorEastAsia" w:eastAsiaTheme="minorEastAsia" w:hAnsiTheme="minorEastAsia" w:hint="eastAsia"/>
        </w:rPr>
        <w:t>.</w:t>
      </w:r>
      <w:r w:rsidRPr="004A57FA">
        <w:rPr>
          <w:rFonts w:asciiTheme="minorEastAsia" w:eastAsiaTheme="minorEastAsia" w:hAnsiTheme="minorEastAsia"/>
        </w:rPr>
        <w:t>各</w:t>
      </w:r>
      <w:r w:rsidR="00C01FFC"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w:t>
      </w:r>
      <w:r w:rsidRPr="004A57FA">
        <w:rPr>
          <w:rFonts w:asciiTheme="minorEastAsia" w:eastAsiaTheme="minorEastAsia" w:hAnsiTheme="minorEastAsia"/>
        </w:rPr>
        <w:t>开办开放式基金业务的营业网点。</w:t>
      </w:r>
    </w:p>
    <w:p w:rsidR="00AF2EE6" w:rsidRPr="004A57FA" w:rsidRDefault="00AF2EE6" w:rsidP="00C53017">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基金管理人可根据情况变更基金的销售机构，</w:t>
      </w:r>
      <w:r w:rsidR="00F514B6" w:rsidRPr="004A57FA">
        <w:rPr>
          <w:rFonts w:asciiTheme="minorEastAsia" w:eastAsiaTheme="minorEastAsia" w:hAnsiTheme="minorEastAsia" w:hint="eastAsia"/>
          <w:szCs w:val="21"/>
        </w:rPr>
        <w:t>并在基金管理人网站公示</w:t>
      </w:r>
      <w:r w:rsidRPr="004A57FA">
        <w:rPr>
          <w:rFonts w:asciiTheme="minorEastAsia" w:eastAsiaTheme="minorEastAsia" w:hAnsiTheme="minorEastAsia" w:hint="eastAsia"/>
        </w:rPr>
        <w:t>。</w:t>
      </w:r>
    </w:p>
    <w:p w:rsidR="00AF2EE6" w:rsidRPr="004A57FA" w:rsidRDefault="00AF2EE6" w:rsidP="00C53017">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4A57FA">
        <w:rPr>
          <w:rFonts w:asciiTheme="minorEastAsia" w:eastAsiaTheme="minorEastAsia" w:hAnsiTheme="minorEastAsia" w:hint="eastAsia"/>
          <w:szCs w:val="21"/>
        </w:rPr>
        <w:t>投资者还可通过基金管理人或者指定的基金</w:t>
      </w:r>
      <w:r w:rsidR="00C01FFC" w:rsidRPr="004A57FA">
        <w:rPr>
          <w:rFonts w:asciiTheme="minorEastAsia" w:eastAsiaTheme="minorEastAsia" w:hAnsiTheme="minorEastAsia" w:hint="eastAsia"/>
          <w:szCs w:val="21"/>
        </w:rPr>
        <w:t>销售</w:t>
      </w:r>
      <w:r w:rsidRPr="004A57FA">
        <w:rPr>
          <w:rFonts w:asciiTheme="minorEastAsia" w:eastAsiaTheme="minorEastAsia" w:hAnsiTheme="minorEastAsia" w:hint="eastAsia"/>
          <w:szCs w:val="21"/>
        </w:rPr>
        <w:t>机构以电话或互联网或其他电子交易方式进行申购、赎回，</w:t>
      </w:r>
      <w:r w:rsidRPr="004A57FA">
        <w:rPr>
          <w:rFonts w:asciiTheme="minorEastAsia" w:eastAsiaTheme="minorEastAsia" w:hAnsiTheme="minorEastAsia" w:hint="eastAsia"/>
        </w:rPr>
        <w:t>具体以各销售机构的规定为准。</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0" w:name="_Toc81230990"/>
      <w:r w:rsidRPr="004A57FA">
        <w:rPr>
          <w:rFonts w:asciiTheme="minorEastAsia" w:eastAsiaTheme="minorEastAsia" w:hAnsiTheme="minorEastAsia" w:hint="eastAsia"/>
          <w:b w:val="0"/>
        </w:rPr>
        <w:t>（三）申购、赎回的时间</w:t>
      </w:r>
      <w:bookmarkEnd w:id="40"/>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本基金已于</w:t>
      </w:r>
      <w:smartTag w:uri="urn:schemas-microsoft-com:office:smarttags" w:element="chsdate">
        <w:smartTagPr>
          <w:attr w:name="Year" w:val="2009"/>
          <w:attr w:name="Month" w:val="1"/>
          <w:attr w:name="Day" w:val="6"/>
          <w:attr w:name="IsLunarDate" w:val="False"/>
          <w:attr w:name="IsROCDate" w:val="False"/>
        </w:smartTagPr>
        <w:r w:rsidRPr="004A57FA">
          <w:rPr>
            <w:rFonts w:asciiTheme="minorEastAsia" w:eastAsiaTheme="minorEastAsia" w:hAnsiTheme="minorEastAsia"/>
            <w:kern w:val="0"/>
            <w:szCs w:val="21"/>
          </w:rPr>
          <w:t>200</w:t>
        </w:r>
        <w:r w:rsidRPr="004A57FA">
          <w:rPr>
            <w:rFonts w:asciiTheme="minorEastAsia" w:eastAsiaTheme="minorEastAsia" w:hAnsiTheme="minorEastAsia" w:hint="eastAsia"/>
            <w:kern w:val="0"/>
            <w:szCs w:val="21"/>
          </w:rPr>
          <w:t>9</w:t>
        </w:r>
        <w:r w:rsidRPr="004A57FA">
          <w:rPr>
            <w:rFonts w:asciiTheme="minorEastAsia" w:eastAsiaTheme="minorEastAsia" w:hAnsiTheme="minorEastAsia" w:cs="宋体" w:hint="eastAsia"/>
            <w:kern w:val="0"/>
            <w:szCs w:val="21"/>
          </w:rPr>
          <w:t>年</w:t>
        </w:r>
        <w:r w:rsidRPr="004A57FA">
          <w:rPr>
            <w:rFonts w:asciiTheme="minorEastAsia" w:eastAsiaTheme="minorEastAsia" w:hAnsiTheme="minorEastAsia" w:hint="eastAsia"/>
            <w:kern w:val="0"/>
            <w:szCs w:val="21"/>
          </w:rPr>
          <w:t>1</w:t>
        </w:r>
        <w:r w:rsidRPr="004A57FA">
          <w:rPr>
            <w:rFonts w:asciiTheme="minorEastAsia" w:eastAsiaTheme="minorEastAsia" w:hAnsiTheme="minorEastAsia" w:cs="宋体" w:hint="eastAsia"/>
            <w:kern w:val="0"/>
            <w:szCs w:val="21"/>
          </w:rPr>
          <w:t>月</w:t>
        </w:r>
        <w:r w:rsidRPr="004A57FA">
          <w:rPr>
            <w:rFonts w:asciiTheme="minorEastAsia" w:eastAsiaTheme="minorEastAsia" w:hAnsiTheme="minorEastAsia" w:hint="eastAsia"/>
            <w:kern w:val="0"/>
            <w:szCs w:val="21"/>
          </w:rPr>
          <w:t>6</w:t>
        </w:r>
        <w:r w:rsidRPr="004A57FA">
          <w:rPr>
            <w:rFonts w:asciiTheme="minorEastAsia" w:eastAsiaTheme="minorEastAsia" w:hAnsiTheme="minorEastAsia" w:cs="宋体" w:hint="eastAsia"/>
            <w:kern w:val="0"/>
            <w:szCs w:val="21"/>
          </w:rPr>
          <w:t>日</w:t>
        </w:r>
      </w:smartTag>
      <w:r w:rsidRPr="004A57FA">
        <w:rPr>
          <w:rFonts w:asciiTheme="minorEastAsia" w:eastAsiaTheme="minorEastAsia" w:hAnsiTheme="minorEastAsia" w:hint="eastAsia"/>
        </w:rPr>
        <w:t>开始办理日常申购和赎回业务。</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上海证券交易所和深圳证券交易所同时开放交易的工作日为本基金的开放日（基金管理人根据法律法规或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在实施日前在</w:t>
      </w:r>
      <w:r w:rsidR="00F514B6"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公告。</w:t>
      </w:r>
    </w:p>
    <w:p w:rsidR="00AF2EE6" w:rsidRPr="004A57FA" w:rsidRDefault="00AF2EE6" w:rsidP="00C53017">
      <w:pPr>
        <w:autoSpaceDE w:val="0"/>
        <w:autoSpaceDN w:val="0"/>
        <w:snapToGrid w:val="0"/>
        <w:spacing w:line="360" w:lineRule="auto"/>
        <w:ind w:firstLine="48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41" w:name="_Toc81230991"/>
      <w:r w:rsidRPr="004A57FA">
        <w:rPr>
          <w:rFonts w:asciiTheme="minorEastAsia" w:eastAsiaTheme="minorEastAsia" w:hAnsiTheme="minorEastAsia" w:hint="eastAsia"/>
          <w:b w:val="0"/>
          <w:bCs/>
        </w:rPr>
        <w:t>（四）申购、赎回的原则</w:t>
      </w:r>
      <w:bookmarkEnd w:id="41"/>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未知价原则</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w:t>
      </w:r>
      <w:r w:rsidR="00AF2EE6" w:rsidRPr="004A57FA">
        <w:rPr>
          <w:rFonts w:asciiTheme="minorEastAsia" w:eastAsiaTheme="minorEastAsia" w:hAnsiTheme="minorEastAsia" w:hint="eastAsia"/>
        </w:rPr>
        <w:t>即本基金的申购与赎回价格以受理申请当日收市后计算的基金份额净值为基准进行计算；</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本基金采用</w:t>
      </w:r>
      <w:r w:rsidR="00AF2EE6" w:rsidRPr="004A57FA">
        <w:rPr>
          <w:rFonts w:asciiTheme="minorEastAsia" w:eastAsiaTheme="minorEastAsia" w:hAnsiTheme="minorEastAsia"/>
        </w:rPr>
        <w:t>金额申购、份额赎回原则</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即申购以金额申请</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赎回以份额申请；</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基金份额持有人赎回时，除指定赎回外，基金管理人按先进先出的原则，对该持有人账户在该销售机构托管的基金份额进行处理，即注册日期在先的基金份额先赎回，注册日期在后的基金份额后赎回；</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当日的申购、赎回申请可以在当日交易结束时间前撤销，在当日的交易时间结束后不得撤销；</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w:t>
      </w:r>
      <w:r w:rsidR="00F514B6" w:rsidRPr="004A57FA">
        <w:rPr>
          <w:rFonts w:asciiTheme="minorEastAsia" w:eastAsiaTheme="minorEastAsia" w:hAnsiTheme="minorEastAsia" w:hint="eastAsia"/>
          <w:szCs w:val="21"/>
        </w:rPr>
        <w:t>指定媒介</w:t>
      </w:r>
      <w:r w:rsidR="00AF2EE6" w:rsidRPr="004A57FA">
        <w:rPr>
          <w:rFonts w:asciiTheme="minorEastAsia" w:eastAsiaTheme="minorEastAsia" w:hAnsiTheme="minorEastAsia" w:hint="eastAsia"/>
        </w:rPr>
        <w:t>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2" w:name="_Toc81230992"/>
      <w:r w:rsidRPr="004A57FA">
        <w:rPr>
          <w:rFonts w:asciiTheme="minorEastAsia" w:eastAsiaTheme="minorEastAsia" w:hAnsiTheme="minorEastAsia" w:hint="eastAsia"/>
          <w:b w:val="0"/>
        </w:rPr>
        <w:lastRenderedPageBreak/>
        <w:t>（五）申购、赎回的程序</w:t>
      </w:r>
      <w:bookmarkEnd w:id="42"/>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申购、赎回的申请方式</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基金投资者必须根据基金管理人和基金</w:t>
      </w:r>
      <w:r w:rsidR="00C01FFC"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机构规定的手续，在开放日的业务办理时间提出申购、赎回的申请。</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投资者在提交申购申请时</w:t>
      </w:r>
      <w:r w:rsidRPr="004A57FA">
        <w:rPr>
          <w:rFonts w:asciiTheme="minorEastAsia" w:eastAsiaTheme="minorEastAsia" w:hAnsiTheme="minorEastAsia" w:hint="eastAsia"/>
        </w:rPr>
        <w:t>，</w:t>
      </w:r>
      <w:r w:rsidRPr="004A57FA">
        <w:rPr>
          <w:rFonts w:asciiTheme="minorEastAsia" w:eastAsiaTheme="minorEastAsia" w:hAnsiTheme="minorEastAsia"/>
        </w:rPr>
        <w:t>须按销售机构规定的方式备足申购资金；提交赎回申请时,</w:t>
      </w:r>
      <w:r w:rsidR="007730D0" w:rsidRPr="004A57FA">
        <w:rPr>
          <w:rFonts w:asciiTheme="minorEastAsia" w:eastAsiaTheme="minorEastAsia" w:hAnsiTheme="minorEastAsia"/>
        </w:rPr>
        <w:t>账户</w:t>
      </w:r>
      <w:r w:rsidRPr="004A57FA">
        <w:rPr>
          <w:rFonts w:asciiTheme="minorEastAsia" w:eastAsiaTheme="minorEastAsia" w:hAnsiTheme="minorEastAsia"/>
        </w:rPr>
        <w:t>中必须有足够的基金</w:t>
      </w:r>
      <w:r w:rsidRPr="004A57FA">
        <w:rPr>
          <w:rFonts w:asciiTheme="minorEastAsia" w:eastAsiaTheme="minorEastAsia" w:hAnsiTheme="minorEastAsia" w:hint="eastAsia"/>
        </w:rPr>
        <w:t>份额</w:t>
      </w:r>
      <w:r w:rsidRPr="004A57FA">
        <w:rPr>
          <w:rFonts w:asciiTheme="minorEastAsia" w:eastAsiaTheme="minorEastAsia" w:hAnsiTheme="minorEastAsia"/>
        </w:rPr>
        <w:t>余额</w:t>
      </w:r>
      <w:r w:rsidRPr="004A57FA">
        <w:rPr>
          <w:rFonts w:asciiTheme="minorEastAsia" w:eastAsiaTheme="minorEastAsia" w:hAnsiTheme="minorEastAsia" w:hint="eastAsia"/>
        </w:rPr>
        <w:t>，否则所提交的申购、赎回的申请无效而不予成交。</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申购、赎回申请的确认</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T</w:t>
      </w:r>
      <w:r w:rsidRPr="004A57FA">
        <w:rPr>
          <w:rFonts w:asciiTheme="minorEastAsia" w:eastAsiaTheme="minorEastAsia" w:hAnsiTheme="minorEastAsia" w:hint="eastAsia"/>
        </w:rPr>
        <w:t>日规定时间受理的申请，正常情况下，基金注册登记机构在</w:t>
      </w:r>
      <w:r w:rsidRPr="004A57FA">
        <w:rPr>
          <w:rFonts w:asciiTheme="minorEastAsia" w:eastAsiaTheme="minorEastAsia" w:hAnsiTheme="minorEastAsia"/>
        </w:rPr>
        <w:t>T+1</w:t>
      </w:r>
      <w:r w:rsidRPr="004A57FA">
        <w:rPr>
          <w:rFonts w:asciiTheme="minorEastAsia" w:eastAsiaTheme="minorEastAsia" w:hAnsiTheme="minorEastAsia" w:hint="eastAsia"/>
        </w:rPr>
        <w:t>日内为投资者对该交易的有效性进行确认，在</w:t>
      </w:r>
      <w:r w:rsidRPr="004A57FA">
        <w:rPr>
          <w:rFonts w:asciiTheme="minorEastAsia" w:eastAsiaTheme="minorEastAsia" w:hAnsiTheme="minorEastAsia"/>
        </w:rPr>
        <w:t>T</w:t>
      </w:r>
      <w:r w:rsidRPr="004A57FA">
        <w:rPr>
          <w:rFonts w:asciiTheme="minorEastAsia" w:eastAsiaTheme="minorEastAsia" w:hAnsiTheme="minorEastAsia" w:hint="eastAsia"/>
        </w:rPr>
        <w:t>＋</w:t>
      </w:r>
      <w:r w:rsidRPr="004A57FA">
        <w:rPr>
          <w:rFonts w:asciiTheme="minorEastAsia" w:eastAsiaTheme="minorEastAsia" w:hAnsiTheme="minorEastAsia"/>
        </w:rPr>
        <w:t>2</w:t>
      </w:r>
      <w:r w:rsidRPr="004A57FA">
        <w:rPr>
          <w:rFonts w:asciiTheme="minorEastAsia" w:eastAsiaTheme="minorEastAsia" w:hAnsiTheme="minorEastAsia" w:hint="eastAsia"/>
        </w:rPr>
        <w:t>日后（包括该日）投资者可向销售机构或以销售机构规定的其他方式查询申购与赎回的成交情况。</w:t>
      </w:r>
    </w:p>
    <w:p w:rsidR="00AF2EE6" w:rsidRPr="004A57FA" w:rsidRDefault="00DB77B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申购和赎回的款项支付</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申购采用全额缴款方式，若申购资金在规定时间内未全额到账则申购不成功，若申购不成功或无效，申购款项将退回投资者账户。</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投资者T日赎回申请成功后，基金管理人将通过基金注册登记机构及相关基金销售机构在</w:t>
      </w:r>
      <w:r w:rsidRPr="004A57FA">
        <w:rPr>
          <w:rFonts w:asciiTheme="minorEastAsia" w:eastAsiaTheme="minorEastAsia" w:hAnsiTheme="minorEastAsia"/>
        </w:rPr>
        <w:t>T</w:t>
      </w:r>
      <w:r w:rsidRPr="004A57FA">
        <w:rPr>
          <w:rFonts w:asciiTheme="minorEastAsia" w:eastAsiaTheme="minorEastAsia" w:hAnsiTheme="minorEastAsia" w:hint="eastAsia"/>
        </w:rPr>
        <w:t>＋</w:t>
      </w:r>
      <w:r w:rsidRPr="004A57FA">
        <w:rPr>
          <w:rFonts w:asciiTheme="minorEastAsia" w:eastAsiaTheme="minorEastAsia" w:hAnsiTheme="minorEastAsia"/>
        </w:rPr>
        <w:t>7</w:t>
      </w:r>
      <w:r w:rsidRPr="004A57FA">
        <w:rPr>
          <w:rFonts w:asciiTheme="minorEastAsia" w:eastAsiaTheme="minorEastAsia" w:hAnsiTheme="minorEastAsia" w:hint="eastAsia"/>
        </w:rPr>
        <w:t>日（包括该日）内支付赎回款项。在发生巨额赎回的情形时，款项的支付办法参照基金合同的有关条款处理。</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3" w:name="_Toc81230993"/>
      <w:r w:rsidRPr="004A57FA">
        <w:rPr>
          <w:rFonts w:asciiTheme="minorEastAsia" w:eastAsiaTheme="minorEastAsia" w:hAnsiTheme="minorEastAsia" w:hint="eastAsia"/>
          <w:b w:val="0"/>
        </w:rPr>
        <w:t>（六）申购、赎回的数额限制</w:t>
      </w:r>
      <w:bookmarkEnd w:id="43"/>
    </w:p>
    <w:p w:rsidR="00AF2EE6" w:rsidRPr="004A57FA" w:rsidRDefault="00572734"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申购基金的金额限制</w:t>
      </w:r>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rPr>
      </w:pPr>
      <w:r w:rsidRPr="004A57FA">
        <w:rPr>
          <w:rFonts w:asciiTheme="minorEastAsia" w:eastAsiaTheme="minorEastAsia" w:hAnsiTheme="minorEastAsia" w:hint="eastAsia"/>
        </w:rPr>
        <w:t>投资者通过</w:t>
      </w:r>
      <w:r w:rsidR="00E07CF1" w:rsidRPr="004A57FA">
        <w:rPr>
          <w:rFonts w:asciiTheme="minorEastAsia" w:eastAsiaTheme="minorEastAsia" w:hAnsiTheme="minorEastAsia" w:hint="eastAsia"/>
        </w:rPr>
        <w:t>非直销销售机构</w:t>
      </w:r>
      <w:r w:rsidRPr="004A57FA">
        <w:rPr>
          <w:rFonts w:asciiTheme="minorEastAsia" w:eastAsiaTheme="minorEastAsia" w:hAnsiTheme="minorEastAsia" w:hint="eastAsia"/>
        </w:rPr>
        <w:t>或本公司网上交易系统首次申购的单笔最低金额为1元人民币</w:t>
      </w:r>
      <w:r w:rsidR="0020281D" w:rsidRPr="004A57FA">
        <w:rPr>
          <w:rFonts w:asciiTheme="minorEastAsia" w:eastAsiaTheme="minorEastAsia" w:hAnsiTheme="minorEastAsia" w:hint="eastAsia"/>
        </w:rPr>
        <w:t>，追加申购单笔最低金额为1元</w:t>
      </w:r>
      <w:r w:rsidR="00B303AE" w:rsidRPr="004A57FA">
        <w:rPr>
          <w:rFonts w:asciiTheme="minorEastAsia" w:eastAsiaTheme="minorEastAsia" w:hAnsiTheme="minorEastAsia" w:cs="Arial" w:hint="eastAsia"/>
        </w:rPr>
        <w:t>人民币</w:t>
      </w:r>
      <w:r w:rsidR="00B303AE" w:rsidRPr="004A57FA">
        <w:rPr>
          <w:rFonts w:asciiTheme="minorEastAsia" w:eastAsiaTheme="minorEastAsia" w:hAnsiTheme="minorEastAsia" w:hint="eastAsia"/>
        </w:rPr>
        <w:t>；</w:t>
      </w:r>
      <w:r w:rsidRPr="004A57FA">
        <w:rPr>
          <w:rFonts w:asciiTheme="minorEastAsia" w:eastAsiaTheme="minorEastAsia" w:hAnsiTheme="minorEastAsia" w:hint="eastAsia"/>
        </w:rPr>
        <w:t>通过本公司直销中心首次申购的单笔最低金额为50000元人民币，追加申购单笔最低金额为</w:t>
      </w:r>
      <w:r w:rsidR="0020281D" w:rsidRPr="004A57FA">
        <w:rPr>
          <w:rFonts w:asciiTheme="minorEastAsia" w:eastAsiaTheme="minorEastAsia" w:hAnsiTheme="minorEastAsia" w:hint="eastAsia"/>
        </w:rPr>
        <w:t>1000</w:t>
      </w:r>
      <w:r w:rsidRPr="004A57FA">
        <w:rPr>
          <w:rFonts w:asciiTheme="minorEastAsia" w:eastAsiaTheme="minorEastAsia" w:hAnsiTheme="minorEastAsia" w:hint="eastAsia"/>
        </w:rPr>
        <w:t>元人民币。</w:t>
      </w:r>
      <w:r w:rsidR="00FC7543" w:rsidRPr="004A57FA">
        <w:rPr>
          <w:rFonts w:asciiTheme="minorEastAsia" w:eastAsiaTheme="minorEastAsia" w:hAnsiTheme="minorEastAsia" w:hint="eastAsia"/>
        </w:rPr>
        <w:t>在符合法律法规规定的前提下，</w:t>
      </w:r>
      <w:r w:rsidRPr="004A57FA">
        <w:rPr>
          <w:rFonts w:asciiTheme="minorEastAsia" w:eastAsiaTheme="minorEastAsia" w:hAnsiTheme="minorEastAsia" w:hint="eastAsia"/>
        </w:rPr>
        <w:t>各</w:t>
      </w:r>
      <w:r w:rsidR="00FB269B"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机构对最低申购限额及交易级差有其他规定的,</w:t>
      </w:r>
      <w:r w:rsidR="0020281D" w:rsidRPr="004A57FA">
        <w:rPr>
          <w:rFonts w:asciiTheme="minorEastAsia" w:eastAsiaTheme="minorEastAsia" w:hAnsiTheme="minorEastAsia" w:hint="eastAsia"/>
        </w:rPr>
        <w:t>需同时遵循该销售机构的相关规定</w:t>
      </w:r>
      <w:r w:rsidR="00B303AE" w:rsidRPr="004A57FA">
        <w:rPr>
          <w:rFonts w:asciiTheme="minorEastAsia" w:eastAsiaTheme="minorEastAsia" w:hAnsiTheme="minorEastAsia" w:hint="eastAsia"/>
        </w:rPr>
        <w:t>。</w:t>
      </w:r>
      <w:r w:rsidR="0020281D" w:rsidRPr="004A57FA">
        <w:rPr>
          <w:rFonts w:asciiTheme="minorEastAsia" w:eastAsiaTheme="minorEastAsia" w:hAnsiTheme="minorEastAsia" w:hint="eastAsia"/>
        </w:rPr>
        <w:t>（以上金额均含申购费）</w:t>
      </w:r>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rPr>
      </w:pPr>
      <w:r w:rsidRPr="004A57FA">
        <w:rPr>
          <w:rFonts w:asciiTheme="minorEastAsia" w:eastAsiaTheme="minorEastAsia" w:hAnsiTheme="minorEastAsia" w:hint="eastAsia"/>
        </w:rPr>
        <w:t>投资者将当期分配的基金收益转购基金份额或采用定期定额投资计划时，不受最低申购金额的限制。</w:t>
      </w:r>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rPr>
      </w:pPr>
      <w:r w:rsidRPr="004A57FA">
        <w:rPr>
          <w:rFonts w:asciiTheme="minorEastAsia" w:eastAsiaTheme="minorEastAsia" w:hAnsiTheme="minorEastAsia" w:hint="eastAsia"/>
        </w:rPr>
        <w:t>投资者可多次申购，对单个投资者累计持有份额不设上限限制。</w:t>
      </w:r>
      <w:r w:rsidR="00261475" w:rsidRPr="004A57FA">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4A57FA">
        <w:rPr>
          <w:rFonts w:asciiTheme="minorEastAsia" w:eastAsiaTheme="minorEastAsia" w:hAnsiTheme="minorEastAsia" w:hint="eastAsia"/>
        </w:rPr>
        <w:t>法律法规、中国证监会另有规定的除外。</w:t>
      </w:r>
    </w:p>
    <w:p w:rsidR="00AF2EE6" w:rsidRPr="004A57FA" w:rsidRDefault="00572734" w:rsidP="00C53017">
      <w:pPr>
        <w:snapToGrid w:val="0"/>
        <w:spacing w:line="360" w:lineRule="auto"/>
        <w:ind w:firstLineChars="200" w:firstLine="420"/>
        <w:rPr>
          <w:rFonts w:asciiTheme="minorEastAsia" w:eastAsiaTheme="minorEastAsia" w:hAnsiTheme="minorEastAsia"/>
          <w:szCs w:val="21"/>
        </w:rPr>
      </w:pPr>
      <w:bookmarkStart w:id="44" w:name="OLE_LINK2"/>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赎回的份额限制</w:t>
      </w:r>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rPr>
      </w:pPr>
      <w:r w:rsidRPr="004A57FA">
        <w:rPr>
          <w:rFonts w:asciiTheme="minorEastAsia" w:eastAsiaTheme="minorEastAsia" w:hAnsiTheme="minorEastAsia"/>
          <w:szCs w:val="21"/>
        </w:rPr>
        <w:t>投资者可将其全部或部分基金</w:t>
      </w:r>
      <w:r w:rsidRPr="004A57FA">
        <w:rPr>
          <w:rFonts w:asciiTheme="minorEastAsia" w:eastAsiaTheme="minorEastAsia" w:hAnsiTheme="minorEastAsia" w:hint="eastAsia"/>
          <w:szCs w:val="21"/>
        </w:rPr>
        <w:t>份额</w:t>
      </w:r>
      <w:r w:rsidRPr="004A57FA">
        <w:rPr>
          <w:rFonts w:asciiTheme="minorEastAsia" w:eastAsiaTheme="minorEastAsia" w:hAnsiTheme="minorEastAsia"/>
          <w:szCs w:val="21"/>
        </w:rPr>
        <w:t>赎回。单笔赎回或转换不得少于</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份(如该</w:t>
      </w:r>
      <w:r w:rsidR="007730D0" w:rsidRPr="004A57FA">
        <w:rPr>
          <w:rFonts w:asciiTheme="minorEastAsia" w:eastAsiaTheme="minorEastAsia" w:hAnsiTheme="minorEastAsia"/>
          <w:szCs w:val="21"/>
        </w:rPr>
        <w:t>账户</w:t>
      </w:r>
      <w:r w:rsidRPr="004A57FA">
        <w:rPr>
          <w:rFonts w:asciiTheme="minorEastAsia" w:eastAsiaTheme="minorEastAsia" w:hAnsiTheme="minorEastAsia"/>
          <w:szCs w:val="21"/>
        </w:rPr>
        <w:t>在该销售机构托管的</w:t>
      </w:r>
      <w:r w:rsidR="007730D0" w:rsidRPr="004A57FA">
        <w:rPr>
          <w:rFonts w:asciiTheme="minorEastAsia" w:eastAsiaTheme="minorEastAsia" w:hAnsiTheme="minorEastAsia" w:hint="eastAsia"/>
          <w:szCs w:val="21"/>
        </w:rPr>
        <w:t>该</w:t>
      </w:r>
      <w:r w:rsidRPr="004A57FA">
        <w:rPr>
          <w:rFonts w:asciiTheme="minorEastAsia" w:eastAsiaTheme="minorEastAsia" w:hAnsiTheme="minorEastAsia"/>
          <w:szCs w:val="21"/>
        </w:rPr>
        <w:t>基金余额不足1份</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则必须一次性赎回或转出该基金全部份额)；若某笔赎回将导致投资者在</w:t>
      </w:r>
      <w:r w:rsidR="007730D0" w:rsidRPr="004A57FA">
        <w:rPr>
          <w:rFonts w:asciiTheme="minorEastAsia" w:eastAsiaTheme="minorEastAsia" w:hAnsiTheme="minorEastAsia" w:hint="eastAsia"/>
          <w:szCs w:val="21"/>
        </w:rPr>
        <w:t>该</w:t>
      </w:r>
      <w:r w:rsidRPr="004A57FA">
        <w:rPr>
          <w:rFonts w:asciiTheme="minorEastAsia" w:eastAsiaTheme="minorEastAsia" w:hAnsiTheme="minorEastAsia"/>
          <w:szCs w:val="21"/>
        </w:rPr>
        <w:t>销售机构托管的</w:t>
      </w:r>
      <w:r w:rsidR="007730D0" w:rsidRPr="004A57FA">
        <w:rPr>
          <w:rFonts w:asciiTheme="minorEastAsia" w:eastAsiaTheme="minorEastAsia" w:hAnsiTheme="minorEastAsia" w:hint="eastAsia"/>
          <w:szCs w:val="21"/>
        </w:rPr>
        <w:t>该</w:t>
      </w:r>
      <w:r w:rsidRPr="004A57FA">
        <w:rPr>
          <w:rFonts w:asciiTheme="minorEastAsia" w:eastAsiaTheme="minorEastAsia" w:hAnsiTheme="minorEastAsia"/>
          <w:szCs w:val="21"/>
        </w:rPr>
        <w:t>基金余额不足1份时</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基金管理人有权将投资者在该销售机构托管的该基金剩余份额一次性全部赎回。</w:t>
      </w:r>
      <w:r w:rsidR="009C2BA2" w:rsidRPr="004A57FA">
        <w:rPr>
          <w:rFonts w:asciiTheme="minorEastAsia" w:eastAsiaTheme="minorEastAsia" w:hAnsiTheme="minorEastAsia" w:hint="eastAsia"/>
          <w:szCs w:val="21"/>
        </w:rPr>
        <w:t>在符合法律法规规定的前提下，</w:t>
      </w:r>
      <w:r w:rsidRPr="004A57FA">
        <w:rPr>
          <w:rFonts w:asciiTheme="minorEastAsia" w:eastAsiaTheme="minorEastAsia" w:hAnsiTheme="minorEastAsia" w:hint="eastAsia"/>
        </w:rPr>
        <w:t>各销售机构</w:t>
      </w:r>
      <w:r w:rsidRPr="004A57FA">
        <w:rPr>
          <w:rFonts w:asciiTheme="minorEastAsia" w:eastAsiaTheme="minorEastAsia" w:hAnsiTheme="minorEastAsia" w:hint="eastAsia"/>
        </w:rPr>
        <w:lastRenderedPageBreak/>
        <w:t>对赎回份额限制有其他规定的，</w:t>
      </w:r>
      <w:r w:rsidR="0020281D" w:rsidRPr="004A57FA">
        <w:rPr>
          <w:rFonts w:asciiTheme="minorEastAsia" w:eastAsiaTheme="minorEastAsia" w:hAnsiTheme="minorEastAsia" w:hint="eastAsia"/>
        </w:rPr>
        <w:t>需同时遵循该销售机构的相关规定</w:t>
      </w:r>
      <w:r w:rsidRPr="004A57FA">
        <w:rPr>
          <w:rFonts w:asciiTheme="minorEastAsia" w:eastAsiaTheme="minorEastAsia" w:hAnsiTheme="minorEastAsia" w:hint="eastAsia"/>
        </w:rPr>
        <w:t>。</w:t>
      </w:r>
    </w:p>
    <w:bookmarkEnd w:id="44"/>
    <w:p w:rsidR="00261475" w:rsidRPr="004A57FA" w:rsidRDefault="00572734"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261475" w:rsidRPr="004A57FA">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F2EE6" w:rsidRPr="004A57FA" w:rsidRDefault="00261475"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基金管理人可根据市场情况制定或调整上述申购、赎回的程序及有关限制</w:t>
      </w:r>
      <w:r w:rsidRPr="004A57FA">
        <w:rPr>
          <w:rFonts w:asciiTheme="minorEastAsia" w:eastAsiaTheme="minorEastAsia" w:hAnsiTheme="minorEastAsia" w:hint="eastAsia"/>
          <w:szCs w:val="21"/>
        </w:rPr>
        <w:t>，或者新增基金规模控制措施</w:t>
      </w:r>
      <w:r w:rsidR="00AF2EE6" w:rsidRPr="004A57FA">
        <w:rPr>
          <w:rFonts w:asciiTheme="minorEastAsia" w:eastAsiaTheme="minorEastAsia" w:hAnsiTheme="minorEastAsia" w:hint="eastAsia"/>
          <w:szCs w:val="21"/>
        </w:rPr>
        <w:t>，但应在调整生效前</w:t>
      </w:r>
      <w:r w:rsidR="00F514B6" w:rsidRPr="004A57FA">
        <w:rPr>
          <w:rFonts w:asciiTheme="minorEastAsia" w:eastAsiaTheme="minorEastAsia" w:hAnsiTheme="minorEastAsia" w:hint="eastAsia"/>
          <w:szCs w:val="21"/>
        </w:rPr>
        <w:t>在指定媒介</w:t>
      </w:r>
      <w:r w:rsidR="00F514B6" w:rsidRPr="004A57FA">
        <w:rPr>
          <w:rFonts w:asciiTheme="minorEastAsia" w:eastAsiaTheme="minorEastAsia" w:hAnsiTheme="minorEastAsia"/>
          <w:szCs w:val="21"/>
        </w:rPr>
        <w:t>公告</w:t>
      </w:r>
      <w:r w:rsidR="00AF2EE6" w:rsidRPr="004A57FA">
        <w:rPr>
          <w:rFonts w:asciiTheme="minorEastAsia" w:eastAsiaTheme="minorEastAsia" w:hAnsiTheme="minorEastAsia" w:hint="eastAsia"/>
          <w:szCs w:val="21"/>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5" w:name="_Toc81230994"/>
      <w:r w:rsidRPr="004A57FA">
        <w:rPr>
          <w:rFonts w:asciiTheme="minorEastAsia" w:eastAsiaTheme="minorEastAsia" w:hAnsiTheme="minorEastAsia" w:hint="eastAsia"/>
          <w:b w:val="0"/>
        </w:rPr>
        <w:t>（七）申购、赎回的费率</w:t>
      </w:r>
      <w:bookmarkEnd w:id="45"/>
    </w:p>
    <w:p w:rsidR="00AF2EE6" w:rsidRPr="004A57FA" w:rsidRDefault="00572734"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本基金的申购、赎回费率</w:t>
      </w:r>
    </w:p>
    <w:p w:rsidR="00AF2EE6" w:rsidRPr="004A57FA" w:rsidRDefault="00AF2EE6" w:rsidP="00C53017">
      <w:pPr>
        <w:autoSpaceDE w:val="0"/>
        <w:autoSpaceDN w:val="0"/>
        <w:adjustRightInd w:val="0"/>
        <w:snapToGrid w:val="0"/>
        <w:spacing w:line="360" w:lineRule="auto"/>
        <w:ind w:left="420"/>
        <w:jc w:val="left"/>
        <w:rPr>
          <w:rFonts w:asciiTheme="minorEastAsia" w:eastAsiaTheme="minorEastAsia" w:hAnsiTheme="minorEastAsia"/>
          <w:szCs w:val="21"/>
        </w:rPr>
      </w:pPr>
      <w:r w:rsidRPr="004A57FA">
        <w:rPr>
          <w:rFonts w:asciiTheme="minorEastAsia" w:eastAsiaTheme="minorEastAsia" w:hAnsiTheme="minorEastAsia" w:hint="eastAsia"/>
          <w:szCs w:val="21"/>
        </w:rPr>
        <w:t>本基金的申购、赎回费率设置如下表所示：</w:t>
      </w:r>
    </w:p>
    <w:p w:rsidR="000D584D" w:rsidRPr="004A57FA" w:rsidRDefault="000D584D" w:rsidP="00C53017">
      <w:pPr>
        <w:autoSpaceDE w:val="0"/>
        <w:autoSpaceDN w:val="0"/>
        <w:adjustRightInd w:val="0"/>
        <w:snapToGrid w:val="0"/>
        <w:spacing w:line="360" w:lineRule="auto"/>
        <w:ind w:left="420"/>
        <w:jc w:val="left"/>
        <w:rPr>
          <w:rFonts w:asciiTheme="minorEastAsia" w:eastAsiaTheme="minorEastAsia" w:hAnsiTheme="minorEastAsia"/>
          <w:szCs w:val="21"/>
        </w:rPr>
      </w:pPr>
      <w:r w:rsidRPr="004A57FA">
        <w:rPr>
          <w:rFonts w:asciiTheme="minorEastAsia" w:eastAsiaTheme="minorEastAsia" w:hAnsiTheme="minorEastAsia" w:hint="eastAsia"/>
          <w:szCs w:val="21"/>
        </w:rPr>
        <w:t>本基金对通过本公司直销中心申购的特定投资群体与除此之外的其他投资者实施差别</w:t>
      </w:r>
    </w:p>
    <w:p w:rsidR="000D584D" w:rsidRPr="004A57FA" w:rsidRDefault="000D584D" w:rsidP="00C53017">
      <w:pPr>
        <w:autoSpaceDE w:val="0"/>
        <w:autoSpaceDN w:val="0"/>
        <w:adjustRightInd w:val="0"/>
        <w:snapToGrid w:val="0"/>
        <w:spacing w:line="360" w:lineRule="auto"/>
        <w:jc w:val="left"/>
        <w:rPr>
          <w:rFonts w:asciiTheme="minorEastAsia" w:eastAsiaTheme="minorEastAsia" w:hAnsiTheme="minorEastAsia"/>
          <w:szCs w:val="21"/>
        </w:rPr>
      </w:pPr>
      <w:r w:rsidRPr="004A57FA">
        <w:rPr>
          <w:rFonts w:asciiTheme="minorEastAsia" w:eastAsiaTheme="minorEastAsia" w:hAnsiTheme="minorEastAsia" w:hint="eastAsia"/>
          <w:szCs w:val="21"/>
        </w:rPr>
        <w:t>的申购费率。</w:t>
      </w:r>
    </w:p>
    <w:p w:rsidR="000D584D" w:rsidRPr="004A57FA" w:rsidRDefault="000D584D" w:rsidP="00C53017">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4A57FA">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0D584D" w:rsidRPr="004A57FA" w:rsidRDefault="000D584D" w:rsidP="00C53017">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4A57FA">
        <w:rPr>
          <w:rFonts w:asciiTheme="minorEastAsia" w:eastAsiaTheme="minorEastAsia" w:hAnsiTheme="minorEastAsia" w:hint="eastAsia"/>
          <w:szCs w:val="21"/>
        </w:rPr>
        <w:t>通过基金管理人的直销中心申购本基金的特定投资群体申购费率为</w:t>
      </w:r>
      <w:r w:rsidR="00734D63" w:rsidRPr="004A57FA">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20"/>
      </w:tblGrid>
      <w:tr w:rsidR="004A57FA" w:rsidRPr="004A57FA" w:rsidTr="00572734">
        <w:trPr>
          <w:jc w:val="center"/>
        </w:trPr>
        <w:tc>
          <w:tcPr>
            <w:tcW w:w="2808"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申购金额M（元）（含申购费）</w:t>
            </w:r>
          </w:p>
        </w:tc>
        <w:tc>
          <w:tcPr>
            <w:tcW w:w="4320" w:type="dxa"/>
          </w:tcPr>
          <w:p w:rsidR="000D584D" w:rsidRPr="004A57FA" w:rsidRDefault="000D584D" w:rsidP="00C53017">
            <w:pPr>
              <w:snapToGrid w:val="0"/>
              <w:spacing w:line="360" w:lineRule="auto"/>
              <w:ind w:firstLine="27"/>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申购费率</w:t>
            </w:r>
          </w:p>
        </w:tc>
      </w:tr>
      <w:tr w:rsidR="004A57FA" w:rsidRPr="004A57FA" w:rsidTr="00572734">
        <w:trPr>
          <w:jc w:val="center"/>
        </w:trPr>
        <w:tc>
          <w:tcPr>
            <w:tcW w:w="2808" w:type="dxa"/>
            <w:vAlign w:val="center"/>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M＜100万</w:t>
            </w:r>
          </w:p>
        </w:tc>
        <w:tc>
          <w:tcPr>
            <w:tcW w:w="4320"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cs="宋体" w:hint="eastAsia"/>
                <w:kern w:val="0"/>
                <w:szCs w:val="21"/>
              </w:rPr>
              <w:t>0.15%</w:t>
            </w:r>
          </w:p>
        </w:tc>
      </w:tr>
      <w:tr w:rsidR="004A57FA" w:rsidRPr="004A57FA" w:rsidTr="00572734">
        <w:trPr>
          <w:jc w:val="center"/>
        </w:trPr>
        <w:tc>
          <w:tcPr>
            <w:tcW w:w="2808" w:type="dxa"/>
            <w:vAlign w:val="center"/>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100万≤M＜500万</w:t>
            </w:r>
          </w:p>
        </w:tc>
        <w:tc>
          <w:tcPr>
            <w:tcW w:w="4320" w:type="dxa"/>
          </w:tcPr>
          <w:p w:rsidR="000D584D" w:rsidRPr="004A57FA" w:rsidRDefault="000D584D" w:rsidP="00C53017">
            <w:pPr>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0.12%</w:t>
            </w:r>
          </w:p>
        </w:tc>
      </w:tr>
      <w:tr w:rsidR="004A57FA" w:rsidRPr="004A57FA" w:rsidTr="00572734">
        <w:trPr>
          <w:jc w:val="center"/>
        </w:trPr>
        <w:tc>
          <w:tcPr>
            <w:tcW w:w="2808" w:type="dxa"/>
            <w:vAlign w:val="center"/>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500万≤M＜1000万</w:t>
            </w:r>
          </w:p>
        </w:tc>
        <w:tc>
          <w:tcPr>
            <w:tcW w:w="4320" w:type="dxa"/>
          </w:tcPr>
          <w:p w:rsidR="000D584D" w:rsidRPr="004A57FA" w:rsidRDefault="000D584D" w:rsidP="00C53017">
            <w:pPr>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0.03%</w:t>
            </w:r>
          </w:p>
        </w:tc>
      </w:tr>
      <w:tr w:rsidR="000D584D" w:rsidRPr="004A57FA" w:rsidTr="00572734">
        <w:trPr>
          <w:jc w:val="center"/>
        </w:trPr>
        <w:tc>
          <w:tcPr>
            <w:tcW w:w="2808" w:type="dxa"/>
            <w:vAlign w:val="center"/>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M≥1000万</w:t>
            </w:r>
          </w:p>
        </w:tc>
        <w:tc>
          <w:tcPr>
            <w:tcW w:w="4320"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cs="宋体" w:hint="eastAsia"/>
                <w:kern w:val="0"/>
                <w:szCs w:val="21"/>
              </w:rPr>
              <w:t>1000元/笔</w:t>
            </w:r>
          </w:p>
        </w:tc>
      </w:tr>
    </w:tbl>
    <w:p w:rsidR="00572734" w:rsidRPr="004A57FA" w:rsidRDefault="00572734" w:rsidP="00C53017">
      <w:pPr>
        <w:autoSpaceDE w:val="0"/>
        <w:autoSpaceDN w:val="0"/>
        <w:adjustRightInd w:val="0"/>
        <w:snapToGrid w:val="0"/>
        <w:spacing w:line="360" w:lineRule="auto"/>
        <w:ind w:left="420"/>
        <w:jc w:val="left"/>
        <w:rPr>
          <w:rFonts w:asciiTheme="minorEastAsia" w:eastAsiaTheme="minorEastAsia" w:hAnsiTheme="minorEastAsia"/>
          <w:szCs w:val="21"/>
        </w:rPr>
      </w:pPr>
    </w:p>
    <w:p w:rsidR="00AF2EE6" w:rsidRPr="004A57FA" w:rsidRDefault="000D584D" w:rsidP="00C53017">
      <w:pPr>
        <w:autoSpaceDE w:val="0"/>
        <w:autoSpaceDN w:val="0"/>
        <w:adjustRightInd w:val="0"/>
        <w:snapToGrid w:val="0"/>
        <w:spacing w:line="360" w:lineRule="auto"/>
        <w:ind w:left="420"/>
        <w:jc w:val="left"/>
        <w:rPr>
          <w:rFonts w:asciiTheme="minorEastAsia" w:eastAsiaTheme="minorEastAsia" w:hAnsiTheme="minorEastAsia"/>
          <w:szCs w:val="21"/>
        </w:rPr>
      </w:pPr>
      <w:r w:rsidRPr="004A57FA">
        <w:rPr>
          <w:rFonts w:asciiTheme="minorEastAsia" w:eastAsiaTheme="minorEastAsia" w:hAnsiTheme="minorEastAsia" w:hint="eastAsia"/>
          <w:szCs w:val="21"/>
        </w:rPr>
        <w:t>其他投资者申购本基金的</w:t>
      </w:r>
      <w:r w:rsidR="00AF2EE6" w:rsidRPr="004A57FA">
        <w:rPr>
          <w:rFonts w:asciiTheme="minorEastAsia" w:eastAsiaTheme="minorEastAsia" w:hAnsiTheme="minorEastAsia"/>
          <w:szCs w:val="21"/>
        </w:rPr>
        <w:t>申购费率为：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20"/>
      </w:tblGrid>
      <w:tr w:rsidR="004A57FA" w:rsidRPr="004A57FA" w:rsidTr="00572734">
        <w:trPr>
          <w:jc w:val="center"/>
        </w:trPr>
        <w:tc>
          <w:tcPr>
            <w:tcW w:w="2808"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申购金额M（元）（含申购费）</w:t>
            </w:r>
          </w:p>
        </w:tc>
        <w:tc>
          <w:tcPr>
            <w:tcW w:w="4320" w:type="dxa"/>
          </w:tcPr>
          <w:p w:rsidR="00AF2EE6" w:rsidRPr="004A57FA" w:rsidRDefault="00AF2EE6" w:rsidP="00C53017">
            <w:pPr>
              <w:snapToGrid w:val="0"/>
              <w:spacing w:line="360" w:lineRule="auto"/>
              <w:ind w:firstLine="27"/>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申购费率</w:t>
            </w:r>
          </w:p>
        </w:tc>
      </w:tr>
      <w:tr w:rsidR="004A57FA" w:rsidRPr="004A57FA" w:rsidTr="00572734">
        <w:trPr>
          <w:jc w:val="center"/>
        </w:trPr>
        <w:tc>
          <w:tcPr>
            <w:tcW w:w="2808" w:type="dxa"/>
            <w:vAlign w:val="center"/>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M＜100万</w:t>
            </w:r>
          </w:p>
        </w:tc>
        <w:tc>
          <w:tcPr>
            <w:tcW w:w="4320"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cs="宋体" w:hint="eastAsia"/>
                <w:kern w:val="0"/>
                <w:szCs w:val="21"/>
              </w:rPr>
              <w:t>1.5%</w:t>
            </w:r>
          </w:p>
        </w:tc>
      </w:tr>
      <w:tr w:rsidR="004A57FA" w:rsidRPr="004A57FA" w:rsidTr="00572734">
        <w:trPr>
          <w:jc w:val="center"/>
        </w:trPr>
        <w:tc>
          <w:tcPr>
            <w:tcW w:w="2808" w:type="dxa"/>
            <w:vAlign w:val="center"/>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100万≤M＜500万</w:t>
            </w:r>
          </w:p>
        </w:tc>
        <w:tc>
          <w:tcPr>
            <w:tcW w:w="4320" w:type="dxa"/>
          </w:tcPr>
          <w:p w:rsidR="00AF2EE6" w:rsidRPr="004A57FA" w:rsidRDefault="00AF2EE6" w:rsidP="00C53017">
            <w:pPr>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1.2%</w:t>
            </w:r>
          </w:p>
        </w:tc>
      </w:tr>
      <w:tr w:rsidR="004A57FA" w:rsidRPr="004A57FA" w:rsidTr="00572734">
        <w:trPr>
          <w:jc w:val="center"/>
        </w:trPr>
        <w:tc>
          <w:tcPr>
            <w:tcW w:w="2808" w:type="dxa"/>
            <w:vAlign w:val="center"/>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500万≤M＜1000万</w:t>
            </w:r>
          </w:p>
        </w:tc>
        <w:tc>
          <w:tcPr>
            <w:tcW w:w="4320" w:type="dxa"/>
          </w:tcPr>
          <w:p w:rsidR="00AF2EE6" w:rsidRPr="004A57FA" w:rsidRDefault="00AF2EE6" w:rsidP="00C53017">
            <w:pPr>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0.3%</w:t>
            </w:r>
          </w:p>
        </w:tc>
      </w:tr>
      <w:tr w:rsidR="00AF2EE6" w:rsidRPr="004A57FA" w:rsidTr="00572734">
        <w:trPr>
          <w:jc w:val="center"/>
        </w:trPr>
        <w:tc>
          <w:tcPr>
            <w:tcW w:w="2808" w:type="dxa"/>
            <w:vAlign w:val="center"/>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M≥1000万</w:t>
            </w:r>
          </w:p>
        </w:tc>
        <w:tc>
          <w:tcPr>
            <w:tcW w:w="4320"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cs="宋体" w:hint="eastAsia"/>
                <w:kern w:val="0"/>
                <w:szCs w:val="21"/>
              </w:rPr>
              <w:t>1000元/笔</w:t>
            </w:r>
          </w:p>
        </w:tc>
      </w:tr>
    </w:tbl>
    <w:p w:rsidR="00572734" w:rsidRPr="004A57FA" w:rsidRDefault="00572734" w:rsidP="00C53017">
      <w:pPr>
        <w:pStyle w:val="ab"/>
        <w:snapToGrid w:val="0"/>
        <w:spacing w:after="0" w:line="360" w:lineRule="auto"/>
        <w:ind w:firstLineChars="200" w:firstLine="420"/>
        <w:rPr>
          <w:rFonts w:asciiTheme="minorEastAsia" w:eastAsiaTheme="minorEastAsia" w:hAnsiTheme="minorEastAsia"/>
          <w:szCs w:val="21"/>
        </w:rPr>
      </w:pPr>
    </w:p>
    <w:p w:rsidR="00AF2EE6" w:rsidRPr="004A57FA" w:rsidRDefault="00AF2EE6" w:rsidP="00C53017">
      <w:pPr>
        <w:pStyle w:val="ab"/>
        <w:snapToGrid w:val="0"/>
        <w:spacing w:after="0"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赎回</w:t>
      </w:r>
      <w:r w:rsidRPr="004A57FA">
        <w:rPr>
          <w:rFonts w:asciiTheme="minorEastAsia" w:eastAsiaTheme="minorEastAsia" w:hAnsiTheme="minorEastAsia" w:hint="eastAsia"/>
          <w:szCs w:val="21"/>
        </w:rPr>
        <w:t>费率为</w:t>
      </w:r>
      <w:r w:rsidRPr="004A57FA">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4A57FA" w:rsidRPr="004A57FA" w:rsidTr="00572734">
        <w:trPr>
          <w:jc w:val="center"/>
        </w:trPr>
        <w:tc>
          <w:tcPr>
            <w:tcW w:w="3543" w:type="dxa"/>
          </w:tcPr>
          <w:p w:rsidR="00AF2EE6" w:rsidRPr="004A57FA" w:rsidRDefault="00AF2EE6"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持有时间</w:t>
            </w:r>
            <w:r w:rsidRPr="004A57FA">
              <w:rPr>
                <w:rFonts w:asciiTheme="minorEastAsia" w:eastAsiaTheme="minorEastAsia" w:hAnsiTheme="minorEastAsia" w:cs="宋体" w:hint="eastAsia"/>
                <w:kern w:val="0"/>
                <w:szCs w:val="21"/>
              </w:rPr>
              <w:t>（天）</w:t>
            </w:r>
          </w:p>
        </w:tc>
        <w:tc>
          <w:tcPr>
            <w:tcW w:w="3585" w:type="dxa"/>
          </w:tcPr>
          <w:p w:rsidR="00AF2EE6" w:rsidRPr="004A57FA" w:rsidRDefault="00AF2EE6"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赎回费率</w:t>
            </w:r>
          </w:p>
        </w:tc>
      </w:tr>
      <w:tr w:rsidR="004A57FA" w:rsidRPr="004A57FA" w:rsidTr="00572734">
        <w:trPr>
          <w:jc w:val="center"/>
        </w:trPr>
        <w:tc>
          <w:tcPr>
            <w:tcW w:w="3543" w:type="dxa"/>
          </w:tcPr>
          <w:p w:rsidR="00261475" w:rsidRPr="004A57FA" w:rsidRDefault="00261475"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0</w:t>
            </w:r>
            <w:r w:rsidRPr="004A57FA">
              <w:rPr>
                <w:rFonts w:asciiTheme="minorEastAsia" w:eastAsiaTheme="minorEastAsia" w:hAnsiTheme="minorEastAsia" w:cs="宋体"/>
                <w:kern w:val="0"/>
                <w:szCs w:val="21"/>
              </w:rPr>
              <w:t>-6</w:t>
            </w:r>
          </w:p>
        </w:tc>
        <w:tc>
          <w:tcPr>
            <w:tcW w:w="3585" w:type="dxa"/>
          </w:tcPr>
          <w:p w:rsidR="00261475" w:rsidRPr="004A57FA" w:rsidRDefault="00261475" w:rsidP="00C53017">
            <w:pPr>
              <w:widowControl/>
              <w:snapToGrid w:val="0"/>
              <w:spacing w:line="360" w:lineRule="auto"/>
              <w:ind w:leftChars="-37" w:left="-78"/>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1</w:t>
            </w:r>
            <w:r w:rsidRPr="004A57FA">
              <w:rPr>
                <w:rFonts w:asciiTheme="minorEastAsia" w:eastAsiaTheme="minorEastAsia" w:hAnsiTheme="minorEastAsia" w:cs="宋体"/>
                <w:kern w:val="0"/>
                <w:szCs w:val="21"/>
              </w:rPr>
              <w:t>.5%</w:t>
            </w:r>
          </w:p>
        </w:tc>
      </w:tr>
      <w:tr w:rsidR="004A57FA" w:rsidRPr="004A57FA" w:rsidTr="00572734">
        <w:trPr>
          <w:jc w:val="center"/>
        </w:trPr>
        <w:tc>
          <w:tcPr>
            <w:tcW w:w="3543" w:type="dxa"/>
          </w:tcPr>
          <w:p w:rsidR="00AF2EE6" w:rsidRPr="004A57FA" w:rsidRDefault="00261475"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lastRenderedPageBreak/>
              <w:t>7</w:t>
            </w:r>
            <w:r w:rsidR="00AF2EE6" w:rsidRPr="004A57FA">
              <w:rPr>
                <w:rFonts w:asciiTheme="minorEastAsia" w:eastAsiaTheme="minorEastAsia" w:hAnsiTheme="minorEastAsia" w:cs="宋体"/>
                <w:kern w:val="0"/>
                <w:szCs w:val="21"/>
              </w:rPr>
              <w:t>-364</w:t>
            </w:r>
          </w:p>
        </w:tc>
        <w:tc>
          <w:tcPr>
            <w:tcW w:w="3585" w:type="dxa"/>
          </w:tcPr>
          <w:p w:rsidR="00AF2EE6" w:rsidRPr="004A57FA" w:rsidRDefault="00AF2EE6" w:rsidP="00C53017">
            <w:pPr>
              <w:widowControl/>
              <w:snapToGrid w:val="0"/>
              <w:spacing w:line="360" w:lineRule="auto"/>
              <w:ind w:leftChars="-37" w:left="-78"/>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0.5%</w:t>
            </w:r>
          </w:p>
        </w:tc>
      </w:tr>
      <w:tr w:rsidR="004A57FA" w:rsidRPr="004A57FA" w:rsidTr="00572734">
        <w:trPr>
          <w:jc w:val="center"/>
        </w:trPr>
        <w:tc>
          <w:tcPr>
            <w:tcW w:w="3543" w:type="dxa"/>
          </w:tcPr>
          <w:p w:rsidR="00AF2EE6" w:rsidRPr="004A57FA" w:rsidRDefault="00AF2EE6"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365-729</w:t>
            </w:r>
          </w:p>
        </w:tc>
        <w:tc>
          <w:tcPr>
            <w:tcW w:w="3585" w:type="dxa"/>
          </w:tcPr>
          <w:p w:rsidR="00AF2EE6" w:rsidRPr="004A57FA" w:rsidRDefault="00AF2EE6" w:rsidP="00C53017">
            <w:pPr>
              <w:widowControl/>
              <w:snapToGrid w:val="0"/>
              <w:spacing w:line="360" w:lineRule="auto"/>
              <w:ind w:leftChars="-37" w:left="-78"/>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0.25%</w:t>
            </w:r>
          </w:p>
        </w:tc>
      </w:tr>
      <w:tr w:rsidR="004A57FA" w:rsidRPr="004A57FA" w:rsidTr="00572734">
        <w:trPr>
          <w:jc w:val="center"/>
        </w:trPr>
        <w:tc>
          <w:tcPr>
            <w:tcW w:w="3543" w:type="dxa"/>
          </w:tcPr>
          <w:p w:rsidR="00AF2EE6" w:rsidRPr="004A57FA" w:rsidRDefault="00AF2EE6" w:rsidP="00C53017">
            <w:pPr>
              <w:widowControl/>
              <w:snapToGrid w:val="0"/>
              <w:spacing w:line="360" w:lineRule="auto"/>
              <w:jc w:val="center"/>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730及以上</w:t>
            </w:r>
          </w:p>
        </w:tc>
        <w:tc>
          <w:tcPr>
            <w:tcW w:w="3585" w:type="dxa"/>
          </w:tcPr>
          <w:p w:rsidR="00AF2EE6" w:rsidRPr="004A57FA" w:rsidRDefault="00AF2EE6" w:rsidP="00C53017">
            <w:pPr>
              <w:widowControl/>
              <w:snapToGrid w:val="0"/>
              <w:spacing w:line="360" w:lineRule="auto"/>
              <w:ind w:leftChars="-37" w:left="-78"/>
              <w:jc w:val="center"/>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0%</w:t>
            </w:r>
          </w:p>
        </w:tc>
      </w:tr>
    </w:tbl>
    <w:p w:rsidR="00AF2EE6" w:rsidRPr="004A57FA" w:rsidRDefault="00AF2EE6" w:rsidP="00C53017">
      <w:pPr>
        <w:snapToGrid w:val="0"/>
        <w:spacing w:line="360" w:lineRule="auto"/>
        <w:ind w:firstLine="420"/>
        <w:jc w:val="left"/>
        <w:rPr>
          <w:rFonts w:asciiTheme="minorEastAsia" w:eastAsiaTheme="minorEastAsia" w:hAnsiTheme="minorEastAsia"/>
          <w:szCs w:val="21"/>
        </w:rPr>
      </w:pPr>
      <w:r w:rsidRPr="004A57FA">
        <w:rPr>
          <w:rFonts w:asciiTheme="minorEastAsia" w:eastAsiaTheme="minorEastAsia" w:hAnsiTheme="minorEastAsia" w:hint="eastAsia"/>
          <w:szCs w:val="21"/>
        </w:rPr>
        <w:t>注：对于投资者在基金退市前持有的原基金科翔基金份额，持有期限自集中申购最后一日的次一工作日起开始计算。对于集中申购所得的基金份额，持有期限自集中申购结束后注册登记机构确认登记之日起计算。</w:t>
      </w:r>
    </w:p>
    <w:p w:rsidR="00AF2EE6" w:rsidRPr="004A57FA" w:rsidRDefault="00AF2EE6" w:rsidP="00C53017">
      <w:pPr>
        <w:pStyle w:val="ab"/>
        <w:snapToGrid w:val="0"/>
        <w:spacing w:after="0"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在申购费按金额分档的情况下，如果投资者多次申购，申购费适用单笔申购金额所对应的费率。</w:t>
      </w:r>
    </w:p>
    <w:p w:rsidR="00FC7543" w:rsidRPr="004A57FA" w:rsidRDefault="00AF2EE6" w:rsidP="00C53017">
      <w:pPr>
        <w:snapToGrid w:val="0"/>
        <w:spacing w:line="360" w:lineRule="auto"/>
        <w:ind w:firstLine="435"/>
        <w:rPr>
          <w:rFonts w:asciiTheme="minorEastAsia" w:eastAsiaTheme="minorEastAsia" w:hAnsiTheme="minorEastAsia"/>
          <w:szCs w:val="21"/>
        </w:rPr>
      </w:pPr>
      <w:r w:rsidRPr="004A57FA">
        <w:rPr>
          <w:rFonts w:asciiTheme="minorEastAsia" w:eastAsiaTheme="minorEastAsia" w:hAnsiTheme="minorEastAsia"/>
          <w:szCs w:val="21"/>
        </w:rPr>
        <w:t>基金管理人可以在基金合同规定的范围内调整申购费率和赎回费率，上述费率如发生变更，基金管理人</w:t>
      </w:r>
      <w:r w:rsidRPr="004A57FA">
        <w:rPr>
          <w:rFonts w:asciiTheme="minorEastAsia" w:eastAsiaTheme="minorEastAsia" w:hAnsiTheme="minorEastAsia" w:hint="eastAsia"/>
          <w:szCs w:val="21"/>
        </w:rPr>
        <w:t>还</w:t>
      </w:r>
      <w:r w:rsidRPr="004A57FA">
        <w:rPr>
          <w:rFonts w:asciiTheme="minorEastAsia" w:eastAsiaTheme="minorEastAsia" w:hAnsiTheme="minorEastAsia"/>
          <w:szCs w:val="21"/>
        </w:rPr>
        <w:t>应于新的费率实施前</w:t>
      </w:r>
      <w:r w:rsidRPr="004A57FA">
        <w:rPr>
          <w:rFonts w:asciiTheme="minorEastAsia" w:eastAsiaTheme="minorEastAsia" w:hAnsiTheme="minorEastAsia" w:hint="eastAsia"/>
          <w:szCs w:val="21"/>
        </w:rPr>
        <w:t>在</w:t>
      </w:r>
      <w:r w:rsidR="00F514B6"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公告</w:t>
      </w:r>
      <w:r w:rsidRPr="004A57FA">
        <w:rPr>
          <w:rFonts w:asciiTheme="minorEastAsia" w:eastAsiaTheme="minorEastAsia" w:hAnsiTheme="minorEastAsia"/>
          <w:szCs w:val="21"/>
        </w:rPr>
        <w:t>。</w:t>
      </w:r>
    </w:p>
    <w:p w:rsidR="004458BE" w:rsidRPr="004A57FA" w:rsidRDefault="00674F75" w:rsidP="00C53017">
      <w:pPr>
        <w:snapToGrid w:val="0"/>
        <w:spacing w:line="360" w:lineRule="auto"/>
        <w:ind w:firstLine="435"/>
        <w:rPr>
          <w:rFonts w:asciiTheme="minorEastAsia" w:eastAsiaTheme="minorEastAsia" w:hAnsiTheme="minorEastAsia"/>
        </w:rPr>
      </w:pPr>
      <w:r w:rsidRPr="004A57FA">
        <w:rPr>
          <w:rFonts w:asciiTheme="minorEastAsia" w:eastAsiaTheme="minorEastAsia" w:hAnsiTheme="minorEastAsia" w:hint="eastAsia"/>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6" w:name="_Toc81230995"/>
      <w:r w:rsidRPr="004A57FA">
        <w:rPr>
          <w:rFonts w:asciiTheme="minorEastAsia" w:eastAsiaTheme="minorEastAsia" w:hAnsiTheme="minorEastAsia" w:hint="eastAsia"/>
          <w:b w:val="0"/>
        </w:rPr>
        <w:t>（八）申购份额、赎回金额的计算方式</w:t>
      </w:r>
      <w:bookmarkEnd w:id="46"/>
    </w:p>
    <w:p w:rsidR="00AF2EE6" w:rsidRPr="004A57FA" w:rsidRDefault="00572734"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申购份额的计算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本基金的申购金额包括申购费用和净申购金额，其中：</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申购费用=申购金额/（1＋申购费率）×申购费率,对于1000万元（含）以上的申购适用绝对数额的申购费金额</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净申购金额=申购金额-申购费用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申购份数=净申购金额÷T日基金份额净值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举例说明：</w:t>
      </w:r>
    </w:p>
    <w:p w:rsidR="000D584D" w:rsidRPr="004A57FA" w:rsidRDefault="000D584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某投资者（非特定投资群体）申购本基金：</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134"/>
        <w:gridCol w:w="1417"/>
        <w:gridCol w:w="1418"/>
        <w:gridCol w:w="1660"/>
        <w:gridCol w:w="1422"/>
      </w:tblGrid>
      <w:tr w:rsidR="004A57FA" w:rsidRPr="004A57FA" w:rsidTr="000D584D">
        <w:trPr>
          <w:jc w:val="center"/>
        </w:trPr>
        <w:tc>
          <w:tcPr>
            <w:tcW w:w="1581"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申购金额</w:t>
            </w:r>
          </w:p>
        </w:tc>
        <w:tc>
          <w:tcPr>
            <w:tcW w:w="1134"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申购费率</w:t>
            </w:r>
          </w:p>
        </w:tc>
        <w:tc>
          <w:tcPr>
            <w:tcW w:w="1417"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申购费用</w:t>
            </w:r>
          </w:p>
        </w:tc>
        <w:tc>
          <w:tcPr>
            <w:tcW w:w="1418"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净申购金额</w:t>
            </w:r>
          </w:p>
        </w:tc>
        <w:tc>
          <w:tcPr>
            <w:tcW w:w="1660"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基金份额净值</w:t>
            </w:r>
          </w:p>
        </w:tc>
        <w:tc>
          <w:tcPr>
            <w:tcW w:w="1422"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申购份数</w:t>
            </w:r>
          </w:p>
        </w:tc>
      </w:tr>
      <w:tr w:rsidR="004A57FA" w:rsidRPr="004A57FA" w:rsidTr="000D584D">
        <w:trPr>
          <w:jc w:val="center"/>
        </w:trPr>
        <w:tc>
          <w:tcPr>
            <w:tcW w:w="1581"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10,000元</w:t>
            </w:r>
          </w:p>
        </w:tc>
        <w:tc>
          <w:tcPr>
            <w:tcW w:w="1134" w:type="dxa"/>
          </w:tcPr>
          <w:p w:rsidR="00AF2EE6" w:rsidRPr="004A57FA" w:rsidRDefault="00AF2EE6" w:rsidP="00C53017">
            <w:pPr>
              <w:snapToGrid w:val="0"/>
              <w:spacing w:line="360" w:lineRule="auto"/>
              <w:ind w:firstLineChars="100" w:firstLine="210"/>
              <w:rPr>
                <w:rFonts w:asciiTheme="minorEastAsia" w:eastAsiaTheme="minorEastAsia" w:hAnsiTheme="minorEastAsia"/>
                <w:szCs w:val="21"/>
              </w:rPr>
            </w:pPr>
            <w:r w:rsidRPr="004A57FA">
              <w:rPr>
                <w:rFonts w:asciiTheme="minorEastAsia" w:eastAsiaTheme="minorEastAsia" w:hAnsiTheme="minorEastAsia" w:hint="eastAsia"/>
                <w:szCs w:val="21"/>
              </w:rPr>
              <w:t>1.5%</w:t>
            </w:r>
          </w:p>
        </w:tc>
        <w:tc>
          <w:tcPr>
            <w:tcW w:w="1417"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147.78元</w:t>
            </w:r>
          </w:p>
        </w:tc>
        <w:tc>
          <w:tcPr>
            <w:tcW w:w="1418"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9,852.22元</w:t>
            </w:r>
          </w:p>
        </w:tc>
        <w:tc>
          <w:tcPr>
            <w:tcW w:w="1660" w:type="dxa"/>
          </w:tcPr>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22"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9,852.22份</w:t>
            </w:r>
          </w:p>
        </w:tc>
      </w:tr>
      <w:tr w:rsidR="004A57FA" w:rsidRPr="004A57FA" w:rsidTr="000D584D">
        <w:trPr>
          <w:jc w:val="center"/>
        </w:trPr>
        <w:tc>
          <w:tcPr>
            <w:tcW w:w="1581"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10,000,000元</w:t>
            </w:r>
          </w:p>
        </w:tc>
        <w:tc>
          <w:tcPr>
            <w:tcW w:w="1134"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17"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18"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9,999,000元</w:t>
            </w:r>
          </w:p>
        </w:tc>
        <w:tc>
          <w:tcPr>
            <w:tcW w:w="1660" w:type="dxa"/>
          </w:tcPr>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22"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9,999,000份</w:t>
            </w:r>
          </w:p>
        </w:tc>
      </w:tr>
    </w:tbl>
    <w:p w:rsidR="000D584D" w:rsidRPr="004A57FA" w:rsidRDefault="000D584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某投资者（特定投资群体）通过基金管理人的直销中心申购本基金：</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134"/>
        <w:gridCol w:w="1417"/>
        <w:gridCol w:w="1418"/>
        <w:gridCol w:w="1660"/>
        <w:gridCol w:w="1422"/>
      </w:tblGrid>
      <w:tr w:rsidR="004A57FA" w:rsidRPr="004A57FA" w:rsidTr="00A004F6">
        <w:trPr>
          <w:jc w:val="center"/>
        </w:trPr>
        <w:tc>
          <w:tcPr>
            <w:tcW w:w="1581"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申购金额</w:t>
            </w:r>
          </w:p>
        </w:tc>
        <w:tc>
          <w:tcPr>
            <w:tcW w:w="1134"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申购费率</w:t>
            </w:r>
          </w:p>
        </w:tc>
        <w:tc>
          <w:tcPr>
            <w:tcW w:w="1417"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申购费用</w:t>
            </w:r>
          </w:p>
        </w:tc>
        <w:tc>
          <w:tcPr>
            <w:tcW w:w="1418"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净申购金额</w:t>
            </w:r>
          </w:p>
        </w:tc>
        <w:tc>
          <w:tcPr>
            <w:tcW w:w="1660"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基金份额净值</w:t>
            </w:r>
          </w:p>
        </w:tc>
        <w:tc>
          <w:tcPr>
            <w:tcW w:w="1422"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申购份数</w:t>
            </w:r>
          </w:p>
        </w:tc>
      </w:tr>
      <w:tr w:rsidR="004A57FA" w:rsidRPr="004A57FA" w:rsidTr="00A004F6">
        <w:trPr>
          <w:jc w:val="center"/>
        </w:trPr>
        <w:tc>
          <w:tcPr>
            <w:tcW w:w="1581"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50,000元</w:t>
            </w:r>
          </w:p>
        </w:tc>
        <w:tc>
          <w:tcPr>
            <w:tcW w:w="1134" w:type="dxa"/>
          </w:tcPr>
          <w:p w:rsidR="000D584D" w:rsidRPr="004A57FA" w:rsidRDefault="000D584D" w:rsidP="00C53017">
            <w:pPr>
              <w:snapToGrid w:val="0"/>
              <w:spacing w:line="360" w:lineRule="auto"/>
              <w:ind w:firstLineChars="100" w:firstLine="210"/>
              <w:rPr>
                <w:rFonts w:asciiTheme="minorEastAsia" w:eastAsiaTheme="minorEastAsia" w:hAnsiTheme="minorEastAsia"/>
                <w:szCs w:val="21"/>
              </w:rPr>
            </w:pPr>
            <w:r w:rsidRPr="004A57FA">
              <w:rPr>
                <w:rFonts w:asciiTheme="minorEastAsia" w:eastAsiaTheme="minorEastAsia" w:hAnsiTheme="minorEastAsia" w:hint="eastAsia"/>
                <w:szCs w:val="21"/>
              </w:rPr>
              <w:t>0.15%</w:t>
            </w:r>
          </w:p>
        </w:tc>
        <w:tc>
          <w:tcPr>
            <w:tcW w:w="1417"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szCs w:val="21"/>
              </w:rPr>
              <w:t>74.89</w:t>
            </w:r>
            <w:r w:rsidRPr="004A57FA">
              <w:rPr>
                <w:rFonts w:asciiTheme="minorEastAsia" w:eastAsiaTheme="minorEastAsia" w:hAnsiTheme="minorEastAsia" w:hint="eastAsia"/>
                <w:szCs w:val="21"/>
              </w:rPr>
              <w:t>元</w:t>
            </w:r>
          </w:p>
        </w:tc>
        <w:tc>
          <w:tcPr>
            <w:tcW w:w="1418"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szCs w:val="21"/>
              </w:rPr>
              <w:t>49,925.11</w:t>
            </w:r>
            <w:r w:rsidRPr="004A57FA">
              <w:rPr>
                <w:rFonts w:asciiTheme="minorEastAsia" w:eastAsiaTheme="minorEastAsia" w:hAnsiTheme="minorEastAsia" w:hint="eastAsia"/>
                <w:szCs w:val="21"/>
              </w:rPr>
              <w:t>元</w:t>
            </w:r>
          </w:p>
        </w:tc>
        <w:tc>
          <w:tcPr>
            <w:tcW w:w="1660" w:type="dxa"/>
          </w:tcPr>
          <w:p w:rsidR="000D584D" w:rsidRPr="004A57FA" w:rsidRDefault="000D584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22"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szCs w:val="21"/>
              </w:rPr>
              <w:t>49,925.11</w:t>
            </w:r>
            <w:r w:rsidRPr="004A57FA">
              <w:rPr>
                <w:rFonts w:asciiTheme="minorEastAsia" w:eastAsiaTheme="minorEastAsia" w:hAnsiTheme="minorEastAsia" w:hint="eastAsia"/>
                <w:szCs w:val="21"/>
              </w:rPr>
              <w:t>份</w:t>
            </w:r>
          </w:p>
        </w:tc>
      </w:tr>
      <w:tr w:rsidR="004A57FA" w:rsidRPr="004A57FA" w:rsidTr="00A004F6">
        <w:trPr>
          <w:jc w:val="center"/>
        </w:trPr>
        <w:tc>
          <w:tcPr>
            <w:tcW w:w="1581"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10,000,000元</w:t>
            </w:r>
          </w:p>
        </w:tc>
        <w:tc>
          <w:tcPr>
            <w:tcW w:w="1134"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17"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18"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9,999,000元</w:t>
            </w:r>
          </w:p>
        </w:tc>
        <w:tc>
          <w:tcPr>
            <w:tcW w:w="1660" w:type="dxa"/>
          </w:tcPr>
          <w:p w:rsidR="000D584D" w:rsidRPr="004A57FA" w:rsidRDefault="000D584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1.000元</w:t>
            </w:r>
          </w:p>
        </w:tc>
        <w:tc>
          <w:tcPr>
            <w:tcW w:w="1422" w:type="dxa"/>
          </w:tcPr>
          <w:p w:rsidR="000D584D" w:rsidRPr="004A57FA" w:rsidRDefault="000D584D"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9,999,000份</w:t>
            </w:r>
          </w:p>
        </w:tc>
      </w:tr>
    </w:tbl>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申购费用以人民币元为单位，四舍五入，保留至小数点后二位；申购份数采取四舍五入的方法保留小数点后二位，由此产生的误差计入基金财产。</w:t>
      </w:r>
    </w:p>
    <w:p w:rsidR="00AF2EE6" w:rsidRPr="004A57FA" w:rsidRDefault="00572734"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基金赎回金额的计算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本基金的赎回金额为赎回总额扣减赎回费用，其中：</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赎回总额=赎回数量</w:t>
      </w:r>
      <w:r w:rsidRPr="004A57FA">
        <w:rPr>
          <w:rFonts w:asciiTheme="minorEastAsia" w:eastAsiaTheme="minorEastAsia" w:hAnsiTheme="minorEastAsia" w:hint="eastAsia"/>
          <w:szCs w:val="21"/>
        </w:rPr>
        <w:sym w:font="Symbol" w:char="F0B4"/>
      </w:r>
      <w:r w:rsidRPr="004A57FA">
        <w:rPr>
          <w:rFonts w:asciiTheme="minorEastAsia" w:eastAsiaTheme="minorEastAsia" w:hAnsiTheme="minorEastAsia" w:hint="eastAsia"/>
          <w:szCs w:val="21"/>
        </w:rPr>
        <w:t>T日基金份额净值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赎回费用=赎回总额</w:t>
      </w:r>
      <w:r w:rsidRPr="004A57FA">
        <w:rPr>
          <w:rFonts w:asciiTheme="minorEastAsia" w:eastAsiaTheme="minorEastAsia" w:hAnsiTheme="minorEastAsia" w:hint="eastAsia"/>
          <w:szCs w:val="21"/>
        </w:rPr>
        <w:sym w:font="Symbol" w:char="F0B4"/>
      </w:r>
      <w:r w:rsidRPr="004A57FA">
        <w:rPr>
          <w:rFonts w:asciiTheme="minorEastAsia" w:eastAsiaTheme="minorEastAsia" w:hAnsiTheme="minorEastAsia" w:hint="eastAsia"/>
          <w:szCs w:val="21"/>
        </w:rPr>
        <w:t>赎回费率</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赎回金额=赎回总额</w:t>
      </w:r>
      <w:r w:rsidRPr="004A57FA">
        <w:rPr>
          <w:rFonts w:asciiTheme="minorEastAsia" w:eastAsiaTheme="minorEastAsia" w:hAnsiTheme="minorEastAsia" w:hint="eastAsia"/>
          <w:szCs w:val="21"/>
        </w:rPr>
        <w:sym w:font="Symbol" w:char="F02D"/>
      </w:r>
      <w:r w:rsidRPr="004A57FA">
        <w:rPr>
          <w:rFonts w:asciiTheme="minorEastAsia" w:eastAsiaTheme="minorEastAsia" w:hAnsiTheme="minorEastAsia" w:hint="eastAsia"/>
          <w:szCs w:val="21"/>
        </w:rPr>
        <w:t>赎回费用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举例说明：</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243"/>
        <w:gridCol w:w="1650"/>
        <w:gridCol w:w="1436"/>
        <w:gridCol w:w="1437"/>
        <w:gridCol w:w="1409"/>
        <w:gridCol w:w="1457"/>
      </w:tblGrid>
      <w:tr w:rsidR="004A57FA" w:rsidRPr="004A57FA" w:rsidTr="00A94BC6">
        <w:trPr>
          <w:jc w:val="center"/>
        </w:trPr>
        <w:tc>
          <w:tcPr>
            <w:tcW w:w="1243"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赎回份额</w:t>
            </w:r>
          </w:p>
        </w:tc>
        <w:tc>
          <w:tcPr>
            <w:tcW w:w="1650"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基金份额净值</w:t>
            </w:r>
          </w:p>
        </w:tc>
        <w:tc>
          <w:tcPr>
            <w:tcW w:w="1436"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持有时间</w:t>
            </w:r>
          </w:p>
        </w:tc>
        <w:tc>
          <w:tcPr>
            <w:tcW w:w="1437"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赎回费率</w:t>
            </w:r>
          </w:p>
        </w:tc>
        <w:tc>
          <w:tcPr>
            <w:tcW w:w="1409"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赎回费</w:t>
            </w:r>
            <w:r w:rsidRPr="004A57FA">
              <w:rPr>
                <w:rFonts w:asciiTheme="minorEastAsia" w:eastAsiaTheme="minorEastAsia" w:hAnsiTheme="minorEastAsia" w:hint="eastAsia"/>
                <w:szCs w:val="21"/>
              </w:rPr>
              <w:t>用</w:t>
            </w:r>
          </w:p>
        </w:tc>
        <w:tc>
          <w:tcPr>
            <w:tcW w:w="1457" w:type="dxa"/>
          </w:tcPr>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赎回净额</w:t>
            </w:r>
          </w:p>
        </w:tc>
      </w:tr>
      <w:tr w:rsidR="004A57FA" w:rsidRPr="004A57FA" w:rsidTr="00A94BC6">
        <w:trPr>
          <w:jc w:val="center"/>
        </w:trPr>
        <w:tc>
          <w:tcPr>
            <w:tcW w:w="1243" w:type="dxa"/>
          </w:tcPr>
          <w:p w:rsidR="00261475" w:rsidRPr="004A57FA" w:rsidRDefault="00261475" w:rsidP="00261475">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10,000</w:t>
            </w:r>
          </w:p>
        </w:tc>
        <w:tc>
          <w:tcPr>
            <w:tcW w:w="1650"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1.00</w:t>
            </w:r>
            <w:r w:rsidRPr="004A57FA">
              <w:rPr>
                <w:rFonts w:asciiTheme="minorEastAsia" w:eastAsiaTheme="minorEastAsia" w:hAnsiTheme="minorEastAsia" w:hint="eastAsia"/>
                <w:szCs w:val="21"/>
              </w:rPr>
              <w:t>0</w:t>
            </w:r>
            <w:r w:rsidRPr="004A57FA">
              <w:rPr>
                <w:rFonts w:asciiTheme="minorEastAsia" w:eastAsiaTheme="minorEastAsia" w:hAnsiTheme="minorEastAsia"/>
                <w:szCs w:val="21"/>
              </w:rPr>
              <w:t>元</w:t>
            </w:r>
          </w:p>
        </w:tc>
        <w:tc>
          <w:tcPr>
            <w:tcW w:w="1436"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6</w:t>
            </w:r>
            <w:r w:rsidRPr="004A57FA">
              <w:rPr>
                <w:rFonts w:asciiTheme="minorEastAsia" w:eastAsiaTheme="minorEastAsia" w:hAnsiTheme="minorEastAsia" w:hint="eastAsia"/>
                <w:szCs w:val="21"/>
              </w:rPr>
              <w:t>天</w:t>
            </w:r>
          </w:p>
        </w:tc>
        <w:tc>
          <w:tcPr>
            <w:tcW w:w="143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1.5%</w:t>
            </w:r>
          </w:p>
        </w:tc>
        <w:tc>
          <w:tcPr>
            <w:tcW w:w="1409"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150元</w:t>
            </w:r>
          </w:p>
        </w:tc>
        <w:tc>
          <w:tcPr>
            <w:tcW w:w="145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9,850元</w:t>
            </w:r>
          </w:p>
        </w:tc>
      </w:tr>
      <w:tr w:rsidR="004A57FA" w:rsidRPr="004A57FA" w:rsidTr="00A94BC6">
        <w:trPr>
          <w:jc w:val="center"/>
        </w:trPr>
        <w:tc>
          <w:tcPr>
            <w:tcW w:w="1243" w:type="dxa"/>
          </w:tcPr>
          <w:p w:rsidR="00261475" w:rsidRPr="004A57FA" w:rsidRDefault="00261475" w:rsidP="00261475">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10,000</w:t>
            </w:r>
          </w:p>
        </w:tc>
        <w:tc>
          <w:tcPr>
            <w:tcW w:w="1650"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1.00</w:t>
            </w:r>
            <w:r w:rsidRPr="004A57FA">
              <w:rPr>
                <w:rFonts w:asciiTheme="minorEastAsia" w:eastAsiaTheme="minorEastAsia" w:hAnsiTheme="minorEastAsia" w:hint="eastAsia"/>
                <w:szCs w:val="21"/>
              </w:rPr>
              <w:t>0</w:t>
            </w:r>
            <w:r w:rsidRPr="004A57FA">
              <w:rPr>
                <w:rFonts w:asciiTheme="minorEastAsia" w:eastAsiaTheme="minorEastAsia" w:hAnsiTheme="minorEastAsia"/>
                <w:szCs w:val="21"/>
              </w:rPr>
              <w:t>元</w:t>
            </w:r>
          </w:p>
        </w:tc>
        <w:tc>
          <w:tcPr>
            <w:tcW w:w="1436"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100天</w:t>
            </w:r>
          </w:p>
        </w:tc>
        <w:tc>
          <w:tcPr>
            <w:tcW w:w="143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0.5%</w:t>
            </w:r>
          </w:p>
        </w:tc>
        <w:tc>
          <w:tcPr>
            <w:tcW w:w="1409"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50元</w:t>
            </w:r>
          </w:p>
        </w:tc>
        <w:tc>
          <w:tcPr>
            <w:tcW w:w="145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9,950元</w:t>
            </w:r>
          </w:p>
        </w:tc>
      </w:tr>
      <w:tr w:rsidR="004A57FA" w:rsidRPr="004A57FA" w:rsidTr="00A94BC6">
        <w:trPr>
          <w:jc w:val="center"/>
        </w:trPr>
        <w:tc>
          <w:tcPr>
            <w:tcW w:w="1243" w:type="dxa"/>
          </w:tcPr>
          <w:p w:rsidR="00261475" w:rsidRPr="004A57FA" w:rsidRDefault="00261475" w:rsidP="00261475">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10,000</w:t>
            </w:r>
          </w:p>
        </w:tc>
        <w:tc>
          <w:tcPr>
            <w:tcW w:w="1650"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1.00</w:t>
            </w:r>
            <w:r w:rsidRPr="004A57FA">
              <w:rPr>
                <w:rFonts w:asciiTheme="minorEastAsia" w:eastAsiaTheme="minorEastAsia" w:hAnsiTheme="minorEastAsia" w:hint="eastAsia"/>
                <w:szCs w:val="21"/>
              </w:rPr>
              <w:t>0</w:t>
            </w:r>
            <w:r w:rsidRPr="004A57FA">
              <w:rPr>
                <w:rFonts w:asciiTheme="minorEastAsia" w:eastAsiaTheme="minorEastAsia" w:hAnsiTheme="minorEastAsia"/>
                <w:szCs w:val="21"/>
              </w:rPr>
              <w:t>元</w:t>
            </w:r>
          </w:p>
        </w:tc>
        <w:tc>
          <w:tcPr>
            <w:tcW w:w="1436" w:type="dxa"/>
          </w:tcPr>
          <w:p w:rsidR="00261475" w:rsidRPr="004A57FA" w:rsidRDefault="00261475" w:rsidP="00261475">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500天</w:t>
            </w:r>
          </w:p>
        </w:tc>
        <w:tc>
          <w:tcPr>
            <w:tcW w:w="143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0.</w:t>
            </w:r>
            <w:r w:rsidRPr="004A57FA">
              <w:rPr>
                <w:rFonts w:asciiTheme="minorEastAsia" w:eastAsiaTheme="minorEastAsia" w:hAnsiTheme="minorEastAsia" w:hint="eastAsia"/>
                <w:szCs w:val="21"/>
              </w:rPr>
              <w:t>25</w:t>
            </w:r>
            <w:r w:rsidRPr="004A57FA">
              <w:rPr>
                <w:rFonts w:asciiTheme="minorEastAsia" w:eastAsiaTheme="minorEastAsia" w:hAnsiTheme="minorEastAsia"/>
                <w:szCs w:val="21"/>
              </w:rPr>
              <w:t>%</w:t>
            </w:r>
          </w:p>
        </w:tc>
        <w:tc>
          <w:tcPr>
            <w:tcW w:w="1409"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25</w:t>
            </w:r>
            <w:r w:rsidRPr="004A57FA">
              <w:rPr>
                <w:rFonts w:asciiTheme="minorEastAsia" w:eastAsiaTheme="minorEastAsia" w:hAnsiTheme="minorEastAsia"/>
                <w:szCs w:val="21"/>
              </w:rPr>
              <w:t>元</w:t>
            </w:r>
          </w:p>
        </w:tc>
        <w:tc>
          <w:tcPr>
            <w:tcW w:w="145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9,97</w:t>
            </w:r>
            <w:r w:rsidRPr="004A57FA">
              <w:rPr>
                <w:rFonts w:asciiTheme="minorEastAsia" w:eastAsiaTheme="minorEastAsia" w:hAnsiTheme="minorEastAsia" w:hint="eastAsia"/>
                <w:szCs w:val="21"/>
              </w:rPr>
              <w:t>5</w:t>
            </w:r>
            <w:r w:rsidRPr="004A57FA">
              <w:rPr>
                <w:rFonts w:asciiTheme="minorEastAsia" w:eastAsiaTheme="minorEastAsia" w:hAnsiTheme="minorEastAsia"/>
                <w:szCs w:val="21"/>
              </w:rPr>
              <w:t>元</w:t>
            </w:r>
          </w:p>
        </w:tc>
      </w:tr>
      <w:tr w:rsidR="004A57FA" w:rsidRPr="004A57FA" w:rsidTr="00A94BC6">
        <w:trPr>
          <w:jc w:val="center"/>
        </w:trPr>
        <w:tc>
          <w:tcPr>
            <w:tcW w:w="1243" w:type="dxa"/>
          </w:tcPr>
          <w:p w:rsidR="00261475" w:rsidRPr="004A57FA" w:rsidRDefault="00261475" w:rsidP="00261475">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10,000</w:t>
            </w:r>
          </w:p>
        </w:tc>
        <w:tc>
          <w:tcPr>
            <w:tcW w:w="1650"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1.00</w:t>
            </w:r>
            <w:r w:rsidRPr="004A57FA">
              <w:rPr>
                <w:rFonts w:asciiTheme="minorEastAsia" w:eastAsiaTheme="minorEastAsia" w:hAnsiTheme="minorEastAsia" w:hint="eastAsia"/>
                <w:szCs w:val="21"/>
              </w:rPr>
              <w:t>0</w:t>
            </w:r>
            <w:r w:rsidRPr="004A57FA">
              <w:rPr>
                <w:rFonts w:asciiTheme="minorEastAsia" w:eastAsiaTheme="minorEastAsia" w:hAnsiTheme="minorEastAsia"/>
                <w:szCs w:val="21"/>
              </w:rPr>
              <w:t>元</w:t>
            </w:r>
          </w:p>
        </w:tc>
        <w:tc>
          <w:tcPr>
            <w:tcW w:w="1436" w:type="dxa"/>
          </w:tcPr>
          <w:p w:rsidR="00261475" w:rsidRPr="004A57FA" w:rsidRDefault="00261475" w:rsidP="00261475">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800天</w:t>
            </w:r>
          </w:p>
        </w:tc>
        <w:tc>
          <w:tcPr>
            <w:tcW w:w="1437"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0%</w:t>
            </w:r>
          </w:p>
        </w:tc>
        <w:tc>
          <w:tcPr>
            <w:tcW w:w="1409" w:type="dxa"/>
          </w:tcPr>
          <w:p w:rsidR="00261475" w:rsidRPr="004A57FA" w:rsidRDefault="00261475" w:rsidP="0026147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0</w:t>
            </w:r>
          </w:p>
        </w:tc>
        <w:tc>
          <w:tcPr>
            <w:tcW w:w="1457" w:type="dxa"/>
          </w:tcPr>
          <w:p w:rsidR="00261475" w:rsidRPr="004A57FA" w:rsidRDefault="00261475" w:rsidP="00261475">
            <w:pPr>
              <w:snapToGrid w:val="0"/>
              <w:spacing w:line="360" w:lineRule="auto"/>
              <w:ind w:firstLineChars="100" w:firstLine="210"/>
              <w:jc w:val="right"/>
              <w:rPr>
                <w:rFonts w:asciiTheme="minorEastAsia" w:eastAsiaTheme="minorEastAsia" w:hAnsiTheme="minorEastAsia"/>
                <w:szCs w:val="21"/>
              </w:rPr>
            </w:pPr>
            <w:r w:rsidRPr="004A57FA">
              <w:rPr>
                <w:rFonts w:asciiTheme="minorEastAsia" w:eastAsiaTheme="minorEastAsia" w:hAnsiTheme="minorEastAsia"/>
                <w:szCs w:val="21"/>
              </w:rPr>
              <w:t>10,000元</w:t>
            </w:r>
          </w:p>
        </w:tc>
      </w:tr>
    </w:tbl>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赎回金额、赎回费用以人民币元为单位，四舍五入，保留小数点后两位，由此产生的误差计入基金财产</w:t>
      </w:r>
      <w:r w:rsidRPr="004A57FA">
        <w:rPr>
          <w:rFonts w:asciiTheme="minorEastAsia" w:eastAsiaTheme="minorEastAsia" w:hAnsiTheme="minorEastAsia"/>
          <w:szCs w:val="21"/>
        </w:rPr>
        <w:t>。</w:t>
      </w:r>
    </w:p>
    <w:p w:rsidR="00AF2EE6" w:rsidRPr="004A57FA" w:rsidRDefault="00572734" w:rsidP="00C53017">
      <w:pPr>
        <w:pStyle w:val="af"/>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T日的基金份额净值在当天收市后计算，并在T+1日内公告。遇特殊情况，可以适当延迟计算或公告。其计算公式为：</w:t>
      </w:r>
    </w:p>
    <w:p w:rsidR="00AF2EE6" w:rsidRPr="004A57FA" w:rsidRDefault="00AF2EE6" w:rsidP="00C53017">
      <w:pPr>
        <w:pStyle w:val="af"/>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基金份额净值=计算日基金资产净值÷计算日基金总份额</w:t>
      </w:r>
    </w:p>
    <w:p w:rsidR="00AF2EE6" w:rsidRPr="004A57FA" w:rsidRDefault="00572734" w:rsidP="00C53017">
      <w:pPr>
        <w:snapToGrid w:val="0"/>
        <w:spacing w:line="360" w:lineRule="auto"/>
        <w:ind w:firstLineChars="202" w:firstLine="424"/>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261475" w:rsidRPr="004A57FA">
        <w:rPr>
          <w:rFonts w:asciiTheme="minorEastAsia" w:eastAsiaTheme="minorEastAsia" w:hAnsiTheme="minorEastAsia" w:hint="eastAsia"/>
          <w:szCs w:val="21"/>
        </w:rPr>
        <w:t>对持有期少于7天（不含）的基金份额持有人所收取赎回费全额计入基金财产，对持有期在7天以上（含）的基金份额持有人所收取赎回费用总额的25%计入基金资产</w:t>
      </w:r>
      <w:r w:rsidR="00261475" w:rsidRPr="004A57FA">
        <w:rPr>
          <w:rFonts w:asciiTheme="minorEastAsia" w:eastAsiaTheme="minorEastAsia" w:hAnsiTheme="minorEastAsia"/>
          <w:szCs w:val="21"/>
        </w:rPr>
        <w:t>，</w:t>
      </w:r>
      <w:r w:rsidR="00AF2EE6" w:rsidRPr="004A57FA">
        <w:rPr>
          <w:rFonts w:asciiTheme="minorEastAsia" w:eastAsiaTheme="minorEastAsia" w:hAnsiTheme="minorEastAsia" w:hint="eastAsia"/>
          <w:szCs w:val="21"/>
        </w:rPr>
        <w:t>其余</w:t>
      </w:r>
      <w:r w:rsidR="00AF2EE6" w:rsidRPr="004A57FA">
        <w:rPr>
          <w:rFonts w:asciiTheme="minorEastAsia" w:eastAsiaTheme="minorEastAsia" w:hAnsiTheme="minorEastAsia"/>
          <w:szCs w:val="21"/>
        </w:rPr>
        <w:t>用于支付注册登记费和其他必要的手续费</w:t>
      </w:r>
      <w:r w:rsidR="00AF2EE6" w:rsidRPr="004A57FA">
        <w:rPr>
          <w:rFonts w:asciiTheme="minorEastAsia" w:eastAsiaTheme="minorEastAsia" w:hAnsiTheme="minorEastAsia" w:hint="eastAsia"/>
          <w:szCs w:val="21"/>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szCs w:val="21"/>
        </w:rPr>
      </w:pPr>
      <w:bookmarkStart w:id="47" w:name="_Toc81230996"/>
      <w:r w:rsidRPr="004A57FA">
        <w:rPr>
          <w:rFonts w:asciiTheme="minorEastAsia" w:eastAsiaTheme="minorEastAsia" w:hAnsiTheme="minorEastAsia" w:hint="eastAsia"/>
          <w:b w:val="0"/>
        </w:rPr>
        <w:t>（九）申购、赎回的注册登记</w:t>
      </w:r>
      <w:bookmarkEnd w:id="47"/>
    </w:p>
    <w:p w:rsidR="00AF2EE6" w:rsidRPr="004A57FA" w:rsidRDefault="00572734" w:rsidP="00C53017">
      <w:pPr>
        <w:snapToGrid w:val="0"/>
        <w:spacing w:line="360" w:lineRule="auto"/>
        <w:ind w:firstLineChars="202" w:firstLine="424"/>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投资者申购基金成功后，正常情况下，基金注册登记机构在T+1日为投资者增加权益并办理注册登记手续，投资者自T+2日起有权赎回该部分基金份额。</w:t>
      </w:r>
    </w:p>
    <w:p w:rsidR="00AF2EE6" w:rsidRPr="004A57FA" w:rsidRDefault="00572734" w:rsidP="00C53017">
      <w:pPr>
        <w:snapToGrid w:val="0"/>
        <w:spacing w:line="360" w:lineRule="auto"/>
        <w:ind w:firstLineChars="202" w:firstLine="424"/>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投资者赎回基金成功后，正常情况下，基金注册登记机构在T+1日为投资者扣除权益并办理相应的注册登记手续。</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基金管理人可在法律法规允许的范围内，对上述注册登记办理时间进行调整，并最迟于开始实施前2个工作日予以公告。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8" w:name="_Toc81230997"/>
      <w:r w:rsidRPr="004A57FA">
        <w:rPr>
          <w:rFonts w:asciiTheme="minorEastAsia" w:eastAsiaTheme="minorEastAsia" w:hAnsiTheme="minorEastAsia" w:hint="eastAsia"/>
          <w:b w:val="0"/>
        </w:rPr>
        <w:t>（十）巨额赎回的认定及处理方式</w:t>
      </w:r>
      <w:bookmarkEnd w:id="48"/>
    </w:p>
    <w:p w:rsidR="00AF2EE6" w:rsidRPr="004A57FA" w:rsidRDefault="00572734"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巨额赎回的认定</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4A57FA">
        <w:rPr>
          <w:rFonts w:asciiTheme="minorEastAsia" w:eastAsiaTheme="minorEastAsia" w:hAnsiTheme="minorEastAsia"/>
        </w:rPr>
        <w:t>10%</w:t>
      </w:r>
      <w:r w:rsidRPr="004A57FA">
        <w:rPr>
          <w:rFonts w:asciiTheme="minorEastAsia" w:eastAsiaTheme="minorEastAsia" w:hAnsiTheme="minorEastAsia" w:hint="eastAsia"/>
        </w:rPr>
        <w:t>时，即认为发生了巨额赎回。</w:t>
      </w:r>
    </w:p>
    <w:p w:rsidR="00AF2EE6" w:rsidRPr="004A57FA" w:rsidRDefault="00572734"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巨额赎回的处理方式</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当出现巨额赎回时，基金管理人可以根据该基金当时的资产组合状况决定全额赎回或部</w:t>
      </w:r>
      <w:r w:rsidRPr="004A57FA">
        <w:rPr>
          <w:rFonts w:asciiTheme="minorEastAsia" w:eastAsiaTheme="minorEastAsia" w:hAnsiTheme="minorEastAsia" w:hint="eastAsia"/>
        </w:rPr>
        <w:lastRenderedPageBreak/>
        <w:t>分顺延赎回。</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全额赎回：当基金管理人认为有能力支付投资者的全部赎回申请时，按正常赎回程序执行。</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（2）部分顺延赎回：当基金管理人认为支付投资者的赎回申请有困难或认为支付投资者的赎回申请可能会对基金的资产净值造成较大波动时，基金管理人在当日接受赎回比例不低于上一日基金总份额的</w:t>
      </w:r>
      <w:r w:rsidRPr="004A57FA">
        <w:rPr>
          <w:rFonts w:asciiTheme="minorEastAsia" w:eastAsiaTheme="minorEastAsia" w:hAnsiTheme="minorEastAsia"/>
          <w:szCs w:val="21"/>
        </w:rPr>
        <w:t>10</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的前提下，对其余赎回申请延期予以办理。对于</w:t>
      </w:r>
      <w:r w:rsidRPr="004A57FA">
        <w:rPr>
          <w:rFonts w:asciiTheme="minorEastAsia" w:eastAsiaTheme="minorEastAsia" w:hAnsiTheme="minorEastAsia" w:hint="eastAsia"/>
          <w:szCs w:val="21"/>
        </w:rPr>
        <w:t>单个基金份额持有人</w:t>
      </w:r>
      <w:r w:rsidRPr="004A57FA">
        <w:rPr>
          <w:rFonts w:asciiTheme="minorEastAsia" w:eastAsiaTheme="minorEastAsia" w:hAnsiTheme="minorEastAsia"/>
          <w:szCs w:val="21"/>
        </w:rPr>
        <w:t>的赎回申请，应当按</w:t>
      </w:r>
      <w:r w:rsidRPr="004A57FA">
        <w:rPr>
          <w:rFonts w:asciiTheme="minorEastAsia" w:eastAsiaTheme="minorEastAsia" w:hAnsiTheme="minorEastAsia" w:hint="eastAsia"/>
          <w:szCs w:val="21"/>
        </w:rPr>
        <w:t>照其申请赎回份额</w:t>
      </w:r>
      <w:r w:rsidRPr="004A57FA">
        <w:rPr>
          <w:rFonts w:asciiTheme="minorEastAsia" w:eastAsiaTheme="minorEastAsia" w:hAnsiTheme="minorEastAsia"/>
          <w:szCs w:val="21"/>
        </w:rPr>
        <w:t>占</w:t>
      </w:r>
      <w:r w:rsidRPr="004A57FA">
        <w:rPr>
          <w:rFonts w:asciiTheme="minorEastAsia" w:eastAsiaTheme="minorEastAsia" w:hAnsiTheme="minorEastAsia" w:hint="eastAsia"/>
          <w:szCs w:val="21"/>
        </w:rPr>
        <w:t>当日申请</w:t>
      </w:r>
      <w:r w:rsidRPr="004A57FA">
        <w:rPr>
          <w:rFonts w:asciiTheme="minorEastAsia" w:eastAsiaTheme="minorEastAsia" w:hAnsiTheme="minorEastAsia"/>
          <w:szCs w:val="21"/>
        </w:rPr>
        <w:t>赎回总</w:t>
      </w:r>
      <w:r w:rsidRPr="004A57FA">
        <w:rPr>
          <w:rFonts w:asciiTheme="minorEastAsia" w:eastAsiaTheme="minorEastAsia" w:hAnsiTheme="minorEastAsia" w:hint="eastAsia"/>
          <w:szCs w:val="21"/>
        </w:rPr>
        <w:t>份额</w:t>
      </w:r>
      <w:r w:rsidRPr="004A57FA">
        <w:rPr>
          <w:rFonts w:asciiTheme="minorEastAsia" w:eastAsiaTheme="minorEastAsia" w:hAnsiTheme="minorEastAsia"/>
          <w:szCs w:val="21"/>
        </w:rPr>
        <w:t>的比例，确定</w:t>
      </w:r>
      <w:r w:rsidRPr="004A57FA">
        <w:rPr>
          <w:rFonts w:asciiTheme="minorEastAsia" w:eastAsiaTheme="minorEastAsia" w:hAnsiTheme="minorEastAsia" w:hint="eastAsia"/>
          <w:szCs w:val="21"/>
        </w:rPr>
        <w:t>该单个基金份额持有人</w:t>
      </w:r>
      <w:r w:rsidRPr="004A57FA">
        <w:rPr>
          <w:rFonts w:asciiTheme="minorEastAsia" w:eastAsiaTheme="minorEastAsia" w:hAnsiTheme="minorEastAsia"/>
          <w:szCs w:val="21"/>
        </w:rPr>
        <w:t>当日</w:t>
      </w:r>
      <w:r w:rsidRPr="004A57FA">
        <w:rPr>
          <w:rFonts w:asciiTheme="minorEastAsia" w:eastAsiaTheme="minorEastAsia" w:hAnsiTheme="minorEastAsia" w:hint="eastAsia"/>
          <w:szCs w:val="21"/>
        </w:rPr>
        <w:t>办理</w:t>
      </w:r>
      <w:r w:rsidRPr="004A57FA">
        <w:rPr>
          <w:rFonts w:asciiTheme="minorEastAsia" w:eastAsiaTheme="minorEastAsia" w:hAnsiTheme="minorEastAsia"/>
          <w:szCs w:val="21"/>
        </w:rPr>
        <w:t>的赎回份额；</w:t>
      </w:r>
      <w:r w:rsidRPr="004A57FA">
        <w:rPr>
          <w:rFonts w:asciiTheme="minorEastAsia" w:eastAsiaTheme="minorEastAsia" w:hAnsiTheme="minorEastAsia" w:hint="eastAsia"/>
          <w:szCs w:val="21"/>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261475" w:rsidRPr="004A57FA" w:rsidRDefault="00261475"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（3）巨额赎回的公告：当发生巨额赎回并顺延赎回时，基金管理人应在2日内通过</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刊登公告。同时以</w:t>
      </w:r>
      <w:r w:rsidRPr="004A57FA">
        <w:rPr>
          <w:rFonts w:asciiTheme="minorEastAsia" w:eastAsiaTheme="minorEastAsia" w:hAnsiTheme="minorEastAsia"/>
          <w:szCs w:val="21"/>
        </w:rPr>
        <w:t>邮寄、传真</w:t>
      </w:r>
      <w:r w:rsidRPr="004A57FA">
        <w:rPr>
          <w:rFonts w:asciiTheme="minorEastAsia" w:eastAsiaTheme="minorEastAsia" w:hAnsiTheme="minorEastAsia" w:hint="eastAsia"/>
          <w:szCs w:val="21"/>
        </w:rPr>
        <w:t>或《招募说明书》规定的其他方式</w:t>
      </w:r>
      <w:r w:rsidRPr="004A57FA">
        <w:rPr>
          <w:rFonts w:asciiTheme="minorEastAsia" w:eastAsiaTheme="minorEastAsia" w:hAnsiTheme="minorEastAsia"/>
          <w:szCs w:val="21"/>
        </w:rPr>
        <w:t>通知基金份额持有人</w:t>
      </w:r>
      <w:r w:rsidRPr="004A57FA">
        <w:rPr>
          <w:rFonts w:asciiTheme="minorEastAsia" w:eastAsiaTheme="minorEastAsia" w:hAnsiTheme="minorEastAsia" w:hint="eastAsia"/>
          <w:szCs w:val="21"/>
        </w:rPr>
        <w:t>，并说明有关处理方法。</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（4）</w:t>
      </w:r>
      <w:r w:rsidRPr="004A57FA">
        <w:rPr>
          <w:rFonts w:asciiTheme="minorEastAsia" w:eastAsiaTheme="minorEastAsia" w:hAnsiTheme="minorEastAsia" w:hint="eastAsia"/>
          <w:szCs w:val="21"/>
        </w:rPr>
        <w:t>本基金连续2个开放日以上发生巨额赎回，如基金管理人认为有必要，可暂停接受赎回申请；已经接受的赎回申请可以延缓支付赎回款项，但延缓期限不得超过20个工作日，并应当在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49" w:name="_Toc81230998"/>
      <w:r w:rsidRPr="004A57FA">
        <w:rPr>
          <w:rFonts w:asciiTheme="minorEastAsia" w:eastAsiaTheme="minorEastAsia" w:hAnsiTheme="minorEastAsia" w:hint="eastAsia"/>
          <w:b w:val="0"/>
        </w:rPr>
        <w:t>（十一）拒绝或暂停申购、赎回的情形及处理方式</w:t>
      </w:r>
      <w:bookmarkEnd w:id="49"/>
    </w:p>
    <w:p w:rsidR="00AF2EE6" w:rsidRPr="004A57FA" w:rsidRDefault="00572734"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除出现如下情形，基金管理人不得拒绝或暂停接受基金投资者的申购申请：</w:t>
      </w:r>
    </w:p>
    <w:p w:rsidR="00AF2EE6" w:rsidRPr="004A57FA" w:rsidRDefault="00AF2EE6" w:rsidP="00C53017">
      <w:pPr>
        <w:snapToGrid w:val="0"/>
        <w:spacing w:line="360" w:lineRule="auto"/>
        <w:ind w:leftChars="200" w:left="420"/>
        <w:rPr>
          <w:rFonts w:asciiTheme="minorEastAsia" w:eastAsiaTheme="minorEastAsia" w:hAnsiTheme="minorEastAsia"/>
        </w:rPr>
      </w:pPr>
      <w:r w:rsidRPr="004A57FA">
        <w:rPr>
          <w:rFonts w:asciiTheme="minorEastAsia" w:eastAsiaTheme="minorEastAsia" w:hAnsiTheme="minorEastAsia"/>
        </w:rPr>
        <w:t>（1）不可抗力的原因导致基金无法正常运作；</w:t>
      </w:r>
    </w:p>
    <w:p w:rsidR="00AF2EE6" w:rsidRPr="004A57FA" w:rsidRDefault="00AF2EE6" w:rsidP="00C53017">
      <w:pPr>
        <w:snapToGrid w:val="0"/>
        <w:spacing w:line="360" w:lineRule="auto"/>
        <w:ind w:leftChars="200" w:left="420"/>
        <w:rPr>
          <w:rFonts w:asciiTheme="minorEastAsia" w:eastAsiaTheme="minorEastAsia" w:hAnsiTheme="minorEastAsia"/>
        </w:rPr>
      </w:pPr>
      <w:r w:rsidRPr="004A57FA">
        <w:rPr>
          <w:rFonts w:asciiTheme="minorEastAsia" w:eastAsiaTheme="minorEastAsia" w:hAnsiTheme="minorEastAsia" w:hint="eastAsia"/>
        </w:rPr>
        <w:t>（2）证券交易场所在交易时间非正常停市</w:t>
      </w:r>
      <w:r w:rsidRPr="004A57FA">
        <w:rPr>
          <w:rFonts w:asciiTheme="minorEastAsia" w:eastAsiaTheme="minorEastAsia" w:hAnsiTheme="minorEastAsia" w:hint="eastAsia"/>
          <w:szCs w:val="21"/>
        </w:rPr>
        <w:t>或证券交易场所依法决定临时停市</w:t>
      </w:r>
      <w:r w:rsidRPr="004A57FA">
        <w:rPr>
          <w:rFonts w:asciiTheme="minorEastAsia" w:eastAsiaTheme="minorEastAsia" w:hAnsiTheme="minorEastAsia" w:hint="eastAsia"/>
        </w:rPr>
        <w:t>，导致当日基金资产净值无法计算；</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（3）</w:t>
      </w:r>
      <w:r w:rsidRPr="004A57FA">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（4）法律、法规规定或中国证监会认定的其他</w:t>
      </w:r>
      <w:r w:rsidRPr="004A57FA">
        <w:rPr>
          <w:rFonts w:asciiTheme="minorEastAsia" w:eastAsiaTheme="minorEastAsia" w:hAnsiTheme="minorEastAsia" w:hint="eastAsia"/>
          <w:szCs w:val="21"/>
        </w:rPr>
        <w:t>可暂停申购的</w:t>
      </w:r>
      <w:r w:rsidRPr="004A57FA">
        <w:rPr>
          <w:rFonts w:asciiTheme="minorEastAsia" w:eastAsiaTheme="minorEastAsia" w:hAnsiTheme="minorEastAsia" w:hint="eastAsia"/>
        </w:rPr>
        <w:t>情形；</w:t>
      </w:r>
    </w:p>
    <w:p w:rsidR="00261475"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（5）基金管理人认为会有损于现有基金份额持有人利益的某笔申购</w:t>
      </w:r>
      <w:r w:rsidR="00261475" w:rsidRPr="004A57FA">
        <w:rPr>
          <w:rFonts w:asciiTheme="minorEastAsia" w:eastAsiaTheme="minorEastAsia" w:hAnsiTheme="minorEastAsia" w:hint="eastAsia"/>
        </w:rPr>
        <w:t>；</w:t>
      </w:r>
    </w:p>
    <w:p w:rsidR="00261475" w:rsidRPr="004A57FA" w:rsidRDefault="00261475" w:rsidP="00261475">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（6）基金管理人接受某笔或者某些申购申请有可能导致单一投资者持有基金份额的比例达到或者超过50%，或者变相规避50%集中度的情形时；</w:t>
      </w:r>
    </w:p>
    <w:p w:rsidR="00261475" w:rsidRPr="004A57FA" w:rsidRDefault="00261475" w:rsidP="00261475">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w:t>
      </w:r>
      <w:r w:rsidRPr="004A57FA">
        <w:rPr>
          <w:rFonts w:asciiTheme="minorEastAsia" w:eastAsiaTheme="minorEastAsia" w:hAnsiTheme="minorEastAsia" w:hint="eastAsia"/>
        </w:rPr>
        <w:lastRenderedPageBreak/>
        <w:t>或该投资人当日申购金额超过单个投资人单日或单笔申购金额上限时；</w:t>
      </w:r>
    </w:p>
    <w:p w:rsidR="00AF2EE6" w:rsidRPr="004A57FA" w:rsidRDefault="00261475" w:rsidP="00261475">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发生上述情形之一</w:t>
      </w:r>
      <w:r w:rsidR="00261475" w:rsidRPr="004A57FA">
        <w:rPr>
          <w:rFonts w:asciiTheme="minorEastAsia" w:eastAsiaTheme="minorEastAsia" w:hAnsiTheme="minorEastAsia" w:hint="eastAsia"/>
          <w:szCs w:val="21"/>
        </w:rPr>
        <w:t>且基金管理人决定暂停或拒绝基金投资者的申购申请的</w:t>
      </w:r>
      <w:r w:rsidRPr="004A57FA">
        <w:rPr>
          <w:rFonts w:asciiTheme="minorEastAsia" w:eastAsiaTheme="minorEastAsia" w:hAnsiTheme="minorEastAsia" w:hint="eastAsia"/>
          <w:szCs w:val="21"/>
        </w:rPr>
        <w:t>，申购款项将全额退还投资者。发生上述（</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）到（</w:t>
      </w:r>
      <w:r w:rsidRPr="004A57FA">
        <w:rPr>
          <w:rFonts w:asciiTheme="minorEastAsia" w:eastAsiaTheme="minorEastAsia" w:hAnsiTheme="minorEastAsia"/>
          <w:szCs w:val="21"/>
        </w:rPr>
        <w:t>4</w:t>
      </w:r>
      <w:r w:rsidRPr="004A57FA">
        <w:rPr>
          <w:rFonts w:asciiTheme="minorEastAsia" w:eastAsiaTheme="minorEastAsia" w:hAnsiTheme="minorEastAsia" w:hint="eastAsia"/>
          <w:szCs w:val="21"/>
        </w:rPr>
        <w:t>）</w:t>
      </w:r>
      <w:r w:rsidR="00261475" w:rsidRPr="004A57FA">
        <w:rPr>
          <w:rFonts w:asciiTheme="minorEastAsia" w:eastAsiaTheme="minorEastAsia" w:hAnsiTheme="minorEastAsia" w:hint="eastAsia"/>
          <w:szCs w:val="21"/>
        </w:rPr>
        <w:t>、</w:t>
      </w:r>
      <w:r w:rsidR="00261475" w:rsidRPr="004A57FA">
        <w:rPr>
          <w:rFonts w:asciiTheme="minorEastAsia" w:eastAsiaTheme="minorEastAsia" w:hAnsiTheme="minorEastAsia"/>
          <w:szCs w:val="21"/>
        </w:rPr>
        <w:t>（</w:t>
      </w:r>
      <w:r w:rsidR="00261475" w:rsidRPr="004A57FA">
        <w:rPr>
          <w:rFonts w:asciiTheme="minorEastAsia" w:eastAsiaTheme="minorEastAsia" w:hAnsiTheme="minorEastAsia" w:hint="eastAsia"/>
          <w:szCs w:val="21"/>
        </w:rPr>
        <w:t>7</w:t>
      </w:r>
      <w:r w:rsidR="00261475" w:rsidRPr="004A57FA">
        <w:rPr>
          <w:rFonts w:asciiTheme="minorEastAsia" w:eastAsiaTheme="minorEastAsia" w:hAnsiTheme="minorEastAsia"/>
          <w:szCs w:val="21"/>
        </w:rPr>
        <w:t>）</w:t>
      </w:r>
      <w:r w:rsidR="00261475" w:rsidRPr="004A57FA">
        <w:rPr>
          <w:rFonts w:asciiTheme="minorEastAsia" w:eastAsiaTheme="minorEastAsia" w:hAnsiTheme="minorEastAsia" w:hint="eastAsia"/>
          <w:szCs w:val="21"/>
        </w:rPr>
        <w:t>、</w:t>
      </w:r>
      <w:r w:rsidR="00261475" w:rsidRPr="004A57FA">
        <w:rPr>
          <w:rFonts w:asciiTheme="minorEastAsia" w:eastAsiaTheme="minorEastAsia" w:hAnsiTheme="minorEastAsia"/>
          <w:szCs w:val="21"/>
        </w:rPr>
        <w:t>（</w:t>
      </w:r>
      <w:r w:rsidR="00261475" w:rsidRPr="004A57FA">
        <w:rPr>
          <w:rFonts w:asciiTheme="minorEastAsia" w:eastAsiaTheme="minorEastAsia" w:hAnsiTheme="minorEastAsia" w:hint="eastAsia"/>
          <w:szCs w:val="21"/>
        </w:rPr>
        <w:t>8</w:t>
      </w:r>
      <w:r w:rsidR="00261475"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项暂停申购情形时，基金管理人应当在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刊登暂停申购公告。</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基金管理人拒绝或暂停接受申购的方式包括：</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（1）拒绝接受、暂停接受某笔或某数笔申购申请；</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（2）拒绝接受、暂停接受某个或某数个工作日的全部申购申请；</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（3）按比例拒绝接受、暂停接受某个或某数个工作日的申购申请。</w:t>
      </w:r>
    </w:p>
    <w:p w:rsidR="00AF2EE6" w:rsidRPr="004A57FA" w:rsidRDefault="00572734"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szCs w:val="21"/>
        </w:rPr>
        <w:t>除非出现如下情形，基金管理人不得拒绝接受或暂停基金份额持有人的赎回申请或者延缓支付赎回款项</w:t>
      </w:r>
      <w:r w:rsidR="00AF2EE6" w:rsidRPr="004A57FA">
        <w:rPr>
          <w:rFonts w:asciiTheme="minorEastAsia" w:eastAsiaTheme="minorEastAsia" w:hAnsiTheme="minorEastAsia" w:hint="eastAsia"/>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（1）不可抗力的原因导致基金管理人不能支付赎回款项；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（2）证券交易场所在交易时间非正常停市或依法决定临时停市，导致基金管理人无法计算当日基金资产净值；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（3）因市场剧烈波动或其他原因而出现连续2个或2个以上开放日巨额赎回，导致本基金的现金支付出现困难；</w:t>
      </w:r>
    </w:p>
    <w:p w:rsidR="00261475"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261475" w:rsidRPr="004A57F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AF2EE6" w:rsidRPr="004A57FA" w:rsidRDefault="00261475"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Pr="004A57FA">
        <w:rPr>
          <w:rFonts w:asciiTheme="minorEastAsia" w:eastAsiaTheme="minorEastAsia" w:hAnsiTheme="minorEastAsia"/>
          <w:szCs w:val="21"/>
        </w:rPr>
        <w:t>）</w:t>
      </w:r>
      <w:r w:rsidR="00AF2EE6" w:rsidRPr="004A57FA">
        <w:rPr>
          <w:rFonts w:asciiTheme="minorEastAsia" w:eastAsiaTheme="minorEastAsia" w:hAnsiTheme="minorEastAsia" w:hint="eastAsia"/>
          <w:szCs w:val="21"/>
        </w:rPr>
        <w:t>法律法规规定或中国证监会认定的其他情形。</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同时，在出现上述第（</w:t>
      </w:r>
      <w:r w:rsidRPr="004A57FA">
        <w:rPr>
          <w:rFonts w:asciiTheme="minorEastAsia" w:eastAsiaTheme="minorEastAsia" w:hAnsiTheme="minorEastAsia"/>
          <w:szCs w:val="21"/>
        </w:rPr>
        <w:t>3</w:t>
      </w:r>
      <w:r w:rsidRPr="004A57FA">
        <w:rPr>
          <w:rFonts w:asciiTheme="minorEastAsia" w:eastAsiaTheme="minorEastAsia" w:hAnsiTheme="minorEastAsia" w:hint="eastAsia"/>
          <w:szCs w:val="21"/>
        </w:rPr>
        <w:t>）款的情形时，对已接受的赎回申请可延期支付赎回款项，但延缓期限不得超过20个工作日，并在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公告。投资者在申请赎回时可事先选择将当日可能未获受理部分予以撤销。</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暂停基金的赎回，基金管理人应及时在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上刊登暂停赎回公告。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在暂停赎回的情况消除时，基金管理人应及时恢复赎回业务的办理，并依照有关规定在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上公告。</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szCs w:val="21"/>
        </w:rPr>
        <w:t>重新开放申购或赎回的公告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如果发生暂停的时间为一天，基金管理人应于重新开放日在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刊登基金重新开放</w:t>
      </w:r>
      <w:r w:rsidRPr="004A57FA">
        <w:rPr>
          <w:rFonts w:asciiTheme="minorEastAsia" w:eastAsiaTheme="minorEastAsia" w:hAnsiTheme="minorEastAsia" w:hint="eastAsia"/>
          <w:szCs w:val="21"/>
        </w:rPr>
        <w:lastRenderedPageBreak/>
        <w:t>申购或赎回的公告并公布最近一个工作日的</w:t>
      </w:r>
      <w:r w:rsidRPr="004A57FA">
        <w:rPr>
          <w:rFonts w:asciiTheme="minorEastAsia" w:eastAsiaTheme="minorEastAsia" w:hAnsiTheme="minorEastAsia" w:cs="宋体" w:hint="eastAsia"/>
          <w:kern w:val="0"/>
          <w:szCs w:val="21"/>
        </w:rPr>
        <w:t>基金份额净值</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如果发生暂停的时间超过一天但少于两周，暂停结束基金重新开放申购或赎回时，基金管理人应于重新开放申购或赎回日前在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刊登基金重新开放申购或赎回的公告，并在重新开始办理申购或赎回的开放日公告最近一个工作日的基金份额净值。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如果发生暂停的时间超过两周，暂停期间，基金管理人应每两周至少重复刊登暂停公告一次。暂停结束基金重新开放申购或赎回时，基金管理人应提前在</w:t>
      </w:r>
      <w:r w:rsidR="00A41B8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刊登基金重新开放申购或赎回的公告，并在重新开放申购或赎回日公告最近一个工作日的基金份额净值。</w:t>
      </w:r>
    </w:p>
    <w:p w:rsidR="00AF2EE6" w:rsidRPr="004A57FA" w:rsidRDefault="00AF2EE6" w:rsidP="00C53017">
      <w:pPr>
        <w:pStyle w:val="1"/>
        <w:pageBreakBefore/>
        <w:widowControl/>
        <w:snapToGrid w:val="0"/>
        <w:spacing w:beforeLines="0" w:afterLines="0" w:line="360" w:lineRule="auto"/>
        <w:ind w:left="720" w:firstLineChars="0" w:firstLine="0"/>
        <w:rPr>
          <w:rFonts w:asciiTheme="minorEastAsia" w:eastAsiaTheme="minorEastAsia" w:hAnsiTheme="minorEastAsia"/>
          <w:b/>
        </w:rPr>
      </w:pPr>
      <w:bookmarkStart w:id="50" w:name="_Toc91334992"/>
      <w:bookmarkStart w:id="51" w:name="_Toc81230999"/>
      <w:r w:rsidRPr="004A57FA">
        <w:rPr>
          <w:rFonts w:asciiTheme="minorEastAsia" w:eastAsiaTheme="minorEastAsia" w:hAnsiTheme="minorEastAsia" w:hint="eastAsia"/>
          <w:b/>
        </w:rPr>
        <w:lastRenderedPageBreak/>
        <w:t>十、基金转换</w:t>
      </w:r>
      <w:bookmarkEnd w:id="50"/>
      <w:bookmarkEnd w:id="51"/>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基金转换是指基金份额持有人按基金管理人规定的条件将其持有的某一基金的基金份额转为同一基金管理人管理的另一只基金的基金份额的行为。</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52" w:name="_Toc189031339"/>
      <w:bookmarkStart w:id="53" w:name="_Toc204771426"/>
      <w:bookmarkStart w:id="54" w:name="_Toc231035043"/>
      <w:bookmarkStart w:id="55" w:name="_Toc231035613"/>
      <w:bookmarkStart w:id="56" w:name="_Toc231035789"/>
      <w:bookmarkStart w:id="57" w:name="_Toc231044549"/>
      <w:bookmarkStart w:id="58" w:name="_Toc231044680"/>
      <w:bookmarkStart w:id="59" w:name="_Toc231044810"/>
      <w:bookmarkStart w:id="60" w:name="_Toc231044940"/>
      <w:bookmarkStart w:id="61" w:name="_Toc231613515"/>
      <w:bookmarkStart w:id="62" w:name="_Toc81231000"/>
      <w:r w:rsidRPr="004A57FA">
        <w:rPr>
          <w:rFonts w:asciiTheme="minorEastAsia" w:eastAsiaTheme="minorEastAsia" w:hAnsiTheme="minorEastAsia" w:hint="eastAsia"/>
          <w:b w:val="0"/>
          <w:sz w:val="24"/>
        </w:rPr>
        <w:t>（一）基金转换的开放日</w:t>
      </w:r>
      <w:r w:rsidRPr="004A57FA">
        <w:rPr>
          <w:rFonts w:asciiTheme="minorEastAsia" w:eastAsiaTheme="minorEastAsia" w:hAnsiTheme="minorEastAsia"/>
          <w:b w:val="0"/>
          <w:sz w:val="24"/>
        </w:rPr>
        <w:t>及</w:t>
      </w:r>
      <w:r w:rsidRPr="004A57FA">
        <w:rPr>
          <w:rFonts w:asciiTheme="minorEastAsia" w:eastAsiaTheme="minorEastAsia" w:hAnsiTheme="minorEastAsia" w:hint="eastAsia"/>
          <w:b w:val="0"/>
          <w:sz w:val="24"/>
        </w:rPr>
        <w:t>时间</w:t>
      </w:r>
      <w:bookmarkEnd w:id="52"/>
      <w:bookmarkEnd w:id="53"/>
      <w:bookmarkEnd w:id="54"/>
      <w:bookmarkEnd w:id="55"/>
      <w:bookmarkEnd w:id="56"/>
      <w:bookmarkEnd w:id="57"/>
      <w:bookmarkEnd w:id="58"/>
      <w:bookmarkEnd w:id="59"/>
      <w:bookmarkEnd w:id="60"/>
      <w:bookmarkEnd w:id="61"/>
      <w:bookmarkEnd w:id="62"/>
    </w:p>
    <w:p w:rsidR="00AF2EE6" w:rsidRPr="004A57FA" w:rsidRDefault="00AF2EE6" w:rsidP="00C53017">
      <w:pPr>
        <w:pStyle w:val="af0"/>
        <w:snapToGrid w:val="0"/>
        <w:spacing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本基金已于</w:t>
      </w:r>
      <w:smartTag w:uri="urn:schemas-microsoft-com:office:smarttags" w:element="chsdate">
        <w:smartTagPr>
          <w:attr w:name="Year" w:val="2009"/>
          <w:attr w:name="Month" w:val="1"/>
          <w:attr w:name="Day" w:val="6"/>
          <w:attr w:name="IsLunarDate" w:val="False"/>
          <w:attr w:name="IsROCDate" w:val="False"/>
        </w:smartTagPr>
        <w:r w:rsidRPr="004A57FA">
          <w:rPr>
            <w:rFonts w:asciiTheme="minorEastAsia" w:eastAsiaTheme="minorEastAsia" w:hAnsiTheme="minorEastAsia" w:hint="eastAsia"/>
          </w:rPr>
          <w:t>2009年1月6日</w:t>
        </w:r>
      </w:smartTag>
      <w:r w:rsidRPr="004A57FA">
        <w:rPr>
          <w:rFonts w:asciiTheme="minorEastAsia" w:eastAsiaTheme="minorEastAsia" w:hAnsiTheme="minorEastAsia" w:hint="eastAsia"/>
        </w:rPr>
        <w:t>开始办理转换业务。</w:t>
      </w:r>
    </w:p>
    <w:p w:rsidR="00AF2EE6" w:rsidRPr="004A57FA" w:rsidRDefault="00DA697F"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本基金</w:t>
      </w:r>
      <w:r w:rsidR="00AF2EE6" w:rsidRPr="004A57FA">
        <w:rPr>
          <w:rFonts w:asciiTheme="minorEastAsia" w:eastAsiaTheme="minorEastAsia" w:hAnsiTheme="minorEastAsia" w:hint="eastAsia"/>
        </w:rPr>
        <w:t>转换业务的开放日</w:t>
      </w:r>
      <w:r w:rsidR="00AF2EE6" w:rsidRPr="004A57FA">
        <w:rPr>
          <w:rFonts w:asciiTheme="minorEastAsia" w:eastAsiaTheme="minorEastAsia" w:hAnsiTheme="minorEastAsia"/>
        </w:rPr>
        <w:t>为上海证券交易所和深圳证券交易所交易日</w:t>
      </w:r>
      <w:r w:rsidR="00AF2EE6" w:rsidRPr="004A57FA">
        <w:rPr>
          <w:rFonts w:asciiTheme="minorEastAsia" w:eastAsiaTheme="minorEastAsia" w:hAnsiTheme="minorEastAsia" w:hint="eastAsia"/>
        </w:rPr>
        <w:t>。但基金管理人根据法律法规、中国证监会的要求或本基金合同的规定公告暂停转换时除外。具体业务办理时间为上海证券交易所、深圳证券交易所的交易时间。若出现新的证券交易市场或交易所交易时间更改或其他特殊情况，基金管理人将视情况对前述开放日及具体业务办理时间进行相应的调整并提前公告</w:t>
      </w:r>
      <w:r w:rsidR="00AF2EE6" w:rsidRPr="004A57FA">
        <w:rPr>
          <w:rFonts w:asciiTheme="minorEastAsia" w:eastAsiaTheme="minorEastAsia" w:hAnsiTheme="minorEastAsia"/>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63" w:name="_Toc189031340"/>
      <w:bookmarkStart w:id="64" w:name="_Toc204771427"/>
      <w:bookmarkStart w:id="65" w:name="_Toc231035044"/>
      <w:bookmarkStart w:id="66" w:name="_Toc231035614"/>
      <w:bookmarkStart w:id="67" w:name="_Toc231035790"/>
      <w:bookmarkStart w:id="68" w:name="_Toc231044550"/>
      <w:bookmarkStart w:id="69" w:name="_Toc231044681"/>
      <w:bookmarkStart w:id="70" w:name="_Toc231044811"/>
      <w:bookmarkStart w:id="71" w:name="_Toc231044941"/>
      <w:bookmarkStart w:id="72" w:name="_Toc231613516"/>
      <w:bookmarkStart w:id="73" w:name="_Toc81231001"/>
      <w:r w:rsidRPr="004A57FA">
        <w:rPr>
          <w:rFonts w:asciiTheme="minorEastAsia" w:eastAsiaTheme="minorEastAsia" w:hAnsiTheme="minorEastAsia" w:hint="eastAsia"/>
          <w:b w:val="0"/>
          <w:sz w:val="24"/>
        </w:rPr>
        <w:t>（二）基金转换业务规则</w:t>
      </w:r>
      <w:bookmarkEnd w:id="63"/>
      <w:bookmarkEnd w:id="64"/>
      <w:bookmarkEnd w:id="65"/>
      <w:bookmarkEnd w:id="66"/>
      <w:bookmarkEnd w:id="67"/>
      <w:bookmarkEnd w:id="68"/>
      <w:bookmarkEnd w:id="69"/>
      <w:bookmarkEnd w:id="70"/>
      <w:bookmarkEnd w:id="71"/>
      <w:bookmarkEnd w:id="72"/>
      <w:bookmarkEnd w:id="73"/>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基金转换以份额为单位进行申请</w:t>
      </w:r>
      <w:r w:rsidR="00AF2EE6" w:rsidRPr="004A57FA">
        <w:rPr>
          <w:rFonts w:asciiTheme="minorEastAsia" w:eastAsiaTheme="minorEastAsia" w:hAnsiTheme="minorEastAsia"/>
        </w:rPr>
        <w:t>；</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当日的转换申请可以在当日交易结束时间前撤销，在当日的交易时间结束后不得撤销</w:t>
      </w:r>
      <w:r w:rsidR="00AF2EE6" w:rsidRPr="004A57FA">
        <w:rPr>
          <w:rFonts w:asciiTheme="minorEastAsia" w:eastAsiaTheme="minorEastAsia" w:hAnsiTheme="minorEastAsia"/>
        </w:rPr>
        <w:t>；</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基金转换采取未知价法，即基金的转换价格以转换申请受理当日各转出、转入基金的份额净值为基准进行计算</w:t>
      </w:r>
      <w:r w:rsidR="00AF2EE6" w:rsidRPr="004A57FA">
        <w:rPr>
          <w:rFonts w:asciiTheme="minorEastAsia" w:eastAsiaTheme="minorEastAsia" w:hAnsiTheme="minorEastAsia"/>
        </w:rPr>
        <w:t>；</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基金份额在转换后，</w:t>
      </w:r>
      <w:r w:rsidR="00AF2EE6" w:rsidRPr="004A57FA">
        <w:rPr>
          <w:rFonts w:asciiTheme="minorEastAsia" w:eastAsiaTheme="minorEastAsia" w:hAnsiTheme="minorEastAsia"/>
        </w:rPr>
        <w:t>转入的基金份额的持有期将自转入的基金份额被确认之日起重新开始计算；</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hint="eastAsia"/>
        </w:rPr>
        <w:t>除非有特别说明，投资者可在同时</w:t>
      </w:r>
      <w:r w:rsidR="00C01FFC" w:rsidRPr="004A57FA">
        <w:rPr>
          <w:rFonts w:asciiTheme="minorEastAsia" w:eastAsiaTheme="minorEastAsia" w:hAnsiTheme="minorEastAsia" w:hint="eastAsia"/>
        </w:rPr>
        <w:t>销售</w:t>
      </w:r>
      <w:r w:rsidR="00AF2EE6" w:rsidRPr="004A57FA">
        <w:rPr>
          <w:rFonts w:asciiTheme="minorEastAsia" w:eastAsiaTheme="minorEastAsia" w:hAnsiTheme="minorEastAsia" w:hint="eastAsia"/>
        </w:rPr>
        <w:t>拟转出基金及转入基金的销售机构处办理基金转换业务。基金转换只能在同一销售机构进行。转换的两只基金必须都是该销售机构</w:t>
      </w:r>
      <w:r w:rsidR="00C01FFC" w:rsidRPr="004A57FA">
        <w:rPr>
          <w:rFonts w:asciiTheme="minorEastAsia" w:eastAsiaTheme="minorEastAsia" w:hAnsiTheme="minorEastAsia" w:hint="eastAsia"/>
        </w:rPr>
        <w:t>销售</w:t>
      </w:r>
      <w:r w:rsidR="00AF2EE6" w:rsidRPr="004A57FA">
        <w:rPr>
          <w:rFonts w:asciiTheme="minorEastAsia" w:eastAsiaTheme="minorEastAsia" w:hAnsiTheme="minorEastAsia" w:hint="eastAsia"/>
        </w:rPr>
        <w:t>的同一基金管理人管理的、在同一基金注册登记机构处注册的基金</w:t>
      </w:r>
      <w:r w:rsidR="00AF2EE6" w:rsidRPr="004A57FA">
        <w:rPr>
          <w:rFonts w:asciiTheme="minorEastAsia" w:eastAsiaTheme="minorEastAsia" w:hAnsiTheme="minorEastAsia"/>
        </w:rPr>
        <w:t>；</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6、</w:t>
      </w:r>
      <w:r w:rsidR="00AF2EE6" w:rsidRPr="004A57FA">
        <w:rPr>
          <w:rFonts w:asciiTheme="minorEastAsia" w:eastAsiaTheme="minorEastAsia" w:hAnsiTheme="minorEastAsia" w:hint="eastAsia"/>
        </w:rPr>
        <w:t>投资者办理基金转换业务时，转出方的基金必须处于可赎回状态，转入方的基金必须处于可申购状态；</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7、</w:t>
      </w:r>
      <w:r w:rsidR="00AF2EE6" w:rsidRPr="004A57FA">
        <w:rPr>
          <w:rFonts w:asciiTheme="minorEastAsia" w:eastAsiaTheme="minorEastAsia" w:hAnsiTheme="minorEastAsia"/>
        </w:rPr>
        <w:t>转换业务遵循</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先进先出</w:t>
      </w:r>
      <w:r w:rsidR="00AF2EE6" w:rsidRPr="004A57FA">
        <w:rPr>
          <w:rFonts w:asciiTheme="minorEastAsia" w:eastAsiaTheme="minorEastAsia" w:hAnsiTheme="minorEastAsia" w:hint="eastAsia"/>
        </w:rPr>
        <w:t>”</w:t>
      </w:r>
      <w:r w:rsidR="00AF2EE6" w:rsidRPr="004A57FA">
        <w:rPr>
          <w:rFonts w:asciiTheme="minorEastAsia" w:eastAsiaTheme="minorEastAsia" w:hAnsiTheme="minorEastAsia"/>
        </w:rPr>
        <w:t>的业务规则，</w:t>
      </w:r>
      <w:r w:rsidR="00AF2EE6" w:rsidRPr="004A57FA">
        <w:rPr>
          <w:rFonts w:asciiTheme="minorEastAsia" w:eastAsiaTheme="minorEastAsia" w:hAnsiTheme="minorEastAsia" w:hint="eastAsia"/>
        </w:rPr>
        <w:t>即份额注册日期在前的先转换出，份额注册日期在后的后转换出</w:t>
      </w:r>
      <w:r w:rsidR="00AF2EE6" w:rsidRPr="004A57FA">
        <w:rPr>
          <w:rFonts w:asciiTheme="minorEastAsia" w:eastAsiaTheme="minorEastAsia" w:hAnsiTheme="minorEastAsia"/>
        </w:rPr>
        <w:t>，如果转换申请当日，同时有赎回申请的情况下，则遵循先赎回后转换的处理原则；</w:t>
      </w:r>
    </w:p>
    <w:p w:rsidR="00AF2EE6" w:rsidRPr="004A57FA" w:rsidRDefault="00572734"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8、</w:t>
      </w:r>
      <w:r w:rsidR="00AF2EE6" w:rsidRPr="004A57FA">
        <w:rPr>
          <w:rFonts w:asciiTheme="minorEastAsia" w:eastAsiaTheme="minorEastAsia" w:hAnsiTheme="minorEastAsia" w:hint="eastAsia"/>
        </w:rPr>
        <w:t>基金管理人可在不损害基金份额持有人权益的情况下更改上述原则，但应最迟在新的原则实施前2日予以公告。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74" w:name="_Toc189031341"/>
      <w:bookmarkStart w:id="75" w:name="_Toc204771428"/>
      <w:bookmarkStart w:id="76" w:name="_Toc231035045"/>
      <w:bookmarkStart w:id="77" w:name="_Toc231035615"/>
      <w:bookmarkStart w:id="78" w:name="_Toc231035791"/>
      <w:bookmarkStart w:id="79" w:name="_Toc231044551"/>
      <w:bookmarkStart w:id="80" w:name="_Toc231044682"/>
      <w:bookmarkStart w:id="81" w:name="_Toc231044812"/>
      <w:bookmarkStart w:id="82" w:name="_Toc231044942"/>
      <w:bookmarkStart w:id="83" w:name="_Toc231613517"/>
      <w:bookmarkStart w:id="84" w:name="_Toc81231002"/>
      <w:r w:rsidRPr="004A57FA">
        <w:rPr>
          <w:rFonts w:asciiTheme="minorEastAsia" w:eastAsiaTheme="minorEastAsia" w:hAnsiTheme="minorEastAsia" w:hint="eastAsia"/>
          <w:b w:val="0"/>
          <w:sz w:val="24"/>
        </w:rPr>
        <w:t>（三）基金转换的程序</w:t>
      </w:r>
      <w:bookmarkEnd w:id="74"/>
      <w:bookmarkEnd w:id="75"/>
      <w:bookmarkEnd w:id="76"/>
      <w:bookmarkEnd w:id="77"/>
      <w:bookmarkEnd w:id="78"/>
      <w:bookmarkEnd w:id="79"/>
      <w:bookmarkEnd w:id="80"/>
      <w:bookmarkEnd w:id="81"/>
      <w:bookmarkEnd w:id="82"/>
      <w:bookmarkEnd w:id="83"/>
      <w:bookmarkEnd w:id="84"/>
    </w:p>
    <w:p w:rsidR="00AF2EE6" w:rsidRPr="004A57FA" w:rsidRDefault="00572734" w:rsidP="00C53017">
      <w:pPr>
        <w:pStyle w:val="af0"/>
        <w:snapToGrid w:val="0"/>
        <w:spacing w:line="360" w:lineRule="auto"/>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基金转换的申请方式</w:t>
      </w:r>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基金投资者必须根据基金管理人和基金</w:t>
      </w:r>
      <w:r w:rsidR="00FB269B"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机构规定的手续，在开放日的业务办理时间提出转换的申请。</w:t>
      </w:r>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提交基金转换申请时，</w:t>
      </w:r>
      <w:r w:rsidR="007730D0" w:rsidRPr="004A57FA">
        <w:rPr>
          <w:rFonts w:asciiTheme="minorEastAsia" w:eastAsiaTheme="minorEastAsia" w:hAnsiTheme="minorEastAsia" w:hint="eastAsia"/>
        </w:rPr>
        <w:t>账户</w:t>
      </w:r>
      <w:r w:rsidRPr="004A57FA">
        <w:rPr>
          <w:rFonts w:asciiTheme="minorEastAsia" w:eastAsiaTheme="minorEastAsia" w:hAnsiTheme="minorEastAsia" w:hint="eastAsia"/>
        </w:rPr>
        <w:t>中必须有足够可用的转出基金份额余额。</w:t>
      </w:r>
    </w:p>
    <w:p w:rsidR="00AF2EE6" w:rsidRPr="004A57FA" w:rsidRDefault="00572734" w:rsidP="00C53017">
      <w:pPr>
        <w:pStyle w:val="af0"/>
        <w:snapToGrid w:val="0"/>
        <w:spacing w:line="360" w:lineRule="auto"/>
        <w:rPr>
          <w:rFonts w:asciiTheme="minorEastAsia" w:eastAsiaTheme="minorEastAsia" w:hAnsiTheme="minorEastAsia"/>
        </w:rPr>
      </w:pPr>
      <w:r w:rsidRPr="004A57FA">
        <w:rPr>
          <w:rFonts w:asciiTheme="minorEastAsia" w:eastAsiaTheme="minorEastAsia" w:hAnsiTheme="minorEastAsia" w:hint="eastAsia"/>
        </w:rPr>
        <w:lastRenderedPageBreak/>
        <w:t>2、</w:t>
      </w:r>
      <w:r w:rsidR="00AF2EE6" w:rsidRPr="004A57FA">
        <w:rPr>
          <w:rFonts w:asciiTheme="minorEastAsia" w:eastAsiaTheme="minorEastAsia" w:hAnsiTheme="minorEastAsia" w:hint="eastAsia"/>
        </w:rPr>
        <w:t>基金转换申请的确认</w:t>
      </w:r>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85" w:name="_Toc150757128"/>
      <w:bookmarkStart w:id="86" w:name="_Toc189031342"/>
      <w:bookmarkStart w:id="87" w:name="_Toc204771429"/>
      <w:bookmarkStart w:id="88" w:name="_Toc231035046"/>
      <w:bookmarkStart w:id="89" w:name="_Toc231035616"/>
      <w:bookmarkStart w:id="90" w:name="_Toc231035792"/>
      <w:bookmarkStart w:id="91" w:name="_Toc231044552"/>
      <w:bookmarkStart w:id="92" w:name="_Toc231044683"/>
      <w:bookmarkStart w:id="93" w:name="_Toc231044813"/>
      <w:bookmarkStart w:id="94" w:name="_Toc231044943"/>
      <w:bookmarkStart w:id="95" w:name="_Toc231613518"/>
      <w:bookmarkStart w:id="96" w:name="_Toc81231003"/>
      <w:r w:rsidRPr="004A57FA">
        <w:rPr>
          <w:rFonts w:asciiTheme="minorEastAsia" w:eastAsiaTheme="minorEastAsia" w:hAnsiTheme="minorEastAsia" w:hint="eastAsia"/>
          <w:b w:val="0"/>
          <w:sz w:val="24"/>
        </w:rPr>
        <w:t>（四）基金转换的数额限制</w:t>
      </w:r>
      <w:bookmarkEnd w:id="85"/>
      <w:bookmarkEnd w:id="86"/>
      <w:bookmarkEnd w:id="87"/>
      <w:bookmarkEnd w:id="88"/>
      <w:bookmarkEnd w:id="89"/>
      <w:bookmarkEnd w:id="90"/>
      <w:bookmarkEnd w:id="91"/>
      <w:bookmarkEnd w:id="92"/>
      <w:bookmarkEnd w:id="93"/>
      <w:bookmarkEnd w:id="94"/>
      <w:bookmarkEnd w:id="95"/>
      <w:bookmarkEnd w:id="96"/>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w:t>
      </w:r>
      <w:r w:rsidR="007730D0" w:rsidRPr="004A57FA">
        <w:rPr>
          <w:rFonts w:asciiTheme="minorEastAsia" w:eastAsiaTheme="minorEastAsia" w:hAnsiTheme="minorEastAsia" w:hint="eastAsia"/>
          <w:szCs w:val="21"/>
        </w:rPr>
        <w:t>该</w:t>
      </w:r>
      <w:r w:rsidRPr="004A57FA">
        <w:rPr>
          <w:rFonts w:asciiTheme="minorEastAsia" w:eastAsiaTheme="minorEastAsia" w:hAnsiTheme="minorEastAsia" w:hint="eastAsia"/>
        </w:rPr>
        <w:t>销售机构托管的该基金余额不足1份时，基金管理人有权将投资者在该销售机构托管的该基金剩余份额一次性全部赎回。</w:t>
      </w:r>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基金管理人可根据市场情况制定或调整上述基金转换的程序及有关限制，但应最迟在调整生效前在</w:t>
      </w:r>
      <w:r w:rsidR="00AC34D1" w:rsidRPr="004A57FA">
        <w:rPr>
          <w:rFonts w:asciiTheme="minorEastAsia" w:eastAsiaTheme="minorEastAsia" w:hAnsiTheme="minorEastAsia" w:hint="eastAsia"/>
        </w:rPr>
        <w:t>指定媒介</w:t>
      </w:r>
      <w:r w:rsidRPr="004A57FA">
        <w:rPr>
          <w:rFonts w:asciiTheme="minorEastAsia" w:eastAsiaTheme="minorEastAsia" w:hAnsiTheme="minorEastAsia" w:hint="eastAsia"/>
        </w:rPr>
        <w:t>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97" w:name="_Toc87367293"/>
      <w:bookmarkStart w:id="98" w:name="_Toc150757129"/>
      <w:bookmarkStart w:id="99" w:name="_Toc189031343"/>
      <w:bookmarkStart w:id="100" w:name="_Toc204771430"/>
      <w:bookmarkStart w:id="101" w:name="_Toc231035047"/>
      <w:bookmarkStart w:id="102" w:name="_Toc231035617"/>
      <w:bookmarkStart w:id="103" w:name="_Toc231035793"/>
      <w:bookmarkStart w:id="104" w:name="_Toc231044553"/>
      <w:bookmarkStart w:id="105" w:name="_Toc231044684"/>
      <w:bookmarkStart w:id="106" w:name="_Toc231044814"/>
      <w:bookmarkStart w:id="107" w:name="_Toc231044944"/>
      <w:bookmarkStart w:id="108" w:name="_Toc231613519"/>
      <w:bookmarkStart w:id="109" w:name="_Toc81231004"/>
      <w:r w:rsidRPr="004A57FA">
        <w:rPr>
          <w:rFonts w:asciiTheme="minorEastAsia" w:eastAsiaTheme="minorEastAsia" w:hAnsiTheme="minorEastAsia" w:hint="eastAsia"/>
          <w:b w:val="0"/>
          <w:sz w:val="24"/>
        </w:rPr>
        <w:t>（五）基金转换费率</w:t>
      </w:r>
      <w:bookmarkEnd w:id="97"/>
      <w:bookmarkEnd w:id="98"/>
      <w:bookmarkEnd w:id="99"/>
      <w:bookmarkEnd w:id="100"/>
      <w:bookmarkEnd w:id="101"/>
      <w:bookmarkEnd w:id="102"/>
      <w:bookmarkEnd w:id="103"/>
      <w:bookmarkEnd w:id="104"/>
      <w:bookmarkEnd w:id="105"/>
      <w:bookmarkEnd w:id="106"/>
      <w:bookmarkEnd w:id="107"/>
      <w:bookmarkEnd w:id="108"/>
      <w:bookmarkEnd w:id="109"/>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基金转换费率详见相关公告。</w:t>
      </w:r>
    </w:p>
    <w:p w:rsidR="00AF2EE6" w:rsidRPr="004A57FA" w:rsidRDefault="00AF2EE6"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rPr>
        <w:t>基金管理人可以根据市场情况在不违背有关法律、法规和基金合同的规定之前提下</w:t>
      </w:r>
      <w:r w:rsidR="0062089E" w:rsidRPr="004A57FA">
        <w:rPr>
          <w:rFonts w:asciiTheme="minorEastAsia" w:eastAsiaTheme="minorEastAsia" w:hAnsiTheme="minorEastAsia" w:hint="eastAsia"/>
        </w:rPr>
        <w:t>，</w:t>
      </w:r>
      <w:r w:rsidRPr="004A57FA">
        <w:rPr>
          <w:rFonts w:asciiTheme="minorEastAsia" w:eastAsiaTheme="minorEastAsia" w:hAnsiTheme="minorEastAsia" w:hint="eastAsia"/>
        </w:rPr>
        <w:t>调整收费方式和费率水平，但最迟应于新收费办法开始实施日前在</w:t>
      </w:r>
      <w:r w:rsidR="00AC34D1" w:rsidRPr="004A57FA">
        <w:rPr>
          <w:rFonts w:asciiTheme="minorEastAsia" w:eastAsiaTheme="minorEastAsia" w:hAnsiTheme="minorEastAsia" w:hint="eastAsia"/>
        </w:rPr>
        <w:t>指定媒介</w:t>
      </w:r>
      <w:r w:rsidRPr="004A57FA">
        <w:rPr>
          <w:rFonts w:asciiTheme="minorEastAsia" w:eastAsiaTheme="minorEastAsia" w:hAnsiTheme="minorEastAsia" w:hint="eastAsia"/>
        </w:rPr>
        <w:t>上公告。</w:t>
      </w:r>
    </w:p>
    <w:p w:rsidR="00AF2EE6" w:rsidRPr="004A57FA" w:rsidRDefault="00FC7543" w:rsidP="00C53017">
      <w:pPr>
        <w:autoSpaceDE w:val="0"/>
        <w:autoSpaceDN w:val="0"/>
        <w:snapToGrid w:val="0"/>
        <w:spacing w:line="360" w:lineRule="auto"/>
        <w:ind w:firstLine="420"/>
        <w:textAlignment w:val="bottom"/>
        <w:rPr>
          <w:rFonts w:asciiTheme="minorEastAsia" w:eastAsiaTheme="minorEastAsia" w:hAnsiTheme="minorEastAsia"/>
        </w:rPr>
      </w:pPr>
      <w:r w:rsidRPr="004A57FA">
        <w:rPr>
          <w:rFonts w:asciiTheme="minorEastAsia" w:eastAsiaTheme="minorEastAsia" w:hAnsiTheme="minorEastAsia" w:hint="eastAsia"/>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r w:rsidR="00AF2EE6" w:rsidRPr="004A57FA">
        <w:rPr>
          <w:rFonts w:asciiTheme="minorEastAsia" w:eastAsiaTheme="minorEastAsia" w:hAnsiTheme="minorEastAsia" w:hint="eastAsia"/>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110" w:name="_Toc150757130"/>
      <w:bookmarkStart w:id="111" w:name="_Toc189031344"/>
      <w:bookmarkStart w:id="112" w:name="_Toc204771431"/>
      <w:bookmarkStart w:id="113" w:name="_Toc231035048"/>
      <w:bookmarkStart w:id="114" w:name="_Toc231035618"/>
      <w:bookmarkStart w:id="115" w:name="_Toc231035794"/>
      <w:bookmarkStart w:id="116" w:name="_Toc231044554"/>
      <w:bookmarkStart w:id="117" w:name="_Toc231044685"/>
      <w:bookmarkStart w:id="118" w:name="_Toc231044815"/>
      <w:bookmarkStart w:id="119" w:name="_Toc231044945"/>
      <w:bookmarkStart w:id="120" w:name="_Toc231613520"/>
      <w:bookmarkStart w:id="121" w:name="_Toc81231005"/>
      <w:r w:rsidRPr="004A57FA">
        <w:rPr>
          <w:rFonts w:asciiTheme="minorEastAsia" w:eastAsiaTheme="minorEastAsia" w:hAnsiTheme="minorEastAsia" w:hint="eastAsia"/>
          <w:b w:val="0"/>
          <w:sz w:val="24"/>
        </w:rPr>
        <w:t>（六）基金转换份额的计算方式</w:t>
      </w:r>
      <w:bookmarkEnd w:id="110"/>
      <w:bookmarkEnd w:id="111"/>
      <w:bookmarkEnd w:id="112"/>
      <w:bookmarkEnd w:id="113"/>
      <w:bookmarkEnd w:id="114"/>
      <w:bookmarkEnd w:id="115"/>
      <w:bookmarkEnd w:id="116"/>
      <w:bookmarkEnd w:id="117"/>
      <w:bookmarkEnd w:id="118"/>
      <w:bookmarkEnd w:id="119"/>
      <w:bookmarkEnd w:id="120"/>
      <w:bookmarkEnd w:id="121"/>
    </w:p>
    <w:p w:rsidR="00AF2EE6" w:rsidRPr="004A57FA" w:rsidRDefault="00AF2EE6" w:rsidP="00C53017">
      <w:pPr>
        <w:snapToGrid w:val="0"/>
        <w:spacing w:line="360" w:lineRule="auto"/>
        <w:ind w:firstLineChars="200" w:firstLine="420"/>
        <w:rPr>
          <w:rFonts w:asciiTheme="minorEastAsia" w:eastAsiaTheme="minorEastAsia" w:hAnsiTheme="minorEastAsia"/>
        </w:rPr>
      </w:pPr>
      <w:bookmarkStart w:id="122" w:name="_Toc144109264"/>
      <w:r w:rsidRPr="004A57FA">
        <w:rPr>
          <w:rFonts w:asciiTheme="minorEastAsia" w:eastAsiaTheme="minorEastAsia" w:hAnsiTheme="minorEastAsia" w:hint="eastAsia"/>
        </w:rPr>
        <w:t>计算公式：</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A＝［B×C×(1-D)/（1+G）+F］/E</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H＝</w:t>
      </w:r>
      <w:r w:rsidRPr="004A57FA">
        <w:rPr>
          <w:rFonts w:asciiTheme="minorEastAsia" w:eastAsiaTheme="minorEastAsia" w:hAnsiTheme="minorEastAsia"/>
        </w:rPr>
        <w:t>B×C×D</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J＝[B×C×(1-D)/(1+G)]×G</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其中，</w:t>
      </w:r>
      <w:r w:rsidRPr="004A57FA">
        <w:rPr>
          <w:rFonts w:asciiTheme="minorEastAsia" w:eastAsiaTheme="minorEastAsia" w:hAnsiTheme="minorEastAsia"/>
        </w:rPr>
        <w:t>A</w:t>
      </w:r>
      <w:r w:rsidRPr="004A57FA">
        <w:rPr>
          <w:rFonts w:asciiTheme="minorEastAsia" w:eastAsiaTheme="minorEastAsia" w:hAnsiTheme="minorEastAsia" w:hint="eastAsia"/>
        </w:rPr>
        <w:t>为转入的基金份额；</w:t>
      </w:r>
      <w:r w:rsidRPr="004A57FA">
        <w:rPr>
          <w:rFonts w:asciiTheme="minorEastAsia" w:eastAsiaTheme="minorEastAsia" w:hAnsiTheme="minorEastAsia"/>
        </w:rPr>
        <w:t>B</w:t>
      </w:r>
      <w:r w:rsidRPr="004A57FA">
        <w:rPr>
          <w:rFonts w:asciiTheme="minorEastAsia" w:eastAsiaTheme="minorEastAsia" w:hAnsiTheme="minorEastAsia" w:hint="eastAsia"/>
        </w:rPr>
        <w:t>为转出的基金份额；</w:t>
      </w:r>
      <w:r w:rsidRPr="004A57FA">
        <w:rPr>
          <w:rFonts w:asciiTheme="minorEastAsia" w:eastAsiaTheme="minorEastAsia" w:hAnsiTheme="minorEastAsia"/>
        </w:rPr>
        <w:t>C</w:t>
      </w:r>
      <w:r w:rsidRPr="004A57FA">
        <w:rPr>
          <w:rFonts w:asciiTheme="minorEastAsia" w:eastAsiaTheme="minorEastAsia" w:hAnsiTheme="minorEastAsia" w:hint="eastAsia"/>
        </w:rPr>
        <w:t>为转换申请当日转出基金的基金份额净值；</w:t>
      </w:r>
      <w:r w:rsidRPr="004A57FA">
        <w:rPr>
          <w:rFonts w:asciiTheme="minorEastAsia" w:eastAsiaTheme="minorEastAsia" w:hAnsiTheme="minorEastAsia"/>
        </w:rPr>
        <w:t>D</w:t>
      </w:r>
      <w:r w:rsidRPr="004A57FA">
        <w:rPr>
          <w:rFonts w:asciiTheme="minorEastAsia" w:eastAsiaTheme="minorEastAsia" w:hAnsiTheme="minorEastAsia" w:hint="eastAsia"/>
        </w:rPr>
        <w:t>为转出基金的对应赎回费率，</w:t>
      </w:r>
      <w:r w:rsidRPr="004A57FA">
        <w:rPr>
          <w:rFonts w:asciiTheme="minorEastAsia" w:eastAsiaTheme="minorEastAsia" w:hAnsiTheme="minorEastAsia"/>
        </w:rPr>
        <w:t>G</w:t>
      </w:r>
      <w:r w:rsidRPr="004A57FA">
        <w:rPr>
          <w:rFonts w:asciiTheme="minorEastAsia" w:eastAsiaTheme="minorEastAsia" w:hAnsiTheme="minorEastAsia" w:hint="eastAsia"/>
        </w:rPr>
        <w:t>为对应的申购补差费率；</w:t>
      </w:r>
      <w:r w:rsidRPr="004A57FA">
        <w:rPr>
          <w:rFonts w:asciiTheme="minorEastAsia" w:eastAsiaTheme="minorEastAsia" w:hAnsiTheme="minorEastAsia"/>
        </w:rPr>
        <w:t>E</w:t>
      </w:r>
      <w:r w:rsidRPr="004A57FA">
        <w:rPr>
          <w:rFonts w:asciiTheme="minorEastAsia" w:eastAsiaTheme="minorEastAsia" w:hAnsiTheme="minorEastAsia" w:hint="eastAsia"/>
        </w:rPr>
        <w:t>为转换申请当日转入基金的基金份额净值；</w:t>
      </w:r>
      <w:r w:rsidR="00824186" w:rsidRPr="004A57FA">
        <w:rPr>
          <w:rFonts w:asciiTheme="minorEastAsia" w:eastAsiaTheme="minorEastAsia" w:hAnsiTheme="minorEastAsia" w:hint="eastAsia"/>
        </w:rPr>
        <w:t>F为货币市场基金全部转出时注册登记机构已支付的未付收益</w:t>
      </w:r>
      <w:r w:rsidRPr="004A57FA">
        <w:rPr>
          <w:rFonts w:asciiTheme="minorEastAsia" w:eastAsiaTheme="minorEastAsia" w:hAnsiTheme="minorEastAsia" w:hint="eastAsia"/>
        </w:rPr>
        <w:t>；H为转出基金赎回费；J为申购补差费。</w:t>
      </w:r>
    </w:p>
    <w:p w:rsidR="00824186" w:rsidRPr="004A57FA" w:rsidRDefault="0082418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说明：</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lastRenderedPageBreak/>
        <w:t>1</w:t>
      </w:r>
      <w:r w:rsidR="00572734" w:rsidRPr="004A57FA">
        <w:rPr>
          <w:rFonts w:asciiTheme="minorEastAsia" w:eastAsiaTheme="minorEastAsia" w:hAnsiTheme="minorEastAsia" w:hint="eastAsia"/>
        </w:rPr>
        <w:t>、</w:t>
      </w:r>
      <w:r w:rsidRPr="004A57FA">
        <w:rPr>
          <w:rFonts w:asciiTheme="minorEastAsia" w:eastAsiaTheme="minorEastAsia" w:hAnsiTheme="minorEastAsia" w:hint="eastAsia"/>
        </w:rPr>
        <w:t>基金转换费用由转出基金赎回费用及基金申购补差费用构成。</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2</w:t>
      </w:r>
      <w:r w:rsidR="00572734" w:rsidRPr="004A57FA">
        <w:rPr>
          <w:rFonts w:asciiTheme="minorEastAsia" w:eastAsiaTheme="minorEastAsia" w:hAnsiTheme="minorEastAsia" w:hint="eastAsia"/>
        </w:rPr>
        <w:t>、</w:t>
      </w:r>
      <w:r w:rsidRPr="004A57FA">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4A57FA">
        <w:rPr>
          <w:rFonts w:asciiTheme="minorEastAsia" w:eastAsiaTheme="minorEastAsia" w:hAnsiTheme="minorEastAsia"/>
        </w:rPr>
        <w:t>,</w:t>
      </w:r>
      <w:r w:rsidRPr="004A57FA">
        <w:rPr>
          <w:rFonts w:asciiTheme="minorEastAsia" w:eastAsiaTheme="minorEastAsia" w:hAnsiTheme="minorEastAsia" w:hint="eastAsia"/>
        </w:rPr>
        <w:t>不收取申购补差费用</w:t>
      </w:r>
      <w:r w:rsidR="00B573B2" w:rsidRPr="004A57FA">
        <w:rPr>
          <w:rFonts w:asciiTheme="minorEastAsia" w:eastAsiaTheme="minorEastAsia" w:hAnsiTheme="minorEastAsia" w:hint="eastAsia"/>
          <w:szCs w:val="21"/>
        </w:rPr>
        <w:t>（</w:t>
      </w:r>
      <w:r w:rsidR="00024A83">
        <w:rPr>
          <w:rFonts w:asciiTheme="minorEastAsia" w:eastAsiaTheme="minorEastAsia" w:hAnsiTheme="minorEastAsia" w:hint="eastAsia"/>
          <w:color w:val="000000" w:themeColor="text1"/>
          <w:szCs w:val="21"/>
        </w:rPr>
        <w:t>注：对通过直销中心申购实施差别申购费率的投资群体基金份额的申购费，以除上述投资群体之外的其他投资者申购费为比较标准</w:t>
      </w:r>
      <w:r w:rsidR="00B573B2" w:rsidRPr="004A57FA">
        <w:rPr>
          <w:rFonts w:asciiTheme="minorEastAsia" w:eastAsiaTheme="minorEastAsia" w:hAnsiTheme="minorEastAsia" w:hint="eastAsia"/>
          <w:szCs w:val="21"/>
        </w:rPr>
        <w:t>）</w:t>
      </w:r>
      <w:r w:rsidRPr="004A57FA">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AF2EE6" w:rsidRPr="004A57FA" w:rsidRDefault="00572734"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转出基金时，如涉及的转出基金有赎回费用，收取该基金的赎回费用。收取的赎回费按照</w:t>
      </w:r>
      <w:r w:rsidR="007730D0" w:rsidRPr="004A57FA">
        <w:rPr>
          <w:rFonts w:asciiTheme="minorEastAsia" w:eastAsiaTheme="minorEastAsia" w:hAnsiTheme="minorEastAsia" w:hint="eastAsia"/>
        </w:rPr>
        <w:t>各基金</w:t>
      </w:r>
      <w:r w:rsidR="007730D0" w:rsidRPr="004A57FA">
        <w:rPr>
          <w:rFonts w:asciiTheme="minorEastAsia" w:eastAsiaTheme="minorEastAsia" w:hAnsiTheme="minorEastAsia"/>
        </w:rPr>
        <w:t>的</w:t>
      </w:r>
      <w:r w:rsidR="00AF2EE6" w:rsidRPr="004A57FA">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AF2EE6" w:rsidRPr="004A57FA" w:rsidRDefault="00572734" w:rsidP="00C53017">
      <w:pPr>
        <w:snapToGrid w:val="0"/>
        <w:spacing w:line="360" w:lineRule="auto"/>
        <w:ind w:firstLine="482"/>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投资者可以发起多次基金转换业务，基金转换费用按每笔申请单独计算。</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举例说明</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假定某投资者</w:t>
      </w:r>
      <w:r w:rsidR="00E43317" w:rsidRPr="004A57FA">
        <w:rPr>
          <w:rFonts w:asciiTheme="minorEastAsia" w:eastAsiaTheme="minorEastAsia" w:hAnsiTheme="minorEastAsia" w:hint="eastAsia"/>
          <w:szCs w:val="21"/>
        </w:rPr>
        <w:t>（</w:t>
      </w:r>
      <w:r w:rsidR="00024A83">
        <w:rPr>
          <w:rStyle w:val="da"/>
          <w:rFonts w:asciiTheme="minorEastAsia" w:eastAsiaTheme="minorEastAsia" w:hAnsiTheme="minorEastAsia" w:hint="eastAsia"/>
          <w:color w:val="000000" w:themeColor="text1"/>
          <w:szCs w:val="21"/>
        </w:rPr>
        <w:t>其他投资者</w:t>
      </w:r>
      <w:r w:rsidR="00E43317"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在T日转出10,000份易方达科翔</w:t>
      </w:r>
      <w:r w:rsidR="00413950"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型基金至</w:t>
      </w:r>
      <w:r w:rsidRPr="004A57FA">
        <w:rPr>
          <w:rFonts w:asciiTheme="minorEastAsia" w:eastAsiaTheme="minorEastAsia" w:hAnsiTheme="minorEastAsia"/>
          <w:szCs w:val="21"/>
        </w:rPr>
        <w:t>易方达策略成长二号混合型基金</w:t>
      </w:r>
      <w:r w:rsidRPr="004A57FA">
        <w:rPr>
          <w:rFonts w:asciiTheme="minorEastAsia" w:eastAsiaTheme="minorEastAsia" w:hAnsiTheme="minorEastAsia" w:hint="eastAsia"/>
          <w:szCs w:val="21"/>
        </w:rPr>
        <w:t>份额，转出基金T日的基金份额净值为1.100元，转入</w:t>
      </w:r>
      <w:r w:rsidRPr="004A57FA">
        <w:rPr>
          <w:rFonts w:asciiTheme="minorEastAsia" w:eastAsiaTheme="minorEastAsia" w:hAnsiTheme="minorEastAsia"/>
          <w:szCs w:val="21"/>
        </w:rPr>
        <w:t>易方达策略成长二号混合型基金</w:t>
      </w:r>
      <w:r w:rsidRPr="004A57FA">
        <w:rPr>
          <w:rFonts w:asciiTheme="minorEastAsia" w:eastAsiaTheme="minorEastAsia" w:hAnsiTheme="minorEastAsia" w:hint="eastAsia"/>
          <w:szCs w:val="21"/>
        </w:rPr>
        <w:t>T日的基金份额净值为1.020元，假设该转出基金的赎回费率为0.5%，申购补差费率为0.5%，则可获得转入基金的</w:t>
      </w:r>
      <w:r w:rsidRPr="004A57FA">
        <w:rPr>
          <w:rFonts w:asciiTheme="minorEastAsia" w:eastAsiaTheme="minorEastAsia" w:hAnsiTheme="minorEastAsia"/>
          <w:szCs w:val="21"/>
        </w:rPr>
        <w:t>易方达策略成长二号混合型基金</w:t>
      </w:r>
      <w:r w:rsidRPr="004A57FA">
        <w:rPr>
          <w:rFonts w:asciiTheme="minorEastAsia" w:eastAsiaTheme="minorEastAsia" w:hAnsiTheme="minorEastAsia" w:hint="eastAsia"/>
          <w:szCs w:val="21"/>
        </w:rPr>
        <w:t>基金份额计算如下：</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转换</w:t>
      </w:r>
      <w:r w:rsidRPr="004A57FA">
        <w:rPr>
          <w:rFonts w:asciiTheme="minorEastAsia" w:eastAsiaTheme="minorEastAsia" w:hAnsiTheme="minorEastAsia"/>
          <w:szCs w:val="21"/>
        </w:rPr>
        <w:t>金额＝转出基金申请份额×转出基金份额净值=10</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000×1</w:t>
      </w:r>
      <w:r w:rsidRPr="004A57FA">
        <w:rPr>
          <w:rFonts w:asciiTheme="minorEastAsia" w:eastAsiaTheme="minorEastAsia" w:hAnsiTheme="minorEastAsia" w:hint="eastAsia"/>
          <w:szCs w:val="21"/>
        </w:rPr>
        <w:t>.100</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000</w:t>
      </w:r>
      <w:r w:rsidRPr="004A57FA">
        <w:rPr>
          <w:rFonts w:asciiTheme="minorEastAsia" w:eastAsiaTheme="minorEastAsia" w:hAnsiTheme="minorEastAsia" w:hint="eastAsia"/>
          <w:szCs w:val="21"/>
        </w:rPr>
        <w:t>.00</w:t>
      </w:r>
      <w:r w:rsidRPr="004A57FA">
        <w:rPr>
          <w:rFonts w:asciiTheme="minorEastAsia" w:eastAsiaTheme="minorEastAsia" w:hAnsiTheme="minorEastAsia"/>
          <w:szCs w:val="21"/>
        </w:rPr>
        <w:t>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转出基金</w:t>
      </w:r>
      <w:r w:rsidRPr="004A57FA">
        <w:rPr>
          <w:rFonts w:asciiTheme="minorEastAsia" w:eastAsiaTheme="minorEastAsia" w:hAnsiTheme="minorEastAsia"/>
          <w:szCs w:val="21"/>
        </w:rPr>
        <w:t>赎回费＝</w:t>
      </w:r>
      <w:r w:rsidRPr="004A57FA">
        <w:rPr>
          <w:rFonts w:asciiTheme="minorEastAsia" w:eastAsiaTheme="minorEastAsia" w:hAnsiTheme="minorEastAsia" w:hint="eastAsia"/>
          <w:szCs w:val="21"/>
        </w:rPr>
        <w:t>转换</w:t>
      </w:r>
      <w:r w:rsidRPr="004A57FA">
        <w:rPr>
          <w:rFonts w:asciiTheme="minorEastAsia" w:eastAsiaTheme="minorEastAsia" w:hAnsiTheme="minorEastAsia"/>
          <w:szCs w:val="21"/>
        </w:rPr>
        <w:t>金额×</w:t>
      </w:r>
      <w:r w:rsidRPr="004A57FA">
        <w:rPr>
          <w:rFonts w:asciiTheme="minorEastAsia" w:eastAsiaTheme="minorEastAsia" w:hAnsiTheme="minorEastAsia" w:hint="eastAsia"/>
          <w:szCs w:val="21"/>
        </w:rPr>
        <w:t>转出基金</w:t>
      </w:r>
      <w:r w:rsidRPr="004A57FA">
        <w:rPr>
          <w:rFonts w:asciiTheme="minorEastAsia" w:eastAsiaTheme="minorEastAsia" w:hAnsiTheme="minorEastAsia"/>
          <w:szCs w:val="21"/>
        </w:rPr>
        <w:t>赎回费率</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000</w:t>
      </w:r>
      <w:r w:rsidRPr="004A57FA">
        <w:rPr>
          <w:rFonts w:asciiTheme="minorEastAsia" w:eastAsiaTheme="minorEastAsia" w:hAnsiTheme="minorEastAsia" w:hint="eastAsia"/>
          <w:szCs w:val="21"/>
        </w:rPr>
        <w:t>.00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0.5%=55.00元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申购</w:t>
      </w:r>
      <w:r w:rsidRPr="004A57FA">
        <w:rPr>
          <w:rFonts w:asciiTheme="minorEastAsia" w:eastAsiaTheme="minorEastAsia" w:hAnsiTheme="minorEastAsia"/>
          <w:szCs w:val="21"/>
        </w:rPr>
        <w:t>补差费</w:t>
      </w:r>
      <w:r w:rsidRPr="004A57FA">
        <w:rPr>
          <w:rFonts w:asciiTheme="minorEastAsia" w:eastAsiaTheme="minorEastAsia" w:hAnsiTheme="minorEastAsia" w:hint="eastAsia"/>
          <w:szCs w:val="21"/>
        </w:rPr>
        <w:t>=（转换</w:t>
      </w:r>
      <w:r w:rsidRPr="004A57FA">
        <w:rPr>
          <w:rFonts w:asciiTheme="minorEastAsia" w:eastAsiaTheme="minorEastAsia" w:hAnsiTheme="minorEastAsia"/>
          <w:szCs w:val="21"/>
        </w:rPr>
        <w:t>金额</w:t>
      </w:r>
      <w:r w:rsidRPr="004A57FA">
        <w:rPr>
          <w:rFonts w:asciiTheme="minorEastAsia" w:eastAsiaTheme="minorEastAsia" w:hAnsiTheme="minorEastAsia" w:hint="eastAsia"/>
          <w:szCs w:val="21"/>
        </w:rPr>
        <w:t>—转出基金</w:t>
      </w:r>
      <w:r w:rsidRPr="004A57FA">
        <w:rPr>
          <w:rFonts w:asciiTheme="minorEastAsia" w:eastAsiaTheme="minorEastAsia" w:hAnsiTheme="minorEastAsia"/>
          <w:szCs w:val="21"/>
        </w:rPr>
        <w:t>赎回费</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申购</w:t>
      </w:r>
      <w:r w:rsidRPr="004A57FA">
        <w:rPr>
          <w:rFonts w:asciiTheme="minorEastAsia" w:eastAsiaTheme="minorEastAsia" w:hAnsiTheme="minorEastAsia"/>
          <w:szCs w:val="21"/>
        </w:rPr>
        <w:t>补差费率÷（１＋</w:t>
      </w:r>
      <w:r w:rsidRPr="004A57FA">
        <w:rPr>
          <w:rFonts w:asciiTheme="minorEastAsia" w:eastAsiaTheme="minorEastAsia" w:hAnsiTheme="minorEastAsia" w:hint="eastAsia"/>
          <w:szCs w:val="21"/>
        </w:rPr>
        <w:t>申购</w:t>
      </w:r>
      <w:r w:rsidRPr="004A57FA">
        <w:rPr>
          <w:rFonts w:asciiTheme="minorEastAsia" w:eastAsiaTheme="minorEastAsia" w:hAnsiTheme="minorEastAsia"/>
          <w:szCs w:val="21"/>
        </w:rPr>
        <w:t>补差费率）</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000</w:t>
      </w:r>
      <w:r w:rsidRPr="004A57FA">
        <w:rPr>
          <w:rFonts w:asciiTheme="minorEastAsia" w:eastAsiaTheme="minorEastAsia" w:hAnsiTheme="minorEastAsia" w:hint="eastAsia"/>
          <w:szCs w:val="21"/>
        </w:rPr>
        <w:t>.00-55.00）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0.5%</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(1+0.5%)=54.45元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转换费＝转出基金赎回费+申购补差费=</w:t>
      </w:r>
      <w:r w:rsidRPr="004A57FA">
        <w:rPr>
          <w:rFonts w:asciiTheme="minorEastAsia" w:eastAsiaTheme="minorEastAsia" w:hAnsiTheme="minorEastAsia" w:hint="eastAsia"/>
          <w:szCs w:val="21"/>
        </w:rPr>
        <w:t>55.00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54.45</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109.45元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转入金额=转换</w:t>
      </w:r>
      <w:r w:rsidRPr="004A57FA">
        <w:rPr>
          <w:rFonts w:asciiTheme="minorEastAsia" w:eastAsiaTheme="minorEastAsia" w:hAnsiTheme="minorEastAsia"/>
          <w:szCs w:val="21"/>
        </w:rPr>
        <w:t>金额</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转换费</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000</w:t>
      </w:r>
      <w:r w:rsidRPr="004A57FA">
        <w:rPr>
          <w:rFonts w:asciiTheme="minorEastAsia" w:eastAsiaTheme="minorEastAsia" w:hAnsiTheme="minorEastAsia" w:hint="eastAsia"/>
          <w:szCs w:val="21"/>
        </w:rPr>
        <w:t>.00-109.45=10,890.55元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转入份额=转入金额</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转入基金份额净值=10,890.55</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1.020=10,677.01份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134"/>
        <w:gridCol w:w="1276"/>
        <w:gridCol w:w="1417"/>
        <w:gridCol w:w="992"/>
        <w:gridCol w:w="1377"/>
        <w:gridCol w:w="1185"/>
        <w:gridCol w:w="1335"/>
      </w:tblGrid>
      <w:tr w:rsidR="004A57FA" w:rsidRPr="004A57FA" w:rsidTr="007526EC">
        <w:trPr>
          <w:trHeight w:val="413"/>
        </w:trPr>
        <w:tc>
          <w:tcPr>
            <w:tcW w:w="1004"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转出</w:t>
            </w:r>
            <w:r w:rsidRPr="004A57FA">
              <w:rPr>
                <w:rFonts w:asciiTheme="minorEastAsia" w:eastAsiaTheme="minorEastAsia" w:hAnsiTheme="minorEastAsia"/>
                <w:szCs w:val="21"/>
              </w:rPr>
              <w:t>份额</w:t>
            </w:r>
          </w:p>
        </w:tc>
        <w:tc>
          <w:tcPr>
            <w:tcW w:w="1134"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转出</w:t>
            </w:r>
            <w:r w:rsidRPr="004A57FA">
              <w:rPr>
                <w:rFonts w:asciiTheme="minorEastAsia" w:eastAsiaTheme="minorEastAsia" w:hAnsiTheme="minorEastAsia"/>
                <w:szCs w:val="21"/>
              </w:rPr>
              <w:t>基金</w:t>
            </w:r>
            <w:r w:rsidRPr="004A57FA">
              <w:rPr>
                <w:rFonts w:asciiTheme="minorEastAsia" w:eastAsiaTheme="minorEastAsia" w:hAnsiTheme="minorEastAsia" w:hint="eastAsia"/>
                <w:szCs w:val="21"/>
              </w:rPr>
              <w:t>份额</w:t>
            </w:r>
            <w:r w:rsidRPr="004A57FA">
              <w:rPr>
                <w:rFonts w:asciiTheme="minorEastAsia" w:eastAsiaTheme="minorEastAsia" w:hAnsiTheme="minorEastAsia"/>
                <w:szCs w:val="21"/>
              </w:rPr>
              <w:t>净值</w:t>
            </w:r>
          </w:p>
        </w:tc>
        <w:tc>
          <w:tcPr>
            <w:tcW w:w="1276"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转换金额</w:t>
            </w:r>
          </w:p>
        </w:tc>
        <w:tc>
          <w:tcPr>
            <w:tcW w:w="2409" w:type="dxa"/>
            <w:gridSpan w:val="2"/>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转换费</w:t>
            </w:r>
          </w:p>
        </w:tc>
        <w:tc>
          <w:tcPr>
            <w:tcW w:w="1377"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转入金额</w:t>
            </w:r>
          </w:p>
        </w:tc>
        <w:tc>
          <w:tcPr>
            <w:tcW w:w="1185"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转入</w:t>
            </w:r>
            <w:r w:rsidRPr="004A57FA">
              <w:rPr>
                <w:rFonts w:asciiTheme="minorEastAsia" w:eastAsiaTheme="minorEastAsia" w:hAnsiTheme="minorEastAsia"/>
                <w:szCs w:val="21"/>
              </w:rPr>
              <w:t>基金</w:t>
            </w:r>
            <w:r w:rsidRPr="004A57FA">
              <w:rPr>
                <w:rFonts w:asciiTheme="minorEastAsia" w:eastAsiaTheme="minorEastAsia" w:hAnsiTheme="minorEastAsia" w:hint="eastAsia"/>
                <w:szCs w:val="21"/>
              </w:rPr>
              <w:t>份额</w:t>
            </w:r>
            <w:r w:rsidRPr="004A57FA">
              <w:rPr>
                <w:rFonts w:asciiTheme="minorEastAsia" w:eastAsiaTheme="minorEastAsia" w:hAnsiTheme="minorEastAsia"/>
                <w:szCs w:val="21"/>
              </w:rPr>
              <w:t>净值</w:t>
            </w:r>
          </w:p>
        </w:tc>
        <w:tc>
          <w:tcPr>
            <w:tcW w:w="1335" w:type="dxa"/>
            <w:vMerge w:val="restart"/>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转入份额</w:t>
            </w:r>
          </w:p>
        </w:tc>
      </w:tr>
      <w:tr w:rsidR="004A57FA" w:rsidRPr="004A57FA" w:rsidTr="007526EC">
        <w:trPr>
          <w:trHeight w:val="412"/>
        </w:trPr>
        <w:tc>
          <w:tcPr>
            <w:tcW w:w="1004"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c>
          <w:tcPr>
            <w:tcW w:w="1134"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c>
          <w:tcPr>
            <w:tcW w:w="1276"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c>
          <w:tcPr>
            <w:tcW w:w="1417"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转出基金</w:t>
            </w:r>
            <w:r w:rsidRPr="004A57FA">
              <w:rPr>
                <w:rFonts w:asciiTheme="minorEastAsia" w:eastAsiaTheme="minorEastAsia" w:hAnsiTheme="minorEastAsia"/>
                <w:szCs w:val="21"/>
              </w:rPr>
              <w:t>赎回费</w:t>
            </w:r>
          </w:p>
        </w:tc>
        <w:tc>
          <w:tcPr>
            <w:tcW w:w="992"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申购</w:t>
            </w:r>
            <w:r w:rsidRPr="004A57FA">
              <w:rPr>
                <w:rFonts w:asciiTheme="minorEastAsia" w:eastAsiaTheme="minorEastAsia" w:hAnsiTheme="minorEastAsia"/>
                <w:szCs w:val="21"/>
              </w:rPr>
              <w:t>补差费</w:t>
            </w:r>
          </w:p>
        </w:tc>
        <w:tc>
          <w:tcPr>
            <w:tcW w:w="1377"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c>
          <w:tcPr>
            <w:tcW w:w="1185"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c>
          <w:tcPr>
            <w:tcW w:w="1335" w:type="dxa"/>
            <w:vMerge/>
          </w:tcPr>
          <w:p w:rsidR="00AF2EE6" w:rsidRPr="004A57FA" w:rsidRDefault="00AF2EE6" w:rsidP="00C53017">
            <w:pPr>
              <w:snapToGrid w:val="0"/>
              <w:spacing w:line="360" w:lineRule="auto"/>
              <w:ind w:firstLine="420"/>
              <w:rPr>
                <w:rFonts w:asciiTheme="minorEastAsia" w:eastAsiaTheme="minorEastAsia" w:hAnsiTheme="minorEastAsia"/>
                <w:szCs w:val="21"/>
              </w:rPr>
            </w:pPr>
          </w:p>
        </w:tc>
      </w:tr>
      <w:tr w:rsidR="004A57FA" w:rsidRPr="004A57FA" w:rsidTr="007526EC">
        <w:tc>
          <w:tcPr>
            <w:tcW w:w="1004"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szCs w:val="21"/>
              </w:rPr>
              <w:t>10,000</w:t>
            </w:r>
            <w:r w:rsidRPr="004A57FA">
              <w:rPr>
                <w:rFonts w:asciiTheme="minorEastAsia" w:eastAsiaTheme="minorEastAsia" w:hAnsiTheme="minorEastAsia" w:hint="eastAsia"/>
                <w:szCs w:val="21"/>
              </w:rPr>
              <w:t>份</w:t>
            </w:r>
          </w:p>
        </w:tc>
        <w:tc>
          <w:tcPr>
            <w:tcW w:w="1134"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0</w:t>
            </w:r>
            <w:r w:rsidRPr="004A57FA">
              <w:rPr>
                <w:rFonts w:asciiTheme="minorEastAsia" w:eastAsiaTheme="minorEastAsia" w:hAnsiTheme="minorEastAsia" w:hint="eastAsia"/>
                <w:szCs w:val="21"/>
              </w:rPr>
              <w:t>0</w:t>
            </w:r>
            <w:r w:rsidRPr="004A57FA">
              <w:rPr>
                <w:rFonts w:asciiTheme="minorEastAsia" w:eastAsiaTheme="minorEastAsia" w:hAnsiTheme="minorEastAsia"/>
                <w:szCs w:val="21"/>
              </w:rPr>
              <w:t>元</w:t>
            </w:r>
          </w:p>
        </w:tc>
        <w:tc>
          <w:tcPr>
            <w:tcW w:w="1276" w:type="dxa"/>
          </w:tcPr>
          <w:p w:rsidR="00AF2EE6" w:rsidRPr="004A57FA" w:rsidRDefault="00AF2EE6" w:rsidP="00C53017">
            <w:pPr>
              <w:snapToGrid w:val="0"/>
              <w:spacing w:line="360" w:lineRule="auto"/>
              <w:ind w:hanging="3"/>
              <w:jc w:val="center"/>
              <w:rPr>
                <w:rFonts w:asciiTheme="minorEastAsia" w:eastAsiaTheme="minorEastAsia" w:hAnsiTheme="minorEastAsia"/>
                <w:szCs w:val="21"/>
              </w:rPr>
            </w:pPr>
            <w:r w:rsidRPr="004A57FA">
              <w:rPr>
                <w:rFonts w:asciiTheme="minorEastAsia" w:eastAsiaTheme="minorEastAsia" w:hAnsiTheme="minorEastAsia" w:hint="eastAsia"/>
                <w:szCs w:val="21"/>
              </w:rPr>
              <w:t>11,000.00元</w:t>
            </w:r>
          </w:p>
        </w:tc>
        <w:tc>
          <w:tcPr>
            <w:tcW w:w="1417"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55.00元</w:t>
            </w:r>
          </w:p>
        </w:tc>
        <w:tc>
          <w:tcPr>
            <w:tcW w:w="992"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54.45元</w:t>
            </w:r>
          </w:p>
        </w:tc>
        <w:tc>
          <w:tcPr>
            <w:tcW w:w="1377" w:type="dxa"/>
          </w:tcPr>
          <w:p w:rsidR="00AF2EE6" w:rsidRPr="004A57FA" w:rsidRDefault="00AF2EE6" w:rsidP="00C53017">
            <w:pPr>
              <w:snapToGrid w:val="0"/>
              <w:spacing w:line="360" w:lineRule="auto"/>
              <w:ind w:hanging="3"/>
              <w:jc w:val="center"/>
              <w:rPr>
                <w:rFonts w:asciiTheme="minorEastAsia" w:eastAsiaTheme="minorEastAsia" w:hAnsiTheme="minorEastAsia"/>
                <w:szCs w:val="21"/>
              </w:rPr>
            </w:pPr>
            <w:r w:rsidRPr="004A57FA">
              <w:rPr>
                <w:rFonts w:asciiTheme="minorEastAsia" w:eastAsiaTheme="minorEastAsia" w:hAnsiTheme="minorEastAsia" w:hint="eastAsia"/>
                <w:szCs w:val="21"/>
              </w:rPr>
              <w:t>10,890.55元</w:t>
            </w:r>
          </w:p>
        </w:tc>
        <w:tc>
          <w:tcPr>
            <w:tcW w:w="1185" w:type="dxa"/>
          </w:tcPr>
          <w:p w:rsidR="00AF2EE6" w:rsidRPr="004A57FA" w:rsidRDefault="00AF2EE6" w:rsidP="00C53017">
            <w:pPr>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1.020元</w:t>
            </w:r>
          </w:p>
        </w:tc>
        <w:tc>
          <w:tcPr>
            <w:tcW w:w="1335" w:type="dxa"/>
          </w:tcPr>
          <w:p w:rsidR="00AF2EE6" w:rsidRPr="004A57FA" w:rsidRDefault="00AF2EE6" w:rsidP="00C53017">
            <w:pPr>
              <w:snapToGrid w:val="0"/>
              <w:spacing w:line="360" w:lineRule="auto"/>
              <w:ind w:hanging="3"/>
              <w:jc w:val="center"/>
              <w:rPr>
                <w:rFonts w:asciiTheme="minorEastAsia" w:eastAsiaTheme="minorEastAsia" w:hAnsiTheme="minorEastAsia"/>
                <w:szCs w:val="21"/>
              </w:rPr>
            </w:pPr>
            <w:r w:rsidRPr="004A57FA">
              <w:rPr>
                <w:rFonts w:asciiTheme="minorEastAsia" w:eastAsiaTheme="minorEastAsia" w:hAnsiTheme="minorEastAsia" w:hint="eastAsia"/>
                <w:szCs w:val="21"/>
              </w:rPr>
              <w:t>10,677.01份</w:t>
            </w:r>
          </w:p>
        </w:tc>
      </w:tr>
    </w:tbl>
    <w:p w:rsidR="00195415" w:rsidRPr="004A57FA" w:rsidRDefault="00195415" w:rsidP="00A36A4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123" w:name="_Toc81231006"/>
      <w:r w:rsidRPr="004A57FA">
        <w:rPr>
          <w:rFonts w:asciiTheme="minorEastAsia" w:eastAsiaTheme="minorEastAsia" w:hAnsiTheme="minorEastAsia" w:hint="eastAsia"/>
          <w:b w:val="0"/>
          <w:sz w:val="24"/>
        </w:rPr>
        <w:lastRenderedPageBreak/>
        <w:t>（七）基金转换的注册登记</w:t>
      </w:r>
      <w:bookmarkEnd w:id="122"/>
      <w:bookmarkEnd w:id="123"/>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基金管理人可在法律法规允许的范围内，对上述注册登记办理时间进行调整并于</w:t>
      </w:r>
      <w:r w:rsidRPr="004A57FA">
        <w:rPr>
          <w:rFonts w:asciiTheme="minorEastAsia" w:eastAsiaTheme="minorEastAsia" w:hAnsiTheme="minorEastAsia" w:hint="eastAsia"/>
        </w:rPr>
        <w:t>开始实施日前在</w:t>
      </w:r>
      <w:r w:rsidR="00AC34D1" w:rsidRPr="004A57FA">
        <w:rPr>
          <w:rFonts w:asciiTheme="minorEastAsia" w:eastAsiaTheme="minorEastAsia" w:hAnsiTheme="minorEastAsia" w:hint="eastAsia"/>
        </w:rPr>
        <w:t>指定媒介</w:t>
      </w:r>
      <w:r w:rsidRPr="004A57FA">
        <w:rPr>
          <w:rFonts w:asciiTheme="minorEastAsia" w:eastAsiaTheme="minorEastAsia" w:hAnsiTheme="minorEastAsia" w:hint="eastAsia"/>
        </w:rPr>
        <w:t>上公告。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124" w:name="_Toc144109265"/>
      <w:bookmarkStart w:id="125" w:name="_Toc189031345"/>
      <w:bookmarkStart w:id="126" w:name="_Toc204771432"/>
      <w:bookmarkStart w:id="127" w:name="_Toc231035049"/>
      <w:bookmarkStart w:id="128" w:name="_Toc231035619"/>
      <w:bookmarkStart w:id="129" w:name="_Toc231035795"/>
      <w:bookmarkStart w:id="130" w:name="_Toc231044555"/>
      <w:bookmarkStart w:id="131" w:name="_Toc231044686"/>
      <w:bookmarkStart w:id="132" w:name="_Toc231044816"/>
      <w:bookmarkStart w:id="133" w:name="_Toc231044946"/>
      <w:bookmarkStart w:id="134" w:name="_Toc231613521"/>
      <w:bookmarkStart w:id="135" w:name="_Toc81231007"/>
      <w:r w:rsidRPr="004A57FA">
        <w:rPr>
          <w:rFonts w:asciiTheme="minorEastAsia" w:eastAsiaTheme="minorEastAsia" w:hAnsiTheme="minorEastAsia" w:hint="eastAsia"/>
          <w:b w:val="0"/>
          <w:sz w:val="24"/>
        </w:rPr>
        <w:t>（八）基金转换</w:t>
      </w:r>
      <w:r w:rsidRPr="004A57FA">
        <w:rPr>
          <w:rFonts w:asciiTheme="minorEastAsia" w:eastAsiaTheme="minorEastAsia" w:hAnsiTheme="minorEastAsia"/>
          <w:b w:val="0"/>
          <w:sz w:val="24"/>
        </w:rPr>
        <w:t>与巨额赎回</w:t>
      </w:r>
      <w:bookmarkEnd w:id="124"/>
      <w:bookmarkEnd w:id="125"/>
      <w:bookmarkEnd w:id="126"/>
      <w:bookmarkEnd w:id="127"/>
      <w:bookmarkEnd w:id="128"/>
      <w:bookmarkEnd w:id="129"/>
      <w:bookmarkEnd w:id="130"/>
      <w:bookmarkEnd w:id="131"/>
      <w:bookmarkEnd w:id="132"/>
      <w:bookmarkEnd w:id="133"/>
      <w:bookmarkEnd w:id="134"/>
      <w:bookmarkEnd w:id="135"/>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sz w:val="24"/>
        </w:rPr>
      </w:pPr>
      <w:bookmarkStart w:id="136" w:name="_Toc189031346"/>
      <w:bookmarkStart w:id="137" w:name="_Toc204771433"/>
      <w:bookmarkStart w:id="138" w:name="_Toc231035050"/>
      <w:bookmarkStart w:id="139" w:name="_Toc231035620"/>
      <w:bookmarkStart w:id="140" w:name="_Toc231035796"/>
      <w:bookmarkStart w:id="141" w:name="_Toc231044556"/>
      <w:bookmarkStart w:id="142" w:name="_Toc231044687"/>
      <w:bookmarkStart w:id="143" w:name="_Toc231044817"/>
      <w:bookmarkStart w:id="144" w:name="_Toc231044947"/>
      <w:bookmarkStart w:id="145" w:name="_Toc231613522"/>
      <w:bookmarkStart w:id="146" w:name="_Toc81231008"/>
      <w:r w:rsidRPr="004A57FA">
        <w:rPr>
          <w:rFonts w:asciiTheme="minorEastAsia" w:eastAsiaTheme="minorEastAsia" w:hAnsiTheme="minorEastAsia" w:hint="eastAsia"/>
          <w:b w:val="0"/>
          <w:sz w:val="24"/>
        </w:rPr>
        <w:t>（九）暂停基金转换的情形</w:t>
      </w:r>
      <w:bookmarkEnd w:id="136"/>
      <w:bookmarkEnd w:id="137"/>
      <w:bookmarkEnd w:id="138"/>
      <w:bookmarkEnd w:id="139"/>
      <w:bookmarkEnd w:id="140"/>
      <w:bookmarkEnd w:id="141"/>
      <w:bookmarkEnd w:id="142"/>
      <w:bookmarkEnd w:id="143"/>
      <w:bookmarkEnd w:id="144"/>
      <w:bookmarkEnd w:id="145"/>
      <w:bookmarkEnd w:id="146"/>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出现下列情况之一时,基金管理人可以暂停接受基金份额持有人的基金转换申请：</w:t>
      </w:r>
    </w:p>
    <w:p w:rsidR="00AF2EE6" w:rsidRPr="004A57FA" w:rsidRDefault="00572734" w:rsidP="00C53017">
      <w:pPr>
        <w:widowControl/>
        <w:snapToGrid w:val="0"/>
        <w:spacing w:line="360" w:lineRule="auto"/>
        <w:ind w:firstLineChars="200" w:firstLine="420"/>
        <w:jc w:val="left"/>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1、</w:t>
      </w:r>
      <w:r w:rsidR="00AF2EE6" w:rsidRPr="004A57FA">
        <w:rPr>
          <w:rFonts w:asciiTheme="minorEastAsia" w:eastAsiaTheme="minorEastAsia" w:hAnsiTheme="minorEastAsia" w:cs="宋体" w:hint="eastAsia"/>
          <w:kern w:val="0"/>
          <w:szCs w:val="21"/>
        </w:rPr>
        <w:t>不可抗力的原因导致基金无法正常运作；</w:t>
      </w:r>
    </w:p>
    <w:p w:rsidR="00AF2EE6" w:rsidRPr="004A57FA" w:rsidRDefault="00572734" w:rsidP="00C53017">
      <w:pPr>
        <w:widowControl/>
        <w:snapToGrid w:val="0"/>
        <w:spacing w:line="360" w:lineRule="auto"/>
        <w:ind w:firstLineChars="200" w:firstLine="420"/>
        <w:jc w:val="left"/>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2、</w:t>
      </w:r>
      <w:r w:rsidR="00AF2EE6" w:rsidRPr="004A57FA">
        <w:rPr>
          <w:rFonts w:asciiTheme="minorEastAsia" w:eastAsiaTheme="minorEastAsia" w:hAnsiTheme="minorEastAsia" w:cs="宋体" w:hint="eastAsia"/>
          <w:kern w:val="0"/>
          <w:szCs w:val="21"/>
        </w:rPr>
        <w:t>证券交易场所在交易时间非正常停市或证券交易场所依法决定临时停市，导致当日基金资产净值无法计算；</w:t>
      </w:r>
    </w:p>
    <w:p w:rsidR="00AF2EE6" w:rsidRPr="004A57FA" w:rsidRDefault="00572734" w:rsidP="00C53017">
      <w:pPr>
        <w:widowControl/>
        <w:snapToGrid w:val="0"/>
        <w:spacing w:line="360" w:lineRule="auto"/>
        <w:ind w:firstLineChars="200" w:firstLine="420"/>
        <w:jc w:val="left"/>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3、</w:t>
      </w:r>
      <w:r w:rsidR="00AF2EE6" w:rsidRPr="004A57FA">
        <w:rPr>
          <w:rFonts w:asciiTheme="minorEastAsia" w:eastAsiaTheme="minorEastAsia" w:hAnsiTheme="minorEastAsia" w:cs="宋体" w:hint="eastAsia"/>
          <w:kern w:val="0"/>
          <w:szCs w:val="21"/>
        </w:rPr>
        <w:t>因市场剧烈波动或其它原因而出现连续巨额赎回，导致本基金的现金支付出现困难；</w:t>
      </w:r>
    </w:p>
    <w:p w:rsidR="00AF2EE6" w:rsidRPr="004A57FA" w:rsidRDefault="00572734" w:rsidP="00C53017">
      <w:pPr>
        <w:widowControl/>
        <w:snapToGrid w:val="0"/>
        <w:spacing w:line="360" w:lineRule="auto"/>
        <w:ind w:firstLineChars="200" w:firstLine="420"/>
        <w:jc w:val="left"/>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4、</w:t>
      </w:r>
      <w:r w:rsidR="00AF2EE6" w:rsidRPr="004A57FA">
        <w:rPr>
          <w:rFonts w:asciiTheme="minorEastAsia" w:eastAsiaTheme="minorEastAsia" w:hAnsiTheme="minorEastAsia" w:cs="宋体" w:hint="eastAsia"/>
          <w:kern w:val="0"/>
          <w:szCs w:val="21"/>
        </w:rPr>
        <w:t>基金管理人认为会有损于现有基金份额持有人利益的某笔转入或某笔转出；</w:t>
      </w:r>
    </w:p>
    <w:p w:rsidR="00AF2EE6" w:rsidRPr="004A57FA" w:rsidRDefault="00572734" w:rsidP="00C53017">
      <w:pPr>
        <w:snapToGrid w:val="0"/>
        <w:spacing w:line="360" w:lineRule="auto"/>
        <w:ind w:firstLineChars="200" w:firstLine="420"/>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5、</w:t>
      </w:r>
      <w:r w:rsidR="00AF2EE6" w:rsidRPr="004A57FA">
        <w:rPr>
          <w:rFonts w:asciiTheme="minorEastAsia" w:eastAsiaTheme="minorEastAsia" w:hAnsiTheme="minorEastAsia" w:cs="宋体" w:hint="eastAsia"/>
          <w:kern w:val="0"/>
          <w:szCs w:val="21"/>
        </w:rPr>
        <w:t>发生基金合同规定的暂停基金资产估值情况；</w:t>
      </w:r>
    </w:p>
    <w:p w:rsidR="00AF2EE6" w:rsidRPr="004A57FA" w:rsidRDefault="00572734" w:rsidP="00C53017">
      <w:pPr>
        <w:snapToGrid w:val="0"/>
        <w:spacing w:line="360" w:lineRule="auto"/>
        <w:ind w:firstLineChars="200" w:firstLine="420"/>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6、</w:t>
      </w:r>
      <w:r w:rsidR="00AF2EE6" w:rsidRPr="004A57FA">
        <w:rPr>
          <w:rFonts w:asciiTheme="minorEastAsia" w:eastAsiaTheme="minorEastAsia" w:hAnsiTheme="minorEastAsia" w:cs="宋体" w:hint="eastAsia"/>
          <w:kern w:val="0"/>
          <w:szCs w:val="21"/>
        </w:rPr>
        <w:t>基金资产规模过大，使基金管理人无法找到合适的投资品种，或可能对基金业绩产生负面影响，从而损害现有基金份额持有人的利益；</w:t>
      </w:r>
    </w:p>
    <w:p w:rsidR="0083564A" w:rsidRPr="004A57FA" w:rsidRDefault="00572734" w:rsidP="006F648E">
      <w:pPr>
        <w:snapToGrid w:val="0"/>
        <w:spacing w:line="360" w:lineRule="auto"/>
        <w:ind w:firstLineChars="170" w:firstLine="357"/>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7、</w:t>
      </w:r>
      <w:r w:rsidR="00261475" w:rsidRPr="004A57FA">
        <w:rPr>
          <w:rFonts w:asciiTheme="minorEastAsia" w:eastAsiaTheme="minorEastAsia" w:hAnsiTheme="minorEastAsia" w:cs="宋体" w:hint="eastAsia"/>
          <w:kern w:val="0"/>
          <w:szCs w:val="21"/>
        </w:rPr>
        <w:t>基金管理人接受某笔或者某些转换转入申请有可能导致单一投资者持有基金份额的比例达到或者超过50%，或者变相规避50%集中度的情形时；</w:t>
      </w:r>
    </w:p>
    <w:p w:rsidR="0083564A" w:rsidRPr="004A57FA" w:rsidRDefault="00261475" w:rsidP="006F648E">
      <w:pPr>
        <w:snapToGrid w:val="0"/>
        <w:spacing w:line="360" w:lineRule="auto"/>
        <w:ind w:firstLineChars="202" w:firstLine="424"/>
        <w:rPr>
          <w:rStyle w:val="da"/>
          <w:rFonts w:asciiTheme="minorEastAsia" w:eastAsiaTheme="minorEastAsia" w:hAnsiTheme="minorEastAsia"/>
          <w:szCs w:val="21"/>
        </w:rPr>
      </w:pPr>
      <w:r w:rsidRPr="004A57FA">
        <w:rPr>
          <w:rFonts w:asciiTheme="minorEastAsia" w:eastAsiaTheme="minorEastAsia" w:hAnsiTheme="minorEastAsia" w:cs="宋体"/>
          <w:kern w:val="0"/>
          <w:szCs w:val="21"/>
        </w:rPr>
        <w:t>8、</w:t>
      </w:r>
      <w:r w:rsidRPr="004A57FA">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3564A" w:rsidRPr="004A57FA" w:rsidRDefault="00261475" w:rsidP="006F648E">
      <w:pPr>
        <w:snapToGrid w:val="0"/>
        <w:spacing w:line="360" w:lineRule="auto"/>
        <w:ind w:firstLineChars="170" w:firstLine="357"/>
        <w:rPr>
          <w:rFonts w:asciiTheme="minorEastAsia" w:eastAsiaTheme="minorEastAsia" w:hAnsiTheme="minorEastAsia" w:cs="宋体"/>
          <w:kern w:val="0"/>
          <w:szCs w:val="21"/>
        </w:rPr>
      </w:pPr>
      <w:r w:rsidRPr="004A57FA">
        <w:rPr>
          <w:rFonts w:asciiTheme="minorEastAsia" w:eastAsiaTheme="minorEastAsia" w:hAnsiTheme="minorEastAsia" w:cs="宋体"/>
          <w:kern w:val="0"/>
          <w:szCs w:val="21"/>
        </w:rPr>
        <w:t>9、</w:t>
      </w:r>
      <w:r w:rsidRPr="004A57FA">
        <w:rPr>
          <w:rFonts w:asciiTheme="minorEastAsia" w:eastAsiaTheme="minorEastAsia" w:hAnsiTheme="minorEastAsia" w:cs="宋体" w:hint="eastAsia"/>
          <w:kern w:val="0"/>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AF2EE6" w:rsidRPr="004A57FA" w:rsidRDefault="00261475" w:rsidP="00C53017">
      <w:pPr>
        <w:snapToGrid w:val="0"/>
        <w:spacing w:line="360" w:lineRule="auto"/>
        <w:ind w:leftChars="171" w:left="359"/>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1</w:t>
      </w:r>
      <w:r w:rsidRPr="004A57FA">
        <w:rPr>
          <w:rFonts w:asciiTheme="minorEastAsia" w:eastAsiaTheme="minorEastAsia" w:hAnsiTheme="minorEastAsia" w:cs="宋体"/>
          <w:kern w:val="0"/>
          <w:szCs w:val="21"/>
        </w:rPr>
        <w:t>0、</w:t>
      </w:r>
      <w:r w:rsidR="00AF2EE6" w:rsidRPr="004A57FA">
        <w:rPr>
          <w:rFonts w:asciiTheme="minorEastAsia" w:eastAsiaTheme="minorEastAsia" w:hAnsiTheme="minorEastAsia" w:cs="宋体" w:hint="eastAsia"/>
          <w:kern w:val="0"/>
          <w:szCs w:val="21"/>
        </w:rPr>
        <w:t>法律、法规规定或中国证监会认定的其他情形。</w:t>
      </w:r>
    </w:p>
    <w:p w:rsidR="00385845" w:rsidRPr="004A57FA" w:rsidRDefault="00AF2EE6" w:rsidP="00BF356A">
      <w:pPr>
        <w:snapToGrid w:val="0"/>
        <w:spacing w:line="360" w:lineRule="auto"/>
        <w:ind w:firstLineChars="170" w:firstLine="357"/>
        <w:rPr>
          <w:rFonts w:asciiTheme="minorEastAsia" w:eastAsiaTheme="minorEastAsia" w:hAnsiTheme="minorEastAsia"/>
          <w:b/>
          <w:bCs/>
          <w:sz w:val="32"/>
          <w:szCs w:val="32"/>
        </w:rPr>
      </w:pPr>
      <w:r w:rsidRPr="004A57FA">
        <w:rPr>
          <w:rFonts w:asciiTheme="minorEastAsia" w:eastAsiaTheme="minorEastAsia" w:hAnsiTheme="minorEastAsia" w:cs="宋体"/>
          <w:kern w:val="0"/>
          <w:szCs w:val="21"/>
        </w:rPr>
        <w:t>基金暂停转换或暂停后重新开放转换时，基金管理人应在</w:t>
      </w:r>
      <w:r w:rsidR="00AC34D1" w:rsidRPr="004A57FA">
        <w:rPr>
          <w:rFonts w:asciiTheme="minorEastAsia" w:eastAsiaTheme="minorEastAsia" w:hAnsiTheme="minorEastAsia" w:hint="eastAsia"/>
        </w:rPr>
        <w:t>指定媒介</w:t>
      </w:r>
      <w:r w:rsidRPr="004A57FA">
        <w:rPr>
          <w:rFonts w:asciiTheme="minorEastAsia" w:eastAsiaTheme="minorEastAsia" w:hAnsiTheme="minorEastAsia" w:cs="宋体"/>
          <w:kern w:val="0"/>
          <w:szCs w:val="21"/>
        </w:rPr>
        <w:t>上公告。</w:t>
      </w:r>
      <w:bookmarkStart w:id="147" w:name="_Toc86560070"/>
      <w:bookmarkStart w:id="148" w:name="_Toc86635162"/>
      <w:bookmarkStart w:id="149" w:name="_Toc91335002"/>
      <w:r w:rsidR="00385845"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150" w:name="_Toc81231009"/>
      <w:r w:rsidRPr="004A57FA">
        <w:rPr>
          <w:rFonts w:asciiTheme="minorEastAsia" w:eastAsiaTheme="minorEastAsia" w:hAnsiTheme="minorEastAsia" w:hint="eastAsia"/>
          <w:b/>
          <w:bCs/>
        </w:rPr>
        <w:lastRenderedPageBreak/>
        <w:t>十一、基金的非交易过户、转托管及冻结与解冻</w:t>
      </w:r>
      <w:bookmarkEnd w:id="147"/>
      <w:bookmarkEnd w:id="148"/>
      <w:bookmarkEnd w:id="149"/>
      <w:bookmarkEnd w:id="150"/>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（一）基金的非交易过户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非交易过户是指不采用申购、赎回等基金交易方式，将一定数量的基金份额按照一定规则从某一投资者基金账户转移到另一投资者基金账户的行为。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注册登记机构办理上述情况下</w:t>
      </w:r>
      <w:r w:rsidRPr="004A57FA">
        <w:rPr>
          <w:rFonts w:asciiTheme="minorEastAsia" w:eastAsiaTheme="minorEastAsia" w:hAnsiTheme="minorEastAsia"/>
          <w:szCs w:val="21"/>
        </w:rPr>
        <w:t>的非交易过户</w:t>
      </w:r>
      <w:r w:rsidRPr="004A57FA">
        <w:rPr>
          <w:rFonts w:asciiTheme="minorEastAsia" w:eastAsiaTheme="minorEastAsia" w:hAnsiTheme="minorEastAsia" w:hint="eastAsia"/>
          <w:szCs w:val="21"/>
        </w:rPr>
        <w:t>，其他销售机构可代为受理投资者的申请材料，但不得办理该项业务。</w:t>
      </w:r>
    </w:p>
    <w:p w:rsidR="00AF2EE6" w:rsidRPr="004A57FA" w:rsidRDefault="00AF2EE6" w:rsidP="00C53017">
      <w:pPr>
        <w:snapToGrid w:val="0"/>
        <w:spacing w:line="360" w:lineRule="auto"/>
        <w:ind w:firstLineChars="195" w:firstLine="409"/>
        <w:rPr>
          <w:rFonts w:asciiTheme="minorEastAsia" w:eastAsiaTheme="minorEastAsia" w:hAnsiTheme="minorEastAsia"/>
          <w:szCs w:val="21"/>
        </w:rPr>
      </w:pPr>
      <w:r w:rsidRPr="004A57FA">
        <w:rPr>
          <w:rFonts w:asciiTheme="minorEastAsia" w:eastAsiaTheme="minorEastAsia" w:hAnsiTheme="minorEastAsia" w:hint="eastAsia"/>
          <w:szCs w:val="21"/>
        </w:rPr>
        <w:t>对于符合条件的非交易过户申请按《业务规则》的有关规定办理。</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（二）转托管</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本基金目前实行份额托管的交易制度。投资者可将所持有的基金份额从一个交易账户转入另一个交易账户进行交易。具体办理方法参照《业务规则》的有关规定以及基金</w:t>
      </w:r>
      <w:r w:rsidR="00FB269B" w:rsidRPr="004A57FA">
        <w:rPr>
          <w:rFonts w:asciiTheme="minorEastAsia" w:eastAsiaTheme="minorEastAsia" w:hAnsiTheme="minorEastAsia" w:hint="eastAsia"/>
          <w:szCs w:val="21"/>
        </w:rPr>
        <w:t>销售</w:t>
      </w:r>
      <w:r w:rsidRPr="004A57FA">
        <w:rPr>
          <w:rFonts w:asciiTheme="minorEastAsia" w:eastAsiaTheme="minorEastAsia" w:hAnsiTheme="minorEastAsia" w:hint="eastAsia"/>
          <w:szCs w:val="21"/>
        </w:rPr>
        <w:t>机构的业务规则。</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（三）基金的冻结与解冻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572734" w:rsidRPr="004A57FA" w:rsidRDefault="00572734" w:rsidP="00C53017">
      <w:pPr>
        <w:snapToGrid w:val="0"/>
        <w:spacing w:line="360" w:lineRule="auto"/>
        <w:ind w:firstLineChars="200" w:firstLine="420"/>
        <w:rPr>
          <w:rFonts w:asciiTheme="minorEastAsia" w:eastAsiaTheme="minorEastAsia" w:hAnsiTheme="minorEastAsia"/>
          <w:szCs w:val="21"/>
        </w:rPr>
      </w:pPr>
    </w:p>
    <w:p w:rsidR="00572734" w:rsidRPr="004A57FA" w:rsidRDefault="00572734" w:rsidP="00C53017">
      <w:pPr>
        <w:snapToGrid w:val="0"/>
        <w:spacing w:line="360" w:lineRule="auto"/>
        <w:ind w:firstLineChars="200"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bookmarkStart w:id="151" w:name="_Toc52310853"/>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rPr>
      </w:pPr>
      <w:bookmarkStart w:id="152" w:name="_Toc81231010"/>
      <w:r w:rsidRPr="004A57FA">
        <w:rPr>
          <w:rFonts w:asciiTheme="minorEastAsia" w:eastAsiaTheme="minorEastAsia" w:hAnsiTheme="minorEastAsia" w:hint="eastAsia"/>
          <w:b/>
          <w:bCs/>
        </w:rPr>
        <w:lastRenderedPageBreak/>
        <w:t>十二、基金的投资</w:t>
      </w:r>
      <w:bookmarkEnd w:id="152"/>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153" w:name="_Toc81231011"/>
      <w:bookmarkStart w:id="154" w:name="_Toc52310848"/>
      <w:bookmarkStart w:id="155" w:name="_Toc64861723"/>
      <w:r w:rsidRPr="004A57FA">
        <w:rPr>
          <w:rFonts w:asciiTheme="minorEastAsia" w:eastAsiaTheme="minorEastAsia" w:hAnsiTheme="minorEastAsia" w:hint="eastAsia"/>
          <w:b w:val="0"/>
          <w:bCs/>
          <w:szCs w:val="21"/>
        </w:rPr>
        <w:t>（一）</w:t>
      </w:r>
      <w:r w:rsidRPr="004A57FA">
        <w:rPr>
          <w:rFonts w:asciiTheme="minorEastAsia" w:eastAsiaTheme="minorEastAsia" w:hAnsiTheme="minorEastAsia"/>
          <w:b w:val="0"/>
          <w:bCs/>
          <w:szCs w:val="21"/>
        </w:rPr>
        <w:t>投资目标</w:t>
      </w:r>
      <w:bookmarkEnd w:id="153"/>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本基金主要投资于红利股，追求在有效控制风险的前提下，实现基金资产的长期稳健增值。</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156" w:name="_Toc81231012"/>
      <w:r w:rsidRPr="004A57FA">
        <w:rPr>
          <w:rFonts w:asciiTheme="minorEastAsia" w:eastAsiaTheme="minorEastAsia" w:hAnsiTheme="minorEastAsia" w:hint="eastAsia"/>
          <w:b w:val="0"/>
          <w:bCs/>
          <w:szCs w:val="21"/>
        </w:rPr>
        <w:t>（二）投资范围</w:t>
      </w:r>
      <w:bookmarkEnd w:id="156"/>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本基金的投资范围为具有良好流动性的金融工具，包括国内依法发行上市的股票</w:t>
      </w:r>
      <w:r w:rsidR="00C11497" w:rsidRPr="004A57FA">
        <w:rPr>
          <w:rFonts w:asciiTheme="minorEastAsia" w:eastAsiaTheme="minorEastAsia" w:hAnsiTheme="minorEastAsia" w:hint="eastAsia"/>
          <w:szCs w:val="21"/>
        </w:rPr>
        <w:t>（含存托凭证）</w:t>
      </w:r>
      <w:r w:rsidRPr="004A57FA">
        <w:rPr>
          <w:rFonts w:asciiTheme="minorEastAsia" w:eastAsiaTheme="minorEastAsia" w:hAnsiTheme="minorEastAsia" w:hint="eastAsia"/>
          <w:szCs w:val="21"/>
        </w:rPr>
        <w:t>、债券、权证、资产支持证券、货币市场工具及法律法规或中国证监会允许基金投资的其他金融工具。如法律法规或监管机构以后允许基金投资其它品种，基金管理人在履行适当程序后，可以将其纳入投资范围。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本基金为</w:t>
      </w:r>
      <w:r w:rsidR="00D143F1"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基金，投资比例范围为：股票资产占基金资产的60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95%</w:t>
      </w:r>
      <w:r w:rsidRPr="004A57FA">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4A57FA">
        <w:rPr>
          <w:rFonts w:asciiTheme="minorEastAsia" w:eastAsiaTheme="minorEastAsia" w:hAnsiTheme="minorEastAsia"/>
          <w:szCs w:val="21"/>
        </w:rPr>
        <w:t>5%</w:t>
      </w:r>
      <w:r w:rsidR="00261475" w:rsidRPr="004A57FA">
        <w:rPr>
          <w:rFonts w:asciiTheme="minorEastAsia" w:eastAsiaTheme="minorEastAsia" w:hAnsiTheme="minorEastAsia" w:hint="eastAsia"/>
          <w:szCs w:val="21"/>
        </w:rPr>
        <w:t>，现金不包括结算备付金、存出保证金、应收申购款等</w:t>
      </w:r>
      <w:r w:rsidRPr="004A57FA">
        <w:rPr>
          <w:rFonts w:asciiTheme="minorEastAsia" w:eastAsiaTheme="minorEastAsia" w:hAnsiTheme="minorEastAsia" w:hint="eastAsia"/>
          <w:szCs w:val="21"/>
        </w:rPr>
        <w:t>。本基金投资红利股的资产不低于股票资产的80%。</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Cs w:val="21"/>
        </w:rPr>
      </w:pPr>
      <w:bookmarkStart w:id="157" w:name="_Toc81231013"/>
      <w:r w:rsidRPr="004A57FA">
        <w:rPr>
          <w:rFonts w:asciiTheme="minorEastAsia" w:eastAsiaTheme="minorEastAsia" w:hAnsiTheme="minorEastAsia" w:hint="eastAsia"/>
          <w:b w:val="0"/>
          <w:bCs/>
          <w:szCs w:val="21"/>
        </w:rPr>
        <w:t>（三）</w:t>
      </w:r>
      <w:r w:rsidRPr="004A57FA">
        <w:rPr>
          <w:rFonts w:asciiTheme="minorEastAsia" w:eastAsiaTheme="minorEastAsia" w:hAnsiTheme="minorEastAsia"/>
          <w:b w:val="0"/>
          <w:bCs/>
          <w:szCs w:val="21"/>
        </w:rPr>
        <w:t>投资理念</w:t>
      </w:r>
      <w:bookmarkEnd w:id="157"/>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投资于分红潜力较大的上市公司，可以获得资本的长期稳健增值。</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58" w:name="_Toc81231014"/>
      <w:r w:rsidRPr="004A57FA">
        <w:rPr>
          <w:rFonts w:asciiTheme="minorEastAsia" w:eastAsiaTheme="minorEastAsia" w:hAnsiTheme="minorEastAsia" w:hint="eastAsia"/>
          <w:b w:val="0"/>
          <w:bCs/>
        </w:rPr>
        <w:t>（四）</w:t>
      </w:r>
      <w:r w:rsidRPr="004A57FA">
        <w:rPr>
          <w:rFonts w:asciiTheme="minorEastAsia" w:eastAsiaTheme="minorEastAsia" w:hAnsiTheme="minorEastAsia"/>
          <w:b w:val="0"/>
          <w:bCs/>
        </w:rPr>
        <w:t>投资策略</w:t>
      </w:r>
      <w:bookmarkEnd w:id="158"/>
    </w:p>
    <w:p w:rsidR="00AF2EE6" w:rsidRPr="004A57FA" w:rsidRDefault="00572734"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资产配置策略</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本基金基于定量与定性相结合的宏观及市场分析，确定组合中股票、债券、货币市场工具及其他金融工具的比例，追求更高收益，回避市场风险。</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在资产配置中，本基金主要考虑（1）宏观经济因素，包括GDP增长率及其构成、CPI、市场利率水平变化、货币政策等，以判断经济周期对市场的影响；（2）微观经济因素，包括各行业主要企业的盈利变化情况及其盈利预期；（3）市场因素，包括股票及债券市场的涨跌、市场整体估值水平、大类资产的预期收益率水平及其历史比较、市场资金供求关系及其变化；（4）政策因素，与证券市场密切相关的各种政策出台对市场的影响等。</w:t>
      </w:r>
    </w:p>
    <w:p w:rsidR="00AF2EE6" w:rsidRPr="004A57FA" w:rsidRDefault="00572734"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股票投资策略</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在股票投资部分，基金管理人将首先根据上市公司历史分红情况及分红预期进行红利股初选。在此基础上，基金管理人将对初选红利股进行综合分析，精选未来分红潜力较大的股票作为备选红利股。最后，基金管理人将对备选红利股的估值水平进行分析，并据此构建股票投资组合。</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红利股</w:t>
      </w:r>
      <w:r w:rsidRPr="004A57FA">
        <w:rPr>
          <w:rFonts w:asciiTheme="minorEastAsia" w:eastAsiaTheme="minorEastAsia" w:hAnsiTheme="minorEastAsia" w:hint="eastAsia"/>
          <w:szCs w:val="21"/>
        </w:rPr>
        <w:t>初选</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基金管理人主要通过考察上市公司的分红连续性和现金股息率进行红利股初选。具体来讲，红利股是指满足以下一个或多个标准的上市公司发行的股票：</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1）</w:t>
      </w:r>
      <w:r w:rsidRPr="004A57FA">
        <w:rPr>
          <w:rFonts w:asciiTheme="minorEastAsia" w:eastAsiaTheme="minorEastAsia" w:hAnsiTheme="minorEastAsia"/>
          <w:szCs w:val="21"/>
        </w:rPr>
        <w:t>过去3</w:t>
      </w:r>
      <w:r w:rsidRPr="004A57FA">
        <w:rPr>
          <w:rFonts w:asciiTheme="minorEastAsia" w:eastAsiaTheme="minorEastAsia" w:hAnsiTheme="minorEastAsia" w:hint="eastAsia"/>
          <w:szCs w:val="21"/>
        </w:rPr>
        <w:t>个会计年度至少有2年分红（含2年）</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2）最近1</w:t>
      </w:r>
      <w:r w:rsidRPr="004A57FA">
        <w:rPr>
          <w:rFonts w:asciiTheme="minorEastAsia" w:eastAsiaTheme="minorEastAsia" w:hAnsiTheme="minorEastAsia"/>
          <w:szCs w:val="21"/>
        </w:rPr>
        <w:t>年</w:t>
      </w:r>
      <w:r w:rsidRPr="004A57FA">
        <w:rPr>
          <w:rFonts w:asciiTheme="minorEastAsia" w:eastAsiaTheme="minorEastAsia" w:hAnsiTheme="minorEastAsia" w:hint="eastAsia"/>
          <w:szCs w:val="21"/>
        </w:rPr>
        <w:t>现金</w:t>
      </w:r>
      <w:r w:rsidRPr="004A57FA">
        <w:rPr>
          <w:rFonts w:asciiTheme="minorEastAsia" w:eastAsiaTheme="minorEastAsia" w:hAnsiTheme="minorEastAsia"/>
          <w:szCs w:val="21"/>
        </w:rPr>
        <w:t>股息率</w:t>
      </w:r>
      <w:r w:rsidRPr="004A57FA">
        <w:rPr>
          <w:rFonts w:asciiTheme="minorEastAsia" w:eastAsiaTheme="minorEastAsia" w:hAnsiTheme="minorEastAsia" w:hint="eastAsia"/>
          <w:szCs w:val="21"/>
        </w:rPr>
        <w:t>排名位居市场前1/3；</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3）预期将会推出丰厚的现金分红方案。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(2)红利股精选</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不仅关心上市公司分红历史，更注重其未来分红潜力。基金管理人将在对红利股进行初选的基础上，对上市公司的持续盈利能力、财务健康状况和分红意愿等因素进行动态分析，挖掘分红潜力较大的红利股。</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1）持续盈利能力分析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持续盈利能力是判断分红潜力的重要标准。持续盈利能力分析主要包括行业吸引力分析和公司持续性竞争优势分析。</w:t>
      </w:r>
    </w:p>
    <w:p w:rsidR="00AF2EE6" w:rsidRPr="004A57FA" w:rsidRDefault="00AF2EE6" w:rsidP="00C53017">
      <w:pPr>
        <w:numPr>
          <w:ilvl w:val="0"/>
          <w:numId w:val="14"/>
        </w:num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行业吸引力分析</w:t>
      </w:r>
    </w:p>
    <w:p w:rsidR="00AF2EE6" w:rsidRPr="004A57FA" w:rsidRDefault="00AF2EE6" w:rsidP="00C53017">
      <w:pPr>
        <w:snapToGrid w:val="0"/>
        <w:spacing w:line="360" w:lineRule="auto"/>
        <w:ind w:firstLineChars="175" w:firstLine="368"/>
        <w:rPr>
          <w:rFonts w:asciiTheme="minorEastAsia" w:eastAsiaTheme="minorEastAsia" w:hAnsiTheme="minorEastAsia"/>
          <w:szCs w:val="21"/>
        </w:rPr>
      </w:pPr>
      <w:r w:rsidRPr="004A57FA">
        <w:rPr>
          <w:rFonts w:asciiTheme="minorEastAsia" w:eastAsiaTheme="minorEastAsia" w:hAnsiTheme="minorEastAsia" w:hint="eastAsia"/>
          <w:szCs w:val="21"/>
        </w:rPr>
        <w:t>基金管理人将采用波特的五种力量（Porter'sFiveForces）模型对上市公司所在行业的吸引力进行动态分析。通过分析行业进入壁垒，判断新进入者威胁的大小及行业未来可能的竞争态势；通过分析替代品的威胁，判断替代品是否限制本行业产品可能的价格上涨空间；通过分析买方的议价能力，判断买方是否挤压本行业的利润；通过分析供方的议价能力，判断供方是否挤压本行业的利润；通过分析现有竞争对手的情况，判断行业内现有竞争对手之间的竞争是否导致整个行业产品价格的降低或成本的提高。通过以上分析，基金管理人将优先选择行业吸引力较强的上市公司。</w:t>
      </w:r>
    </w:p>
    <w:p w:rsidR="00AF2EE6" w:rsidRPr="004A57FA" w:rsidRDefault="00AF2EE6" w:rsidP="00C53017">
      <w:pPr>
        <w:numPr>
          <w:ilvl w:val="0"/>
          <w:numId w:val="14"/>
        </w:num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公司持续性竞争优势分析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将对上市公司的市场占有率、营业利润率和资产利润率等指标进行综合分析，以选择具有竞争优势的上市公司。在此基础上，基金管理人将对以下因素进行综合评价，优先选择竞争优势能够持续的上市公司。</w:t>
      </w:r>
    </w:p>
    <w:p w:rsidR="00AF2EE6" w:rsidRPr="004A57FA" w:rsidRDefault="00572734"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a）</w:t>
      </w:r>
      <w:r w:rsidR="00AF2EE6" w:rsidRPr="004A57FA">
        <w:rPr>
          <w:rFonts w:asciiTheme="minorEastAsia" w:eastAsiaTheme="minorEastAsia" w:hAnsiTheme="minorEastAsia" w:hint="eastAsia"/>
          <w:szCs w:val="21"/>
        </w:rPr>
        <w:t>成本优势的影响因素：公司通过扩大市场份额获得规模经济，在降低自身成本的同时增加了竞争者的模仿成本；公司拥有独有的产品或工艺技术，能够有效地控制和降低成本；公司采用比竞争对手更有效率的价值链，能够以更低的成本提供产品；公司具有较强的创新及学习能力，能够不断地对生产技术和工艺流程进行改进，以降低成本；等等。</w:t>
      </w:r>
    </w:p>
    <w:p w:rsidR="00AF2EE6" w:rsidRPr="004A57FA" w:rsidRDefault="00572734"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b)</w:t>
      </w:r>
      <w:r w:rsidR="00AF2EE6" w:rsidRPr="004A57FA">
        <w:rPr>
          <w:rFonts w:asciiTheme="minorEastAsia" w:eastAsiaTheme="minorEastAsia" w:hAnsiTheme="minorEastAsia" w:hint="eastAsia"/>
          <w:szCs w:val="21"/>
        </w:rPr>
        <w:t>差异化优势的影响因素：公司下游购买者忠诚度较高，导致差异性优势得以延续；公司在获得差异性的同时能够获得成本优势；公司差异性有多种来源或来自公司独特的价值链，导致竞争者模仿难度较大；公司具有排他性的资源或优势，能够保持差异性；公司在形成差异性的过程中，创造了买方的转换成本；等等。</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2）财务健康状况分析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财务健康状况直接影响现金分红能力。通过动态分析上市公司的财务健康状况，可以判断上市公司的现金分红潜力。财务健康状况分析主要包括偿债能力分析和现金流分析。</w:t>
      </w:r>
    </w:p>
    <w:p w:rsidR="00AF2EE6" w:rsidRPr="004A57FA" w:rsidRDefault="00AF2EE6" w:rsidP="00C53017">
      <w:pPr>
        <w:numPr>
          <w:ilvl w:val="0"/>
          <w:numId w:val="15"/>
        </w:num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偿债能力分析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资产负债率和</w:t>
      </w:r>
      <w:r w:rsidRPr="004A57FA">
        <w:rPr>
          <w:rFonts w:asciiTheme="minorEastAsia" w:eastAsiaTheme="minorEastAsia" w:hAnsiTheme="minorEastAsia"/>
          <w:szCs w:val="21"/>
        </w:rPr>
        <w:t>利息保障倍数</w:t>
      </w:r>
      <w:r w:rsidRPr="004A57FA">
        <w:rPr>
          <w:rFonts w:asciiTheme="minorEastAsia" w:eastAsiaTheme="minorEastAsia" w:hAnsiTheme="minorEastAsia" w:hint="eastAsia"/>
          <w:szCs w:val="21"/>
        </w:rPr>
        <w:t>（息税前利润/利息费用）可以用来分析上市公司的偿债能力。较低的资产负债率和较高的</w:t>
      </w:r>
      <w:r w:rsidRPr="004A57FA">
        <w:rPr>
          <w:rFonts w:asciiTheme="minorEastAsia" w:eastAsiaTheme="minorEastAsia" w:hAnsiTheme="minorEastAsia"/>
          <w:szCs w:val="21"/>
        </w:rPr>
        <w:t>利息保障倍数</w:t>
      </w:r>
      <w:r w:rsidRPr="004A57FA">
        <w:rPr>
          <w:rFonts w:asciiTheme="minorEastAsia" w:eastAsiaTheme="minorEastAsia" w:hAnsiTheme="minorEastAsia" w:hint="eastAsia"/>
          <w:szCs w:val="21"/>
        </w:rPr>
        <w:t>体现为较高的财务稳定性。基金管理人将通过对上市公司财务数据的动态分析，优先选择与同业公司相比</w:t>
      </w:r>
      <w:r w:rsidRPr="004A57FA">
        <w:rPr>
          <w:rFonts w:asciiTheme="minorEastAsia" w:eastAsiaTheme="minorEastAsia" w:hAnsiTheme="minorEastAsia"/>
          <w:szCs w:val="21"/>
        </w:rPr>
        <w:t>利息保障倍数</w:t>
      </w:r>
      <w:r w:rsidRPr="004A57FA">
        <w:rPr>
          <w:rFonts w:asciiTheme="minorEastAsia" w:eastAsiaTheme="minorEastAsia" w:hAnsiTheme="minorEastAsia" w:hint="eastAsia"/>
          <w:szCs w:val="21"/>
        </w:rPr>
        <w:t>较高、资产负债率较低的上市公司。</w:t>
      </w:r>
    </w:p>
    <w:p w:rsidR="00AF2EE6" w:rsidRPr="004A57FA" w:rsidRDefault="00AF2EE6" w:rsidP="00C53017">
      <w:pPr>
        <w:numPr>
          <w:ilvl w:val="0"/>
          <w:numId w:val="15"/>
        </w:num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现金流分析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自由现金流和盈余</w:t>
      </w:r>
      <w:r w:rsidRPr="004A57FA">
        <w:rPr>
          <w:rFonts w:asciiTheme="minorEastAsia" w:eastAsiaTheme="minorEastAsia" w:hAnsiTheme="minorEastAsia"/>
          <w:szCs w:val="21"/>
        </w:rPr>
        <w:t>现金保障倍数</w:t>
      </w:r>
      <w:r w:rsidRPr="004A57FA">
        <w:rPr>
          <w:rFonts w:asciiTheme="minorEastAsia" w:eastAsiaTheme="minorEastAsia" w:hAnsiTheme="minorEastAsia" w:hint="eastAsia"/>
          <w:szCs w:val="21"/>
        </w:rPr>
        <w:t>（经营现金净流量/净利润）可以用来分析上市公司的现金流情况。自由现金流较高且长期为正，则现金分红潜力较大。盈余</w:t>
      </w:r>
      <w:r w:rsidRPr="004A57FA">
        <w:rPr>
          <w:rFonts w:asciiTheme="minorEastAsia" w:eastAsiaTheme="minorEastAsia" w:hAnsiTheme="minorEastAsia"/>
          <w:szCs w:val="21"/>
        </w:rPr>
        <w:t>现金保障倍数</w:t>
      </w:r>
      <w:r w:rsidRPr="004A57FA">
        <w:rPr>
          <w:rFonts w:asciiTheme="minorEastAsia" w:eastAsiaTheme="minorEastAsia" w:hAnsiTheme="minorEastAsia" w:hint="eastAsia"/>
          <w:szCs w:val="21"/>
        </w:rPr>
        <w:t>较高，同样对现金分红潜力具有积极影响。基金管理人将动态分析上市公司的现金流情况，优先选择正的自由现金流保持稳定或增长、盈余</w:t>
      </w:r>
      <w:r w:rsidRPr="004A57FA">
        <w:rPr>
          <w:rFonts w:asciiTheme="minorEastAsia" w:eastAsiaTheme="minorEastAsia" w:hAnsiTheme="minorEastAsia"/>
          <w:szCs w:val="21"/>
        </w:rPr>
        <w:t>现金保障倍数</w:t>
      </w:r>
      <w:r w:rsidRPr="004A57FA">
        <w:rPr>
          <w:rFonts w:asciiTheme="minorEastAsia" w:eastAsiaTheme="minorEastAsia" w:hAnsiTheme="minorEastAsia" w:hint="eastAsia"/>
          <w:szCs w:val="21"/>
        </w:rPr>
        <w:t>较高的上市公司。</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3）分红意愿分析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将在对上市公司过往分红历史进行分析的基础上，判断上市公司的红利分配政策，并依据上市公司相关公告，对上市公司的分红意愿进行综合评判。在此基础上，基金管理人将优先选择分红意愿较强的上市公司。</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(3)估值水平分析</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将对备选红利股进行估值分析。采用的估值方法包括市盈率法（P/E）、市净率法（P/B）、市盈率－长期成长法（PEG）、企业价值/销售收入(EV/SALES)、企业价值/息税折旧摊销前利润法（EV/EBITDA）、自由现金流贴现模型（FCFF,FCFE）或股利贴现模型（DDM）等。基金管理人将参照上市公司的行业特性及公司本身的特点，选择合适的估值方法。</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通过估值水平分析，基金管理人将发掘出价值被低估或估值合理的红利股。</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(4)股票组合构建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以上分析的基础上，基金管理人将优先选择分红具有连续性、现金股息率较高、具有持续盈利能力、财务健康状况较好、未来分红意愿较高且估值具有吸引力的上市公司的股票构建股票投资组合。当宏观经济、市场环境、公司基本面或股票估值水平等因素发生变化时，基金管理人将对股票组合适时进行调整。</w:t>
      </w:r>
    </w:p>
    <w:p w:rsidR="00C11497" w:rsidRPr="004A57FA" w:rsidRDefault="00C11497" w:rsidP="00C1149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3、存托凭证投资策略</w:t>
      </w:r>
    </w:p>
    <w:p w:rsidR="00C11497" w:rsidRPr="004A57FA" w:rsidRDefault="00C11497" w:rsidP="00C1149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本基金可投资存托凭证，本基金将结合对宏观经济状况、行业景气度、公司竞争优势、公司治理结构、估值水平等因素的分析判断，选择投资价值高的存托凭证进行投资。</w:t>
      </w:r>
    </w:p>
    <w:p w:rsidR="00AF2EE6" w:rsidRPr="004A57FA" w:rsidRDefault="00C11497" w:rsidP="00C1149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4</w:t>
      </w:r>
      <w:r w:rsidR="00572734"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债券投资策略</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在债券投资方面，基金管理人将主要通过类属配置与券种选择两个层次进行投资管理。在类属配置层次，基金管理人结合对宏观经济、市场利率、供求变化等因素的综合分析，根据交易所市场与银行间市场类属资产的风险收益特征，定期对投资组合类属资产进行优化配置和调整，确定类属资产的最优权重。</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在券种选择上，基金管理人以长期利率趋势分析为基础，结合经济变化趋势、货币政策及不同债券品种的收益率水平、流动性和信用风险等因素，合理运用投资管理策略，实施</w:t>
      </w:r>
      <w:r w:rsidRPr="004A57FA">
        <w:rPr>
          <w:rFonts w:asciiTheme="minorEastAsia" w:eastAsiaTheme="minorEastAsia" w:hAnsiTheme="minorEastAsia" w:hint="eastAsia"/>
          <w:szCs w:val="21"/>
        </w:rPr>
        <w:lastRenderedPageBreak/>
        <w:t>积极主动的债券投资管理。</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随着国内债券市场的深入发展和结构性变迁，更多债券新品种和交易形式将增加债券投资盈利模式，基金管理人会密切跟踪市场动态变化，选择合适的介入机会,谋求高于市场平均水平的投资回报。</w:t>
      </w:r>
    </w:p>
    <w:p w:rsidR="00AF2EE6" w:rsidRPr="004A57FA" w:rsidRDefault="00C11497"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5</w:t>
      </w:r>
      <w:r w:rsidR="00572734"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衍生产品投资策略</w:t>
      </w:r>
    </w:p>
    <w:p w:rsidR="00AF2EE6" w:rsidRPr="004A57FA" w:rsidRDefault="00AF2EE6"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权证为本基金辅助性投资工具，投资原则为有利于基金资产增值、控制下跌风险、实现保值和锁定收益。</w:t>
      </w:r>
    </w:p>
    <w:p w:rsidR="00AF2EE6" w:rsidRPr="004A57FA" w:rsidRDefault="00AF2EE6" w:rsidP="00C53017">
      <w:pPr>
        <w:snapToGrid w:val="0"/>
        <w:spacing w:line="360" w:lineRule="auto"/>
        <w:ind w:firstLine="480"/>
        <w:rPr>
          <w:rFonts w:asciiTheme="minorEastAsia" w:eastAsiaTheme="minorEastAsia" w:hAnsiTheme="minorEastAsia"/>
          <w:sz w:val="24"/>
        </w:rPr>
      </w:pPr>
      <w:r w:rsidRPr="004A57FA">
        <w:rPr>
          <w:rFonts w:asciiTheme="minorEastAsia" w:eastAsiaTheme="minorEastAsia" w:hAnsiTheme="minorEastAsia" w:hint="eastAsia"/>
          <w:szCs w:val="21"/>
        </w:rPr>
        <w:t>基金管理人将关注国内金融衍生产品的推出情况，如法律法规或监管机构允许基金投资该衍生工具，基金管理人将制定与本基金投资目标相适应的投资策略，在充分评估衍生产品风险和收益的基础上，谨慎地进行投资。</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59" w:name="_Toc52310851"/>
      <w:bookmarkStart w:id="160" w:name="_Toc64861726"/>
      <w:bookmarkStart w:id="161" w:name="_Toc81231015"/>
      <w:bookmarkEnd w:id="154"/>
      <w:bookmarkEnd w:id="155"/>
      <w:r w:rsidRPr="004A57FA">
        <w:rPr>
          <w:rFonts w:asciiTheme="minorEastAsia" w:eastAsiaTheme="minorEastAsia" w:hAnsiTheme="minorEastAsia" w:hint="eastAsia"/>
          <w:b w:val="0"/>
          <w:bCs/>
        </w:rPr>
        <w:t>（五）业绩</w:t>
      </w:r>
      <w:r w:rsidRPr="004A57FA">
        <w:rPr>
          <w:rFonts w:asciiTheme="minorEastAsia" w:eastAsiaTheme="minorEastAsia" w:hAnsiTheme="minorEastAsia"/>
          <w:b w:val="0"/>
          <w:bCs/>
        </w:rPr>
        <w:t>比较基准</w:t>
      </w:r>
      <w:bookmarkEnd w:id="159"/>
      <w:bookmarkEnd w:id="160"/>
      <w:bookmarkEnd w:id="161"/>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162" w:name="_Toc200522667"/>
      <w:bookmarkStart w:id="163" w:name="_Toc200522803"/>
      <w:bookmarkStart w:id="164" w:name="_Toc200522940"/>
      <w:r w:rsidRPr="004A57FA">
        <w:rPr>
          <w:rFonts w:asciiTheme="minorEastAsia" w:eastAsiaTheme="minorEastAsia" w:hAnsiTheme="minorEastAsia" w:hint="eastAsia"/>
          <w:szCs w:val="21"/>
        </w:rPr>
        <w:t>80%×中证</w:t>
      </w:r>
      <w:r w:rsidRPr="004A57FA">
        <w:rPr>
          <w:rFonts w:asciiTheme="minorEastAsia" w:eastAsiaTheme="minorEastAsia" w:hAnsiTheme="minorEastAsia"/>
          <w:szCs w:val="21"/>
        </w:rPr>
        <w:t>红利指数收益率＋</w:t>
      </w:r>
      <w:r w:rsidRPr="004A57FA">
        <w:rPr>
          <w:rFonts w:asciiTheme="minorEastAsia" w:eastAsiaTheme="minorEastAsia" w:hAnsiTheme="minorEastAsia" w:hint="eastAsia"/>
          <w:szCs w:val="21"/>
        </w:rPr>
        <w:t>中债总</w:t>
      </w:r>
      <w:r w:rsidRPr="004A57FA">
        <w:rPr>
          <w:rFonts w:asciiTheme="minorEastAsia" w:eastAsiaTheme="minorEastAsia" w:hAnsiTheme="minorEastAsia"/>
          <w:szCs w:val="21"/>
        </w:rPr>
        <w:t>指数收益率</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20%</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中证红利指数</w:t>
      </w:r>
      <w:r w:rsidRPr="004A57FA">
        <w:rPr>
          <w:rFonts w:asciiTheme="minorEastAsia" w:eastAsiaTheme="minorEastAsia" w:hAnsiTheme="minorEastAsia" w:hint="eastAsia"/>
          <w:szCs w:val="21"/>
        </w:rPr>
        <w:t>由中证指数公司编制，</w:t>
      </w:r>
      <w:r w:rsidRPr="004A57FA">
        <w:rPr>
          <w:rFonts w:asciiTheme="minorEastAsia" w:eastAsiaTheme="minorEastAsia" w:hAnsiTheme="minorEastAsia"/>
          <w:szCs w:val="21"/>
        </w:rPr>
        <w:t>样本</w:t>
      </w:r>
      <w:r w:rsidRPr="004A57FA">
        <w:rPr>
          <w:rFonts w:asciiTheme="minorEastAsia" w:eastAsiaTheme="minorEastAsia" w:hAnsiTheme="minorEastAsia" w:hint="eastAsia"/>
          <w:szCs w:val="21"/>
        </w:rPr>
        <w:t>股为</w:t>
      </w:r>
      <w:r w:rsidRPr="004A57FA">
        <w:rPr>
          <w:rFonts w:asciiTheme="minorEastAsia" w:eastAsiaTheme="minorEastAsia" w:hAnsiTheme="minorEastAsia"/>
          <w:szCs w:val="21"/>
        </w:rPr>
        <w:t>在上海证券交易所和深圳证券交易所上市、现金股息率高、分红比较稳定并具有一定规模及流动性的100只A股，</w:t>
      </w:r>
      <w:r w:rsidRPr="004A57FA">
        <w:rPr>
          <w:rFonts w:asciiTheme="minorEastAsia" w:eastAsiaTheme="minorEastAsia" w:hAnsiTheme="minorEastAsia" w:hint="eastAsia"/>
          <w:szCs w:val="21"/>
        </w:rPr>
        <w:t>能</w:t>
      </w:r>
      <w:r w:rsidRPr="004A57FA">
        <w:rPr>
          <w:rFonts w:asciiTheme="minorEastAsia" w:eastAsiaTheme="minorEastAsia" w:hAnsiTheme="minorEastAsia"/>
          <w:szCs w:val="21"/>
        </w:rPr>
        <w:t>反映沪深证券市场高股息股票的整体</w:t>
      </w:r>
      <w:r w:rsidRPr="004A57FA">
        <w:rPr>
          <w:rFonts w:asciiTheme="minorEastAsia" w:eastAsiaTheme="minorEastAsia" w:hAnsiTheme="minorEastAsia" w:hint="eastAsia"/>
          <w:szCs w:val="21"/>
        </w:rPr>
        <w:t>状况和</w:t>
      </w:r>
      <w:r w:rsidRPr="004A57FA">
        <w:rPr>
          <w:rFonts w:asciiTheme="minorEastAsia" w:eastAsiaTheme="minorEastAsia" w:hAnsiTheme="minorEastAsia"/>
          <w:szCs w:val="21"/>
        </w:rPr>
        <w:t>走势</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中债总指数由中央国债登记结算有限责任公司编制，能够反映债券市场总体走势，具有较强的代表性、权威性，并得到投资者的广泛认同，适合作为本基金的业绩比较基准。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如果</w:t>
      </w:r>
      <w:r w:rsidRPr="004A57FA">
        <w:rPr>
          <w:rFonts w:asciiTheme="minorEastAsia" w:eastAsiaTheme="minorEastAsia" w:hAnsiTheme="minorEastAsia" w:hint="eastAsia"/>
          <w:szCs w:val="21"/>
        </w:rPr>
        <w:t>指数编制单位</w:t>
      </w:r>
      <w:r w:rsidRPr="004A57FA">
        <w:rPr>
          <w:rFonts w:asciiTheme="minorEastAsia" w:eastAsiaTheme="minorEastAsia" w:hAnsiTheme="minorEastAsia"/>
          <w:szCs w:val="21"/>
        </w:rPr>
        <w:t>停止计算编制</w:t>
      </w:r>
      <w:r w:rsidRPr="004A57FA">
        <w:rPr>
          <w:rFonts w:asciiTheme="minorEastAsia" w:eastAsiaTheme="minorEastAsia" w:hAnsiTheme="minorEastAsia" w:hint="eastAsia"/>
          <w:szCs w:val="21"/>
        </w:rPr>
        <w:t>该</w:t>
      </w:r>
      <w:r w:rsidRPr="004A57FA">
        <w:rPr>
          <w:rFonts w:asciiTheme="minorEastAsia" w:eastAsiaTheme="minorEastAsia" w:hAnsiTheme="minorEastAsia"/>
          <w:szCs w:val="21"/>
        </w:rPr>
        <w:t>指数或更改指数名称</w:t>
      </w:r>
      <w:r w:rsidRPr="004A57FA">
        <w:rPr>
          <w:rFonts w:asciiTheme="minorEastAsia" w:eastAsiaTheme="minorEastAsia" w:hAnsiTheme="minorEastAsia" w:hint="eastAsia"/>
          <w:szCs w:val="21"/>
        </w:rPr>
        <w:t>，或</w:t>
      </w:r>
      <w:r w:rsidRPr="004A57FA">
        <w:rPr>
          <w:rFonts w:asciiTheme="minorEastAsia" w:eastAsiaTheme="minorEastAsia" w:hAnsiTheme="minorEastAsia"/>
          <w:szCs w:val="21"/>
        </w:rPr>
        <w:t>有更权威的、更能为市场普遍接受的业绩比较基准推出</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本基金</w:t>
      </w:r>
      <w:r w:rsidRPr="004A57FA">
        <w:rPr>
          <w:rFonts w:asciiTheme="minorEastAsia" w:eastAsiaTheme="minorEastAsia" w:hAnsiTheme="minorEastAsia" w:hint="eastAsia"/>
          <w:szCs w:val="21"/>
        </w:rPr>
        <w:t>管理人</w:t>
      </w:r>
      <w:r w:rsidRPr="004A57FA">
        <w:rPr>
          <w:rFonts w:asciiTheme="minorEastAsia" w:eastAsiaTheme="minorEastAsia" w:hAnsiTheme="minorEastAsia"/>
          <w:szCs w:val="21"/>
        </w:rPr>
        <w:t>有权对此基准进行调整并</w:t>
      </w:r>
      <w:r w:rsidRPr="004A57FA">
        <w:rPr>
          <w:rFonts w:asciiTheme="minorEastAsia" w:eastAsiaTheme="minorEastAsia" w:hAnsiTheme="minorEastAsia" w:hint="eastAsia"/>
          <w:szCs w:val="21"/>
        </w:rPr>
        <w:t>及时</w:t>
      </w:r>
      <w:r w:rsidRPr="004A57FA">
        <w:rPr>
          <w:rFonts w:asciiTheme="minorEastAsia" w:eastAsiaTheme="minorEastAsia" w:hAnsiTheme="minorEastAsia"/>
          <w:szCs w:val="21"/>
        </w:rPr>
        <w:t>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65" w:name="_Toc87269125"/>
      <w:bookmarkStart w:id="166" w:name="_Toc81231016"/>
      <w:bookmarkStart w:id="167" w:name="_Toc84149642"/>
      <w:bookmarkEnd w:id="162"/>
      <w:bookmarkEnd w:id="163"/>
      <w:bookmarkEnd w:id="164"/>
      <w:r w:rsidRPr="004A57FA">
        <w:rPr>
          <w:rFonts w:asciiTheme="minorEastAsia" w:eastAsiaTheme="minorEastAsia" w:hAnsiTheme="minorEastAsia" w:hint="eastAsia"/>
          <w:b w:val="0"/>
          <w:bCs/>
        </w:rPr>
        <w:t>（六）风险收益特征</w:t>
      </w:r>
      <w:bookmarkEnd w:id="165"/>
      <w:bookmarkEnd w:id="166"/>
    </w:p>
    <w:bookmarkEnd w:id="167"/>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本基金为</w:t>
      </w:r>
      <w:r w:rsidR="00D143F1"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基金</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理论上其</w:t>
      </w:r>
      <w:r w:rsidRPr="004A57FA">
        <w:rPr>
          <w:rFonts w:asciiTheme="minorEastAsia" w:eastAsiaTheme="minorEastAsia" w:hAnsiTheme="minorEastAsia"/>
          <w:szCs w:val="21"/>
        </w:rPr>
        <w:t>风险</w:t>
      </w:r>
      <w:r w:rsidRPr="004A57FA">
        <w:rPr>
          <w:rFonts w:asciiTheme="minorEastAsia" w:eastAsiaTheme="minorEastAsia" w:hAnsiTheme="minorEastAsia" w:hint="eastAsia"/>
          <w:szCs w:val="21"/>
        </w:rPr>
        <w:t>收益水平高于债</w:t>
      </w:r>
      <w:r w:rsidRPr="004A57FA">
        <w:rPr>
          <w:rFonts w:asciiTheme="minorEastAsia" w:eastAsiaTheme="minorEastAsia" w:hAnsiTheme="minorEastAsia"/>
          <w:szCs w:val="21"/>
        </w:rPr>
        <w:t>券基金</w:t>
      </w:r>
      <w:r w:rsidRPr="004A57FA">
        <w:rPr>
          <w:rFonts w:asciiTheme="minorEastAsia" w:eastAsiaTheme="minorEastAsia" w:hAnsiTheme="minorEastAsia" w:hint="eastAsia"/>
          <w:szCs w:val="21"/>
        </w:rPr>
        <w:t>和货币市场基金</w:t>
      </w:r>
      <w:r w:rsidR="00350E9A" w:rsidRPr="004A57FA">
        <w:rPr>
          <w:rFonts w:asciiTheme="minorEastAsia" w:eastAsiaTheme="minorEastAsia" w:hAnsiTheme="minorEastAsia" w:hint="eastAsia"/>
          <w:szCs w:val="21"/>
        </w:rPr>
        <w:t>，低于股票基金</w:t>
      </w:r>
      <w:r w:rsidRPr="004A57FA">
        <w:rPr>
          <w:rFonts w:asciiTheme="minorEastAsia" w:eastAsiaTheme="minorEastAsia" w:hAnsiTheme="minorEastAsia"/>
          <w:szCs w:val="21"/>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rPr>
      </w:pPr>
      <w:bookmarkStart w:id="168" w:name="_Toc81231017"/>
      <w:r w:rsidRPr="004A57FA">
        <w:rPr>
          <w:rFonts w:asciiTheme="minorEastAsia" w:eastAsiaTheme="minorEastAsia" w:hAnsiTheme="minorEastAsia" w:hint="eastAsia"/>
          <w:b w:val="0"/>
          <w:bCs/>
        </w:rPr>
        <w:t>（七）</w:t>
      </w:r>
      <w:bookmarkStart w:id="169" w:name="_Toc52310852"/>
      <w:bookmarkStart w:id="170" w:name="_Toc64861727"/>
      <w:r w:rsidRPr="004A57FA">
        <w:rPr>
          <w:rFonts w:asciiTheme="minorEastAsia" w:eastAsiaTheme="minorEastAsia" w:hAnsiTheme="minorEastAsia" w:hint="eastAsia"/>
          <w:b w:val="0"/>
          <w:bCs/>
        </w:rPr>
        <w:t>投资决策</w:t>
      </w:r>
      <w:bookmarkEnd w:id="168"/>
      <w:bookmarkEnd w:id="169"/>
      <w:bookmarkEnd w:id="170"/>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资产配置决策</w:t>
      </w:r>
    </w:p>
    <w:p w:rsidR="00AF2EE6" w:rsidRPr="004A57FA" w:rsidRDefault="00AF2EE6" w:rsidP="00C53017">
      <w:pPr>
        <w:pStyle w:val="22"/>
        <w:snapToGrid w:val="0"/>
        <w:spacing w:before="0" w:beforeAutospacing="0" w:after="0" w:afterAutospacing="0"/>
        <w:ind w:firstLineChars="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基金经理制定资产配置计划，按制度提交审议并实施。</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类别资产投资决策</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基金经理根据各类资产的投资策略，分别进行股票、债券、货币市场工具等资产类别的投资决策。</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（1）股票投资决策</w:t>
      </w:r>
    </w:p>
    <w:p w:rsidR="00AF2EE6" w:rsidRPr="004A57FA" w:rsidRDefault="00AF2EE6" w:rsidP="00C53017">
      <w:pPr>
        <w:numPr>
          <w:ilvl w:val="0"/>
          <w:numId w:val="9"/>
        </w:numPr>
        <w:snapToGrid w:val="0"/>
        <w:spacing w:line="360" w:lineRule="auto"/>
        <w:rPr>
          <w:rFonts w:asciiTheme="minorEastAsia" w:eastAsiaTheme="minorEastAsia" w:hAnsiTheme="minorEastAsia"/>
        </w:rPr>
      </w:pPr>
      <w:r w:rsidRPr="004A57FA">
        <w:rPr>
          <w:rFonts w:asciiTheme="minorEastAsia" w:eastAsiaTheme="minorEastAsia" w:hAnsiTheme="minorEastAsia" w:hint="eastAsia"/>
        </w:rPr>
        <w:t>根据红利股的选择标准，从上市公司和公司备选库中，选出红利股作为本基金的主要投资对象；</w:t>
      </w:r>
    </w:p>
    <w:p w:rsidR="00AF2EE6" w:rsidRPr="004A57FA" w:rsidRDefault="00AF2EE6" w:rsidP="00C53017">
      <w:pPr>
        <w:numPr>
          <w:ilvl w:val="0"/>
          <w:numId w:val="9"/>
        </w:numPr>
        <w:snapToGrid w:val="0"/>
        <w:spacing w:line="360" w:lineRule="auto"/>
        <w:rPr>
          <w:rFonts w:asciiTheme="minorEastAsia" w:eastAsiaTheme="minorEastAsia" w:hAnsiTheme="minorEastAsia"/>
        </w:rPr>
      </w:pPr>
      <w:r w:rsidRPr="004A57FA">
        <w:rPr>
          <w:rFonts w:asciiTheme="minorEastAsia" w:eastAsiaTheme="minorEastAsia" w:hAnsiTheme="minorEastAsia" w:hint="eastAsia"/>
        </w:rPr>
        <w:t>根据研究报告，从红利股中选出分红潜力较大的股票构造投资组合；</w:t>
      </w:r>
    </w:p>
    <w:p w:rsidR="00AF2EE6" w:rsidRPr="004A57FA" w:rsidRDefault="00AF2EE6" w:rsidP="00C53017">
      <w:pPr>
        <w:numPr>
          <w:ilvl w:val="0"/>
          <w:numId w:val="9"/>
        </w:num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根据上市公司及行业基本面的变化以及对组合风险的评估，持续地对组合进行优</w:t>
      </w:r>
      <w:r w:rsidRPr="004A57FA">
        <w:rPr>
          <w:rFonts w:asciiTheme="minorEastAsia" w:eastAsiaTheme="minorEastAsia" w:hAnsiTheme="minorEastAsia" w:hint="eastAsia"/>
          <w:szCs w:val="21"/>
        </w:rPr>
        <w:lastRenderedPageBreak/>
        <w:t>化调整。</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（2）债券及货币市场工具的投资决策</w:t>
      </w:r>
    </w:p>
    <w:p w:rsidR="00AF2EE6" w:rsidRPr="004A57FA" w:rsidRDefault="00AF2EE6" w:rsidP="00C53017">
      <w:pPr>
        <w:snapToGrid w:val="0"/>
        <w:spacing w:line="360" w:lineRule="auto"/>
        <w:ind w:left="42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rPr>
      </w:pPr>
      <w:bookmarkStart w:id="171" w:name="_Toc81231018"/>
      <w:r w:rsidRPr="004A57FA">
        <w:rPr>
          <w:rFonts w:asciiTheme="minorEastAsia" w:eastAsiaTheme="minorEastAsia" w:hAnsiTheme="minorEastAsia" w:hint="eastAsia"/>
          <w:b w:val="0"/>
          <w:bCs/>
        </w:rPr>
        <w:t>（八）投资</w:t>
      </w:r>
      <w:bookmarkEnd w:id="151"/>
      <w:r w:rsidRPr="004A57FA">
        <w:rPr>
          <w:rFonts w:asciiTheme="minorEastAsia" w:eastAsiaTheme="minorEastAsia" w:hAnsiTheme="minorEastAsia" w:hint="eastAsia"/>
          <w:b w:val="0"/>
          <w:bCs/>
        </w:rPr>
        <w:t>限制</w:t>
      </w:r>
      <w:bookmarkEnd w:id="171"/>
    </w:p>
    <w:p w:rsidR="00AF2EE6" w:rsidRPr="004A57FA" w:rsidRDefault="00AF2EE6" w:rsidP="00C53017">
      <w:pPr>
        <w:snapToGrid w:val="0"/>
        <w:spacing w:line="360" w:lineRule="auto"/>
        <w:ind w:firstLineChars="200" w:firstLine="420"/>
        <w:rPr>
          <w:rStyle w:val="da"/>
          <w:rFonts w:asciiTheme="minorEastAsia" w:eastAsiaTheme="minorEastAsia" w:hAnsiTheme="minorEastAsia"/>
        </w:rPr>
      </w:pPr>
      <w:r w:rsidRPr="004A57FA">
        <w:rPr>
          <w:rStyle w:val="da"/>
          <w:rFonts w:asciiTheme="minorEastAsia" w:eastAsiaTheme="minorEastAsia" w:hAnsiTheme="minorEastAsia" w:hint="eastAsia"/>
        </w:rPr>
        <w:t>根据目前法律法规的规定，以及本基金的投资策略，本基金的投资组合将遵循以下限制：</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rPr>
        <w:t>本基金持有一家</w:t>
      </w:r>
      <w:r w:rsidR="00AF2EE6" w:rsidRPr="004A57FA">
        <w:rPr>
          <w:rFonts w:asciiTheme="minorEastAsia" w:eastAsiaTheme="minorEastAsia" w:hAnsiTheme="minorEastAsia" w:hint="eastAsia"/>
        </w:rPr>
        <w:t>上市</w:t>
      </w:r>
      <w:r w:rsidR="00AF2EE6" w:rsidRPr="004A57FA">
        <w:rPr>
          <w:rFonts w:asciiTheme="minorEastAsia" w:eastAsiaTheme="minorEastAsia" w:hAnsiTheme="minorEastAsia"/>
        </w:rPr>
        <w:t>公司的股票，</w:t>
      </w:r>
      <w:r w:rsidR="00AF2EE6" w:rsidRPr="004A57FA">
        <w:rPr>
          <w:rFonts w:asciiTheme="minorEastAsia" w:eastAsiaTheme="minorEastAsia" w:hAnsiTheme="minorEastAsia" w:hint="eastAsia"/>
        </w:rPr>
        <w:t>其市值</w:t>
      </w:r>
      <w:r w:rsidR="00AF2EE6" w:rsidRPr="004A57FA">
        <w:rPr>
          <w:rFonts w:asciiTheme="minorEastAsia" w:eastAsiaTheme="minorEastAsia" w:hAnsiTheme="minorEastAsia"/>
        </w:rPr>
        <w:t>不得超过基金资产净值的10%；</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rPr>
        <w:t>本基金与由本基金管理人管理的其他基金</w:t>
      </w:r>
      <w:r w:rsidR="00AF2EE6" w:rsidRPr="004A57FA">
        <w:rPr>
          <w:rFonts w:asciiTheme="minorEastAsia" w:eastAsiaTheme="minorEastAsia" w:hAnsiTheme="minorEastAsia" w:hint="eastAsia"/>
        </w:rPr>
        <w:t>共同</w:t>
      </w:r>
      <w:r w:rsidR="00AF2EE6" w:rsidRPr="004A57FA">
        <w:rPr>
          <w:rFonts w:asciiTheme="minorEastAsia" w:eastAsiaTheme="minorEastAsia" w:hAnsiTheme="minorEastAsia"/>
        </w:rPr>
        <w:t>持有一家公司发行的证券，不得超过该证券的10%；</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本基金进入全国银行间同业市场进行债券回购的资金余额不得超过基金资产净值的40%</w:t>
      </w:r>
      <w:r w:rsidR="00AF2EE6" w:rsidRPr="004A57FA">
        <w:rPr>
          <w:rFonts w:asciiTheme="minorEastAsia" w:eastAsiaTheme="minorEastAsia" w:hAnsiTheme="minorEastAsia"/>
        </w:rPr>
        <w:t>；</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本基金持有的现金和到期日在一年以内的政府债券为基金资产净值5%以上</w:t>
      </w:r>
      <w:r w:rsidR="002E2C5D" w:rsidRPr="004A57FA">
        <w:rPr>
          <w:rFonts w:asciiTheme="minorEastAsia" w:eastAsiaTheme="minorEastAsia" w:hAnsiTheme="minorEastAsia" w:hint="eastAsia"/>
        </w:rPr>
        <w:t>，现金不包括结算备付金、存出保证金、应收申购款等</w:t>
      </w:r>
      <w:r w:rsidR="00AF2EE6" w:rsidRPr="004A57FA">
        <w:rPr>
          <w:rFonts w:asciiTheme="minorEastAsia" w:eastAsiaTheme="minorEastAsia" w:hAnsiTheme="minorEastAsia" w:hint="eastAsia"/>
        </w:rPr>
        <w:t>；</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hint="eastAsia"/>
        </w:rPr>
        <w:t>本基金不得违反《基金合同》关于投资范围、投资策略和投资比例的约定；</w:t>
      </w:r>
    </w:p>
    <w:p w:rsidR="00AF2EE6" w:rsidRPr="004A57FA" w:rsidRDefault="00572734"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6、</w:t>
      </w:r>
      <w:r w:rsidR="00AF2EE6" w:rsidRPr="004A57FA">
        <w:rPr>
          <w:rFonts w:asciiTheme="minorEastAsia" w:eastAsiaTheme="minorEastAsia" w:hAnsiTheme="minorEastAsia" w:hint="eastAsia"/>
        </w:rPr>
        <w:t>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7、</w:t>
      </w:r>
      <w:r w:rsidR="00AF2EE6" w:rsidRPr="004A57FA">
        <w:rPr>
          <w:rFonts w:asciiTheme="minorEastAsia" w:eastAsiaTheme="minorEastAsia" w:hAnsiTheme="minorEastAsia" w:hint="eastAsia"/>
        </w:rPr>
        <w:t>基金财产参与股票发行申购，本基金所申报的金额不得超过本基金的总资产，所申报的股票数量不得超过拟发行股票公司本次发行股票的总量；</w:t>
      </w:r>
    </w:p>
    <w:p w:rsidR="002E2C5D"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8、</w:t>
      </w:r>
      <w:r w:rsidR="002E2C5D" w:rsidRPr="004A57FA">
        <w:rPr>
          <w:rFonts w:asciiTheme="minorEastAsia" w:eastAsiaTheme="minorEastAsia" w:hAnsiTheme="minorEastAsia" w:hint="eastAsia"/>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2E2C5D" w:rsidRPr="004A57FA" w:rsidRDefault="002E2C5D" w:rsidP="002E2C5D">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9、本基金主动投资于流动性受限资产的市值合计不得超过该基金资产净值的15%。</w:t>
      </w:r>
    </w:p>
    <w:p w:rsidR="002E2C5D" w:rsidRPr="004A57FA" w:rsidRDefault="002E2C5D" w:rsidP="002E2C5D">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C11497" w:rsidRPr="004A57FA" w:rsidRDefault="002E2C5D" w:rsidP="00C1149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rPr>
        <w:t>10、</w:t>
      </w:r>
      <w:r w:rsidRPr="004A57FA">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2E2C5D" w:rsidRPr="004A57FA" w:rsidRDefault="00C11497" w:rsidP="00C1149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11、本基金投资存托凭证的比例限制依照境内上市交易的股票执行，与境内上市交易的股票合并计算；</w:t>
      </w:r>
    </w:p>
    <w:p w:rsidR="00AF2EE6" w:rsidRPr="004A57FA" w:rsidRDefault="002E2C5D"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1</w:t>
      </w:r>
      <w:r w:rsidR="00C11497" w:rsidRPr="004A57FA">
        <w:rPr>
          <w:rFonts w:asciiTheme="minorEastAsia" w:eastAsiaTheme="minorEastAsia" w:hAnsiTheme="minorEastAsia"/>
        </w:rPr>
        <w:t>2</w:t>
      </w:r>
      <w:r w:rsidRPr="004A57FA">
        <w:rPr>
          <w:rFonts w:asciiTheme="minorEastAsia" w:eastAsiaTheme="minorEastAsia" w:hAnsiTheme="minorEastAsia"/>
        </w:rPr>
        <w:t>、</w:t>
      </w:r>
      <w:r w:rsidR="00AF2EE6" w:rsidRPr="004A57FA">
        <w:rPr>
          <w:rFonts w:asciiTheme="minorEastAsia" w:eastAsiaTheme="minorEastAsia" w:hAnsiTheme="minorEastAsia" w:hint="eastAsia"/>
        </w:rPr>
        <w:t>相关法律法规以及监管部门规定的其它投资限制。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w:t>
      </w:r>
      <w:r w:rsidRPr="004A57FA">
        <w:rPr>
          <w:rFonts w:asciiTheme="minorEastAsia" w:eastAsiaTheme="minorEastAsia" w:hAnsiTheme="minorEastAsia"/>
          <w:szCs w:val="21"/>
        </w:rPr>
        <w:t>法律法规或监管部门</w:t>
      </w:r>
      <w:r w:rsidRPr="004A57FA">
        <w:rPr>
          <w:rFonts w:asciiTheme="minorEastAsia" w:eastAsiaTheme="minorEastAsia" w:hAnsiTheme="minorEastAsia" w:hint="eastAsia"/>
          <w:szCs w:val="21"/>
        </w:rPr>
        <w:t>取消上述限制性规定，履行适当程序后，本基金不受上述规定的限制</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b/>
          <w:bCs/>
          <w:szCs w:val="21"/>
        </w:rPr>
      </w:pPr>
      <w:r w:rsidRPr="004A57FA">
        <w:rPr>
          <w:rFonts w:asciiTheme="minorEastAsia" w:eastAsiaTheme="minorEastAsia" w:hAnsiTheme="minorEastAsia" w:hint="eastAsia"/>
          <w:kern w:val="0"/>
          <w:szCs w:val="21"/>
        </w:rPr>
        <w:t>基金管理人应当自基金合同生效之日起三个月内使基金的投资组合比例符合基金合同的约定。</w:t>
      </w:r>
      <w:r w:rsidR="002E2C5D" w:rsidRPr="004A57FA">
        <w:rPr>
          <w:rFonts w:asciiTheme="minorEastAsia" w:eastAsiaTheme="minorEastAsia" w:hAnsiTheme="minorEastAsia" w:hint="eastAsia"/>
          <w:kern w:val="0"/>
          <w:szCs w:val="21"/>
        </w:rPr>
        <w:t>除上述4、7、9、10以外，</w:t>
      </w:r>
      <w:r w:rsidRPr="004A57FA">
        <w:rPr>
          <w:rFonts w:asciiTheme="minorEastAsia" w:eastAsiaTheme="minorEastAsia" w:hAnsiTheme="minorEastAsia"/>
          <w:szCs w:val="21"/>
        </w:rPr>
        <w:t>由于</w:t>
      </w:r>
      <w:r w:rsidRPr="004A57FA">
        <w:rPr>
          <w:rFonts w:asciiTheme="minorEastAsia" w:eastAsiaTheme="minorEastAsia" w:hAnsiTheme="minorEastAsia" w:hint="eastAsia"/>
          <w:szCs w:val="21"/>
        </w:rPr>
        <w:t>证券市场波动、上市公司合并</w:t>
      </w:r>
      <w:r w:rsidRPr="004A57FA">
        <w:rPr>
          <w:rFonts w:asciiTheme="minorEastAsia" w:eastAsiaTheme="minorEastAsia" w:hAnsiTheme="minorEastAsia"/>
          <w:szCs w:val="21"/>
        </w:rPr>
        <w:t>或</w:t>
      </w:r>
      <w:r w:rsidRPr="004A57FA">
        <w:rPr>
          <w:rFonts w:asciiTheme="minorEastAsia" w:eastAsiaTheme="minorEastAsia" w:hAnsiTheme="minorEastAsia" w:hint="eastAsia"/>
          <w:szCs w:val="21"/>
        </w:rPr>
        <w:t>基金规模变动等基</w:t>
      </w:r>
      <w:r w:rsidRPr="004A57FA">
        <w:rPr>
          <w:rFonts w:asciiTheme="minorEastAsia" w:eastAsiaTheme="minorEastAsia" w:hAnsiTheme="minorEastAsia" w:hint="eastAsia"/>
          <w:szCs w:val="21"/>
        </w:rPr>
        <w:lastRenderedPageBreak/>
        <w:t>金管理人之外的原因</w:t>
      </w:r>
      <w:r w:rsidRPr="004A57FA">
        <w:rPr>
          <w:rFonts w:asciiTheme="minorEastAsia" w:eastAsiaTheme="minorEastAsia" w:hAnsiTheme="minorEastAsia"/>
          <w:szCs w:val="21"/>
        </w:rPr>
        <w:t>导致的投资组合</w:t>
      </w:r>
      <w:r w:rsidRPr="004A57FA">
        <w:rPr>
          <w:rFonts w:asciiTheme="minorEastAsia" w:eastAsiaTheme="minorEastAsia" w:hAnsiTheme="minorEastAsia" w:hint="eastAsia"/>
          <w:szCs w:val="21"/>
        </w:rPr>
        <w:t>不符合</w:t>
      </w:r>
      <w:r w:rsidRPr="004A57FA">
        <w:rPr>
          <w:rFonts w:asciiTheme="minorEastAsia" w:eastAsiaTheme="minorEastAsia" w:hAnsiTheme="minorEastAsia"/>
          <w:szCs w:val="21"/>
        </w:rPr>
        <w:t>上述约定的比例不在限制之内，但基金管理人应在</w:t>
      </w:r>
      <w:r w:rsidRPr="004A57FA">
        <w:rPr>
          <w:rFonts w:asciiTheme="minorEastAsia" w:eastAsiaTheme="minorEastAsia" w:hAnsiTheme="minorEastAsia" w:hint="eastAsia"/>
          <w:szCs w:val="21"/>
        </w:rPr>
        <w:t>10个交易日</w:t>
      </w:r>
      <w:r w:rsidRPr="004A57FA">
        <w:rPr>
          <w:rFonts w:asciiTheme="minorEastAsia" w:eastAsiaTheme="minorEastAsia" w:hAnsiTheme="minorEastAsia"/>
          <w:szCs w:val="21"/>
        </w:rPr>
        <w:t>内进行调整，以达到标准</w:t>
      </w:r>
      <w:r w:rsidRPr="004A57FA">
        <w:rPr>
          <w:rFonts w:asciiTheme="minorEastAsia" w:eastAsiaTheme="minorEastAsia" w:hAnsiTheme="minorEastAsia" w:hint="eastAsia"/>
          <w:szCs w:val="21"/>
        </w:rPr>
        <w:t>。法律法规另有规定的从其规定。</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rPr>
      </w:pPr>
      <w:bookmarkStart w:id="172" w:name="_Toc81231019"/>
      <w:r w:rsidRPr="004A57FA">
        <w:rPr>
          <w:rFonts w:asciiTheme="minorEastAsia" w:eastAsiaTheme="minorEastAsia" w:hAnsiTheme="minorEastAsia" w:hint="eastAsia"/>
          <w:b w:val="0"/>
          <w:bCs/>
        </w:rPr>
        <w:t>（九）</w:t>
      </w:r>
      <w:bookmarkStart w:id="173" w:name="_Toc52310854"/>
      <w:r w:rsidRPr="004A57FA">
        <w:rPr>
          <w:rFonts w:asciiTheme="minorEastAsia" w:eastAsiaTheme="minorEastAsia" w:hAnsiTheme="minorEastAsia" w:hint="eastAsia"/>
          <w:b w:val="0"/>
          <w:bCs/>
        </w:rPr>
        <w:t>禁止行为</w:t>
      </w:r>
      <w:bookmarkEnd w:id="172"/>
      <w:bookmarkEnd w:id="173"/>
    </w:p>
    <w:p w:rsidR="00AF2EE6" w:rsidRPr="004A57FA" w:rsidRDefault="00AF2EE6"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为维护基金份额持有人的合法权益，本基金禁止从事下列行为：</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承销证券；</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向他人贷款或提供担保；</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rPr>
        <w:t>从事承担无限责任的投资；</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买卖其他基金份额，</w:t>
      </w:r>
      <w:r w:rsidR="00AF2EE6" w:rsidRPr="004A57FA">
        <w:rPr>
          <w:rFonts w:asciiTheme="minorEastAsia" w:eastAsiaTheme="minorEastAsia" w:hAnsiTheme="minorEastAsia" w:hint="eastAsia"/>
          <w:szCs w:val="21"/>
        </w:rPr>
        <w:t>但法律法规或中国证监会另有规定的除外</w:t>
      </w:r>
      <w:r w:rsidR="00AF2EE6" w:rsidRPr="004A57FA">
        <w:rPr>
          <w:rFonts w:asciiTheme="minorEastAsia" w:eastAsiaTheme="minorEastAsia" w:hAnsiTheme="minorEastAsia" w:hint="eastAsia"/>
        </w:rPr>
        <w:t>；</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hint="eastAsia"/>
        </w:rPr>
        <w:t>向基金管理人、基金托管人出资或者买卖其基金管理人、基金托管人发行的股票或债券；</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6、</w:t>
      </w:r>
      <w:r w:rsidR="00AF2EE6" w:rsidRPr="004A57FA">
        <w:rPr>
          <w:rFonts w:asciiTheme="minorEastAsia" w:eastAsiaTheme="minorEastAsia" w:hAnsiTheme="minorEastAsia" w:hint="eastAsia"/>
        </w:rPr>
        <w:t>买卖与基金管理人、基金托管人有控股关系的股东或者与基金管理人、基金托管人有其他重大利害关系的公司发行的证券或者承销期内承销的证券；</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7、</w:t>
      </w:r>
      <w:r w:rsidR="00AF2EE6" w:rsidRPr="004A57FA">
        <w:rPr>
          <w:rFonts w:asciiTheme="minorEastAsia" w:eastAsiaTheme="minorEastAsia" w:hAnsiTheme="minorEastAsia" w:hint="eastAsia"/>
        </w:rPr>
        <w:t>从事内幕交易、操纵证券价格及其他不正当的证券交易活动；</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8、</w:t>
      </w:r>
      <w:r w:rsidR="00AF2EE6" w:rsidRPr="004A57FA">
        <w:rPr>
          <w:rFonts w:asciiTheme="minorEastAsia" w:eastAsiaTheme="minorEastAsia" w:hAnsiTheme="minorEastAsia" w:hint="eastAsia"/>
        </w:rPr>
        <w:t>当时有效的法律法规、中国证监会及《基金合同》规定禁止从事的其他行为。</w:t>
      </w:r>
    </w:p>
    <w:p w:rsidR="00AF2EE6" w:rsidRPr="004A57FA" w:rsidRDefault="00AF2EE6" w:rsidP="00C53017">
      <w:pPr>
        <w:snapToGrid w:val="0"/>
        <w:spacing w:line="360" w:lineRule="auto"/>
        <w:ind w:firstLineChars="202" w:firstLine="424"/>
        <w:rPr>
          <w:rFonts w:asciiTheme="minorEastAsia" w:eastAsiaTheme="minorEastAsia" w:hAnsiTheme="minorEastAsia"/>
          <w:szCs w:val="21"/>
        </w:rPr>
      </w:pPr>
      <w:r w:rsidRPr="004A57FA">
        <w:rPr>
          <w:rFonts w:asciiTheme="minorEastAsia" w:eastAsiaTheme="minorEastAsia" w:hAnsiTheme="minorEastAsia" w:hint="eastAsia"/>
        </w:rPr>
        <w:t>如</w:t>
      </w:r>
      <w:r w:rsidRPr="004A57FA">
        <w:rPr>
          <w:rFonts w:asciiTheme="minorEastAsia" w:eastAsiaTheme="minorEastAsia" w:hAnsiTheme="minorEastAsia"/>
        </w:rPr>
        <w:t>法律法规或监管部门</w:t>
      </w:r>
      <w:r w:rsidRPr="004A57FA">
        <w:rPr>
          <w:rFonts w:asciiTheme="minorEastAsia" w:eastAsiaTheme="minorEastAsia" w:hAnsiTheme="minorEastAsia" w:hint="eastAsia"/>
        </w:rPr>
        <w:t>取消上述禁止性规定，本基金管理人在履行适当程序后可不受上述规定的限制</w:t>
      </w:r>
      <w:r w:rsidRPr="004A57FA">
        <w:rPr>
          <w:rFonts w:asciiTheme="minorEastAsia" w:eastAsiaTheme="minorEastAsia" w:hAnsiTheme="minorEastAsia"/>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74" w:name="_Toc81231020"/>
      <w:r w:rsidRPr="004A57FA">
        <w:rPr>
          <w:rFonts w:asciiTheme="minorEastAsia" w:eastAsiaTheme="minorEastAsia" w:hAnsiTheme="minorEastAsia" w:hint="eastAsia"/>
          <w:b w:val="0"/>
          <w:bCs/>
        </w:rPr>
        <w:t>（十）</w:t>
      </w:r>
      <w:r w:rsidRPr="004A57FA">
        <w:rPr>
          <w:rFonts w:asciiTheme="minorEastAsia" w:eastAsiaTheme="minorEastAsia" w:hAnsiTheme="minorEastAsia" w:hint="eastAsia"/>
          <w:b w:val="0"/>
          <w:bCs/>
          <w:spacing w:val="-6"/>
        </w:rPr>
        <w:t>基金管理人代表基金行使所投资证券产生权利的处理原则及方法</w:t>
      </w:r>
      <w:bookmarkEnd w:id="174"/>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rPr>
        <w:t>不谋求对上市公司的控股，不参与所投资上市公司的经营管理；</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rPr>
        <w:t>有利于基金资产的安全与增值；</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基金管理人按照国家有关规定代表基金独立行使股东权利，保护基金份额持有人的利益。</w:t>
      </w:r>
    </w:p>
    <w:p w:rsidR="00AF2EE6" w:rsidRPr="004A57FA" w:rsidRDefault="00572734" w:rsidP="00C53017">
      <w:pPr>
        <w:snapToGrid w:val="0"/>
        <w:spacing w:line="360" w:lineRule="auto"/>
        <w:ind w:firstLineChars="202" w:firstLine="424"/>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基金管理人按照国家有关规定代表基金独立行使债权人权利，保护基金份额持有人的利益。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75" w:name="_Toc81231021"/>
      <w:r w:rsidRPr="004A57FA">
        <w:rPr>
          <w:rFonts w:asciiTheme="minorEastAsia" w:eastAsiaTheme="minorEastAsia" w:hAnsiTheme="minorEastAsia" w:hint="eastAsia"/>
          <w:b w:val="0"/>
          <w:bCs/>
        </w:rPr>
        <w:t>（十</w:t>
      </w:r>
      <w:r w:rsidRPr="004A57FA">
        <w:rPr>
          <w:rFonts w:asciiTheme="minorEastAsia" w:eastAsiaTheme="minorEastAsia" w:hAnsiTheme="minorEastAsia" w:hint="eastAsia"/>
          <w:b w:val="0"/>
        </w:rPr>
        <w:t>一</w:t>
      </w:r>
      <w:r w:rsidRPr="004A57FA">
        <w:rPr>
          <w:rFonts w:asciiTheme="minorEastAsia" w:eastAsiaTheme="minorEastAsia" w:hAnsiTheme="minorEastAsia" w:hint="eastAsia"/>
          <w:b w:val="0"/>
          <w:bCs/>
        </w:rPr>
        <w:t>）基金的融资融券</w:t>
      </w:r>
      <w:bookmarkEnd w:id="175"/>
    </w:p>
    <w:p w:rsidR="00AF2EE6" w:rsidRPr="004A57FA" w:rsidRDefault="00AF2EE6" w:rsidP="00C53017">
      <w:pPr>
        <w:pStyle w:val="CharCharCharCharCharCharChar"/>
        <w:numPr>
          <w:ilvl w:val="0"/>
          <w:numId w:val="0"/>
        </w:numPr>
        <w:snapToGrid w:val="0"/>
        <w:spacing w:after="0" w:line="360" w:lineRule="auto"/>
        <w:ind w:firstLine="320"/>
        <w:rPr>
          <w:rFonts w:asciiTheme="minorEastAsia" w:eastAsiaTheme="minorEastAsia" w:hAnsiTheme="minorEastAsia"/>
          <w:sz w:val="21"/>
          <w:szCs w:val="21"/>
        </w:rPr>
      </w:pPr>
      <w:r w:rsidRPr="004A57FA">
        <w:rPr>
          <w:rFonts w:asciiTheme="minorEastAsia" w:eastAsiaTheme="minorEastAsia" w:hAnsiTheme="minorEastAsia" w:hint="eastAsia"/>
          <w:sz w:val="21"/>
          <w:szCs w:val="21"/>
        </w:rPr>
        <w:t>本基金可以根据届时有效的有关法律法规和政策的规定进行融资融券。</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176" w:name="_Toc81231022"/>
      <w:r w:rsidRPr="004A57FA">
        <w:rPr>
          <w:rFonts w:asciiTheme="minorEastAsia" w:eastAsiaTheme="minorEastAsia" w:hAnsiTheme="minorEastAsia" w:hint="eastAsia"/>
          <w:b w:val="0"/>
          <w:bCs/>
        </w:rPr>
        <w:t>（十</w:t>
      </w:r>
      <w:r w:rsidRPr="004A57FA">
        <w:rPr>
          <w:rFonts w:asciiTheme="minorEastAsia" w:eastAsiaTheme="minorEastAsia" w:hAnsiTheme="minorEastAsia" w:hint="eastAsia"/>
          <w:b w:val="0"/>
        </w:rPr>
        <w:t>二</w:t>
      </w:r>
      <w:r w:rsidRPr="004A57FA">
        <w:rPr>
          <w:rFonts w:asciiTheme="minorEastAsia" w:eastAsiaTheme="minorEastAsia" w:hAnsiTheme="minorEastAsia" w:hint="eastAsia"/>
          <w:b w:val="0"/>
          <w:bCs/>
        </w:rPr>
        <w:t>）基金投资组合报告（未经审计）</w:t>
      </w:r>
      <w:bookmarkEnd w:id="176"/>
    </w:p>
    <w:p w:rsidR="00AF2EE6" w:rsidRPr="004A57FA" w:rsidRDefault="00AF2EE6" w:rsidP="00C53017">
      <w:pPr>
        <w:pStyle w:val="af4"/>
        <w:snapToGrid w:val="0"/>
        <w:spacing w:line="360" w:lineRule="auto"/>
        <w:ind w:firstLineChars="200" w:firstLine="420"/>
        <w:rPr>
          <w:rFonts w:asciiTheme="minorEastAsia" w:eastAsiaTheme="minorEastAsia" w:hAnsiTheme="minorEastAsia"/>
          <w:sz w:val="21"/>
          <w:szCs w:val="21"/>
        </w:rPr>
      </w:pPr>
      <w:r w:rsidRPr="004A57FA">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AF2EE6" w:rsidRPr="004A57FA" w:rsidRDefault="00AF2EE6" w:rsidP="00C53017">
      <w:pPr>
        <w:pStyle w:val="af4"/>
        <w:snapToGrid w:val="0"/>
        <w:spacing w:line="360" w:lineRule="auto"/>
        <w:ind w:firstLineChars="200" w:firstLine="420"/>
        <w:rPr>
          <w:rFonts w:asciiTheme="minorEastAsia" w:eastAsiaTheme="minorEastAsia" w:hAnsiTheme="minorEastAsia"/>
          <w:sz w:val="21"/>
          <w:szCs w:val="21"/>
        </w:rPr>
      </w:pPr>
      <w:r w:rsidRPr="004A57FA">
        <w:rPr>
          <w:rFonts w:asciiTheme="minorEastAsia" w:eastAsiaTheme="minorEastAsia" w:hAnsiTheme="minorEastAsia" w:hint="eastAsia"/>
          <w:sz w:val="21"/>
          <w:szCs w:val="21"/>
        </w:rPr>
        <w:t>本基金的托管人中国工商银行股份有限公司根据本基金合同的规定，复核了本报告的内容，保证复核内容不存在虚假记载、误导性陈述或者重大遗漏。</w:t>
      </w:r>
    </w:p>
    <w:p w:rsidR="00AF2EE6" w:rsidRPr="004A57FA" w:rsidRDefault="00195415" w:rsidP="00C53017">
      <w:pPr>
        <w:pStyle w:val="af4"/>
        <w:snapToGrid w:val="0"/>
        <w:spacing w:line="360" w:lineRule="auto"/>
        <w:ind w:firstLineChars="200" w:firstLine="420"/>
        <w:rPr>
          <w:rFonts w:asciiTheme="minorEastAsia" w:eastAsiaTheme="minorEastAsia" w:hAnsiTheme="minorEastAsia"/>
          <w:sz w:val="21"/>
          <w:szCs w:val="21"/>
        </w:rPr>
      </w:pPr>
      <w:r>
        <w:rPr>
          <w:sz w:val="21"/>
        </w:rPr>
        <w:t>本投资组合报告有关数据的期间为</w:t>
      </w:r>
      <w:r>
        <w:rPr>
          <w:sz w:val="21"/>
        </w:rPr>
        <w:t>2021</w:t>
      </w:r>
      <w:r>
        <w:rPr>
          <w:sz w:val="21"/>
        </w:rPr>
        <w:t>年</w:t>
      </w:r>
      <w:r>
        <w:rPr>
          <w:sz w:val="21"/>
        </w:rPr>
        <w:t>4</w:t>
      </w:r>
      <w:r>
        <w:rPr>
          <w:sz w:val="21"/>
        </w:rPr>
        <w:t>月</w:t>
      </w:r>
      <w:r>
        <w:rPr>
          <w:sz w:val="21"/>
        </w:rPr>
        <w:t>1</w:t>
      </w:r>
      <w:r>
        <w:rPr>
          <w:sz w:val="21"/>
        </w:rPr>
        <w:t>日至</w:t>
      </w:r>
      <w:r>
        <w:rPr>
          <w:sz w:val="21"/>
        </w:rPr>
        <w:t>2021</w:t>
      </w:r>
      <w:r>
        <w:rPr>
          <w:sz w:val="21"/>
        </w:rPr>
        <w:t>年</w:t>
      </w:r>
      <w:r>
        <w:rPr>
          <w:sz w:val="21"/>
        </w:rPr>
        <w:t>6</w:t>
      </w:r>
      <w:r>
        <w:rPr>
          <w:sz w:val="21"/>
        </w:rPr>
        <w:t>月</w:t>
      </w:r>
      <w:r>
        <w:rPr>
          <w:sz w:val="21"/>
        </w:rPr>
        <w:t>30</w:t>
      </w:r>
      <w:r>
        <w:rPr>
          <w:sz w:val="21"/>
        </w:rPr>
        <w:t>日。</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1、报告期末基金资产组合情况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占基金总资产的</w:t>
            </w:r>
            <w:r>
              <w:rPr>
                <w:color w:val="000000"/>
                <w:kern w:val="0"/>
              </w:rPr>
              <w:lastRenderedPageBreak/>
              <w:t>比例（</w:t>
            </w:r>
            <w:r>
              <w:rPr>
                <w:color w:val="000000"/>
                <w:kern w:val="0"/>
              </w:rPr>
              <w:t>%</w:t>
            </w: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lastRenderedPageBreak/>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4,757,347,437.46</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91.93</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673FF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4,757,347,437.46</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91.93</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1,786,800.00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0.03</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673FF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1,786,800.00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0.03</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673FF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tcPr>
          <w:p w:rsidR="00673FF9" w:rsidRDefault="00D61F4E">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673FF9" w:rsidRDefault="00D61F4E">
            <w:pPr>
              <w:ind w:leftChars="50" w:left="105"/>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673FF9">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377,945,080.25</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color w:val="000000"/>
                <w:kern w:val="0"/>
                <w:sz w:val="24"/>
              </w:rPr>
            </w:pPr>
            <w:r>
              <w:rPr>
                <w:color w:val="000000"/>
                <w:kern w:val="0"/>
              </w:rPr>
              <w:t>7.30</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color w:val="000000"/>
                <w:kern w:val="0"/>
                <w:sz w:val="24"/>
              </w:rPr>
            </w:pPr>
            <w:r>
              <w:rPr>
                <w:color w:val="000000"/>
                <w:kern w:val="0"/>
              </w:rPr>
              <w:t>37,609,346.81</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color w:val="000000"/>
                <w:kern w:val="0"/>
                <w:sz w:val="24"/>
              </w:rPr>
            </w:pPr>
            <w:r>
              <w:rPr>
                <w:color w:val="000000"/>
                <w:kern w:val="0"/>
              </w:rPr>
              <w:t>0.73</w:t>
            </w:r>
          </w:p>
        </w:tc>
      </w:tr>
      <w:tr w:rsidR="00673FF9">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color w:val="000000"/>
                <w:kern w:val="0"/>
                <w:sz w:val="24"/>
              </w:rPr>
            </w:pPr>
            <w:r>
              <w:rPr>
                <w:color w:val="000000"/>
                <w:kern w:val="0"/>
              </w:rPr>
              <w:t>5,174,688,664.52</w:t>
            </w:r>
          </w:p>
        </w:tc>
        <w:tc>
          <w:tcPr>
            <w:tcW w:w="1843"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color w:val="000000"/>
                <w:kern w:val="0"/>
                <w:sz w:val="24"/>
              </w:rPr>
            </w:pPr>
            <w:r>
              <w:rPr>
                <w:color w:val="000000"/>
                <w:kern w:val="0"/>
              </w:rPr>
              <w:t>100.00</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2、报告期末按行业分类的股票投资组合</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544"/>
        <w:gridCol w:w="2977"/>
        <w:gridCol w:w="1559"/>
      </w:tblGrid>
      <w:tr w:rsidR="00673FF9">
        <w:trPr>
          <w:trHeight w:val="390"/>
        </w:trPr>
        <w:tc>
          <w:tcPr>
            <w:tcW w:w="709" w:type="dxa"/>
            <w:tcBorders>
              <w:top w:val="single" w:sz="0" w:space="0" w:color="000000"/>
              <w:left w:val="single" w:sz="0" w:space="0" w:color="000000"/>
              <w:bottom w:val="single" w:sz="0" w:space="0" w:color="000000"/>
              <w:right w:val="single" w:sz="0" w:space="0" w:color="000000"/>
            </w:tcBorders>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代码</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行业类别</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占基金资产净值比例（％）</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A</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农、林、牧、渔业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5,439.50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0.00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B</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采矿业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p w:rsidR="00673FF9" w:rsidRDefault="00673FF9">
            <w:pPr>
              <w:jc w:val="right"/>
              <w:rPr>
                <w:rFonts w:eastAsiaTheme="minorEastAsia"/>
                <w:color w:val="000000" w:themeColor="text1"/>
                <w:kern w:val="0"/>
                <w:sz w:val="24"/>
              </w:rPr>
            </w:pP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p w:rsidR="00673FF9" w:rsidRDefault="00673FF9">
            <w:pPr>
              <w:jc w:val="right"/>
              <w:rPr>
                <w:rFonts w:eastAsiaTheme="minorEastAsia"/>
                <w:color w:val="000000" w:themeColor="text1"/>
                <w:kern w:val="0"/>
                <w:sz w:val="24"/>
              </w:rPr>
            </w:pP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C</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制造业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4,249,142,213.89</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83.27</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D</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电力、热力、燃气及水生产和供应业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5,151,678.21</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0.10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E</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建筑业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25,371.37</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0.00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F</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批发和零售业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82,472.34</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0.00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G</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交通运输、仓储和邮政业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412,075,520.04</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8.08</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H</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住宿和餐饮业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I</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信息传输、软件和信息技术服务业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90,793,748.68</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1.78</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J</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金融业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34,721.10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0.00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K</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房地产业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L</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租赁和商务服务业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M</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科学研究和技术服务业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N</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水利、环境和公共设施管理业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36,272.33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0.00</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O</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居民服务、修理和其他服务业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P</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教育</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Q</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卫生和社会工作</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R</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文化、体育和娱乐业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jc w:val="center"/>
              <w:rPr>
                <w:rFonts w:eastAsiaTheme="minorEastAsia"/>
                <w:color w:val="000000" w:themeColor="text1"/>
                <w:kern w:val="0"/>
                <w:sz w:val="24"/>
              </w:rPr>
            </w:pPr>
            <w:r>
              <w:rPr>
                <w:rFonts w:eastAsiaTheme="minorEastAsia"/>
                <w:color w:val="000000" w:themeColor="text1"/>
                <w:kern w:val="0"/>
              </w:rPr>
              <w:t>S</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综合</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w:t>
            </w:r>
          </w:p>
        </w:tc>
      </w:tr>
      <w:tr w:rsidR="00673FF9">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673FF9">
            <w:pPr>
              <w:adjustRightInd w:val="0"/>
              <w:snapToGrid w:val="0"/>
              <w:jc w:val="center"/>
              <w:rPr>
                <w:rFonts w:eastAsiaTheme="minorEastAsia"/>
                <w:color w:val="000000" w:themeColor="text1"/>
                <w:kern w:val="0"/>
                <w:sz w:val="24"/>
              </w:rPr>
            </w:pP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adjustRightInd w:val="0"/>
              <w:snapToGrid w:val="0"/>
              <w:rPr>
                <w:rFonts w:eastAsiaTheme="minorEastAsia"/>
                <w:color w:val="000000" w:themeColor="text1"/>
                <w:kern w:val="0"/>
                <w:sz w:val="24"/>
              </w:rPr>
            </w:pPr>
            <w:r>
              <w:rPr>
                <w:rFonts w:eastAsia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4,757,347,437.46</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73FF9" w:rsidRDefault="00D61F4E">
            <w:pPr>
              <w:jc w:val="right"/>
              <w:rPr>
                <w:rFonts w:eastAsiaTheme="minorEastAsia"/>
                <w:color w:val="000000" w:themeColor="text1"/>
                <w:kern w:val="0"/>
                <w:sz w:val="24"/>
              </w:rPr>
            </w:pPr>
            <w:r>
              <w:rPr>
                <w:rFonts w:eastAsiaTheme="minorEastAsia"/>
                <w:color w:val="000000" w:themeColor="text1"/>
                <w:kern w:val="0"/>
              </w:rPr>
              <w:t>93.23</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3、期末按公允价值占基金资产净值比例大小排序的股票投资明细</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（1）报告期末按公允价值占基金资产净值比例大小排序的前十名股票投资明细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418"/>
        <w:gridCol w:w="1701"/>
        <w:gridCol w:w="1984"/>
        <w:gridCol w:w="1559"/>
      </w:tblGrid>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7"/>
              <w:jc w:val="center"/>
              <w:rPr>
                <w:color w:val="000000"/>
                <w:kern w:val="0"/>
                <w:sz w:val="24"/>
              </w:rPr>
            </w:pPr>
            <w:r>
              <w:rPr>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占基金资产净</w:t>
            </w:r>
            <w:r>
              <w:rPr>
                <w:color w:val="000000"/>
                <w:kern w:val="0"/>
              </w:rPr>
              <w:lastRenderedPageBreak/>
              <w:t>值比例（％）</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lastRenderedPageBreak/>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000858</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五粮液</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1,561,767</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465,234,771.63</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9.12</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603128</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华贸物流</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29,245,956</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412,075,520.04</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8.08</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603799</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华友钴业</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3,154,762</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356,567,867.48</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6.99</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600438</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通威股份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8,117,687</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351,252,316.49</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6.88</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300476</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胜宏科技</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15,005,511</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327,870,415.35</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6.43</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300014</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亿纬锂能</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311,790,000.00</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6.11</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600196</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复星医药</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2,683,722</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193,576,867.86</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3.79</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000650</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仁和药业</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15,000,000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163,800,000.00</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3.21</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300750</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宁德时代</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290,000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155,092,000.00</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3.04</w:t>
            </w:r>
          </w:p>
        </w:tc>
      </w:tr>
      <w:tr w:rsidR="00673FF9">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000403</w:t>
            </w:r>
          </w:p>
        </w:tc>
        <w:tc>
          <w:tcPr>
            <w:tcW w:w="1418"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派林生物</w:t>
            </w:r>
          </w:p>
        </w:tc>
        <w:tc>
          <w:tcPr>
            <w:tcW w:w="1701"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4,853,994</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150,522,238.99</w:t>
            </w:r>
          </w:p>
        </w:tc>
        <w:tc>
          <w:tcPr>
            <w:tcW w:w="15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2.95</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4、报告期末按债券品种分类的债券投资组合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949"/>
        <w:gridCol w:w="1729"/>
      </w:tblGrid>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673FF9">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1,786,800.00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0.04</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w:t>
            </w:r>
          </w:p>
        </w:tc>
      </w:tr>
      <w:tr w:rsidR="00673FF9">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left"/>
              <w:rPr>
                <w:rFonts w:eastAsiaTheme="minorEastAsia"/>
                <w:color w:val="000000" w:themeColor="text1"/>
                <w:sz w:val="24"/>
              </w:rPr>
            </w:pPr>
            <w:r>
              <w:rPr>
                <w:rFonts w:eastAsia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1,786,800.00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right"/>
              <w:rPr>
                <w:rFonts w:eastAsiaTheme="minorEastAsia"/>
                <w:color w:val="000000" w:themeColor="text1"/>
                <w:sz w:val="24"/>
              </w:rPr>
            </w:pPr>
            <w:r>
              <w:rPr>
                <w:rFonts w:eastAsiaTheme="minorEastAsia"/>
                <w:color w:val="000000" w:themeColor="text1"/>
              </w:rPr>
              <w:t>0.04</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5、报告期末按公允价值占基金资产净值比例大小排序的前五名债券投资明细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560"/>
        <w:gridCol w:w="1984"/>
        <w:gridCol w:w="1474"/>
      </w:tblGrid>
      <w:tr w:rsidR="00673FF9">
        <w:tc>
          <w:tcPr>
            <w:tcW w:w="959"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673FF9" w:rsidRDefault="00D61F4E">
            <w:pPr>
              <w:ind w:left="17"/>
              <w:jc w:val="center"/>
              <w:rPr>
                <w:color w:val="000000"/>
                <w:kern w:val="0"/>
                <w:sz w:val="24"/>
              </w:rPr>
            </w:pPr>
            <w:r>
              <w:rPr>
                <w:color w:val="000000"/>
                <w:kern w:val="0"/>
              </w:rPr>
              <w:t>占基金资产净值比例（％）</w:t>
            </w:r>
          </w:p>
        </w:tc>
      </w:tr>
      <w:tr w:rsidR="00673FF9">
        <w:tc>
          <w:tcPr>
            <w:tcW w:w="959"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127038</w:t>
            </w:r>
          </w:p>
        </w:tc>
        <w:tc>
          <w:tcPr>
            <w:tcW w:w="1275"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center"/>
            </w:pPr>
            <w:r>
              <w:rPr>
                <w:color w:val="000000"/>
                <w:kern w:val="0"/>
              </w:rPr>
              <w:t>国微转债</w:t>
            </w:r>
          </w:p>
        </w:tc>
        <w:tc>
          <w:tcPr>
            <w:tcW w:w="1560"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17,868</w:t>
            </w:r>
          </w:p>
        </w:tc>
        <w:tc>
          <w:tcPr>
            <w:tcW w:w="198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1,786,800.00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673FF9" w:rsidRDefault="00D61F4E">
            <w:pPr>
              <w:jc w:val="right"/>
            </w:pPr>
            <w:r>
              <w:rPr>
                <w:color w:val="000000"/>
                <w:kern w:val="0"/>
              </w:rPr>
              <w:t>0.04</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6、报告期末按公允价值占基金资产净值比例大小排序的前十名资产支持证券投资明细</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本基金本报告期末未持有资产支持证券。</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7、报告期末按公允价值占基金资产净值比例大小排序的前五名贵金属投资明细</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本基金本报告期末未持有贵金属。</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8、报告期末按公允价值占基金资产净值比例大小排序的前五名权证投资明细</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本基金本报告期末未持有权证。</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9、报告期末本基金投资的股指期货交易情况说明</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本基金本报告期末未投资股指期货。</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10、报告期末本基金投资的国债期货交易情况说明</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本基金本报告期末未投资国债期货。</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11、投资组合报告附注</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lastRenderedPageBreak/>
        <w:t>（1）2021年2月5日，上海市交通委员会针对华贸物流不规范经营、服务的行为，予以罚款处罚。</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本基金投资华贸物流的投资决策程序符合公司投资制度的规定。</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除华贸物流外，本基金投资的前十名证券的发行主体本期没有出现被监管部门立案调查，或在报告编制日前一年内受到公开谴责、处罚的情形。</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（2）本基金投资的前十名股票没有超出基金合同规定的备选股票库。</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468"/>
        <w:gridCol w:w="4805"/>
      </w:tblGrid>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7"/>
              <w:jc w:val="center"/>
              <w:rPr>
                <w:color w:val="000000"/>
                <w:kern w:val="0"/>
                <w:sz w:val="24"/>
              </w:rPr>
            </w:pPr>
            <w:r>
              <w:rPr>
                <w:color w:val="000000"/>
                <w:kern w:val="0"/>
              </w:rPr>
              <w:t>金额（元）</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1,007,377.08</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26,934,438.69</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37,860.38</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9,629,670.66</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w:t>
            </w:r>
          </w:p>
        </w:tc>
      </w:tr>
      <w:tr w:rsidR="00673FF9">
        <w:tc>
          <w:tcPr>
            <w:tcW w:w="1235"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center"/>
              <w:rPr>
                <w:color w:val="000000"/>
                <w:kern w:val="0"/>
                <w:sz w:val="24"/>
              </w:rPr>
            </w:pPr>
            <w:r>
              <w:rPr>
                <w:color w:val="000000"/>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673FF9" w:rsidRDefault="00D61F4E">
            <w:pPr>
              <w:autoSpaceDE w:val="0"/>
              <w:autoSpaceDN w:val="0"/>
              <w:adjustRightInd w:val="0"/>
              <w:ind w:left="15"/>
              <w:jc w:val="right"/>
              <w:rPr>
                <w:color w:val="000000"/>
                <w:kern w:val="0"/>
                <w:sz w:val="24"/>
              </w:rPr>
            </w:pPr>
            <w:r>
              <w:rPr>
                <w:color w:val="000000"/>
                <w:kern w:val="0"/>
              </w:rPr>
              <w:t>37,609,346.81</w:t>
            </w:r>
          </w:p>
        </w:tc>
      </w:tr>
    </w:tbl>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（4）报告期末持有的处于转股期的可转换债券明细</w:t>
      </w:r>
    </w:p>
    <w:p w:rsidR="00673FF9" w:rsidRPr="00365A7C" w:rsidRDefault="00D61F4E" w:rsidP="00365A7C">
      <w:pPr>
        <w:pStyle w:val="af4"/>
        <w:snapToGrid w:val="0"/>
        <w:spacing w:line="360" w:lineRule="auto"/>
        <w:ind w:firstLineChars="200" w:firstLine="420"/>
        <w:rPr>
          <w:rFonts w:asciiTheme="minorEastAsia" w:eastAsiaTheme="minorEastAsia" w:hAnsiTheme="minorEastAsia"/>
          <w:sz w:val="21"/>
          <w:szCs w:val="21"/>
        </w:rPr>
      </w:pPr>
      <w:r w:rsidRPr="00365A7C">
        <w:rPr>
          <w:rFonts w:asciiTheme="minorEastAsia" w:eastAsiaTheme="minorEastAsia" w:hAnsiTheme="minorEastAsia"/>
          <w:sz w:val="21"/>
          <w:szCs w:val="21"/>
        </w:rPr>
        <w:t>本基金本报告期末未持有处于转股期的可转换债券。</w:t>
      </w:r>
    </w:p>
    <w:tbl>
      <w:tblPr>
        <w:tblpPr w:leftFromText="180" w:rightFromText="180" w:vertAnchor="text" w:horzAnchor="margin" w:tblpY="591"/>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A805DC" w:rsidTr="00A805DC">
        <w:tc>
          <w:tcPr>
            <w:tcW w:w="1083"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流通受限部分的公允价值（元）</w:t>
            </w:r>
          </w:p>
        </w:tc>
        <w:tc>
          <w:tcPr>
            <w:tcW w:w="165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占基金资产净值比例（</w:t>
            </w:r>
            <w:r>
              <w:rPr>
                <w:color w:val="000000"/>
                <w:kern w:val="0"/>
              </w:rPr>
              <w:t>%</w:t>
            </w:r>
            <w:r>
              <w:rPr>
                <w:color w:val="000000"/>
                <w:kern w:val="0"/>
              </w:rPr>
              <w:t>）</w:t>
            </w:r>
          </w:p>
        </w:tc>
        <w:tc>
          <w:tcPr>
            <w:tcW w:w="1367"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ind w:left="17"/>
              <w:jc w:val="center"/>
              <w:rPr>
                <w:color w:val="000000"/>
                <w:kern w:val="0"/>
                <w:sz w:val="24"/>
              </w:rPr>
            </w:pPr>
            <w:r>
              <w:rPr>
                <w:color w:val="000000"/>
                <w:kern w:val="0"/>
              </w:rPr>
              <w:t>流通受限情况说明</w:t>
            </w:r>
          </w:p>
        </w:tc>
      </w:tr>
      <w:tr w:rsidR="00A805DC" w:rsidTr="00A805DC">
        <w:tc>
          <w:tcPr>
            <w:tcW w:w="1083"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603799</w:t>
            </w:r>
          </w:p>
        </w:tc>
        <w:tc>
          <w:tcPr>
            <w:tcW w:w="1301"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华友钴业</w:t>
            </w:r>
          </w:p>
        </w:tc>
        <w:tc>
          <w:tcPr>
            <w:tcW w:w="180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71,067,867.48</w:t>
            </w:r>
          </w:p>
        </w:tc>
        <w:tc>
          <w:tcPr>
            <w:tcW w:w="165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1.39</w:t>
            </w:r>
          </w:p>
        </w:tc>
        <w:tc>
          <w:tcPr>
            <w:tcW w:w="1367"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非公开发行流通受限</w:t>
            </w:r>
          </w:p>
        </w:tc>
      </w:tr>
      <w:tr w:rsidR="00A805DC" w:rsidTr="00A805DC">
        <w:tc>
          <w:tcPr>
            <w:tcW w:w="1083"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2</w:t>
            </w:r>
          </w:p>
        </w:tc>
        <w:tc>
          <w:tcPr>
            <w:tcW w:w="1302"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000403</w:t>
            </w:r>
          </w:p>
        </w:tc>
        <w:tc>
          <w:tcPr>
            <w:tcW w:w="1301"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center"/>
            </w:pPr>
            <w:r>
              <w:rPr>
                <w:color w:val="000000"/>
                <w:kern w:val="0"/>
              </w:rPr>
              <w:t>派林生物</w:t>
            </w:r>
          </w:p>
        </w:tc>
        <w:tc>
          <w:tcPr>
            <w:tcW w:w="180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18,139,844.03</w:t>
            </w:r>
          </w:p>
        </w:tc>
        <w:tc>
          <w:tcPr>
            <w:tcW w:w="1655"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0.36</w:t>
            </w:r>
          </w:p>
        </w:tc>
        <w:tc>
          <w:tcPr>
            <w:tcW w:w="1367" w:type="dxa"/>
            <w:tcBorders>
              <w:top w:val="single" w:sz="0" w:space="0" w:color="000000"/>
              <w:left w:val="single" w:sz="0" w:space="0" w:color="000000"/>
              <w:bottom w:val="single" w:sz="0" w:space="0" w:color="000000"/>
              <w:right w:val="single" w:sz="0" w:space="0" w:color="000000"/>
            </w:tcBorders>
            <w:vAlign w:val="center"/>
          </w:tcPr>
          <w:p w:rsidR="00A805DC" w:rsidRDefault="00A805DC" w:rsidP="00A805DC">
            <w:pPr>
              <w:jc w:val="right"/>
            </w:pPr>
            <w:r>
              <w:rPr>
                <w:color w:val="000000"/>
                <w:kern w:val="0"/>
              </w:rPr>
              <w:t>非公开发行流通受限</w:t>
            </w:r>
          </w:p>
        </w:tc>
      </w:tr>
    </w:tbl>
    <w:p w:rsidR="00673FF9" w:rsidRPr="00365A7C" w:rsidRDefault="00D61F4E" w:rsidP="00365A7C">
      <w:pPr>
        <w:pStyle w:val="af4"/>
        <w:snapToGrid w:val="0"/>
        <w:spacing w:line="360" w:lineRule="auto"/>
        <w:ind w:firstLineChars="200" w:firstLine="480"/>
        <w:rPr>
          <w:rFonts w:asciiTheme="minorEastAsia" w:eastAsiaTheme="minorEastAsia" w:hAnsiTheme="minorEastAsia"/>
          <w:sz w:val="21"/>
          <w:szCs w:val="21"/>
        </w:rPr>
      </w:pPr>
      <w:r>
        <w:t>（</w:t>
      </w:r>
      <w:r w:rsidRPr="00365A7C">
        <w:rPr>
          <w:rFonts w:asciiTheme="minorEastAsia" w:eastAsiaTheme="minorEastAsia" w:hAnsiTheme="minorEastAsia"/>
          <w:sz w:val="21"/>
          <w:szCs w:val="21"/>
        </w:rPr>
        <w:t>5）报告期末前十名股票中存在流通受限情况的说明</w:t>
      </w:r>
    </w:p>
    <w:p w:rsidR="00365A7C" w:rsidRPr="00365A7C" w:rsidRDefault="00365A7C" w:rsidP="00365A7C">
      <w:pPr>
        <w:pStyle w:val="af4"/>
        <w:snapToGrid w:val="0"/>
        <w:spacing w:line="360" w:lineRule="auto"/>
        <w:ind w:firstLineChars="200" w:firstLine="420"/>
        <w:rPr>
          <w:rFonts w:asciiTheme="minorEastAsia" w:eastAsiaTheme="minorEastAsia" w:hAnsiTheme="minorEastAsia"/>
          <w:sz w:val="21"/>
          <w:szCs w:val="21"/>
        </w:rPr>
        <w:sectPr w:rsidR="00365A7C" w:rsidRPr="00365A7C" w:rsidSect="00A805DC">
          <w:pgSz w:w="11907" w:h="16840" w:code="9"/>
          <w:pgMar w:top="1440" w:right="1800" w:bottom="1440" w:left="1800" w:header="1134" w:footer="1247" w:gutter="0"/>
          <w:cols w:space="425"/>
          <w:docGrid w:type="lines" w:linePitch="312"/>
        </w:sectPr>
      </w:pPr>
      <w:bookmarkStart w:id="177" w:name="_Toc81231023"/>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r w:rsidRPr="004A57FA">
        <w:rPr>
          <w:rFonts w:asciiTheme="minorEastAsia" w:eastAsiaTheme="minorEastAsia" w:hAnsiTheme="minorEastAsia" w:hint="eastAsia"/>
          <w:b/>
          <w:bCs/>
        </w:rPr>
        <w:lastRenderedPageBreak/>
        <w:t>十三、基金的业绩</w:t>
      </w:r>
      <w:bookmarkEnd w:id="177"/>
    </w:p>
    <w:p w:rsidR="00AF2EE6" w:rsidRPr="004A57FA" w:rsidRDefault="00AF2EE6" w:rsidP="00C53017">
      <w:pPr>
        <w:pStyle w:val="af4"/>
        <w:snapToGrid w:val="0"/>
        <w:spacing w:line="360" w:lineRule="auto"/>
        <w:ind w:firstLine="420"/>
        <w:rPr>
          <w:rFonts w:asciiTheme="minorEastAsia" w:eastAsiaTheme="minorEastAsia" w:hAnsiTheme="minorEastAsia"/>
          <w:sz w:val="21"/>
          <w:szCs w:val="21"/>
        </w:rPr>
      </w:pPr>
      <w:r w:rsidRPr="004A57FA">
        <w:rPr>
          <w:rFonts w:asciiTheme="minorEastAsia" w:eastAsiaTheme="minorEastAsia" w:hAnsiTheme="minorEastAsia"/>
          <w:sz w:val="21"/>
          <w:szCs w:val="21"/>
        </w:rPr>
        <w:t>基金管理人依照恪尽职守、诚实信用、谨慎勤勉的原则管理和运用基金财产，但不保证基金一定盈利，也不保证最低收益。基金的过往业绩并不代表其未来表现。投资有风险，投资者在</w:t>
      </w:r>
      <w:r w:rsidRPr="004A57FA">
        <w:rPr>
          <w:rFonts w:asciiTheme="minorEastAsia" w:eastAsiaTheme="minorEastAsia" w:hAnsiTheme="minorEastAsia" w:hint="eastAsia"/>
          <w:sz w:val="21"/>
          <w:szCs w:val="21"/>
        </w:rPr>
        <w:t>作出</w:t>
      </w:r>
      <w:r w:rsidRPr="004A57FA">
        <w:rPr>
          <w:rFonts w:asciiTheme="minorEastAsia" w:eastAsiaTheme="minorEastAsia" w:hAnsiTheme="minorEastAsia"/>
          <w:sz w:val="21"/>
          <w:szCs w:val="21"/>
        </w:rPr>
        <w:t>投资决策前应仔细阅读本基金的招募说明书。</w:t>
      </w:r>
    </w:p>
    <w:p w:rsidR="003623D9" w:rsidRPr="004A57FA" w:rsidRDefault="00AF2EE6" w:rsidP="00C53017">
      <w:pPr>
        <w:pStyle w:val="af4"/>
        <w:snapToGrid w:val="0"/>
        <w:spacing w:line="360" w:lineRule="auto"/>
        <w:ind w:firstLine="420"/>
        <w:rPr>
          <w:rFonts w:asciiTheme="minorEastAsia" w:eastAsiaTheme="minorEastAsia" w:hAnsiTheme="minorEastAsia"/>
          <w:sz w:val="21"/>
          <w:szCs w:val="21"/>
        </w:rPr>
      </w:pPr>
      <w:r w:rsidRPr="004A57FA">
        <w:rPr>
          <w:rFonts w:asciiTheme="minorEastAsia" w:eastAsiaTheme="minorEastAsia" w:hAnsiTheme="minorEastAsia" w:hint="eastAsia"/>
          <w:sz w:val="21"/>
          <w:szCs w:val="21"/>
        </w:rPr>
        <w:t>本基金合同生效日为</w:t>
      </w:r>
      <w:smartTag w:uri="urn:schemas-microsoft-com:office:smarttags" w:element="chsdate">
        <w:smartTagPr>
          <w:attr w:name="Year" w:val="2008"/>
          <w:attr w:name="Month" w:val="11"/>
          <w:attr w:name="Day" w:val="13"/>
          <w:attr w:name="IsLunarDate" w:val="False"/>
          <w:attr w:name="IsROCDate" w:val="False"/>
        </w:smartTagPr>
        <w:r w:rsidRPr="004A57FA">
          <w:rPr>
            <w:rFonts w:asciiTheme="minorEastAsia" w:eastAsiaTheme="minorEastAsia" w:hAnsiTheme="minorEastAsia" w:hint="eastAsia"/>
            <w:sz w:val="21"/>
            <w:szCs w:val="21"/>
          </w:rPr>
          <w:t>2008年11月13日</w:t>
        </w:r>
      </w:smartTag>
      <w:r w:rsidRPr="004A57FA">
        <w:rPr>
          <w:rFonts w:asciiTheme="minorEastAsia" w:eastAsiaTheme="minorEastAsia" w:hAnsiTheme="minorEastAsia" w:hint="eastAsia"/>
          <w:sz w:val="21"/>
          <w:szCs w:val="21"/>
        </w:rPr>
        <w:t>，</w:t>
      </w:r>
      <w:r w:rsidR="007526EC" w:rsidRPr="004A57FA">
        <w:rPr>
          <w:rFonts w:asciiTheme="minorEastAsia" w:eastAsiaTheme="minorEastAsia" w:hAnsiTheme="minorEastAsia" w:hint="eastAsia"/>
          <w:sz w:val="21"/>
          <w:szCs w:val="21"/>
        </w:rPr>
        <w:t>基金合同生效以来</w:t>
      </w:r>
      <w:r w:rsidR="0038345F" w:rsidRPr="004A57FA">
        <w:rPr>
          <w:rFonts w:asciiTheme="minorEastAsia" w:eastAsiaTheme="minorEastAsia" w:hAnsiTheme="minorEastAsia" w:hint="eastAsia"/>
          <w:sz w:val="21"/>
          <w:szCs w:val="21"/>
        </w:rPr>
        <w:t>最近十个完整会计年度</w:t>
      </w:r>
      <w:r w:rsidR="00A805DC">
        <w:rPr>
          <w:rFonts w:asciiTheme="minorEastAsia" w:eastAsiaTheme="minorEastAsia" w:hAnsiTheme="minorEastAsia" w:hint="eastAsia"/>
          <w:sz w:val="21"/>
          <w:szCs w:val="21"/>
        </w:rPr>
        <w:t>（</w:t>
      </w:r>
      <w:r w:rsidR="007526EC" w:rsidRPr="004A57FA">
        <w:rPr>
          <w:rFonts w:asciiTheme="minorEastAsia" w:eastAsiaTheme="minorEastAsia" w:hAnsiTheme="minorEastAsia" w:hint="eastAsia"/>
          <w:sz w:val="21"/>
          <w:szCs w:val="21"/>
        </w:rPr>
        <w:t>截至20</w:t>
      </w:r>
      <w:r w:rsidR="006179C1" w:rsidRPr="004A57FA">
        <w:rPr>
          <w:rFonts w:asciiTheme="minorEastAsia" w:eastAsiaTheme="minorEastAsia" w:hAnsiTheme="minorEastAsia" w:hint="eastAsia"/>
          <w:sz w:val="21"/>
          <w:szCs w:val="21"/>
        </w:rPr>
        <w:t>20</w:t>
      </w:r>
      <w:r w:rsidR="007526EC" w:rsidRPr="004A57FA">
        <w:rPr>
          <w:rFonts w:asciiTheme="minorEastAsia" w:eastAsiaTheme="minorEastAsia" w:hAnsiTheme="minorEastAsia" w:hint="eastAsia"/>
          <w:sz w:val="21"/>
          <w:szCs w:val="21"/>
        </w:rPr>
        <w:t>年</w:t>
      </w:r>
      <w:r w:rsidR="00EC4C81">
        <w:rPr>
          <w:rFonts w:asciiTheme="minorEastAsia" w:eastAsiaTheme="minorEastAsia" w:hAnsiTheme="minorEastAsia"/>
          <w:sz w:val="21"/>
          <w:szCs w:val="21"/>
        </w:rPr>
        <w:t>12</w:t>
      </w:r>
      <w:r w:rsidR="007526EC" w:rsidRPr="004A57FA">
        <w:rPr>
          <w:rFonts w:asciiTheme="minorEastAsia" w:eastAsiaTheme="minorEastAsia" w:hAnsiTheme="minorEastAsia" w:hint="eastAsia"/>
          <w:sz w:val="21"/>
          <w:szCs w:val="21"/>
        </w:rPr>
        <w:t>月3</w:t>
      </w:r>
      <w:r w:rsidR="00EC4C81">
        <w:rPr>
          <w:rFonts w:asciiTheme="minorEastAsia" w:eastAsiaTheme="minorEastAsia" w:hAnsiTheme="minorEastAsia"/>
          <w:sz w:val="21"/>
          <w:szCs w:val="21"/>
        </w:rPr>
        <w:t>1</w:t>
      </w:r>
      <w:r w:rsidR="007526EC" w:rsidRPr="004A57FA">
        <w:rPr>
          <w:rFonts w:asciiTheme="minorEastAsia" w:eastAsiaTheme="minorEastAsia" w:hAnsiTheme="minorEastAsia" w:hint="eastAsia"/>
          <w:sz w:val="21"/>
          <w:szCs w:val="21"/>
        </w:rPr>
        <w:t>日</w:t>
      </w:r>
      <w:r w:rsidR="00A805DC">
        <w:rPr>
          <w:rFonts w:asciiTheme="minorEastAsia" w:eastAsiaTheme="minorEastAsia" w:hAnsiTheme="minorEastAsia" w:hint="eastAsia"/>
          <w:sz w:val="21"/>
          <w:szCs w:val="21"/>
        </w:rPr>
        <w:t>）</w:t>
      </w:r>
      <w:r w:rsidR="007526EC" w:rsidRPr="004A57FA">
        <w:rPr>
          <w:rFonts w:asciiTheme="minorEastAsia" w:eastAsiaTheme="minorEastAsia" w:hAnsiTheme="minorEastAsia" w:hint="eastAsia"/>
          <w:sz w:val="21"/>
          <w:szCs w:val="21"/>
        </w:rPr>
        <w:t>的投资业绩及与同期基准的比较如下表所示</w:t>
      </w:r>
      <w:r w:rsidRPr="004A57FA">
        <w:rPr>
          <w:rFonts w:asciiTheme="minorEastAsia" w:eastAsiaTheme="minorEastAsia" w:hAnsiTheme="minorEastAsia" w:hint="eastAsia"/>
          <w:sz w:val="21"/>
          <w:szCs w:val="21"/>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080"/>
        <w:gridCol w:w="1080"/>
        <w:gridCol w:w="1440"/>
        <w:gridCol w:w="1329"/>
        <w:gridCol w:w="1011"/>
        <w:gridCol w:w="984"/>
      </w:tblGrid>
      <w:tr w:rsidR="004A57FA" w:rsidRPr="004A57FA" w:rsidTr="00385845">
        <w:trPr>
          <w:trHeight w:val="315"/>
        </w:trPr>
        <w:tc>
          <w:tcPr>
            <w:tcW w:w="1724" w:type="dxa"/>
            <w:vAlign w:val="center"/>
          </w:tcPr>
          <w:p w:rsidR="00AF2EE6" w:rsidRPr="004A57FA" w:rsidRDefault="00AF2EE6" w:rsidP="00C53017">
            <w:pPr>
              <w:snapToGrid w:val="0"/>
              <w:spacing w:line="360" w:lineRule="auto"/>
              <w:jc w:val="center"/>
              <w:rPr>
                <w:rFonts w:asciiTheme="minorEastAsia" w:eastAsiaTheme="minorEastAsia" w:hAnsiTheme="minorEastAsia" w:cs="Arial Unicode MS"/>
                <w:szCs w:val="21"/>
              </w:rPr>
            </w:pPr>
            <w:r w:rsidRPr="004A57FA">
              <w:rPr>
                <w:rFonts w:asciiTheme="minorEastAsia" w:eastAsiaTheme="minorEastAsia" w:hAnsiTheme="minorEastAsia" w:hint="eastAsia"/>
                <w:szCs w:val="21"/>
              </w:rPr>
              <w:t>阶段</w:t>
            </w:r>
          </w:p>
        </w:tc>
        <w:tc>
          <w:tcPr>
            <w:tcW w:w="1080" w:type="dxa"/>
            <w:vAlign w:val="center"/>
          </w:tcPr>
          <w:p w:rsidR="00AF2EE6" w:rsidRPr="004A57FA" w:rsidRDefault="00AF2EE6" w:rsidP="00C53017">
            <w:pPr>
              <w:snapToGrid w:val="0"/>
              <w:spacing w:line="360" w:lineRule="auto"/>
              <w:jc w:val="center"/>
              <w:rPr>
                <w:rFonts w:asciiTheme="minorEastAsia" w:eastAsiaTheme="minorEastAsia" w:hAnsiTheme="minorEastAsia" w:cs="Arial Unicode MS"/>
                <w:szCs w:val="21"/>
              </w:rPr>
            </w:pPr>
            <w:r w:rsidRPr="004A57FA">
              <w:rPr>
                <w:rFonts w:asciiTheme="minorEastAsia" w:eastAsiaTheme="minorEastAsia" w:hAnsiTheme="minorEastAsia" w:hint="eastAsia"/>
                <w:szCs w:val="21"/>
              </w:rPr>
              <w:t>净值增长率（</w:t>
            </w:r>
            <w:r w:rsidRPr="004A57FA">
              <w:rPr>
                <w:rFonts w:asciiTheme="minorEastAsia" w:eastAsiaTheme="minorEastAsia" w:hAnsiTheme="minorEastAsia"/>
                <w:szCs w:val="21"/>
              </w:rPr>
              <w:t>1）</w:t>
            </w:r>
          </w:p>
        </w:tc>
        <w:tc>
          <w:tcPr>
            <w:tcW w:w="1080" w:type="dxa"/>
            <w:vAlign w:val="center"/>
          </w:tcPr>
          <w:p w:rsidR="00AF2EE6" w:rsidRPr="004A57FA" w:rsidRDefault="00AF2EE6" w:rsidP="00C53017">
            <w:pPr>
              <w:snapToGrid w:val="0"/>
              <w:spacing w:line="360" w:lineRule="auto"/>
              <w:jc w:val="center"/>
              <w:rPr>
                <w:rFonts w:asciiTheme="minorEastAsia" w:eastAsiaTheme="minorEastAsia" w:hAnsiTheme="minorEastAsia" w:cs="Arial Unicode MS"/>
                <w:szCs w:val="21"/>
              </w:rPr>
            </w:pPr>
            <w:r w:rsidRPr="004A57FA">
              <w:rPr>
                <w:rFonts w:asciiTheme="minorEastAsia" w:eastAsiaTheme="minorEastAsia" w:hAnsiTheme="minorEastAsia" w:hint="eastAsia"/>
                <w:szCs w:val="21"/>
              </w:rPr>
              <w:t>净值增长率标准差（</w:t>
            </w:r>
            <w:r w:rsidRPr="004A57FA">
              <w:rPr>
                <w:rFonts w:asciiTheme="minorEastAsia" w:eastAsiaTheme="minorEastAsia" w:hAnsiTheme="minorEastAsia"/>
                <w:szCs w:val="21"/>
              </w:rPr>
              <w:t>2）</w:t>
            </w:r>
          </w:p>
        </w:tc>
        <w:tc>
          <w:tcPr>
            <w:tcW w:w="1440" w:type="dxa"/>
            <w:vAlign w:val="center"/>
          </w:tcPr>
          <w:p w:rsidR="00AF2EE6" w:rsidRPr="004A57FA" w:rsidRDefault="00AF2EE6" w:rsidP="00C53017">
            <w:pPr>
              <w:snapToGrid w:val="0"/>
              <w:spacing w:line="360" w:lineRule="auto"/>
              <w:jc w:val="center"/>
              <w:rPr>
                <w:rFonts w:asciiTheme="minorEastAsia" w:eastAsiaTheme="minorEastAsia" w:hAnsiTheme="minorEastAsia" w:cs="Arial Unicode MS"/>
                <w:szCs w:val="21"/>
              </w:rPr>
            </w:pPr>
            <w:r w:rsidRPr="004A57FA">
              <w:rPr>
                <w:rFonts w:asciiTheme="minorEastAsia" w:eastAsiaTheme="minorEastAsia" w:hAnsiTheme="minorEastAsia" w:hint="eastAsia"/>
                <w:szCs w:val="21"/>
              </w:rPr>
              <w:t>业绩比较基准收益率（</w:t>
            </w:r>
            <w:r w:rsidRPr="004A57FA">
              <w:rPr>
                <w:rFonts w:asciiTheme="minorEastAsia" w:eastAsiaTheme="minorEastAsia" w:hAnsiTheme="minorEastAsia"/>
                <w:szCs w:val="21"/>
              </w:rPr>
              <w:t>3）</w:t>
            </w:r>
          </w:p>
        </w:tc>
        <w:tc>
          <w:tcPr>
            <w:tcW w:w="1329" w:type="dxa"/>
            <w:vAlign w:val="center"/>
          </w:tcPr>
          <w:p w:rsidR="00AF2EE6" w:rsidRPr="004A57FA" w:rsidRDefault="00AF2EE6" w:rsidP="00C53017">
            <w:pPr>
              <w:snapToGrid w:val="0"/>
              <w:spacing w:line="360" w:lineRule="auto"/>
              <w:jc w:val="center"/>
              <w:rPr>
                <w:rFonts w:asciiTheme="minorEastAsia" w:eastAsiaTheme="minorEastAsia" w:hAnsiTheme="minorEastAsia" w:cs="Arial Unicode MS"/>
                <w:szCs w:val="21"/>
              </w:rPr>
            </w:pPr>
            <w:r w:rsidRPr="004A57FA">
              <w:rPr>
                <w:rFonts w:asciiTheme="minorEastAsia" w:eastAsiaTheme="minorEastAsia" w:hAnsiTheme="minorEastAsia" w:hint="eastAsia"/>
                <w:szCs w:val="21"/>
              </w:rPr>
              <w:t>业绩比较基准收益率标准差（</w:t>
            </w:r>
            <w:r w:rsidRPr="004A57FA">
              <w:rPr>
                <w:rFonts w:asciiTheme="minorEastAsia" w:eastAsiaTheme="minorEastAsia" w:hAnsiTheme="minorEastAsia"/>
                <w:szCs w:val="21"/>
              </w:rPr>
              <w:t>4）</w:t>
            </w:r>
          </w:p>
        </w:tc>
        <w:tc>
          <w:tcPr>
            <w:tcW w:w="1011" w:type="dxa"/>
            <w:vAlign w:val="center"/>
          </w:tcPr>
          <w:p w:rsidR="00AF2EE6" w:rsidRPr="004A57FA" w:rsidRDefault="00AF2EE6" w:rsidP="00C53017">
            <w:pPr>
              <w:snapToGrid w:val="0"/>
              <w:spacing w:line="360" w:lineRule="auto"/>
              <w:ind w:leftChars="-51" w:left="-107" w:rightChars="-51" w:right="-107"/>
              <w:jc w:val="center"/>
              <w:rPr>
                <w:rFonts w:asciiTheme="minorEastAsia" w:eastAsiaTheme="minorEastAsia" w:hAnsiTheme="minorEastAsia"/>
                <w:szCs w:val="21"/>
              </w:rPr>
            </w:pP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(3)</w:t>
            </w:r>
          </w:p>
        </w:tc>
        <w:tc>
          <w:tcPr>
            <w:tcW w:w="984" w:type="dxa"/>
            <w:vAlign w:val="center"/>
          </w:tcPr>
          <w:p w:rsidR="00AF2EE6" w:rsidRPr="004A57FA" w:rsidRDefault="00AF2EE6" w:rsidP="00C53017">
            <w:pPr>
              <w:snapToGrid w:val="0"/>
              <w:spacing w:line="360" w:lineRule="auto"/>
              <w:ind w:leftChars="-51" w:left="-107"/>
              <w:jc w:val="center"/>
              <w:rPr>
                <w:rFonts w:asciiTheme="minorEastAsia" w:eastAsiaTheme="minorEastAsia" w:hAnsiTheme="minorEastAsia"/>
                <w:szCs w:val="21"/>
              </w:rPr>
            </w:pP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(4)</w:t>
            </w:r>
          </w:p>
        </w:tc>
      </w:tr>
      <w:tr w:rsidR="00673FF9">
        <w:tc>
          <w:tcPr>
            <w:tcW w:w="1724" w:type="dxa"/>
          </w:tcPr>
          <w:p w:rsidR="00673FF9" w:rsidRDefault="00D61F4E">
            <w:pPr>
              <w:jc w:val="center"/>
            </w:pPr>
            <w:r>
              <w:t>2011</w:t>
            </w:r>
            <w:r>
              <w:t>年</w:t>
            </w:r>
            <w:r>
              <w:t>1</w:t>
            </w:r>
            <w:r>
              <w:t>月</w:t>
            </w:r>
            <w:r>
              <w:t>1</w:t>
            </w:r>
            <w:r>
              <w:t>日至</w:t>
            </w:r>
            <w:r>
              <w:t>2011</w:t>
            </w:r>
            <w:r>
              <w:t>年</w:t>
            </w:r>
            <w:r>
              <w:t>12</w:t>
            </w:r>
            <w:r>
              <w:t>月</w:t>
            </w:r>
            <w:r>
              <w:t>31</w:t>
            </w:r>
            <w:r>
              <w:t>日</w:t>
            </w:r>
          </w:p>
        </w:tc>
        <w:tc>
          <w:tcPr>
            <w:tcW w:w="1080" w:type="dxa"/>
          </w:tcPr>
          <w:p w:rsidR="00673FF9" w:rsidRDefault="00D61F4E">
            <w:pPr>
              <w:jc w:val="center"/>
            </w:pPr>
            <w:r>
              <w:t>-23.23%</w:t>
            </w:r>
          </w:p>
        </w:tc>
        <w:tc>
          <w:tcPr>
            <w:tcW w:w="1080" w:type="dxa"/>
          </w:tcPr>
          <w:p w:rsidR="00673FF9" w:rsidRDefault="00D61F4E">
            <w:pPr>
              <w:jc w:val="center"/>
            </w:pPr>
            <w:r>
              <w:t>1.24%</w:t>
            </w:r>
          </w:p>
        </w:tc>
        <w:tc>
          <w:tcPr>
            <w:tcW w:w="1440" w:type="dxa"/>
          </w:tcPr>
          <w:p w:rsidR="00673FF9" w:rsidRDefault="00D61F4E">
            <w:pPr>
              <w:jc w:val="center"/>
            </w:pPr>
            <w:r>
              <w:t>-18.35%</w:t>
            </w:r>
          </w:p>
        </w:tc>
        <w:tc>
          <w:tcPr>
            <w:tcW w:w="1329" w:type="dxa"/>
          </w:tcPr>
          <w:p w:rsidR="00673FF9" w:rsidRDefault="00D61F4E">
            <w:pPr>
              <w:jc w:val="center"/>
            </w:pPr>
            <w:r>
              <w:t>1.00%</w:t>
            </w:r>
          </w:p>
        </w:tc>
        <w:tc>
          <w:tcPr>
            <w:tcW w:w="1011" w:type="dxa"/>
          </w:tcPr>
          <w:p w:rsidR="00673FF9" w:rsidRDefault="00D61F4E">
            <w:pPr>
              <w:jc w:val="center"/>
            </w:pPr>
            <w:r>
              <w:t>-4.88%</w:t>
            </w:r>
          </w:p>
        </w:tc>
        <w:tc>
          <w:tcPr>
            <w:tcW w:w="984" w:type="dxa"/>
          </w:tcPr>
          <w:p w:rsidR="00673FF9" w:rsidRDefault="00D61F4E">
            <w:pPr>
              <w:jc w:val="center"/>
            </w:pPr>
            <w:r>
              <w:t>0.24%</w:t>
            </w:r>
          </w:p>
        </w:tc>
      </w:tr>
      <w:tr w:rsidR="00673FF9">
        <w:tc>
          <w:tcPr>
            <w:tcW w:w="1724" w:type="dxa"/>
          </w:tcPr>
          <w:p w:rsidR="00673FF9" w:rsidRDefault="00D61F4E">
            <w:pPr>
              <w:jc w:val="center"/>
            </w:pPr>
            <w:r>
              <w:t>2012</w:t>
            </w:r>
            <w:r>
              <w:t>年</w:t>
            </w:r>
            <w:r>
              <w:t>1</w:t>
            </w:r>
            <w:r>
              <w:t>月</w:t>
            </w:r>
            <w:r>
              <w:t>1</w:t>
            </w:r>
            <w:r>
              <w:t>日至</w:t>
            </w:r>
            <w:r>
              <w:t>2012</w:t>
            </w:r>
            <w:r>
              <w:t>年</w:t>
            </w:r>
            <w:r>
              <w:t>12</w:t>
            </w:r>
            <w:r>
              <w:t>月</w:t>
            </w:r>
            <w:r>
              <w:t>31</w:t>
            </w:r>
            <w:r>
              <w:t>日</w:t>
            </w:r>
          </w:p>
        </w:tc>
        <w:tc>
          <w:tcPr>
            <w:tcW w:w="1080" w:type="dxa"/>
          </w:tcPr>
          <w:p w:rsidR="00673FF9" w:rsidRDefault="00D61F4E">
            <w:pPr>
              <w:jc w:val="center"/>
            </w:pPr>
            <w:r>
              <w:t>4.70%</w:t>
            </w:r>
          </w:p>
        </w:tc>
        <w:tc>
          <w:tcPr>
            <w:tcW w:w="1080" w:type="dxa"/>
          </w:tcPr>
          <w:p w:rsidR="00673FF9" w:rsidRDefault="00D61F4E">
            <w:pPr>
              <w:jc w:val="center"/>
            </w:pPr>
            <w:r>
              <w:t>1.28%</w:t>
            </w:r>
          </w:p>
        </w:tc>
        <w:tc>
          <w:tcPr>
            <w:tcW w:w="1440" w:type="dxa"/>
          </w:tcPr>
          <w:p w:rsidR="00673FF9" w:rsidRDefault="00D61F4E">
            <w:pPr>
              <w:jc w:val="center"/>
            </w:pPr>
            <w:r>
              <w:t>5.51%</w:t>
            </w:r>
          </w:p>
        </w:tc>
        <w:tc>
          <w:tcPr>
            <w:tcW w:w="1329" w:type="dxa"/>
          </w:tcPr>
          <w:p w:rsidR="00673FF9" w:rsidRDefault="00D61F4E">
            <w:pPr>
              <w:jc w:val="center"/>
            </w:pPr>
            <w:r>
              <w:t>0.97%</w:t>
            </w:r>
          </w:p>
        </w:tc>
        <w:tc>
          <w:tcPr>
            <w:tcW w:w="1011" w:type="dxa"/>
          </w:tcPr>
          <w:p w:rsidR="00673FF9" w:rsidRDefault="00D61F4E">
            <w:pPr>
              <w:jc w:val="center"/>
            </w:pPr>
            <w:r>
              <w:t>-0.81%</w:t>
            </w:r>
          </w:p>
        </w:tc>
        <w:tc>
          <w:tcPr>
            <w:tcW w:w="984" w:type="dxa"/>
          </w:tcPr>
          <w:p w:rsidR="00673FF9" w:rsidRDefault="00D61F4E">
            <w:pPr>
              <w:jc w:val="center"/>
            </w:pPr>
            <w:r>
              <w:t>0.31%</w:t>
            </w:r>
          </w:p>
        </w:tc>
      </w:tr>
      <w:tr w:rsidR="00673FF9">
        <w:tc>
          <w:tcPr>
            <w:tcW w:w="1724" w:type="dxa"/>
          </w:tcPr>
          <w:p w:rsidR="00673FF9" w:rsidRDefault="00D61F4E">
            <w:pPr>
              <w:jc w:val="center"/>
            </w:pPr>
            <w:r>
              <w:t>2013</w:t>
            </w:r>
            <w:r>
              <w:t>年</w:t>
            </w:r>
            <w:r>
              <w:t>1</w:t>
            </w:r>
            <w:r>
              <w:t>月</w:t>
            </w:r>
            <w:r>
              <w:t>1</w:t>
            </w:r>
            <w:r>
              <w:t>日至</w:t>
            </w:r>
            <w:r>
              <w:t>2013</w:t>
            </w:r>
            <w:r>
              <w:t>年</w:t>
            </w:r>
            <w:r>
              <w:t>12</w:t>
            </w:r>
            <w:r>
              <w:t>月</w:t>
            </w:r>
            <w:r>
              <w:t>31</w:t>
            </w:r>
            <w:r>
              <w:t>日</w:t>
            </w:r>
          </w:p>
        </w:tc>
        <w:tc>
          <w:tcPr>
            <w:tcW w:w="1080" w:type="dxa"/>
          </w:tcPr>
          <w:p w:rsidR="00673FF9" w:rsidRDefault="00D61F4E">
            <w:pPr>
              <w:jc w:val="center"/>
            </w:pPr>
            <w:r>
              <w:t>23.81%</w:t>
            </w:r>
          </w:p>
        </w:tc>
        <w:tc>
          <w:tcPr>
            <w:tcW w:w="1080" w:type="dxa"/>
          </w:tcPr>
          <w:p w:rsidR="00673FF9" w:rsidRDefault="00D61F4E">
            <w:pPr>
              <w:jc w:val="center"/>
            </w:pPr>
            <w:r>
              <w:t>1.30%</w:t>
            </w:r>
          </w:p>
        </w:tc>
        <w:tc>
          <w:tcPr>
            <w:tcW w:w="1440" w:type="dxa"/>
          </w:tcPr>
          <w:p w:rsidR="00673FF9" w:rsidRDefault="00D61F4E">
            <w:pPr>
              <w:jc w:val="center"/>
            </w:pPr>
            <w:r>
              <w:t>-9.18%</w:t>
            </w:r>
          </w:p>
        </w:tc>
        <w:tc>
          <w:tcPr>
            <w:tcW w:w="1329" w:type="dxa"/>
          </w:tcPr>
          <w:p w:rsidR="00673FF9" w:rsidRDefault="00D61F4E">
            <w:pPr>
              <w:jc w:val="center"/>
            </w:pPr>
            <w:r>
              <w:t>1.19%</w:t>
            </w:r>
          </w:p>
        </w:tc>
        <w:tc>
          <w:tcPr>
            <w:tcW w:w="1011" w:type="dxa"/>
          </w:tcPr>
          <w:p w:rsidR="00673FF9" w:rsidRDefault="00D61F4E">
            <w:pPr>
              <w:jc w:val="center"/>
            </w:pPr>
            <w:r>
              <w:t>32.99%</w:t>
            </w:r>
          </w:p>
        </w:tc>
        <w:tc>
          <w:tcPr>
            <w:tcW w:w="984" w:type="dxa"/>
          </w:tcPr>
          <w:p w:rsidR="00673FF9" w:rsidRDefault="00D61F4E">
            <w:pPr>
              <w:jc w:val="center"/>
            </w:pPr>
            <w:r>
              <w:t>0.11%</w:t>
            </w:r>
          </w:p>
        </w:tc>
      </w:tr>
      <w:tr w:rsidR="00673FF9">
        <w:tc>
          <w:tcPr>
            <w:tcW w:w="1724" w:type="dxa"/>
          </w:tcPr>
          <w:p w:rsidR="00673FF9" w:rsidRDefault="00D61F4E">
            <w:pPr>
              <w:jc w:val="center"/>
            </w:pPr>
            <w:r>
              <w:t>2014</w:t>
            </w:r>
            <w:r>
              <w:t>年</w:t>
            </w:r>
            <w:r>
              <w:t>1</w:t>
            </w:r>
            <w:r>
              <w:t>月</w:t>
            </w:r>
            <w:r>
              <w:t>1</w:t>
            </w:r>
            <w:r>
              <w:t>日至</w:t>
            </w:r>
            <w:r>
              <w:t>2014</w:t>
            </w:r>
            <w:r>
              <w:t>年</w:t>
            </w:r>
            <w:r>
              <w:t>12</w:t>
            </w:r>
            <w:r>
              <w:t>月</w:t>
            </w:r>
            <w:r>
              <w:t>31</w:t>
            </w:r>
            <w:r>
              <w:t>日</w:t>
            </w:r>
          </w:p>
        </w:tc>
        <w:tc>
          <w:tcPr>
            <w:tcW w:w="1080" w:type="dxa"/>
          </w:tcPr>
          <w:p w:rsidR="00673FF9" w:rsidRDefault="00D61F4E">
            <w:pPr>
              <w:jc w:val="center"/>
            </w:pPr>
            <w:r>
              <w:t>18.43%</w:t>
            </w:r>
          </w:p>
        </w:tc>
        <w:tc>
          <w:tcPr>
            <w:tcW w:w="1080" w:type="dxa"/>
          </w:tcPr>
          <w:p w:rsidR="00673FF9" w:rsidRDefault="00D61F4E">
            <w:pPr>
              <w:jc w:val="center"/>
            </w:pPr>
            <w:r>
              <w:t>1.24%</w:t>
            </w:r>
          </w:p>
        </w:tc>
        <w:tc>
          <w:tcPr>
            <w:tcW w:w="1440" w:type="dxa"/>
          </w:tcPr>
          <w:p w:rsidR="00673FF9" w:rsidRDefault="00D61F4E">
            <w:pPr>
              <w:jc w:val="center"/>
            </w:pPr>
            <w:r>
              <w:t>42.84%</w:t>
            </w:r>
          </w:p>
        </w:tc>
        <w:tc>
          <w:tcPr>
            <w:tcW w:w="1329" w:type="dxa"/>
          </w:tcPr>
          <w:p w:rsidR="00673FF9" w:rsidRDefault="00D61F4E">
            <w:pPr>
              <w:jc w:val="center"/>
            </w:pPr>
            <w:r>
              <w:t>0.91%</w:t>
            </w:r>
          </w:p>
        </w:tc>
        <w:tc>
          <w:tcPr>
            <w:tcW w:w="1011" w:type="dxa"/>
          </w:tcPr>
          <w:p w:rsidR="00673FF9" w:rsidRDefault="00D61F4E">
            <w:pPr>
              <w:jc w:val="center"/>
            </w:pPr>
            <w:r>
              <w:t>-24.41%</w:t>
            </w:r>
          </w:p>
        </w:tc>
        <w:tc>
          <w:tcPr>
            <w:tcW w:w="984" w:type="dxa"/>
          </w:tcPr>
          <w:p w:rsidR="00673FF9" w:rsidRDefault="00D61F4E">
            <w:pPr>
              <w:jc w:val="center"/>
            </w:pPr>
            <w:r>
              <w:t>0.33%</w:t>
            </w:r>
          </w:p>
        </w:tc>
      </w:tr>
      <w:tr w:rsidR="00673FF9">
        <w:tc>
          <w:tcPr>
            <w:tcW w:w="1724" w:type="dxa"/>
          </w:tcPr>
          <w:p w:rsidR="00673FF9" w:rsidRDefault="00D61F4E">
            <w:pPr>
              <w:jc w:val="center"/>
            </w:pPr>
            <w:r>
              <w:t>2015</w:t>
            </w:r>
            <w:r>
              <w:t>年</w:t>
            </w:r>
            <w:r>
              <w:t>1</w:t>
            </w:r>
            <w:r>
              <w:t>月</w:t>
            </w:r>
            <w:r>
              <w:t>1</w:t>
            </w:r>
            <w:r>
              <w:t>日至</w:t>
            </w:r>
            <w:r>
              <w:t>2015</w:t>
            </w:r>
            <w:r>
              <w:t>年</w:t>
            </w:r>
            <w:r>
              <w:t>12</w:t>
            </w:r>
            <w:r>
              <w:t>月</w:t>
            </w:r>
            <w:r>
              <w:t>31</w:t>
            </w:r>
            <w:r>
              <w:t>日</w:t>
            </w:r>
          </w:p>
        </w:tc>
        <w:tc>
          <w:tcPr>
            <w:tcW w:w="1080" w:type="dxa"/>
          </w:tcPr>
          <w:p w:rsidR="00673FF9" w:rsidRDefault="00D61F4E">
            <w:pPr>
              <w:jc w:val="center"/>
            </w:pPr>
            <w:r>
              <w:t>91.23%</w:t>
            </w:r>
          </w:p>
        </w:tc>
        <w:tc>
          <w:tcPr>
            <w:tcW w:w="1080" w:type="dxa"/>
          </w:tcPr>
          <w:p w:rsidR="00673FF9" w:rsidRDefault="00D61F4E">
            <w:pPr>
              <w:jc w:val="center"/>
            </w:pPr>
            <w:r>
              <w:t>2.93%</w:t>
            </w:r>
          </w:p>
        </w:tc>
        <w:tc>
          <w:tcPr>
            <w:tcW w:w="1440" w:type="dxa"/>
          </w:tcPr>
          <w:p w:rsidR="00673FF9" w:rsidRDefault="00D61F4E">
            <w:pPr>
              <w:jc w:val="center"/>
            </w:pPr>
            <w:r>
              <w:t>22.39%</w:t>
            </w:r>
          </w:p>
        </w:tc>
        <w:tc>
          <w:tcPr>
            <w:tcW w:w="1329" w:type="dxa"/>
          </w:tcPr>
          <w:p w:rsidR="00673FF9" w:rsidRDefault="00D61F4E">
            <w:pPr>
              <w:jc w:val="center"/>
            </w:pPr>
            <w:r>
              <w:t>2.11%</w:t>
            </w:r>
          </w:p>
        </w:tc>
        <w:tc>
          <w:tcPr>
            <w:tcW w:w="1011" w:type="dxa"/>
          </w:tcPr>
          <w:p w:rsidR="00673FF9" w:rsidRDefault="00D61F4E">
            <w:pPr>
              <w:jc w:val="center"/>
            </w:pPr>
            <w:r>
              <w:t>68.84%</w:t>
            </w:r>
          </w:p>
        </w:tc>
        <w:tc>
          <w:tcPr>
            <w:tcW w:w="984" w:type="dxa"/>
          </w:tcPr>
          <w:p w:rsidR="00673FF9" w:rsidRDefault="00D61F4E">
            <w:pPr>
              <w:jc w:val="center"/>
            </w:pPr>
            <w:r>
              <w:t>0.82%</w:t>
            </w:r>
          </w:p>
        </w:tc>
      </w:tr>
      <w:tr w:rsidR="00673FF9">
        <w:tc>
          <w:tcPr>
            <w:tcW w:w="1724" w:type="dxa"/>
          </w:tcPr>
          <w:p w:rsidR="00673FF9" w:rsidRDefault="00D61F4E">
            <w:pPr>
              <w:jc w:val="center"/>
            </w:pPr>
            <w:r>
              <w:t>2016</w:t>
            </w:r>
            <w:r>
              <w:t>年</w:t>
            </w:r>
            <w:r>
              <w:t>1</w:t>
            </w:r>
            <w:r>
              <w:t>月</w:t>
            </w:r>
            <w:r>
              <w:t>1</w:t>
            </w:r>
            <w:r>
              <w:t>日至</w:t>
            </w:r>
            <w:r>
              <w:t>2016</w:t>
            </w:r>
            <w:r>
              <w:t>年</w:t>
            </w:r>
            <w:r>
              <w:t>12</w:t>
            </w:r>
            <w:r>
              <w:t>月</w:t>
            </w:r>
            <w:r>
              <w:t>31</w:t>
            </w:r>
            <w:r>
              <w:t>日</w:t>
            </w:r>
          </w:p>
        </w:tc>
        <w:tc>
          <w:tcPr>
            <w:tcW w:w="1080" w:type="dxa"/>
          </w:tcPr>
          <w:p w:rsidR="00673FF9" w:rsidRDefault="00D61F4E">
            <w:pPr>
              <w:jc w:val="center"/>
            </w:pPr>
            <w:r>
              <w:t>-14.82%</w:t>
            </w:r>
          </w:p>
        </w:tc>
        <w:tc>
          <w:tcPr>
            <w:tcW w:w="1080" w:type="dxa"/>
          </w:tcPr>
          <w:p w:rsidR="00673FF9" w:rsidRDefault="00D61F4E">
            <w:pPr>
              <w:jc w:val="center"/>
            </w:pPr>
            <w:r>
              <w:t>1.81%</w:t>
            </w:r>
          </w:p>
        </w:tc>
        <w:tc>
          <w:tcPr>
            <w:tcW w:w="1440" w:type="dxa"/>
          </w:tcPr>
          <w:p w:rsidR="00673FF9" w:rsidRDefault="00D61F4E">
            <w:pPr>
              <w:jc w:val="center"/>
            </w:pPr>
            <w:r>
              <w:t>-6.48%</w:t>
            </w:r>
          </w:p>
        </w:tc>
        <w:tc>
          <w:tcPr>
            <w:tcW w:w="1329" w:type="dxa"/>
          </w:tcPr>
          <w:p w:rsidR="00673FF9" w:rsidRDefault="00D61F4E">
            <w:pPr>
              <w:jc w:val="center"/>
            </w:pPr>
            <w:r>
              <w:t>1.14%</w:t>
            </w:r>
          </w:p>
        </w:tc>
        <w:tc>
          <w:tcPr>
            <w:tcW w:w="1011" w:type="dxa"/>
          </w:tcPr>
          <w:p w:rsidR="00673FF9" w:rsidRDefault="00D61F4E">
            <w:pPr>
              <w:jc w:val="center"/>
            </w:pPr>
            <w:r>
              <w:t>-8.34%</w:t>
            </w:r>
          </w:p>
        </w:tc>
        <w:tc>
          <w:tcPr>
            <w:tcW w:w="984" w:type="dxa"/>
          </w:tcPr>
          <w:p w:rsidR="00673FF9" w:rsidRDefault="00D61F4E">
            <w:pPr>
              <w:jc w:val="center"/>
            </w:pPr>
            <w:r>
              <w:t>0.67%</w:t>
            </w:r>
          </w:p>
        </w:tc>
      </w:tr>
      <w:tr w:rsidR="00673FF9">
        <w:tc>
          <w:tcPr>
            <w:tcW w:w="1724" w:type="dxa"/>
          </w:tcPr>
          <w:p w:rsidR="00673FF9" w:rsidRDefault="00D61F4E">
            <w:pPr>
              <w:jc w:val="center"/>
            </w:pPr>
            <w:r>
              <w:t>2017</w:t>
            </w:r>
            <w:r>
              <w:t>年</w:t>
            </w:r>
            <w:r>
              <w:t>1</w:t>
            </w:r>
            <w:r>
              <w:t>月</w:t>
            </w:r>
            <w:r>
              <w:t>1</w:t>
            </w:r>
            <w:r>
              <w:t>日至</w:t>
            </w:r>
            <w:r>
              <w:t>2017</w:t>
            </w:r>
            <w:r>
              <w:t>年</w:t>
            </w:r>
            <w:r>
              <w:t>12</w:t>
            </w:r>
            <w:r>
              <w:t>月</w:t>
            </w:r>
            <w:r>
              <w:t>31</w:t>
            </w:r>
            <w:r>
              <w:t>日</w:t>
            </w:r>
          </w:p>
        </w:tc>
        <w:tc>
          <w:tcPr>
            <w:tcW w:w="1080" w:type="dxa"/>
          </w:tcPr>
          <w:p w:rsidR="00673FF9" w:rsidRDefault="00D61F4E">
            <w:pPr>
              <w:jc w:val="center"/>
            </w:pPr>
            <w:r>
              <w:t>25.21%</w:t>
            </w:r>
          </w:p>
        </w:tc>
        <w:tc>
          <w:tcPr>
            <w:tcW w:w="1080" w:type="dxa"/>
          </w:tcPr>
          <w:p w:rsidR="00673FF9" w:rsidRDefault="00D61F4E">
            <w:pPr>
              <w:jc w:val="center"/>
            </w:pPr>
            <w:r>
              <w:t>0.92%</w:t>
            </w:r>
          </w:p>
        </w:tc>
        <w:tc>
          <w:tcPr>
            <w:tcW w:w="1440" w:type="dxa"/>
          </w:tcPr>
          <w:p w:rsidR="00673FF9" w:rsidRDefault="00D61F4E">
            <w:pPr>
              <w:jc w:val="center"/>
            </w:pPr>
            <w:r>
              <w:t>13.21%</w:t>
            </w:r>
          </w:p>
        </w:tc>
        <w:tc>
          <w:tcPr>
            <w:tcW w:w="1329" w:type="dxa"/>
          </w:tcPr>
          <w:p w:rsidR="00673FF9" w:rsidRDefault="00D61F4E">
            <w:pPr>
              <w:jc w:val="center"/>
            </w:pPr>
            <w:r>
              <w:t>0.47%</w:t>
            </w:r>
          </w:p>
        </w:tc>
        <w:tc>
          <w:tcPr>
            <w:tcW w:w="1011" w:type="dxa"/>
          </w:tcPr>
          <w:p w:rsidR="00673FF9" w:rsidRDefault="00D61F4E">
            <w:pPr>
              <w:jc w:val="center"/>
            </w:pPr>
            <w:r>
              <w:t>12.00%</w:t>
            </w:r>
          </w:p>
        </w:tc>
        <w:tc>
          <w:tcPr>
            <w:tcW w:w="984" w:type="dxa"/>
          </w:tcPr>
          <w:p w:rsidR="00673FF9" w:rsidRDefault="00D61F4E">
            <w:pPr>
              <w:jc w:val="center"/>
            </w:pPr>
            <w:r>
              <w:t>0.45%</w:t>
            </w:r>
          </w:p>
        </w:tc>
      </w:tr>
      <w:tr w:rsidR="00673FF9">
        <w:tc>
          <w:tcPr>
            <w:tcW w:w="1724" w:type="dxa"/>
          </w:tcPr>
          <w:p w:rsidR="00673FF9" w:rsidRDefault="00D61F4E">
            <w:pPr>
              <w:jc w:val="center"/>
            </w:pPr>
            <w:r>
              <w:t>2018</w:t>
            </w:r>
            <w:r>
              <w:t>年</w:t>
            </w:r>
            <w:r>
              <w:t>1</w:t>
            </w:r>
            <w:r>
              <w:t>月</w:t>
            </w:r>
            <w:r>
              <w:t>1</w:t>
            </w:r>
            <w:r>
              <w:t>日至</w:t>
            </w:r>
            <w:r>
              <w:t>2018</w:t>
            </w:r>
            <w:r>
              <w:t>年</w:t>
            </w:r>
            <w:r>
              <w:t>12</w:t>
            </w:r>
            <w:r>
              <w:t>月</w:t>
            </w:r>
            <w:r>
              <w:t>31</w:t>
            </w:r>
            <w:r>
              <w:t>日</w:t>
            </w:r>
          </w:p>
        </w:tc>
        <w:tc>
          <w:tcPr>
            <w:tcW w:w="1080" w:type="dxa"/>
          </w:tcPr>
          <w:p w:rsidR="00673FF9" w:rsidRDefault="00D61F4E">
            <w:pPr>
              <w:jc w:val="center"/>
            </w:pPr>
            <w:r>
              <w:t>-25.53%</w:t>
            </w:r>
          </w:p>
        </w:tc>
        <w:tc>
          <w:tcPr>
            <w:tcW w:w="1080" w:type="dxa"/>
          </w:tcPr>
          <w:p w:rsidR="00673FF9" w:rsidRDefault="00D61F4E">
            <w:pPr>
              <w:jc w:val="center"/>
            </w:pPr>
            <w:r>
              <w:t>1.51%</w:t>
            </w:r>
          </w:p>
        </w:tc>
        <w:tc>
          <w:tcPr>
            <w:tcW w:w="1440" w:type="dxa"/>
          </w:tcPr>
          <w:p w:rsidR="00673FF9" w:rsidRDefault="00D61F4E">
            <w:pPr>
              <w:jc w:val="center"/>
            </w:pPr>
            <w:r>
              <w:t>-14.16%</w:t>
            </w:r>
          </w:p>
        </w:tc>
        <w:tc>
          <w:tcPr>
            <w:tcW w:w="1329" w:type="dxa"/>
          </w:tcPr>
          <w:p w:rsidR="00673FF9" w:rsidRDefault="00D61F4E">
            <w:pPr>
              <w:jc w:val="center"/>
            </w:pPr>
            <w:r>
              <w:t>0.96%</w:t>
            </w:r>
          </w:p>
        </w:tc>
        <w:tc>
          <w:tcPr>
            <w:tcW w:w="1011" w:type="dxa"/>
          </w:tcPr>
          <w:p w:rsidR="00673FF9" w:rsidRDefault="00D61F4E">
            <w:pPr>
              <w:jc w:val="center"/>
            </w:pPr>
            <w:r>
              <w:t>-11.37%</w:t>
            </w:r>
          </w:p>
        </w:tc>
        <w:tc>
          <w:tcPr>
            <w:tcW w:w="984" w:type="dxa"/>
          </w:tcPr>
          <w:p w:rsidR="00673FF9" w:rsidRDefault="00D61F4E">
            <w:pPr>
              <w:jc w:val="center"/>
            </w:pPr>
            <w:r>
              <w:t>0.55%</w:t>
            </w:r>
          </w:p>
        </w:tc>
      </w:tr>
      <w:tr w:rsidR="00673FF9">
        <w:tc>
          <w:tcPr>
            <w:tcW w:w="1724" w:type="dxa"/>
          </w:tcPr>
          <w:p w:rsidR="00673FF9" w:rsidRDefault="00D61F4E">
            <w:pPr>
              <w:jc w:val="center"/>
            </w:pPr>
            <w:r>
              <w:t>2019</w:t>
            </w:r>
            <w:r>
              <w:t>年</w:t>
            </w:r>
            <w:r>
              <w:t>1</w:t>
            </w:r>
            <w:r>
              <w:t>月</w:t>
            </w:r>
            <w:r>
              <w:t>1</w:t>
            </w:r>
            <w:r>
              <w:t>日至</w:t>
            </w:r>
            <w:r>
              <w:t>2019</w:t>
            </w:r>
            <w:r>
              <w:t>年</w:t>
            </w:r>
            <w:r>
              <w:t>12</w:t>
            </w:r>
            <w:r>
              <w:t>月</w:t>
            </w:r>
            <w:r>
              <w:t>31</w:t>
            </w:r>
            <w:r>
              <w:t>日</w:t>
            </w:r>
          </w:p>
        </w:tc>
        <w:tc>
          <w:tcPr>
            <w:tcW w:w="1080" w:type="dxa"/>
          </w:tcPr>
          <w:p w:rsidR="00673FF9" w:rsidRDefault="00D61F4E">
            <w:pPr>
              <w:jc w:val="center"/>
            </w:pPr>
            <w:r>
              <w:t>60.74%</w:t>
            </w:r>
          </w:p>
        </w:tc>
        <w:tc>
          <w:tcPr>
            <w:tcW w:w="1080" w:type="dxa"/>
          </w:tcPr>
          <w:p w:rsidR="00673FF9" w:rsidRDefault="00D61F4E">
            <w:pPr>
              <w:jc w:val="center"/>
            </w:pPr>
            <w:r>
              <w:t>1.53%</w:t>
            </w:r>
          </w:p>
        </w:tc>
        <w:tc>
          <w:tcPr>
            <w:tcW w:w="1440" w:type="dxa"/>
          </w:tcPr>
          <w:p w:rsidR="00673FF9" w:rsidRDefault="00D61F4E">
            <w:pPr>
              <w:jc w:val="center"/>
            </w:pPr>
            <w:r>
              <w:t>12.81%</w:t>
            </w:r>
          </w:p>
        </w:tc>
        <w:tc>
          <w:tcPr>
            <w:tcW w:w="1329" w:type="dxa"/>
          </w:tcPr>
          <w:p w:rsidR="00673FF9" w:rsidRDefault="00D61F4E">
            <w:pPr>
              <w:jc w:val="center"/>
            </w:pPr>
            <w:r>
              <w:t>0.89%</w:t>
            </w:r>
          </w:p>
        </w:tc>
        <w:tc>
          <w:tcPr>
            <w:tcW w:w="1011" w:type="dxa"/>
          </w:tcPr>
          <w:p w:rsidR="00673FF9" w:rsidRDefault="00D61F4E">
            <w:pPr>
              <w:jc w:val="center"/>
            </w:pPr>
            <w:r>
              <w:t>47.93%</w:t>
            </w:r>
          </w:p>
        </w:tc>
        <w:tc>
          <w:tcPr>
            <w:tcW w:w="984" w:type="dxa"/>
          </w:tcPr>
          <w:p w:rsidR="00673FF9" w:rsidRDefault="00D61F4E">
            <w:pPr>
              <w:jc w:val="center"/>
            </w:pPr>
            <w:r>
              <w:t>0.64%</w:t>
            </w:r>
          </w:p>
        </w:tc>
      </w:tr>
      <w:tr w:rsidR="00673FF9">
        <w:tc>
          <w:tcPr>
            <w:tcW w:w="1724" w:type="dxa"/>
          </w:tcPr>
          <w:p w:rsidR="00673FF9" w:rsidRDefault="00D61F4E">
            <w:pPr>
              <w:jc w:val="center"/>
            </w:pPr>
            <w:r>
              <w:t>2020</w:t>
            </w:r>
            <w:r>
              <w:t>年</w:t>
            </w:r>
            <w:r>
              <w:t>1</w:t>
            </w:r>
            <w:r>
              <w:t>月</w:t>
            </w:r>
            <w:r>
              <w:t>1</w:t>
            </w:r>
            <w:r>
              <w:t>日至</w:t>
            </w:r>
            <w:r>
              <w:t>2020</w:t>
            </w:r>
            <w:r>
              <w:t>年</w:t>
            </w:r>
            <w:r>
              <w:t>12</w:t>
            </w:r>
            <w:r>
              <w:t>月</w:t>
            </w:r>
            <w:r>
              <w:t>31</w:t>
            </w:r>
            <w:r>
              <w:t>日</w:t>
            </w:r>
          </w:p>
        </w:tc>
        <w:tc>
          <w:tcPr>
            <w:tcW w:w="1080" w:type="dxa"/>
          </w:tcPr>
          <w:p w:rsidR="00673FF9" w:rsidRDefault="00D61F4E">
            <w:pPr>
              <w:jc w:val="center"/>
            </w:pPr>
            <w:r>
              <w:t>64.84%</w:t>
            </w:r>
          </w:p>
        </w:tc>
        <w:tc>
          <w:tcPr>
            <w:tcW w:w="1080" w:type="dxa"/>
          </w:tcPr>
          <w:p w:rsidR="00673FF9" w:rsidRDefault="00D61F4E">
            <w:pPr>
              <w:jc w:val="center"/>
            </w:pPr>
            <w:r>
              <w:t>1.61%</w:t>
            </w:r>
          </w:p>
        </w:tc>
        <w:tc>
          <w:tcPr>
            <w:tcW w:w="1440" w:type="dxa"/>
          </w:tcPr>
          <w:p w:rsidR="00673FF9" w:rsidRDefault="00D61F4E">
            <w:pPr>
              <w:jc w:val="center"/>
            </w:pPr>
            <w:r>
              <w:t>2.76%</w:t>
            </w:r>
          </w:p>
        </w:tc>
        <w:tc>
          <w:tcPr>
            <w:tcW w:w="1329" w:type="dxa"/>
          </w:tcPr>
          <w:p w:rsidR="00673FF9" w:rsidRDefault="00D61F4E">
            <w:pPr>
              <w:jc w:val="center"/>
            </w:pPr>
            <w:r>
              <w:t>1.05%</w:t>
            </w:r>
          </w:p>
        </w:tc>
        <w:tc>
          <w:tcPr>
            <w:tcW w:w="1011" w:type="dxa"/>
          </w:tcPr>
          <w:p w:rsidR="00673FF9" w:rsidRDefault="00D61F4E">
            <w:pPr>
              <w:jc w:val="center"/>
            </w:pPr>
            <w:r>
              <w:t>62.08%</w:t>
            </w:r>
          </w:p>
        </w:tc>
        <w:tc>
          <w:tcPr>
            <w:tcW w:w="984" w:type="dxa"/>
          </w:tcPr>
          <w:p w:rsidR="00673FF9" w:rsidRDefault="00D61F4E">
            <w:pPr>
              <w:jc w:val="center"/>
            </w:pPr>
            <w:r>
              <w:t>0.56%</w:t>
            </w:r>
          </w:p>
        </w:tc>
      </w:tr>
    </w:tbl>
    <w:p w:rsidR="00040917" w:rsidRDefault="00D61F4E">
      <w:pPr>
        <w:spacing w:line="360" w:lineRule="auto"/>
        <w:ind w:firstLine="420"/>
        <w:sectPr w:rsidR="00040917" w:rsidSect="00A805DC">
          <w:pgSz w:w="11907" w:h="16840" w:code="9"/>
          <w:pgMar w:top="1440" w:right="1800" w:bottom="1440" w:left="1800" w:header="1134" w:footer="1247" w:gutter="0"/>
          <w:cols w:space="425"/>
          <w:docGrid w:type="lines" w:linePitch="312"/>
        </w:sectPr>
      </w:pPr>
      <w:r>
        <w:t>本基金历任基金经理情况：刘芳洁，管理时间为</w:t>
      </w:r>
      <w:r>
        <w:t>2008</w:t>
      </w:r>
      <w:r>
        <w:t>年</w:t>
      </w:r>
      <w:r>
        <w:t>11</w:t>
      </w:r>
      <w:r>
        <w:t>月</w:t>
      </w:r>
      <w:r>
        <w:t>13</w:t>
      </w:r>
      <w:r>
        <w:t>日至</w:t>
      </w:r>
      <w:r>
        <w:t>2010</w:t>
      </w:r>
      <w:r>
        <w:t>年</w:t>
      </w:r>
      <w:r>
        <w:t>12</w:t>
      </w:r>
      <w:r>
        <w:t>月</w:t>
      </w:r>
      <w:r>
        <w:t>30</w:t>
      </w:r>
      <w:r>
        <w:lastRenderedPageBreak/>
        <w:t>日；付浩，管理时间为</w:t>
      </w:r>
      <w:r>
        <w:t>2011</w:t>
      </w:r>
      <w:r>
        <w:t>年</w:t>
      </w:r>
      <w:r>
        <w:t>1</w:t>
      </w:r>
      <w:r>
        <w:t>月</w:t>
      </w:r>
      <w:r>
        <w:t>1</w:t>
      </w:r>
      <w:r>
        <w:t>日至</w:t>
      </w:r>
      <w:r>
        <w:t>2014</w:t>
      </w:r>
      <w:r>
        <w:t>年</w:t>
      </w:r>
      <w:r>
        <w:t>5</w:t>
      </w:r>
      <w:r>
        <w:t>月</w:t>
      </w:r>
      <w:r>
        <w:t>9</w:t>
      </w:r>
      <w:r>
        <w:t>日。</w:t>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178" w:name="_Toc81231024"/>
      <w:r w:rsidRPr="004A57FA">
        <w:rPr>
          <w:rFonts w:asciiTheme="minorEastAsia" w:eastAsiaTheme="minorEastAsia" w:hAnsiTheme="minorEastAsia" w:hint="eastAsia"/>
          <w:b/>
          <w:bCs/>
        </w:rPr>
        <w:lastRenderedPageBreak/>
        <w:t>十四、基金的财产</w:t>
      </w:r>
      <w:bookmarkEnd w:id="178"/>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（一）基金资产总值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179" w:name="_Toc79392635"/>
      <w:bookmarkStart w:id="180" w:name="_Toc79556449"/>
      <w:r w:rsidRPr="004A57FA">
        <w:rPr>
          <w:rFonts w:asciiTheme="minorEastAsia" w:eastAsiaTheme="minorEastAsia" w:hAnsiTheme="minorEastAsia" w:hint="eastAsia"/>
          <w:szCs w:val="21"/>
        </w:rPr>
        <w:t>基金资产总值是指购买的各类证券及票据价值、银行存款本息和基金应收的申购基金款以及其他投资所形成的价值总和。</w:t>
      </w:r>
    </w:p>
    <w:bookmarkEnd w:id="179"/>
    <w:bookmarkEnd w:id="180"/>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其构成主要有：</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银行存款及其应计利息；</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结算备付金及其应计利息；</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根据有关规定缴纳的保证金及其应收利息；</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hint="eastAsia"/>
        </w:rPr>
        <w:t>应收证券交易清算款；</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hint="eastAsia"/>
        </w:rPr>
        <w:t>应收申购款；</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6、</w:t>
      </w:r>
      <w:r w:rsidR="00AF2EE6" w:rsidRPr="004A57FA">
        <w:rPr>
          <w:rFonts w:asciiTheme="minorEastAsia" w:eastAsiaTheme="minorEastAsia" w:hAnsiTheme="minorEastAsia" w:hint="eastAsia"/>
        </w:rPr>
        <w:t>股票投资及其估值调整；</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7、</w:t>
      </w:r>
      <w:r w:rsidR="00AF2EE6" w:rsidRPr="004A57FA">
        <w:rPr>
          <w:rFonts w:asciiTheme="minorEastAsia" w:eastAsiaTheme="minorEastAsia" w:hAnsiTheme="minorEastAsia" w:hint="eastAsia"/>
        </w:rPr>
        <w:t>债券投资及其估值调整和应计利息；</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8、</w:t>
      </w:r>
      <w:r w:rsidR="00AF2EE6" w:rsidRPr="004A57FA">
        <w:rPr>
          <w:rFonts w:asciiTheme="minorEastAsia" w:eastAsiaTheme="minorEastAsia" w:hAnsiTheme="minorEastAsia" w:hint="eastAsia"/>
        </w:rPr>
        <w:t>权证投资及其估值调整；</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9、</w:t>
      </w:r>
      <w:r w:rsidR="00AF2EE6" w:rsidRPr="004A57FA">
        <w:rPr>
          <w:rFonts w:asciiTheme="minorEastAsia" w:eastAsiaTheme="minorEastAsia" w:hAnsiTheme="minorEastAsia" w:hint="eastAsia"/>
        </w:rPr>
        <w:t>其他投资及其估值调整；</w:t>
      </w:r>
    </w:p>
    <w:p w:rsidR="00AF2EE6" w:rsidRPr="004A57FA" w:rsidRDefault="003623D9"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10、</w:t>
      </w:r>
      <w:r w:rsidR="00AF2EE6" w:rsidRPr="004A57FA">
        <w:rPr>
          <w:rFonts w:asciiTheme="minorEastAsia" w:eastAsiaTheme="minorEastAsia" w:hAnsiTheme="minorEastAsia" w:hint="eastAsia"/>
        </w:rPr>
        <w:t>其他资产等。</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（二）基金资产净值</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基金资产净值是指基金资产总值减去基金负债后的价值。</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（三）基金财产的账户</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00FB269B"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机构和基金注册登记人自有的财产账户以及其他基金财产账户相独立。</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（四）基金财产的保管和处分</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本基金财产独立于基金管理人、基金托管人和基金</w:t>
      </w:r>
      <w:r w:rsidR="00FB269B"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w:t>
      </w:r>
      <w:r w:rsidR="00FB269B" w:rsidRPr="004A57FA">
        <w:rPr>
          <w:rFonts w:asciiTheme="minorEastAsia" w:eastAsiaTheme="minorEastAsia" w:hAnsiTheme="minorEastAsia" w:hint="eastAsia"/>
        </w:rPr>
        <w:t>销售</w:t>
      </w:r>
      <w:r w:rsidRPr="004A57FA">
        <w:rPr>
          <w:rFonts w:asciiTheme="minorEastAsia" w:eastAsiaTheme="minorEastAsia" w:hAnsiTheme="minorEastAsia" w:hint="eastAsia"/>
        </w:rPr>
        <w:t>机构以其自有的财产承担其自身的法律责任，其债权人不得对本基金财产行使请求冻结、扣押或其他权利。除依法律法规和《基金合同》的规定处分外，基金财产不得被处分。</w:t>
      </w:r>
    </w:p>
    <w:p w:rsidR="00A019E0" w:rsidRPr="004A57FA" w:rsidRDefault="00AF2EE6" w:rsidP="008F0551">
      <w:pPr>
        <w:snapToGrid w:val="0"/>
        <w:spacing w:line="360" w:lineRule="auto"/>
        <w:ind w:firstLineChars="200" w:firstLine="420"/>
        <w:rPr>
          <w:rFonts w:asciiTheme="minorEastAsia" w:eastAsiaTheme="minorEastAsia" w:hAnsiTheme="minorEastAsia"/>
          <w:b/>
          <w:bCs/>
          <w:sz w:val="32"/>
          <w:szCs w:val="32"/>
        </w:rPr>
      </w:pPr>
      <w:r w:rsidRPr="004A57FA">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基金管理人管理运作基金财产所产生的债权，不得与其固有资产产生的债务相互抵消；基金管理人管理运作不同基金的基金财产所产生的债权债务不得相互抵消。</w:t>
      </w:r>
      <w:r w:rsidR="00A019E0"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181" w:name="_Toc81231025"/>
      <w:r w:rsidRPr="004A57FA">
        <w:rPr>
          <w:rFonts w:asciiTheme="minorEastAsia" w:eastAsiaTheme="minorEastAsia" w:hAnsiTheme="minorEastAsia" w:hint="eastAsia"/>
          <w:b/>
          <w:bCs/>
        </w:rPr>
        <w:lastRenderedPageBreak/>
        <w:t>十五、基金资产估值</w:t>
      </w:r>
      <w:bookmarkEnd w:id="181"/>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182" w:name="_Toc44229106"/>
      <w:bookmarkStart w:id="183" w:name="_Toc44229201"/>
      <w:bookmarkStart w:id="184" w:name="_Toc44229107"/>
      <w:bookmarkStart w:id="185" w:name="_Toc44229202"/>
      <w:bookmarkStart w:id="186" w:name="_Toc44229108"/>
      <w:bookmarkStart w:id="187" w:name="_Toc44229203"/>
      <w:bookmarkStart w:id="188" w:name="_Toc44229109"/>
      <w:bookmarkStart w:id="189" w:name="_Toc44229204"/>
      <w:bookmarkStart w:id="190" w:name="_Toc44229110"/>
      <w:bookmarkStart w:id="191" w:name="_Toc44229205"/>
      <w:bookmarkStart w:id="192" w:name="_Toc44229111"/>
      <w:bookmarkStart w:id="193" w:name="_Toc44229206"/>
      <w:bookmarkStart w:id="194" w:name="_Toc44229112"/>
      <w:bookmarkStart w:id="195" w:name="_Toc44229207"/>
      <w:bookmarkStart w:id="196" w:name="_Toc44229113"/>
      <w:bookmarkStart w:id="197" w:name="_Toc44229208"/>
      <w:bookmarkStart w:id="198" w:name="_Toc97031289"/>
      <w:bookmarkStart w:id="199" w:name="_Toc97107249"/>
      <w:bookmarkStart w:id="200" w:name="_Toc8123102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4A57FA">
        <w:rPr>
          <w:rFonts w:asciiTheme="minorEastAsia" w:eastAsiaTheme="minorEastAsia" w:hAnsiTheme="minorEastAsia" w:hint="eastAsia"/>
          <w:b w:val="0"/>
        </w:rPr>
        <w:t>（一）估值目的</w:t>
      </w:r>
      <w:bookmarkEnd w:id="200"/>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1" w:name="_Toc81231027"/>
      <w:r w:rsidRPr="004A57FA">
        <w:rPr>
          <w:rFonts w:asciiTheme="minorEastAsia" w:eastAsiaTheme="minorEastAsia" w:hAnsiTheme="minorEastAsia" w:hint="eastAsia"/>
          <w:b w:val="0"/>
        </w:rPr>
        <w:t>（二）估值日</w:t>
      </w:r>
      <w:bookmarkEnd w:id="201"/>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本基金的估值日为相关的证券交易场所的正常营业日以及国家法律法规规定需要对外披露基金净值的非营业日。</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2" w:name="_Toc81231028"/>
      <w:r w:rsidRPr="004A57FA">
        <w:rPr>
          <w:rFonts w:asciiTheme="minorEastAsia" w:eastAsiaTheme="minorEastAsia" w:hAnsiTheme="minorEastAsia" w:hint="eastAsia"/>
          <w:b w:val="0"/>
        </w:rPr>
        <w:t>（三）估值对象</w:t>
      </w:r>
      <w:bookmarkEnd w:id="202"/>
    </w:p>
    <w:p w:rsidR="00AF2EE6" w:rsidRPr="004A57FA" w:rsidRDefault="00AF2EE6" w:rsidP="00C53017">
      <w:pPr>
        <w:snapToGrid w:val="0"/>
        <w:spacing w:line="360" w:lineRule="auto"/>
        <w:ind w:firstLineChars="200" w:firstLine="420"/>
        <w:rPr>
          <w:rFonts w:asciiTheme="minorEastAsia" w:eastAsiaTheme="minorEastAsia" w:hAnsiTheme="minorEastAsia"/>
          <w:b/>
          <w:bCs/>
          <w:szCs w:val="21"/>
        </w:rPr>
      </w:pPr>
      <w:r w:rsidRPr="004A57FA">
        <w:rPr>
          <w:rFonts w:asciiTheme="minorEastAsia" w:eastAsiaTheme="minorEastAsia" w:hAnsiTheme="minorEastAsia" w:hint="eastAsia"/>
          <w:szCs w:val="21"/>
        </w:rPr>
        <w:t>基金所拥有的股票、债券、权证和银行存款本息等资产和负债。</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3" w:name="_Toc81231029"/>
      <w:r w:rsidRPr="004A57FA">
        <w:rPr>
          <w:rFonts w:asciiTheme="minorEastAsia" w:eastAsiaTheme="minorEastAsia" w:hAnsiTheme="minorEastAsia" w:hint="eastAsia"/>
          <w:b w:val="0"/>
        </w:rPr>
        <w:t>（四）估值程序</w:t>
      </w:r>
      <w:bookmarkEnd w:id="203"/>
    </w:p>
    <w:p w:rsidR="00AF2EE6" w:rsidRPr="004A57FA" w:rsidRDefault="00AF2EE6" w:rsidP="00C53017">
      <w:pPr>
        <w:snapToGrid w:val="0"/>
        <w:spacing w:line="360" w:lineRule="auto"/>
        <w:ind w:firstLineChars="200" w:firstLine="420"/>
        <w:rPr>
          <w:rFonts w:asciiTheme="minorEastAsia" w:eastAsiaTheme="minorEastAsia" w:hAnsiTheme="minorEastAsia"/>
          <w:b/>
          <w:bCs/>
          <w:szCs w:val="21"/>
        </w:rPr>
      </w:pPr>
      <w:r w:rsidRPr="004A57FA">
        <w:rPr>
          <w:rFonts w:asciiTheme="minorEastAsia" w:eastAsiaTheme="minorEastAsia" w:hAnsiTheme="minorEastAsia" w:hint="eastAsia"/>
          <w:szCs w:val="21"/>
        </w:rPr>
        <w:t>基金日常估值由基金管理人进行。基金管理人完成估值后，将估值结果加盖业务公章以书面形式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4" w:name="_Toc81231030"/>
      <w:r w:rsidRPr="004A57FA">
        <w:rPr>
          <w:rFonts w:asciiTheme="minorEastAsia" w:eastAsiaTheme="minorEastAsia" w:hAnsiTheme="minorEastAsia" w:hint="eastAsia"/>
          <w:b w:val="0"/>
        </w:rPr>
        <w:t>（五）估值方法</w:t>
      </w:r>
      <w:bookmarkEnd w:id="204"/>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本基金按以下方式进行估值：</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证券交易所上市的有价证券的估值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F24964"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r w:rsidR="00F24964"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2、</w:t>
      </w:r>
      <w:r w:rsidR="00AF2EE6" w:rsidRPr="004A57FA">
        <w:rPr>
          <w:rFonts w:asciiTheme="minorEastAsia" w:eastAsiaTheme="minorEastAsia" w:hAnsiTheme="minorEastAsia" w:hint="eastAsia"/>
          <w:szCs w:val="21"/>
        </w:rPr>
        <w:t>处于未上市期间的有价证券应区分如下情况处理：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r w:rsidR="00F24964"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因持有股票而享有的配股权，以及停止交易、但未行权的权证，采用估值技术确定公允价值。</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全国银行间债券市场交易的债券、资产支持证券等固定收益品种，采用估值技术确定公允价值。</w:t>
      </w:r>
    </w:p>
    <w:p w:rsidR="00C11497" w:rsidRPr="004A57FA" w:rsidRDefault="00FC5032" w:rsidP="00C1149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00AF2EE6" w:rsidRPr="004A57FA">
        <w:rPr>
          <w:rFonts w:asciiTheme="minorEastAsia" w:eastAsiaTheme="minorEastAsia" w:hAnsiTheme="minorEastAsia" w:hint="eastAsia"/>
          <w:szCs w:val="21"/>
        </w:rPr>
        <w:t>同一债券同时在两个或两个以上市场交易的，按债券所处的市场分别估值。</w:t>
      </w:r>
    </w:p>
    <w:p w:rsidR="00AF2EE6" w:rsidRPr="004A57FA" w:rsidRDefault="00C11497" w:rsidP="00C1149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6、本基金投资存托凭证的估值核算，依照境内上市交易的股票执行。</w:t>
      </w:r>
    </w:p>
    <w:p w:rsidR="00AF2EE6" w:rsidRPr="004A57FA" w:rsidRDefault="00C11497"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AF2EE6" w:rsidRPr="004A57FA" w:rsidRDefault="00C11497"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相关法律法规以及监管部门有强制规定的，从其规定。如有新增事项，按国家最新规定估值。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5" w:name="_Toc81231031"/>
      <w:r w:rsidRPr="004A57FA">
        <w:rPr>
          <w:rFonts w:asciiTheme="minorEastAsia" w:eastAsiaTheme="minorEastAsia" w:hAnsiTheme="minorEastAsia" w:hint="eastAsia"/>
          <w:b w:val="0"/>
        </w:rPr>
        <w:t>（六）基金份额净值的确认和估值错误的处理</w:t>
      </w:r>
      <w:bookmarkEnd w:id="205"/>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净值的计算保留到小数点后3位，小数点后第4位四舍五入。当基金估值出现影响基金份额净值的错误时，基金管理人应当立即纠正，并采取合理的措施防止损失进一步扩大。当错误达到或超过基金资产净值的0.25%时，基金管理人应</w:t>
      </w:r>
      <w:r w:rsidRPr="004A57FA">
        <w:rPr>
          <w:rFonts w:asciiTheme="minorEastAsia" w:eastAsiaTheme="minorEastAsia" w:hAnsiTheme="minorEastAsia"/>
          <w:szCs w:val="21"/>
        </w:rPr>
        <w:t>报</w:t>
      </w:r>
      <w:r w:rsidRPr="004A57FA">
        <w:rPr>
          <w:rFonts w:asciiTheme="minorEastAsia" w:eastAsiaTheme="minorEastAsia" w:hAnsiTheme="minorEastAsia" w:hint="eastAsia"/>
          <w:szCs w:val="21"/>
        </w:rPr>
        <w:t>中国证监会</w:t>
      </w:r>
      <w:r w:rsidRPr="004A57FA">
        <w:rPr>
          <w:rFonts w:asciiTheme="minorEastAsia" w:eastAsiaTheme="minorEastAsia" w:hAnsiTheme="minorEastAsia"/>
          <w:szCs w:val="21"/>
        </w:rPr>
        <w:t>备案</w:t>
      </w:r>
      <w:r w:rsidRPr="004A57FA">
        <w:rPr>
          <w:rFonts w:asciiTheme="minorEastAsia" w:eastAsiaTheme="minorEastAsia" w:hAnsiTheme="minorEastAsia" w:hint="eastAsia"/>
          <w:szCs w:val="21"/>
        </w:rPr>
        <w:t>；估值错误偏差达到</w:t>
      </w:r>
      <w:r w:rsidRPr="004A57FA">
        <w:rPr>
          <w:rFonts w:asciiTheme="minorEastAsia" w:eastAsiaTheme="minorEastAsia" w:hAnsiTheme="minorEastAsia"/>
          <w:szCs w:val="21"/>
        </w:rPr>
        <w:t>基金份额净值</w:t>
      </w:r>
      <w:r w:rsidRPr="004A57FA">
        <w:rPr>
          <w:rFonts w:asciiTheme="minorEastAsia" w:eastAsiaTheme="minorEastAsia" w:hAnsiTheme="minorEastAsia" w:hint="eastAsia"/>
          <w:szCs w:val="21"/>
        </w:rPr>
        <w:t>的</w:t>
      </w:r>
      <w:r w:rsidRPr="004A57FA">
        <w:rPr>
          <w:rFonts w:asciiTheme="minorEastAsia" w:eastAsiaTheme="minorEastAsia" w:hAnsiTheme="minorEastAsia"/>
          <w:szCs w:val="21"/>
        </w:rPr>
        <w:t>0.5%</w:t>
      </w:r>
      <w:r w:rsidRPr="004A57FA">
        <w:rPr>
          <w:rFonts w:asciiTheme="minorEastAsia" w:eastAsiaTheme="minorEastAsia" w:hAnsiTheme="minorEastAsia" w:hint="eastAsia"/>
          <w:szCs w:val="21"/>
        </w:rPr>
        <w:t>时，基金管理人</w:t>
      </w:r>
      <w:r w:rsidRPr="004A57FA">
        <w:rPr>
          <w:rFonts w:asciiTheme="minorEastAsia" w:eastAsiaTheme="minorEastAsia" w:hAnsiTheme="minorEastAsia"/>
          <w:szCs w:val="21"/>
        </w:rPr>
        <w:t>应当公告，并报</w:t>
      </w:r>
      <w:r w:rsidRPr="004A57FA">
        <w:rPr>
          <w:rFonts w:asciiTheme="minorEastAsia" w:eastAsiaTheme="minorEastAsia" w:hAnsiTheme="minorEastAsia" w:hint="eastAsia"/>
          <w:szCs w:val="21"/>
        </w:rPr>
        <w:t>中国证监会</w:t>
      </w:r>
      <w:r w:rsidRPr="004A57FA">
        <w:rPr>
          <w:rFonts w:asciiTheme="minorEastAsia" w:eastAsiaTheme="minorEastAsia" w:hAnsiTheme="minorEastAsia"/>
          <w:szCs w:val="21"/>
        </w:rPr>
        <w:t>备案。</w:t>
      </w:r>
      <w:r w:rsidRPr="004A57FA">
        <w:rPr>
          <w:rFonts w:asciiTheme="minorEastAsia" w:eastAsiaTheme="minorEastAsia" w:hAnsiTheme="minorEastAsia" w:hint="eastAsia"/>
          <w:szCs w:val="21"/>
        </w:rPr>
        <w:t>因基金估值错误给投资者造成损失的，应先由基金管理人承担，基金管理人对不应由其承担的责任，有权向责任方追偿。</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关于差错处理，基金合同的当事人按照以下约定处理：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1</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差错类型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运作过程中，如果由于基金管理人或基金托管人、或注册登记机构、或销售机构、或投资者自身的过错造成差错，导致其他当事人遭受损失的，过错的责任人应当对由于该差错遭受损失的当事人（“受损方”）按下述“差错处理原则”给予赔偿承担赔偿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2</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差错处理原则</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）差错的责任方对可能导致有关当事人的直接损失负责，不对间接损失负责，并且仅对差错的有关直接当事人负责，不对第三方负责。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3</w:t>
      </w:r>
      <w:r w:rsidRPr="004A57FA">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4</w:t>
      </w:r>
      <w:r w:rsidRPr="004A57FA">
        <w:rPr>
          <w:rFonts w:asciiTheme="minorEastAsia" w:eastAsiaTheme="minorEastAsia" w:hAnsiTheme="minorEastAsia" w:hint="eastAsia"/>
          <w:szCs w:val="21"/>
        </w:rPr>
        <w:t>）差错调整采用尽量恢复至假设未发生差错的正确情形的方式。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5</w:t>
      </w:r>
      <w:r w:rsidRPr="004A57FA">
        <w:rPr>
          <w:rFonts w:asciiTheme="minorEastAsia" w:eastAsiaTheme="minorEastAsia" w:hAnsiTheme="minorEastAsia"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6</w:t>
      </w:r>
      <w:r w:rsidRPr="004A57FA">
        <w:rPr>
          <w:rFonts w:asciiTheme="minorEastAsia" w:eastAsiaTheme="minorEastAsia" w:hAnsiTheme="minorEastAsia" w:hint="eastAsia"/>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7</w:t>
      </w:r>
      <w:r w:rsidRPr="004A57FA">
        <w:rPr>
          <w:rFonts w:asciiTheme="minorEastAsia" w:eastAsiaTheme="minorEastAsia" w:hAnsiTheme="minorEastAsia" w:hint="eastAsia"/>
          <w:szCs w:val="21"/>
        </w:rPr>
        <w:t>）按法律法规规定的其他原则处理差错。</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3</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差错处理程序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差错被发现后，有关的当事人应当及时进行处理，处理的程序如下：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1</w:t>
      </w:r>
      <w:r w:rsidRPr="004A57FA">
        <w:rPr>
          <w:rFonts w:asciiTheme="minorEastAsia" w:eastAsiaTheme="minorEastAsia" w:hAnsiTheme="minorEastAsia" w:hint="eastAsia"/>
          <w:szCs w:val="21"/>
        </w:rPr>
        <w:t>）查明差错发生的原因，列明所有的当事人，并根据差错发生的原因确定差错的责任方；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）根据差错处理原则或当事人协商的方法对因差错造成的损失进行评估；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3</w:t>
      </w:r>
      <w:r w:rsidRPr="004A57FA">
        <w:rPr>
          <w:rFonts w:asciiTheme="minorEastAsia" w:eastAsiaTheme="minorEastAsia" w:hAnsiTheme="minorEastAsia" w:hint="eastAsia"/>
          <w:szCs w:val="21"/>
        </w:rPr>
        <w:t>）根据差错处理原则或当事人协商的方法由差错的责任方进行更正和赔偿损失；</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4</w:t>
      </w:r>
      <w:r w:rsidRPr="004A57FA">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5</w:t>
      </w:r>
      <w:r w:rsidRPr="004A57FA">
        <w:rPr>
          <w:rFonts w:asciiTheme="minorEastAsia" w:eastAsiaTheme="minorEastAsia" w:hAnsiTheme="minorEastAsia" w:hint="eastAsia"/>
          <w:szCs w:val="21"/>
        </w:rPr>
        <w:t>）基金管理人及基金托管人基金份额净值计算错误偏差达到基金份额净值的</w:t>
      </w:r>
      <w:r w:rsidRPr="004A57FA">
        <w:rPr>
          <w:rFonts w:asciiTheme="minorEastAsia" w:eastAsiaTheme="minorEastAsia" w:hAnsiTheme="minorEastAsia"/>
          <w:szCs w:val="21"/>
        </w:rPr>
        <w:t>0.</w:t>
      </w: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5%</w:t>
      </w:r>
      <w:r w:rsidRPr="004A57FA">
        <w:rPr>
          <w:rFonts w:asciiTheme="minorEastAsia" w:eastAsiaTheme="minorEastAsia" w:hAnsiTheme="minorEastAsia" w:hint="eastAsia"/>
          <w:szCs w:val="21"/>
        </w:rPr>
        <w:t>时，基金管理人应当报告中国证监会；基金管理人及基金托管人基金份额净值计算错误偏差达到基金份额净值的</w:t>
      </w:r>
      <w:r w:rsidRPr="004A57FA">
        <w:rPr>
          <w:rFonts w:asciiTheme="minorEastAsia" w:eastAsiaTheme="minorEastAsia" w:hAnsiTheme="minorEastAsia"/>
          <w:szCs w:val="21"/>
        </w:rPr>
        <w:t>0.5%</w:t>
      </w:r>
      <w:r w:rsidRPr="004A57FA">
        <w:rPr>
          <w:rFonts w:asciiTheme="minorEastAsia" w:eastAsiaTheme="minorEastAsia" w:hAnsiTheme="minorEastAsia" w:hint="eastAsia"/>
          <w:szCs w:val="21"/>
        </w:rPr>
        <w:t>时，基金管理人应当公告并报中国证监会备案。</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6" w:name="_Toc81231032"/>
      <w:r w:rsidRPr="004A57FA">
        <w:rPr>
          <w:rFonts w:asciiTheme="minorEastAsia" w:eastAsiaTheme="minorEastAsia" w:hAnsiTheme="minorEastAsia" w:hint="eastAsia"/>
          <w:b w:val="0"/>
        </w:rPr>
        <w:t>（七）暂停估值的情形</w:t>
      </w:r>
      <w:bookmarkEnd w:id="206"/>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与本基金投资有关的证券交易场所遇法定节假日或因其他原因暂停营业时；</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因不可抗力或其他情形致使基金管理人无法准确评估基金资产价值时；</w:t>
      </w:r>
    </w:p>
    <w:p w:rsidR="002E2C5D"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2E2C5D" w:rsidRPr="004A57FA">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AF2EE6" w:rsidRPr="004A57FA" w:rsidRDefault="002E2C5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Pr="004A57FA">
        <w:rPr>
          <w:rFonts w:asciiTheme="minorEastAsia" w:eastAsiaTheme="minorEastAsia" w:hAnsiTheme="minorEastAsia"/>
          <w:szCs w:val="21"/>
        </w:rPr>
        <w:t>、</w:t>
      </w:r>
      <w:r w:rsidR="00AF2EE6" w:rsidRPr="004A57FA">
        <w:rPr>
          <w:rFonts w:asciiTheme="minorEastAsia" w:eastAsiaTheme="minorEastAsia" w:hAnsiTheme="minorEastAsia" w:hint="eastAsia"/>
          <w:szCs w:val="21"/>
        </w:rPr>
        <w:t>中国证监会认定的其他情形。</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07" w:name="_Toc81231033"/>
      <w:r w:rsidRPr="004A57FA">
        <w:rPr>
          <w:rFonts w:asciiTheme="minorEastAsia" w:eastAsiaTheme="minorEastAsia" w:hAnsiTheme="minorEastAsia" w:hint="eastAsia"/>
          <w:b w:val="0"/>
        </w:rPr>
        <w:t>（八）特殊情形的处理</w:t>
      </w:r>
      <w:bookmarkEnd w:id="207"/>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基金管理人按估值方法的第</w:t>
      </w:r>
      <w:r w:rsidR="00C11497" w:rsidRPr="004A57FA">
        <w:rPr>
          <w:rFonts w:asciiTheme="minorEastAsia" w:eastAsiaTheme="minorEastAsia" w:hAnsiTheme="minorEastAsia" w:hint="eastAsia"/>
          <w:szCs w:val="21"/>
        </w:rPr>
        <w:t>7</w:t>
      </w:r>
      <w:r w:rsidR="00AF2EE6" w:rsidRPr="004A57FA">
        <w:rPr>
          <w:rFonts w:asciiTheme="minorEastAsia" w:eastAsiaTheme="minorEastAsia" w:hAnsiTheme="minorEastAsia" w:hint="eastAsia"/>
          <w:szCs w:val="21"/>
        </w:rPr>
        <w:t>项进行估值时，所造成的误差不作为基金资产估值错误处理；</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951052" w:rsidRPr="004A57FA" w:rsidRDefault="00951052" w:rsidP="00C53017">
      <w:pPr>
        <w:snapToGrid w:val="0"/>
        <w:spacing w:line="360" w:lineRule="auto"/>
        <w:ind w:firstLineChars="200" w:firstLine="420"/>
        <w:rPr>
          <w:rFonts w:asciiTheme="minorEastAsia" w:eastAsiaTheme="minorEastAsia" w:hAnsiTheme="minorEastAsia"/>
          <w:szCs w:val="21"/>
        </w:rPr>
        <w:sectPr w:rsidR="00951052" w:rsidRPr="004A57FA" w:rsidSect="00A805DC">
          <w:pgSz w:w="11907" w:h="16840" w:code="9"/>
          <w:pgMar w:top="1440" w:right="1800" w:bottom="1440" w:left="1800" w:header="1134" w:footer="1247" w:gutter="0"/>
          <w:cols w:space="425"/>
          <w:docGrid w:type="lines" w:linePitch="312"/>
        </w:sectPr>
      </w:pP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208" w:name="_Toc81231034"/>
      <w:r w:rsidRPr="004A57FA">
        <w:rPr>
          <w:rFonts w:asciiTheme="minorEastAsia" w:eastAsiaTheme="minorEastAsia" w:hAnsiTheme="minorEastAsia" w:hint="eastAsia"/>
          <w:b/>
          <w:bCs/>
        </w:rPr>
        <w:lastRenderedPageBreak/>
        <w:t>十六、基金的收益与分配</w:t>
      </w:r>
      <w:bookmarkEnd w:id="208"/>
    </w:p>
    <w:p w:rsidR="00DB6A2B" w:rsidRPr="004A57FA" w:rsidRDefault="00AF2EE6" w:rsidP="00C53017">
      <w:pPr>
        <w:snapToGrid w:val="0"/>
        <w:spacing w:line="360" w:lineRule="auto"/>
        <w:rPr>
          <w:rFonts w:asciiTheme="minorEastAsia" w:eastAsiaTheme="minorEastAsia" w:hAnsiTheme="minorEastAsia"/>
          <w:sz w:val="28"/>
          <w:szCs w:val="28"/>
        </w:rPr>
      </w:pPr>
      <w:bookmarkStart w:id="209" w:name="_Toc84149664"/>
      <w:bookmarkStart w:id="210" w:name="_Toc86584639"/>
      <w:r w:rsidRPr="004A57FA">
        <w:rPr>
          <w:rFonts w:asciiTheme="minorEastAsia" w:eastAsiaTheme="minorEastAsia" w:hAnsiTheme="minorEastAsia" w:hint="eastAsia"/>
          <w:sz w:val="28"/>
          <w:szCs w:val="28"/>
        </w:rPr>
        <w:t>（一）收益的构成</w:t>
      </w:r>
      <w:bookmarkEnd w:id="209"/>
      <w:bookmarkEnd w:id="210"/>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基金收益包括：基金投资所得红利、股息、债券利息、票据投资收益、买卖证券差价、银行存款利息以及其他收入。因运用基金</w:t>
      </w:r>
      <w:r w:rsidRPr="004A57FA">
        <w:rPr>
          <w:rFonts w:asciiTheme="minorEastAsia" w:eastAsiaTheme="minorEastAsia" w:hAnsiTheme="minorEastAsia" w:hint="eastAsia"/>
        </w:rPr>
        <w:t>资</w:t>
      </w:r>
      <w:r w:rsidRPr="004A57FA">
        <w:rPr>
          <w:rFonts w:asciiTheme="minorEastAsia" w:eastAsiaTheme="minorEastAsia" w:hAnsiTheme="minorEastAsia" w:hint="eastAsia"/>
          <w:szCs w:val="21"/>
        </w:rPr>
        <w:t>产带来的成本或费用的节约计入收益。</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基金净收益为基金收益扣除按照有关规定可以在基金收益中扣除的费用后的余额。</w:t>
      </w:r>
    </w:p>
    <w:p w:rsidR="00DB6A2B" w:rsidRPr="004A57FA" w:rsidRDefault="00AF2EE6" w:rsidP="00C53017">
      <w:pPr>
        <w:snapToGrid w:val="0"/>
        <w:spacing w:line="360" w:lineRule="auto"/>
        <w:rPr>
          <w:rFonts w:asciiTheme="minorEastAsia" w:eastAsiaTheme="minorEastAsia" w:hAnsiTheme="minorEastAsia"/>
          <w:sz w:val="28"/>
          <w:szCs w:val="28"/>
        </w:rPr>
      </w:pPr>
      <w:bookmarkStart w:id="211" w:name="_Toc84149665"/>
      <w:bookmarkStart w:id="212" w:name="_Toc86584640"/>
      <w:r w:rsidRPr="004A57FA">
        <w:rPr>
          <w:rFonts w:asciiTheme="minorEastAsia" w:eastAsiaTheme="minorEastAsia" w:hAnsiTheme="minorEastAsia" w:hint="eastAsia"/>
          <w:sz w:val="28"/>
          <w:szCs w:val="28"/>
        </w:rPr>
        <w:t>（二）收益分配原则</w:t>
      </w:r>
      <w:bookmarkEnd w:id="211"/>
      <w:bookmarkEnd w:id="212"/>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rPr>
        <w:t>在符合有关基金分红条件的前提下，本基金每年收益分配次数最多为12次，</w:t>
      </w:r>
      <w:r w:rsidR="00AF2EE6" w:rsidRPr="004A57FA">
        <w:rPr>
          <w:rFonts w:asciiTheme="minorEastAsia" w:eastAsiaTheme="minorEastAsia" w:hAnsiTheme="minorEastAsia" w:hint="eastAsia"/>
          <w:kern w:val="0"/>
          <w:szCs w:val="21"/>
        </w:rPr>
        <w:t>全年收益分配比例不得低于年度可供分配收益的10%</w:t>
      </w:r>
      <w:r w:rsidR="00AF2EE6" w:rsidRPr="004A57FA">
        <w:rPr>
          <w:rFonts w:asciiTheme="minorEastAsia" w:eastAsiaTheme="minorEastAsia" w:hAnsiTheme="minorEastAsia" w:hint="eastAsia"/>
        </w:rPr>
        <w:t>，若《基金合同》生效不满3个月可不进行收益分配；</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本基金收益分配方式分两种：现金分红与红利再投资，投资者可选择现金红利或将现金红利按红利发放日前一工作日的基金份额净值自动转为基金份额进行再投资；若投资者不选择，本基金默认的收益分配方式是现金分红；</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基金投资当期出现净亏损，则不进行收益分配；</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基金收益分配后每份基金份额的净值不能低于面值；</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5、</w:t>
      </w:r>
      <w:r w:rsidR="00AF2EE6" w:rsidRPr="004A57FA">
        <w:rPr>
          <w:rFonts w:asciiTheme="minorEastAsia" w:eastAsiaTheme="minorEastAsia" w:hAnsiTheme="minorEastAsia" w:hint="eastAsia"/>
          <w:szCs w:val="21"/>
        </w:rPr>
        <w:t>基金当年收益应先弥补上一年度亏损后，才可进行当年收益分配；</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6、</w:t>
      </w:r>
      <w:r w:rsidR="00AF2EE6" w:rsidRPr="004A57FA">
        <w:rPr>
          <w:rFonts w:asciiTheme="minorEastAsia" w:eastAsiaTheme="minorEastAsia" w:hAnsiTheme="minorEastAsia" w:hint="eastAsia"/>
          <w:szCs w:val="21"/>
        </w:rPr>
        <w:t>每一基金份额享有同等分配权；</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7、</w:t>
      </w:r>
      <w:r w:rsidR="00AF2EE6" w:rsidRPr="004A57FA">
        <w:rPr>
          <w:rFonts w:asciiTheme="minorEastAsia" w:eastAsiaTheme="minorEastAsia" w:hAnsiTheme="minorEastAsia"/>
          <w:szCs w:val="21"/>
        </w:rPr>
        <w:t>原基金</w:t>
      </w:r>
      <w:r w:rsidR="00AF2EE6" w:rsidRPr="004A57FA">
        <w:rPr>
          <w:rFonts w:asciiTheme="minorEastAsia" w:eastAsiaTheme="minorEastAsia" w:hAnsiTheme="minorEastAsia" w:hint="eastAsia"/>
          <w:szCs w:val="21"/>
        </w:rPr>
        <w:t>科翔</w:t>
      </w:r>
      <w:r w:rsidR="00AF2EE6" w:rsidRPr="004A57FA">
        <w:rPr>
          <w:rFonts w:asciiTheme="minorEastAsia" w:eastAsiaTheme="minorEastAsia" w:hAnsiTheme="minorEastAsia"/>
          <w:szCs w:val="21"/>
        </w:rPr>
        <w:t>终止上市后,</w:t>
      </w:r>
      <w:r w:rsidR="00AF2EE6" w:rsidRPr="004A57FA">
        <w:rPr>
          <w:rFonts w:asciiTheme="minorEastAsia" w:eastAsiaTheme="minorEastAsia" w:hAnsiTheme="minorEastAsia" w:hint="eastAsia"/>
          <w:szCs w:val="21"/>
        </w:rPr>
        <w:t>基金注册登记人由中国证券登记结算有限责任公司更换为易方达</w:t>
      </w:r>
      <w:r w:rsidR="00AF2EE6" w:rsidRPr="004A57FA">
        <w:rPr>
          <w:rFonts w:asciiTheme="minorEastAsia" w:eastAsiaTheme="minorEastAsia" w:hAnsiTheme="minorEastAsia"/>
          <w:szCs w:val="21"/>
        </w:rPr>
        <w:t>基金管理有限公司,基金份额持有人需要对</w:t>
      </w:r>
      <w:r w:rsidR="00AF2EE6" w:rsidRPr="004A57FA">
        <w:rPr>
          <w:rFonts w:asciiTheme="minorEastAsia" w:eastAsiaTheme="minorEastAsia" w:hAnsiTheme="minorEastAsia" w:hint="eastAsia"/>
          <w:szCs w:val="21"/>
        </w:rPr>
        <w:t>原</w:t>
      </w:r>
      <w:r w:rsidR="00AF2EE6" w:rsidRPr="004A57FA">
        <w:rPr>
          <w:rFonts w:asciiTheme="minorEastAsia" w:eastAsiaTheme="minorEastAsia" w:hAnsiTheme="minorEastAsia"/>
          <w:szCs w:val="21"/>
        </w:rPr>
        <w:t>持有的基金份额进行确认和重新登记,方可通过其办理确权业务的相关销售机构办理赎回等业务。在投资者办理确权登记之前,如本基金进行收益分配,则未办理确权手续的基金份额产生相应的基金权益将以</w:t>
      </w:r>
      <w:r w:rsidR="00AF2EE6" w:rsidRPr="004A57FA">
        <w:rPr>
          <w:rFonts w:asciiTheme="minorEastAsia" w:eastAsiaTheme="minorEastAsia" w:hAnsiTheme="minorEastAsia" w:hint="eastAsia"/>
          <w:szCs w:val="21"/>
        </w:rPr>
        <w:t>红利</w:t>
      </w:r>
      <w:r w:rsidR="00AF2EE6" w:rsidRPr="004A57FA">
        <w:rPr>
          <w:rFonts w:asciiTheme="minorEastAsia" w:eastAsiaTheme="minorEastAsia" w:hAnsiTheme="minorEastAsia"/>
          <w:szCs w:val="21"/>
        </w:rPr>
        <w:t>再投资方式进行处理,分红后基金份额继续托管在</w:t>
      </w:r>
      <w:r w:rsidR="00AF2EE6" w:rsidRPr="004A57FA">
        <w:rPr>
          <w:rFonts w:asciiTheme="minorEastAsia" w:eastAsiaTheme="minorEastAsia" w:hAnsiTheme="minorEastAsia" w:hint="eastAsia"/>
          <w:szCs w:val="21"/>
        </w:rPr>
        <w:t>易方达</w:t>
      </w:r>
      <w:r w:rsidR="00AF2EE6" w:rsidRPr="004A57FA">
        <w:rPr>
          <w:rFonts w:asciiTheme="minorEastAsia" w:eastAsiaTheme="minorEastAsia" w:hAnsiTheme="minorEastAsia"/>
          <w:szCs w:val="21"/>
        </w:rPr>
        <w:t>基金管理有限公司登记注册中心,直至投资者办理确权登记</w:t>
      </w:r>
      <w:r w:rsidR="00F24964" w:rsidRPr="004A57FA">
        <w:rPr>
          <w:rFonts w:asciiTheme="minorEastAsia" w:eastAsiaTheme="minorEastAsia" w:hAnsiTheme="minorEastAsia" w:hint="eastAsia"/>
          <w:szCs w:val="21"/>
        </w:rPr>
        <w:t>；</w:t>
      </w:r>
    </w:p>
    <w:p w:rsidR="00AF2EE6" w:rsidRPr="004A57FA" w:rsidRDefault="00FC5032" w:rsidP="00C53017">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8、</w:t>
      </w:r>
      <w:r w:rsidR="00AF2EE6" w:rsidRPr="004A57FA">
        <w:rPr>
          <w:rFonts w:asciiTheme="minorEastAsia" w:eastAsiaTheme="minorEastAsia" w:hAnsiTheme="minorEastAsia" w:hint="eastAsia"/>
          <w:szCs w:val="21"/>
        </w:rPr>
        <w:t>法律法规或监管机关另有规定的，从其规定。</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（三）收益分配方案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基金收益分配方案中应载明</w:t>
      </w:r>
      <w:r w:rsidRPr="004A57FA">
        <w:rPr>
          <w:rFonts w:asciiTheme="minorEastAsia" w:eastAsiaTheme="minorEastAsia" w:hAnsiTheme="minorEastAsia" w:hint="eastAsia"/>
          <w:szCs w:val="21"/>
        </w:rPr>
        <w:t>基金收益分配对象、分配时间、分配数额、分配方式</w:t>
      </w:r>
      <w:r w:rsidRPr="004A57FA">
        <w:rPr>
          <w:rFonts w:asciiTheme="minorEastAsia" w:eastAsiaTheme="minorEastAsia" w:hAnsiTheme="minorEastAsia"/>
          <w:szCs w:val="21"/>
        </w:rPr>
        <w:t>等内容。</w:t>
      </w:r>
    </w:p>
    <w:p w:rsidR="00DB6A2B" w:rsidRPr="004A57FA" w:rsidRDefault="00AF2EE6" w:rsidP="00C53017">
      <w:pPr>
        <w:snapToGrid w:val="0"/>
        <w:spacing w:line="360" w:lineRule="auto"/>
        <w:rPr>
          <w:rFonts w:asciiTheme="minorEastAsia" w:eastAsiaTheme="minorEastAsia" w:hAnsiTheme="minorEastAsia"/>
          <w:sz w:val="28"/>
          <w:szCs w:val="28"/>
        </w:rPr>
      </w:pPr>
      <w:bookmarkStart w:id="213" w:name="_Toc84149666"/>
      <w:bookmarkStart w:id="214" w:name="_Toc86584642"/>
      <w:r w:rsidRPr="004A57FA">
        <w:rPr>
          <w:rFonts w:asciiTheme="minorEastAsia" w:eastAsiaTheme="minorEastAsia" w:hAnsiTheme="minorEastAsia" w:hint="eastAsia"/>
          <w:sz w:val="28"/>
          <w:szCs w:val="28"/>
        </w:rPr>
        <w:t>（四）收益分配方案的确定、公告与实施</w:t>
      </w:r>
      <w:bookmarkEnd w:id="213"/>
      <w:bookmarkEnd w:id="214"/>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本基金收益分配方案由基金管理人拟定，并由基金托管人复核，</w:t>
      </w:r>
      <w:r w:rsidR="00064735" w:rsidRPr="004A57FA">
        <w:rPr>
          <w:rFonts w:asciiTheme="minorEastAsia" w:eastAsiaTheme="minorEastAsia" w:hAnsiTheme="minorEastAsia" w:hint="eastAsia"/>
          <w:szCs w:val="21"/>
        </w:rPr>
        <w:t>在2日内在指定媒介公告</w:t>
      </w:r>
      <w:r w:rsidRPr="004A57FA">
        <w:rPr>
          <w:rFonts w:asciiTheme="minorEastAsia" w:eastAsiaTheme="minorEastAsia" w:hAnsiTheme="minorEastAsia" w:hint="eastAsia"/>
          <w:szCs w:val="21"/>
        </w:rPr>
        <w:t>。</w:t>
      </w:r>
    </w:p>
    <w:p w:rsidR="00DB6A2B" w:rsidRPr="004A57FA" w:rsidRDefault="00AF2EE6" w:rsidP="00C53017">
      <w:pPr>
        <w:snapToGrid w:val="0"/>
        <w:spacing w:line="360" w:lineRule="auto"/>
        <w:rPr>
          <w:rFonts w:asciiTheme="minorEastAsia" w:eastAsiaTheme="minorEastAsia" w:hAnsiTheme="minorEastAsia"/>
          <w:sz w:val="28"/>
          <w:szCs w:val="28"/>
        </w:rPr>
      </w:pPr>
      <w:bookmarkStart w:id="215" w:name="_Toc84149667"/>
      <w:bookmarkStart w:id="216" w:name="_Toc86584643"/>
      <w:r w:rsidRPr="004A57FA">
        <w:rPr>
          <w:rFonts w:asciiTheme="minorEastAsia" w:eastAsiaTheme="minorEastAsia" w:hAnsiTheme="minorEastAsia" w:hint="eastAsia"/>
          <w:sz w:val="28"/>
          <w:szCs w:val="28"/>
        </w:rPr>
        <w:t>（五）基金</w:t>
      </w:r>
      <w:r w:rsidRPr="004A57FA">
        <w:rPr>
          <w:rFonts w:asciiTheme="minorEastAsia" w:eastAsiaTheme="minorEastAsia" w:hAnsiTheme="minorEastAsia"/>
          <w:sz w:val="28"/>
          <w:szCs w:val="28"/>
        </w:rPr>
        <w:t>收益分配中发生的费用</w:t>
      </w:r>
      <w:bookmarkEnd w:id="215"/>
      <w:bookmarkEnd w:id="216"/>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红利分配时所发生的银行转账或其他手续费用由投资者自行承担。当投资者的现金红利小于一定金额，不足于支付银行转账或其他手续费用时，基金注册登记机构可将基金份额持有人的现金红利按红利发放日前一工作日的基金份额净值自动转为基金份额。红利再投资的</w:t>
      </w:r>
      <w:r w:rsidRPr="004A57FA">
        <w:rPr>
          <w:rFonts w:asciiTheme="minorEastAsia" w:eastAsiaTheme="minorEastAsia" w:hAnsiTheme="minorEastAsia" w:hint="eastAsia"/>
          <w:szCs w:val="21"/>
        </w:rPr>
        <w:lastRenderedPageBreak/>
        <w:t>计算方法，依照《业务规则》执行。</w:t>
      </w: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FC5032" w:rsidRPr="004A57FA" w:rsidRDefault="00FC5032" w:rsidP="00C53017">
      <w:pPr>
        <w:snapToGrid w:val="0"/>
        <w:spacing w:line="360" w:lineRule="auto"/>
        <w:ind w:firstLine="420"/>
        <w:rPr>
          <w:rFonts w:asciiTheme="minorEastAsia" w:eastAsiaTheme="minorEastAsia" w:hAnsiTheme="minorEastAsia"/>
          <w:szCs w:val="21"/>
        </w:rPr>
      </w:pPr>
    </w:p>
    <w:p w:rsidR="00AF2EE6" w:rsidRPr="004A57FA" w:rsidRDefault="00AF2EE6" w:rsidP="00C53017">
      <w:pPr>
        <w:snapToGrid w:val="0"/>
        <w:spacing w:line="360" w:lineRule="auto"/>
        <w:ind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217" w:name="_Toc81231035"/>
      <w:r w:rsidRPr="004A57FA">
        <w:rPr>
          <w:rFonts w:asciiTheme="minorEastAsia" w:eastAsiaTheme="minorEastAsia" w:hAnsiTheme="minorEastAsia" w:hint="eastAsia"/>
          <w:b/>
          <w:bCs/>
        </w:rPr>
        <w:lastRenderedPageBreak/>
        <w:t>十七、基金的费用与税收</w:t>
      </w:r>
      <w:bookmarkEnd w:id="217"/>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18" w:name="_Toc84149669"/>
      <w:bookmarkStart w:id="219" w:name="_Toc86584633"/>
      <w:bookmarkStart w:id="220" w:name="_Toc81231036"/>
      <w:r w:rsidRPr="004A57FA">
        <w:rPr>
          <w:rFonts w:asciiTheme="minorEastAsia" w:eastAsiaTheme="minorEastAsia" w:hAnsiTheme="minorEastAsia" w:hint="eastAsia"/>
          <w:b w:val="0"/>
        </w:rPr>
        <w:t>（一）与基金运作相关的费用</w:t>
      </w:r>
      <w:bookmarkEnd w:id="218"/>
      <w:bookmarkEnd w:id="219"/>
      <w:bookmarkEnd w:id="220"/>
    </w:p>
    <w:p w:rsidR="00AF2EE6" w:rsidRPr="004A57FA" w:rsidRDefault="00FC5032" w:rsidP="00C53017">
      <w:pPr>
        <w:snapToGrid w:val="0"/>
        <w:spacing w:line="360" w:lineRule="auto"/>
        <w:ind w:firstLineChars="200" w:firstLine="420"/>
        <w:rPr>
          <w:rFonts w:asciiTheme="minorEastAsia" w:eastAsiaTheme="minorEastAsia" w:hAnsiTheme="minorEastAsia"/>
          <w:b/>
          <w:bCs/>
          <w:sz w:val="24"/>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基金费用的种类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（1）基金管理人的管理费；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（2）基金托管人的托管费；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（3）信息披露费用；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（4）会计师费和律师费；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（5）基金份额持有人大会费用；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（6）基金的证券交易费用；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（7）基金的银行汇划费用；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（8）按照国家有关规定和《基金合同》约定，可以在基金财产中列支的其他费用。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本基金终止清算时所发生费用，按实际支出额从基金财产总值中扣除。</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bCs/>
          <w:szCs w:val="21"/>
        </w:rPr>
        <w:t>2、</w:t>
      </w:r>
      <w:r w:rsidR="00AF2EE6" w:rsidRPr="004A57FA">
        <w:rPr>
          <w:rFonts w:asciiTheme="minorEastAsia" w:eastAsiaTheme="minorEastAsia" w:hAnsiTheme="minorEastAsia" w:hint="eastAsia"/>
          <w:bCs/>
          <w:szCs w:val="21"/>
        </w:rPr>
        <w:t>基金费用计提方法、计提标准和支付方式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（1）基金管理人的管理费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w:t>
      </w:r>
      <w:r w:rsidRPr="004A57FA">
        <w:rPr>
          <w:rFonts w:asciiTheme="minorEastAsia" w:eastAsiaTheme="minorEastAsia" w:hAnsiTheme="minorEastAsia"/>
          <w:szCs w:val="21"/>
        </w:rPr>
        <w:t>的管理费</w:t>
      </w:r>
      <w:r w:rsidRPr="004A57FA">
        <w:rPr>
          <w:rFonts w:asciiTheme="minorEastAsia" w:eastAsiaTheme="minorEastAsia" w:hAnsiTheme="minorEastAsia" w:hint="eastAsia"/>
          <w:szCs w:val="21"/>
        </w:rPr>
        <w:t>按前一日</w:t>
      </w:r>
      <w:r w:rsidRPr="004A57FA">
        <w:rPr>
          <w:rFonts w:asciiTheme="minorEastAsia" w:eastAsiaTheme="minorEastAsia" w:hAnsiTheme="minorEastAsia"/>
          <w:szCs w:val="21"/>
        </w:rPr>
        <w:t>基金资产净值的</w:t>
      </w:r>
      <w:r w:rsidRPr="004A57FA">
        <w:rPr>
          <w:rFonts w:asciiTheme="minorEastAsia" w:eastAsiaTheme="minorEastAsia" w:hAnsiTheme="minorEastAsia" w:hint="eastAsia"/>
          <w:szCs w:val="21"/>
        </w:rPr>
        <w:t>1.5</w:t>
      </w:r>
      <w:r w:rsidRPr="004A57FA">
        <w:rPr>
          <w:rFonts w:asciiTheme="minorEastAsia" w:eastAsiaTheme="minorEastAsia" w:hAnsiTheme="minorEastAsia"/>
          <w:szCs w:val="21"/>
        </w:rPr>
        <w:t>%年费率计提。</w:t>
      </w:r>
      <w:r w:rsidRPr="004A57FA">
        <w:rPr>
          <w:rFonts w:asciiTheme="minorEastAsia" w:eastAsiaTheme="minorEastAsia" w:hAnsiTheme="minorEastAsia" w:hint="eastAsia"/>
          <w:szCs w:val="21"/>
        </w:rPr>
        <w:t>管理费的</w:t>
      </w:r>
      <w:r w:rsidRPr="004A57FA">
        <w:rPr>
          <w:rFonts w:asciiTheme="minorEastAsia" w:eastAsiaTheme="minorEastAsia" w:hAnsiTheme="minorEastAsia"/>
          <w:szCs w:val="21"/>
        </w:rPr>
        <w:t>计算方法如下：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H＝E×</w:t>
      </w:r>
      <w:r w:rsidRPr="004A57FA">
        <w:rPr>
          <w:rFonts w:asciiTheme="minorEastAsia" w:eastAsiaTheme="minorEastAsia" w:hAnsiTheme="minorEastAsia" w:hint="eastAsia"/>
          <w:szCs w:val="21"/>
        </w:rPr>
        <w:t>1.5</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当年天数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H为每日应</w:t>
      </w:r>
      <w:r w:rsidRPr="004A57FA">
        <w:rPr>
          <w:rFonts w:asciiTheme="minorEastAsia" w:eastAsiaTheme="minorEastAsia" w:hAnsiTheme="minorEastAsia" w:hint="eastAsia"/>
          <w:szCs w:val="21"/>
        </w:rPr>
        <w:t>计提</w:t>
      </w:r>
      <w:r w:rsidRPr="004A57FA">
        <w:rPr>
          <w:rFonts w:asciiTheme="minorEastAsia" w:eastAsiaTheme="minorEastAsia" w:hAnsiTheme="minorEastAsia"/>
          <w:szCs w:val="21"/>
        </w:rPr>
        <w:t>的基金管理费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E</w:t>
      </w:r>
      <w:r w:rsidRPr="004A57FA">
        <w:rPr>
          <w:rFonts w:asciiTheme="minorEastAsia" w:eastAsiaTheme="minorEastAsia" w:hAnsiTheme="minorEastAsia"/>
          <w:szCs w:val="21"/>
        </w:rPr>
        <w:t>为前一日的基金资产净值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基金管理费每日计算</w:t>
      </w:r>
      <w:r w:rsidRPr="004A57FA">
        <w:rPr>
          <w:rFonts w:asciiTheme="minorEastAsia" w:eastAsiaTheme="minorEastAsia" w:hAnsiTheme="minorEastAsia" w:hint="eastAsia"/>
          <w:szCs w:val="21"/>
        </w:rPr>
        <w:t>，逐日累计至每月月末，</w:t>
      </w:r>
      <w:r w:rsidRPr="004A57FA">
        <w:rPr>
          <w:rFonts w:asciiTheme="minorEastAsia" w:eastAsiaTheme="minorEastAsia" w:hAnsiTheme="minorEastAsia"/>
          <w:szCs w:val="21"/>
        </w:rPr>
        <w:t>按月支付</w:t>
      </w:r>
      <w:r w:rsidRPr="004A57FA">
        <w:rPr>
          <w:rFonts w:asciiTheme="minorEastAsia" w:eastAsiaTheme="minorEastAsia" w:hAnsiTheme="minorEastAsia" w:hint="eastAsia"/>
          <w:szCs w:val="21"/>
        </w:rPr>
        <w:t>，由基金管理人向基金托管人发送基金管理费划款指令，</w:t>
      </w:r>
      <w:r w:rsidRPr="004A57FA">
        <w:rPr>
          <w:rFonts w:asciiTheme="minorEastAsia" w:eastAsiaTheme="minorEastAsia" w:hAnsiTheme="minorEastAsia"/>
          <w:szCs w:val="21"/>
        </w:rPr>
        <w:t>基金托管人</w:t>
      </w:r>
      <w:r w:rsidRPr="004A57FA">
        <w:rPr>
          <w:rFonts w:asciiTheme="minorEastAsia" w:eastAsiaTheme="minorEastAsia" w:hAnsiTheme="minorEastAsia" w:hint="eastAsia"/>
          <w:szCs w:val="21"/>
        </w:rPr>
        <w:t>复核后</w:t>
      </w:r>
      <w:r w:rsidRPr="004A57FA">
        <w:rPr>
          <w:rFonts w:asciiTheme="minorEastAsia" w:eastAsiaTheme="minorEastAsia" w:hAnsiTheme="minorEastAsia"/>
          <w:szCs w:val="21"/>
        </w:rPr>
        <w:t>于次月前</w:t>
      </w: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个工作日内从基金</w:t>
      </w:r>
      <w:r w:rsidRPr="004A57FA">
        <w:rPr>
          <w:rFonts w:asciiTheme="minorEastAsia" w:eastAsiaTheme="minorEastAsia" w:hAnsiTheme="minorEastAsia" w:hint="eastAsia"/>
          <w:szCs w:val="21"/>
        </w:rPr>
        <w:t>财产</w:t>
      </w:r>
      <w:r w:rsidRPr="004A57FA">
        <w:rPr>
          <w:rFonts w:asciiTheme="minorEastAsia" w:eastAsiaTheme="minorEastAsia" w:hAnsiTheme="minorEastAsia"/>
          <w:szCs w:val="21"/>
        </w:rPr>
        <w:t>中一次性支付给基金管理人</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若遇法定节假日、</w:t>
      </w:r>
      <w:r w:rsidRPr="004A57FA">
        <w:rPr>
          <w:rFonts w:asciiTheme="minorEastAsia" w:eastAsiaTheme="minorEastAsia" w:hAnsiTheme="minorEastAsia" w:hint="eastAsia"/>
          <w:szCs w:val="21"/>
        </w:rPr>
        <w:t>公休假</w:t>
      </w:r>
      <w:r w:rsidRPr="004A57FA">
        <w:rPr>
          <w:rFonts w:asciiTheme="minorEastAsia" w:eastAsiaTheme="minorEastAsia" w:hAnsiTheme="minorEastAsia"/>
          <w:szCs w:val="21"/>
        </w:rPr>
        <w:t>等,支付日期顺延。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（2）基金托管人的托管费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w:t>
      </w:r>
      <w:r w:rsidRPr="004A57FA">
        <w:rPr>
          <w:rFonts w:asciiTheme="minorEastAsia" w:eastAsiaTheme="minorEastAsia" w:hAnsiTheme="minorEastAsia"/>
          <w:szCs w:val="21"/>
        </w:rPr>
        <w:t>基金的托管费按</w:t>
      </w:r>
      <w:r w:rsidRPr="004A57FA">
        <w:rPr>
          <w:rFonts w:asciiTheme="minorEastAsia" w:eastAsiaTheme="minorEastAsia" w:hAnsiTheme="minorEastAsia" w:hint="eastAsia"/>
          <w:szCs w:val="21"/>
        </w:rPr>
        <w:t>前一日</w:t>
      </w:r>
      <w:r w:rsidRPr="004A57FA">
        <w:rPr>
          <w:rFonts w:asciiTheme="minorEastAsia" w:eastAsiaTheme="minorEastAsia" w:hAnsiTheme="minorEastAsia"/>
          <w:szCs w:val="21"/>
        </w:rPr>
        <w:t>基金资产净值的2.5‰的年费率计提。</w:t>
      </w:r>
      <w:r w:rsidRPr="004A57FA">
        <w:rPr>
          <w:rFonts w:asciiTheme="minorEastAsia" w:eastAsiaTheme="minorEastAsia" w:hAnsiTheme="minorEastAsia" w:hint="eastAsia"/>
          <w:szCs w:val="21"/>
        </w:rPr>
        <w:t>托管费的</w:t>
      </w:r>
      <w:r w:rsidRPr="004A57FA">
        <w:rPr>
          <w:rFonts w:asciiTheme="minorEastAsia" w:eastAsiaTheme="minorEastAsia" w:hAnsiTheme="minorEastAsia"/>
          <w:szCs w:val="21"/>
        </w:rPr>
        <w:t>计算方法如下：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H＝E×2.5‰</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当年天数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H为每日应</w:t>
      </w:r>
      <w:r w:rsidRPr="004A57FA">
        <w:rPr>
          <w:rFonts w:asciiTheme="minorEastAsia" w:eastAsiaTheme="minorEastAsia" w:hAnsiTheme="minorEastAsia" w:hint="eastAsia"/>
          <w:szCs w:val="21"/>
        </w:rPr>
        <w:t>计提</w:t>
      </w:r>
      <w:r w:rsidRPr="004A57FA">
        <w:rPr>
          <w:rFonts w:asciiTheme="minorEastAsia" w:eastAsiaTheme="minorEastAsia" w:hAnsiTheme="minorEastAsia"/>
          <w:szCs w:val="21"/>
        </w:rPr>
        <w:t>的基金托管费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E为前一日的基金资产净值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基金托管费每日计算</w:t>
      </w:r>
      <w:r w:rsidRPr="004A57FA">
        <w:rPr>
          <w:rFonts w:asciiTheme="minorEastAsia" w:eastAsiaTheme="minorEastAsia" w:hAnsiTheme="minorEastAsia" w:hint="eastAsia"/>
          <w:szCs w:val="21"/>
        </w:rPr>
        <w:t>，逐日累计至每月月末，</w:t>
      </w:r>
      <w:r w:rsidRPr="004A57FA">
        <w:rPr>
          <w:rFonts w:asciiTheme="minorEastAsia" w:eastAsiaTheme="minorEastAsia" w:hAnsiTheme="minorEastAsia"/>
          <w:szCs w:val="21"/>
        </w:rPr>
        <w:t>按月支付</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由</w:t>
      </w:r>
      <w:r w:rsidRPr="004A57FA">
        <w:rPr>
          <w:rFonts w:asciiTheme="minorEastAsia" w:eastAsiaTheme="minorEastAsia" w:hAnsiTheme="minorEastAsia" w:hint="eastAsia"/>
          <w:szCs w:val="21"/>
        </w:rPr>
        <w:t>基金管理人向基金托管人发送基金托管费划款指令，</w:t>
      </w:r>
      <w:r w:rsidRPr="004A57FA">
        <w:rPr>
          <w:rFonts w:asciiTheme="minorEastAsia" w:eastAsiaTheme="minorEastAsia" w:hAnsiTheme="minorEastAsia"/>
          <w:szCs w:val="21"/>
        </w:rPr>
        <w:t>基金托管人</w:t>
      </w:r>
      <w:r w:rsidRPr="004A57FA">
        <w:rPr>
          <w:rFonts w:asciiTheme="minorEastAsia" w:eastAsiaTheme="minorEastAsia" w:hAnsiTheme="minorEastAsia" w:hint="eastAsia"/>
          <w:szCs w:val="21"/>
        </w:rPr>
        <w:t>复核后</w:t>
      </w:r>
      <w:r w:rsidRPr="004A57FA">
        <w:rPr>
          <w:rFonts w:asciiTheme="minorEastAsia" w:eastAsiaTheme="minorEastAsia" w:hAnsiTheme="minorEastAsia"/>
          <w:szCs w:val="21"/>
        </w:rPr>
        <w:t>于次月前</w:t>
      </w: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个工作日内从基金财产中一次性支取</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若遇法定节假日、</w:t>
      </w:r>
      <w:r w:rsidRPr="004A57FA">
        <w:rPr>
          <w:rFonts w:asciiTheme="minorEastAsia" w:eastAsiaTheme="minorEastAsia" w:hAnsiTheme="minorEastAsia" w:hint="eastAsia"/>
          <w:szCs w:val="21"/>
        </w:rPr>
        <w:t>公休日</w:t>
      </w:r>
      <w:r w:rsidRPr="004A57FA">
        <w:rPr>
          <w:rFonts w:asciiTheme="minorEastAsia" w:eastAsiaTheme="minorEastAsia" w:hAnsiTheme="minorEastAsia"/>
          <w:szCs w:val="21"/>
        </w:rPr>
        <w:t>等,支付日期顺延。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rPr>
        <w:t>上述</w:t>
      </w:r>
      <w:r w:rsidRPr="004A57FA">
        <w:rPr>
          <w:rFonts w:asciiTheme="minorEastAsia" w:eastAsiaTheme="minorEastAsia" w:hAnsiTheme="minorEastAsia" w:hint="eastAsia"/>
        </w:rPr>
        <w:t>“</w:t>
      </w: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基金</w:t>
      </w:r>
      <w:r w:rsidRPr="004A57FA">
        <w:rPr>
          <w:rFonts w:asciiTheme="minorEastAsia" w:eastAsiaTheme="minorEastAsia" w:hAnsiTheme="minorEastAsia"/>
        </w:rPr>
        <w:t>费用</w:t>
      </w:r>
      <w:r w:rsidRPr="004A57FA">
        <w:rPr>
          <w:rFonts w:asciiTheme="minorEastAsia" w:eastAsiaTheme="minorEastAsia" w:hAnsiTheme="minorEastAsia" w:hint="eastAsia"/>
        </w:rPr>
        <w:t>的种类</w:t>
      </w:r>
      <w:r w:rsidRPr="004A57FA">
        <w:rPr>
          <w:rFonts w:asciiTheme="minorEastAsia" w:eastAsiaTheme="minorEastAsia" w:hAnsiTheme="minorEastAsia"/>
        </w:rPr>
        <w:t>”中第</w:t>
      </w:r>
      <w:r w:rsidRPr="004A57FA">
        <w:rPr>
          <w:rFonts w:asciiTheme="minorEastAsia" w:eastAsiaTheme="minorEastAsia" w:hAnsiTheme="minorEastAsia" w:hint="eastAsia"/>
        </w:rPr>
        <w:t>（3）－（7）</w:t>
      </w:r>
      <w:r w:rsidRPr="004A57FA">
        <w:rPr>
          <w:rFonts w:asciiTheme="minorEastAsia" w:eastAsiaTheme="minorEastAsia" w:hAnsiTheme="minorEastAsia"/>
        </w:rPr>
        <w:t>项费用</w:t>
      </w:r>
      <w:r w:rsidRPr="004A57FA">
        <w:rPr>
          <w:rFonts w:asciiTheme="minorEastAsia" w:eastAsiaTheme="minorEastAsia" w:hAnsiTheme="minorEastAsia" w:hint="eastAsia"/>
        </w:rPr>
        <w:t>，</w:t>
      </w:r>
      <w:r w:rsidRPr="004A57FA">
        <w:rPr>
          <w:rFonts w:asciiTheme="minorEastAsia" w:eastAsiaTheme="minorEastAsia" w:hAnsiTheme="minorEastAsia"/>
        </w:rPr>
        <w:t>根据有关法规及相应协议规定</w:t>
      </w:r>
      <w:r w:rsidRPr="004A57FA">
        <w:rPr>
          <w:rFonts w:asciiTheme="minorEastAsia" w:eastAsiaTheme="minorEastAsia" w:hAnsiTheme="minorEastAsia" w:hint="eastAsia"/>
        </w:rPr>
        <w:t>，</w:t>
      </w:r>
      <w:r w:rsidRPr="004A57FA">
        <w:rPr>
          <w:rFonts w:asciiTheme="minorEastAsia" w:eastAsiaTheme="minorEastAsia" w:hAnsiTheme="minorEastAsia"/>
        </w:rPr>
        <w:t>按费用实际支出金额列入当期费用</w:t>
      </w:r>
      <w:r w:rsidRPr="004A57FA">
        <w:rPr>
          <w:rFonts w:asciiTheme="minorEastAsia" w:eastAsiaTheme="minorEastAsia" w:hAnsiTheme="minorEastAsia" w:hint="eastAsia"/>
        </w:rPr>
        <w:t>，</w:t>
      </w:r>
      <w:r w:rsidRPr="004A57FA">
        <w:rPr>
          <w:rFonts w:asciiTheme="minorEastAsia" w:eastAsiaTheme="minorEastAsia" w:hAnsiTheme="minorEastAsia"/>
        </w:rPr>
        <w:t>由基金托管人从基金财产中支付。</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不列入基金费用的项目</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下列费用不列入基金费用：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（1）基金管理人和基金托管人因未履行或未完全履行义务导致的费用支出或基金财产的损失；</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（2）基金管理人和基金托管人处理与基金运作无关的事项发生的费用；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（3）其他根据相关法律法规及中国证监会的有关规定不得列入基金费用的项目。</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基金费用的调整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基金管理人和基金托管人协商一致后，可根据基金发展情况调整基金管理费率、基金托管费率等相关费率。</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调高基金管理费率和基金托管费率，须召开基金份额持有人大会审议，</w:t>
      </w:r>
      <w:r w:rsidRPr="004A57FA">
        <w:rPr>
          <w:rFonts w:asciiTheme="minorEastAsia" w:eastAsiaTheme="minorEastAsia" w:hAnsiTheme="minorEastAsia" w:hint="eastAsia"/>
        </w:rPr>
        <w:t>除非基金合同、相关法律法规或监管机构另有规定</w:t>
      </w:r>
      <w:r w:rsidRPr="004A57FA">
        <w:rPr>
          <w:rFonts w:asciiTheme="minorEastAsia" w:eastAsiaTheme="minorEastAsia" w:hAnsiTheme="minorEastAsia" w:hint="eastAsia"/>
          <w:szCs w:val="21"/>
        </w:rPr>
        <w:t>；调低基金管理费率和基金托管费率，无须召开基金份额持有人大会。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基金管理人必须在新的费率实施日前在</w:t>
      </w:r>
      <w:r w:rsidR="00064735" w:rsidRPr="004A57FA">
        <w:rPr>
          <w:rFonts w:asciiTheme="minorEastAsia" w:eastAsiaTheme="minorEastAsia" w:hAnsiTheme="minorEastAsia" w:hint="eastAsia"/>
          <w:szCs w:val="21"/>
        </w:rPr>
        <w:t>指定媒介上</w:t>
      </w:r>
      <w:r w:rsidRPr="004A57FA">
        <w:rPr>
          <w:rFonts w:asciiTheme="minorEastAsia" w:eastAsiaTheme="minorEastAsia" w:hAnsiTheme="minorEastAsia" w:hint="eastAsia"/>
          <w:szCs w:val="21"/>
        </w:rPr>
        <w:t>公告。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21" w:name="_Toc81231037"/>
      <w:r w:rsidRPr="004A57FA">
        <w:rPr>
          <w:rFonts w:asciiTheme="minorEastAsia" w:eastAsiaTheme="minorEastAsia" w:hAnsiTheme="minorEastAsia" w:hint="eastAsia"/>
          <w:b w:val="0"/>
        </w:rPr>
        <w:t>（二）与基金销售有关的费用</w:t>
      </w:r>
      <w:bookmarkEnd w:id="221"/>
    </w:p>
    <w:p w:rsidR="00862DFC"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1、</w:t>
      </w:r>
      <w:r w:rsidR="000D584D" w:rsidRPr="004A57FA">
        <w:rPr>
          <w:rFonts w:asciiTheme="minorEastAsia" w:eastAsiaTheme="minorEastAsia" w:hAnsiTheme="minorEastAsia" w:hint="eastAsia"/>
          <w:szCs w:val="21"/>
        </w:rPr>
        <w:t>本基金的申购费、赎回费的费率水平、计算公式和收取方式详见本招募说明书</w:t>
      </w:r>
      <w:r w:rsidR="00862DFC" w:rsidRPr="004A57FA">
        <w:rPr>
          <w:rFonts w:asciiTheme="minorEastAsia" w:eastAsiaTheme="minorEastAsia" w:hAnsiTheme="minorEastAsia" w:hint="eastAsia"/>
          <w:szCs w:val="21"/>
        </w:rPr>
        <w:t>“九、基金份额的申购、赎回”中</w:t>
      </w:r>
      <w:r w:rsidR="000D584D" w:rsidRPr="004A57FA">
        <w:rPr>
          <w:rFonts w:asciiTheme="minorEastAsia" w:eastAsiaTheme="minorEastAsia" w:hAnsiTheme="minorEastAsia" w:hint="eastAsia"/>
          <w:szCs w:val="21"/>
        </w:rPr>
        <w:t>“</w:t>
      </w:r>
      <w:r w:rsidR="000D584D" w:rsidRPr="004A57FA">
        <w:rPr>
          <w:rFonts w:asciiTheme="minorEastAsia" w:eastAsiaTheme="minorEastAsia" w:hAnsiTheme="minorEastAsia" w:hint="eastAsia"/>
          <w:bCs/>
          <w:szCs w:val="21"/>
        </w:rPr>
        <w:t>（七）申购、赎回的费率”和“（八）申购份额、赎回金额的计算方式”的相</w:t>
      </w:r>
      <w:r w:rsidR="000D584D" w:rsidRPr="004A57FA">
        <w:rPr>
          <w:rFonts w:asciiTheme="minorEastAsia" w:eastAsiaTheme="minorEastAsia" w:hAnsiTheme="minorEastAsia" w:hint="eastAsia"/>
          <w:szCs w:val="21"/>
        </w:rPr>
        <w:t>关规定。</w:t>
      </w:r>
    </w:p>
    <w:p w:rsidR="000D584D"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2、</w:t>
      </w:r>
      <w:r w:rsidR="000D584D" w:rsidRPr="004A57FA">
        <w:rPr>
          <w:rFonts w:asciiTheme="minorEastAsia" w:eastAsiaTheme="minorEastAsia" w:hAnsiTheme="minorEastAsia" w:hint="eastAsia"/>
          <w:szCs w:val="21"/>
        </w:rPr>
        <w:t>基金的转换费</w:t>
      </w:r>
      <w:bookmarkStart w:id="222" w:name="_Toc84149673"/>
      <w:bookmarkStart w:id="223" w:name="_Toc86584637"/>
      <w:r w:rsidR="000D584D" w:rsidRPr="004A57FA">
        <w:rPr>
          <w:rFonts w:asciiTheme="minorEastAsia" w:eastAsiaTheme="minorEastAsia" w:hAnsiTheme="minorEastAsia" w:hint="eastAsia"/>
          <w:bCs/>
          <w:szCs w:val="21"/>
        </w:rPr>
        <w:t>。</w:t>
      </w:r>
    </w:p>
    <w:p w:rsidR="00AF2EE6" w:rsidRPr="004A57FA" w:rsidRDefault="00AF2EE6"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bCs/>
          <w:szCs w:val="21"/>
        </w:rPr>
        <w:t>目前，基金管理人已开通了本基金与旗下部分开放式基金之间的转换业务，具体实施办法和转换费率详见相关公告。</w:t>
      </w:r>
      <w:r w:rsidRPr="004A57FA">
        <w:rPr>
          <w:rFonts w:asciiTheme="minorEastAsia" w:eastAsiaTheme="minorEastAsia" w:hAnsiTheme="minorEastAsia" w:hint="eastAsia"/>
          <w:szCs w:val="21"/>
        </w:rPr>
        <w:t>基金转换费由基金份额持有人承担，基金转换费用由转出基金赎回费用及基金申购补差费用构成，其中赎回费按照</w:t>
      </w:r>
      <w:r w:rsidR="00927AFE" w:rsidRPr="004A57FA">
        <w:rPr>
          <w:rFonts w:asciiTheme="minorEastAsia" w:eastAsiaTheme="minorEastAsia" w:hAnsiTheme="minorEastAsia" w:hint="eastAsia"/>
          <w:szCs w:val="21"/>
        </w:rPr>
        <w:t>各基金</w:t>
      </w:r>
      <w:r w:rsidR="00927AFE" w:rsidRPr="004A57FA">
        <w:rPr>
          <w:rFonts w:asciiTheme="minorEastAsia" w:eastAsiaTheme="minorEastAsia" w:hAnsiTheme="minorEastAsia"/>
          <w:szCs w:val="21"/>
        </w:rPr>
        <w:t>的</w:t>
      </w:r>
      <w:r w:rsidRPr="004A57FA">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4A57FA">
        <w:rPr>
          <w:rFonts w:asciiTheme="minorEastAsia" w:eastAsiaTheme="minorEastAsia" w:hAnsiTheme="minorEastAsia"/>
          <w:szCs w:val="21"/>
        </w:rPr>
        <w:t>转换费用以人民币元为单位，计算结果按照四舍五入方法，保留小数点后两位</w:t>
      </w:r>
      <w:r w:rsidRPr="004A57FA">
        <w:rPr>
          <w:rFonts w:asciiTheme="minorEastAsia" w:eastAsiaTheme="minorEastAsia" w:hAnsiTheme="minorEastAsia" w:hint="eastAsia"/>
          <w:szCs w:val="21"/>
        </w:rPr>
        <w:t>。</w:t>
      </w:r>
    </w:p>
    <w:p w:rsidR="00AF2EE6" w:rsidRPr="004A57FA" w:rsidRDefault="000D584D"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3</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AF2EE6" w:rsidRPr="004A57FA" w:rsidRDefault="000D584D"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4</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基金管理人可以从本基金财产中计提销售服务费</w:t>
      </w:r>
      <w:r w:rsidR="00AF2EE6"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用于基金的持续销售和服务基金份额持有人</w:t>
      </w:r>
      <w:r w:rsidR="00AF2EE6"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具体办法按中国证监会有关规定执行。</w:t>
      </w:r>
    </w:p>
    <w:p w:rsidR="00AF2EE6" w:rsidRPr="004A57FA" w:rsidRDefault="000D584D"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5</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基金管理人可以在基金合同规定的范围内调整</w:t>
      </w:r>
      <w:r w:rsidR="00AF2EE6" w:rsidRPr="004A57FA">
        <w:rPr>
          <w:rFonts w:asciiTheme="minorEastAsia" w:eastAsiaTheme="minorEastAsia" w:hAnsiTheme="minorEastAsia" w:hint="eastAsia"/>
          <w:szCs w:val="21"/>
        </w:rPr>
        <w:t>上述</w:t>
      </w:r>
      <w:r w:rsidR="00AF2EE6" w:rsidRPr="004A57FA">
        <w:rPr>
          <w:rFonts w:asciiTheme="minorEastAsia" w:eastAsiaTheme="minorEastAsia" w:hAnsiTheme="minorEastAsia"/>
          <w:szCs w:val="21"/>
        </w:rPr>
        <w:t>费率</w:t>
      </w:r>
      <w:r w:rsidR="00AF2EE6"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上述费率如发生变更，基金管理人应于新的费率实施前在</w:t>
      </w:r>
      <w:r w:rsidR="00AC34D1" w:rsidRPr="004A57FA">
        <w:rPr>
          <w:rFonts w:asciiTheme="minorEastAsia" w:eastAsiaTheme="minorEastAsia" w:hAnsiTheme="minorEastAsia" w:hint="eastAsia"/>
        </w:rPr>
        <w:t>指定媒介</w:t>
      </w:r>
      <w:r w:rsidR="00AF2EE6" w:rsidRPr="004A57FA">
        <w:rPr>
          <w:rFonts w:asciiTheme="minorEastAsia" w:eastAsiaTheme="minorEastAsia" w:hAnsiTheme="minorEastAsia"/>
          <w:szCs w:val="21"/>
        </w:rPr>
        <w:t>公告。</w:t>
      </w:r>
    </w:p>
    <w:p w:rsidR="00AF2EE6" w:rsidRPr="004A57FA" w:rsidRDefault="000D584D"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6</w:t>
      </w:r>
      <w:r w:rsidR="00FC5032" w:rsidRPr="004A57FA">
        <w:rPr>
          <w:rFonts w:asciiTheme="minorEastAsia" w:eastAsiaTheme="minorEastAsia" w:hAnsiTheme="minorEastAsia" w:hint="eastAsia"/>
          <w:szCs w:val="21"/>
        </w:rPr>
        <w:t>、</w:t>
      </w:r>
      <w:r w:rsidR="00FC7543" w:rsidRPr="004A57FA">
        <w:rPr>
          <w:rFonts w:asciiTheme="minorEastAsia" w:eastAsiaTheme="minorEastAsia" w:hAnsiTheme="minorEastAsia" w:hint="eastAsia"/>
          <w:szCs w:val="21"/>
        </w:rPr>
        <w:t>基金管理人可以在不违反法律法规规定及《基金合同》约定的情形下根据市场情况制定基金促销计划，针对基金投资者定期或不定期地开展基金促销活动。在基金促销活动期间，基金管理人可以适当调低基金销售费率，或针对特定渠道、特定投资群体开展有差别的费率优惠活动</w:t>
      </w:r>
      <w:r w:rsidR="00AF2EE6" w:rsidRPr="004A57FA">
        <w:rPr>
          <w:rFonts w:asciiTheme="minorEastAsia" w:eastAsiaTheme="minorEastAsia" w:hAnsiTheme="minorEastAsia" w:hint="eastAsia"/>
          <w:szCs w:val="21"/>
        </w:rPr>
        <w:t>。</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24" w:name="_Toc81231038"/>
      <w:r w:rsidRPr="004A57FA">
        <w:rPr>
          <w:rFonts w:asciiTheme="minorEastAsia" w:eastAsiaTheme="minorEastAsia" w:hAnsiTheme="minorEastAsia" w:hint="eastAsia"/>
          <w:b w:val="0"/>
        </w:rPr>
        <w:t>（三）基金税收</w:t>
      </w:r>
      <w:bookmarkEnd w:id="222"/>
      <w:bookmarkEnd w:id="223"/>
      <w:bookmarkEnd w:id="224"/>
    </w:p>
    <w:p w:rsidR="00385845" w:rsidRPr="00A805DC" w:rsidRDefault="00AF2EE6" w:rsidP="00A805DC">
      <w:pPr>
        <w:snapToGrid w:val="0"/>
        <w:spacing w:line="360" w:lineRule="auto"/>
        <w:ind w:firstLine="480"/>
        <w:rPr>
          <w:rFonts w:asciiTheme="minorEastAsia" w:eastAsiaTheme="minorEastAsia" w:hAnsiTheme="minorEastAsia"/>
          <w:szCs w:val="21"/>
        </w:rPr>
      </w:pPr>
      <w:r w:rsidRPr="004A57FA">
        <w:rPr>
          <w:rFonts w:asciiTheme="minorEastAsia" w:eastAsiaTheme="minorEastAsia" w:hAnsiTheme="minorEastAsia" w:hint="eastAsia"/>
          <w:szCs w:val="21"/>
        </w:rPr>
        <w:t>本基金运作过程中涉及的各纳税主体，应按国家税收法律、法规履行其纳税义务。</w:t>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225" w:name="_Toc81231039"/>
      <w:r w:rsidRPr="004A57FA">
        <w:rPr>
          <w:rFonts w:asciiTheme="minorEastAsia" w:eastAsiaTheme="minorEastAsia" w:hAnsiTheme="minorEastAsia" w:hint="eastAsia"/>
          <w:b/>
          <w:bCs/>
        </w:rPr>
        <w:lastRenderedPageBreak/>
        <w:t>十八、基金的会计与审计</w:t>
      </w:r>
      <w:bookmarkEnd w:id="225"/>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（一）基金会计政策</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基金管理人为本基金的基金会计责任方；</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基金的会计年度为公历每年1月1日至</w:t>
      </w:r>
      <w:smartTag w:uri="urn:schemas-microsoft-com:office:smarttags" w:element="chsdate">
        <w:smartTagPr>
          <w:attr w:name="Year" w:val="2008"/>
          <w:attr w:name="Month" w:val="12"/>
          <w:attr w:name="Day" w:val="31"/>
          <w:attr w:name="IsLunarDate" w:val="False"/>
          <w:attr w:name="IsROCDate" w:val="False"/>
        </w:smartTagPr>
        <w:r w:rsidR="00AF2EE6" w:rsidRPr="004A57FA">
          <w:rPr>
            <w:rFonts w:asciiTheme="minorEastAsia" w:eastAsiaTheme="minorEastAsia" w:hAnsiTheme="minorEastAsia" w:hint="eastAsia"/>
            <w:szCs w:val="21"/>
          </w:rPr>
          <w:t>12月31日</w:t>
        </w:r>
      </w:smartTag>
      <w:r w:rsidR="00AF2EE6"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基金首次募集的会计年度按如下原则：如果基金合同生效少于</w:t>
      </w:r>
      <w:r w:rsidR="00AF2EE6" w:rsidRPr="004A57FA">
        <w:rPr>
          <w:rFonts w:asciiTheme="minorEastAsia" w:eastAsiaTheme="minorEastAsia" w:hAnsiTheme="minorEastAsia" w:hint="eastAsia"/>
          <w:szCs w:val="21"/>
        </w:rPr>
        <w:t>2</w:t>
      </w:r>
      <w:r w:rsidR="00AF2EE6" w:rsidRPr="004A57FA">
        <w:rPr>
          <w:rFonts w:asciiTheme="minorEastAsia" w:eastAsiaTheme="minorEastAsia" w:hAnsiTheme="minorEastAsia"/>
          <w:szCs w:val="21"/>
        </w:rPr>
        <w:t>个月，可以并入下一个会计年度；</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基金核算以人民币为记帐本位币，以人民币元为记账单位；</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会计制度执行国家有关的会计制度；</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5、</w:t>
      </w:r>
      <w:r w:rsidR="00AF2EE6" w:rsidRPr="004A57FA">
        <w:rPr>
          <w:rFonts w:asciiTheme="minorEastAsia" w:eastAsiaTheme="minorEastAsia" w:hAnsiTheme="minorEastAsia" w:hint="eastAsia"/>
          <w:szCs w:val="21"/>
        </w:rPr>
        <w:t>本</w:t>
      </w:r>
      <w:r w:rsidR="00AF2EE6" w:rsidRPr="004A57FA">
        <w:rPr>
          <w:rFonts w:asciiTheme="minorEastAsia" w:eastAsiaTheme="minorEastAsia" w:hAnsiTheme="minorEastAsia"/>
          <w:szCs w:val="21"/>
        </w:rPr>
        <w:t>基金</w:t>
      </w:r>
      <w:r w:rsidR="00AF2EE6" w:rsidRPr="004A57FA">
        <w:rPr>
          <w:rFonts w:asciiTheme="minorEastAsia" w:eastAsiaTheme="minorEastAsia" w:hAnsiTheme="minorEastAsia" w:hint="eastAsia"/>
          <w:szCs w:val="21"/>
        </w:rPr>
        <w:t>独立建帐、独立核算；</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6、</w:t>
      </w:r>
      <w:r w:rsidR="00AF2EE6" w:rsidRPr="004A57FA">
        <w:rPr>
          <w:rFonts w:asciiTheme="minorEastAsia" w:eastAsiaTheme="minorEastAsia" w:hAnsiTheme="minorEastAsia" w:hint="eastAsia"/>
          <w:szCs w:val="21"/>
        </w:rPr>
        <w:t>基金管理人及基金托管人各自保留完整的会计帐目、凭证并进行日常的会计核算，按照有关规定编制基金会计报表；</w:t>
      </w:r>
    </w:p>
    <w:p w:rsidR="00AF2EE6" w:rsidRPr="004A57FA" w:rsidRDefault="00FC5032" w:rsidP="00C53017">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7、</w:t>
      </w:r>
      <w:r w:rsidR="00AF2EE6" w:rsidRPr="004A57FA">
        <w:rPr>
          <w:rFonts w:asciiTheme="minorEastAsia" w:eastAsiaTheme="minorEastAsia" w:hAnsiTheme="minorEastAsia" w:hint="eastAsia"/>
          <w:szCs w:val="21"/>
        </w:rPr>
        <w:t>基金托管人每月与基金管理人就基金的会计核算、报表编制等进行核对并以书面方式确认。</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（二）基金年度审计</w:t>
      </w:r>
    </w:p>
    <w:p w:rsidR="00064735" w:rsidRPr="004A57FA" w:rsidRDefault="00064735" w:rsidP="00BF356A">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1、基金管理人聘请与基金管理人、基金托管人相互独立的具有证券、期货相关业务资格的会计师事务所及其注册会计师对本基金的年度财务报表进行审计。</w:t>
      </w:r>
    </w:p>
    <w:p w:rsidR="00064735" w:rsidRPr="004A57FA" w:rsidRDefault="00064735" w:rsidP="00BF356A">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2、会计师事务所更换经办注册会计师，应事先征得基金管理人和基金托管人同意。</w:t>
      </w:r>
    </w:p>
    <w:p w:rsidR="00AF2EE6" w:rsidRPr="004A57FA" w:rsidRDefault="00064735" w:rsidP="00064735">
      <w:pPr>
        <w:pStyle w:val="af0"/>
        <w:tabs>
          <w:tab w:val="left" w:pos="420"/>
        </w:tabs>
        <w:snapToGrid w:val="0"/>
        <w:spacing w:line="360" w:lineRule="auto"/>
        <w:ind w:firstLineChars="200"/>
        <w:rPr>
          <w:rFonts w:asciiTheme="minorEastAsia" w:eastAsiaTheme="minorEastAsia" w:hAnsiTheme="minorEastAsia"/>
          <w:szCs w:val="21"/>
        </w:rPr>
      </w:pPr>
      <w:r w:rsidRPr="004A57FA">
        <w:rPr>
          <w:rFonts w:asciiTheme="minorEastAsia" w:eastAsiaTheme="minorEastAsia" w:hAnsiTheme="minorEastAsia" w:hint="eastAsia"/>
          <w:szCs w:val="21"/>
        </w:rPr>
        <w:t>3、基金管理人认为有充足理由更换会计师事务所，须通报基金托管人。更换会计师事务所需在2日内在指定媒介公告。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FC5032" w:rsidRPr="004A57FA" w:rsidRDefault="00FC5032" w:rsidP="00C53017">
      <w:pPr>
        <w:snapToGrid w:val="0"/>
        <w:spacing w:line="360" w:lineRule="auto"/>
        <w:ind w:firstLineChars="200"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226" w:name="_Toc81231040"/>
      <w:r w:rsidRPr="004A57FA">
        <w:rPr>
          <w:rFonts w:asciiTheme="minorEastAsia" w:eastAsiaTheme="minorEastAsia" w:hAnsiTheme="minorEastAsia" w:hint="eastAsia"/>
          <w:b/>
          <w:bCs/>
        </w:rPr>
        <w:lastRenderedPageBreak/>
        <w:t>十九、基金的信息披露</w:t>
      </w:r>
      <w:bookmarkEnd w:id="226"/>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（一）本基金的信息披露应符合《基金法》、《运作办法》、《信息披露办法》、《基金合同》及其他有关规定。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（二）信息披露义务人</w:t>
      </w:r>
    </w:p>
    <w:p w:rsidR="00064735" w:rsidRPr="004A57FA" w:rsidRDefault="00064735" w:rsidP="0006473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064735" w:rsidRPr="004A57FA" w:rsidRDefault="00064735" w:rsidP="00064735">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AF2EE6" w:rsidRPr="004A57FA" w:rsidRDefault="00064735"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本基金信息披露义务人应当在中国证监会规定时间内，将应予披露的基金信息通过指定媒介披露，并保证基金投资者能够按照《基金合同》约定的时间和方式查阅或者复制公开披露的信息资料。</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（三）本基金信息披露义务人承诺公开披露的基金信息，不得有下列行为：</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虚假记载、误导性陈述或者重大遗漏；</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2</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对证券投资业绩进行预测；</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3</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违规承诺收益或者承担损失；</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4</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诋毁其他基金管理人、基金托管人或者基金</w:t>
      </w:r>
      <w:r w:rsidR="00172A7F" w:rsidRPr="004A57FA">
        <w:rPr>
          <w:rFonts w:asciiTheme="minorEastAsia" w:eastAsiaTheme="minorEastAsia" w:hAnsiTheme="minorEastAsia" w:hint="eastAsia"/>
          <w:szCs w:val="21"/>
        </w:rPr>
        <w:t>份额发</w:t>
      </w:r>
      <w:r w:rsidR="00BF356A" w:rsidRPr="004A57FA">
        <w:rPr>
          <w:rFonts w:asciiTheme="minorEastAsia" w:eastAsiaTheme="minorEastAsia" w:hAnsiTheme="minorEastAsia" w:hint="eastAsia"/>
          <w:szCs w:val="21"/>
        </w:rPr>
        <w:t>售</w:t>
      </w:r>
      <w:r w:rsidRPr="004A57FA">
        <w:rPr>
          <w:rFonts w:asciiTheme="minorEastAsia" w:eastAsiaTheme="minorEastAsia" w:hAnsiTheme="minorEastAsia" w:hint="eastAsia"/>
          <w:szCs w:val="21"/>
        </w:rPr>
        <w:t>机构；</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5</w:t>
      </w:r>
      <w:r w:rsidR="00FC5032" w:rsidRPr="004A57FA">
        <w:rPr>
          <w:rFonts w:asciiTheme="minorEastAsia" w:eastAsiaTheme="minorEastAsia" w:hAnsiTheme="minorEastAsia" w:hint="eastAsia"/>
          <w:szCs w:val="21"/>
        </w:rPr>
        <w:t>、</w:t>
      </w:r>
      <w:r w:rsidR="00064735" w:rsidRPr="004A57FA">
        <w:rPr>
          <w:rFonts w:asciiTheme="minorEastAsia" w:eastAsiaTheme="minorEastAsia" w:hAnsiTheme="minorEastAsia" w:hint="eastAsia"/>
          <w:szCs w:val="21"/>
        </w:rPr>
        <w:t>登载任何自然人、法人和非法人组织的祝贺性、恭维性或推荐性的文字；</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6</w:t>
      </w:r>
      <w:r w:rsidR="00FC5032"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中国证监会禁止的其他行为。</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（四）本基金公开披露的信息应采用中文文本。如同时采用外文文本的，</w:t>
      </w:r>
      <w:r w:rsidR="00064735" w:rsidRPr="004A57FA">
        <w:rPr>
          <w:rFonts w:asciiTheme="minorEastAsia" w:eastAsiaTheme="minorEastAsia" w:hAnsiTheme="minorEastAsia" w:hint="eastAsia"/>
          <w:szCs w:val="21"/>
        </w:rPr>
        <w:t>基金信息披露义务人应保证不同文本的内容一致。不同文本之间发生歧义的</w:t>
      </w:r>
      <w:r w:rsidRPr="004A57FA">
        <w:rPr>
          <w:rFonts w:asciiTheme="minorEastAsia" w:eastAsiaTheme="minorEastAsia" w:hAnsiTheme="minorEastAsia" w:hint="eastAsia"/>
          <w:szCs w:val="21"/>
        </w:rPr>
        <w:t>。两种文本发生歧义的，以中文文本为准。</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本基金公开披露的信息采用阿拉伯数字；除特别说明外，货币单位为人民币元。</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（五）公开披露的基金信息</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公开披露的基金信息包括：</w:t>
      </w:r>
    </w:p>
    <w:p w:rsidR="00AF2EE6" w:rsidRPr="004A57FA" w:rsidRDefault="00FC5032"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招募说明书、《基金合同》、《托管协议》</w:t>
      </w:r>
      <w:r w:rsidR="00064735" w:rsidRPr="004A57FA">
        <w:rPr>
          <w:rFonts w:asciiTheme="minorEastAsia" w:eastAsiaTheme="minorEastAsia" w:hAnsiTheme="minorEastAsia" w:hint="eastAsia"/>
          <w:szCs w:val="21"/>
        </w:rPr>
        <w:t>、基金产品资料概要</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w:t>
      </w:r>
      <w:r w:rsidRPr="004A57FA">
        <w:rPr>
          <w:rFonts w:asciiTheme="minorEastAsia" w:eastAsiaTheme="minorEastAsia" w:hAnsiTheme="minorEastAsia"/>
          <w:szCs w:val="21"/>
        </w:rPr>
        <w:t>招募说明书</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基金合同</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基金</w:t>
      </w:r>
      <w:r w:rsidRPr="004A57FA">
        <w:rPr>
          <w:rFonts w:asciiTheme="minorEastAsia" w:eastAsiaTheme="minorEastAsia" w:hAnsiTheme="minorEastAsia"/>
          <w:szCs w:val="21"/>
        </w:rPr>
        <w:t>托管协议经中国证监会核准后，基金管理人在基金集中申购期开始3日前</w:t>
      </w:r>
      <w:r w:rsidRPr="004A57FA">
        <w:rPr>
          <w:rFonts w:asciiTheme="minorEastAsia" w:eastAsiaTheme="minorEastAsia" w:hAnsiTheme="minorEastAsia" w:hint="eastAsia"/>
          <w:szCs w:val="21"/>
        </w:rPr>
        <w:t>，将基金招募说明书、《基金合同》摘要登载在</w:t>
      </w:r>
      <w:r w:rsidR="009046B0"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上；基金管理人、基金托管人应当将《基金合同》、《托管协议》登载在网站上。</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（1）招募说明书应当最大限度地披露影响基金投资者决策的全部事项，说明基金申购和赎回安排、基金投资、基金产品特性、风险揭示、信息披露及基金份额持有人服务等内容。</w:t>
      </w:r>
      <w:r w:rsidR="009046B0" w:rsidRPr="004A57FA">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w:t>
      </w:r>
      <w:r w:rsidR="009046B0" w:rsidRPr="004A57FA">
        <w:rPr>
          <w:rFonts w:asciiTheme="minorEastAsia" w:eastAsiaTheme="minorEastAsia" w:hAnsiTheme="minorEastAsia" w:hint="eastAsia"/>
          <w:szCs w:val="21"/>
        </w:rPr>
        <w:lastRenderedPageBreak/>
        <w:t>人至少每年更新一次。基金终止运作的，基金管理人不再更新基金招募说明书。</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（2）《基金合同》是界定《基金合同》当事人的各项权利、义务关系，明确基金份额持有人大会召开的规则及具体程序，说明基金产品的特性等涉及基金投资者重大利益的事项的法律文件。</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（3）《托管协议》是界定基金托管人和基金管理人在基金财产保管及基金运作监督等活动中的权利、义务关系的法律文件。</w:t>
      </w:r>
    </w:p>
    <w:p w:rsidR="009046B0" w:rsidRPr="004A57FA" w:rsidRDefault="009046B0"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szCs w:val="21"/>
        </w:rPr>
        <w:t>基金集中申购公告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基金管理人应当就基金集中申购的具体事宜编制基金集中申购公告，并在披露招募说明书的当日登载于</w:t>
      </w:r>
      <w:r w:rsidR="009046B0" w:rsidRPr="004A57FA">
        <w:rPr>
          <w:rFonts w:asciiTheme="minorEastAsia" w:eastAsiaTheme="minorEastAsia" w:hAnsiTheme="minorEastAsia" w:hint="eastAsia"/>
          <w:szCs w:val="21"/>
        </w:rPr>
        <w:t>指定媒介</w:t>
      </w:r>
      <w:r w:rsidRPr="004A57FA">
        <w:rPr>
          <w:rFonts w:asciiTheme="minorEastAsia" w:eastAsiaTheme="minorEastAsia" w:hAnsiTheme="minorEastAsia"/>
          <w:szCs w:val="21"/>
        </w:rPr>
        <w:t>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3、基金净值信息</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4、基金份额申购、赎回价格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5、基金定期报告，包括基金年度报告、基金中期报告和基金季度报告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《基金合同》生效不足2个月的，基金管理人可以不编制当期季度报告、中期报告或者年度报告。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基金管理人应当在基金年度报告和中期报告中披露基金组合资产情况及其流动性风险分析等。</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6、临时报告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本基金发生重大事件，有关信息披露义务人应当在2日内编制临时报告书，并登载在指定报刊和指定网站上。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前款所称重大事件，是指可能对基金份额持有人权益或者基金份额的价格产生重大影响的下列事件：</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基金份额持有人大会的召开及决定的事项；</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基金合同终止、基金清算；</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转换基金运作方式、基金合并；</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更换基金管理人、基金托管人、基金份额登记机构，基金改聘会计师事务所；</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基金管理人委托基金服务机构代为办理基金的份额登记、核算、估值等事项，基金托管人委托基金服务机构代为办理基金的核算、估值、复核等事项；</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基金管理人、基金托管人的法定名称、住所发生变更；</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基金管理公司变更持有百分之五以上股权的股东、基金管理人的实际控制人变更；</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基金管理人的高级管理人员、基金经理和基金托管人专门基金托管部门负责人发生变动；</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基金管理人的董事在最近</w:t>
      </w:r>
      <w:r w:rsidRPr="004A57FA">
        <w:rPr>
          <w:rFonts w:asciiTheme="minorEastAsia" w:eastAsiaTheme="minorEastAsia" w:hAnsiTheme="minorEastAsia"/>
          <w:szCs w:val="21"/>
        </w:rPr>
        <w:t>12</w:t>
      </w:r>
      <w:r w:rsidRPr="004A57FA">
        <w:rPr>
          <w:rFonts w:asciiTheme="minorEastAsia" w:eastAsiaTheme="minorEastAsia" w:hAnsiTheme="minorEastAsia" w:hint="eastAsia"/>
          <w:szCs w:val="21"/>
        </w:rPr>
        <w:t>个月内变更超过百分之五十，基金管理人、基金托管人专门基金托管部门的主要业务人员在最近</w:t>
      </w:r>
      <w:r w:rsidRPr="004A57FA">
        <w:rPr>
          <w:rFonts w:asciiTheme="minorEastAsia" w:eastAsiaTheme="minorEastAsia" w:hAnsiTheme="minorEastAsia"/>
          <w:szCs w:val="21"/>
        </w:rPr>
        <w:t>12</w:t>
      </w:r>
      <w:r w:rsidRPr="004A57FA">
        <w:rPr>
          <w:rFonts w:asciiTheme="minorEastAsia" w:eastAsiaTheme="minorEastAsia" w:hAnsiTheme="minorEastAsia" w:hint="eastAsia"/>
          <w:szCs w:val="21"/>
        </w:rPr>
        <w:t>个月内变动超过百分之三十；</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涉及基金财产、基金管理业务、基金托管业务的诉讼或仲裁；</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基金收益分配事项；</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管理费、托管费、申购费、赎回费等费用计提标准、计提方式和费率发生变更；</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基金份额净值计价错误达基金份额净值百分之零点五；</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本基金开始办理申购、赎回；</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本基金暂停接受申购、赎回申请或重新接受申购、赎回申请；</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调整基金份额类别的设置；</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基金推出新业务或服务；</w:t>
      </w:r>
    </w:p>
    <w:p w:rsidR="00AC34D1" w:rsidRPr="004A57FA" w:rsidRDefault="00AC34D1" w:rsidP="00BF356A">
      <w:pPr>
        <w:pStyle w:val="aff5"/>
        <w:numPr>
          <w:ilvl w:val="0"/>
          <w:numId w:val="39"/>
        </w:numPr>
        <w:snapToGrid w:val="0"/>
        <w:spacing w:line="360" w:lineRule="auto"/>
        <w:ind w:firstLineChars="0"/>
        <w:rPr>
          <w:rFonts w:asciiTheme="minorEastAsia" w:eastAsiaTheme="minorEastAsia" w:hAnsiTheme="minorEastAsia"/>
          <w:szCs w:val="21"/>
        </w:rPr>
      </w:pPr>
      <w:r w:rsidRPr="004A57FA">
        <w:rPr>
          <w:rFonts w:asciiTheme="minorEastAsia" w:eastAsiaTheme="minorEastAsia" w:hAnsiTheme="minorEastAsia" w:hint="eastAsia"/>
          <w:szCs w:val="21"/>
        </w:rPr>
        <w:t>基金信息披露义务人认为可能对基金份额持有人权益或者基金份额的价格产生重大影响的其他事项或中国证监会规定的其他事项。</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7、澄清公告</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8、清算报告</w:t>
      </w:r>
    </w:p>
    <w:p w:rsidR="00AF2EE6" w:rsidRPr="004A57FA" w:rsidRDefault="00AC34D1"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AF2EE6" w:rsidRPr="004A57FA" w:rsidRDefault="00AC34D1"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9</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基金份额持有人大会决议</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基金份额持有人大会决定的事项，应当依法报国务院证券监督管理机构备案，并予以公告。召开基金份额持有人大会的，召集人应当至少提前4</w:t>
      </w:r>
      <w:r w:rsidRPr="004A57FA">
        <w:rPr>
          <w:rFonts w:asciiTheme="minorEastAsia" w:eastAsiaTheme="minorEastAsia" w:hAnsiTheme="minorEastAsia"/>
          <w:szCs w:val="21"/>
        </w:rPr>
        <w:t>0</w:t>
      </w:r>
      <w:r w:rsidRPr="004A57FA">
        <w:rPr>
          <w:rFonts w:asciiTheme="minorEastAsia" w:eastAsiaTheme="minorEastAsia" w:hAnsiTheme="minorEastAsia" w:hint="eastAsia"/>
          <w:szCs w:val="21"/>
        </w:rPr>
        <w:t>日公告基金份额持有人大会的召开时间、会议形式、审议事项、议事程序和表决方式等事项。</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AF2EE6" w:rsidRPr="004A57FA" w:rsidRDefault="00AC34D1"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10</w:t>
      </w:r>
      <w:r w:rsidR="00FC5032" w:rsidRPr="004A57FA">
        <w:rPr>
          <w:rFonts w:asciiTheme="minorEastAsia" w:eastAsiaTheme="minorEastAsia" w:hAnsiTheme="minorEastAsia" w:hint="eastAsia"/>
          <w:szCs w:val="21"/>
        </w:rPr>
        <w:t>、</w:t>
      </w:r>
      <w:r w:rsidR="00AF2EE6" w:rsidRPr="004A57FA">
        <w:rPr>
          <w:rFonts w:asciiTheme="minorEastAsia" w:eastAsiaTheme="minorEastAsia" w:hAnsiTheme="minorEastAsia" w:hint="eastAsia"/>
          <w:szCs w:val="21"/>
        </w:rPr>
        <w:t>中国证监会规定的其他信息。</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（六）信息披露事务管理</w:t>
      </w:r>
    </w:p>
    <w:p w:rsidR="00AC34D1" w:rsidRPr="004A57FA" w:rsidRDefault="00AC34D1" w:rsidP="00AC34D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AC34D1" w:rsidRPr="004A57FA" w:rsidRDefault="00AC34D1" w:rsidP="00AC34D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AC34D1" w:rsidRPr="004A57FA" w:rsidRDefault="00AC34D1" w:rsidP="00AC34D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C34D1" w:rsidRPr="004A57FA" w:rsidRDefault="00AC34D1" w:rsidP="00AC34D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w:t>
      </w:r>
      <w:r w:rsidRPr="004A57FA">
        <w:rPr>
          <w:rFonts w:asciiTheme="minorEastAsia" w:eastAsiaTheme="minorEastAsia" w:hAnsiTheme="minorEastAsia" w:hint="eastAsia"/>
          <w:szCs w:val="21"/>
        </w:rPr>
        <w:lastRenderedPageBreak/>
        <w:t>息的真实、准确、完整、及时。</w:t>
      </w:r>
    </w:p>
    <w:p w:rsidR="00AC34D1" w:rsidRPr="004A57FA" w:rsidRDefault="00AC34D1" w:rsidP="00AC34D1">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AF2EE6" w:rsidRPr="004A57FA" w:rsidRDefault="00AC34D1"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（七）信息披露文件的存放与查阅</w:t>
      </w:r>
    </w:p>
    <w:p w:rsidR="00AF2EE6" w:rsidRPr="004A57FA" w:rsidRDefault="00AC34D1"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2E2C5D" w:rsidRPr="004A57FA" w:rsidRDefault="002E2C5D">
      <w:pPr>
        <w:widowControl/>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27" w:name="_Toc81231041"/>
      <w:r w:rsidRPr="004A57FA">
        <w:rPr>
          <w:rFonts w:asciiTheme="minorEastAsia" w:eastAsiaTheme="minorEastAsia" w:hAnsiTheme="minorEastAsia" w:hint="eastAsia"/>
          <w:b/>
          <w:bCs/>
        </w:rPr>
        <w:lastRenderedPageBreak/>
        <w:t>二十、风险揭示</w:t>
      </w:r>
      <w:bookmarkEnd w:id="227"/>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hint="eastAsia"/>
          <w:sz w:val="28"/>
          <w:szCs w:val="28"/>
        </w:rPr>
        <w:t>（一）市场风险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本</w:t>
      </w:r>
      <w:r w:rsidRPr="004A57FA">
        <w:rPr>
          <w:rFonts w:asciiTheme="minorEastAsia" w:eastAsiaTheme="minorEastAsia" w:hAnsiTheme="minorEastAsia"/>
        </w:rPr>
        <w:t>基金主要投资于证券市场，而证券市场价格因受到经济因素、政治因素、投资者心理和交易制度等各种因素的影响而产生波动，从而导致基金收益水平发生变化，产生风险。主要的风险因素包括：</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rPr>
        <w:t>政策风险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因财政政策、货币政策、产业政策、地区发展政策等国家宏观政策发生变化，导致市场价格波动，影响基金收益而产生风险。</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rPr>
        <w:t>经济周期风险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随着经济运行的周期性变化，证券市场的收益水平也呈周期性变化，基金投资的收益水平也会随之变化，从而产生风险。</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rPr>
        <w:t>利率风险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金融市场利率的波动会导致证券市场价格和收益率的变动。利率直接影响着债券的价格和收益率，影响着企业的融资成本和利润。基金投资于债券和股票，其收益水平可能会受到利率变化的影响。</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4、</w:t>
      </w:r>
      <w:r w:rsidR="00AF2EE6" w:rsidRPr="004A57FA">
        <w:rPr>
          <w:rFonts w:asciiTheme="minorEastAsia" w:eastAsiaTheme="minorEastAsia" w:hAnsiTheme="minorEastAsia"/>
        </w:rPr>
        <w:t>上市公司经营风险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5、</w:t>
      </w:r>
      <w:r w:rsidR="00AF2EE6" w:rsidRPr="004A57FA">
        <w:rPr>
          <w:rFonts w:asciiTheme="minorEastAsia" w:eastAsiaTheme="minorEastAsia" w:hAnsiTheme="minorEastAsia"/>
        </w:rPr>
        <w:t>购买力风险</w:t>
      </w:r>
    </w:p>
    <w:p w:rsidR="00AF2EE6" w:rsidRPr="004A57FA" w:rsidRDefault="00AF2EE6"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rPr>
        <w:t>基金</w:t>
      </w:r>
      <w:r w:rsidRPr="004A57FA">
        <w:rPr>
          <w:rFonts w:asciiTheme="minorEastAsia" w:eastAsiaTheme="minorEastAsia" w:hAnsiTheme="minorEastAsia" w:hint="eastAsia"/>
        </w:rPr>
        <w:t>份额</w:t>
      </w:r>
      <w:r w:rsidRPr="004A57FA">
        <w:rPr>
          <w:rFonts w:asciiTheme="minorEastAsia" w:eastAsiaTheme="minorEastAsia" w:hAnsiTheme="minorEastAsia"/>
        </w:rPr>
        <w:t>持有人收益将主要通过现金形式来分配，而现金可能因为通货膨胀因素而使其购买力下降,从而使基金的实际收益下降。</w:t>
      </w:r>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sz w:val="28"/>
          <w:szCs w:val="28"/>
        </w:rPr>
        <w:t>（</w:t>
      </w:r>
      <w:r w:rsidRPr="004A57FA">
        <w:rPr>
          <w:rFonts w:asciiTheme="minorEastAsia" w:eastAsiaTheme="minorEastAsia" w:hAnsiTheme="minorEastAsia" w:hint="eastAsia"/>
          <w:sz w:val="28"/>
          <w:szCs w:val="28"/>
        </w:rPr>
        <w:t>二</w:t>
      </w:r>
      <w:r w:rsidRPr="004A57FA">
        <w:rPr>
          <w:rFonts w:asciiTheme="minorEastAsia" w:eastAsiaTheme="minorEastAsia" w:hAnsiTheme="minorEastAsia"/>
          <w:sz w:val="28"/>
          <w:szCs w:val="28"/>
        </w:rPr>
        <w:t>）管理风险</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rPr>
        <w:t>在基金管理运作过程中，基金管理人的知识、经验、判断、决策、技能等，会影响其对信息的占有以及对经济形势、证券价格走势的判断，从而影响基金收益水平；</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rPr>
        <w:t>基金管理人和基金托管人的管理手段和管理技术等因素的变化也会影响基金收益水平。</w:t>
      </w:r>
    </w:p>
    <w:p w:rsidR="00DB6A2B"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sz w:val="28"/>
          <w:szCs w:val="28"/>
        </w:rPr>
        <w:t>（</w:t>
      </w:r>
      <w:r w:rsidRPr="004A57FA">
        <w:rPr>
          <w:rFonts w:asciiTheme="minorEastAsia" w:eastAsiaTheme="minorEastAsia" w:hAnsiTheme="minorEastAsia" w:hint="eastAsia"/>
          <w:sz w:val="28"/>
          <w:szCs w:val="28"/>
        </w:rPr>
        <w:t>三</w:t>
      </w:r>
      <w:r w:rsidRPr="004A57FA">
        <w:rPr>
          <w:rFonts w:asciiTheme="minorEastAsia" w:eastAsiaTheme="minorEastAsia" w:hAnsiTheme="minorEastAsia"/>
          <w:sz w:val="28"/>
          <w:szCs w:val="28"/>
        </w:rPr>
        <w:t>）流动性风险</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1</w:t>
      </w:r>
      <w:r w:rsidRPr="004A57FA">
        <w:rPr>
          <w:rFonts w:asciiTheme="minorEastAsia" w:eastAsiaTheme="minorEastAsia" w:hAnsiTheme="minorEastAsia" w:hint="eastAsia"/>
        </w:rPr>
        <w:t>、流动性风险评估</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本基金为混合型基金，主要投资于</w:t>
      </w:r>
      <w:r w:rsidRPr="004A57FA">
        <w:rPr>
          <w:rFonts w:asciiTheme="minorEastAsia" w:eastAsiaTheme="minorEastAsia" w:hAnsiTheme="minorEastAsia" w:hint="eastAsia"/>
          <w:szCs w:val="21"/>
        </w:rPr>
        <w:t>股票、债券、资产支持证券、货币市场工具</w:t>
      </w:r>
      <w:r w:rsidRPr="004A57FA">
        <w:rPr>
          <w:rFonts w:asciiTheme="minorEastAsia" w:eastAsiaTheme="minorEastAsia" w:hAnsiTheme="minorEastAsia" w:hint="eastAsia"/>
        </w:rPr>
        <w:t>，一般情况下，这些资产市场流动性较好，但不排除在特定阶段、特定市场环境下特定投资标的出现</w:t>
      </w:r>
      <w:r w:rsidRPr="004A57FA">
        <w:rPr>
          <w:rFonts w:asciiTheme="minorEastAsia" w:eastAsiaTheme="minorEastAsia" w:hAnsiTheme="minorEastAsia" w:hint="eastAsia"/>
        </w:rPr>
        <w:lastRenderedPageBreak/>
        <w:t>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2</w:t>
      </w:r>
      <w:r w:rsidRPr="004A57FA">
        <w:rPr>
          <w:rFonts w:asciiTheme="minorEastAsia" w:eastAsiaTheme="minorEastAsia" w:hAnsiTheme="minorEastAsia" w:hint="eastAsia"/>
        </w:rPr>
        <w:t>、巨额赎回情形下的流动性风险管理措施</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当本基金出现巨额赎回时，基金管理人可以根据基金当时的资产组合状况决定全额赎回或部分延期赎回；此外，如因市场剧烈波动或其他原因而出现</w:t>
      </w:r>
      <w:r w:rsidRPr="004A57FA">
        <w:rPr>
          <w:rFonts w:asciiTheme="minorEastAsia" w:eastAsiaTheme="minorEastAsia" w:hAnsiTheme="minorEastAsia" w:hint="eastAsia"/>
          <w:szCs w:val="21"/>
        </w:rPr>
        <w:t>连续</w:t>
      </w:r>
      <w:r w:rsidRPr="004A57FA">
        <w:rPr>
          <w:rFonts w:asciiTheme="minorEastAsia" w:eastAsiaTheme="minorEastAsia" w:hAnsiTheme="minorEastAsia"/>
          <w:szCs w:val="21"/>
        </w:rPr>
        <w:t>2个开放日以上发生巨额赎回</w:t>
      </w:r>
      <w:r w:rsidRPr="004A57FA">
        <w:rPr>
          <w:rFonts w:asciiTheme="minorEastAsia" w:eastAsiaTheme="minorEastAsia" w:hAnsiTheme="minorEastAsia" w:hint="eastAsia"/>
        </w:rPr>
        <w:t>，基金管理人可暂停接受投资者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九、基金份额的申购、赎回”</w:t>
      </w:r>
      <w:r w:rsidR="002F3D38" w:rsidRPr="004A57FA">
        <w:rPr>
          <w:rFonts w:asciiTheme="minorEastAsia" w:eastAsiaTheme="minorEastAsia" w:hAnsiTheme="minorEastAsia" w:hint="eastAsia"/>
        </w:rPr>
        <w:t>之</w:t>
      </w:r>
      <w:r w:rsidRPr="004A57FA">
        <w:rPr>
          <w:rFonts w:asciiTheme="minorEastAsia" w:eastAsiaTheme="minorEastAsia" w:hAnsiTheme="minorEastAsia" w:hint="eastAsia"/>
        </w:rPr>
        <w:t>“（十）巨额赎回的认定及处理方式”</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rPr>
        <w:t>3</w:t>
      </w:r>
      <w:r w:rsidRPr="004A57FA">
        <w:rPr>
          <w:rFonts w:asciiTheme="minorEastAsia" w:eastAsiaTheme="minorEastAsia" w:hAnsiTheme="minorEastAsia" w:hint="eastAsia"/>
        </w:rPr>
        <w:t>、除巨额赎回情形外实施备用的流动性风险管理工具的情形、程序及对投资者的潜在影响</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暂停接受赎回申请、延缓支付赎回款项等工具的情形、程序见招募说明书“九、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705F9B" w:rsidRPr="004A57FA" w:rsidRDefault="00705F9B" w:rsidP="00705F9B">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AF2EE6" w:rsidRPr="004A57FA" w:rsidRDefault="00705F9B" w:rsidP="00705F9B">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暂停基金估值的情形、程序见招募说明书“十五、基金资产的估值”之“（七）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AC34D1" w:rsidRPr="004A57FA" w:rsidRDefault="00AC34D1" w:rsidP="00BF356A">
      <w:pPr>
        <w:snapToGrid w:val="0"/>
        <w:spacing w:line="360" w:lineRule="auto"/>
        <w:rPr>
          <w:rFonts w:asciiTheme="minorEastAsia" w:eastAsiaTheme="minorEastAsia" w:hAnsiTheme="minorEastAsia"/>
        </w:rPr>
      </w:pPr>
      <w:r w:rsidRPr="004A57FA">
        <w:rPr>
          <w:rFonts w:asciiTheme="minorEastAsia" w:eastAsiaTheme="minorEastAsia" w:hAnsiTheme="minorEastAsia" w:hint="eastAsia"/>
          <w:sz w:val="28"/>
          <w:szCs w:val="28"/>
        </w:rPr>
        <w:t>（四）本基金法律文件中涉及基金风险特征的表述与销售机构对基金的风险评级可能不一致的风险</w:t>
      </w:r>
    </w:p>
    <w:p w:rsidR="00AC34D1" w:rsidRPr="004A57FA" w:rsidRDefault="00AC34D1" w:rsidP="00AC34D1">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w:t>
      </w:r>
      <w:r w:rsidRPr="004A57FA">
        <w:rPr>
          <w:rFonts w:asciiTheme="minorEastAsia" w:eastAsiaTheme="minorEastAsia" w:hAnsiTheme="minorEastAsia" w:hint="eastAsia"/>
        </w:rPr>
        <w:lastRenderedPageBreak/>
        <w:t>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sz w:val="28"/>
          <w:szCs w:val="28"/>
        </w:rPr>
        <w:t>（</w:t>
      </w:r>
      <w:r w:rsidR="00AC34D1" w:rsidRPr="004A57FA">
        <w:rPr>
          <w:rFonts w:asciiTheme="minorEastAsia" w:eastAsiaTheme="minorEastAsia" w:hAnsiTheme="minorEastAsia" w:hint="eastAsia"/>
          <w:sz w:val="28"/>
          <w:szCs w:val="28"/>
        </w:rPr>
        <w:t>五</w:t>
      </w:r>
      <w:r w:rsidRPr="004A57FA">
        <w:rPr>
          <w:rFonts w:asciiTheme="minorEastAsia" w:eastAsiaTheme="minorEastAsia" w:hAnsiTheme="minorEastAsia"/>
          <w:sz w:val="28"/>
          <w:szCs w:val="28"/>
        </w:rPr>
        <w:t>）本基金特有的风险</w:t>
      </w:r>
    </w:p>
    <w:p w:rsidR="00AC0CD4" w:rsidRPr="004A57FA" w:rsidRDefault="00AC0CD4" w:rsidP="00AC0CD4">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1、资产配置风险</w:t>
      </w:r>
    </w:p>
    <w:p w:rsidR="00AC0CD4" w:rsidRPr="004A57FA" w:rsidRDefault="00AC0CD4" w:rsidP="00AC0CD4">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kern w:val="0"/>
          <w:szCs w:val="21"/>
        </w:rPr>
        <w:t>本基金股票资产占基金资产的比例为60%-95%</w:t>
      </w:r>
      <w:r w:rsidRPr="004A57FA">
        <w:rPr>
          <w:rFonts w:asciiTheme="minorEastAsia" w:eastAsiaTheme="minorEastAsia" w:hAnsiTheme="minorEastAsia" w:hint="eastAsia"/>
          <w:kern w:val="0"/>
          <w:szCs w:val="21"/>
        </w:rPr>
        <w:t>，属于股票仓位偏高且相对稳定的基金品种，受股票市场系统性风险影响较大，</w:t>
      </w:r>
      <w:r w:rsidRPr="004A57FA">
        <w:rPr>
          <w:rFonts w:asciiTheme="minorEastAsia" w:eastAsiaTheme="minorEastAsia" w:hAnsiTheme="minorEastAsia"/>
          <w:kern w:val="0"/>
          <w:szCs w:val="21"/>
        </w:rPr>
        <w:t>如果</w:t>
      </w:r>
      <w:r w:rsidRPr="004A57FA">
        <w:rPr>
          <w:rFonts w:asciiTheme="minorEastAsia" w:eastAsiaTheme="minorEastAsia" w:hAnsiTheme="minorEastAsia" w:hint="eastAsia"/>
          <w:kern w:val="0"/>
          <w:szCs w:val="21"/>
        </w:rPr>
        <w:t>股票</w:t>
      </w:r>
      <w:r w:rsidRPr="004A57FA">
        <w:rPr>
          <w:rFonts w:asciiTheme="minorEastAsia" w:eastAsiaTheme="minorEastAsia" w:hAnsiTheme="minorEastAsia"/>
          <w:kern w:val="0"/>
          <w:szCs w:val="21"/>
        </w:rPr>
        <w:t>市场出现整体下跌，本基金的净值表现将受到影响</w:t>
      </w:r>
      <w:r w:rsidRPr="004A57FA">
        <w:rPr>
          <w:rFonts w:asciiTheme="minorEastAsia" w:eastAsiaTheme="minorEastAsia" w:hAnsiTheme="minorEastAsia" w:hint="eastAsia"/>
          <w:kern w:val="0"/>
          <w:szCs w:val="21"/>
        </w:rPr>
        <w:t>，</w:t>
      </w:r>
      <w:r w:rsidRPr="004A57FA">
        <w:rPr>
          <w:rFonts w:asciiTheme="minorEastAsia" w:eastAsiaTheme="minorEastAsia" w:hAnsiTheme="minorEastAsia"/>
          <w:kern w:val="0"/>
          <w:szCs w:val="21"/>
        </w:rPr>
        <w:t>投资者面临无法获得收益甚至</w:t>
      </w:r>
      <w:r w:rsidRPr="004A57FA">
        <w:rPr>
          <w:rFonts w:asciiTheme="minorEastAsia" w:eastAsiaTheme="minorEastAsia" w:hAnsiTheme="minorEastAsia" w:hint="eastAsia"/>
          <w:kern w:val="0"/>
          <w:szCs w:val="21"/>
        </w:rPr>
        <w:t>可能</w:t>
      </w:r>
      <w:r w:rsidRPr="004A57FA">
        <w:rPr>
          <w:rFonts w:asciiTheme="minorEastAsia" w:eastAsiaTheme="minorEastAsia" w:hAnsiTheme="minorEastAsia"/>
          <w:kern w:val="0"/>
          <w:szCs w:val="21"/>
        </w:rPr>
        <w:t>发生较大亏损的风险</w:t>
      </w:r>
      <w:r w:rsidRPr="004A57FA">
        <w:rPr>
          <w:rFonts w:asciiTheme="minorEastAsia" w:eastAsiaTheme="minorEastAsia" w:hAnsiTheme="minorEastAsia" w:hint="eastAsia"/>
          <w:kern w:val="0"/>
          <w:szCs w:val="21"/>
        </w:rPr>
        <w:t>。</w:t>
      </w:r>
    </w:p>
    <w:p w:rsidR="00AC0CD4" w:rsidRPr="004A57FA" w:rsidRDefault="00AC0CD4" w:rsidP="00AC0CD4">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2、股票资产主要投资红利股的风险</w:t>
      </w:r>
    </w:p>
    <w:p w:rsidR="002F3D38" w:rsidRPr="004A57FA" w:rsidRDefault="00AC0CD4" w:rsidP="00C53017">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本基金股票资产中不低于</w:t>
      </w:r>
      <w:r w:rsidRPr="004A57FA">
        <w:rPr>
          <w:rFonts w:asciiTheme="minorEastAsia" w:eastAsiaTheme="minorEastAsia" w:hAnsiTheme="minorEastAsia"/>
          <w:kern w:val="0"/>
          <w:szCs w:val="21"/>
        </w:rPr>
        <w:t>80%</w:t>
      </w:r>
      <w:r w:rsidRPr="004A57FA">
        <w:rPr>
          <w:rFonts w:asciiTheme="minorEastAsia" w:eastAsiaTheme="minorEastAsia" w:hAnsiTheme="minorEastAsia" w:hint="eastAsia"/>
          <w:kern w:val="0"/>
          <w:szCs w:val="21"/>
        </w:rPr>
        <w:t>的资产由基金管理人按照基金合同约定的投资策略投资于红利股。</w:t>
      </w:r>
      <w:r w:rsidR="002F3D38" w:rsidRPr="004A57FA">
        <w:rPr>
          <w:rFonts w:asciiTheme="minorEastAsia" w:eastAsiaTheme="minorEastAsia" w:hAnsiTheme="minorEastAsia" w:hint="eastAsia"/>
          <w:kern w:val="0"/>
          <w:szCs w:val="21"/>
        </w:rPr>
        <w:t>本基金对于红利股的定义和筛选标准的确定是基于</w:t>
      </w:r>
      <w:r w:rsidR="002F3D38" w:rsidRPr="004A57FA">
        <w:rPr>
          <w:rFonts w:asciiTheme="minorEastAsia" w:eastAsiaTheme="minorEastAsia" w:hAnsiTheme="minorEastAsia" w:hint="eastAsia"/>
          <w:szCs w:val="21"/>
        </w:rPr>
        <w:t>上市公司历史分红情况及分红预期</w:t>
      </w:r>
      <w:r w:rsidR="002F3D38" w:rsidRPr="004A57FA">
        <w:rPr>
          <w:rFonts w:asciiTheme="minorEastAsia" w:eastAsiaTheme="minorEastAsia" w:hAnsiTheme="minorEastAsia" w:hint="eastAsia"/>
          <w:kern w:val="0"/>
          <w:szCs w:val="21"/>
        </w:rPr>
        <w:t>据及其他多方面因素，不预示其未来表现，因此最终能否带来收益具有较大不确定性。此外，本基金投资于股票</w:t>
      </w:r>
      <w:r w:rsidR="00915899" w:rsidRPr="004A57FA">
        <w:rPr>
          <w:rFonts w:asciiTheme="minorEastAsia" w:eastAsiaTheme="minorEastAsia" w:hAnsiTheme="minorEastAsia" w:hint="eastAsia"/>
          <w:kern w:val="0"/>
          <w:szCs w:val="21"/>
        </w:rPr>
        <w:t>市场所获取的收益受多种因素影响，因此即便根据投资策略投资于红利股</w:t>
      </w:r>
      <w:r w:rsidR="002F3D38" w:rsidRPr="004A57FA">
        <w:rPr>
          <w:rFonts w:asciiTheme="minorEastAsia" w:eastAsiaTheme="minorEastAsia" w:hAnsiTheme="minorEastAsia" w:hint="eastAsia"/>
          <w:kern w:val="0"/>
          <w:szCs w:val="21"/>
        </w:rPr>
        <w:t>，也不意味着本基金一定盈利。投资者须在理性判断的基础上做出投资选择。</w:t>
      </w:r>
    </w:p>
    <w:p w:rsidR="00915899" w:rsidRPr="004A57FA" w:rsidRDefault="00915899" w:rsidP="00C53017">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3</w:t>
      </w:r>
      <w:r w:rsidRPr="004A57FA">
        <w:rPr>
          <w:rFonts w:asciiTheme="minorEastAsia" w:eastAsiaTheme="minorEastAsia" w:hAnsiTheme="minorEastAsia"/>
          <w:kern w:val="0"/>
          <w:szCs w:val="21"/>
        </w:rPr>
        <w:t>、</w:t>
      </w:r>
      <w:r w:rsidRPr="004A57FA">
        <w:rPr>
          <w:rFonts w:asciiTheme="minorEastAsia" w:eastAsiaTheme="minorEastAsia" w:hAnsiTheme="minorEastAsia" w:hint="eastAsia"/>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4、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kern w:val="0"/>
          <w:szCs w:val="21"/>
        </w:rPr>
        <w:t>（1</w:t>
      </w:r>
      <w:r w:rsidRPr="004A57FA">
        <w:rPr>
          <w:rFonts w:asciiTheme="minorEastAsia" w:eastAsiaTheme="minorEastAsia" w:hAnsiTheme="minorEastAsia" w:hint="eastAsia"/>
          <w:kern w:val="0"/>
          <w:szCs w:val="21"/>
        </w:rPr>
        <w:t>）科创板企业退市风险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kern w:val="0"/>
          <w:szCs w:val="21"/>
        </w:rPr>
        <w:t>（2</w:t>
      </w:r>
      <w:r w:rsidRPr="004A57FA">
        <w:rPr>
          <w:rFonts w:asciiTheme="minorEastAsia" w:eastAsiaTheme="minorEastAsia" w:hAnsiTheme="minorEastAsia" w:hint="eastAsia"/>
          <w:kern w:val="0"/>
          <w:szCs w:val="21"/>
        </w:rPr>
        <w:t>）市场风险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科创板企业相对集中于新一代信息技术、高端装备、新材料、新能源、节能环保及生物</w:t>
      </w:r>
      <w:r w:rsidRPr="004A57FA">
        <w:rPr>
          <w:rFonts w:asciiTheme="minorEastAsia" w:eastAsiaTheme="minorEastAsia" w:hAnsiTheme="minorEastAsia" w:hint="eastAsia"/>
          <w:kern w:val="0"/>
          <w:szCs w:val="21"/>
        </w:rPr>
        <w:lastRenderedPageBreak/>
        <w:t>医药等高新技术和战略新兴产业领域，大多数企业为初创型公司，上市门槛略低于</w:t>
      </w:r>
      <w:r w:rsidRPr="004A57FA">
        <w:rPr>
          <w:rFonts w:asciiTheme="minorEastAsia" w:eastAsiaTheme="minorEastAsia" w:hAnsiTheme="minorEastAsia"/>
          <w:kern w:val="0"/>
          <w:szCs w:val="21"/>
        </w:rPr>
        <w:t>A</w:t>
      </w:r>
      <w:r w:rsidRPr="004A57FA">
        <w:rPr>
          <w:rFonts w:asciiTheme="minorEastAsia" w:eastAsiaTheme="minorEastAsia" w:hAnsiTheme="minorEastAsia" w:hint="eastAsia"/>
          <w:kern w:val="0"/>
          <w:szCs w:val="21"/>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4A57FA">
        <w:rPr>
          <w:rFonts w:asciiTheme="minorEastAsia" w:eastAsiaTheme="minorEastAsia" w:hAnsiTheme="minorEastAsia"/>
          <w:kern w:val="0"/>
          <w:szCs w:val="21"/>
        </w:rPr>
        <w:t>5</w:t>
      </w:r>
      <w:r w:rsidRPr="004A57FA">
        <w:rPr>
          <w:rFonts w:asciiTheme="minorEastAsia" w:eastAsiaTheme="minorEastAsia" w:hAnsiTheme="minorEastAsia" w:hint="eastAsia"/>
          <w:kern w:val="0"/>
          <w:szCs w:val="21"/>
        </w:rPr>
        <w:t>个交易日不设涨跌幅限制，其后涨跌幅限制为</w:t>
      </w:r>
      <w:r w:rsidRPr="004A57FA">
        <w:rPr>
          <w:rFonts w:asciiTheme="minorEastAsia" w:eastAsiaTheme="minorEastAsia" w:hAnsiTheme="minorEastAsia"/>
          <w:kern w:val="0"/>
          <w:szCs w:val="21"/>
        </w:rPr>
        <w:t>20%</w:t>
      </w:r>
      <w:r w:rsidRPr="004A57FA">
        <w:rPr>
          <w:rFonts w:asciiTheme="minorEastAsia" w:eastAsiaTheme="minorEastAsia" w:hAnsiTheme="minorEastAsia" w:hint="eastAsia"/>
          <w:kern w:val="0"/>
          <w:szCs w:val="21"/>
        </w:rPr>
        <w:t>）、科创板股票上市首日即可作为融资融券标的，可能导致较大的股票价格波动。</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kern w:val="0"/>
          <w:szCs w:val="21"/>
        </w:rPr>
        <w:t>（3</w:t>
      </w:r>
      <w:r w:rsidRPr="004A57FA">
        <w:rPr>
          <w:rFonts w:asciiTheme="minorEastAsia" w:eastAsiaTheme="minorEastAsia" w:hAnsiTheme="minorEastAsia" w:hint="eastAsia"/>
          <w:kern w:val="0"/>
          <w:szCs w:val="21"/>
        </w:rPr>
        <w:t>）流动性风险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kern w:val="0"/>
          <w:szCs w:val="21"/>
        </w:rPr>
        <w:t>（4</w:t>
      </w:r>
      <w:r w:rsidRPr="004A57FA">
        <w:rPr>
          <w:rFonts w:asciiTheme="minorEastAsia" w:eastAsiaTheme="minorEastAsia" w:hAnsiTheme="minorEastAsia" w:hint="eastAsia"/>
          <w:kern w:val="0"/>
          <w:szCs w:val="21"/>
        </w:rPr>
        <w:t>）监管规则变化的风险</w:t>
      </w:r>
    </w:p>
    <w:p w:rsidR="00AC0CD4" w:rsidRPr="004A57FA" w:rsidRDefault="00AC0CD4" w:rsidP="00AC0CD4">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C11497" w:rsidRPr="004A57FA" w:rsidRDefault="00C11497" w:rsidP="00C11497">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5、投资于存托凭证的风险</w:t>
      </w:r>
    </w:p>
    <w:p w:rsidR="00C11497" w:rsidRPr="004A57FA" w:rsidRDefault="00C11497" w:rsidP="00C11497">
      <w:pPr>
        <w:snapToGrid w:val="0"/>
        <w:spacing w:line="360" w:lineRule="auto"/>
        <w:ind w:firstLineChars="200" w:firstLine="420"/>
        <w:rPr>
          <w:rFonts w:asciiTheme="minorEastAsia" w:eastAsiaTheme="minorEastAsia" w:hAnsiTheme="minorEastAsia"/>
          <w:kern w:val="0"/>
          <w:szCs w:val="21"/>
        </w:rPr>
      </w:pPr>
      <w:r w:rsidRPr="004A57FA">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458BE" w:rsidRPr="004A57FA" w:rsidRDefault="00AF2EE6" w:rsidP="00C53017">
      <w:pPr>
        <w:snapToGrid w:val="0"/>
        <w:spacing w:line="360" w:lineRule="auto"/>
        <w:rPr>
          <w:rFonts w:asciiTheme="minorEastAsia" w:eastAsiaTheme="minorEastAsia" w:hAnsiTheme="minorEastAsia"/>
          <w:sz w:val="28"/>
          <w:szCs w:val="28"/>
        </w:rPr>
      </w:pPr>
      <w:r w:rsidRPr="004A57FA">
        <w:rPr>
          <w:rFonts w:asciiTheme="minorEastAsia" w:eastAsiaTheme="minorEastAsia" w:hAnsiTheme="minorEastAsia"/>
          <w:sz w:val="28"/>
          <w:szCs w:val="28"/>
        </w:rPr>
        <w:t>（</w:t>
      </w:r>
      <w:r w:rsidR="00AC34D1" w:rsidRPr="004A57FA">
        <w:rPr>
          <w:rFonts w:asciiTheme="minorEastAsia" w:eastAsiaTheme="minorEastAsia" w:hAnsiTheme="minorEastAsia" w:hint="eastAsia"/>
          <w:sz w:val="28"/>
          <w:szCs w:val="28"/>
        </w:rPr>
        <w:t>六</w:t>
      </w:r>
      <w:r w:rsidRPr="004A57FA">
        <w:rPr>
          <w:rFonts w:asciiTheme="minorEastAsia" w:eastAsiaTheme="minorEastAsia" w:hAnsiTheme="minorEastAsia"/>
          <w:sz w:val="28"/>
          <w:szCs w:val="28"/>
        </w:rPr>
        <w:t>）其他风险</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rPr>
        <w:t>因技术因素而产生的风险，如电脑系统不可靠产生的风险；</w:t>
      </w:r>
    </w:p>
    <w:p w:rsidR="00AF2EE6" w:rsidRPr="004A57FA" w:rsidRDefault="00FC5032"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因战争、自然灾害等不可抗力导致的基金管理人、基金托管人、基金</w:t>
      </w:r>
      <w:r w:rsidR="00AD1D91" w:rsidRPr="004A57FA">
        <w:rPr>
          <w:rFonts w:asciiTheme="minorEastAsia" w:eastAsiaTheme="minorEastAsia" w:hAnsiTheme="minorEastAsia" w:hint="eastAsia"/>
        </w:rPr>
        <w:t>服务</w:t>
      </w:r>
      <w:r w:rsidR="00AF2EE6" w:rsidRPr="004A57FA">
        <w:rPr>
          <w:rFonts w:asciiTheme="minorEastAsia" w:eastAsiaTheme="minorEastAsia" w:hAnsiTheme="minorEastAsia" w:hint="eastAsia"/>
        </w:rPr>
        <w:t>机构等机构无法正常工作，从而影响基金运作的风险；</w:t>
      </w:r>
    </w:p>
    <w:p w:rsidR="00BF356A" w:rsidRPr="004A57FA" w:rsidRDefault="00FC5032" w:rsidP="00A805DC">
      <w:pPr>
        <w:snapToGrid w:val="0"/>
        <w:spacing w:line="360" w:lineRule="auto"/>
        <w:ind w:firstLine="420"/>
        <w:rPr>
          <w:rFonts w:asciiTheme="minorEastAsia" w:eastAsiaTheme="minorEastAsia" w:hAnsiTheme="minorEastAsia"/>
        </w:rPr>
        <w:sectPr w:rsidR="00BF356A" w:rsidRPr="004A57FA" w:rsidSect="00A805DC">
          <w:pgSz w:w="11907" w:h="16840" w:code="9"/>
          <w:pgMar w:top="1440" w:right="1800" w:bottom="1440" w:left="1800" w:header="1134" w:footer="1247" w:gutter="0"/>
          <w:cols w:space="425"/>
          <w:docGrid w:type="lines" w:linePitch="312"/>
        </w:sect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228" w:name="_Toc81231042"/>
      <w:r w:rsidRPr="004A57FA">
        <w:rPr>
          <w:rFonts w:asciiTheme="minorEastAsia" w:eastAsiaTheme="minorEastAsia" w:hAnsiTheme="minorEastAsia" w:hint="eastAsia"/>
          <w:b/>
          <w:bCs/>
        </w:rPr>
        <w:lastRenderedPageBreak/>
        <w:t>二十一、基金合同的终止与基金财产的清算</w:t>
      </w:r>
      <w:bookmarkEnd w:id="228"/>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29" w:name="_Toc97031319"/>
      <w:bookmarkStart w:id="230" w:name="_Toc97107279"/>
      <w:bookmarkStart w:id="231" w:name="_Toc86584659"/>
      <w:bookmarkStart w:id="232" w:name="_Toc81231043"/>
      <w:bookmarkEnd w:id="229"/>
      <w:bookmarkEnd w:id="230"/>
      <w:r w:rsidRPr="004A57FA">
        <w:rPr>
          <w:rFonts w:asciiTheme="minorEastAsia" w:eastAsiaTheme="minorEastAsia" w:hAnsiTheme="minorEastAsia" w:hint="eastAsia"/>
          <w:b w:val="0"/>
        </w:rPr>
        <w:t>（</w:t>
      </w:r>
      <w:r w:rsidRPr="004A57FA">
        <w:rPr>
          <w:rFonts w:asciiTheme="minorEastAsia" w:eastAsiaTheme="minorEastAsia" w:hAnsiTheme="minorEastAsia"/>
          <w:b w:val="0"/>
        </w:rPr>
        <w:t>一）</w:t>
      </w:r>
      <w:r w:rsidR="00AF2EE6" w:rsidRPr="004A57FA">
        <w:rPr>
          <w:rFonts w:asciiTheme="minorEastAsia" w:eastAsiaTheme="minorEastAsia" w:hAnsiTheme="minorEastAsia" w:hint="eastAsia"/>
          <w:b w:val="0"/>
        </w:rPr>
        <w:t>基金合同的终止</w:t>
      </w:r>
      <w:bookmarkEnd w:id="231"/>
      <w:bookmarkEnd w:id="232"/>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有下列情形之一的，《基金合同》应当终止：</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基金份额持有人大会决定终止的；</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基金管理人、基金托管人职责终止，在6个月内没有新基金管理人、新基金托管人承接的；</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《基金合同》约定的其他情形；</w:t>
      </w:r>
    </w:p>
    <w:p w:rsidR="00AF2EE6" w:rsidRPr="004A57FA" w:rsidRDefault="00FC5032"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相关法律法规和中国证监会规定的其他情况。</w:t>
      </w:r>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33" w:name="_Toc86584660"/>
      <w:bookmarkStart w:id="234" w:name="_Toc81231044"/>
      <w:r w:rsidRPr="004A57FA">
        <w:rPr>
          <w:rFonts w:asciiTheme="minorEastAsia" w:eastAsiaTheme="minorEastAsia" w:hAnsiTheme="minorEastAsia" w:hint="eastAsia"/>
          <w:b w:val="0"/>
        </w:rPr>
        <w:t>（二</w:t>
      </w:r>
      <w:r w:rsidRPr="004A57FA">
        <w:rPr>
          <w:rFonts w:asciiTheme="minorEastAsia" w:eastAsiaTheme="minorEastAsia" w:hAnsiTheme="minorEastAsia"/>
          <w:b w:val="0"/>
        </w:rPr>
        <w:t>）</w:t>
      </w:r>
      <w:r w:rsidR="00AF2EE6" w:rsidRPr="004A57FA">
        <w:rPr>
          <w:rFonts w:asciiTheme="minorEastAsia" w:eastAsiaTheme="minorEastAsia" w:hAnsiTheme="minorEastAsia" w:hint="eastAsia"/>
          <w:b w:val="0"/>
        </w:rPr>
        <w:t>基金财产的清算</w:t>
      </w:r>
      <w:bookmarkEnd w:id="233"/>
      <w:bookmarkEnd w:id="234"/>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基金财产清算小组：自出现《基金合同》终止事由之日起</w:t>
      </w:r>
      <w:r w:rsidR="00AF2EE6" w:rsidRPr="004A57FA">
        <w:rPr>
          <w:rFonts w:asciiTheme="minorEastAsia" w:eastAsiaTheme="minorEastAsia" w:hAnsiTheme="minorEastAsia"/>
          <w:szCs w:val="21"/>
        </w:rPr>
        <w:t>30</w:t>
      </w:r>
      <w:r w:rsidR="00AF2EE6" w:rsidRPr="004A57FA">
        <w:rPr>
          <w:rFonts w:asciiTheme="minorEastAsia" w:eastAsiaTheme="minorEastAsia" w:hAnsiTheme="minorEastAsia" w:hint="eastAsia"/>
          <w:szCs w:val="21"/>
        </w:rPr>
        <w:t>个工作日内成立清算小组，基金管理人组织基金财产清算小组并在中国证监会的监督下进行基金清算。</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基金财产清算小组职责：基金财产清算小组负责基金财产的保管、清理、估价、变现和分配。基金财产清算小组可以依法进行必要的民事活动。</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基金财产清算程序：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（1）《基金合同》终止</w:t>
      </w:r>
      <w:r w:rsidR="00215323" w:rsidRPr="004A57FA">
        <w:rPr>
          <w:rFonts w:asciiTheme="minorEastAsia" w:eastAsiaTheme="minorEastAsia" w:hAnsiTheme="minorEastAsia" w:hint="eastAsia"/>
          <w:szCs w:val="21"/>
        </w:rPr>
        <w:t>情形出现</w:t>
      </w:r>
      <w:r w:rsidRPr="004A57FA">
        <w:rPr>
          <w:rFonts w:asciiTheme="minorEastAsia" w:eastAsiaTheme="minorEastAsia" w:hAnsiTheme="minorEastAsia" w:hint="eastAsia"/>
          <w:szCs w:val="21"/>
        </w:rPr>
        <w:t>后，由基金财产清算小组统一接管基金；</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（2）对基金财产和债权债务进行清理和确认；</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（3）对基金财产进行估值和变现；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（4）制作清算报告；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（5）聘请会计师事务所对清算报告进行外部审计，聘请律师事务所对清算报告出具法律意见书；</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（6）将清算报告报中国证监会备案并公告。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（7）对基金财产进行分配；</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00AF2EE6" w:rsidRPr="004A57FA">
        <w:rPr>
          <w:rFonts w:asciiTheme="minorEastAsia" w:eastAsiaTheme="minorEastAsia" w:hAnsiTheme="minorEastAsia" w:hint="eastAsia"/>
          <w:szCs w:val="21"/>
        </w:rPr>
        <w:t>基金财产清算的期限为6个月。</w:t>
      </w:r>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35" w:name="_Toc81231045"/>
      <w:r w:rsidRPr="004A57FA">
        <w:rPr>
          <w:rFonts w:asciiTheme="minorEastAsia" w:eastAsiaTheme="minorEastAsia" w:hAnsiTheme="minorEastAsia" w:hint="eastAsia"/>
          <w:b w:val="0"/>
        </w:rPr>
        <w:t>（三</w:t>
      </w:r>
      <w:r w:rsidRPr="004A57FA">
        <w:rPr>
          <w:rFonts w:asciiTheme="minorEastAsia" w:eastAsiaTheme="minorEastAsia" w:hAnsiTheme="minorEastAsia"/>
          <w:b w:val="0"/>
        </w:rPr>
        <w:t>）</w:t>
      </w:r>
      <w:r w:rsidR="00AF2EE6" w:rsidRPr="004A57FA">
        <w:rPr>
          <w:rFonts w:asciiTheme="minorEastAsia" w:eastAsiaTheme="minorEastAsia" w:hAnsiTheme="minorEastAsia" w:hint="eastAsia"/>
          <w:b w:val="0"/>
        </w:rPr>
        <w:t>清算费用</w:t>
      </w:r>
      <w:bookmarkEnd w:id="235"/>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36" w:name="_Toc81231046"/>
      <w:r w:rsidRPr="004A57FA">
        <w:rPr>
          <w:rFonts w:asciiTheme="minorEastAsia" w:eastAsiaTheme="minorEastAsia" w:hAnsiTheme="minorEastAsia" w:hint="eastAsia"/>
          <w:b w:val="0"/>
        </w:rPr>
        <w:t>（四</w:t>
      </w:r>
      <w:r w:rsidRPr="004A57FA">
        <w:rPr>
          <w:rFonts w:asciiTheme="minorEastAsia" w:eastAsiaTheme="minorEastAsia" w:hAnsiTheme="minorEastAsia"/>
          <w:b w:val="0"/>
        </w:rPr>
        <w:t>）</w:t>
      </w:r>
      <w:r w:rsidR="00AF2EE6" w:rsidRPr="004A57FA">
        <w:rPr>
          <w:rFonts w:asciiTheme="minorEastAsia" w:eastAsiaTheme="minorEastAsia" w:hAnsiTheme="minorEastAsia" w:hint="eastAsia"/>
          <w:b w:val="0"/>
        </w:rPr>
        <w:t>基金财产清算剩余资产的分配</w:t>
      </w:r>
      <w:bookmarkEnd w:id="236"/>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依据基金财产清算的分配方案，将基金财产清算后的全部剩余资产扣除基金财产清算费用、交纳所欠税款并清偿基金债务后，按基金份额持有人持有的基金份额比例进行分配。</w:t>
      </w:r>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37" w:name="_Toc81231047"/>
      <w:r w:rsidRPr="004A57FA">
        <w:rPr>
          <w:rFonts w:asciiTheme="minorEastAsia" w:eastAsiaTheme="minorEastAsia" w:hAnsiTheme="minorEastAsia" w:hint="eastAsia"/>
          <w:b w:val="0"/>
        </w:rPr>
        <w:lastRenderedPageBreak/>
        <w:t>（五</w:t>
      </w:r>
      <w:r w:rsidRPr="004A57FA">
        <w:rPr>
          <w:rFonts w:asciiTheme="minorEastAsia" w:eastAsiaTheme="minorEastAsia" w:hAnsiTheme="minorEastAsia"/>
          <w:b w:val="0"/>
        </w:rPr>
        <w:t>）</w:t>
      </w:r>
      <w:r w:rsidR="00AF2EE6" w:rsidRPr="004A57FA">
        <w:rPr>
          <w:rFonts w:asciiTheme="minorEastAsia" w:eastAsiaTheme="minorEastAsia" w:hAnsiTheme="minorEastAsia" w:hint="eastAsia"/>
          <w:b w:val="0"/>
        </w:rPr>
        <w:t>基金财产清算的公告</w:t>
      </w:r>
      <w:bookmarkEnd w:id="237"/>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w:t>
      </w:r>
      <w:r w:rsidR="00215323" w:rsidRPr="004A57FA">
        <w:rPr>
          <w:rFonts w:asciiTheme="minorEastAsia" w:eastAsiaTheme="minorEastAsia" w:hAnsiTheme="minorEastAsia" w:hint="eastAsia"/>
          <w:szCs w:val="30"/>
        </w:rPr>
        <w:t>基金财产清算报告报中国证监会备案后</w:t>
      </w:r>
      <w:r w:rsidR="00215323" w:rsidRPr="004A57FA">
        <w:rPr>
          <w:rFonts w:asciiTheme="minorEastAsia" w:eastAsiaTheme="minorEastAsia" w:hAnsiTheme="minorEastAsia"/>
          <w:szCs w:val="30"/>
        </w:rPr>
        <w:t>5</w:t>
      </w:r>
      <w:r w:rsidR="00215323" w:rsidRPr="004A57FA">
        <w:rPr>
          <w:rFonts w:asciiTheme="minorEastAsia" w:eastAsiaTheme="minorEastAsia" w:hAnsiTheme="minorEastAsia" w:hint="eastAsia"/>
          <w:szCs w:val="30"/>
        </w:rPr>
        <w:t>个工作日内</w:t>
      </w:r>
      <w:r w:rsidRPr="004A57FA">
        <w:rPr>
          <w:rFonts w:asciiTheme="minorEastAsia" w:eastAsiaTheme="minorEastAsia" w:hAnsiTheme="minorEastAsia" w:hint="eastAsia"/>
          <w:szCs w:val="21"/>
        </w:rPr>
        <w:t>由基金财产清算小组进行公告。</w:t>
      </w:r>
    </w:p>
    <w:p w:rsidR="00AF2EE6" w:rsidRPr="004A57FA" w:rsidRDefault="00274942" w:rsidP="00274942">
      <w:pPr>
        <w:pStyle w:val="20"/>
        <w:snapToGrid w:val="0"/>
        <w:spacing w:beforeLines="0" w:afterLines="0" w:line="360" w:lineRule="auto"/>
        <w:ind w:firstLineChars="0" w:firstLine="0"/>
        <w:rPr>
          <w:rFonts w:asciiTheme="minorEastAsia" w:eastAsiaTheme="minorEastAsia" w:hAnsiTheme="minorEastAsia"/>
          <w:b w:val="0"/>
        </w:rPr>
      </w:pPr>
      <w:bookmarkStart w:id="238" w:name="_Toc81231048"/>
      <w:r w:rsidRPr="004A57FA">
        <w:rPr>
          <w:rFonts w:asciiTheme="minorEastAsia" w:eastAsiaTheme="minorEastAsia" w:hAnsiTheme="minorEastAsia" w:hint="eastAsia"/>
          <w:b w:val="0"/>
        </w:rPr>
        <w:t>（六</w:t>
      </w:r>
      <w:r w:rsidRPr="004A57FA">
        <w:rPr>
          <w:rFonts w:asciiTheme="minorEastAsia" w:eastAsiaTheme="minorEastAsia" w:hAnsiTheme="minorEastAsia"/>
          <w:b w:val="0"/>
        </w:rPr>
        <w:t>）</w:t>
      </w:r>
      <w:r w:rsidR="00AF2EE6" w:rsidRPr="004A57FA">
        <w:rPr>
          <w:rFonts w:asciiTheme="minorEastAsia" w:eastAsiaTheme="minorEastAsia" w:hAnsiTheme="minorEastAsia" w:hint="eastAsia"/>
          <w:b w:val="0"/>
        </w:rPr>
        <w:t>基金财产清算账册及文件的保存</w:t>
      </w:r>
      <w:bookmarkEnd w:id="238"/>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239" w:name="_Toc200522988"/>
      <w:bookmarkStart w:id="240" w:name="_Toc201398367"/>
      <w:bookmarkStart w:id="241" w:name="_Toc201399167"/>
      <w:r w:rsidRPr="004A57FA">
        <w:rPr>
          <w:rFonts w:asciiTheme="minorEastAsia" w:eastAsiaTheme="minorEastAsia" w:hAnsiTheme="minorEastAsia" w:hint="eastAsia"/>
          <w:szCs w:val="21"/>
        </w:rPr>
        <w:t>基金财产清算账册及有关文件由基金托管人保存</w:t>
      </w:r>
      <w:r w:rsidRPr="004A57FA">
        <w:rPr>
          <w:rFonts w:asciiTheme="minorEastAsia" w:eastAsiaTheme="minorEastAsia" w:hAnsiTheme="minorEastAsia"/>
          <w:szCs w:val="21"/>
        </w:rPr>
        <w:t>15</w:t>
      </w:r>
      <w:r w:rsidRPr="004A57FA">
        <w:rPr>
          <w:rFonts w:asciiTheme="minorEastAsia" w:eastAsiaTheme="minorEastAsia" w:hAnsiTheme="minorEastAsia" w:hint="eastAsia"/>
          <w:szCs w:val="21"/>
        </w:rPr>
        <w:t>年以上。</w:t>
      </w: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626C7D" w:rsidRPr="004A57FA" w:rsidRDefault="00626C7D" w:rsidP="00C53017">
      <w:pPr>
        <w:snapToGrid w:val="0"/>
        <w:spacing w:line="360" w:lineRule="auto"/>
        <w:ind w:firstLineChars="200" w:firstLine="420"/>
        <w:rPr>
          <w:rFonts w:asciiTheme="minorEastAsia" w:eastAsiaTheme="minorEastAsia" w:hAnsiTheme="minorEastAsia"/>
          <w:szCs w:val="21"/>
        </w:rPr>
      </w:pP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42" w:name="_Toc81231049"/>
      <w:r w:rsidRPr="004A57FA">
        <w:rPr>
          <w:rFonts w:asciiTheme="minorEastAsia" w:eastAsiaTheme="minorEastAsia" w:hAnsiTheme="minorEastAsia" w:hint="eastAsia"/>
          <w:b/>
          <w:bCs/>
        </w:rPr>
        <w:lastRenderedPageBreak/>
        <w:t>二十二、基金合同内容摘要</w:t>
      </w:r>
      <w:bookmarkEnd w:id="239"/>
      <w:bookmarkEnd w:id="240"/>
      <w:bookmarkEnd w:id="241"/>
      <w:bookmarkEnd w:id="242"/>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rPr>
      </w:pPr>
      <w:bookmarkStart w:id="243" w:name="_Toc81231050"/>
      <w:r w:rsidRPr="004A57FA">
        <w:rPr>
          <w:rFonts w:asciiTheme="minorEastAsia" w:eastAsiaTheme="minorEastAsia" w:hAnsiTheme="minorEastAsia" w:hint="eastAsia"/>
          <w:b w:val="0"/>
          <w:bCs/>
        </w:rPr>
        <w:t>（一）基金管理人的权利与义务</w:t>
      </w:r>
      <w:bookmarkEnd w:id="243"/>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根据《基金法》、《运作办法》及其他有关规定，基金管理人的权利包括但不限于：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（1）依法募集基金；</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（2）自《基金合同》生效之日起，根据法律法规和《基金合同》独立运用并管理基金财产；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（3）依照《基金合同》收取基金管理费以及法律法规规定或中国证监会批准的其他费用；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（4）销售基金份额；</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（5）召集基金份额持有人大会；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（6）依据《基金合同》及有关法律规定监督基金托管人，如认为基金托管人违反了《基金合同》及国家有关法律规定，应呈报中国证监会和其他监管部门，并采取必要措施保护基金投资者的利益；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（7）在基金托管人更换时，提名新的基金托管人；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（8）选择、委托、更换基金代销机构，对基金代销机构的相关行为进行监督和处理；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（9）担任或委托其他符合条件的机构担任基金注册登记机构办理基金注册登记业务并获得《基金合同》规定的费用；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（10）依据《基金合同》及有关法律规定决定基金收益的分配方案；</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（11）在《基金合同》约定的范围内，拒绝或暂停受理申购与赎回申请；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（12）在符合有关法律法规和《基金合同》的前提下，制订和调整《业务规则》，决定和调整除调高管理费率和托管费率之外的基金相关费率结构和收费方式；</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（13）依照法律法规为基金的利益对被投资公司行使股东权利，为基金的利益行使因基金财产投资于证券所产生的权利；</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（14）在法律法规允许的前提下，为基金的利益依法为基金进行融资；</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（15）以基金管理人的名义，代表基金份额持有人的利益行使诉讼权利或者实施其他法律行为；</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（16）选择、更换律师事务所、会计师事务所、证券经纪商或其他为基金提供服务的外部机构；</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（17）法律法规和《基金合同》规定的其他权利。</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根据《基金法》、《运作办法》及其他有关规定，基金管理人的义务包括但不限于：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w:t>
      </w:r>
      <w:r w:rsidRPr="004A57FA">
        <w:rPr>
          <w:rFonts w:asciiTheme="minorEastAsia" w:eastAsiaTheme="minorEastAsia" w:hAnsiTheme="minorEastAsia" w:hint="eastAsia"/>
          <w:szCs w:val="21"/>
        </w:rPr>
        <w:lastRenderedPageBreak/>
        <w:t>资者的利益；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办理基金备案手续；</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自《基金合同》生效之日起</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以诚实信用、谨慎勤勉的原则管理和运用基金财产；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（4）配备足够的具有专业资格的人员进行基金投资分析、决策，以专业化的经营方式管理和运作基金财产；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（5）建立健全内部风险控制、监察与稽核、财务管理及人事管理等制度，保证所管理的基金财产和基金管理人的财产相互独立</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对所管理的不同基金分别管理，分别记账，进行证券投资；</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（6）除依据《基金法》、《基金合同》及其他有关规定外</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不得利用基金财产为自己及任何第三人谋取利益，不得委托第三人运作基金财产；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（7）依法接受基金托管人的监督；</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w:t>
      </w:r>
      <w:r w:rsidRPr="004A57FA">
        <w:rPr>
          <w:rFonts w:asciiTheme="minorEastAsia" w:eastAsiaTheme="minorEastAsia" w:hAnsiTheme="minorEastAsia" w:hint="eastAsia"/>
          <w:szCs w:val="21"/>
        </w:rPr>
        <w:tab/>
        <w:t>采取适当合理的措施使计算基金份额认购、申购、赎回和注销价格的方法符合《基金合同》等法律文件的规定，按有关规定计算并公告基金净值信息，确定基金份额申购、赎回的价格；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（9）</w:t>
      </w:r>
      <w:r w:rsidRPr="004A57FA">
        <w:rPr>
          <w:rFonts w:asciiTheme="minorEastAsia" w:eastAsiaTheme="minorEastAsia" w:hAnsiTheme="minorEastAsia" w:hint="eastAsia"/>
          <w:szCs w:val="21"/>
        </w:rPr>
        <w:tab/>
        <w:t>进行基金会计核算并编制基金财务会计报告；</w:t>
      </w:r>
    </w:p>
    <w:p w:rsidR="00AF2EE6" w:rsidRPr="004A57FA" w:rsidRDefault="00AC34D1"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（10）</w:t>
      </w:r>
      <w:r w:rsidRPr="004A57FA">
        <w:rPr>
          <w:rFonts w:asciiTheme="minorEastAsia" w:eastAsiaTheme="minorEastAsia" w:hAnsiTheme="minorEastAsia" w:hint="eastAsia"/>
          <w:szCs w:val="21"/>
        </w:rPr>
        <w:tab/>
        <w:t>编制季度报告、中期报告和年度报告；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（11）严格按照《基金法》、《基金合同》及其他有关规定，履行信息披露及报告义务；</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（12）保守基金商业秘密，不泄露基金投资计划、投资意向等。除《基金法》、《基金合同》及其他有关规定另有规定外，在基金信息公开披露前应予保密，不向他人泄露；</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（13）按《基金合同》的约定确定基金收益分配方案，及时向基金份额持有人分配基金收益；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（14）按规定受理申购与赎回申请，及时、足额支付赎回款项；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（15）依据《基金法》、《基金合同》及其他有关规定召集基金份额持有人大会</w:t>
      </w:r>
      <w:r w:rsidRPr="004A57FA">
        <w:rPr>
          <w:rFonts w:asciiTheme="minorEastAsia" w:eastAsiaTheme="minorEastAsia" w:hAnsiTheme="minorEastAsia"/>
          <w:szCs w:val="21"/>
        </w:rPr>
        <w:t>或配合基金托管人、基金份额持有人依法召集基金份额持有人大会</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（16）</w:t>
      </w:r>
      <w:r w:rsidRPr="004A57FA">
        <w:rPr>
          <w:rFonts w:asciiTheme="minorEastAsia" w:eastAsiaTheme="minorEastAsia" w:hAnsiTheme="minorEastAsia" w:hint="eastAsia"/>
          <w:bCs/>
          <w:szCs w:val="21"/>
        </w:rPr>
        <w:t>按规定保存基金财产管理业务活动的会计账册、报表、记录和其他相关资料15年以上</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（18）组织并参加基金财产清算小组</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参与基金财产的保管、清理、估价、变现和分配；</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（19）面临解散、依法被撤销或者被依法宣告破产时，及时报告中国证监会并通知基金托管人；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（20）因违反《基金合同》导致基金财产的损失</w:t>
      </w:r>
      <w:r w:rsidRPr="004A57FA">
        <w:rPr>
          <w:rFonts w:asciiTheme="minorEastAsia" w:eastAsiaTheme="minorEastAsia" w:hAnsiTheme="minorEastAsia"/>
          <w:szCs w:val="21"/>
        </w:rPr>
        <w:t>或损害基金份额持有人合法权益</w:t>
      </w:r>
      <w:r w:rsidRPr="004A57FA">
        <w:rPr>
          <w:rFonts w:asciiTheme="minorEastAsia" w:eastAsiaTheme="minorEastAsia" w:hAnsiTheme="minorEastAsia" w:hint="eastAsia"/>
          <w:szCs w:val="21"/>
        </w:rPr>
        <w:t>时，应当承担赔偿责任，其赔偿责任不因其退任而免除；</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（21）监督基金托管人按法律法规和《基金合同》规定履行自己的义务，基金托管人违反《基金合同》造成基金财产损失时，基金管理人应为基金份额持有人利益向基金托管人追偿；</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（23）以基金管理人名义，代表基金份额持有人利益行使诉讼权利或实施其他法律行为；</w:t>
      </w:r>
      <w:r w:rsidRPr="004A57FA">
        <w:rPr>
          <w:rFonts w:asciiTheme="minorEastAsia" w:eastAsiaTheme="minorEastAsia" w:hAnsiTheme="minorEastAsia" w:hint="eastAsia"/>
          <w:szCs w:val="21"/>
        </w:rPr>
        <w:tab/>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（24）基金管理人在募集期间未能达到基金的备案条件，《基金合同》不能生效，基金管理人承担全部募集费用，将已募集资金并加计银行同期存款利息在基金募集期结束后30日内退还基金认购人；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（25</w:t>
      </w:r>
      <w:r w:rsidRPr="004A57FA">
        <w:rPr>
          <w:rFonts w:asciiTheme="minorEastAsia" w:eastAsiaTheme="minorEastAsia" w:hAnsiTheme="minorEastAsia"/>
          <w:szCs w:val="21"/>
        </w:rPr>
        <w:t>）执行生效的基金份额持有人大会的决定</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（26）</w:t>
      </w:r>
      <w:r w:rsidRPr="004A57FA">
        <w:rPr>
          <w:rFonts w:asciiTheme="minorEastAsia" w:eastAsiaTheme="minorEastAsia" w:hAnsiTheme="minorEastAsia"/>
          <w:szCs w:val="21"/>
        </w:rPr>
        <w:t>建立并保存基金份额持有人名册</w:t>
      </w:r>
      <w:r w:rsidRPr="004A57FA">
        <w:rPr>
          <w:rFonts w:asciiTheme="minorEastAsia" w:eastAsiaTheme="minorEastAsia" w:hAnsiTheme="minorEastAsia" w:hint="eastAsia"/>
          <w:szCs w:val="21"/>
        </w:rPr>
        <w:t>，根据托管协议的约定向基金托管人提供基金份额持有人名册</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（27）</w:t>
      </w:r>
      <w:r w:rsidRPr="004A57FA">
        <w:rPr>
          <w:rFonts w:asciiTheme="minorEastAsia" w:eastAsiaTheme="minorEastAsia" w:hAnsiTheme="minorEastAsia"/>
          <w:szCs w:val="21"/>
        </w:rPr>
        <w:t>法律法规</w:t>
      </w:r>
      <w:r w:rsidRPr="004A57FA">
        <w:rPr>
          <w:rFonts w:asciiTheme="minorEastAsia" w:eastAsiaTheme="minorEastAsia" w:hAnsiTheme="minorEastAsia" w:hint="eastAsia"/>
          <w:szCs w:val="21"/>
        </w:rPr>
        <w:t>及中国证监会规定的</w:t>
      </w:r>
      <w:r w:rsidRPr="004A57FA">
        <w:rPr>
          <w:rFonts w:asciiTheme="minorEastAsia" w:eastAsiaTheme="minorEastAsia" w:hAnsiTheme="minorEastAsia"/>
          <w:szCs w:val="21"/>
        </w:rPr>
        <w:t>和《基金合同》</w:t>
      </w:r>
      <w:r w:rsidRPr="004A57FA">
        <w:rPr>
          <w:rFonts w:asciiTheme="minorEastAsia" w:eastAsiaTheme="minorEastAsia" w:hAnsiTheme="minorEastAsia" w:hint="eastAsia"/>
          <w:szCs w:val="21"/>
        </w:rPr>
        <w:t>约</w:t>
      </w:r>
      <w:r w:rsidRPr="004A57FA">
        <w:rPr>
          <w:rFonts w:asciiTheme="minorEastAsia" w:eastAsiaTheme="minorEastAsia" w:hAnsiTheme="minorEastAsia"/>
          <w:szCs w:val="21"/>
        </w:rPr>
        <w:t>定的其他义务。</w:t>
      </w:r>
    </w:p>
    <w:p w:rsidR="00AF2EE6" w:rsidRPr="004A57FA" w:rsidRDefault="00AF2EE6" w:rsidP="00C53017">
      <w:pPr>
        <w:pStyle w:val="20"/>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244" w:name="_Toc81231051"/>
      <w:r w:rsidRPr="004A57FA">
        <w:rPr>
          <w:rFonts w:asciiTheme="minorEastAsia" w:eastAsiaTheme="minorEastAsia" w:hAnsiTheme="minorEastAsia" w:hint="eastAsia"/>
          <w:b w:val="0"/>
          <w:bCs/>
        </w:rPr>
        <w:t>（二）基金托管人的权利与义务</w:t>
      </w:r>
      <w:bookmarkEnd w:id="244"/>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根据《基金法》、《运作办法》及其他有关规定，基金托管人的权利包括但不限于：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（1）自《基金合同》生效之日起，依法律法规和《基金合同》的规定安全保管基金财产；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（2）依《基金合同》约定获得基金托管费以及法律法规规定或监管部门批准的其他收入；</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监督基金管理人对本基金的投资运作，如发现基金管理人有违反《基金合同》及国家法律法规行为，</w:t>
      </w:r>
      <w:r w:rsidRPr="004A57FA">
        <w:rPr>
          <w:rFonts w:asciiTheme="minorEastAsia" w:eastAsiaTheme="minorEastAsia" w:hAnsiTheme="minorEastAsia"/>
          <w:szCs w:val="21"/>
        </w:rPr>
        <w:t>对基金</w:t>
      </w:r>
      <w:r w:rsidRPr="004A57FA">
        <w:rPr>
          <w:rFonts w:asciiTheme="minorEastAsia" w:eastAsiaTheme="minorEastAsia" w:hAnsiTheme="minorEastAsia" w:hint="eastAsia"/>
          <w:szCs w:val="21"/>
        </w:rPr>
        <w:t>财</w:t>
      </w:r>
      <w:r w:rsidRPr="004A57FA">
        <w:rPr>
          <w:rFonts w:asciiTheme="minorEastAsia" w:eastAsiaTheme="minorEastAsia" w:hAnsiTheme="minorEastAsia"/>
          <w:szCs w:val="21"/>
        </w:rPr>
        <w:t>产、其他当事人的利益造成重大损失的</w:t>
      </w:r>
      <w:r w:rsidRPr="004A57FA">
        <w:rPr>
          <w:rFonts w:asciiTheme="minorEastAsia" w:eastAsiaTheme="minorEastAsia" w:hAnsiTheme="minorEastAsia" w:hint="eastAsia"/>
          <w:szCs w:val="21"/>
        </w:rPr>
        <w:t>情形</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应呈报中国证监会，并采取必要措施保护基金投资者的利益；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Pr="004A57FA">
        <w:rPr>
          <w:rFonts w:asciiTheme="minorEastAsia" w:eastAsiaTheme="minorEastAsia" w:hAnsiTheme="minorEastAsia"/>
          <w:szCs w:val="21"/>
        </w:rPr>
        <w:t>以基金托管人和基金联名的方式在中国证券登记结算有限公司上海分公司和深圳分公司开设证券账户；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Pr="004A57FA">
        <w:rPr>
          <w:rFonts w:asciiTheme="minorEastAsia" w:eastAsiaTheme="minorEastAsia" w:hAnsiTheme="minorEastAsia"/>
          <w:szCs w:val="21"/>
        </w:rPr>
        <w:t>以基金托管人名义开立证券交易资金账户，用于证券交易资金清算；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w:t>
      </w:r>
      <w:r w:rsidRPr="004A57FA">
        <w:rPr>
          <w:rFonts w:asciiTheme="minorEastAsia" w:eastAsiaTheme="minorEastAsia" w:hAnsiTheme="minorEastAsia"/>
          <w:szCs w:val="21"/>
        </w:rPr>
        <w:t>以基金的名义在中央国债登记结算有限公司开设</w:t>
      </w:r>
      <w:r w:rsidRPr="004A57FA">
        <w:rPr>
          <w:rFonts w:asciiTheme="minorEastAsia" w:eastAsiaTheme="minorEastAsia" w:hAnsiTheme="minorEastAsia" w:hint="eastAsia"/>
          <w:szCs w:val="21"/>
        </w:rPr>
        <w:t>银行间</w:t>
      </w:r>
      <w:r w:rsidRPr="004A57FA">
        <w:rPr>
          <w:rFonts w:asciiTheme="minorEastAsia" w:eastAsiaTheme="minorEastAsia" w:hAnsiTheme="minorEastAsia"/>
          <w:szCs w:val="21"/>
        </w:rPr>
        <w:t>债券托管账户</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负责基金</w:t>
      </w:r>
      <w:r w:rsidRPr="004A57FA">
        <w:rPr>
          <w:rFonts w:asciiTheme="minorEastAsia" w:eastAsiaTheme="minorEastAsia" w:hAnsiTheme="minorEastAsia" w:hint="eastAsia"/>
          <w:szCs w:val="21"/>
        </w:rPr>
        <w:t>投资</w:t>
      </w:r>
      <w:r w:rsidRPr="004A57FA">
        <w:rPr>
          <w:rFonts w:asciiTheme="minorEastAsia" w:eastAsiaTheme="minorEastAsia" w:hAnsiTheme="minorEastAsia"/>
          <w:szCs w:val="21"/>
        </w:rPr>
        <w:t>债券</w:t>
      </w:r>
      <w:r w:rsidRPr="004A57FA">
        <w:rPr>
          <w:rFonts w:asciiTheme="minorEastAsia" w:eastAsiaTheme="minorEastAsia" w:hAnsiTheme="minorEastAsia" w:hint="eastAsia"/>
          <w:szCs w:val="21"/>
        </w:rPr>
        <w:t>的后台匹配</w:t>
      </w:r>
      <w:r w:rsidRPr="004A57FA">
        <w:rPr>
          <w:rFonts w:asciiTheme="minorEastAsia" w:eastAsiaTheme="minorEastAsia" w:hAnsiTheme="minorEastAsia"/>
          <w:szCs w:val="21"/>
        </w:rPr>
        <w:t>及资金的清算；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（7）提议召开或召集基金份额持有人大会；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（8）在基金管理人更换时，提名新的基金管理人；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（9）法律法规和《基金合同》规定的其他权利。</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根据《基金法》、《运作办法》及其他有关规定，基金托管人的义务包括但不限于：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（1）以诚实信用、勤勉尽责的原则持有并安全保管基金财产；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（2）设立专门的基金托管部门，具有符合要求的营业场所，配备足够的、合格的熟悉基金托管业务的专职人员，负责基金财产托管事宜；</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（4）除依据《基金法》、《基金合同》及其他有关规定外，不得利用基金财产为自己及任何第三人谋取利益，不得委托第三人托管基金财产；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（5）保管由基金管理人代表基金签订的与基金有关的重大合同及有关凭证；</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（6）按规定开设基金财产的资金账户和证券账户</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按照《基金合同》的约定，根据基金管理人的投资指令，及时办理清算、交割事宜；</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（7）保守基金商业秘密，除《基金法》、《基金合同》及其他有关规定另有规定外，在基金信息公开披露前予以保密，不得向他人泄露；</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w:t>
      </w:r>
      <w:r w:rsidRPr="004A57FA">
        <w:rPr>
          <w:rFonts w:asciiTheme="minorEastAsia" w:eastAsiaTheme="minorEastAsia" w:hAnsiTheme="minorEastAsia" w:hint="eastAsia"/>
          <w:szCs w:val="21"/>
        </w:rPr>
        <w:tab/>
        <w:t>复核、审查基金管理人计算的基金资产净值、基金份额净值、基金份额申购、赎回价格；</w:t>
      </w:r>
    </w:p>
    <w:p w:rsidR="00AC34D1" w:rsidRPr="004A57FA" w:rsidRDefault="00AC34D1" w:rsidP="00AC34D1">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（9）</w:t>
      </w:r>
      <w:r w:rsidRPr="004A57FA">
        <w:rPr>
          <w:rFonts w:asciiTheme="minorEastAsia" w:eastAsiaTheme="minorEastAsia" w:hAnsiTheme="minorEastAsia" w:hint="eastAsia"/>
          <w:szCs w:val="21"/>
        </w:rPr>
        <w:tab/>
        <w:t>办理与基金托管业务活动有关的信息披露事项；</w:t>
      </w:r>
    </w:p>
    <w:p w:rsidR="00AF2EE6" w:rsidRPr="004A57FA" w:rsidRDefault="00AC34D1"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（10）</w:t>
      </w:r>
      <w:r w:rsidRPr="004A57FA">
        <w:rPr>
          <w:rFonts w:asciiTheme="minorEastAsia" w:eastAsiaTheme="minorEastAsia" w:hAnsiTheme="minorEastAsia" w:hint="eastAsia"/>
          <w:szCs w:val="21"/>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（11）保存基金托管业务活动的记录、账册、报表和其他相关资料15年以上；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（12）</w:t>
      </w:r>
      <w:r w:rsidRPr="004A57FA">
        <w:rPr>
          <w:rFonts w:asciiTheme="minorEastAsia" w:eastAsiaTheme="minorEastAsia" w:hAnsiTheme="minorEastAsia"/>
          <w:szCs w:val="21"/>
        </w:rPr>
        <w:t>建立并保存基金份额持有人名册</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（13）按规定制作相关账册并与基金管理人核对；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（14）依据基金管理人的指令或有关规定向基金份额持有人支付基金收益和赎回款项；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（15）按照规定召集基金份额持有人大会或配合基金份额持有人依法自行召集基金份额持有人大会；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（16）按照法律法规和《基金合同》的规定监督基金管理人的投资运作；</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（17）参加基金财产清算小组，参与基金财产的保管、清理、估价、变现和分配；</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（18）面临解散、依法被撤销或者被依法宣告破产时，及时报告中国证监会和银行监管机构，并通知基金管理人；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（19）因违反《基金合同》导致基金财产损失时，应承担赔偿责任，其赔偿责任不因其退任而免除；</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（20）按规定监督基金管理人按法律法规和《基金合同》规定履行自己的义务，基金管理人因违反《基金合同》造成基金财产损失时，应为基金利益向基金管理人追偿；</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（21）</w:t>
      </w:r>
      <w:r w:rsidRPr="004A57FA">
        <w:rPr>
          <w:rFonts w:asciiTheme="minorEastAsia" w:eastAsiaTheme="minorEastAsia" w:hAnsiTheme="minorEastAsia"/>
          <w:szCs w:val="21"/>
        </w:rPr>
        <w:t>执行生效的基金份额持有人大会的决定</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（22）</w:t>
      </w:r>
      <w:r w:rsidRPr="004A57FA">
        <w:rPr>
          <w:rFonts w:asciiTheme="minorEastAsia" w:eastAsiaTheme="minorEastAsia" w:hAnsiTheme="minorEastAsia"/>
          <w:szCs w:val="21"/>
        </w:rPr>
        <w:t>法律法规</w:t>
      </w:r>
      <w:r w:rsidRPr="004A57FA">
        <w:rPr>
          <w:rFonts w:asciiTheme="minorEastAsia" w:eastAsiaTheme="minorEastAsia" w:hAnsiTheme="minorEastAsia" w:hint="eastAsia"/>
          <w:szCs w:val="21"/>
        </w:rPr>
        <w:t>及中国证监会规定的</w:t>
      </w:r>
      <w:r w:rsidRPr="004A57FA">
        <w:rPr>
          <w:rFonts w:asciiTheme="minorEastAsia" w:eastAsiaTheme="minorEastAsia" w:hAnsiTheme="minorEastAsia"/>
          <w:szCs w:val="21"/>
        </w:rPr>
        <w:t>和《基金合同》</w:t>
      </w:r>
      <w:r w:rsidRPr="004A57FA">
        <w:rPr>
          <w:rFonts w:asciiTheme="minorEastAsia" w:eastAsiaTheme="minorEastAsia" w:hAnsiTheme="minorEastAsia" w:hint="eastAsia"/>
          <w:szCs w:val="21"/>
        </w:rPr>
        <w:t>约</w:t>
      </w:r>
      <w:r w:rsidRPr="004A57FA">
        <w:rPr>
          <w:rFonts w:asciiTheme="minorEastAsia" w:eastAsiaTheme="minorEastAsia" w:hAnsiTheme="minorEastAsia"/>
          <w:szCs w:val="21"/>
        </w:rPr>
        <w:t>定的其他义务。</w:t>
      </w:r>
    </w:p>
    <w:p w:rsidR="00AF2EE6" w:rsidRPr="004A57FA" w:rsidRDefault="00AF2EE6" w:rsidP="00C53017">
      <w:pPr>
        <w:pStyle w:val="20"/>
        <w:adjustRightInd w:val="0"/>
        <w:snapToGrid w:val="0"/>
        <w:spacing w:beforeLines="0" w:afterLines="0" w:line="360" w:lineRule="auto"/>
        <w:ind w:firstLineChars="0" w:firstLine="0"/>
        <w:rPr>
          <w:rFonts w:asciiTheme="minorEastAsia" w:eastAsiaTheme="minorEastAsia" w:hAnsiTheme="minorEastAsia"/>
          <w:szCs w:val="21"/>
        </w:rPr>
      </w:pPr>
      <w:bookmarkStart w:id="245" w:name="_Toc81231052"/>
      <w:r w:rsidRPr="004A57FA">
        <w:rPr>
          <w:rFonts w:asciiTheme="minorEastAsia" w:eastAsiaTheme="minorEastAsia" w:hAnsiTheme="minorEastAsia" w:hint="eastAsia"/>
          <w:b w:val="0"/>
          <w:bCs/>
        </w:rPr>
        <w:t>（三）基金份额持有人的权利与义务</w:t>
      </w:r>
      <w:bookmarkEnd w:id="245"/>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每份基金份额具有同等的合法权益。</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根据《基金法》、《运作办法》及其他有关规定，基金份额持有人的权利包括但不限于：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（1）分享基金财产收益；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参与分配清算后的剩余基金财产</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（3）依法申请赎回其持有的基金份额</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Pr="004A57FA">
        <w:rPr>
          <w:rFonts w:asciiTheme="minorEastAsia" w:eastAsiaTheme="minorEastAsia" w:hAnsiTheme="minorEastAsia"/>
          <w:szCs w:val="21"/>
        </w:rPr>
        <w:t>按照规定要求召开基金份额持有人大会</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（5）出席或者委派代表出席基金</w:t>
      </w:r>
      <w:r w:rsidRPr="004A57FA">
        <w:rPr>
          <w:rFonts w:asciiTheme="minorEastAsia" w:eastAsiaTheme="minorEastAsia" w:hAnsiTheme="minorEastAsia"/>
          <w:szCs w:val="21"/>
        </w:rPr>
        <w:t>份额</w:t>
      </w:r>
      <w:r w:rsidRPr="004A57FA">
        <w:rPr>
          <w:rFonts w:asciiTheme="minorEastAsia" w:eastAsiaTheme="minorEastAsia" w:hAnsiTheme="minorEastAsia" w:hint="eastAsia"/>
          <w:szCs w:val="21"/>
        </w:rPr>
        <w:t>持有人大会，</w:t>
      </w:r>
      <w:r w:rsidRPr="004A57FA">
        <w:rPr>
          <w:rFonts w:asciiTheme="minorEastAsia" w:eastAsiaTheme="minorEastAsia" w:hAnsiTheme="minorEastAsia"/>
          <w:szCs w:val="21"/>
        </w:rPr>
        <w:t>对基金份额持有人大会审议事项行使表决权</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w:t>
      </w:r>
      <w:r w:rsidRPr="004A57FA">
        <w:rPr>
          <w:rFonts w:asciiTheme="minorEastAsia" w:eastAsiaTheme="minorEastAsia" w:hAnsiTheme="minorEastAsia"/>
          <w:szCs w:val="21"/>
        </w:rPr>
        <w:t>查阅或者复制公开披露的基金信息资料；</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w:t>
      </w:r>
      <w:r w:rsidRPr="004A57FA">
        <w:rPr>
          <w:rFonts w:asciiTheme="minorEastAsia" w:eastAsiaTheme="minorEastAsia" w:hAnsiTheme="minorEastAsia"/>
          <w:szCs w:val="21"/>
        </w:rPr>
        <w:t>监督基金管理人的投资运作</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（8）对基金管理人、基金托管人、基金销售机构损害其合法权益的行为依法提起诉讼；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（9）法律法规和《基金合同》规定的其他权利。</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根据《基金法》、《运作办法》及其他有关规定，基金份额持有人的义务包括但不限于：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（1）遵守《基金合同》；</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（2）缴纳基金认购、申购、赎回款项及法律法规和《基金合同》所规定的费用；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（3）在其持有的基金份额范围内，承担基金亏损或者《基金合同》终止的有限责任；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（4）不从事任何有损基金及其他《基金合同》当事人</w:t>
      </w:r>
      <w:r w:rsidRPr="004A57FA">
        <w:rPr>
          <w:rFonts w:asciiTheme="minorEastAsia" w:eastAsiaTheme="minorEastAsia" w:hAnsiTheme="minorEastAsia"/>
          <w:szCs w:val="21"/>
        </w:rPr>
        <w:t>合法权益</w:t>
      </w:r>
      <w:r w:rsidRPr="004A57FA">
        <w:rPr>
          <w:rFonts w:asciiTheme="minorEastAsia" w:eastAsiaTheme="minorEastAsia" w:hAnsiTheme="minorEastAsia" w:hint="eastAsia"/>
          <w:szCs w:val="21"/>
        </w:rPr>
        <w:t>的活动；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（5）返还在基金交易过程中因任何原因，自基金管理人、基金托管人及代销机构处获得的不当得利；</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（6）执行生效的基金份额持有人大会的决定；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w:t>
      </w:r>
      <w:r w:rsidRPr="004A57FA">
        <w:rPr>
          <w:rFonts w:asciiTheme="minorEastAsia" w:eastAsiaTheme="minorEastAsia" w:hAnsiTheme="minorEastAsia"/>
          <w:szCs w:val="21"/>
        </w:rPr>
        <w:t>法律法规</w:t>
      </w:r>
      <w:r w:rsidRPr="004A57FA">
        <w:rPr>
          <w:rFonts w:asciiTheme="minorEastAsia" w:eastAsiaTheme="minorEastAsia" w:hAnsiTheme="minorEastAsia" w:hint="eastAsia"/>
          <w:szCs w:val="21"/>
        </w:rPr>
        <w:t>及中国证监会规定的</w:t>
      </w:r>
      <w:r w:rsidRPr="004A57FA">
        <w:rPr>
          <w:rFonts w:asciiTheme="minorEastAsia" w:eastAsiaTheme="minorEastAsia" w:hAnsiTheme="minorEastAsia"/>
          <w:szCs w:val="21"/>
        </w:rPr>
        <w:t>和《基金合同》</w:t>
      </w:r>
      <w:r w:rsidRPr="004A57FA">
        <w:rPr>
          <w:rFonts w:asciiTheme="minorEastAsia" w:eastAsiaTheme="minorEastAsia" w:hAnsiTheme="minorEastAsia" w:hint="eastAsia"/>
          <w:szCs w:val="21"/>
        </w:rPr>
        <w:t>约</w:t>
      </w:r>
      <w:r w:rsidRPr="004A57FA">
        <w:rPr>
          <w:rFonts w:asciiTheme="minorEastAsia" w:eastAsiaTheme="minorEastAsia" w:hAnsiTheme="minorEastAsia"/>
          <w:szCs w:val="21"/>
        </w:rPr>
        <w:t>定的其他义务。</w:t>
      </w:r>
    </w:p>
    <w:p w:rsidR="00AF2EE6" w:rsidRPr="004A57FA" w:rsidRDefault="00AF2EE6" w:rsidP="00C53017">
      <w:pPr>
        <w:pStyle w:val="20"/>
        <w:adjustRightInd w:val="0"/>
        <w:snapToGrid w:val="0"/>
        <w:spacing w:beforeLines="0" w:afterLines="0" w:line="360" w:lineRule="auto"/>
        <w:ind w:firstLineChars="0" w:firstLine="0"/>
        <w:rPr>
          <w:rFonts w:asciiTheme="minorEastAsia" w:eastAsiaTheme="minorEastAsia" w:hAnsiTheme="minorEastAsia"/>
        </w:rPr>
      </w:pPr>
      <w:bookmarkStart w:id="246" w:name="_Toc81231053"/>
      <w:r w:rsidRPr="004A57FA">
        <w:rPr>
          <w:rFonts w:asciiTheme="minorEastAsia" w:eastAsiaTheme="minorEastAsia" w:hAnsiTheme="minorEastAsia" w:hint="eastAsia"/>
          <w:b w:val="0"/>
          <w:bCs/>
        </w:rPr>
        <w:t>（四）基金份额持有人大会</w:t>
      </w:r>
      <w:bookmarkEnd w:id="246"/>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召开事由</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（1）当出现或需要决定下列事由之一的，应当召开基金份额持有人大会：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1）终止《基金合同》；</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2）更换基金管理人；</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3）更换基金托管人；</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4）转换基金运作方式；</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5）提高基金管理人、基金托管人的报酬标准；</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6）</w:t>
      </w:r>
      <w:r w:rsidRPr="004A57FA">
        <w:rPr>
          <w:rFonts w:asciiTheme="minorEastAsia" w:eastAsiaTheme="minorEastAsia" w:hAnsiTheme="minorEastAsia"/>
          <w:szCs w:val="21"/>
        </w:rPr>
        <w:t>变更基金类别</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7）本基金与其他基金的合并；</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8）</w:t>
      </w:r>
      <w:r w:rsidRPr="004A57FA">
        <w:rPr>
          <w:rFonts w:asciiTheme="minorEastAsia" w:eastAsiaTheme="minorEastAsia" w:hAnsiTheme="minorEastAsia"/>
          <w:szCs w:val="21"/>
        </w:rPr>
        <w:t>变更基金投资目标、范围或策略</w:t>
      </w:r>
      <w:r w:rsidRPr="004A57FA">
        <w:rPr>
          <w:rFonts w:asciiTheme="minorEastAsia" w:eastAsiaTheme="minorEastAsia" w:hAnsiTheme="minorEastAsia" w:hint="eastAsia"/>
          <w:szCs w:val="21"/>
        </w:rPr>
        <w:t>（法律法规和中国证监会另有规定的除外）；</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9）</w:t>
      </w:r>
      <w:r w:rsidRPr="004A57FA">
        <w:rPr>
          <w:rFonts w:asciiTheme="minorEastAsia" w:eastAsiaTheme="minorEastAsia" w:hAnsiTheme="minorEastAsia"/>
          <w:szCs w:val="21"/>
        </w:rPr>
        <w:t>变更基金份额持有人大会程序</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10）基金管理人或基金托管人要求召开基金份额持有人大会；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11）单独或合计持有本基金总份额10%以上（含10%）基金份额的基金份额持有人（以基金管理人收到提议当日的基金份额计算，下同）就同一事项书面要求召开基金份额持有人大会；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12)对基金当事人权利和义务产生重大影响的其他事项；</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13）法律法规、《基金合同》或中国证监会规定的其他应当召开基金份额持有人大会的事项。</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（2）以下情况可由基金管理人和基金托管人协商后修改，不需召开基金份额持有人大会：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1）调低基金管理费、基金托管费；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2）法律法规要求增加的基金费用的收取；</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在</w:t>
      </w:r>
      <w:r w:rsidRPr="004A57FA">
        <w:rPr>
          <w:rFonts w:asciiTheme="minorEastAsia" w:eastAsiaTheme="minorEastAsia" w:hAnsiTheme="minorEastAsia" w:hint="eastAsia"/>
          <w:szCs w:val="21"/>
        </w:rPr>
        <w:t>法律法规和</w:t>
      </w:r>
      <w:r w:rsidRPr="004A57FA">
        <w:rPr>
          <w:rFonts w:asciiTheme="minorEastAsia" w:eastAsiaTheme="minorEastAsia" w:hAnsiTheme="minorEastAsia"/>
          <w:szCs w:val="21"/>
        </w:rPr>
        <w:t>《基金合同》规定的范围内</w:t>
      </w:r>
      <w:r w:rsidRPr="004A57FA">
        <w:rPr>
          <w:rFonts w:asciiTheme="minorEastAsia" w:eastAsiaTheme="minorEastAsia" w:hAnsiTheme="minorEastAsia" w:hint="eastAsia"/>
          <w:szCs w:val="21"/>
        </w:rPr>
        <w:t>调整</w:t>
      </w:r>
      <w:r w:rsidRPr="004A57FA">
        <w:rPr>
          <w:rFonts w:asciiTheme="minorEastAsia" w:eastAsiaTheme="minorEastAsia" w:hAnsiTheme="minorEastAsia"/>
          <w:szCs w:val="21"/>
        </w:rPr>
        <w:t>本基金的申购费率、调低赎回费率</w:t>
      </w:r>
      <w:r w:rsidRPr="004A57FA">
        <w:rPr>
          <w:rFonts w:asciiTheme="minorEastAsia" w:eastAsiaTheme="minorEastAsia" w:hAnsiTheme="minorEastAsia" w:hint="eastAsia"/>
          <w:szCs w:val="21"/>
        </w:rPr>
        <w:t>或变更收费方式；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4）因相应的法律法规发生变动而应当对《基金合同》进行修改；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AF2EE6" w:rsidRPr="004A57FA" w:rsidRDefault="00AF2EE6" w:rsidP="00C53017">
      <w:pPr>
        <w:adjustRightInd w:val="0"/>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6）除按照法律法规和《基金合同》规定应当召开基金份额持有人大会的以外的其他情形。</w:t>
      </w:r>
    </w:p>
    <w:p w:rsidR="00AF2EE6" w:rsidRPr="004A57FA" w:rsidRDefault="00626C7D" w:rsidP="00C53017">
      <w:pPr>
        <w:adjustRightInd w:val="0"/>
        <w:snapToGrid w:val="0"/>
        <w:spacing w:line="360" w:lineRule="auto"/>
        <w:ind w:firstLine="200"/>
        <w:rPr>
          <w:rFonts w:asciiTheme="minorEastAsia" w:eastAsiaTheme="minorEastAsia" w:hAnsiTheme="minorEastAsia"/>
        </w:rPr>
      </w:pPr>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会议召集人及召集方式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（1）除法律法规规定或《基金合同》另有约定外，基金份额持有人大会由基金管理人召集；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（2）基金管理人未按规定召集或不能召集时，由基金托管人召集；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基金托管人认为有必要召开基金份额持有人大会的，应当向基金管理人提出书面提议。基金管理人应当自收到书面提议之日起</w:t>
      </w:r>
      <w:r w:rsidRPr="004A57FA">
        <w:rPr>
          <w:rFonts w:asciiTheme="minorEastAsia" w:eastAsiaTheme="minorEastAsia" w:hAnsiTheme="minorEastAsia" w:hint="eastAsia"/>
          <w:szCs w:val="21"/>
        </w:rPr>
        <w:t>10</w:t>
      </w:r>
      <w:r w:rsidRPr="004A57FA">
        <w:rPr>
          <w:rFonts w:asciiTheme="minorEastAsia" w:eastAsiaTheme="minorEastAsia" w:hAnsiTheme="minorEastAsia"/>
          <w:szCs w:val="21"/>
        </w:rPr>
        <w:t>日内决定是否召集，并书面告知基金托管</w:t>
      </w:r>
      <w:r w:rsidRPr="004A57FA">
        <w:rPr>
          <w:rFonts w:asciiTheme="minorEastAsia" w:eastAsiaTheme="minorEastAsia" w:hAnsiTheme="minorEastAsia"/>
          <w:szCs w:val="21"/>
        </w:rPr>
        <w:lastRenderedPageBreak/>
        <w:t>人。基金管理人决定召集的，应当自出具书面决定之日起</w:t>
      </w:r>
      <w:r w:rsidRPr="004A57FA">
        <w:rPr>
          <w:rFonts w:asciiTheme="minorEastAsia" w:eastAsiaTheme="minorEastAsia" w:hAnsiTheme="minorEastAsia" w:hint="eastAsia"/>
          <w:szCs w:val="21"/>
        </w:rPr>
        <w:t>60</w:t>
      </w:r>
      <w:r w:rsidRPr="004A57FA">
        <w:rPr>
          <w:rFonts w:asciiTheme="minorEastAsia" w:eastAsiaTheme="minorEastAsia" w:hAnsiTheme="minorEastAsia"/>
          <w:szCs w:val="21"/>
        </w:rPr>
        <w:t>日内召开；基金管理人决定不召集，基金托管人仍认为有必要召开的，应当</w:t>
      </w:r>
      <w:r w:rsidRPr="004A57FA">
        <w:rPr>
          <w:rFonts w:asciiTheme="minorEastAsia" w:eastAsiaTheme="minorEastAsia" w:hAnsiTheme="minorEastAsia" w:hint="eastAsia"/>
          <w:szCs w:val="21"/>
        </w:rPr>
        <w:t>由基金托管人</w:t>
      </w:r>
      <w:r w:rsidRPr="004A57FA">
        <w:rPr>
          <w:rFonts w:asciiTheme="minorEastAsia" w:eastAsiaTheme="minorEastAsia" w:hAnsiTheme="minorEastAsia"/>
          <w:szCs w:val="21"/>
        </w:rPr>
        <w:t>自行召集</w:t>
      </w:r>
      <w:r w:rsidR="00215323" w:rsidRPr="004A57FA">
        <w:rPr>
          <w:rFonts w:asciiTheme="minorEastAsia" w:eastAsiaTheme="minorEastAsia" w:hAnsiTheme="minorEastAsia" w:hint="eastAsia"/>
          <w:szCs w:val="21"/>
        </w:rPr>
        <w:t>，并自出具书面决定之日起六十日内召开并告知基金管理人，基金管理人应当配合</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（4）代表基金份额10%以上（含10%）的基金份额持有人就同一事项书面要求召开基金份额持有人大会的，</w:t>
      </w:r>
      <w:r w:rsidRPr="004A57FA">
        <w:rPr>
          <w:rFonts w:asciiTheme="minorEastAsia" w:eastAsiaTheme="minorEastAsia" w:hAnsiTheme="minorEastAsia"/>
          <w:szCs w:val="21"/>
        </w:rPr>
        <w:t>应当向基金管理人提出书面提议。基金管理人应当自收到书面提议之日起</w:t>
      </w:r>
      <w:r w:rsidRPr="004A57FA">
        <w:rPr>
          <w:rFonts w:asciiTheme="minorEastAsia" w:eastAsiaTheme="minorEastAsia" w:hAnsiTheme="minorEastAsia" w:hint="eastAsia"/>
          <w:szCs w:val="21"/>
        </w:rPr>
        <w:t>10</w:t>
      </w:r>
      <w:r w:rsidRPr="004A57FA">
        <w:rPr>
          <w:rFonts w:asciiTheme="minorEastAsia" w:eastAsiaTheme="minorEastAsia" w:hAnsiTheme="minorEastAsia"/>
          <w:szCs w:val="21"/>
        </w:rPr>
        <w:t>日内决定是否召集，并书面告知提出提议的基金份额持有人代表和基金托管人。基金管理人决定召集的，应当自出具书面决定之日起</w:t>
      </w:r>
      <w:r w:rsidRPr="004A57FA">
        <w:rPr>
          <w:rFonts w:asciiTheme="minorEastAsia" w:eastAsiaTheme="minorEastAsia" w:hAnsiTheme="minorEastAsia" w:hint="eastAsia"/>
          <w:szCs w:val="21"/>
        </w:rPr>
        <w:t>60</w:t>
      </w:r>
      <w:r w:rsidRPr="004A57FA">
        <w:rPr>
          <w:rFonts w:asciiTheme="minorEastAsia" w:eastAsiaTheme="minorEastAsia" w:hAnsiTheme="minorEastAsia"/>
          <w:szCs w:val="21"/>
        </w:rPr>
        <w:t>日内召开；基金管理人决定不召集，代表基金份额</w:t>
      </w:r>
      <w:r w:rsidRPr="004A57FA">
        <w:rPr>
          <w:rFonts w:asciiTheme="minorEastAsia" w:eastAsiaTheme="minorEastAsia" w:hAnsiTheme="minorEastAsia" w:hint="eastAsia"/>
          <w:szCs w:val="21"/>
        </w:rPr>
        <w:t>10%</w:t>
      </w:r>
      <w:r w:rsidRPr="004A57FA">
        <w:rPr>
          <w:rFonts w:asciiTheme="minorEastAsia" w:eastAsiaTheme="minorEastAsia" w:hAnsiTheme="minorEastAsia"/>
          <w:szCs w:val="21"/>
        </w:rPr>
        <w:t>以上</w:t>
      </w:r>
      <w:r w:rsidRPr="004A57FA">
        <w:rPr>
          <w:rFonts w:asciiTheme="minorEastAsia" w:eastAsiaTheme="minorEastAsia" w:hAnsiTheme="minorEastAsia" w:hint="eastAsia"/>
          <w:szCs w:val="21"/>
        </w:rPr>
        <w:t>（含10%）</w:t>
      </w:r>
      <w:r w:rsidRPr="004A57FA">
        <w:rPr>
          <w:rFonts w:asciiTheme="minorEastAsia" w:eastAsiaTheme="minorEastAsia" w:hAnsiTheme="minorEastAsia"/>
          <w:szCs w:val="21"/>
        </w:rPr>
        <w:t>的基金份额持有人仍认为有必要召开的，应当向基金托管人提出书面提议。基金托管人应当自收到书面提议之日起</w:t>
      </w:r>
      <w:r w:rsidRPr="004A57FA">
        <w:rPr>
          <w:rFonts w:asciiTheme="minorEastAsia" w:eastAsiaTheme="minorEastAsia" w:hAnsiTheme="minorEastAsia" w:hint="eastAsia"/>
          <w:szCs w:val="21"/>
        </w:rPr>
        <w:t>10</w:t>
      </w:r>
      <w:r w:rsidRPr="004A57FA">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4A57FA">
        <w:rPr>
          <w:rFonts w:asciiTheme="minorEastAsia" w:eastAsiaTheme="minorEastAsia" w:hAnsiTheme="minorEastAsia" w:hint="eastAsia"/>
          <w:szCs w:val="21"/>
        </w:rPr>
        <w:t>60</w:t>
      </w:r>
      <w:r w:rsidRPr="004A57FA">
        <w:rPr>
          <w:rFonts w:asciiTheme="minorEastAsia" w:eastAsiaTheme="minorEastAsia" w:hAnsiTheme="minorEastAsia"/>
          <w:szCs w:val="21"/>
        </w:rPr>
        <w:t>日内召开。</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Pr="004A57FA">
        <w:rPr>
          <w:rFonts w:asciiTheme="minorEastAsia" w:eastAsiaTheme="minorEastAsia" w:hAnsiTheme="minorEastAsia"/>
          <w:szCs w:val="21"/>
        </w:rPr>
        <w:t>代表基金份额</w:t>
      </w:r>
      <w:r w:rsidRPr="004A57FA">
        <w:rPr>
          <w:rFonts w:asciiTheme="minorEastAsia" w:eastAsiaTheme="minorEastAsia" w:hAnsiTheme="minorEastAsia" w:hint="eastAsia"/>
          <w:szCs w:val="21"/>
        </w:rPr>
        <w:t>10%以上（含10%）</w:t>
      </w:r>
      <w:r w:rsidRPr="004A57FA">
        <w:rPr>
          <w:rFonts w:asciiTheme="minorEastAsia" w:eastAsiaTheme="minorEastAsia" w:hAnsiTheme="minorEastAsia"/>
          <w:szCs w:val="21"/>
        </w:rPr>
        <w:t>的基金份额持有人就同一事项要求召开基金份额持有人大会，而</w:t>
      </w:r>
      <w:r w:rsidRPr="004A57FA">
        <w:rPr>
          <w:rFonts w:asciiTheme="minorEastAsia" w:eastAsiaTheme="minorEastAsia" w:hAnsiTheme="minorEastAsia" w:hint="eastAsia"/>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F2EE6" w:rsidRPr="004A57FA" w:rsidRDefault="00AF2EE6" w:rsidP="00C53017">
      <w:pPr>
        <w:adjustRightInd w:val="0"/>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（6）基金份额持有人会议的召集人负责选择确定开会时间、地点、方式和权益登记日。</w:t>
      </w:r>
    </w:p>
    <w:p w:rsidR="00AF2EE6" w:rsidRPr="004A57FA" w:rsidRDefault="00626C7D"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4、</w:t>
      </w:r>
      <w:r w:rsidR="00AF2EE6" w:rsidRPr="004A57FA">
        <w:rPr>
          <w:rFonts w:asciiTheme="minorEastAsia" w:eastAsiaTheme="minorEastAsia" w:hAnsiTheme="minorEastAsia" w:hint="eastAsia"/>
          <w:szCs w:val="21"/>
        </w:rPr>
        <w:t>召开基金份额持有人大会的通知时间、通知内容、通知方式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（1）召开基金份额持有人大会，召集人应于会议召开前4</w:t>
      </w:r>
      <w:r w:rsidRPr="004A57FA">
        <w:rPr>
          <w:rFonts w:asciiTheme="minorEastAsia" w:eastAsiaTheme="minorEastAsia" w:hAnsiTheme="minorEastAsia"/>
          <w:szCs w:val="21"/>
        </w:rPr>
        <w:t>0</w:t>
      </w:r>
      <w:r w:rsidRPr="004A57FA">
        <w:rPr>
          <w:rFonts w:asciiTheme="minorEastAsia" w:eastAsiaTheme="minorEastAsia" w:hAnsiTheme="minorEastAsia" w:hint="eastAsia"/>
          <w:szCs w:val="21"/>
        </w:rPr>
        <w:t>天，在</w:t>
      </w:r>
      <w:r w:rsidR="00AC34D1" w:rsidRPr="004A57FA">
        <w:rPr>
          <w:rFonts w:asciiTheme="minorEastAsia" w:eastAsiaTheme="minorEastAsia" w:hAnsiTheme="minorEastAsia" w:hint="eastAsia"/>
          <w:szCs w:val="21"/>
        </w:rPr>
        <w:t>指定媒介</w:t>
      </w:r>
      <w:r w:rsidRPr="004A57FA">
        <w:rPr>
          <w:rFonts w:asciiTheme="minorEastAsia" w:eastAsiaTheme="minorEastAsia" w:hAnsiTheme="minorEastAsia" w:hint="eastAsia"/>
          <w:szCs w:val="21"/>
        </w:rPr>
        <w:t>公告。基金份额持有人大会通知应至少载明以下内容：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1）会议召开的时间、地点、方式和会议形式；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2）会议拟审议的事项、议事程序和表决形式；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3）有权出席基金份额持有人大会的基金份额持有人的权益登记日；</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4）授权委托书的内容要求（包括但不限于代理人身份，代理权限和代理有效期限等）、送达时间和地点；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5）会务常设联系人姓名及联系电话。</w:t>
      </w:r>
    </w:p>
    <w:p w:rsidR="00AF2EE6" w:rsidRPr="004A57FA" w:rsidRDefault="00AF2EE6"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（2）采</w:t>
      </w:r>
      <w:r w:rsidRPr="004A57FA">
        <w:rPr>
          <w:rFonts w:asciiTheme="minorEastAsia" w:eastAsiaTheme="minorEastAsia" w:hAnsiTheme="minorEastAsia"/>
          <w:szCs w:val="21"/>
        </w:rPr>
        <w:t>取通讯开会方式并进行表决的情况下，</w:t>
      </w:r>
      <w:r w:rsidRPr="004A57FA">
        <w:rPr>
          <w:rFonts w:asciiTheme="minorEastAsia" w:eastAsiaTheme="minorEastAsia" w:hAnsiTheme="minorEastAsia" w:hint="eastAsia"/>
          <w:szCs w:val="21"/>
        </w:rPr>
        <w:t>由会议召集人决定通讯方式和书面表决方式，并在会议通知中说明本次基金份额持有人大会所采取的具体通讯方式、委托的公证机关及其联系方式和联系人、书面表决意见寄交的截止时间和收取方式。</w:t>
      </w:r>
    </w:p>
    <w:p w:rsidR="00AF2EE6" w:rsidRPr="004A57FA" w:rsidRDefault="00AF2EE6"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rsidR="00AF2EE6" w:rsidRPr="004A57FA" w:rsidRDefault="00626C7D"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5、</w:t>
      </w:r>
      <w:r w:rsidR="00AF2EE6" w:rsidRPr="004A57FA">
        <w:rPr>
          <w:rFonts w:asciiTheme="minorEastAsia" w:eastAsiaTheme="minorEastAsia" w:hAnsiTheme="minorEastAsia" w:hint="eastAsia"/>
          <w:szCs w:val="21"/>
        </w:rPr>
        <w:t>基金份额持有人出席</w:t>
      </w:r>
      <w:r w:rsidR="00AF2EE6" w:rsidRPr="004A57FA">
        <w:rPr>
          <w:rFonts w:asciiTheme="minorEastAsia" w:eastAsiaTheme="minorEastAsia" w:hAnsiTheme="minorEastAsia"/>
          <w:szCs w:val="21"/>
        </w:rPr>
        <w:t>会议</w:t>
      </w:r>
      <w:r w:rsidR="00AF2EE6" w:rsidRPr="004A57FA">
        <w:rPr>
          <w:rFonts w:asciiTheme="minorEastAsia" w:eastAsiaTheme="minorEastAsia" w:hAnsiTheme="minorEastAsia" w:hint="eastAsia"/>
          <w:szCs w:val="21"/>
        </w:rPr>
        <w:t>的</w:t>
      </w:r>
      <w:r w:rsidR="00AF2EE6" w:rsidRPr="004A57FA">
        <w:rPr>
          <w:rFonts w:asciiTheme="minorEastAsia" w:eastAsiaTheme="minorEastAsia" w:hAnsiTheme="minorEastAsia"/>
          <w:szCs w:val="21"/>
        </w:rPr>
        <w:t>方式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w:t>
      </w:r>
      <w:r w:rsidRPr="004A57FA">
        <w:rPr>
          <w:rFonts w:asciiTheme="minorEastAsia" w:eastAsiaTheme="minorEastAsia" w:hAnsiTheme="minorEastAsia" w:hint="eastAsia"/>
          <w:szCs w:val="21"/>
        </w:rPr>
        <w:t>可通过现场开会方式或通讯开会方式召开。</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现场开会。由基金份额持有人本人出席或以代理投票授权委托书委派代表出席，现场开会时基金管理人和基金托管人的授权代表应当</w:t>
      </w:r>
      <w:r w:rsidRPr="004A57FA">
        <w:rPr>
          <w:rFonts w:asciiTheme="minorEastAsia" w:eastAsiaTheme="minorEastAsia" w:hAnsiTheme="minorEastAsia" w:hint="eastAsia"/>
          <w:szCs w:val="21"/>
        </w:rPr>
        <w:t>列席</w:t>
      </w:r>
      <w:r w:rsidRPr="004A57FA">
        <w:rPr>
          <w:rFonts w:asciiTheme="minorEastAsia" w:eastAsiaTheme="minorEastAsia" w:hAnsiTheme="minorEastAsia"/>
          <w:szCs w:val="21"/>
        </w:rPr>
        <w:t>基金份额持有人大会</w:t>
      </w:r>
      <w:r w:rsidRPr="004A57FA">
        <w:rPr>
          <w:rFonts w:asciiTheme="minorEastAsia" w:eastAsiaTheme="minorEastAsia" w:hAnsiTheme="minorEastAsia" w:hint="eastAsia"/>
          <w:szCs w:val="21"/>
        </w:rPr>
        <w:t>，基金管理人或托管人不派代表列席的，不影响表决效力</w:t>
      </w:r>
      <w:r w:rsidRPr="004A57FA">
        <w:rPr>
          <w:rFonts w:asciiTheme="minorEastAsia" w:eastAsiaTheme="minorEastAsia" w:hAnsiTheme="minorEastAsia"/>
          <w:szCs w:val="21"/>
        </w:rPr>
        <w:t>。现场开会同时符合以下条件时，可以进行基金份额持有人大会议程：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经核对，汇总到会者出示的在权</w:t>
      </w:r>
      <w:r w:rsidRPr="004A57FA">
        <w:rPr>
          <w:rFonts w:asciiTheme="minorEastAsia" w:eastAsiaTheme="minorEastAsia" w:hAnsiTheme="minorEastAsia" w:hint="eastAsia"/>
          <w:szCs w:val="21"/>
        </w:rPr>
        <w:t>益</w:t>
      </w:r>
      <w:r w:rsidRPr="004A57FA">
        <w:rPr>
          <w:rFonts w:asciiTheme="minorEastAsia" w:eastAsiaTheme="minorEastAsia" w:hAnsiTheme="minorEastAsia"/>
          <w:szCs w:val="21"/>
        </w:rPr>
        <w:t>登记日持有基金份额的凭证显示，有效的基金份额</w:t>
      </w:r>
      <w:r w:rsidRPr="004A57FA">
        <w:rPr>
          <w:rFonts w:asciiTheme="minorEastAsia" w:eastAsiaTheme="minorEastAsia" w:hAnsiTheme="minorEastAsia" w:hint="eastAsia"/>
          <w:szCs w:val="21"/>
        </w:rPr>
        <w:t>不少</w:t>
      </w:r>
      <w:r w:rsidRPr="004A57FA">
        <w:rPr>
          <w:rFonts w:asciiTheme="minorEastAsia" w:eastAsiaTheme="minorEastAsia" w:hAnsiTheme="minorEastAsia"/>
          <w:szCs w:val="21"/>
        </w:rPr>
        <w:t>于本基金在</w:t>
      </w:r>
      <w:r w:rsidRPr="004A57FA">
        <w:rPr>
          <w:rFonts w:asciiTheme="minorEastAsia" w:eastAsiaTheme="minorEastAsia" w:hAnsiTheme="minorEastAsia" w:hint="eastAsia"/>
          <w:szCs w:val="21"/>
        </w:rPr>
        <w:t>权益</w:t>
      </w:r>
      <w:r w:rsidRPr="004A57FA">
        <w:rPr>
          <w:rFonts w:asciiTheme="minorEastAsia" w:eastAsiaTheme="minorEastAsia" w:hAnsiTheme="minorEastAsia"/>
          <w:szCs w:val="21"/>
        </w:rPr>
        <w:t>登记日基金总</w:t>
      </w:r>
      <w:r w:rsidRPr="004A57FA">
        <w:rPr>
          <w:rFonts w:asciiTheme="minorEastAsia" w:eastAsiaTheme="minorEastAsia" w:hAnsiTheme="minorEastAsia" w:hint="eastAsia"/>
          <w:szCs w:val="21"/>
        </w:rPr>
        <w:t>份</w:t>
      </w:r>
      <w:r w:rsidRPr="004A57FA">
        <w:rPr>
          <w:rFonts w:asciiTheme="minorEastAsia" w:eastAsiaTheme="minorEastAsia" w:hAnsiTheme="minorEastAsia"/>
          <w:szCs w:val="21"/>
        </w:rPr>
        <w:t>额的</w:t>
      </w:r>
      <w:r w:rsidRPr="004A57FA">
        <w:rPr>
          <w:rFonts w:asciiTheme="minorEastAsia" w:eastAsiaTheme="minorEastAsia" w:hAnsiTheme="minorEastAsia" w:hint="eastAsia"/>
          <w:szCs w:val="21"/>
        </w:rPr>
        <w:t>50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（含50%）</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通讯开会。</w:t>
      </w:r>
      <w:r w:rsidRPr="004A57FA">
        <w:rPr>
          <w:rFonts w:asciiTheme="minorEastAsia" w:eastAsiaTheme="minorEastAsia" w:hAnsiTheme="minorEastAsia" w:hint="eastAsia"/>
          <w:szCs w:val="21"/>
        </w:rPr>
        <w:t>通讯开会系指基金份额持有人将其对表决事项的投票以书面形式在表决截止日以前送达至召集人指定的地址。</w:t>
      </w:r>
      <w:r w:rsidRPr="004A57FA">
        <w:rPr>
          <w:rFonts w:asciiTheme="minorEastAsia" w:eastAsiaTheme="minorEastAsia" w:hAnsiTheme="minorEastAsia"/>
          <w:szCs w:val="21"/>
        </w:rPr>
        <w:t>通讯开会应以书面方式进行表决。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在</w:t>
      </w:r>
      <w:r w:rsidRPr="004A57FA">
        <w:rPr>
          <w:rFonts w:asciiTheme="minorEastAsia" w:eastAsiaTheme="minorEastAsia" w:hAnsiTheme="minorEastAsia" w:hint="eastAsia"/>
          <w:szCs w:val="21"/>
        </w:rPr>
        <w:t>同时</w:t>
      </w:r>
      <w:r w:rsidRPr="004A57FA">
        <w:rPr>
          <w:rFonts w:asciiTheme="minorEastAsia" w:eastAsiaTheme="minorEastAsia" w:hAnsiTheme="minorEastAsia"/>
          <w:szCs w:val="21"/>
        </w:rPr>
        <w:t>符合以下条件时，通讯开会的方式视为有效：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1）会议召集人</w:t>
      </w:r>
      <w:r w:rsidRPr="004A57FA">
        <w:rPr>
          <w:rFonts w:asciiTheme="minorEastAsia" w:eastAsiaTheme="minorEastAsia" w:hAnsiTheme="minorEastAsia"/>
          <w:szCs w:val="21"/>
        </w:rPr>
        <w:t>按《基金合同》规定公布会议通知后，在</w:t>
      </w: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个工作日内连续公布相关提示性公告；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2）会议召集人</w:t>
      </w:r>
      <w:r w:rsidRPr="004A57FA">
        <w:rPr>
          <w:rFonts w:asciiTheme="minorEastAsia" w:eastAsiaTheme="minorEastAsia" w:hAnsiTheme="minorEastAsia"/>
          <w:szCs w:val="21"/>
        </w:rPr>
        <w:t>在基金托管人</w:t>
      </w:r>
      <w:r w:rsidRPr="004A57FA">
        <w:rPr>
          <w:rFonts w:asciiTheme="minorEastAsia" w:eastAsiaTheme="minorEastAsia" w:hAnsiTheme="minorEastAsia" w:hint="eastAsia"/>
          <w:szCs w:val="21"/>
        </w:rPr>
        <w:t>（如果基金托管人为召集人，则为基金管理人）</w:t>
      </w:r>
      <w:r w:rsidRPr="004A57FA">
        <w:rPr>
          <w:rFonts w:asciiTheme="minorEastAsia" w:eastAsiaTheme="minorEastAsia" w:hAnsiTheme="minorEastAsia"/>
          <w:szCs w:val="21"/>
        </w:rPr>
        <w:t>和公证机关的监督下按照会议通知规定的方式收取基金份额持有人的书面表决意见；</w:t>
      </w:r>
      <w:r w:rsidRPr="004A57FA">
        <w:rPr>
          <w:rFonts w:asciiTheme="minorEastAsia" w:eastAsiaTheme="minorEastAsia" w:hAnsiTheme="minorEastAsia" w:hint="eastAsia"/>
          <w:szCs w:val="21"/>
        </w:rPr>
        <w:t>基金托管人或基金管理人经通知不参加收取书面表决意见的，不影响表决效力</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25" w:firstLine="473"/>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本人直接出具书面意见或授权他人代表出具书面意见的，基金份额持有人所持有的基金份额</w:t>
      </w:r>
      <w:r w:rsidRPr="004A57FA">
        <w:rPr>
          <w:rFonts w:asciiTheme="minorEastAsia" w:eastAsiaTheme="minorEastAsia" w:hAnsiTheme="minorEastAsia" w:hint="eastAsia"/>
          <w:szCs w:val="21"/>
        </w:rPr>
        <w:t>不小</w:t>
      </w:r>
      <w:r w:rsidRPr="004A57FA">
        <w:rPr>
          <w:rFonts w:asciiTheme="minorEastAsia" w:eastAsiaTheme="minorEastAsia" w:hAnsiTheme="minorEastAsia"/>
          <w:szCs w:val="21"/>
        </w:rPr>
        <w:t>于在</w:t>
      </w:r>
      <w:r w:rsidRPr="004A57FA">
        <w:rPr>
          <w:rFonts w:asciiTheme="minorEastAsia" w:eastAsiaTheme="minorEastAsia" w:hAnsiTheme="minorEastAsia" w:hint="eastAsia"/>
          <w:szCs w:val="21"/>
        </w:rPr>
        <w:t>权益</w:t>
      </w:r>
      <w:r w:rsidRPr="004A57FA">
        <w:rPr>
          <w:rFonts w:asciiTheme="minorEastAsia" w:eastAsiaTheme="minorEastAsia" w:hAnsiTheme="minorEastAsia"/>
          <w:szCs w:val="21"/>
        </w:rPr>
        <w:t>登记日基金总份额的</w:t>
      </w:r>
      <w:r w:rsidRPr="004A57FA">
        <w:rPr>
          <w:rFonts w:asciiTheme="minorEastAsia" w:eastAsiaTheme="minorEastAsia" w:hAnsiTheme="minorEastAsia" w:hint="eastAsia"/>
          <w:szCs w:val="21"/>
        </w:rPr>
        <w:t>50%（含50%）</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4）上述第3）项中</w:t>
      </w:r>
      <w:r w:rsidRPr="004A57FA">
        <w:rPr>
          <w:rFonts w:asciiTheme="minorEastAsia" w:eastAsiaTheme="minorEastAsia" w:hAnsiTheme="minorEastAsia"/>
          <w:szCs w:val="21"/>
        </w:rPr>
        <w:t>直接出具书面意见的基金份额持有人或受托代表他人出具书面意见的代理人，同时提交的持有基金份额的凭证、受托</w:t>
      </w:r>
      <w:r w:rsidRPr="004A57FA">
        <w:rPr>
          <w:rFonts w:asciiTheme="minorEastAsia" w:eastAsiaTheme="minorEastAsia" w:hAnsiTheme="minorEastAsia" w:hint="eastAsia"/>
          <w:szCs w:val="21"/>
        </w:rPr>
        <w:t>出具书面意见的代理人</w:t>
      </w:r>
      <w:r w:rsidRPr="004A57FA">
        <w:rPr>
          <w:rFonts w:asciiTheme="minorEastAsia" w:eastAsiaTheme="minorEastAsia" w:hAnsiTheme="minorEastAsia"/>
          <w:szCs w:val="21"/>
        </w:rPr>
        <w:t>出具的委托人持有基金份额的凭证及委托人的代理投票授权委托书符合法律法规、《基金合同》和会议通知的规定</w:t>
      </w:r>
      <w:r w:rsidRPr="004A57FA">
        <w:rPr>
          <w:rFonts w:asciiTheme="minorEastAsia" w:eastAsiaTheme="minorEastAsia" w:hAnsiTheme="minorEastAsia" w:hint="eastAsia"/>
          <w:szCs w:val="21"/>
        </w:rPr>
        <w:t>,并与基金登记注册机构记录相符，并且委托人出具的代理投票授权委托书符合法律法规、《基金合同》和会议通知的规定</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w:t>
      </w:r>
      <w:r w:rsidRPr="004A57FA">
        <w:rPr>
          <w:rFonts w:asciiTheme="minorEastAsia" w:eastAsiaTheme="minorEastAsia" w:hAnsiTheme="minorEastAsia"/>
          <w:szCs w:val="21"/>
        </w:rPr>
        <w:t>会议通知公布前报中国证监会备案。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6、</w:t>
      </w:r>
      <w:r w:rsidR="00AF2EE6" w:rsidRPr="004A57FA">
        <w:rPr>
          <w:rFonts w:asciiTheme="minorEastAsia" w:eastAsiaTheme="minorEastAsia" w:hAnsiTheme="minorEastAsia" w:hint="eastAsia"/>
          <w:szCs w:val="21"/>
        </w:rPr>
        <w:t>议事内容与程序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议事内容及提案权</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议事内容为关系基金份额持有人利益的重大事项，如</w:t>
      </w:r>
      <w:r w:rsidRPr="004A57FA">
        <w:rPr>
          <w:rFonts w:asciiTheme="minorEastAsia" w:eastAsiaTheme="minorEastAsia" w:hAnsiTheme="minorEastAsia" w:hint="eastAsia"/>
          <w:szCs w:val="21"/>
        </w:rPr>
        <w:t>《基金合同》的重大修改</w:t>
      </w:r>
      <w:r w:rsidRPr="004A57FA">
        <w:rPr>
          <w:rFonts w:asciiTheme="minorEastAsia" w:eastAsiaTheme="minorEastAsia" w:hAnsiTheme="minorEastAsia"/>
          <w:szCs w:val="21"/>
        </w:rPr>
        <w:t>、决定终</w:t>
      </w:r>
      <w:r w:rsidRPr="004A57FA">
        <w:rPr>
          <w:rFonts w:asciiTheme="minorEastAsia" w:eastAsiaTheme="minorEastAsia" w:hAnsiTheme="minorEastAsia"/>
          <w:szCs w:val="21"/>
        </w:rPr>
        <w:lastRenderedPageBreak/>
        <w:t>止</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基金</w:t>
      </w:r>
      <w:r w:rsidRPr="004A57FA">
        <w:rPr>
          <w:rFonts w:asciiTheme="minorEastAsia" w:eastAsiaTheme="minorEastAsia" w:hAnsiTheme="minorEastAsia" w:hint="eastAsia"/>
          <w:szCs w:val="21"/>
        </w:rPr>
        <w:t>合同》</w:t>
      </w:r>
      <w:r w:rsidRPr="004A57FA">
        <w:rPr>
          <w:rFonts w:asciiTheme="minorEastAsia" w:eastAsiaTheme="minorEastAsia" w:hAnsiTheme="minorEastAsia"/>
          <w:szCs w:val="21"/>
        </w:rPr>
        <w:t>、更换基金管理人、更换基金托管人、与其他基金合并</w:t>
      </w:r>
      <w:r w:rsidRPr="004A57FA">
        <w:rPr>
          <w:rFonts w:asciiTheme="minorEastAsia" w:eastAsiaTheme="minorEastAsia" w:hAnsiTheme="minorEastAsia" w:hint="eastAsia"/>
          <w:szCs w:val="21"/>
        </w:rPr>
        <w:t>、法律法规及《基金合同》规定的其他事项</w:t>
      </w:r>
      <w:r w:rsidRPr="004A57FA">
        <w:rPr>
          <w:rFonts w:asciiTheme="minorEastAsia" w:eastAsiaTheme="minorEastAsia" w:hAnsiTheme="minorEastAsia"/>
          <w:szCs w:val="21"/>
        </w:rPr>
        <w:t>以及</w:t>
      </w:r>
      <w:r w:rsidRPr="004A57FA">
        <w:rPr>
          <w:rFonts w:asciiTheme="minorEastAsia" w:eastAsiaTheme="minorEastAsia" w:hAnsiTheme="minorEastAsia" w:hint="eastAsia"/>
          <w:szCs w:val="21"/>
        </w:rPr>
        <w:t>会议</w:t>
      </w:r>
      <w:r w:rsidRPr="004A57FA">
        <w:rPr>
          <w:rFonts w:asciiTheme="minorEastAsia" w:eastAsiaTheme="minorEastAsia" w:hAnsiTheme="minorEastAsia"/>
          <w:szCs w:val="21"/>
        </w:rPr>
        <w:t>召集人认为需提交基金份额持有人大会讨论的其他事项。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基金管理人、基金托管人、单独或合并持有权</w:t>
      </w:r>
      <w:r w:rsidRPr="004A57FA">
        <w:rPr>
          <w:rFonts w:asciiTheme="minorEastAsia" w:eastAsiaTheme="minorEastAsia" w:hAnsiTheme="minorEastAsia" w:hint="eastAsia"/>
          <w:szCs w:val="21"/>
        </w:rPr>
        <w:t>益</w:t>
      </w:r>
      <w:r w:rsidRPr="004A57FA">
        <w:rPr>
          <w:rFonts w:asciiTheme="minorEastAsia" w:eastAsiaTheme="minorEastAsia" w:hAnsiTheme="minorEastAsia"/>
          <w:szCs w:val="21"/>
        </w:rPr>
        <w:t>登记日基金总份额10%</w:t>
      </w:r>
      <w:r w:rsidRPr="004A57FA">
        <w:rPr>
          <w:rFonts w:asciiTheme="minorEastAsia" w:eastAsiaTheme="minorEastAsia" w:hAnsiTheme="minorEastAsia" w:hint="eastAsia"/>
          <w:szCs w:val="21"/>
        </w:rPr>
        <w:t>（含10%）</w:t>
      </w:r>
      <w:r w:rsidRPr="004A57FA">
        <w:rPr>
          <w:rFonts w:asciiTheme="minorEastAsia" w:eastAsiaTheme="minorEastAsia" w:hAnsiTheme="minorEastAsia"/>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4A57FA">
        <w:rPr>
          <w:rFonts w:asciiTheme="minorEastAsia" w:eastAsiaTheme="minorEastAsia" w:hAnsiTheme="minorEastAsia" w:hint="eastAsia"/>
          <w:szCs w:val="21"/>
        </w:rPr>
        <w:t>至少35</w:t>
      </w:r>
      <w:r w:rsidRPr="004A57FA">
        <w:rPr>
          <w:rFonts w:asciiTheme="minorEastAsia" w:eastAsiaTheme="minorEastAsia" w:hAnsiTheme="minorEastAsia"/>
          <w:szCs w:val="21"/>
        </w:rPr>
        <w:t>天</w:t>
      </w:r>
      <w:r w:rsidRPr="004A57FA">
        <w:rPr>
          <w:rFonts w:asciiTheme="minorEastAsia" w:eastAsiaTheme="minorEastAsia" w:hAnsiTheme="minorEastAsia" w:hint="eastAsia"/>
          <w:szCs w:val="21"/>
        </w:rPr>
        <w:t>前</w:t>
      </w:r>
      <w:r w:rsidRPr="004A57FA">
        <w:rPr>
          <w:rFonts w:asciiTheme="minorEastAsia" w:eastAsiaTheme="minorEastAsia" w:hAnsiTheme="minorEastAsia"/>
          <w:szCs w:val="21"/>
        </w:rPr>
        <w:t>提交召集人</w:t>
      </w:r>
      <w:r w:rsidRPr="004A57FA">
        <w:rPr>
          <w:rFonts w:asciiTheme="minorEastAsia" w:eastAsiaTheme="minorEastAsia" w:hAnsiTheme="minorEastAsia" w:hint="eastAsia"/>
          <w:szCs w:val="21"/>
        </w:rPr>
        <w:t>并由召集人公告</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基金份额持有人大会的召集人发出召集会议的通知后，对原有提案的修改应当在基金份额持有人大会召开日</w:t>
      </w:r>
      <w:r w:rsidRPr="004A57FA">
        <w:rPr>
          <w:rFonts w:asciiTheme="minorEastAsia" w:eastAsiaTheme="minorEastAsia" w:hAnsiTheme="minorEastAsia" w:hint="eastAsia"/>
          <w:szCs w:val="21"/>
        </w:rPr>
        <w:t>30</w:t>
      </w:r>
      <w:r w:rsidRPr="004A57FA">
        <w:rPr>
          <w:rFonts w:asciiTheme="minorEastAsia" w:eastAsiaTheme="minorEastAsia" w:hAnsiTheme="minorEastAsia"/>
          <w:szCs w:val="21"/>
        </w:rPr>
        <w:t>天</w:t>
      </w:r>
      <w:r w:rsidRPr="004A57FA">
        <w:rPr>
          <w:rFonts w:asciiTheme="minorEastAsia" w:eastAsiaTheme="minorEastAsia" w:hAnsiTheme="minorEastAsia" w:hint="eastAsia"/>
          <w:szCs w:val="21"/>
        </w:rPr>
        <w:t>前</w:t>
      </w:r>
      <w:r w:rsidRPr="004A57FA">
        <w:rPr>
          <w:rFonts w:asciiTheme="minorEastAsia" w:eastAsiaTheme="minorEastAsia" w:hAnsiTheme="minorEastAsia"/>
          <w:szCs w:val="21"/>
        </w:rPr>
        <w:t>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基金份额持有人大会不得对未事先公告的议事内容进行表决。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召集人对于基金管理人</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基金托管人和</w:t>
      </w:r>
      <w:r w:rsidRPr="004A57FA">
        <w:rPr>
          <w:rFonts w:asciiTheme="minorEastAsia" w:eastAsiaTheme="minorEastAsia" w:hAnsiTheme="minorEastAsia" w:hint="eastAsia"/>
          <w:szCs w:val="21"/>
        </w:rPr>
        <w:t>基金份额持有人</w:t>
      </w:r>
      <w:r w:rsidRPr="004A57FA">
        <w:rPr>
          <w:rFonts w:asciiTheme="minorEastAsia" w:eastAsiaTheme="minorEastAsia" w:hAnsiTheme="minorEastAsia"/>
          <w:szCs w:val="21"/>
        </w:rPr>
        <w:t>提交的临时提案</w:t>
      </w:r>
      <w:r w:rsidRPr="004A57FA">
        <w:rPr>
          <w:rFonts w:asciiTheme="minorEastAsia" w:eastAsiaTheme="minorEastAsia" w:hAnsiTheme="minorEastAsia" w:hint="eastAsia"/>
          <w:szCs w:val="21"/>
        </w:rPr>
        <w:t>进行审核，符合条件的</w:t>
      </w:r>
      <w:r w:rsidRPr="004A57FA">
        <w:rPr>
          <w:rFonts w:asciiTheme="minorEastAsia" w:eastAsiaTheme="minorEastAsia" w:hAnsiTheme="minorEastAsia"/>
          <w:szCs w:val="21"/>
        </w:rPr>
        <w:t>应当在大会召开日</w:t>
      </w:r>
      <w:r w:rsidRPr="004A57FA">
        <w:rPr>
          <w:rFonts w:asciiTheme="minorEastAsia" w:eastAsiaTheme="minorEastAsia" w:hAnsiTheme="minorEastAsia" w:hint="eastAsia"/>
          <w:szCs w:val="21"/>
        </w:rPr>
        <w:t>30</w:t>
      </w:r>
      <w:r w:rsidRPr="004A57FA">
        <w:rPr>
          <w:rFonts w:asciiTheme="minorEastAsia" w:eastAsiaTheme="minorEastAsia" w:hAnsiTheme="minorEastAsia"/>
          <w:szCs w:val="21"/>
        </w:rPr>
        <w:t>天前公告。大会召集人应当按照以下原则对提案进行审核：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关联性。大会召集人对于提案涉及事项与基金有直接关系，并且不超出法律法规和</w:t>
      </w:r>
      <w:r w:rsidRPr="004A57FA">
        <w:rPr>
          <w:rFonts w:asciiTheme="minorEastAsia" w:eastAsiaTheme="minorEastAsia" w:hAnsiTheme="minorEastAsia" w:hint="eastAsia"/>
          <w:szCs w:val="21"/>
        </w:rPr>
        <w:t>《基金合同》</w:t>
      </w:r>
      <w:r w:rsidRPr="004A57FA">
        <w:rPr>
          <w:rFonts w:asciiTheme="minorEastAsia" w:eastAsiaTheme="minorEastAsia" w:hAnsiTheme="minorEastAsia"/>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程序性。大会召集人可以对提案涉及的程序性问题</w:t>
      </w:r>
      <w:r w:rsidRPr="004A57FA">
        <w:rPr>
          <w:rFonts w:asciiTheme="minorEastAsia" w:eastAsiaTheme="minorEastAsia" w:hAnsiTheme="minorEastAsia" w:hint="eastAsia"/>
          <w:szCs w:val="21"/>
        </w:rPr>
        <w:t>做</w:t>
      </w:r>
      <w:r w:rsidRPr="004A57FA">
        <w:rPr>
          <w:rFonts w:asciiTheme="minorEastAsia" w:eastAsiaTheme="minorEastAsia" w:hAnsiTheme="minorEastAsia"/>
          <w:szCs w:val="21"/>
        </w:rPr>
        <w:t>出决定。如将提案进行分拆或合并表决，需征得原提案人同意；原提案人不同意变更的，大会主持人可以就程序性问题提请基金份额持有人大会</w:t>
      </w:r>
      <w:r w:rsidRPr="004A57FA">
        <w:rPr>
          <w:rFonts w:asciiTheme="minorEastAsia" w:eastAsiaTheme="minorEastAsia" w:hAnsiTheme="minorEastAsia" w:hint="eastAsia"/>
          <w:szCs w:val="21"/>
        </w:rPr>
        <w:t>做</w:t>
      </w:r>
      <w:r w:rsidRPr="004A57FA">
        <w:rPr>
          <w:rFonts w:asciiTheme="minorEastAsia" w:eastAsiaTheme="minorEastAsia" w:hAnsiTheme="minorEastAsia"/>
          <w:szCs w:val="21"/>
        </w:rPr>
        <w:t>出决定，并按照基金份额持有人大会决定的程序进行审议。</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议事程序</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现场开会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在现场开会的方式下，首先由大会主持人按照下列第七</w:t>
      </w:r>
      <w:r w:rsidRPr="004A57FA">
        <w:rPr>
          <w:rFonts w:asciiTheme="minorEastAsia" w:eastAsiaTheme="minorEastAsia" w:hAnsiTheme="minorEastAsia" w:hint="eastAsia"/>
          <w:szCs w:val="21"/>
        </w:rPr>
        <w:t>条</w:t>
      </w:r>
      <w:r w:rsidRPr="004A57FA">
        <w:rPr>
          <w:rFonts w:asciiTheme="minorEastAsia" w:eastAsiaTheme="minorEastAsia" w:hAnsiTheme="minorEastAsia"/>
          <w:szCs w:val="21"/>
        </w:rPr>
        <w:t>规定程序确定和公布监票人，然后由大会主持人宣读提案，经讨论后进行表决，并形成大会决议。大会主持人为基金管理人授权出席会议的代表，在基金管理人</w:t>
      </w:r>
      <w:r w:rsidRPr="004A57FA">
        <w:rPr>
          <w:rFonts w:asciiTheme="minorEastAsia" w:eastAsiaTheme="minorEastAsia" w:hAnsiTheme="minorEastAsia" w:hint="eastAsia"/>
          <w:szCs w:val="21"/>
        </w:rPr>
        <w:t>授权代表</w:t>
      </w:r>
      <w:r w:rsidRPr="004A57FA">
        <w:rPr>
          <w:rFonts w:asciiTheme="minorEastAsia" w:eastAsiaTheme="minorEastAsia" w:hAnsiTheme="minorEastAsia"/>
          <w:szCs w:val="21"/>
        </w:rPr>
        <w:t>未能主持大会的情况下，由基金托管人授权其出席会议的代表主持；如果基金管理人</w:t>
      </w:r>
      <w:r w:rsidRPr="004A57FA">
        <w:rPr>
          <w:rFonts w:asciiTheme="minorEastAsia" w:eastAsiaTheme="minorEastAsia" w:hAnsiTheme="minorEastAsia" w:hint="eastAsia"/>
          <w:szCs w:val="21"/>
        </w:rPr>
        <w:t>授权代表</w:t>
      </w:r>
      <w:r w:rsidRPr="004A57FA">
        <w:rPr>
          <w:rFonts w:asciiTheme="minorEastAsia" w:eastAsiaTheme="minorEastAsia" w:hAnsiTheme="minorEastAsia"/>
          <w:szCs w:val="21"/>
        </w:rPr>
        <w:t>和基金托管人</w:t>
      </w:r>
      <w:r w:rsidRPr="004A57FA">
        <w:rPr>
          <w:rFonts w:asciiTheme="minorEastAsia" w:eastAsiaTheme="minorEastAsia" w:hAnsiTheme="minorEastAsia" w:hint="eastAsia"/>
          <w:szCs w:val="21"/>
        </w:rPr>
        <w:t>授权代表</w:t>
      </w:r>
      <w:r w:rsidRPr="004A57FA">
        <w:rPr>
          <w:rFonts w:asciiTheme="minorEastAsia" w:eastAsiaTheme="minorEastAsia" w:hAnsiTheme="minorEastAsia"/>
          <w:szCs w:val="21"/>
        </w:rPr>
        <w:t>均未能主持大会，则由出席大会的基金份额持有人</w:t>
      </w:r>
      <w:r w:rsidRPr="004A57FA">
        <w:rPr>
          <w:rFonts w:asciiTheme="minorEastAsia" w:eastAsiaTheme="minorEastAsia" w:hAnsiTheme="minorEastAsia" w:hint="eastAsia"/>
          <w:szCs w:val="21"/>
        </w:rPr>
        <w:t>所持表决权的</w:t>
      </w:r>
      <w:r w:rsidRPr="004A57FA">
        <w:rPr>
          <w:rFonts w:asciiTheme="minorEastAsia" w:eastAsiaTheme="minorEastAsia" w:hAnsiTheme="minorEastAsia"/>
          <w:szCs w:val="21"/>
        </w:rPr>
        <w:t>50%以上（含50%）</w:t>
      </w:r>
      <w:r w:rsidRPr="004A57FA">
        <w:rPr>
          <w:rFonts w:asciiTheme="minorEastAsia" w:eastAsiaTheme="minorEastAsia" w:hAnsiTheme="minorEastAsia" w:hint="eastAsia"/>
          <w:szCs w:val="21"/>
        </w:rPr>
        <w:t>选举</w:t>
      </w:r>
      <w:r w:rsidRPr="004A57FA">
        <w:rPr>
          <w:rFonts w:asciiTheme="minorEastAsia" w:eastAsiaTheme="minorEastAsia" w:hAnsiTheme="minorEastAsia"/>
          <w:szCs w:val="21"/>
        </w:rPr>
        <w:t>产生一名基金份额持有人作为该次基金份额持有人大会的主持人。</w:t>
      </w:r>
      <w:r w:rsidRPr="004A57FA">
        <w:rPr>
          <w:rFonts w:asciiTheme="minorEastAsia" w:eastAsiaTheme="minorEastAsia" w:hAnsiTheme="minorEastAsia" w:hint="eastAsia"/>
          <w:szCs w:val="21"/>
        </w:rPr>
        <w:t>基金管理人和基金托管人不出席或主持基金份额持有人大会，不影响基金份额持有人大会作出的决议的效力。</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会议</w:t>
      </w:r>
      <w:r w:rsidRPr="004A57FA">
        <w:rPr>
          <w:rFonts w:asciiTheme="minorEastAsia" w:eastAsiaTheme="minorEastAsia" w:hAnsiTheme="minorEastAsia"/>
          <w:szCs w:val="21"/>
        </w:rPr>
        <w:t>召集人应当制作出席会议人员的签名册。签名册载明参加会议人员姓名（或单位名称）、身份证号码、住所地址、持有或代表有表决权的基金份额、委托人姓名（或单位名称）等事项。</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通讯开会</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szCs w:val="21"/>
        </w:rPr>
        <w:t>在通讯开会的情况下，</w:t>
      </w:r>
      <w:r w:rsidRPr="004A57FA">
        <w:rPr>
          <w:rFonts w:asciiTheme="minorEastAsia" w:eastAsiaTheme="minorEastAsia" w:hAnsiTheme="minorEastAsia" w:hint="eastAsia"/>
          <w:szCs w:val="21"/>
        </w:rPr>
        <w:t>首先由召集人提前30日公布提案</w:t>
      </w:r>
      <w:r w:rsidRPr="004A57FA">
        <w:rPr>
          <w:rFonts w:asciiTheme="minorEastAsia" w:eastAsiaTheme="minorEastAsia" w:hAnsiTheme="minorEastAsia"/>
          <w:szCs w:val="21"/>
        </w:rPr>
        <w:t>，在所通知的表决截止日期</w:t>
      </w:r>
      <w:r w:rsidRPr="004A57FA">
        <w:rPr>
          <w:rFonts w:asciiTheme="minorEastAsia" w:eastAsiaTheme="minorEastAsia" w:hAnsiTheme="minorEastAsia" w:hint="eastAsia"/>
          <w:szCs w:val="21"/>
        </w:rPr>
        <w:t>后2个工作日内在公证机关监督下由召集人统计全部有效表决</w:t>
      </w:r>
      <w:r w:rsidRPr="004A57FA">
        <w:rPr>
          <w:rFonts w:asciiTheme="minorEastAsia" w:eastAsiaTheme="minorEastAsia" w:hAnsiTheme="minorEastAsia"/>
          <w:szCs w:val="21"/>
        </w:rPr>
        <w:t>，在公证</w:t>
      </w:r>
      <w:r w:rsidRPr="004A57FA">
        <w:rPr>
          <w:rFonts w:asciiTheme="minorEastAsia" w:eastAsiaTheme="minorEastAsia" w:hAnsiTheme="minorEastAsia" w:hint="eastAsia"/>
          <w:szCs w:val="21"/>
        </w:rPr>
        <w:t>机关</w:t>
      </w:r>
      <w:r w:rsidRPr="004A57FA">
        <w:rPr>
          <w:rFonts w:asciiTheme="minorEastAsia" w:eastAsiaTheme="minorEastAsia" w:hAnsiTheme="minorEastAsia"/>
          <w:szCs w:val="21"/>
        </w:rPr>
        <w:t>监督下形成决议。</w:t>
      </w:r>
    </w:p>
    <w:p w:rsidR="00AF2EE6" w:rsidRPr="004A57FA" w:rsidRDefault="00626C7D"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7、</w:t>
      </w:r>
      <w:r w:rsidR="00AF2EE6" w:rsidRPr="004A57FA">
        <w:rPr>
          <w:rFonts w:asciiTheme="minorEastAsia" w:eastAsiaTheme="minorEastAsia" w:hAnsiTheme="minorEastAsia" w:hint="eastAsia"/>
          <w:szCs w:val="21"/>
        </w:rPr>
        <w:t>表决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基金份额持有人所持每份基金份额有一票表决权。</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基金份额持有人大会决议分为一般决议和特别决议：</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一般决议，一般决议须经参加大会的基金份额持有人</w:t>
      </w:r>
      <w:r w:rsidRPr="004A57FA">
        <w:rPr>
          <w:rFonts w:asciiTheme="minorEastAsia" w:eastAsiaTheme="minorEastAsia" w:hAnsiTheme="minorEastAsia" w:hint="eastAsia"/>
          <w:szCs w:val="21"/>
        </w:rPr>
        <w:t>或其代理人</w:t>
      </w:r>
      <w:r w:rsidRPr="004A57FA">
        <w:rPr>
          <w:rFonts w:asciiTheme="minorEastAsia" w:eastAsiaTheme="minorEastAsia" w:hAnsiTheme="minorEastAsia"/>
          <w:szCs w:val="21"/>
        </w:rPr>
        <w:t>所持表决权的</w:t>
      </w:r>
      <w:r w:rsidRPr="004A57FA">
        <w:rPr>
          <w:rFonts w:asciiTheme="minorEastAsia" w:eastAsiaTheme="minorEastAsia" w:hAnsiTheme="minorEastAsia" w:hint="eastAsia"/>
          <w:szCs w:val="21"/>
        </w:rPr>
        <w:t>50%</w:t>
      </w:r>
      <w:r w:rsidRPr="004A57FA">
        <w:rPr>
          <w:rFonts w:asciiTheme="minorEastAsia" w:eastAsiaTheme="minorEastAsia" w:hAnsiTheme="minorEastAsia"/>
          <w:szCs w:val="21"/>
        </w:rPr>
        <w:t>以上（含</w:t>
      </w:r>
      <w:r w:rsidRPr="004A57FA">
        <w:rPr>
          <w:rFonts w:asciiTheme="minorEastAsia" w:eastAsiaTheme="minorEastAsia" w:hAnsiTheme="minorEastAsia" w:hint="eastAsia"/>
          <w:szCs w:val="21"/>
        </w:rPr>
        <w:t>50%</w:t>
      </w:r>
      <w:r w:rsidRPr="004A57FA">
        <w:rPr>
          <w:rFonts w:asciiTheme="minorEastAsia" w:eastAsiaTheme="minorEastAsia" w:hAnsiTheme="minorEastAsia"/>
          <w:szCs w:val="21"/>
        </w:rPr>
        <w:t>）通过方为有效；除下列</w:t>
      </w:r>
      <w:r w:rsidRPr="004A57FA">
        <w:rPr>
          <w:rFonts w:asciiTheme="minorEastAsia" w:eastAsiaTheme="minorEastAsia" w:hAnsiTheme="minorEastAsia" w:hint="eastAsia"/>
          <w:szCs w:val="21"/>
        </w:rPr>
        <w:t>第2项</w:t>
      </w:r>
      <w:r w:rsidRPr="004A57FA">
        <w:rPr>
          <w:rFonts w:asciiTheme="minorEastAsia" w:eastAsiaTheme="minorEastAsia" w:hAnsiTheme="minorEastAsia"/>
          <w:szCs w:val="21"/>
        </w:rPr>
        <w:t>所规定的须以特别决议通过事项以外的其他事项均以一般决议的方式通过。</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特别决议，特别决议应当经参加大会的基金份额持有人</w:t>
      </w:r>
      <w:r w:rsidRPr="004A57FA">
        <w:rPr>
          <w:rFonts w:asciiTheme="minorEastAsia" w:eastAsiaTheme="minorEastAsia" w:hAnsiTheme="minorEastAsia" w:hint="eastAsia"/>
          <w:szCs w:val="21"/>
        </w:rPr>
        <w:t>或其代理人</w:t>
      </w:r>
      <w:r w:rsidRPr="004A57FA">
        <w:rPr>
          <w:rFonts w:asciiTheme="minorEastAsia" w:eastAsiaTheme="minorEastAsia" w:hAnsiTheme="minorEastAsia"/>
          <w:szCs w:val="21"/>
        </w:rPr>
        <w:t>所持表决权的三分之二</w:t>
      </w:r>
      <w:r w:rsidRPr="004A57FA">
        <w:rPr>
          <w:rFonts w:asciiTheme="minorEastAsia" w:eastAsiaTheme="minorEastAsia" w:hAnsiTheme="minorEastAsia" w:hint="eastAsia"/>
          <w:szCs w:val="21"/>
        </w:rPr>
        <w:t>以上（含</w:t>
      </w:r>
      <w:r w:rsidRPr="004A57FA">
        <w:rPr>
          <w:rFonts w:asciiTheme="minorEastAsia" w:eastAsiaTheme="minorEastAsia" w:hAnsiTheme="minorEastAsia"/>
          <w:szCs w:val="21"/>
        </w:rPr>
        <w:t>三分之二</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通过方可</w:t>
      </w:r>
      <w:r w:rsidRPr="004A57FA">
        <w:rPr>
          <w:rFonts w:asciiTheme="minorEastAsia" w:eastAsiaTheme="minorEastAsia" w:hAnsiTheme="minorEastAsia" w:hint="eastAsia"/>
          <w:szCs w:val="21"/>
        </w:rPr>
        <w:t>做</w:t>
      </w:r>
      <w:r w:rsidRPr="004A57FA">
        <w:rPr>
          <w:rFonts w:asciiTheme="minorEastAsia" w:eastAsiaTheme="minorEastAsia" w:hAnsiTheme="minorEastAsia"/>
          <w:szCs w:val="21"/>
        </w:rPr>
        <w:t>出。转换基金运作方式、更换基金管理人或者基金托管人、终止</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基金合同</w:t>
      </w:r>
      <w:r w:rsidRPr="004A57FA">
        <w:rPr>
          <w:rFonts w:asciiTheme="minorEastAsia" w:eastAsiaTheme="minorEastAsia" w:hAnsiTheme="minorEastAsia" w:hint="eastAsia"/>
          <w:szCs w:val="21"/>
        </w:rPr>
        <w:t>》</w:t>
      </w:r>
      <w:r w:rsidR="000157C5" w:rsidRPr="004A57FA">
        <w:rPr>
          <w:rFonts w:asciiTheme="minorEastAsia" w:eastAsiaTheme="minorEastAsia" w:hAnsiTheme="minorEastAsia" w:hint="eastAsia"/>
          <w:szCs w:val="21"/>
        </w:rPr>
        <w:t>、本基金与其他基金合并</w:t>
      </w:r>
      <w:r w:rsidRPr="004A57FA">
        <w:rPr>
          <w:rFonts w:asciiTheme="minorEastAsia" w:eastAsiaTheme="minorEastAsia" w:hAnsiTheme="minorEastAsia"/>
          <w:szCs w:val="21"/>
        </w:rPr>
        <w:t>以特别决议通过方为有效。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基金份额持有人大会采取记名方式进行投票表决。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采取通讯方式进行表决时，</w:t>
      </w:r>
      <w:r w:rsidRPr="004A57FA">
        <w:rPr>
          <w:rFonts w:asciiTheme="minorEastAsia" w:eastAsiaTheme="minorEastAsia" w:hAnsiTheme="minorEastAsia" w:hint="eastAsia"/>
          <w:szCs w:val="21"/>
        </w:rPr>
        <w:t>除非在计票时有充分的相反证据证明，提交符合会议通知中规定的确认投资者身份文件的表决视为有效出席的投资者，</w:t>
      </w:r>
      <w:r w:rsidRPr="004A57FA">
        <w:rPr>
          <w:rFonts w:asciiTheme="minorEastAsia" w:eastAsiaTheme="minorEastAsia" w:hAnsiTheme="minorEastAsia"/>
          <w:szCs w:val="21"/>
        </w:rPr>
        <w:t>符合会议通知规定的书面表决意见视为有效表决</w:t>
      </w:r>
      <w:r w:rsidRPr="004A57FA">
        <w:rPr>
          <w:rFonts w:asciiTheme="minorEastAsia" w:eastAsiaTheme="minorEastAsia" w:hAnsiTheme="minorEastAsia" w:hint="eastAsia"/>
          <w:szCs w:val="21"/>
        </w:rPr>
        <w:t>，表决意见模糊不清或相互矛盾的视为弃权表决，但应当计入出具书面意见的基金份额持有人所代表的基金份额总数。</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基金份额持有人大会的各项提案或同一项提案内并列的各项议题应当分开审议、逐项表决。</w:t>
      </w:r>
    </w:p>
    <w:p w:rsidR="00AF2EE6" w:rsidRPr="004A57FA" w:rsidRDefault="00626C7D"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8、</w:t>
      </w:r>
      <w:r w:rsidR="00AF2EE6" w:rsidRPr="004A57FA">
        <w:rPr>
          <w:rFonts w:asciiTheme="minorEastAsia" w:eastAsiaTheme="minorEastAsia" w:hAnsiTheme="minorEastAsia" w:hint="eastAsia"/>
        </w:rPr>
        <w:t>计票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现场开会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Pr="004A57FA">
        <w:rPr>
          <w:rFonts w:asciiTheme="minorEastAsia" w:eastAsiaTheme="minorEastAsia" w:hAnsiTheme="minorEastAsia"/>
          <w:szCs w:val="21"/>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4A57FA">
        <w:rPr>
          <w:rFonts w:asciiTheme="minorEastAsia" w:eastAsiaTheme="minorEastAsia" w:hAnsiTheme="minorEastAsia" w:hint="eastAsia"/>
          <w:szCs w:val="21"/>
        </w:rPr>
        <w:t>或大会虽然由基金管理人或基金托管人召集，但是基金管理人或基金托管人未出席大会的</w:t>
      </w:r>
      <w:r w:rsidRPr="004A57FA">
        <w:rPr>
          <w:rFonts w:asciiTheme="minorEastAsia" w:eastAsiaTheme="minorEastAsia" w:hAnsiTheme="minorEastAsia"/>
          <w:szCs w:val="21"/>
        </w:rPr>
        <w:t>，基金份额持有人大会的主持人应当在会议开始后宣布在出席会议的基金份额持有人中选举三名基金份额持有人代表担任监票人。</w:t>
      </w:r>
      <w:r w:rsidRPr="004A57FA">
        <w:rPr>
          <w:rFonts w:asciiTheme="minorEastAsia" w:eastAsiaTheme="minorEastAsia" w:hAnsiTheme="minorEastAsia" w:hint="eastAsia"/>
          <w:szCs w:val="21"/>
        </w:rPr>
        <w:t>基金管理人或基金托管人不出席大会的，不影响计票的效力。</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监票人应当在基金份额持有人表决后立即进行清点并由大会主持人当场公布计票结果。</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如果会议主持人</w:t>
      </w:r>
      <w:r w:rsidRPr="004A57FA">
        <w:rPr>
          <w:rFonts w:asciiTheme="minorEastAsia" w:eastAsiaTheme="minorEastAsia" w:hAnsiTheme="minorEastAsia" w:hint="eastAsia"/>
          <w:szCs w:val="21"/>
        </w:rPr>
        <w:t>或</w:t>
      </w:r>
      <w:r w:rsidRPr="004A57FA">
        <w:rPr>
          <w:rFonts w:asciiTheme="minorEastAsia" w:eastAsiaTheme="minorEastAsia" w:hAnsiTheme="minorEastAsia"/>
          <w:szCs w:val="21"/>
        </w:rPr>
        <w:t>基金份额持有人对于提交的表决结果有怀疑，可以在宣布表决结果后立即对所投票数</w:t>
      </w:r>
      <w:r w:rsidRPr="004A57FA">
        <w:rPr>
          <w:rFonts w:asciiTheme="minorEastAsia" w:eastAsiaTheme="minorEastAsia" w:hAnsiTheme="minorEastAsia" w:hint="eastAsia"/>
          <w:szCs w:val="21"/>
        </w:rPr>
        <w:t>要求</w:t>
      </w:r>
      <w:r w:rsidRPr="004A57FA">
        <w:rPr>
          <w:rFonts w:asciiTheme="minorEastAsia" w:eastAsiaTheme="minorEastAsia" w:hAnsiTheme="minorEastAsia"/>
          <w:szCs w:val="21"/>
        </w:rPr>
        <w:t>进行重新清点</w:t>
      </w:r>
      <w:r w:rsidRPr="004A57FA">
        <w:rPr>
          <w:rFonts w:asciiTheme="minorEastAsia" w:eastAsiaTheme="minorEastAsia" w:hAnsiTheme="minorEastAsia" w:hint="eastAsia"/>
          <w:szCs w:val="21"/>
        </w:rPr>
        <w:t>。监票人应当进行重新清点，重新清点以一次为限。</w:t>
      </w:r>
      <w:r w:rsidRPr="004A57FA">
        <w:rPr>
          <w:rFonts w:asciiTheme="minorEastAsia" w:eastAsiaTheme="minorEastAsia" w:hAnsiTheme="minorEastAsia" w:hint="eastAsia"/>
          <w:szCs w:val="21"/>
        </w:rPr>
        <w:lastRenderedPageBreak/>
        <w:t>重新清点后，大会主持人应当当场公布重新清点结果。</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4）计票过程应由公证机关予以公证,基金管理人或基金托管人拒不出席大会的，不影响计票的效力。</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szCs w:val="21"/>
        </w:rPr>
        <w:t>通讯开会</w:t>
      </w:r>
    </w:p>
    <w:p w:rsidR="00AF2EE6" w:rsidRPr="004A57FA" w:rsidRDefault="00AF2EE6" w:rsidP="00C53017">
      <w:pPr>
        <w:snapToGrid w:val="0"/>
        <w:spacing w:line="360" w:lineRule="auto"/>
        <w:ind w:firstLineChars="228" w:firstLine="479"/>
        <w:rPr>
          <w:rFonts w:asciiTheme="minorEastAsia" w:eastAsiaTheme="minorEastAsia" w:hAnsiTheme="minorEastAsia"/>
          <w:szCs w:val="21"/>
        </w:rPr>
      </w:pPr>
      <w:r w:rsidRPr="004A57FA">
        <w:rPr>
          <w:rFonts w:asciiTheme="minorEastAsia" w:eastAsiaTheme="minorEastAsia" w:hAnsiTheme="minorEastAsia"/>
          <w:szCs w:val="21"/>
        </w:rPr>
        <w:t>在通讯开会的情况下，计票方式为：由大会召集人授权的两名监督员在基金托管人授权代表</w:t>
      </w:r>
      <w:r w:rsidRPr="004A57FA">
        <w:rPr>
          <w:rFonts w:asciiTheme="minorEastAsia" w:eastAsiaTheme="minorEastAsia" w:hAnsiTheme="minorEastAsia" w:hint="eastAsia"/>
          <w:szCs w:val="21"/>
        </w:rPr>
        <w:t>（若由基金托管人召集，则为基金管理人</w:t>
      </w:r>
      <w:r w:rsidRPr="004A57FA">
        <w:rPr>
          <w:rFonts w:asciiTheme="minorEastAsia" w:eastAsiaTheme="minorEastAsia" w:hAnsiTheme="minorEastAsia"/>
          <w:szCs w:val="21"/>
        </w:rPr>
        <w:t>授权代表</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的监督下进行计票，并由公证机关对其计票过程予以公证。</w:t>
      </w:r>
      <w:r w:rsidRPr="004A57FA">
        <w:rPr>
          <w:rFonts w:asciiTheme="minorEastAsia" w:eastAsiaTheme="minorEastAsia" w:hAnsiTheme="minorEastAsia" w:hint="eastAsia"/>
          <w:szCs w:val="21"/>
        </w:rPr>
        <w:t>基金管理人或基金托管人拒派代表对书面表决意见的计票进行监督的，不影响计票和表决结果。</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9、</w:t>
      </w:r>
      <w:r w:rsidR="00AF2EE6" w:rsidRPr="004A57FA">
        <w:rPr>
          <w:rFonts w:asciiTheme="minorEastAsia" w:eastAsiaTheme="minorEastAsia" w:hAnsiTheme="minorEastAsia" w:hint="eastAsia"/>
          <w:szCs w:val="21"/>
        </w:rPr>
        <w:t>生效与公告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基金份额持有人大会的决议，召集人应当自通过之日起5日内报中国证监会备案。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基金份额持有人大会的决议自</w:t>
      </w:r>
      <w:r w:rsidR="000157C5" w:rsidRPr="004A57FA">
        <w:rPr>
          <w:rFonts w:asciiTheme="minorEastAsia" w:eastAsiaTheme="minorEastAsia" w:hAnsiTheme="minorEastAsia" w:hint="eastAsia"/>
          <w:szCs w:val="21"/>
        </w:rPr>
        <w:t>表决通过</w:t>
      </w:r>
      <w:r w:rsidRPr="004A57FA">
        <w:rPr>
          <w:rFonts w:asciiTheme="minorEastAsia" w:eastAsiaTheme="minorEastAsia" w:hAnsiTheme="minorEastAsia" w:hint="eastAsia"/>
          <w:szCs w:val="21"/>
        </w:rPr>
        <w:t>之日起生效。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基金份额持有人大会决议自生效之日起</w:t>
      </w:r>
      <w:r w:rsidR="00AC34D1" w:rsidRPr="004A57FA">
        <w:rPr>
          <w:rFonts w:asciiTheme="minorEastAsia" w:eastAsiaTheme="minorEastAsia" w:hAnsiTheme="minorEastAsia"/>
          <w:szCs w:val="21"/>
        </w:rPr>
        <w:t>2日内在</w:t>
      </w:r>
      <w:r w:rsidR="00AC34D1" w:rsidRPr="004A57FA">
        <w:rPr>
          <w:rFonts w:asciiTheme="minorEastAsia" w:eastAsiaTheme="minorEastAsia" w:hAnsiTheme="minorEastAsia" w:hint="eastAsia"/>
          <w:szCs w:val="21"/>
        </w:rPr>
        <w:t>指定媒介上</w:t>
      </w:r>
      <w:r w:rsidRPr="004A57FA">
        <w:rPr>
          <w:rFonts w:asciiTheme="minorEastAsia" w:eastAsiaTheme="minorEastAsia" w:hAnsiTheme="minorEastAsia"/>
          <w:szCs w:val="21"/>
        </w:rPr>
        <w:t>公告。</w:t>
      </w:r>
      <w:r w:rsidRPr="004A57FA">
        <w:rPr>
          <w:rFonts w:asciiTheme="minorEastAsia" w:eastAsiaTheme="minorEastAsia" w:hAnsiTheme="minorEastAsia" w:hint="eastAsia"/>
          <w:szCs w:val="21"/>
        </w:rPr>
        <w:t>如果采用通讯方式进行表决，在公告基金份额持有人大会决议时，必须将公证书全文、公证机构、公证员姓名等一同公告。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基金管理人、基金托管人和基金份额持有人应当执行生效的基金份额持有人大会的决议。</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基金份额持有人大会决议对全体基金份额持有人、基金管理人、基金托管人均有约束力。</w:t>
      </w:r>
    </w:p>
    <w:p w:rsidR="00AF2EE6" w:rsidRPr="004A57FA" w:rsidRDefault="00AF2EE6" w:rsidP="00C53017">
      <w:pPr>
        <w:pStyle w:val="20"/>
        <w:adjustRightInd w:val="0"/>
        <w:snapToGrid w:val="0"/>
        <w:spacing w:beforeLines="0" w:afterLines="0" w:line="360" w:lineRule="auto"/>
        <w:ind w:firstLineChars="0" w:firstLine="0"/>
        <w:rPr>
          <w:rFonts w:asciiTheme="minorEastAsia" w:eastAsiaTheme="minorEastAsia" w:hAnsiTheme="minorEastAsia"/>
          <w:b w:val="0"/>
          <w:bCs/>
        </w:rPr>
      </w:pPr>
      <w:bookmarkStart w:id="247" w:name="_Toc81231054"/>
      <w:r w:rsidRPr="004A57FA">
        <w:rPr>
          <w:rFonts w:asciiTheme="minorEastAsia" w:eastAsiaTheme="minorEastAsia" w:hAnsiTheme="minorEastAsia" w:hint="eastAsia"/>
          <w:b w:val="0"/>
          <w:bCs/>
        </w:rPr>
        <w:t>（五）基金合同的变更和终止</w:t>
      </w:r>
      <w:bookmarkEnd w:id="247"/>
    </w:p>
    <w:p w:rsidR="00AF2EE6" w:rsidRPr="004A57FA" w:rsidRDefault="00626C7D" w:rsidP="00C53017">
      <w:pPr>
        <w:snapToGrid w:val="0"/>
        <w:spacing w:line="360" w:lineRule="auto"/>
        <w:ind w:firstLine="420"/>
        <w:rPr>
          <w:rFonts w:asciiTheme="minorEastAsia" w:eastAsiaTheme="minorEastAsia" w:hAnsiTheme="minorEastAsia"/>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《基金合同》的变更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（1）除非法律法规和《基金合同》另有规定，对《基金合同》的变更应当召开基金份额持有人大会的，《基金合同》变更的内容应经基金份额持有人大会决议通过，并依法报中国证监会备案。</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（2）依现行有效的有关法律法规，对《基金合同》的变更自</w:t>
      </w:r>
      <w:r w:rsidR="000157C5" w:rsidRPr="004A57FA">
        <w:rPr>
          <w:rFonts w:asciiTheme="minorEastAsia" w:eastAsiaTheme="minorEastAsia" w:hAnsiTheme="minorEastAsia" w:hint="eastAsia"/>
          <w:szCs w:val="21"/>
        </w:rPr>
        <w:t>表决通过</w:t>
      </w:r>
      <w:r w:rsidRPr="004A57FA">
        <w:rPr>
          <w:rFonts w:asciiTheme="minorEastAsia" w:eastAsiaTheme="minorEastAsia" w:hAnsiTheme="minorEastAsia" w:hint="eastAsia"/>
          <w:szCs w:val="21"/>
        </w:rPr>
        <w:t>之日起生效。</w:t>
      </w:r>
    </w:p>
    <w:p w:rsidR="00AF2EE6" w:rsidRPr="004A57FA" w:rsidRDefault="00AF2EE6"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（3）除依本《基金合同》和/或依现行有效的有关法律法规，对《基金合同》的变更须基金份额持有人大会决议通过和/或须报中国证监会</w:t>
      </w:r>
      <w:r w:rsidR="000157C5" w:rsidRPr="004A57FA">
        <w:rPr>
          <w:rFonts w:asciiTheme="minorEastAsia" w:eastAsiaTheme="minorEastAsia" w:hAnsiTheme="minorEastAsia" w:hint="eastAsia"/>
          <w:szCs w:val="21"/>
        </w:rPr>
        <w:t>备案</w:t>
      </w:r>
      <w:r w:rsidRPr="004A57FA">
        <w:rPr>
          <w:rFonts w:asciiTheme="minorEastAsia" w:eastAsiaTheme="minorEastAsia" w:hAnsiTheme="minorEastAsia" w:hint="eastAsia"/>
          <w:szCs w:val="21"/>
        </w:rPr>
        <w:t>以外的情形，经基金管理人和基金托管人同意可对《基金合同》进行变更后公布，并报中国证监会备案。</w:t>
      </w:r>
    </w:p>
    <w:p w:rsidR="00AF2EE6" w:rsidRPr="004A57FA" w:rsidRDefault="00626C7D"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《基金合同》的终止</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有下列情形之一的，《基金合同》应当终止：</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（1）基金份额持有人大会决定终止的；</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Pr="004A57FA">
        <w:rPr>
          <w:rFonts w:asciiTheme="minorEastAsia" w:eastAsiaTheme="minorEastAsia" w:hAnsiTheme="minorEastAsia" w:hint="eastAsia"/>
        </w:rPr>
        <w:t>基金管理人、基金托管人职责终止，在6个月内没有新基金管理人、新基金托管人承接的</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（3）《基金合同》约定的其他情形；</w:t>
      </w:r>
    </w:p>
    <w:p w:rsidR="00AF2EE6" w:rsidRPr="004A57FA" w:rsidRDefault="00AF2EE6" w:rsidP="00C53017">
      <w:pPr>
        <w:adjustRightInd w:val="0"/>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（4）相关法律法规和中国证监会规定的其他情况。</w:t>
      </w:r>
    </w:p>
    <w:p w:rsidR="00AF2EE6" w:rsidRPr="004A57FA" w:rsidRDefault="00AF2EE6" w:rsidP="00C53017">
      <w:pPr>
        <w:pStyle w:val="20"/>
        <w:adjustRightInd w:val="0"/>
        <w:snapToGrid w:val="0"/>
        <w:spacing w:beforeLines="0" w:afterLines="0" w:line="360" w:lineRule="auto"/>
        <w:ind w:firstLineChars="0" w:firstLine="0"/>
        <w:rPr>
          <w:rFonts w:asciiTheme="minorEastAsia" w:eastAsiaTheme="minorEastAsia" w:hAnsiTheme="minorEastAsia"/>
          <w:b w:val="0"/>
          <w:bCs/>
        </w:rPr>
      </w:pPr>
      <w:bookmarkStart w:id="248" w:name="_Toc38437218"/>
      <w:bookmarkStart w:id="249" w:name="_Toc38437354"/>
      <w:bookmarkStart w:id="250" w:name="_Toc38437490"/>
      <w:bookmarkStart w:id="251" w:name="_Toc38437626"/>
      <w:bookmarkStart w:id="252" w:name="_Toc38437772"/>
      <w:bookmarkStart w:id="253" w:name="_Toc38437918"/>
      <w:bookmarkStart w:id="254" w:name="_Toc38438064"/>
      <w:bookmarkStart w:id="255" w:name="_Toc38438210"/>
      <w:bookmarkStart w:id="256" w:name="_Toc38438547"/>
      <w:bookmarkStart w:id="257" w:name="_Toc38438884"/>
      <w:bookmarkStart w:id="258" w:name="_Toc38439221"/>
      <w:bookmarkStart w:id="259" w:name="_Toc38439558"/>
      <w:bookmarkStart w:id="260" w:name="_Toc38439895"/>
      <w:bookmarkStart w:id="261" w:name="_Toc38440232"/>
      <w:bookmarkStart w:id="262" w:name="_Toc38440569"/>
      <w:bookmarkStart w:id="263" w:name="_Toc38440768"/>
      <w:bookmarkStart w:id="264" w:name="_Toc38441101"/>
      <w:bookmarkStart w:id="265" w:name="_Toc38441433"/>
      <w:bookmarkStart w:id="266" w:name="_Toc38441765"/>
      <w:bookmarkStart w:id="267" w:name="_Toc38442093"/>
      <w:bookmarkStart w:id="268" w:name="_Toc38442425"/>
      <w:bookmarkStart w:id="269" w:name="_Toc38442757"/>
      <w:bookmarkStart w:id="270" w:name="_Toc38443088"/>
      <w:bookmarkStart w:id="271" w:name="_Toc38443419"/>
      <w:bookmarkStart w:id="272" w:name="_Toc38443750"/>
      <w:bookmarkStart w:id="273" w:name="_Toc38433500"/>
      <w:bookmarkStart w:id="274" w:name="_Toc38433635"/>
      <w:bookmarkStart w:id="275" w:name="_Toc38433769"/>
      <w:bookmarkStart w:id="276" w:name="_Toc38433919"/>
      <w:bookmarkStart w:id="277" w:name="_Toc38434067"/>
      <w:bookmarkStart w:id="278" w:name="_Toc38434215"/>
      <w:bookmarkStart w:id="279" w:name="_Toc38434361"/>
      <w:bookmarkStart w:id="280" w:name="_Toc38434504"/>
      <w:bookmarkStart w:id="281" w:name="_Toc38434647"/>
      <w:bookmarkStart w:id="282" w:name="_Toc38434790"/>
      <w:bookmarkStart w:id="283" w:name="_Toc38434934"/>
      <w:bookmarkStart w:id="284" w:name="_Toc38437630"/>
      <w:bookmarkStart w:id="285" w:name="_Toc38437776"/>
      <w:bookmarkStart w:id="286" w:name="_Toc38437922"/>
      <w:bookmarkStart w:id="287" w:name="_Toc38438068"/>
      <w:bookmarkStart w:id="288" w:name="_Toc38438214"/>
      <w:bookmarkStart w:id="289" w:name="_Toc38438551"/>
      <w:bookmarkStart w:id="290" w:name="_Toc38438888"/>
      <w:bookmarkStart w:id="291" w:name="_Toc38439225"/>
      <w:bookmarkStart w:id="292" w:name="_Toc38439562"/>
      <w:bookmarkStart w:id="293" w:name="_Toc38439899"/>
      <w:bookmarkStart w:id="294" w:name="_Toc38440236"/>
      <w:bookmarkStart w:id="295" w:name="_Toc38440573"/>
      <w:bookmarkStart w:id="296" w:name="_Toc38440772"/>
      <w:bookmarkStart w:id="297" w:name="_Toc38441105"/>
      <w:bookmarkStart w:id="298" w:name="_Toc38441437"/>
      <w:bookmarkStart w:id="299" w:name="_Toc38441769"/>
      <w:bookmarkStart w:id="300" w:name="_Toc38442097"/>
      <w:bookmarkStart w:id="301" w:name="_Toc38442429"/>
      <w:bookmarkStart w:id="302" w:name="_Toc38442761"/>
      <w:bookmarkStart w:id="303" w:name="_Toc38443092"/>
      <w:bookmarkStart w:id="304" w:name="_Toc38443423"/>
      <w:bookmarkStart w:id="305" w:name="_Toc38443754"/>
      <w:bookmarkStart w:id="306" w:name="_Toc38433501"/>
      <w:bookmarkStart w:id="307" w:name="_Toc38433636"/>
      <w:bookmarkStart w:id="308" w:name="_Toc38433770"/>
      <w:bookmarkStart w:id="309" w:name="_Toc38433920"/>
      <w:bookmarkStart w:id="310" w:name="_Toc38434068"/>
      <w:bookmarkStart w:id="311" w:name="_Toc38434216"/>
      <w:bookmarkStart w:id="312" w:name="_Toc38434362"/>
      <w:bookmarkStart w:id="313" w:name="_Toc38434505"/>
      <w:bookmarkStart w:id="314" w:name="_Toc38434648"/>
      <w:bookmarkStart w:id="315" w:name="_Toc38434791"/>
      <w:bookmarkStart w:id="316" w:name="_Toc38434935"/>
      <w:bookmarkStart w:id="317" w:name="_Toc38437631"/>
      <w:bookmarkStart w:id="318" w:name="_Toc38437777"/>
      <w:bookmarkStart w:id="319" w:name="_Toc38437923"/>
      <w:bookmarkStart w:id="320" w:name="_Toc38438069"/>
      <w:bookmarkStart w:id="321" w:name="_Toc38438215"/>
      <w:bookmarkStart w:id="322" w:name="_Toc38438552"/>
      <w:bookmarkStart w:id="323" w:name="_Toc38438889"/>
      <w:bookmarkStart w:id="324" w:name="_Toc38439226"/>
      <w:bookmarkStart w:id="325" w:name="_Toc38439563"/>
      <w:bookmarkStart w:id="326" w:name="_Toc38439900"/>
      <w:bookmarkStart w:id="327" w:name="_Toc38440237"/>
      <w:bookmarkStart w:id="328" w:name="_Toc38440574"/>
      <w:bookmarkStart w:id="329" w:name="_Toc38440773"/>
      <w:bookmarkStart w:id="330" w:name="_Toc38441106"/>
      <w:bookmarkStart w:id="331" w:name="_Toc38441438"/>
      <w:bookmarkStart w:id="332" w:name="_Toc38441770"/>
      <w:bookmarkStart w:id="333" w:name="_Toc38442098"/>
      <w:bookmarkStart w:id="334" w:name="_Toc38442430"/>
      <w:bookmarkStart w:id="335" w:name="_Toc38442762"/>
      <w:bookmarkStart w:id="336" w:name="_Toc38443093"/>
      <w:bookmarkStart w:id="337" w:name="_Toc38443424"/>
      <w:bookmarkStart w:id="338" w:name="_Toc38443755"/>
      <w:bookmarkStart w:id="339" w:name="_Toc38433502"/>
      <w:bookmarkStart w:id="340" w:name="_Toc38433637"/>
      <w:bookmarkStart w:id="341" w:name="_Toc38433771"/>
      <w:bookmarkStart w:id="342" w:name="_Toc38433921"/>
      <w:bookmarkStart w:id="343" w:name="_Toc38434069"/>
      <w:bookmarkStart w:id="344" w:name="_Toc38434217"/>
      <w:bookmarkStart w:id="345" w:name="_Toc38434363"/>
      <w:bookmarkStart w:id="346" w:name="_Toc38434506"/>
      <w:bookmarkStart w:id="347" w:name="_Toc38434649"/>
      <w:bookmarkStart w:id="348" w:name="_Toc38434792"/>
      <w:bookmarkStart w:id="349" w:name="_Toc38434936"/>
      <w:bookmarkStart w:id="350" w:name="_Toc38437632"/>
      <w:bookmarkStart w:id="351" w:name="_Toc38437778"/>
      <w:bookmarkStart w:id="352" w:name="_Toc38437924"/>
      <w:bookmarkStart w:id="353" w:name="_Toc38438070"/>
      <w:bookmarkStart w:id="354" w:name="_Toc38438216"/>
      <w:bookmarkStart w:id="355" w:name="_Toc38438553"/>
      <w:bookmarkStart w:id="356" w:name="_Toc38438890"/>
      <w:bookmarkStart w:id="357" w:name="_Toc38439227"/>
      <w:bookmarkStart w:id="358" w:name="_Toc38439564"/>
      <w:bookmarkStart w:id="359" w:name="_Toc38439901"/>
      <w:bookmarkStart w:id="360" w:name="_Toc38440238"/>
      <w:bookmarkStart w:id="361" w:name="_Toc38440575"/>
      <w:bookmarkStart w:id="362" w:name="_Toc38440774"/>
      <w:bookmarkStart w:id="363" w:name="_Toc38441107"/>
      <w:bookmarkStart w:id="364" w:name="_Toc38441439"/>
      <w:bookmarkStart w:id="365" w:name="_Toc38441771"/>
      <w:bookmarkStart w:id="366" w:name="_Toc38442099"/>
      <w:bookmarkStart w:id="367" w:name="_Toc38442431"/>
      <w:bookmarkStart w:id="368" w:name="_Toc38442763"/>
      <w:bookmarkStart w:id="369" w:name="_Toc38443094"/>
      <w:bookmarkStart w:id="370" w:name="_Toc38443425"/>
      <w:bookmarkStart w:id="371" w:name="_Toc38443756"/>
      <w:bookmarkStart w:id="372" w:name="_Toc38433503"/>
      <w:bookmarkStart w:id="373" w:name="_Toc38433638"/>
      <w:bookmarkStart w:id="374" w:name="_Toc38433772"/>
      <w:bookmarkStart w:id="375" w:name="_Toc38433922"/>
      <w:bookmarkStart w:id="376" w:name="_Toc38434070"/>
      <w:bookmarkStart w:id="377" w:name="_Toc38434218"/>
      <w:bookmarkStart w:id="378" w:name="_Toc38434364"/>
      <w:bookmarkStart w:id="379" w:name="_Toc38434507"/>
      <w:bookmarkStart w:id="380" w:name="_Toc38434650"/>
      <w:bookmarkStart w:id="381" w:name="_Toc38434793"/>
      <w:bookmarkStart w:id="382" w:name="_Toc38434937"/>
      <w:bookmarkStart w:id="383" w:name="_Toc38437633"/>
      <w:bookmarkStart w:id="384" w:name="_Toc38437779"/>
      <w:bookmarkStart w:id="385" w:name="_Toc38437925"/>
      <w:bookmarkStart w:id="386" w:name="_Toc38438071"/>
      <w:bookmarkStart w:id="387" w:name="_Toc38438217"/>
      <w:bookmarkStart w:id="388" w:name="_Toc38438554"/>
      <w:bookmarkStart w:id="389" w:name="_Toc38438891"/>
      <w:bookmarkStart w:id="390" w:name="_Toc38439228"/>
      <w:bookmarkStart w:id="391" w:name="_Toc38439565"/>
      <w:bookmarkStart w:id="392" w:name="_Toc38439902"/>
      <w:bookmarkStart w:id="393" w:name="_Toc38440239"/>
      <w:bookmarkStart w:id="394" w:name="_Toc38440576"/>
      <w:bookmarkStart w:id="395" w:name="_Toc38440775"/>
      <w:bookmarkStart w:id="396" w:name="_Toc38441108"/>
      <w:bookmarkStart w:id="397" w:name="_Toc38441440"/>
      <w:bookmarkStart w:id="398" w:name="_Toc38441772"/>
      <w:bookmarkStart w:id="399" w:name="_Toc38442100"/>
      <w:bookmarkStart w:id="400" w:name="_Toc38442432"/>
      <w:bookmarkStart w:id="401" w:name="_Toc38442764"/>
      <w:bookmarkStart w:id="402" w:name="_Toc38443095"/>
      <w:bookmarkStart w:id="403" w:name="_Toc38443426"/>
      <w:bookmarkStart w:id="404" w:name="_Toc38443757"/>
      <w:bookmarkStart w:id="405" w:name="_Toc38433504"/>
      <w:bookmarkStart w:id="406" w:name="_Toc38433639"/>
      <w:bookmarkStart w:id="407" w:name="_Toc38433773"/>
      <w:bookmarkStart w:id="408" w:name="_Toc38433923"/>
      <w:bookmarkStart w:id="409" w:name="_Toc38434071"/>
      <w:bookmarkStart w:id="410" w:name="_Toc38434219"/>
      <w:bookmarkStart w:id="411" w:name="_Toc38434365"/>
      <w:bookmarkStart w:id="412" w:name="_Toc38434508"/>
      <w:bookmarkStart w:id="413" w:name="_Toc38434651"/>
      <w:bookmarkStart w:id="414" w:name="_Toc38434794"/>
      <w:bookmarkStart w:id="415" w:name="_Toc38434938"/>
      <w:bookmarkStart w:id="416" w:name="_Toc38437634"/>
      <w:bookmarkStart w:id="417" w:name="_Toc38437780"/>
      <w:bookmarkStart w:id="418" w:name="_Toc38437926"/>
      <w:bookmarkStart w:id="419" w:name="_Toc38438072"/>
      <w:bookmarkStart w:id="420" w:name="_Toc38438218"/>
      <w:bookmarkStart w:id="421" w:name="_Toc38438555"/>
      <w:bookmarkStart w:id="422" w:name="_Toc38438892"/>
      <w:bookmarkStart w:id="423" w:name="_Toc38439229"/>
      <w:bookmarkStart w:id="424" w:name="_Toc38439566"/>
      <w:bookmarkStart w:id="425" w:name="_Toc38439903"/>
      <w:bookmarkStart w:id="426" w:name="_Toc38440240"/>
      <w:bookmarkStart w:id="427" w:name="_Toc38440577"/>
      <w:bookmarkStart w:id="428" w:name="_Toc38440776"/>
      <w:bookmarkStart w:id="429" w:name="_Toc38441109"/>
      <w:bookmarkStart w:id="430" w:name="_Toc38441441"/>
      <w:bookmarkStart w:id="431" w:name="_Toc38441773"/>
      <w:bookmarkStart w:id="432" w:name="_Toc38442101"/>
      <w:bookmarkStart w:id="433" w:name="_Toc38442433"/>
      <w:bookmarkStart w:id="434" w:name="_Toc38442765"/>
      <w:bookmarkStart w:id="435" w:name="_Toc38443096"/>
      <w:bookmarkStart w:id="436" w:name="_Toc38443427"/>
      <w:bookmarkStart w:id="437" w:name="_Toc38443758"/>
      <w:bookmarkStart w:id="438" w:name="_Toc38433505"/>
      <w:bookmarkStart w:id="439" w:name="_Toc38433640"/>
      <w:bookmarkStart w:id="440" w:name="_Toc38433774"/>
      <w:bookmarkStart w:id="441" w:name="_Toc38433924"/>
      <w:bookmarkStart w:id="442" w:name="_Toc38434072"/>
      <w:bookmarkStart w:id="443" w:name="_Toc38434220"/>
      <w:bookmarkStart w:id="444" w:name="_Toc38434366"/>
      <w:bookmarkStart w:id="445" w:name="_Toc38434509"/>
      <w:bookmarkStart w:id="446" w:name="_Toc38434652"/>
      <w:bookmarkStart w:id="447" w:name="_Toc38434795"/>
      <w:bookmarkStart w:id="448" w:name="_Toc38434939"/>
      <w:bookmarkStart w:id="449" w:name="_Toc38437635"/>
      <w:bookmarkStart w:id="450" w:name="_Toc38437781"/>
      <w:bookmarkStart w:id="451" w:name="_Toc38437927"/>
      <w:bookmarkStart w:id="452" w:name="_Toc38438073"/>
      <w:bookmarkStart w:id="453" w:name="_Toc38438219"/>
      <w:bookmarkStart w:id="454" w:name="_Toc38438556"/>
      <w:bookmarkStart w:id="455" w:name="_Toc38438893"/>
      <w:bookmarkStart w:id="456" w:name="_Toc38439230"/>
      <w:bookmarkStart w:id="457" w:name="_Toc38439567"/>
      <w:bookmarkStart w:id="458" w:name="_Toc38439904"/>
      <w:bookmarkStart w:id="459" w:name="_Toc38440241"/>
      <w:bookmarkStart w:id="460" w:name="_Toc38440578"/>
      <w:bookmarkStart w:id="461" w:name="_Toc38440777"/>
      <w:bookmarkStart w:id="462" w:name="_Toc38441110"/>
      <w:bookmarkStart w:id="463" w:name="_Toc38441442"/>
      <w:bookmarkStart w:id="464" w:name="_Toc38441774"/>
      <w:bookmarkStart w:id="465" w:name="_Toc38442102"/>
      <w:bookmarkStart w:id="466" w:name="_Toc38442434"/>
      <w:bookmarkStart w:id="467" w:name="_Toc38442766"/>
      <w:bookmarkStart w:id="468" w:name="_Toc38443097"/>
      <w:bookmarkStart w:id="469" w:name="_Toc38443428"/>
      <w:bookmarkStart w:id="470" w:name="_Toc38443759"/>
      <w:bookmarkStart w:id="471" w:name="_Toc38433506"/>
      <w:bookmarkStart w:id="472" w:name="_Toc38433641"/>
      <w:bookmarkStart w:id="473" w:name="_Toc38433775"/>
      <w:bookmarkStart w:id="474" w:name="_Toc38433925"/>
      <w:bookmarkStart w:id="475" w:name="_Toc38434073"/>
      <w:bookmarkStart w:id="476" w:name="_Toc38434221"/>
      <w:bookmarkStart w:id="477" w:name="_Toc38434367"/>
      <w:bookmarkStart w:id="478" w:name="_Toc38434510"/>
      <w:bookmarkStart w:id="479" w:name="_Toc38434653"/>
      <w:bookmarkStart w:id="480" w:name="_Toc38434796"/>
      <w:bookmarkStart w:id="481" w:name="_Toc38434940"/>
      <w:bookmarkStart w:id="482" w:name="_Toc38437636"/>
      <w:bookmarkStart w:id="483" w:name="_Toc38437782"/>
      <w:bookmarkStart w:id="484" w:name="_Toc38437928"/>
      <w:bookmarkStart w:id="485" w:name="_Toc38438074"/>
      <w:bookmarkStart w:id="486" w:name="_Toc38438220"/>
      <w:bookmarkStart w:id="487" w:name="_Toc38438557"/>
      <w:bookmarkStart w:id="488" w:name="_Toc38438894"/>
      <w:bookmarkStart w:id="489" w:name="_Toc38439231"/>
      <w:bookmarkStart w:id="490" w:name="_Toc38439568"/>
      <w:bookmarkStart w:id="491" w:name="_Toc38439905"/>
      <w:bookmarkStart w:id="492" w:name="_Toc38440242"/>
      <w:bookmarkStart w:id="493" w:name="_Toc38440579"/>
      <w:bookmarkStart w:id="494" w:name="_Toc38440778"/>
      <w:bookmarkStart w:id="495" w:name="_Toc38441111"/>
      <w:bookmarkStart w:id="496" w:name="_Toc38441443"/>
      <w:bookmarkStart w:id="497" w:name="_Toc38441775"/>
      <w:bookmarkStart w:id="498" w:name="_Toc38442103"/>
      <w:bookmarkStart w:id="499" w:name="_Toc38442435"/>
      <w:bookmarkStart w:id="500" w:name="_Toc38442767"/>
      <w:bookmarkStart w:id="501" w:name="_Toc38443098"/>
      <w:bookmarkStart w:id="502" w:name="_Toc38443429"/>
      <w:bookmarkStart w:id="503" w:name="_Toc38443760"/>
      <w:bookmarkStart w:id="504" w:name="_Toc38433507"/>
      <w:bookmarkStart w:id="505" w:name="_Toc38433642"/>
      <w:bookmarkStart w:id="506" w:name="_Toc38433776"/>
      <w:bookmarkStart w:id="507" w:name="_Toc38433926"/>
      <w:bookmarkStart w:id="508" w:name="_Toc38434074"/>
      <w:bookmarkStart w:id="509" w:name="_Toc38434222"/>
      <w:bookmarkStart w:id="510" w:name="_Toc38434368"/>
      <w:bookmarkStart w:id="511" w:name="_Toc38434511"/>
      <w:bookmarkStart w:id="512" w:name="_Toc38434654"/>
      <w:bookmarkStart w:id="513" w:name="_Toc38434797"/>
      <w:bookmarkStart w:id="514" w:name="_Toc38434941"/>
      <w:bookmarkStart w:id="515" w:name="_Toc38437637"/>
      <w:bookmarkStart w:id="516" w:name="_Toc38437783"/>
      <w:bookmarkStart w:id="517" w:name="_Toc38437929"/>
      <w:bookmarkStart w:id="518" w:name="_Toc38438075"/>
      <w:bookmarkStart w:id="519" w:name="_Toc38438221"/>
      <w:bookmarkStart w:id="520" w:name="_Toc38438558"/>
      <w:bookmarkStart w:id="521" w:name="_Toc38438895"/>
      <w:bookmarkStart w:id="522" w:name="_Toc38439232"/>
      <w:bookmarkStart w:id="523" w:name="_Toc38439569"/>
      <w:bookmarkStart w:id="524" w:name="_Toc38439906"/>
      <w:bookmarkStart w:id="525" w:name="_Toc38440243"/>
      <w:bookmarkStart w:id="526" w:name="_Toc38440580"/>
      <w:bookmarkStart w:id="527" w:name="_Toc38440779"/>
      <w:bookmarkStart w:id="528" w:name="_Toc38441112"/>
      <w:bookmarkStart w:id="529" w:name="_Toc38441444"/>
      <w:bookmarkStart w:id="530" w:name="_Toc38441776"/>
      <w:bookmarkStart w:id="531" w:name="_Toc38442104"/>
      <w:bookmarkStart w:id="532" w:name="_Toc38442436"/>
      <w:bookmarkStart w:id="533" w:name="_Toc38442768"/>
      <w:bookmarkStart w:id="534" w:name="_Toc38443099"/>
      <w:bookmarkStart w:id="535" w:name="_Toc38443430"/>
      <w:bookmarkStart w:id="536" w:name="_Toc38443761"/>
      <w:bookmarkStart w:id="537" w:name="_Toc38433508"/>
      <w:bookmarkStart w:id="538" w:name="_Toc38433643"/>
      <w:bookmarkStart w:id="539" w:name="_Toc38433777"/>
      <w:bookmarkStart w:id="540" w:name="_Toc38433927"/>
      <w:bookmarkStart w:id="541" w:name="_Toc38434075"/>
      <w:bookmarkStart w:id="542" w:name="_Toc38434223"/>
      <w:bookmarkStart w:id="543" w:name="_Toc38434369"/>
      <w:bookmarkStart w:id="544" w:name="_Toc38434512"/>
      <w:bookmarkStart w:id="545" w:name="_Toc38434655"/>
      <w:bookmarkStart w:id="546" w:name="_Toc38434798"/>
      <w:bookmarkStart w:id="547" w:name="_Toc38434942"/>
      <w:bookmarkStart w:id="548" w:name="_Toc38437638"/>
      <w:bookmarkStart w:id="549" w:name="_Toc38437784"/>
      <w:bookmarkStart w:id="550" w:name="_Toc38437930"/>
      <w:bookmarkStart w:id="551" w:name="_Toc38438076"/>
      <w:bookmarkStart w:id="552" w:name="_Toc38438222"/>
      <w:bookmarkStart w:id="553" w:name="_Toc38438559"/>
      <w:bookmarkStart w:id="554" w:name="_Toc38438896"/>
      <w:bookmarkStart w:id="555" w:name="_Toc38439233"/>
      <w:bookmarkStart w:id="556" w:name="_Toc38439570"/>
      <w:bookmarkStart w:id="557" w:name="_Toc38439907"/>
      <w:bookmarkStart w:id="558" w:name="_Toc38440244"/>
      <w:bookmarkStart w:id="559" w:name="_Toc38440581"/>
      <w:bookmarkStart w:id="560" w:name="_Toc38440780"/>
      <w:bookmarkStart w:id="561" w:name="_Toc38441113"/>
      <w:bookmarkStart w:id="562" w:name="_Toc38441445"/>
      <w:bookmarkStart w:id="563" w:name="_Toc38441777"/>
      <w:bookmarkStart w:id="564" w:name="_Toc38442105"/>
      <w:bookmarkStart w:id="565" w:name="_Toc38442437"/>
      <w:bookmarkStart w:id="566" w:name="_Toc38442769"/>
      <w:bookmarkStart w:id="567" w:name="_Toc38443100"/>
      <w:bookmarkStart w:id="568" w:name="_Toc38443431"/>
      <w:bookmarkStart w:id="569" w:name="_Toc38443762"/>
      <w:bookmarkStart w:id="570" w:name="_Toc38433510"/>
      <w:bookmarkStart w:id="571" w:name="_Toc38433645"/>
      <w:bookmarkStart w:id="572" w:name="_Toc38433779"/>
      <w:bookmarkStart w:id="573" w:name="_Toc38433929"/>
      <w:bookmarkStart w:id="574" w:name="_Toc38434077"/>
      <w:bookmarkStart w:id="575" w:name="_Toc38434225"/>
      <w:bookmarkStart w:id="576" w:name="_Toc38434371"/>
      <w:bookmarkStart w:id="577" w:name="_Toc38434514"/>
      <w:bookmarkStart w:id="578" w:name="_Toc38434657"/>
      <w:bookmarkStart w:id="579" w:name="_Toc38434800"/>
      <w:bookmarkStart w:id="580" w:name="_Toc38434944"/>
      <w:bookmarkStart w:id="581" w:name="_Toc38437640"/>
      <w:bookmarkStart w:id="582" w:name="_Toc38437786"/>
      <w:bookmarkStart w:id="583" w:name="_Toc38437932"/>
      <w:bookmarkStart w:id="584" w:name="_Toc38438078"/>
      <w:bookmarkStart w:id="585" w:name="_Toc38438224"/>
      <w:bookmarkStart w:id="586" w:name="_Toc38438561"/>
      <w:bookmarkStart w:id="587" w:name="_Toc38438898"/>
      <w:bookmarkStart w:id="588" w:name="_Toc38439235"/>
      <w:bookmarkStart w:id="589" w:name="_Toc38439572"/>
      <w:bookmarkStart w:id="590" w:name="_Toc38439909"/>
      <w:bookmarkStart w:id="591" w:name="_Toc38440246"/>
      <w:bookmarkStart w:id="592" w:name="_Toc38440583"/>
      <w:bookmarkStart w:id="593" w:name="_Toc38440782"/>
      <w:bookmarkStart w:id="594" w:name="_Toc38441115"/>
      <w:bookmarkStart w:id="595" w:name="_Toc38441447"/>
      <w:bookmarkStart w:id="596" w:name="_Toc38441779"/>
      <w:bookmarkStart w:id="597" w:name="_Toc38442107"/>
      <w:bookmarkStart w:id="598" w:name="_Toc38442439"/>
      <w:bookmarkStart w:id="599" w:name="_Toc38442771"/>
      <w:bookmarkStart w:id="600" w:name="_Toc38443102"/>
      <w:bookmarkStart w:id="601" w:name="_Toc38443433"/>
      <w:bookmarkStart w:id="602" w:name="_Toc38443764"/>
      <w:bookmarkStart w:id="603" w:name="_Toc13148353"/>
      <w:bookmarkStart w:id="604" w:name="_Toc13150581"/>
      <w:bookmarkStart w:id="605" w:name="_Toc13291966"/>
      <w:bookmarkStart w:id="606" w:name="_Toc13504692"/>
      <w:bookmarkStart w:id="607" w:name="_Toc13504808"/>
      <w:bookmarkStart w:id="608" w:name="_Toc13556301"/>
      <w:bookmarkStart w:id="609" w:name="_Toc14337423"/>
      <w:bookmarkStart w:id="610" w:name="_Toc13148354"/>
      <w:bookmarkStart w:id="611" w:name="_Toc13150582"/>
      <w:bookmarkStart w:id="612" w:name="_Toc13291967"/>
      <w:bookmarkStart w:id="613" w:name="_Toc13504693"/>
      <w:bookmarkStart w:id="614" w:name="_Toc13504809"/>
      <w:bookmarkStart w:id="615" w:name="_Toc13556302"/>
      <w:bookmarkStart w:id="616" w:name="_Toc14337424"/>
      <w:bookmarkStart w:id="617" w:name="_Toc13148355"/>
      <w:bookmarkStart w:id="618" w:name="_Toc13150583"/>
      <w:bookmarkStart w:id="619" w:name="_Toc13291968"/>
      <w:bookmarkStart w:id="620" w:name="_Toc13504694"/>
      <w:bookmarkStart w:id="621" w:name="_Toc13504810"/>
      <w:bookmarkStart w:id="622" w:name="_Toc13556303"/>
      <w:bookmarkStart w:id="623" w:name="_Toc14337425"/>
      <w:bookmarkStart w:id="624" w:name="_Toc13148356"/>
      <w:bookmarkStart w:id="625" w:name="_Toc13150584"/>
      <w:bookmarkStart w:id="626" w:name="_Toc13291969"/>
      <w:bookmarkStart w:id="627" w:name="_Toc13504695"/>
      <w:bookmarkStart w:id="628" w:name="_Toc13504811"/>
      <w:bookmarkStart w:id="629" w:name="_Toc13556304"/>
      <w:bookmarkStart w:id="630" w:name="_Toc14337426"/>
      <w:bookmarkStart w:id="631" w:name="_Toc13148357"/>
      <w:bookmarkStart w:id="632" w:name="_Toc13150585"/>
      <w:bookmarkStart w:id="633" w:name="_Toc13291970"/>
      <w:bookmarkStart w:id="634" w:name="_Toc13504696"/>
      <w:bookmarkStart w:id="635" w:name="_Toc13504812"/>
      <w:bookmarkStart w:id="636" w:name="_Toc13556305"/>
      <w:bookmarkStart w:id="637" w:name="_Toc14337427"/>
      <w:bookmarkStart w:id="638" w:name="_Toc13148358"/>
      <w:bookmarkStart w:id="639" w:name="_Toc13150586"/>
      <w:bookmarkStart w:id="640" w:name="_Toc13291971"/>
      <w:bookmarkStart w:id="641" w:name="_Toc13504697"/>
      <w:bookmarkStart w:id="642" w:name="_Toc13504813"/>
      <w:bookmarkStart w:id="643" w:name="_Toc13556306"/>
      <w:bookmarkStart w:id="644" w:name="_Toc14337428"/>
      <w:bookmarkStart w:id="645" w:name="_Toc13148359"/>
      <w:bookmarkStart w:id="646" w:name="_Toc13150587"/>
      <w:bookmarkStart w:id="647" w:name="_Toc13291972"/>
      <w:bookmarkStart w:id="648" w:name="_Toc13504698"/>
      <w:bookmarkStart w:id="649" w:name="_Toc13504814"/>
      <w:bookmarkStart w:id="650" w:name="_Toc13556307"/>
      <w:bookmarkStart w:id="651" w:name="_Toc14337429"/>
      <w:bookmarkStart w:id="652" w:name="_Toc13148360"/>
      <w:bookmarkStart w:id="653" w:name="_Toc13150588"/>
      <w:bookmarkStart w:id="654" w:name="_Toc13291973"/>
      <w:bookmarkStart w:id="655" w:name="_Toc13504699"/>
      <w:bookmarkStart w:id="656" w:name="_Toc13504815"/>
      <w:bookmarkStart w:id="657" w:name="_Toc13556308"/>
      <w:bookmarkStart w:id="658" w:name="_Toc14337430"/>
      <w:bookmarkStart w:id="659" w:name="_Toc13148361"/>
      <w:bookmarkStart w:id="660" w:name="_Toc13150589"/>
      <w:bookmarkStart w:id="661" w:name="_Toc13291974"/>
      <w:bookmarkStart w:id="662" w:name="_Toc13504700"/>
      <w:bookmarkStart w:id="663" w:name="_Toc13504816"/>
      <w:bookmarkStart w:id="664" w:name="_Toc13556309"/>
      <w:bookmarkStart w:id="665" w:name="_Toc14337431"/>
      <w:bookmarkStart w:id="666" w:name="_Toc13148362"/>
      <w:bookmarkStart w:id="667" w:name="_Toc13150590"/>
      <w:bookmarkStart w:id="668" w:name="_Toc13291975"/>
      <w:bookmarkStart w:id="669" w:name="_Toc13504701"/>
      <w:bookmarkStart w:id="670" w:name="_Toc13504817"/>
      <w:bookmarkStart w:id="671" w:name="_Toc13556310"/>
      <w:bookmarkStart w:id="672" w:name="_Toc14337432"/>
      <w:bookmarkStart w:id="673" w:name="_Toc13148369"/>
      <w:bookmarkStart w:id="674" w:name="_Toc13150597"/>
      <w:bookmarkStart w:id="675" w:name="_Toc13291982"/>
      <w:bookmarkStart w:id="676" w:name="_Toc13504708"/>
      <w:bookmarkStart w:id="677" w:name="_Toc13504824"/>
      <w:bookmarkStart w:id="678" w:name="_Toc13556317"/>
      <w:bookmarkStart w:id="679" w:name="_Toc14337439"/>
      <w:bookmarkStart w:id="680" w:name="_Toc13148370"/>
      <w:bookmarkStart w:id="681" w:name="_Toc13150598"/>
      <w:bookmarkStart w:id="682" w:name="_Toc13291983"/>
      <w:bookmarkStart w:id="683" w:name="_Toc13504709"/>
      <w:bookmarkStart w:id="684" w:name="_Toc13504825"/>
      <w:bookmarkStart w:id="685" w:name="_Toc13556318"/>
      <w:bookmarkStart w:id="686" w:name="_Toc14337440"/>
      <w:bookmarkStart w:id="687" w:name="_Toc13148371"/>
      <w:bookmarkStart w:id="688" w:name="_Toc13150599"/>
      <w:bookmarkStart w:id="689" w:name="_Toc13291984"/>
      <w:bookmarkStart w:id="690" w:name="_Toc13504710"/>
      <w:bookmarkStart w:id="691" w:name="_Toc13504826"/>
      <w:bookmarkStart w:id="692" w:name="_Toc13556319"/>
      <w:bookmarkStart w:id="693" w:name="_Toc14337441"/>
      <w:bookmarkStart w:id="694" w:name="_Toc13148372"/>
      <w:bookmarkStart w:id="695" w:name="_Toc13150600"/>
      <w:bookmarkStart w:id="696" w:name="_Toc13291985"/>
      <w:bookmarkStart w:id="697" w:name="_Toc13504711"/>
      <w:bookmarkStart w:id="698" w:name="_Toc13504827"/>
      <w:bookmarkStart w:id="699" w:name="_Toc13556320"/>
      <w:bookmarkStart w:id="700" w:name="_Toc14337442"/>
      <w:bookmarkStart w:id="701" w:name="_Toc13148373"/>
      <w:bookmarkStart w:id="702" w:name="_Toc13150601"/>
      <w:bookmarkStart w:id="703" w:name="_Toc13291986"/>
      <w:bookmarkStart w:id="704" w:name="_Toc13504712"/>
      <w:bookmarkStart w:id="705" w:name="_Toc13504828"/>
      <w:bookmarkStart w:id="706" w:name="_Toc13556321"/>
      <w:bookmarkStart w:id="707" w:name="_Toc14337443"/>
      <w:bookmarkStart w:id="708" w:name="_Toc13148374"/>
      <w:bookmarkStart w:id="709" w:name="_Toc13150602"/>
      <w:bookmarkStart w:id="710" w:name="_Toc13291987"/>
      <w:bookmarkStart w:id="711" w:name="_Toc13504713"/>
      <w:bookmarkStart w:id="712" w:name="_Toc13504829"/>
      <w:bookmarkStart w:id="713" w:name="_Toc13556322"/>
      <w:bookmarkStart w:id="714" w:name="_Toc14337444"/>
      <w:bookmarkStart w:id="715" w:name="_Toc13148376"/>
      <w:bookmarkStart w:id="716" w:name="_Toc13150604"/>
      <w:bookmarkStart w:id="717" w:name="_Toc13291989"/>
      <w:bookmarkStart w:id="718" w:name="_Toc13504715"/>
      <w:bookmarkStart w:id="719" w:name="_Toc13504831"/>
      <w:bookmarkStart w:id="720" w:name="_Toc13556324"/>
      <w:bookmarkStart w:id="721" w:name="_Toc14337446"/>
      <w:bookmarkStart w:id="722" w:name="_Toc13148377"/>
      <w:bookmarkStart w:id="723" w:name="_Toc13150605"/>
      <w:bookmarkStart w:id="724" w:name="_Toc13291990"/>
      <w:bookmarkStart w:id="725" w:name="_Toc13504716"/>
      <w:bookmarkStart w:id="726" w:name="_Toc13504832"/>
      <w:bookmarkStart w:id="727" w:name="_Toc13556325"/>
      <w:bookmarkStart w:id="728" w:name="_Toc14337447"/>
      <w:bookmarkStart w:id="729" w:name="_Toc13148379"/>
      <w:bookmarkStart w:id="730" w:name="_Toc13150607"/>
      <w:bookmarkStart w:id="731" w:name="_Toc13291992"/>
      <w:bookmarkStart w:id="732" w:name="_Toc13504718"/>
      <w:bookmarkStart w:id="733" w:name="_Toc13504834"/>
      <w:bookmarkStart w:id="734" w:name="_Toc13556327"/>
      <w:bookmarkStart w:id="735" w:name="_Toc14337449"/>
      <w:bookmarkStart w:id="736" w:name="_Toc13148381"/>
      <w:bookmarkStart w:id="737" w:name="_Toc13150609"/>
      <w:bookmarkStart w:id="738" w:name="_Toc13291994"/>
      <w:bookmarkStart w:id="739" w:name="_Toc13504720"/>
      <w:bookmarkStart w:id="740" w:name="_Toc13504836"/>
      <w:bookmarkStart w:id="741" w:name="_Toc13556329"/>
      <w:bookmarkStart w:id="742" w:name="_Toc14337451"/>
      <w:bookmarkStart w:id="743" w:name="_Toc13148384"/>
      <w:bookmarkStart w:id="744" w:name="_Toc13150612"/>
      <w:bookmarkStart w:id="745" w:name="_Toc13291997"/>
      <w:bookmarkStart w:id="746" w:name="_Toc13504723"/>
      <w:bookmarkStart w:id="747" w:name="_Toc13504839"/>
      <w:bookmarkStart w:id="748" w:name="_Toc13556332"/>
      <w:bookmarkStart w:id="749" w:name="_Toc14337454"/>
      <w:bookmarkStart w:id="750" w:name="_Toc13148385"/>
      <w:bookmarkStart w:id="751" w:name="_Toc13150613"/>
      <w:bookmarkStart w:id="752" w:name="_Toc13291998"/>
      <w:bookmarkStart w:id="753" w:name="_Toc13504724"/>
      <w:bookmarkStart w:id="754" w:name="_Toc13504840"/>
      <w:bookmarkStart w:id="755" w:name="_Toc13556333"/>
      <w:bookmarkStart w:id="756" w:name="_Toc14337455"/>
      <w:bookmarkStart w:id="757" w:name="_Toc13148390"/>
      <w:bookmarkStart w:id="758" w:name="_Toc13150618"/>
      <w:bookmarkStart w:id="759" w:name="_Toc13292003"/>
      <w:bookmarkStart w:id="760" w:name="_Toc13504729"/>
      <w:bookmarkStart w:id="761" w:name="_Toc13504845"/>
      <w:bookmarkStart w:id="762" w:name="_Toc13556338"/>
      <w:bookmarkStart w:id="763" w:name="_Toc14337460"/>
      <w:bookmarkStart w:id="764" w:name="_Toc13148391"/>
      <w:bookmarkStart w:id="765" w:name="_Toc13150619"/>
      <w:bookmarkStart w:id="766" w:name="_Toc13292004"/>
      <w:bookmarkStart w:id="767" w:name="_Toc13504730"/>
      <w:bookmarkStart w:id="768" w:name="_Toc13504846"/>
      <w:bookmarkStart w:id="769" w:name="_Toc13556339"/>
      <w:bookmarkStart w:id="770" w:name="_Toc14337461"/>
      <w:bookmarkStart w:id="771" w:name="_Toc13148392"/>
      <w:bookmarkStart w:id="772" w:name="_Toc13150620"/>
      <w:bookmarkStart w:id="773" w:name="_Toc13292005"/>
      <w:bookmarkStart w:id="774" w:name="_Toc13504731"/>
      <w:bookmarkStart w:id="775" w:name="_Toc13504847"/>
      <w:bookmarkStart w:id="776" w:name="_Toc13556340"/>
      <w:bookmarkStart w:id="777" w:name="_Toc14337462"/>
      <w:bookmarkStart w:id="778" w:name="_Toc13148393"/>
      <w:bookmarkStart w:id="779" w:name="_Toc13150621"/>
      <w:bookmarkStart w:id="780" w:name="_Toc13292006"/>
      <w:bookmarkStart w:id="781" w:name="_Toc13504732"/>
      <w:bookmarkStart w:id="782" w:name="_Toc13504848"/>
      <w:bookmarkStart w:id="783" w:name="_Toc13556341"/>
      <w:bookmarkStart w:id="784" w:name="_Toc14337463"/>
      <w:bookmarkStart w:id="785" w:name="_Toc13148394"/>
      <w:bookmarkStart w:id="786" w:name="_Toc13150622"/>
      <w:bookmarkStart w:id="787" w:name="_Toc13292007"/>
      <w:bookmarkStart w:id="788" w:name="_Toc13504733"/>
      <w:bookmarkStart w:id="789" w:name="_Toc13504849"/>
      <w:bookmarkStart w:id="790" w:name="_Toc13556342"/>
      <w:bookmarkStart w:id="791" w:name="_Toc14337464"/>
      <w:bookmarkStart w:id="792" w:name="_Toc13148395"/>
      <w:bookmarkStart w:id="793" w:name="_Toc13150623"/>
      <w:bookmarkStart w:id="794" w:name="_Toc13292008"/>
      <w:bookmarkStart w:id="795" w:name="_Toc13504734"/>
      <w:bookmarkStart w:id="796" w:name="_Toc13504850"/>
      <w:bookmarkStart w:id="797" w:name="_Toc13556343"/>
      <w:bookmarkStart w:id="798" w:name="_Toc14337465"/>
      <w:bookmarkStart w:id="799" w:name="_Toc13148396"/>
      <w:bookmarkStart w:id="800" w:name="_Toc13150624"/>
      <w:bookmarkStart w:id="801" w:name="_Toc13292009"/>
      <w:bookmarkStart w:id="802" w:name="_Toc13504735"/>
      <w:bookmarkStart w:id="803" w:name="_Toc13504851"/>
      <w:bookmarkStart w:id="804" w:name="_Toc13556344"/>
      <w:bookmarkStart w:id="805" w:name="_Toc14337466"/>
      <w:bookmarkStart w:id="806" w:name="_Toc13148397"/>
      <w:bookmarkStart w:id="807" w:name="_Toc13150625"/>
      <w:bookmarkStart w:id="808" w:name="_Toc13292010"/>
      <w:bookmarkStart w:id="809" w:name="_Toc13504736"/>
      <w:bookmarkStart w:id="810" w:name="_Toc13504852"/>
      <w:bookmarkStart w:id="811" w:name="_Toc13556345"/>
      <w:bookmarkStart w:id="812" w:name="_Toc14337467"/>
      <w:bookmarkStart w:id="813" w:name="_Toc13148398"/>
      <w:bookmarkStart w:id="814" w:name="_Toc13150626"/>
      <w:bookmarkStart w:id="815" w:name="_Toc13292011"/>
      <w:bookmarkStart w:id="816" w:name="_Toc13504737"/>
      <w:bookmarkStart w:id="817" w:name="_Toc13504853"/>
      <w:bookmarkStart w:id="818" w:name="_Toc13556346"/>
      <w:bookmarkStart w:id="819" w:name="_Toc14337468"/>
      <w:bookmarkStart w:id="820" w:name="_Toc13148399"/>
      <w:bookmarkStart w:id="821" w:name="_Toc13150627"/>
      <w:bookmarkStart w:id="822" w:name="_Toc13292012"/>
      <w:bookmarkStart w:id="823" w:name="_Toc13504738"/>
      <w:bookmarkStart w:id="824" w:name="_Toc13504854"/>
      <w:bookmarkStart w:id="825" w:name="_Toc13556347"/>
      <w:bookmarkStart w:id="826" w:name="_Toc14337469"/>
      <w:bookmarkStart w:id="827" w:name="_Toc13148400"/>
      <w:bookmarkStart w:id="828" w:name="_Toc13150628"/>
      <w:bookmarkStart w:id="829" w:name="_Toc13292013"/>
      <w:bookmarkStart w:id="830" w:name="_Toc13504739"/>
      <w:bookmarkStart w:id="831" w:name="_Toc13504855"/>
      <w:bookmarkStart w:id="832" w:name="_Toc13556348"/>
      <w:bookmarkStart w:id="833" w:name="_Toc14337470"/>
      <w:bookmarkStart w:id="834" w:name="_Toc13148401"/>
      <w:bookmarkStart w:id="835" w:name="_Toc13150629"/>
      <w:bookmarkStart w:id="836" w:name="_Toc13292014"/>
      <w:bookmarkStart w:id="837" w:name="_Toc13504740"/>
      <w:bookmarkStart w:id="838" w:name="_Toc13504856"/>
      <w:bookmarkStart w:id="839" w:name="_Toc13556349"/>
      <w:bookmarkStart w:id="840" w:name="_Toc14337471"/>
      <w:bookmarkStart w:id="841" w:name="_Toc13148402"/>
      <w:bookmarkStart w:id="842" w:name="_Toc13150630"/>
      <w:bookmarkStart w:id="843" w:name="_Toc13292015"/>
      <w:bookmarkStart w:id="844" w:name="_Toc13504741"/>
      <w:bookmarkStart w:id="845" w:name="_Toc13504857"/>
      <w:bookmarkStart w:id="846" w:name="_Toc13556350"/>
      <w:bookmarkStart w:id="847" w:name="_Toc14337472"/>
      <w:bookmarkStart w:id="848" w:name="_Toc13148408"/>
      <w:bookmarkStart w:id="849" w:name="_Toc13150636"/>
      <w:bookmarkStart w:id="850" w:name="_Toc13292021"/>
      <w:bookmarkStart w:id="851" w:name="_Toc13504747"/>
      <w:bookmarkStart w:id="852" w:name="_Toc13504863"/>
      <w:bookmarkStart w:id="853" w:name="_Toc13556356"/>
      <w:bookmarkStart w:id="854" w:name="_Toc14337478"/>
      <w:bookmarkStart w:id="855" w:name="_Toc13148409"/>
      <w:bookmarkStart w:id="856" w:name="_Toc13150637"/>
      <w:bookmarkStart w:id="857" w:name="_Toc13292022"/>
      <w:bookmarkStart w:id="858" w:name="_Toc13504748"/>
      <w:bookmarkStart w:id="859" w:name="_Toc13504864"/>
      <w:bookmarkStart w:id="860" w:name="_Toc13556357"/>
      <w:bookmarkStart w:id="861" w:name="_Toc14337479"/>
      <w:bookmarkStart w:id="862" w:name="_Toc13148411"/>
      <w:bookmarkStart w:id="863" w:name="_Toc13150639"/>
      <w:bookmarkStart w:id="864" w:name="_Toc13292024"/>
      <w:bookmarkStart w:id="865" w:name="_Toc13504750"/>
      <w:bookmarkStart w:id="866" w:name="_Toc13504866"/>
      <w:bookmarkStart w:id="867" w:name="_Toc13556359"/>
      <w:bookmarkStart w:id="868" w:name="_Toc14337481"/>
      <w:bookmarkStart w:id="869" w:name="_Toc13148412"/>
      <w:bookmarkStart w:id="870" w:name="_Toc13150640"/>
      <w:bookmarkStart w:id="871" w:name="_Toc13292025"/>
      <w:bookmarkStart w:id="872" w:name="_Toc13504751"/>
      <w:bookmarkStart w:id="873" w:name="_Toc13504867"/>
      <w:bookmarkStart w:id="874" w:name="_Toc13556360"/>
      <w:bookmarkStart w:id="875" w:name="_Toc14337482"/>
      <w:bookmarkStart w:id="876" w:name="_Toc13148413"/>
      <w:bookmarkStart w:id="877" w:name="_Toc13150641"/>
      <w:bookmarkStart w:id="878" w:name="_Toc13292026"/>
      <w:bookmarkStart w:id="879" w:name="_Toc13504752"/>
      <w:bookmarkStart w:id="880" w:name="_Toc13504868"/>
      <w:bookmarkStart w:id="881" w:name="_Toc13556361"/>
      <w:bookmarkStart w:id="882" w:name="_Toc14337483"/>
      <w:bookmarkStart w:id="883" w:name="_Toc8123105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4A57FA">
        <w:rPr>
          <w:rFonts w:asciiTheme="minorEastAsia" w:eastAsiaTheme="minorEastAsia" w:hAnsiTheme="minorEastAsia" w:hint="eastAsia"/>
          <w:b w:val="0"/>
          <w:bCs/>
        </w:rPr>
        <w:lastRenderedPageBreak/>
        <w:t>（六）争议的处理</w:t>
      </w:r>
      <w:bookmarkStart w:id="884" w:name="_Toc38438236"/>
      <w:bookmarkStart w:id="885" w:name="_Toc38438573"/>
      <w:bookmarkStart w:id="886" w:name="_Toc38438910"/>
      <w:bookmarkStart w:id="887" w:name="_Toc38439247"/>
      <w:bookmarkStart w:id="888" w:name="_Toc38439584"/>
      <w:bookmarkStart w:id="889" w:name="_Toc38439921"/>
      <w:bookmarkStart w:id="890" w:name="_Toc38440258"/>
      <w:bookmarkStart w:id="891" w:name="_Toc38440595"/>
      <w:bookmarkStart w:id="892" w:name="_Toc38440794"/>
      <w:bookmarkStart w:id="893" w:name="_Toc38441127"/>
      <w:bookmarkStart w:id="894" w:name="_Toc38441459"/>
      <w:bookmarkStart w:id="895" w:name="_Toc38441791"/>
      <w:bookmarkStart w:id="896" w:name="_Toc38442119"/>
      <w:bookmarkStart w:id="897" w:name="_Toc38442451"/>
      <w:bookmarkStart w:id="898" w:name="_Toc38442783"/>
      <w:bookmarkStart w:id="899" w:name="_Toc38443114"/>
      <w:bookmarkStart w:id="900" w:name="_Toc38443445"/>
      <w:bookmarkStart w:id="901" w:name="_Toc38443776"/>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A57FA">
        <w:rPr>
          <w:rFonts w:asciiTheme="minorEastAsia" w:eastAsiaTheme="minorEastAsia" w:hAnsiTheme="minorEastAsia" w:hint="eastAsia"/>
          <w:b w:val="0"/>
          <w:bCs/>
        </w:rPr>
        <w:t>和适用的法律</w:t>
      </w:r>
      <w:bookmarkEnd w:id="883"/>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w:t>
      </w:r>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《基金合同》受中国法律管辖。</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902" w:name="_Toc110945633"/>
      <w:bookmarkStart w:id="903" w:name="_Toc136870035"/>
      <w:bookmarkStart w:id="904" w:name="_Toc81231056"/>
      <w:r w:rsidRPr="004A57FA">
        <w:rPr>
          <w:rFonts w:asciiTheme="minorEastAsia" w:eastAsiaTheme="minorEastAsia" w:hAnsiTheme="minorEastAsia" w:hint="eastAsia"/>
          <w:b w:val="0"/>
          <w:bCs/>
        </w:rPr>
        <w:t>（七）基金合同的存放及查阅方式</w:t>
      </w:r>
      <w:bookmarkEnd w:id="902"/>
      <w:bookmarkEnd w:id="903"/>
      <w:bookmarkEnd w:id="904"/>
    </w:p>
    <w:p w:rsidR="00AF2EE6" w:rsidRPr="004A57FA" w:rsidRDefault="00AF2EE6"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4A57FA">
        <w:rPr>
          <w:rFonts w:asciiTheme="minorEastAsia" w:eastAsiaTheme="minorEastAsia" w:hAnsiTheme="minorEastAsia" w:hint="eastAsia"/>
          <w:szCs w:val="21"/>
        </w:rPr>
        <w:t>《基金合同》</w:t>
      </w:r>
      <w:r w:rsidRPr="004A57FA">
        <w:rPr>
          <w:rFonts w:asciiTheme="minorEastAsia" w:eastAsiaTheme="minorEastAsia" w:hAnsiTheme="minorEastAsia"/>
          <w:szCs w:val="21"/>
        </w:rPr>
        <w:t>可印制成册</w:t>
      </w:r>
      <w:r w:rsidRPr="004A57FA">
        <w:rPr>
          <w:rFonts w:asciiTheme="minorEastAsia" w:eastAsiaTheme="minorEastAsia" w:hAnsiTheme="minorEastAsia" w:hint="eastAsia"/>
          <w:szCs w:val="21"/>
        </w:rPr>
        <w:t>，供投资者在基金管理人、基金托管人、代销机构的办公场所和营业场所查阅；投资者也可按工本费购买《基金合同》复制件或复印件，但内容应以《基金合同》正本为准。</w:t>
      </w: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626C7D" w:rsidRPr="004A57FA" w:rsidRDefault="00626C7D" w:rsidP="00C53017">
      <w:pPr>
        <w:autoSpaceDE w:val="0"/>
        <w:autoSpaceDN w:val="0"/>
        <w:snapToGrid w:val="0"/>
        <w:spacing w:line="360" w:lineRule="auto"/>
        <w:ind w:firstLineChars="200" w:firstLine="420"/>
        <w:textAlignment w:val="bottom"/>
        <w:rPr>
          <w:rFonts w:asciiTheme="minorEastAsia" w:eastAsiaTheme="minorEastAsia" w:hAnsiTheme="minorEastAsia"/>
          <w:szCs w:val="21"/>
        </w:rPr>
      </w:pPr>
    </w:p>
    <w:p w:rsidR="00A805DC" w:rsidRDefault="00A805DC" w:rsidP="00C53017">
      <w:pPr>
        <w:pStyle w:val="1"/>
        <w:snapToGrid w:val="0"/>
        <w:spacing w:beforeLines="0" w:afterLines="0" w:line="360" w:lineRule="auto"/>
        <w:ind w:firstLine="643"/>
        <w:rPr>
          <w:rFonts w:asciiTheme="minorEastAsia" w:eastAsiaTheme="minorEastAsia" w:hAnsiTheme="minorEastAsia"/>
          <w:b/>
          <w:bCs/>
        </w:rPr>
      </w:pPr>
      <w:r>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905" w:name="_Toc81231057"/>
      <w:r w:rsidRPr="004A57FA">
        <w:rPr>
          <w:rFonts w:asciiTheme="minorEastAsia" w:eastAsiaTheme="minorEastAsia" w:hAnsiTheme="minorEastAsia" w:hint="eastAsia"/>
          <w:b/>
          <w:bCs/>
        </w:rPr>
        <w:lastRenderedPageBreak/>
        <w:t>二十三、基金托管协议的内容摘要</w:t>
      </w:r>
      <w:bookmarkEnd w:id="905"/>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sz w:val="24"/>
        </w:rPr>
      </w:pPr>
      <w:bookmarkStart w:id="906" w:name="_Toc40511576"/>
      <w:bookmarkStart w:id="907" w:name="_Toc81231058"/>
      <w:r w:rsidRPr="004A57FA">
        <w:rPr>
          <w:rFonts w:asciiTheme="minorEastAsia" w:eastAsiaTheme="minorEastAsia" w:hAnsiTheme="minorEastAsia" w:hint="eastAsia"/>
          <w:b w:val="0"/>
          <w:bCs/>
        </w:rPr>
        <w:t>（一）托管协议当事人</w:t>
      </w:r>
      <w:bookmarkEnd w:id="906"/>
      <w:bookmarkEnd w:id="907"/>
    </w:p>
    <w:p w:rsidR="00AF2EE6" w:rsidRPr="004A57FA" w:rsidRDefault="00626C7D" w:rsidP="00C53017">
      <w:pPr>
        <w:pStyle w:val="af1"/>
        <w:snapToGrid w:val="0"/>
        <w:spacing w:line="360" w:lineRule="auto"/>
        <w:ind w:firstLineChars="192" w:firstLine="403"/>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基金管理人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bookmarkStart w:id="908" w:name="_Toc15118236"/>
      <w:r w:rsidRPr="004A57FA">
        <w:rPr>
          <w:rFonts w:asciiTheme="minorEastAsia" w:eastAsiaTheme="minorEastAsia" w:hAnsiTheme="minorEastAsia" w:hint="eastAsia"/>
          <w:szCs w:val="21"/>
        </w:rPr>
        <w:t>名称：易方达基金管理有限公司</w:t>
      </w:r>
    </w:p>
    <w:p w:rsidR="00AF2EE6" w:rsidRPr="004A57FA" w:rsidRDefault="00403BDE" w:rsidP="00C53017">
      <w:pPr>
        <w:snapToGrid w:val="0"/>
        <w:spacing w:line="360" w:lineRule="auto"/>
        <w:ind w:firstLine="420"/>
        <w:rPr>
          <w:rFonts w:asciiTheme="minorEastAsia" w:eastAsiaTheme="minorEastAsia" w:hAnsiTheme="minorEastAsia"/>
          <w:kern w:val="0"/>
          <w:szCs w:val="21"/>
        </w:rPr>
      </w:pPr>
      <w:r w:rsidRPr="004A57FA">
        <w:rPr>
          <w:rFonts w:asciiTheme="minorEastAsia" w:eastAsiaTheme="minorEastAsia" w:hAnsiTheme="minorEastAsia" w:hint="eastAsia"/>
          <w:szCs w:val="21"/>
        </w:rPr>
        <w:t>注册地址：</w:t>
      </w:r>
      <w:r w:rsidR="00964C7B" w:rsidRPr="004A57FA">
        <w:rPr>
          <w:rFonts w:asciiTheme="minorEastAsia" w:eastAsiaTheme="minorEastAsia" w:hAnsiTheme="minorEastAsia" w:hint="eastAsia"/>
          <w:szCs w:val="21"/>
        </w:rPr>
        <w:t>广东省珠海市横琴新区宝华路6号105室－42891（集中办公区）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法定代表人：</w:t>
      </w:r>
      <w:r w:rsidR="00A243BA" w:rsidRPr="004A57FA">
        <w:rPr>
          <w:rFonts w:asciiTheme="minorEastAsia" w:eastAsiaTheme="minorEastAsia" w:hAnsiTheme="minorEastAsia" w:hint="eastAsia"/>
          <w:szCs w:val="21"/>
        </w:rPr>
        <w:t>刘晓艳</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设立日期：</w:t>
      </w:r>
      <w:smartTag w:uri="urn:schemas-microsoft-com:office:smarttags" w:element="chsdate">
        <w:smartTagPr>
          <w:attr w:name="Year" w:val="2001"/>
          <w:attr w:name="Month" w:val="4"/>
          <w:attr w:name="Day" w:val="17"/>
          <w:attr w:name="IsLunarDate" w:val="False"/>
          <w:attr w:name="IsROCDate" w:val="False"/>
        </w:smartTagPr>
        <w:r w:rsidRPr="004A57FA">
          <w:rPr>
            <w:rFonts w:asciiTheme="minorEastAsia" w:eastAsiaTheme="minorEastAsia" w:hAnsiTheme="minorEastAsia" w:hint="eastAsia"/>
            <w:szCs w:val="21"/>
          </w:rPr>
          <w:t>2001年4月17日</w:t>
        </w:r>
      </w:smartTag>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批准设立机关：中国证券监督管理委员会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批准设立文号：证监基金字[2001</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4号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组织形式：有限责任公司</w:t>
      </w:r>
    </w:p>
    <w:p w:rsidR="00AF2EE6" w:rsidRPr="004A57FA" w:rsidRDefault="009D1DFF"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注册资本：13,244.2万元人民币</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存续期限：持续经营</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联系</w:t>
      </w:r>
      <w:r w:rsidRPr="004A57FA">
        <w:rPr>
          <w:rFonts w:asciiTheme="minorEastAsia" w:eastAsiaTheme="minorEastAsia" w:hAnsiTheme="minorEastAsia"/>
          <w:szCs w:val="21"/>
        </w:rPr>
        <w:t>电话：</w:t>
      </w:r>
      <w:r w:rsidR="0080106B" w:rsidRPr="004A57FA">
        <w:rPr>
          <w:rFonts w:asciiTheme="minorEastAsia" w:eastAsiaTheme="minorEastAsia" w:hAnsiTheme="minorEastAsia" w:hint="eastAsia"/>
          <w:szCs w:val="21"/>
        </w:rPr>
        <w:t>4008818088</w:t>
      </w:r>
    </w:p>
    <w:bookmarkEnd w:id="908"/>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传真：020-38799488</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经营范围：</w:t>
      </w:r>
      <w:r w:rsidR="00964C7B" w:rsidRPr="004A57FA">
        <w:rPr>
          <w:rFonts w:asciiTheme="minorEastAsia" w:eastAsiaTheme="minorEastAsia" w:hAnsiTheme="minorEastAsia" w:hint="eastAsia"/>
          <w:szCs w:val="21"/>
        </w:rPr>
        <w:t>公开募集证券投资基金管理、基金销售、特定客户资产管理</w:t>
      </w:r>
    </w:p>
    <w:p w:rsidR="00AF2EE6" w:rsidRPr="004A57FA" w:rsidRDefault="00626C7D" w:rsidP="00C53017">
      <w:pPr>
        <w:pStyle w:val="af1"/>
        <w:snapToGrid w:val="0"/>
        <w:spacing w:line="360" w:lineRule="auto"/>
        <w:ind w:firstLineChars="192" w:firstLine="403"/>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基金托管人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名称：中国工商银行股份有限公司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注册地址：北京市西城区复兴门内大街55号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法定代表人：</w:t>
      </w:r>
      <w:r w:rsidR="007E1DD2" w:rsidRPr="004A57FA">
        <w:rPr>
          <w:rFonts w:asciiTheme="minorEastAsia" w:eastAsiaTheme="minorEastAsia" w:hAnsiTheme="minorEastAsia" w:hint="eastAsia"/>
          <w:spacing w:val="6"/>
        </w:rPr>
        <w:t>陈四清</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szCs w:val="21"/>
        </w:rPr>
        <w:t>成立时间：</w:t>
      </w:r>
      <w:smartTag w:uri="urn:schemas-microsoft-com:office:smarttags" w:element="chsdate">
        <w:smartTagPr>
          <w:attr w:name="IsROCDate" w:val="False"/>
          <w:attr w:name="IsLunarDate" w:val="False"/>
          <w:attr w:name="Day" w:val="1"/>
          <w:attr w:name="Month" w:val="1"/>
          <w:attr w:name="Year" w:val="1984"/>
        </w:smartTagPr>
        <w:r w:rsidRPr="004A57FA">
          <w:rPr>
            <w:rFonts w:asciiTheme="minorEastAsia" w:eastAsiaTheme="minorEastAsia" w:hAnsiTheme="minorEastAsia"/>
            <w:szCs w:val="21"/>
          </w:rPr>
          <w:t>1984年1月1日</w:t>
        </w:r>
      </w:smartTag>
    </w:p>
    <w:p w:rsidR="00AF2EE6" w:rsidRPr="004A57FA" w:rsidRDefault="00AF2EE6" w:rsidP="00C53017">
      <w:pPr>
        <w:snapToGrid w:val="0"/>
        <w:spacing w:line="360" w:lineRule="auto"/>
        <w:ind w:leftChars="200" w:left="420"/>
        <w:rPr>
          <w:rFonts w:asciiTheme="minorEastAsia" w:eastAsiaTheme="minorEastAsia" w:hAnsiTheme="minorEastAsia"/>
          <w:szCs w:val="21"/>
        </w:rPr>
      </w:pPr>
      <w:r w:rsidRPr="004A57FA">
        <w:rPr>
          <w:rFonts w:asciiTheme="minorEastAsia" w:eastAsiaTheme="minorEastAsia" w:hAnsiTheme="minorEastAsia"/>
          <w:szCs w:val="21"/>
        </w:rPr>
        <w:t>批准设立机关及批准设立文号：</w:t>
      </w:r>
      <w:r w:rsidRPr="004A57FA">
        <w:rPr>
          <w:rFonts w:asciiTheme="minorEastAsia" w:eastAsiaTheme="minorEastAsia" w:hAnsiTheme="minorEastAsia" w:hint="eastAsia"/>
          <w:szCs w:val="21"/>
        </w:rPr>
        <w:t>国务院《关于中国人民银行专门行使中央银行职能的决定》（国发[1983]146号）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组织形式：股份有限公司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注册资本：</w:t>
      </w:r>
      <w:r w:rsidR="005034F8" w:rsidRPr="004A57FA">
        <w:rPr>
          <w:rFonts w:asciiTheme="minorEastAsia" w:eastAsiaTheme="minorEastAsia" w:hAnsiTheme="minorEastAsia" w:hint="eastAsia"/>
          <w:szCs w:val="21"/>
        </w:rPr>
        <w:t>人民币35,640,625.7089万元</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存续期间：持续经营</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w:t>
      </w:r>
      <w:r w:rsidRPr="004A57FA">
        <w:rPr>
          <w:rFonts w:asciiTheme="minorEastAsia" w:eastAsiaTheme="minorEastAsia" w:hAnsiTheme="minorEastAsia" w:hint="eastAsia"/>
          <w:szCs w:val="21"/>
        </w:rPr>
        <w:lastRenderedPageBreak/>
        <w:t>行、代理发行、买卖或代理买卖股票以外的外币有价证券；自营、代客外汇买卖；外汇金融衍生业务；银行卡业务；电话银行、网上银行、手机银行业务；办理结汇、售汇业务；经国务院银行业监督管理机构批准的其他业务。</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909" w:name="_Toc40511578"/>
      <w:bookmarkStart w:id="910" w:name="_Toc81231059"/>
      <w:r w:rsidRPr="004A57FA">
        <w:rPr>
          <w:rFonts w:asciiTheme="minorEastAsia" w:eastAsiaTheme="minorEastAsia" w:hAnsiTheme="minorEastAsia" w:hint="eastAsia"/>
          <w:b w:val="0"/>
          <w:bCs/>
        </w:rPr>
        <w:t>（二）</w:t>
      </w:r>
      <w:bookmarkStart w:id="911" w:name="_Toc124749227"/>
      <w:bookmarkStart w:id="912" w:name="_Toc124749938"/>
      <w:bookmarkStart w:id="913" w:name="_Toc125361075"/>
      <w:r w:rsidRPr="004A57FA">
        <w:rPr>
          <w:rFonts w:asciiTheme="minorEastAsia" w:eastAsiaTheme="minorEastAsia" w:hAnsiTheme="minorEastAsia" w:hint="eastAsia"/>
          <w:b w:val="0"/>
          <w:bCs/>
        </w:rPr>
        <w:t>基金托管人对基金管理人的业务监督和核查</w:t>
      </w:r>
      <w:bookmarkEnd w:id="909"/>
      <w:bookmarkEnd w:id="910"/>
      <w:bookmarkEnd w:id="911"/>
      <w:bookmarkEnd w:id="912"/>
      <w:bookmarkEnd w:id="913"/>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bookmarkStart w:id="914" w:name="_Toc200523000"/>
      <w:bookmarkStart w:id="915" w:name="_Toc201398379"/>
      <w:bookmarkStart w:id="916" w:name="_Toc201399179"/>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基金托管人对基金管理人的投资行为行使监督权</w:t>
      </w:r>
      <w:bookmarkEnd w:id="914"/>
      <w:bookmarkEnd w:id="915"/>
      <w:bookmarkEnd w:id="916"/>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（1）基金托管人根据有关法律法规的规定和《基金合同》的约定，对下述基金投资范围、投资对象进行监督。</w:t>
      </w:r>
    </w:p>
    <w:p w:rsidR="00AF2EE6" w:rsidRPr="004A57FA" w:rsidRDefault="00AF2EE6" w:rsidP="004A57FA">
      <w:pPr>
        <w:snapToGrid w:val="0"/>
        <w:spacing w:line="360" w:lineRule="auto"/>
        <w:ind w:firstLineChars="200" w:firstLine="420"/>
        <w:rPr>
          <w:rFonts w:asciiTheme="minorEastAsia" w:eastAsiaTheme="minorEastAsia" w:hAnsiTheme="minorEastAsia" w:cs="宋体"/>
          <w:kern w:val="0"/>
          <w:szCs w:val="21"/>
        </w:rPr>
      </w:pPr>
      <w:r w:rsidRPr="004A57FA">
        <w:rPr>
          <w:rFonts w:asciiTheme="minorEastAsia" w:eastAsiaTheme="minorEastAsia" w:hAnsiTheme="minorEastAsia" w:hint="eastAsia"/>
          <w:szCs w:val="21"/>
        </w:rPr>
        <w:t>本</w:t>
      </w:r>
      <w:r w:rsidRPr="004A57FA">
        <w:rPr>
          <w:rFonts w:asciiTheme="minorEastAsia" w:eastAsiaTheme="minorEastAsia" w:hAnsiTheme="minorEastAsia" w:cs="宋体" w:hint="eastAsia"/>
          <w:kern w:val="0"/>
          <w:szCs w:val="21"/>
        </w:rPr>
        <w:t>基金将投资于以下金融工具：</w:t>
      </w:r>
    </w:p>
    <w:p w:rsidR="00AF2EE6" w:rsidRPr="004A57FA" w:rsidRDefault="00AF2EE6" w:rsidP="004A57FA">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本基金的投资范围为具有良好流动性的金融工具，包括国内依法发行上市的股票</w:t>
      </w:r>
      <w:r w:rsidR="00C11497" w:rsidRPr="004A57FA">
        <w:rPr>
          <w:rFonts w:asciiTheme="minorEastAsia" w:eastAsiaTheme="minorEastAsia" w:hAnsiTheme="minorEastAsia" w:hint="eastAsia"/>
          <w:szCs w:val="21"/>
        </w:rPr>
        <w:t>（含存托凭证）</w:t>
      </w:r>
      <w:r w:rsidRPr="004A57FA">
        <w:rPr>
          <w:rFonts w:asciiTheme="minorEastAsia" w:eastAsiaTheme="minorEastAsia" w:hAnsiTheme="minorEastAsia" w:hint="eastAsia"/>
          <w:szCs w:val="21"/>
        </w:rPr>
        <w:t>、债券、权证、资产支持证券、货币市场工具及法律法规或中国证监会允许基金投资的其他金融工具。如法律法规或监管机构以后允许基金投资其它品种，基金管理人在履行适当程序后，可以将其纳入投资范围。</w:t>
      </w:r>
    </w:p>
    <w:p w:rsidR="00AF2EE6" w:rsidRPr="004A57FA" w:rsidRDefault="00AF2EE6" w:rsidP="00C53017">
      <w:pPr>
        <w:snapToGrid w:val="0"/>
        <w:spacing w:line="360" w:lineRule="auto"/>
        <w:ind w:firstLineChars="200" w:firstLine="420"/>
        <w:rPr>
          <w:rFonts w:asciiTheme="minorEastAsia" w:eastAsiaTheme="minorEastAsia" w:hAnsiTheme="minorEastAsia" w:cs="宋体"/>
          <w:kern w:val="0"/>
          <w:szCs w:val="21"/>
        </w:rPr>
      </w:pPr>
      <w:r w:rsidRPr="004A57FA">
        <w:rPr>
          <w:rFonts w:asciiTheme="minorEastAsia" w:eastAsiaTheme="minorEastAsia" w:hAnsiTheme="minorEastAsia"/>
          <w:kern w:val="0"/>
          <w:szCs w:val="21"/>
        </w:rPr>
        <w:t>本基金不得投资于</w:t>
      </w:r>
      <w:r w:rsidRPr="004A57FA">
        <w:rPr>
          <w:rFonts w:asciiTheme="minorEastAsia" w:eastAsiaTheme="minorEastAsia" w:hAnsiTheme="minorEastAsia" w:hint="eastAsia"/>
          <w:kern w:val="0"/>
          <w:szCs w:val="21"/>
        </w:rPr>
        <w:t>相关法律、法规、部门规章及《基金合同》禁止投资的投资工具</w:t>
      </w:r>
      <w:r w:rsidRPr="004A57FA">
        <w:rPr>
          <w:rFonts w:asciiTheme="minorEastAsia" w:eastAsiaTheme="minorEastAsia" w:hAnsiTheme="minorEastAsia"/>
          <w:kern w:val="0"/>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（2）基金托管人根据有关法律法规的规定及《基金合同》的约定对下述基金投融资比例进行监督：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1）按法律法规的规定及《基金合同》的约定，本基金的投资资产配置比例为：股票资产占基金资产的60</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w:t>
      </w:r>
      <w:r w:rsidRPr="004A57FA">
        <w:rPr>
          <w:rFonts w:asciiTheme="minorEastAsia" w:eastAsiaTheme="minorEastAsia" w:hAnsiTheme="minorEastAsia"/>
          <w:szCs w:val="21"/>
        </w:rPr>
        <w:t>95%</w:t>
      </w:r>
      <w:r w:rsidRPr="004A57FA">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4A57FA">
        <w:rPr>
          <w:rFonts w:asciiTheme="minorEastAsia" w:eastAsiaTheme="minorEastAsia" w:hAnsiTheme="minorEastAsia"/>
          <w:szCs w:val="21"/>
        </w:rPr>
        <w:t>5%</w:t>
      </w:r>
      <w:r w:rsidR="002E2C5D" w:rsidRPr="004A57FA">
        <w:rPr>
          <w:rFonts w:asciiTheme="minorEastAsia" w:eastAsiaTheme="minorEastAsia" w:hAnsiTheme="minorEastAsia" w:hint="eastAsia"/>
          <w:szCs w:val="21"/>
        </w:rPr>
        <w:t>，现金不包括结算备付金、存出保证金、应收申购款等</w:t>
      </w:r>
      <w:r w:rsidRPr="004A57FA">
        <w:rPr>
          <w:rFonts w:asciiTheme="minorEastAsia" w:eastAsiaTheme="minorEastAsia" w:hAnsiTheme="minorEastAsia" w:hint="eastAsia"/>
          <w:szCs w:val="21"/>
        </w:rPr>
        <w:t>。本基金投资红利股的资产不低于股票资产的80%。</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因基金规模或市场变化等因素导致投资组合不符合上述规定的，基金管理人应在合理的期限内调整基金的投资组合，以符合上述比例限定。法律法规另有规定时，从其规定。</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如法律法规或监管机构以后允许本基金投资其他品种，基金管理人在履行适当程序后，可以将其纳入投资范围，并可依据届时有效的法律法规适时合理地调整投资范围。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2）根据法律法规的规定及《基金合同》的约定，本基金投资组合遵循以下投资限制：</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①</w:t>
      </w:r>
      <w:r w:rsidRPr="004A57FA">
        <w:rPr>
          <w:rFonts w:asciiTheme="minorEastAsia" w:eastAsiaTheme="minorEastAsia" w:hAnsiTheme="minorEastAsia"/>
          <w:szCs w:val="21"/>
        </w:rPr>
        <w:t>持有一家</w:t>
      </w:r>
      <w:r w:rsidRPr="004A57FA">
        <w:rPr>
          <w:rFonts w:asciiTheme="minorEastAsia" w:eastAsiaTheme="minorEastAsia" w:hAnsiTheme="minorEastAsia" w:hint="eastAsia"/>
          <w:szCs w:val="21"/>
        </w:rPr>
        <w:t>上市</w:t>
      </w:r>
      <w:r w:rsidRPr="004A57FA">
        <w:rPr>
          <w:rFonts w:asciiTheme="minorEastAsia" w:eastAsiaTheme="minorEastAsia" w:hAnsiTheme="minorEastAsia"/>
          <w:szCs w:val="21"/>
        </w:rPr>
        <w:t>公司的股票，</w:t>
      </w:r>
      <w:r w:rsidRPr="004A57FA">
        <w:rPr>
          <w:rFonts w:asciiTheme="minorEastAsia" w:eastAsiaTheme="minorEastAsia" w:hAnsiTheme="minorEastAsia" w:hint="eastAsia"/>
          <w:szCs w:val="21"/>
        </w:rPr>
        <w:t>其市值</w:t>
      </w:r>
      <w:r w:rsidRPr="004A57FA">
        <w:rPr>
          <w:rFonts w:asciiTheme="minorEastAsia" w:eastAsiaTheme="minorEastAsia" w:hAnsiTheme="minorEastAsia"/>
          <w:szCs w:val="21"/>
        </w:rPr>
        <w:t>不得超过基金资产净值的10%；</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②</w:t>
      </w:r>
      <w:r w:rsidR="00F87A02" w:rsidRPr="004A57FA">
        <w:rPr>
          <w:rFonts w:asciiTheme="minorEastAsia" w:eastAsiaTheme="minorEastAsia" w:hAnsiTheme="minorEastAsia" w:hint="eastAsia"/>
          <w:szCs w:val="21"/>
        </w:rPr>
        <w:t>基金管理人管理且由基金托管人托管的全部基金</w:t>
      </w:r>
      <w:r w:rsidRPr="004A57FA">
        <w:rPr>
          <w:rFonts w:asciiTheme="minorEastAsia" w:eastAsiaTheme="minorEastAsia" w:hAnsiTheme="minorEastAsia" w:hint="eastAsia"/>
          <w:szCs w:val="21"/>
        </w:rPr>
        <w:t>共同</w:t>
      </w:r>
      <w:r w:rsidRPr="004A57FA">
        <w:rPr>
          <w:rFonts w:asciiTheme="minorEastAsia" w:eastAsiaTheme="minorEastAsia" w:hAnsiTheme="minorEastAsia"/>
          <w:szCs w:val="21"/>
        </w:rPr>
        <w:t>持有一家公司发行的证券，不得超过该证券的10%；</w:t>
      </w:r>
      <w:r w:rsidRPr="004A57FA">
        <w:rPr>
          <w:rFonts w:asciiTheme="minorEastAsia" w:eastAsiaTheme="minorEastAsia" w:hAnsiTheme="minorEastAsia" w:hint="eastAsia"/>
          <w:szCs w:val="21"/>
        </w:rPr>
        <w:t>本基金进入全国银行间同业市场进行债券回购的资金余额不得超过基金资产净值的40%</w:t>
      </w:r>
      <w:r w:rsidRPr="004A57FA">
        <w:rPr>
          <w:rFonts w:asciiTheme="minorEastAsia" w:eastAsiaTheme="minorEastAsia" w:hAnsiTheme="minorEastAsia"/>
          <w:szCs w:val="21"/>
        </w:rPr>
        <w:t>；</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③</w:t>
      </w:r>
      <w:r w:rsidRPr="004A57FA">
        <w:rPr>
          <w:rFonts w:asciiTheme="minorEastAsia" w:eastAsiaTheme="minorEastAsia" w:hAnsiTheme="minorEastAsia" w:cs="楷体_GB2312" w:hint="eastAsia"/>
          <w:szCs w:val="21"/>
        </w:rPr>
        <w:t>本</w:t>
      </w:r>
      <w:r w:rsidRPr="004A57FA">
        <w:rPr>
          <w:rFonts w:asciiTheme="minorEastAsia" w:eastAsiaTheme="minorEastAsia" w:hAnsiTheme="minorEastAsia" w:hint="eastAsia"/>
          <w:szCs w:val="21"/>
        </w:rPr>
        <w:t>基金在任何交易日买入权证的总金额，不超过上一交易日基金资产净值的0.5%，基金持有的全部权证的市值不超过基金资产净值的3%，</w:t>
      </w:r>
      <w:r w:rsidR="00D06513" w:rsidRPr="004A57FA">
        <w:rPr>
          <w:rFonts w:asciiTheme="minorEastAsia" w:eastAsiaTheme="minorEastAsia" w:hAnsiTheme="minorEastAsia" w:hint="eastAsia"/>
          <w:szCs w:val="21"/>
        </w:rPr>
        <w:t>基金管理人管理且由基金托管人托管的全部基金</w:t>
      </w:r>
      <w:r w:rsidRPr="004A57FA">
        <w:rPr>
          <w:rFonts w:asciiTheme="minorEastAsia" w:eastAsiaTheme="minorEastAsia" w:hAnsiTheme="minorEastAsia" w:hint="eastAsia"/>
          <w:szCs w:val="21"/>
        </w:rPr>
        <w:t>持有同一权证的比例不超过该权证的10%。法律法规或中国证监会另有规定的，遵从其规定；</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④现金和到期日不超过1年的政府债券不低于5%</w:t>
      </w:r>
      <w:r w:rsidR="002E2C5D" w:rsidRPr="004A57FA">
        <w:rPr>
          <w:rFonts w:asciiTheme="minorEastAsia" w:eastAsiaTheme="minorEastAsia" w:hAnsiTheme="minorEastAsia" w:hint="eastAsia"/>
          <w:szCs w:val="21"/>
        </w:rPr>
        <w:t>，现金不包括结算备付金、存出保证金、</w:t>
      </w:r>
      <w:r w:rsidR="002E2C5D" w:rsidRPr="004A57FA">
        <w:rPr>
          <w:rFonts w:asciiTheme="minorEastAsia" w:eastAsiaTheme="minorEastAsia" w:hAnsiTheme="minorEastAsia" w:hint="eastAsia"/>
          <w:szCs w:val="21"/>
        </w:rPr>
        <w:lastRenderedPageBreak/>
        <w:t>应收申购款等</w:t>
      </w:r>
      <w:r w:rsidRPr="004A57FA">
        <w:rPr>
          <w:rFonts w:asciiTheme="minorEastAsia" w:eastAsiaTheme="minorEastAsia" w:hAnsiTheme="minorEastAsia" w:hint="eastAsia"/>
          <w:szCs w:val="21"/>
        </w:rPr>
        <w:t>；</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⑤本基金财产参与股票发行申购，所申报的金额不得超过本基金的总资产，所申报的股票数量不得超过拟发行股票公司本次发行股票的总量；</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⑥一只</w:t>
      </w:r>
      <w:r w:rsidRPr="004A57FA">
        <w:rPr>
          <w:rFonts w:asciiTheme="minorEastAsia" w:eastAsiaTheme="minorEastAsia" w:hAnsiTheme="minorEastAsia"/>
          <w:szCs w:val="21"/>
        </w:rPr>
        <w:t>基金持有一家公司</w:t>
      </w:r>
      <w:r w:rsidRPr="004A57FA">
        <w:rPr>
          <w:rFonts w:asciiTheme="minorEastAsia" w:eastAsiaTheme="minorEastAsia" w:hAnsiTheme="minorEastAsia" w:hint="eastAsia"/>
          <w:szCs w:val="21"/>
        </w:rPr>
        <w:t>发行的流通受限证券</w:t>
      </w:r>
      <w:r w:rsidRPr="004A57FA">
        <w:rPr>
          <w:rFonts w:asciiTheme="minorEastAsia" w:eastAsiaTheme="minorEastAsia" w:hAnsiTheme="minorEastAsia"/>
          <w:szCs w:val="21"/>
        </w:rPr>
        <w:t>，其市值</w:t>
      </w:r>
      <w:r w:rsidRPr="004A57FA">
        <w:rPr>
          <w:rFonts w:asciiTheme="minorEastAsia" w:eastAsiaTheme="minorEastAsia" w:hAnsiTheme="minorEastAsia" w:hint="eastAsia"/>
          <w:szCs w:val="21"/>
        </w:rPr>
        <w:t>不得</w:t>
      </w:r>
      <w:r w:rsidRPr="004A57FA">
        <w:rPr>
          <w:rFonts w:asciiTheme="minorEastAsia" w:eastAsiaTheme="minorEastAsia" w:hAnsiTheme="minorEastAsia"/>
          <w:szCs w:val="21"/>
        </w:rPr>
        <w:t>超过基金资产净值的百分之</w:t>
      </w:r>
      <w:r w:rsidRPr="004A57FA">
        <w:rPr>
          <w:rFonts w:asciiTheme="minorEastAsia" w:eastAsiaTheme="minorEastAsia" w:hAnsiTheme="minorEastAsia" w:hint="eastAsia"/>
          <w:szCs w:val="21"/>
        </w:rPr>
        <w:t>二</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一只</w:t>
      </w:r>
      <w:r w:rsidRPr="004A57FA">
        <w:rPr>
          <w:rFonts w:asciiTheme="minorEastAsia" w:eastAsiaTheme="minorEastAsia" w:hAnsiTheme="minorEastAsia"/>
          <w:szCs w:val="21"/>
        </w:rPr>
        <w:t>基金持有的</w:t>
      </w:r>
      <w:r w:rsidRPr="004A57FA">
        <w:rPr>
          <w:rFonts w:asciiTheme="minorEastAsia" w:eastAsiaTheme="minorEastAsia" w:hAnsiTheme="minorEastAsia" w:hint="eastAsia"/>
          <w:szCs w:val="21"/>
        </w:rPr>
        <w:t>所有流通受限</w:t>
      </w:r>
      <w:r w:rsidRPr="004A57FA">
        <w:rPr>
          <w:rFonts w:asciiTheme="minorEastAsia" w:eastAsiaTheme="minorEastAsia" w:hAnsiTheme="minorEastAsia"/>
          <w:szCs w:val="21"/>
        </w:rPr>
        <w:t>证券，其市值</w:t>
      </w:r>
      <w:r w:rsidRPr="004A57FA">
        <w:rPr>
          <w:rFonts w:asciiTheme="minorEastAsia" w:eastAsiaTheme="minorEastAsia" w:hAnsiTheme="minorEastAsia" w:hint="eastAsia"/>
          <w:szCs w:val="21"/>
        </w:rPr>
        <w:t>不得</w:t>
      </w:r>
      <w:r w:rsidRPr="004A57FA">
        <w:rPr>
          <w:rFonts w:asciiTheme="minorEastAsia" w:eastAsiaTheme="minorEastAsia" w:hAnsiTheme="minorEastAsia"/>
          <w:szCs w:val="21"/>
        </w:rPr>
        <w:t>超过</w:t>
      </w:r>
      <w:r w:rsidRPr="004A57FA">
        <w:rPr>
          <w:rFonts w:asciiTheme="minorEastAsia" w:eastAsiaTheme="minorEastAsia" w:hAnsiTheme="minorEastAsia" w:hint="eastAsia"/>
          <w:szCs w:val="21"/>
        </w:rPr>
        <w:t>该基金资产净值的百分之十；经基金管理人和托管人协商，可对以上比例进行调整；</w:t>
      </w:r>
    </w:p>
    <w:p w:rsidR="00AF2EE6" w:rsidRPr="004A57FA" w:rsidRDefault="00297BB2"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fldChar w:fldCharType="begin"/>
      </w:r>
      <w:r w:rsidR="00AF2EE6" w:rsidRPr="004A57FA">
        <w:rPr>
          <w:rFonts w:asciiTheme="minorEastAsia" w:eastAsiaTheme="minorEastAsia" w:hAnsiTheme="minorEastAsia"/>
          <w:szCs w:val="21"/>
        </w:rPr>
        <w:instrText xml:space="preserve"> = 7 \* GB3 </w:instrText>
      </w:r>
      <w:r w:rsidRPr="004A57FA">
        <w:rPr>
          <w:rFonts w:asciiTheme="minorEastAsia" w:eastAsiaTheme="minorEastAsia" w:hAnsiTheme="minorEastAsia"/>
          <w:szCs w:val="21"/>
        </w:rPr>
        <w:fldChar w:fldCharType="separate"/>
      </w:r>
      <w:r w:rsidR="00AF2EE6" w:rsidRPr="004A57FA">
        <w:rPr>
          <w:rFonts w:asciiTheme="minorEastAsia" w:eastAsiaTheme="minorEastAsia" w:hAnsiTheme="minorEastAsia"/>
          <w:noProof/>
          <w:szCs w:val="21"/>
        </w:rPr>
        <w:t>⑦</w:t>
      </w:r>
      <w:r w:rsidRPr="004A57FA">
        <w:rPr>
          <w:rFonts w:asciiTheme="minorEastAsia" w:eastAsiaTheme="minorEastAsia" w:hAnsiTheme="minorEastAsia"/>
          <w:szCs w:val="21"/>
        </w:rPr>
        <w:fldChar w:fldCharType="end"/>
      </w:r>
      <w:r w:rsidR="00AF2EE6" w:rsidRPr="004A57FA">
        <w:rPr>
          <w:rFonts w:asciiTheme="minorEastAsia" w:eastAsiaTheme="minorEastAsia" w:hAnsiTheme="minorEastAsia" w:hint="eastAsia"/>
          <w:szCs w:val="21"/>
        </w:rPr>
        <w:t>本基金不得违反《基金合同》关于投资范围和投资比例的约定；</w:t>
      </w:r>
    </w:p>
    <w:p w:rsidR="002E2C5D"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⑧</w:t>
      </w:r>
      <w:r w:rsidR="002E2C5D" w:rsidRPr="004A57FA">
        <w:rPr>
          <w:rFonts w:asciiTheme="minorEastAsia" w:eastAsiaTheme="minorEastAsia" w:hAnsiTheme="minorEastAsia" w:hint="eastAsia"/>
          <w:szCs w:val="21"/>
        </w:rPr>
        <w:t>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2E2C5D" w:rsidRPr="004A57FA" w:rsidRDefault="002E2C5D"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⑨本基金主动投资于流动性受限资产的市值合计不得超过该基金资产净值的15%；</w:t>
      </w:r>
    </w:p>
    <w:p w:rsidR="00C11497" w:rsidRPr="004A57FA" w:rsidRDefault="00C11497"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⑩本基金投资存托凭证的比例限制依照境内上市交易的股票执行，与境内上市交易的股票合并计算；</w:t>
      </w:r>
    </w:p>
    <w:p w:rsidR="00AF2EE6" w:rsidRPr="004A57FA" w:rsidRDefault="00C11497" w:rsidP="00C53017">
      <w:pPr>
        <w:snapToGrid w:val="0"/>
        <w:spacing w:line="360" w:lineRule="auto"/>
        <w:rPr>
          <w:rFonts w:asciiTheme="minorEastAsia" w:eastAsiaTheme="minorEastAsia" w:hAnsiTheme="minorEastAsia"/>
          <w:szCs w:val="21"/>
        </w:rPr>
      </w:pPr>
      <w:r w:rsidRPr="004A57FA">
        <w:rPr>
          <w:rFonts w:ascii="Cambria Math" w:eastAsiaTheme="minorEastAsia" w:hAnsi="Cambria Math" w:cs="Cambria Math"/>
          <w:szCs w:val="21"/>
        </w:rPr>
        <w:t>⑪</w:t>
      </w:r>
      <w:r w:rsidR="00AF2EE6" w:rsidRPr="004A57FA">
        <w:rPr>
          <w:rFonts w:asciiTheme="minorEastAsia" w:eastAsiaTheme="minorEastAsia" w:hAnsiTheme="minorEastAsia" w:hint="eastAsia"/>
          <w:szCs w:val="21"/>
        </w:rPr>
        <w:t>相关法律法规以及监管部门规定的其它投资限制。</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szCs w:val="21"/>
        </w:rPr>
        <w:t>《基金法》及其他有关法律法规或监管部门</w:t>
      </w:r>
      <w:r w:rsidRPr="004A57FA">
        <w:rPr>
          <w:rFonts w:asciiTheme="minorEastAsia" w:eastAsiaTheme="minorEastAsia" w:hAnsiTheme="minorEastAsia" w:hint="eastAsia"/>
          <w:szCs w:val="21"/>
        </w:rPr>
        <w:t>取消</w:t>
      </w:r>
      <w:r w:rsidRPr="004A57FA">
        <w:rPr>
          <w:rFonts w:asciiTheme="minorEastAsia" w:eastAsiaTheme="minorEastAsia" w:hAnsiTheme="minorEastAsia"/>
          <w:szCs w:val="21"/>
        </w:rPr>
        <w:t>上述限制</w:t>
      </w:r>
      <w:r w:rsidRPr="004A57FA">
        <w:rPr>
          <w:rFonts w:asciiTheme="minorEastAsia" w:eastAsiaTheme="minorEastAsia" w:hAnsiTheme="minorEastAsia" w:hint="eastAsia"/>
          <w:szCs w:val="21"/>
        </w:rPr>
        <w:t>的</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基金不受上述限制</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3）法规允许的基金投资比例调整期限</w:t>
      </w:r>
    </w:p>
    <w:p w:rsidR="00AF2EE6" w:rsidRPr="004A57FA" w:rsidRDefault="002E2C5D"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除上述④、⑤、⑨以外，</w:t>
      </w:r>
      <w:r w:rsidR="00AF2EE6" w:rsidRPr="004A57FA">
        <w:rPr>
          <w:rFonts w:asciiTheme="minorEastAsia" w:eastAsiaTheme="minorEastAsia" w:hAnsiTheme="minorEastAsia"/>
          <w:szCs w:val="21"/>
        </w:rPr>
        <w:t>由于</w:t>
      </w:r>
      <w:r w:rsidR="00AF2EE6" w:rsidRPr="004A57FA">
        <w:rPr>
          <w:rFonts w:asciiTheme="minorEastAsia" w:eastAsiaTheme="minorEastAsia" w:hAnsiTheme="minorEastAsia" w:hint="eastAsia"/>
          <w:szCs w:val="21"/>
        </w:rPr>
        <w:t>证券市场波动、上市公司合并</w:t>
      </w:r>
      <w:r w:rsidR="00AF2EE6" w:rsidRPr="004A57FA">
        <w:rPr>
          <w:rFonts w:asciiTheme="minorEastAsia" w:eastAsiaTheme="minorEastAsia" w:hAnsiTheme="minorEastAsia"/>
          <w:szCs w:val="21"/>
        </w:rPr>
        <w:t>或</w:t>
      </w:r>
      <w:r w:rsidR="00AF2EE6" w:rsidRPr="004A57FA">
        <w:rPr>
          <w:rFonts w:asciiTheme="minorEastAsia" w:eastAsiaTheme="minorEastAsia" w:hAnsiTheme="minorEastAsia" w:hint="eastAsia"/>
          <w:szCs w:val="21"/>
        </w:rPr>
        <w:t>基金规模变动等基金管理人之外的原因</w:t>
      </w:r>
      <w:r w:rsidR="00AF2EE6" w:rsidRPr="004A57FA">
        <w:rPr>
          <w:rFonts w:asciiTheme="minorEastAsia" w:eastAsiaTheme="minorEastAsia" w:hAnsiTheme="minorEastAsia"/>
          <w:szCs w:val="21"/>
        </w:rPr>
        <w:t>导致的投资组合</w:t>
      </w:r>
      <w:r w:rsidR="00AF2EE6" w:rsidRPr="004A57FA">
        <w:rPr>
          <w:rFonts w:asciiTheme="minorEastAsia" w:eastAsiaTheme="minorEastAsia" w:hAnsiTheme="minorEastAsia" w:hint="eastAsia"/>
          <w:szCs w:val="21"/>
        </w:rPr>
        <w:t>不符合</w:t>
      </w:r>
      <w:r w:rsidR="00AF2EE6" w:rsidRPr="004A57FA">
        <w:rPr>
          <w:rFonts w:asciiTheme="minorEastAsia" w:eastAsiaTheme="minorEastAsia" w:hAnsiTheme="minorEastAsia"/>
          <w:szCs w:val="21"/>
        </w:rPr>
        <w:t>上述约定的比例</w:t>
      </w:r>
      <w:r w:rsidR="00AF2EE6" w:rsidRPr="004A57FA">
        <w:rPr>
          <w:rFonts w:asciiTheme="minorEastAsia" w:eastAsiaTheme="minorEastAsia" w:hAnsiTheme="minorEastAsia" w:hint="eastAsia"/>
          <w:szCs w:val="21"/>
        </w:rPr>
        <w:t>，</w:t>
      </w:r>
      <w:r w:rsidR="00AF2EE6" w:rsidRPr="004A57FA">
        <w:rPr>
          <w:rFonts w:asciiTheme="minorEastAsia" w:eastAsiaTheme="minorEastAsia" w:hAnsiTheme="minorEastAsia"/>
          <w:szCs w:val="21"/>
        </w:rPr>
        <w:t>不在限制之内，但基金管理人应在</w:t>
      </w:r>
      <w:r w:rsidR="00AF2EE6" w:rsidRPr="004A57FA">
        <w:rPr>
          <w:rFonts w:asciiTheme="minorEastAsia" w:eastAsiaTheme="minorEastAsia" w:hAnsiTheme="minorEastAsia" w:hint="eastAsia"/>
          <w:szCs w:val="21"/>
        </w:rPr>
        <w:t>10个交易日</w:t>
      </w:r>
      <w:r w:rsidR="00AF2EE6" w:rsidRPr="004A57FA">
        <w:rPr>
          <w:rFonts w:asciiTheme="minorEastAsia" w:eastAsiaTheme="minorEastAsia" w:hAnsiTheme="minorEastAsia"/>
          <w:szCs w:val="21"/>
        </w:rPr>
        <w:t>内进行调整，以达到</w:t>
      </w:r>
      <w:r w:rsidR="00AF2EE6" w:rsidRPr="004A57FA">
        <w:rPr>
          <w:rFonts w:asciiTheme="minorEastAsia" w:eastAsiaTheme="minorEastAsia" w:hAnsiTheme="minorEastAsia" w:hint="eastAsia"/>
          <w:szCs w:val="21"/>
        </w:rPr>
        <w:t>规定的投资比例限制要求。法律法规另有规定的从其规定。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基金管理人应在出现可预见资产规模大幅变动的情况下，至少提前</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个工作日正式向基金托管人发函说明基金可能变动规模和公司应对措施，便于托管人实施交易监督。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4）本基金可以按照国家的有关规定进行融资融券。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5）相关法律、法规或部门规章规定的其他比例限制。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基金托管人对基金投资的监督和检查自《基金合同》生效之日起开始。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（3）基金托管人根据有关法律法规的规定及《基金合同》的约定对下述基金投资禁止行为进行监督：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根据法律法规的规定及《基金合同》的约定，本基金禁止从事下列行为：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1）承销证券；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2）向他人贷款或提供担保；</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w:t>
      </w:r>
      <w:r w:rsidRPr="004A57FA">
        <w:rPr>
          <w:rFonts w:asciiTheme="minorEastAsia" w:eastAsiaTheme="minorEastAsia" w:hAnsiTheme="minorEastAsia"/>
          <w:szCs w:val="21"/>
        </w:rPr>
        <w:t>从事承担无限责任的投资；</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4）买卖其他基金份额，但法律法规或中国证监会另有规定的除外；</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5）向基金管理人、基金托管人出资或者买卖其基金管理人、基金托管人发行的股票或债券；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6）买卖与基金管理人、基金托管人有控股关系的股东或者与基金管理人、基金托管人有其他重大利害关系的公司发行的证券或者承销期内承销的证券；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7）从事内幕交易、操纵证券价格及其他不正当的证券交易活动；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8）当时有效的法律法规、中国证监会及《基金合同》规定禁止从事的其他行为。</w:t>
      </w:r>
    </w:p>
    <w:p w:rsidR="00AF2EE6" w:rsidRPr="004A57FA" w:rsidRDefault="00AF2EE6" w:rsidP="00C53017">
      <w:pPr>
        <w:snapToGrid w:val="0"/>
        <w:spacing w:line="360" w:lineRule="auto"/>
        <w:rPr>
          <w:rFonts w:asciiTheme="minorEastAsia" w:eastAsiaTheme="minorEastAsia" w:hAnsiTheme="minorEastAsia"/>
          <w:szCs w:val="21"/>
        </w:rPr>
      </w:pPr>
      <w:r w:rsidRPr="004A57FA">
        <w:rPr>
          <w:rFonts w:asciiTheme="minorEastAsia" w:eastAsiaTheme="minorEastAsia" w:hAnsiTheme="minorEastAsia" w:hint="eastAsia"/>
          <w:szCs w:val="21"/>
        </w:rPr>
        <w:t>如</w:t>
      </w:r>
      <w:r w:rsidRPr="004A57FA">
        <w:rPr>
          <w:rFonts w:asciiTheme="minorEastAsia" w:eastAsiaTheme="minorEastAsia" w:hAnsiTheme="minorEastAsia"/>
          <w:szCs w:val="21"/>
        </w:rPr>
        <w:t>法律法规或监管部门</w:t>
      </w:r>
      <w:r w:rsidRPr="004A57FA">
        <w:rPr>
          <w:rFonts w:asciiTheme="minorEastAsia" w:eastAsiaTheme="minorEastAsia" w:hAnsiTheme="minorEastAsia" w:hint="eastAsia"/>
          <w:szCs w:val="21"/>
        </w:rPr>
        <w:t>取消上述禁止性规定，基金管理人可不受上述规定的限制</w:t>
      </w:r>
      <w:r w:rsidRPr="004A57FA">
        <w:rPr>
          <w:rFonts w:asciiTheme="minorEastAsia" w:eastAsiaTheme="minorEastAsia" w:hAnsiTheme="minorEastAsia"/>
          <w:szCs w:val="21"/>
        </w:rPr>
        <w:t>。</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（4）基金托管人依据有关法律法规的规定和《基金合同》的约定对于基金关联投资限制进行监督。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（5）基金托管人依据有关法律法规的规定和《基金合同》的约定对基金管理人参与银行间债券市场进行监督。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1）基金托管人依据有关法律法规的规定和《基金合同》的约定对于基金管理人参与银行间市场交易时面临的交易对手资信风险进行监督。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发出书面通知，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2）基金托管人对于基金管理人参与银行间市场交易的交易方式的控制</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00D06513" w:rsidRPr="004A57FA">
        <w:rPr>
          <w:rFonts w:asciiTheme="minorEastAsia" w:eastAsiaTheme="minorEastAsia" w:hAnsiTheme="minorEastAsia" w:hint="eastAsia"/>
          <w:szCs w:val="21"/>
        </w:rPr>
        <w:t>。基金托管人的监督责任仅限于根据已提供的名单，审核交易对手是否在名单内列明。</w:t>
      </w:r>
      <w:r w:rsidRPr="004A57FA">
        <w:rPr>
          <w:rFonts w:asciiTheme="minorEastAsia" w:eastAsiaTheme="minorEastAsia" w:hAnsiTheme="minorEastAsia" w:hint="eastAsia"/>
          <w:szCs w:val="21"/>
        </w:rPr>
        <w:t>如果基金托管人在运作中严格遵循了上述监督流程，则对于由于交易对手资信风险引起的损失，不承担赔偿责任。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（6）基金托管人对基金管理人选择存款银行进行监督。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kern w:val="0"/>
          <w:szCs w:val="21"/>
        </w:rPr>
        <w:t>本基金投资银行存款的信用风险主要包括存款银行的信用等级、存款银行的支付能力等涉及到存款银行选择方面的风险。本基金核心存款银行名单为</w:t>
      </w:r>
      <w:r w:rsidRPr="004A57FA">
        <w:rPr>
          <w:rFonts w:asciiTheme="minorEastAsia" w:eastAsiaTheme="minorEastAsia" w:hAnsiTheme="minorEastAsia" w:hint="eastAsia"/>
          <w:szCs w:val="21"/>
        </w:rPr>
        <w:t>中国工商银行、中国银行、中国建设银行、中国农业银行和交通银行，</w:t>
      </w:r>
      <w:r w:rsidRPr="004A57FA">
        <w:rPr>
          <w:rFonts w:asciiTheme="minorEastAsia" w:eastAsiaTheme="minorEastAsia" w:hAnsiTheme="minorEastAsia" w:hint="eastAsia"/>
          <w:kern w:val="0"/>
          <w:szCs w:val="21"/>
        </w:rPr>
        <w:t>本</w:t>
      </w:r>
      <w:r w:rsidRPr="004A57FA">
        <w:rPr>
          <w:rFonts w:asciiTheme="minorEastAsia" w:eastAsiaTheme="minorEastAsia" w:hAnsiTheme="minorEastAsia" w:hint="eastAsia"/>
          <w:szCs w:val="21"/>
        </w:rPr>
        <w:t>基金投资除核心存款银行以外的银行存款出现由于存款银行信用风险而造成的损失时，先由基金管理人负责赔偿，之后有权要求相关责任人进行赔偿</w:t>
      </w:r>
      <w:r w:rsidR="00D06513" w:rsidRPr="004A57FA">
        <w:rPr>
          <w:rFonts w:asciiTheme="minorEastAsia" w:eastAsiaTheme="minorEastAsia" w:hAnsiTheme="minorEastAsia" w:hint="eastAsia"/>
          <w:szCs w:val="21"/>
        </w:rPr>
        <w:t>。基金托管人的监督责任仅限于审核基金管理人选择的存款银行是否在核心存款银行名单内列明。</w:t>
      </w:r>
      <w:r w:rsidRPr="004A57FA">
        <w:rPr>
          <w:rFonts w:asciiTheme="minorEastAsia" w:eastAsiaTheme="minorEastAsia" w:hAnsiTheme="minorEastAsia" w:hint="eastAsia"/>
          <w:szCs w:val="21"/>
        </w:rPr>
        <w:t>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（7）基金托管人对基金投资流通受限证券的监督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1）基金投资流通受限证券，应遵守《关于规范基金投资非公开发行证券行为的紧急通知》、《关于基金投资非公开发行股票等流通受限证券有关问题的通知》等有关法律法规规定。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2）流通受限证券，包括由《上市公司证券发行管理办法》规范的非公开发行股票、公开发行股票网下配售部分等在发行时明确一定期限锁定期的可交易证券</w:t>
      </w:r>
      <w:r w:rsidRPr="004A57FA">
        <w:rPr>
          <w:rFonts w:asciiTheme="minorEastAsia" w:eastAsiaTheme="minorEastAsia" w:hAnsiTheme="minorEastAsia"/>
          <w:szCs w:val="21"/>
        </w:rPr>
        <w:t>,</w:t>
      </w:r>
      <w:r w:rsidRPr="004A57FA">
        <w:rPr>
          <w:rFonts w:asciiTheme="minorEastAsia" w:eastAsiaTheme="minorEastAsia" w:hAnsiTheme="minorEastAsia" w:hint="eastAsia"/>
          <w:szCs w:val="21"/>
        </w:rPr>
        <w:t>不包括由于发布重大消息或其他原因而临时停牌的证券、已发行未上市证券、回购交易中的质押券等流通受限证券。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管理人应在所管理的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如基金管理人和基金托管人无法达成一致，应及时上报中国证监会请求解决。如果基金托管人</w:t>
      </w:r>
      <w:r w:rsidRPr="004A57FA">
        <w:rPr>
          <w:rFonts w:asciiTheme="minorEastAsia" w:eastAsiaTheme="minorEastAsia" w:hAnsiTheme="minorEastAsia"/>
          <w:szCs w:val="21"/>
        </w:rPr>
        <w:t>切实履行监督职责</w:t>
      </w:r>
      <w:r w:rsidRPr="004A57FA">
        <w:rPr>
          <w:rFonts w:asciiTheme="minorEastAsia" w:eastAsiaTheme="minorEastAsia" w:hAnsiTheme="minorEastAsia" w:hint="eastAsia"/>
          <w:szCs w:val="21"/>
        </w:rPr>
        <w:t>，则不承担任何责任。</w:t>
      </w:r>
      <w:r w:rsidRPr="004A57FA">
        <w:rPr>
          <w:rFonts w:asciiTheme="minorEastAsia" w:eastAsiaTheme="minorEastAsia" w:hAnsiTheme="minorEastAsia"/>
          <w:szCs w:val="21"/>
        </w:rPr>
        <w:t>如果基金托管</w:t>
      </w:r>
      <w:r w:rsidRPr="004A57FA">
        <w:rPr>
          <w:rFonts w:asciiTheme="minorEastAsia" w:eastAsiaTheme="minorEastAsia" w:hAnsiTheme="minorEastAsia" w:hint="eastAsia"/>
          <w:szCs w:val="21"/>
        </w:rPr>
        <w:t>人</w:t>
      </w:r>
      <w:r w:rsidRPr="004A57FA">
        <w:rPr>
          <w:rFonts w:asciiTheme="minorEastAsia" w:eastAsiaTheme="minorEastAsia" w:hAnsiTheme="minorEastAsia"/>
          <w:szCs w:val="21"/>
        </w:rPr>
        <w:t>没有切实履行监督职责，导致基金出现风险，基金托管</w:t>
      </w:r>
      <w:r w:rsidRPr="004A57FA">
        <w:rPr>
          <w:rFonts w:asciiTheme="minorEastAsia" w:eastAsiaTheme="minorEastAsia" w:hAnsiTheme="minorEastAsia" w:hint="eastAsia"/>
          <w:szCs w:val="21"/>
        </w:rPr>
        <w:t>人</w:t>
      </w:r>
      <w:r w:rsidRPr="004A57FA">
        <w:rPr>
          <w:rFonts w:asciiTheme="minorEastAsia" w:eastAsiaTheme="minorEastAsia" w:hAnsiTheme="minorEastAsia"/>
          <w:szCs w:val="21"/>
        </w:rPr>
        <w:t>应承担连带责任。</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8）由于本基金投资重点是红利股，因而基金管理人将每半年按照双方约定的形式向基金托管人提供相关股票库，并有责任确保该股票库符合基金合同的有关规定。基金托管人据此股票库监督本基金投资于该类上市公司股票的比例。基金管理人对该股票库的临时调整（首次公开发行的股票除外）应事先发函通知基金托管人并加盖公司公章，基金托管人在收到发函的2个工作日内回函确认。对该股票库的调整自基金托管人发出回函确认之日起第2日生效。</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bookmarkStart w:id="917" w:name="_Toc200523001"/>
      <w:bookmarkStart w:id="918" w:name="_Toc201398380"/>
      <w:bookmarkStart w:id="919" w:name="_Toc201399180"/>
      <w:r w:rsidRPr="004A57FA">
        <w:rPr>
          <w:rFonts w:asciiTheme="minorEastAsia" w:eastAsiaTheme="minorEastAsia" w:hAnsiTheme="minorEastAsia" w:hint="eastAsia"/>
          <w:szCs w:val="21"/>
        </w:rPr>
        <w:t>2、</w:t>
      </w:r>
      <w:r w:rsidR="00AF2EE6" w:rsidRPr="004A57FA">
        <w:rPr>
          <w:rFonts w:asciiTheme="minorEastAsia" w:eastAsiaTheme="minorEastAsia" w:hAnsiTheme="minorEastAsia"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917"/>
      <w:bookmarkEnd w:id="918"/>
      <w:bookmarkEnd w:id="919"/>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bookmarkStart w:id="920" w:name="_Toc200523002"/>
      <w:bookmarkStart w:id="921" w:name="_Toc201398381"/>
      <w:bookmarkStart w:id="922" w:name="_Toc201399181"/>
      <w:r w:rsidRPr="004A57FA">
        <w:rPr>
          <w:rFonts w:asciiTheme="minorEastAsia" w:eastAsiaTheme="minorEastAsia" w:hAnsiTheme="minorEastAsia" w:hint="eastAsia"/>
          <w:szCs w:val="21"/>
        </w:rPr>
        <w:t>3、</w:t>
      </w:r>
      <w:r w:rsidR="00AF2EE6" w:rsidRPr="004A57FA">
        <w:rPr>
          <w:rFonts w:asciiTheme="minorEastAsia" w:eastAsiaTheme="minorEastAsia" w:hAnsiTheme="minorEastAsia" w:hint="eastAsia"/>
          <w:szCs w:val="21"/>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bookmarkEnd w:id="920"/>
      <w:bookmarkEnd w:id="921"/>
      <w:bookmarkEnd w:id="922"/>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F2EE6" w:rsidRPr="004A57FA" w:rsidRDefault="00AF2EE6" w:rsidP="00C53017">
      <w:pPr>
        <w:pStyle w:val="af1"/>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基金托管人发现基金管理人的投资指令违反关法律法规规定或者违反《基金合同》约定的，应当拒绝执行，立即通知基金管理人，并向中国证监会报告。</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基金托管人发现基金管理人依据交易程序已经生效的投资指令违反法律、行政法规和其他有关规定，或者违反《基金合同》约定的，应当立即通知基金管理人，并报告中国证监会。</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基金托管人发现基金管理人有重大违规行为，应立即报告中国证监会，同时通知基金管理人限期纠正。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923" w:name="_Toc81231060"/>
      <w:r w:rsidRPr="004A57FA">
        <w:rPr>
          <w:rFonts w:asciiTheme="minorEastAsia" w:eastAsiaTheme="minorEastAsia" w:hAnsiTheme="minorEastAsia" w:hint="eastAsia"/>
          <w:b w:val="0"/>
          <w:bCs/>
        </w:rPr>
        <w:t>（三）</w:t>
      </w:r>
      <w:bookmarkStart w:id="924" w:name="_Toc123705448"/>
      <w:bookmarkStart w:id="925" w:name="_Toc124749228"/>
      <w:bookmarkStart w:id="926" w:name="_Toc124749939"/>
      <w:bookmarkStart w:id="927" w:name="_Toc125361076"/>
      <w:r w:rsidRPr="004A57FA">
        <w:rPr>
          <w:rFonts w:asciiTheme="minorEastAsia" w:eastAsiaTheme="minorEastAsia" w:hAnsiTheme="minorEastAsia" w:hint="eastAsia"/>
          <w:b w:val="0"/>
          <w:bCs/>
        </w:rPr>
        <w:t>基金管理人对基金托管人的业务核查</w:t>
      </w:r>
      <w:bookmarkEnd w:id="923"/>
      <w:bookmarkEnd w:id="924"/>
      <w:bookmarkEnd w:id="925"/>
      <w:bookmarkEnd w:id="926"/>
      <w:bookmarkEnd w:id="927"/>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A57FA">
        <w:rPr>
          <w:rFonts w:asciiTheme="minorEastAsia" w:eastAsiaTheme="minorEastAsia" w:hAnsiTheme="minorEastAsia" w:hint="eastAsia"/>
          <w:kern w:val="0"/>
          <w:szCs w:val="21"/>
        </w:rPr>
        <w:t>基金管理人有义务要求基金托管人赔偿基金因此所遭受的损失。</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基金托管人应积极配合基金管理人的核查行为，包括但不限于：提交相关资料以供基金管理人核查托管财产的完整性和真实性，在规定时间内答复基金管理人并改正。</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928" w:name="_Toc40511579"/>
      <w:bookmarkStart w:id="929" w:name="_Toc81231061"/>
      <w:r w:rsidRPr="004A57FA">
        <w:rPr>
          <w:rFonts w:asciiTheme="minorEastAsia" w:eastAsiaTheme="minorEastAsia" w:hAnsiTheme="minorEastAsia" w:hint="eastAsia"/>
          <w:b w:val="0"/>
          <w:bCs/>
        </w:rPr>
        <w:t>（四）基金财产保管</w:t>
      </w:r>
      <w:bookmarkEnd w:id="928"/>
      <w:bookmarkEnd w:id="929"/>
    </w:p>
    <w:p w:rsidR="00AF2EE6" w:rsidRPr="004A57FA" w:rsidRDefault="00626C7D" w:rsidP="00C53017">
      <w:pPr>
        <w:snapToGrid w:val="0"/>
        <w:spacing w:line="360" w:lineRule="auto"/>
        <w:ind w:firstLine="562"/>
        <w:rPr>
          <w:rFonts w:asciiTheme="minorEastAsia" w:eastAsiaTheme="minorEastAsia" w:hAnsiTheme="minorEastAsia"/>
          <w:bCs/>
          <w:szCs w:val="21"/>
        </w:rPr>
      </w:pPr>
      <w:bookmarkStart w:id="930" w:name="_Toc200523005"/>
      <w:bookmarkStart w:id="931" w:name="_Toc201398384"/>
      <w:bookmarkStart w:id="932" w:name="_Toc201399184"/>
      <w:bookmarkStart w:id="933" w:name="_Toc37159173"/>
      <w:r w:rsidRPr="004A57FA">
        <w:rPr>
          <w:rFonts w:asciiTheme="minorEastAsia" w:eastAsiaTheme="minorEastAsia" w:hAnsiTheme="minorEastAsia" w:hint="eastAsia"/>
          <w:bCs/>
          <w:szCs w:val="21"/>
        </w:rPr>
        <w:t>1、</w:t>
      </w:r>
      <w:r w:rsidR="00AF2EE6" w:rsidRPr="004A57FA">
        <w:rPr>
          <w:rFonts w:asciiTheme="minorEastAsia" w:eastAsiaTheme="minorEastAsia" w:hAnsiTheme="minorEastAsia" w:hint="eastAsia"/>
          <w:bCs/>
          <w:szCs w:val="21"/>
        </w:rPr>
        <w:t>基金财产保管的原则</w:t>
      </w:r>
      <w:bookmarkEnd w:id="930"/>
      <w:bookmarkEnd w:id="931"/>
      <w:bookmarkEnd w:id="932"/>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（1）基金财产应独立于基金管理人、基金托管人的固有财产。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（2）基金托管人应安全保管基金财产。未经基金管理人的正当指令，不得自行运用、</w:t>
      </w:r>
      <w:r w:rsidRPr="004A57FA">
        <w:rPr>
          <w:rFonts w:asciiTheme="minorEastAsia" w:eastAsiaTheme="minorEastAsia" w:hAnsiTheme="minorEastAsia" w:hint="eastAsia"/>
          <w:szCs w:val="21"/>
        </w:rPr>
        <w:lastRenderedPageBreak/>
        <w:t>处分、分配基金的任何财产。</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（3）基金托管人按照规定开设基金财产的资金账户和证券账户。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（4）基金托管人对所托管的不同基金财产分别设置账户，与基金托管人的其他业务和其他基金的托管业务实行严格的分账管理，确保基金财产的完整与独立。</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对于因基金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AF2EE6" w:rsidRPr="004A57FA" w:rsidRDefault="00626C7D" w:rsidP="00C53017">
      <w:pPr>
        <w:snapToGrid w:val="0"/>
        <w:spacing w:line="360" w:lineRule="auto"/>
        <w:ind w:firstLineChars="200" w:firstLine="420"/>
        <w:rPr>
          <w:rFonts w:asciiTheme="minorEastAsia" w:eastAsiaTheme="minorEastAsia" w:hAnsiTheme="minorEastAsia"/>
          <w:bCs/>
          <w:szCs w:val="21"/>
        </w:rPr>
      </w:pPr>
      <w:bookmarkStart w:id="934" w:name="_Toc200523006"/>
      <w:r w:rsidRPr="004A57FA">
        <w:rPr>
          <w:rFonts w:asciiTheme="minorEastAsia" w:eastAsiaTheme="minorEastAsia" w:hAnsiTheme="minorEastAsia" w:hint="eastAsia"/>
          <w:bCs/>
          <w:szCs w:val="21"/>
        </w:rPr>
        <w:t>2、</w:t>
      </w:r>
      <w:r w:rsidR="00AF2EE6" w:rsidRPr="004A57FA">
        <w:rPr>
          <w:rFonts w:asciiTheme="minorEastAsia" w:eastAsiaTheme="minorEastAsia" w:hAnsiTheme="minorEastAsia" w:hint="eastAsia"/>
          <w:bCs/>
          <w:szCs w:val="21"/>
        </w:rPr>
        <w:t>集中申购资金的验证</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集中申购期内销售机构按销售与服务代理协议的约定，将集中申购资金划入基金管理人在具有托管资格的商业银行开设的基金集中申购专户。该账户由基金管理人开立并管理。基金集中申购期满，由基金管理人聘请具有从事证券相关业务资格的会计师事务所进行验资，出具验资报告，出具的验资报告应由参加验资的</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名以上（含</w:t>
      </w:r>
      <w:r w:rsidRPr="004A57FA">
        <w:rPr>
          <w:rFonts w:asciiTheme="minorEastAsia" w:eastAsiaTheme="minorEastAsia" w:hAnsiTheme="minorEastAsia"/>
          <w:szCs w:val="21"/>
        </w:rPr>
        <w:t>2</w:t>
      </w:r>
      <w:r w:rsidRPr="004A57FA">
        <w:rPr>
          <w:rFonts w:asciiTheme="minorEastAsia" w:eastAsiaTheme="minorEastAsia" w:hAnsiTheme="minorEastAsia" w:hint="eastAsia"/>
          <w:szCs w:val="21"/>
        </w:rPr>
        <w:t>名）中国注册会计师签字有效。验资完成，基金管理人应将集中申购的属于本基金财产的全部资金存入基金托管人为基金开立的资产托管专户中，基金托管人在收到资金当日出具相关证明文件。</w:t>
      </w:r>
    </w:p>
    <w:p w:rsidR="00AF2EE6" w:rsidRPr="004A57FA" w:rsidRDefault="00626C7D" w:rsidP="00C53017">
      <w:pPr>
        <w:snapToGrid w:val="0"/>
        <w:spacing w:line="360" w:lineRule="auto"/>
        <w:ind w:firstLineChars="200" w:firstLine="420"/>
        <w:rPr>
          <w:rFonts w:asciiTheme="minorEastAsia" w:eastAsiaTheme="minorEastAsia" w:hAnsiTheme="minorEastAsia"/>
          <w:bCs/>
          <w:szCs w:val="21"/>
        </w:rPr>
      </w:pPr>
      <w:bookmarkStart w:id="935" w:name="_Toc200523007"/>
      <w:bookmarkEnd w:id="934"/>
      <w:r w:rsidRPr="004A57FA">
        <w:rPr>
          <w:rFonts w:asciiTheme="minorEastAsia" w:eastAsiaTheme="minorEastAsia" w:hAnsiTheme="minorEastAsia" w:hint="eastAsia"/>
          <w:bCs/>
          <w:szCs w:val="21"/>
        </w:rPr>
        <w:t>3、</w:t>
      </w:r>
      <w:r w:rsidR="00AF2EE6" w:rsidRPr="004A57FA">
        <w:rPr>
          <w:rFonts w:asciiTheme="minorEastAsia" w:eastAsiaTheme="minorEastAsia" w:hAnsiTheme="minorEastAsia" w:hint="eastAsia"/>
          <w:bCs/>
          <w:szCs w:val="21"/>
        </w:rPr>
        <w:t>基金的银行账户的开立和管理</w:t>
      </w:r>
      <w:bookmarkEnd w:id="935"/>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资产托管专户的管理应符合《银行账户管理办法》、《现金管理条例》、《中国人民银行利率管理的有关规定》、《关于大额现金支付管理的通知》、《支付结算办法》以及银行业监督管理机构的其他规定。</w:t>
      </w:r>
    </w:p>
    <w:p w:rsidR="00AF2EE6" w:rsidRPr="004A57FA" w:rsidRDefault="00626C7D" w:rsidP="00C53017">
      <w:pPr>
        <w:snapToGrid w:val="0"/>
        <w:spacing w:line="360" w:lineRule="auto"/>
        <w:ind w:firstLineChars="200" w:firstLine="420"/>
        <w:rPr>
          <w:rFonts w:asciiTheme="minorEastAsia" w:eastAsiaTheme="minorEastAsia" w:hAnsiTheme="minorEastAsia"/>
          <w:bCs/>
          <w:szCs w:val="21"/>
        </w:rPr>
      </w:pPr>
      <w:bookmarkStart w:id="936" w:name="_Toc200523008"/>
      <w:bookmarkStart w:id="937" w:name="_Toc201398385"/>
      <w:bookmarkStart w:id="938" w:name="_Toc201399185"/>
      <w:r w:rsidRPr="004A57FA">
        <w:rPr>
          <w:rFonts w:asciiTheme="minorEastAsia" w:eastAsiaTheme="minorEastAsia" w:hAnsiTheme="minorEastAsia" w:hint="eastAsia"/>
          <w:bCs/>
          <w:szCs w:val="21"/>
        </w:rPr>
        <w:t>4、</w:t>
      </w:r>
      <w:r w:rsidR="00AF2EE6" w:rsidRPr="004A57FA">
        <w:rPr>
          <w:rFonts w:asciiTheme="minorEastAsia" w:eastAsiaTheme="minorEastAsia" w:hAnsiTheme="minorEastAsia" w:hint="eastAsia"/>
          <w:bCs/>
          <w:szCs w:val="21"/>
        </w:rPr>
        <w:t>基金证券账户与证券交易资金账户的开设和管理</w:t>
      </w:r>
      <w:bookmarkEnd w:id="936"/>
      <w:bookmarkEnd w:id="937"/>
      <w:bookmarkEnd w:id="938"/>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基金托管人以基金托管人和本基金联名的方式在中国证券登记结算有限公司上海分公司/深圳分公司开设证券账户。</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基金托管人</w:t>
      </w:r>
      <w:r w:rsidRPr="004A57FA">
        <w:rPr>
          <w:rFonts w:asciiTheme="minorEastAsia" w:eastAsiaTheme="minorEastAsia" w:hAnsiTheme="minorEastAsia"/>
          <w:szCs w:val="21"/>
        </w:rPr>
        <w:t>以</w:t>
      </w:r>
      <w:r w:rsidRPr="004A57FA">
        <w:rPr>
          <w:rFonts w:asciiTheme="minorEastAsia" w:eastAsiaTheme="minorEastAsia" w:hAnsiTheme="minorEastAsia" w:hint="eastAsia"/>
          <w:szCs w:val="21"/>
        </w:rPr>
        <w:t>基金托管人的名义在中国证券登记结算有限责任公司上海分公司/深圳分公司开立基金证券交易资金账户，用于证券清算。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F2EE6" w:rsidRPr="004A57FA" w:rsidRDefault="00626C7D" w:rsidP="00C53017">
      <w:pPr>
        <w:snapToGrid w:val="0"/>
        <w:spacing w:line="360" w:lineRule="auto"/>
        <w:ind w:firstLineChars="200" w:firstLine="420"/>
        <w:rPr>
          <w:rFonts w:asciiTheme="minorEastAsia" w:eastAsiaTheme="minorEastAsia" w:hAnsiTheme="minorEastAsia"/>
          <w:bCs/>
          <w:szCs w:val="21"/>
        </w:rPr>
      </w:pPr>
      <w:bookmarkStart w:id="939" w:name="_Toc200523009"/>
      <w:bookmarkStart w:id="940" w:name="_Toc201398386"/>
      <w:bookmarkStart w:id="941" w:name="_Toc201399186"/>
      <w:r w:rsidRPr="004A57FA">
        <w:rPr>
          <w:rFonts w:asciiTheme="minorEastAsia" w:eastAsiaTheme="minorEastAsia" w:hAnsiTheme="minorEastAsia" w:hint="eastAsia"/>
          <w:bCs/>
          <w:szCs w:val="21"/>
        </w:rPr>
        <w:lastRenderedPageBreak/>
        <w:t>5、</w:t>
      </w:r>
      <w:r w:rsidR="00AF2EE6" w:rsidRPr="004A57FA">
        <w:rPr>
          <w:rFonts w:asciiTheme="minorEastAsia" w:eastAsiaTheme="minorEastAsia" w:hAnsiTheme="minorEastAsia" w:hint="eastAsia"/>
          <w:bCs/>
          <w:szCs w:val="21"/>
        </w:rPr>
        <w:t>债券托管账户的开立和管理</w:t>
      </w:r>
      <w:bookmarkEnd w:id="939"/>
      <w:bookmarkEnd w:id="940"/>
      <w:bookmarkEnd w:id="941"/>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（2）基金管理人和基金托管人应一起负责为基金对外签订全国银行间国债市场回购主协议，正本由基金托管人保管，基金管理人保存副本。</w:t>
      </w:r>
    </w:p>
    <w:p w:rsidR="00AF2EE6" w:rsidRPr="004A57FA" w:rsidRDefault="00626C7D" w:rsidP="00C53017">
      <w:pPr>
        <w:snapToGrid w:val="0"/>
        <w:spacing w:line="360" w:lineRule="auto"/>
        <w:ind w:firstLineChars="200" w:firstLine="420"/>
        <w:rPr>
          <w:rFonts w:asciiTheme="minorEastAsia" w:eastAsiaTheme="minorEastAsia" w:hAnsiTheme="minorEastAsia"/>
          <w:bCs/>
          <w:szCs w:val="21"/>
        </w:rPr>
      </w:pPr>
      <w:r w:rsidRPr="004A57FA">
        <w:rPr>
          <w:rFonts w:asciiTheme="minorEastAsia" w:eastAsiaTheme="minorEastAsia" w:hAnsiTheme="minorEastAsia" w:hint="eastAsia"/>
          <w:bCs/>
          <w:szCs w:val="21"/>
        </w:rPr>
        <w:t>6、</w:t>
      </w:r>
      <w:r w:rsidR="00AF2EE6" w:rsidRPr="004A57FA">
        <w:rPr>
          <w:rFonts w:asciiTheme="minorEastAsia" w:eastAsiaTheme="minorEastAsia" w:hAnsiTheme="minorEastAsia" w:hint="eastAsia"/>
          <w:bCs/>
          <w:szCs w:val="21"/>
        </w:rPr>
        <w:t>其他账户的开设和管理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bookmarkStart w:id="942" w:name="_Toc200523010"/>
      <w:bookmarkStart w:id="943" w:name="_Toc201398387"/>
      <w:bookmarkStart w:id="944" w:name="_Toc201399187"/>
      <w:r w:rsidRPr="004A57FA">
        <w:rPr>
          <w:rFonts w:asciiTheme="minorEastAsia" w:eastAsiaTheme="minorEastAsia" w:hAnsiTheme="minorEastAsia" w:hint="eastAsia"/>
          <w:szCs w:val="21"/>
        </w:rPr>
        <w:t>7、</w:t>
      </w:r>
      <w:r w:rsidR="00AF2EE6" w:rsidRPr="004A57FA">
        <w:rPr>
          <w:rFonts w:asciiTheme="minorEastAsia" w:eastAsiaTheme="minorEastAsia" w:hAnsiTheme="minorEastAsia" w:hint="eastAsia"/>
          <w:szCs w:val="21"/>
        </w:rPr>
        <w:t>基金财产投资的有关实物证券、银行定期存款存单等有价凭证的保管</w:t>
      </w:r>
      <w:bookmarkEnd w:id="942"/>
      <w:bookmarkEnd w:id="943"/>
      <w:bookmarkEnd w:id="944"/>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实物证券不承担保管责任。</w:t>
      </w:r>
    </w:p>
    <w:p w:rsidR="00AF2EE6" w:rsidRPr="004A57FA" w:rsidRDefault="00626C7D" w:rsidP="00C53017">
      <w:pPr>
        <w:snapToGrid w:val="0"/>
        <w:spacing w:line="360" w:lineRule="auto"/>
        <w:ind w:firstLineChars="200" w:firstLine="420"/>
        <w:rPr>
          <w:rFonts w:asciiTheme="minorEastAsia" w:eastAsiaTheme="minorEastAsia" w:hAnsiTheme="minorEastAsia"/>
          <w:szCs w:val="21"/>
        </w:rPr>
      </w:pPr>
      <w:bookmarkStart w:id="945" w:name="_Toc37159180"/>
      <w:bookmarkStart w:id="946" w:name="_Toc200523011"/>
      <w:bookmarkStart w:id="947" w:name="_Toc201398388"/>
      <w:bookmarkStart w:id="948" w:name="_Toc201399188"/>
      <w:r w:rsidRPr="004A57FA">
        <w:rPr>
          <w:rFonts w:asciiTheme="minorEastAsia" w:eastAsiaTheme="minorEastAsia" w:hAnsiTheme="minorEastAsia" w:hint="eastAsia"/>
          <w:szCs w:val="21"/>
        </w:rPr>
        <w:t>8、</w:t>
      </w:r>
      <w:r w:rsidR="00AF2EE6" w:rsidRPr="004A57FA">
        <w:rPr>
          <w:rFonts w:asciiTheme="minorEastAsia" w:eastAsiaTheme="minorEastAsia" w:hAnsiTheme="minorEastAsia" w:hint="eastAsia"/>
          <w:szCs w:val="21"/>
        </w:rPr>
        <w:t>与基金财产有关的重大合同的保管</w:t>
      </w:r>
      <w:bookmarkEnd w:id="945"/>
      <w:bookmarkEnd w:id="946"/>
      <w:bookmarkEnd w:id="947"/>
      <w:bookmarkEnd w:id="948"/>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10个工作日内通过专人送达、挂号邮寄等安全方式将合同原件送达基金托管人处。合同原件应存放于基金管理人和基金托管人各自文件保管部门15年以上。</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rPr>
      </w:pPr>
      <w:bookmarkStart w:id="949" w:name="_Toc81231062"/>
      <w:bookmarkEnd w:id="933"/>
      <w:r w:rsidRPr="004A57FA">
        <w:rPr>
          <w:rFonts w:asciiTheme="minorEastAsia" w:eastAsiaTheme="minorEastAsia" w:hAnsiTheme="minorEastAsia" w:hint="eastAsia"/>
          <w:b w:val="0"/>
          <w:bCs/>
        </w:rPr>
        <w:t>（五）基金资产净值计算与复核</w:t>
      </w:r>
      <w:bookmarkEnd w:id="949"/>
    </w:p>
    <w:p w:rsidR="00AF2EE6" w:rsidRPr="004A57FA" w:rsidRDefault="00626C7D" w:rsidP="00C53017">
      <w:pPr>
        <w:snapToGrid w:val="0"/>
        <w:spacing w:line="360" w:lineRule="auto"/>
        <w:ind w:right="28"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w:t>
      </w:r>
      <w:r w:rsidR="00AF2EE6" w:rsidRPr="004A57FA">
        <w:rPr>
          <w:rFonts w:asciiTheme="minorEastAsia" w:eastAsiaTheme="minorEastAsia" w:hAnsiTheme="minorEastAsia" w:hint="eastAsia"/>
          <w:szCs w:val="21"/>
        </w:rPr>
        <w:t>基金资产净值是指基金资产总值减去负债后的价值。基金份额净值是指计算日基金资产净值除以该计算日基金份额总份额后的数值。基金份额净值的计算保留到小数点后3位，小数点后第4位四舍五入。</w:t>
      </w:r>
    </w:p>
    <w:p w:rsidR="00AF2EE6" w:rsidRPr="004A57FA" w:rsidRDefault="00626C7D" w:rsidP="00C53017">
      <w:pPr>
        <w:snapToGrid w:val="0"/>
        <w:spacing w:line="360" w:lineRule="auto"/>
        <w:ind w:right="28"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w:t>
      </w:r>
      <w:r w:rsidR="00AC34D1" w:rsidRPr="004A57FA">
        <w:rPr>
          <w:rFonts w:asciiTheme="minorEastAsia" w:eastAsiaTheme="minorEastAsia" w:hAnsiTheme="minorEastAsia" w:hint="eastAsia"/>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传真方式发送给基金托管人。基金托管人对净值计算</w:t>
      </w:r>
      <w:r w:rsidR="00AC34D1" w:rsidRPr="004A57FA">
        <w:rPr>
          <w:rFonts w:asciiTheme="minorEastAsia" w:eastAsiaTheme="minorEastAsia" w:hAnsiTheme="minorEastAsia" w:hint="eastAsia"/>
          <w:szCs w:val="21"/>
        </w:rPr>
        <w:lastRenderedPageBreak/>
        <w:t>结果复核后，签名、盖章并以传真方式传送给基金管理人，由基金管理人对基金净值信息予以公布。</w:t>
      </w:r>
    </w:p>
    <w:p w:rsidR="00C14B72" w:rsidRPr="004A57FA" w:rsidRDefault="00626C7D" w:rsidP="00C53017">
      <w:pPr>
        <w:snapToGrid w:val="0"/>
        <w:spacing w:line="360" w:lineRule="auto"/>
        <w:ind w:right="28" w:firstLineChars="200" w:firstLine="420"/>
        <w:rPr>
          <w:rFonts w:asciiTheme="minorEastAsia" w:eastAsiaTheme="minorEastAsia" w:hAnsiTheme="minorEastAsia"/>
        </w:rPr>
      </w:pPr>
      <w:r w:rsidRPr="004A57FA">
        <w:rPr>
          <w:rFonts w:asciiTheme="minorEastAsia" w:eastAsiaTheme="minorEastAsia" w:hAnsiTheme="minorEastAsia" w:hint="eastAsia"/>
          <w:szCs w:val="21"/>
        </w:rPr>
        <w:t>3、</w:t>
      </w:r>
      <w:r w:rsidR="00C14B72" w:rsidRPr="004A57FA">
        <w:rPr>
          <w:rFonts w:asciiTheme="minorEastAsia" w:eastAsiaTheme="minorEastAsia" w:hAnsiTheme="minorEastAsia" w:hint="eastAsia"/>
        </w:rPr>
        <w:t>基金资产估值方法</w:t>
      </w:r>
    </w:p>
    <w:p w:rsidR="00AF2EE6" w:rsidRPr="004A57FA" w:rsidRDefault="00C14B72" w:rsidP="00C53017">
      <w:pPr>
        <w:snapToGrid w:val="0"/>
        <w:spacing w:line="360" w:lineRule="auto"/>
        <w:ind w:right="28" w:firstLineChars="200" w:firstLine="420"/>
        <w:rPr>
          <w:rFonts w:asciiTheme="minorEastAsia" w:eastAsiaTheme="minorEastAsia" w:hAnsiTheme="minorEastAsia"/>
        </w:rPr>
      </w:pPr>
      <w:r w:rsidRPr="004A57FA">
        <w:rPr>
          <w:rFonts w:asciiTheme="minorEastAsia" w:eastAsiaTheme="minorEastAsia" w:hAnsiTheme="minorEastAsia" w:hint="eastAsia"/>
        </w:rPr>
        <w:t>本基金按以下方式进行估值：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（1）证券交易所上市的有价证券的估值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（2）处于未上市期间的有价证券应区分如下情况处理：</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（3）因持有股票而享有的配股权，以及停止交易、但未行权的权证，采用估值技术确定公允价值。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（4）全国银行间债券市场交易的债券、资产支持证券等固定收益品种，采用估值技术确定公允价值。</w:t>
      </w:r>
    </w:p>
    <w:p w:rsidR="00C11497" w:rsidRPr="004A57FA" w:rsidRDefault="00AF2EE6" w:rsidP="00C1149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（5）同一债券同时在两个或两个以上市场交易的，按债券所处的市场分别估值。</w:t>
      </w:r>
    </w:p>
    <w:p w:rsidR="00AF2EE6" w:rsidRPr="004A57FA" w:rsidRDefault="00C11497" w:rsidP="00C1149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（6）本基金投资存托凭证的估值核算，依照境内上市交易的股票执行。</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lastRenderedPageBreak/>
        <w:t>（</w:t>
      </w:r>
      <w:r w:rsidR="00C11497" w:rsidRPr="004A57FA">
        <w:rPr>
          <w:rFonts w:asciiTheme="minorEastAsia" w:eastAsiaTheme="minorEastAsia" w:hAnsiTheme="minorEastAsia" w:hint="eastAsia"/>
          <w:szCs w:val="21"/>
        </w:rPr>
        <w:t>7</w:t>
      </w:r>
      <w:r w:rsidRPr="004A57FA">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w:t>
      </w:r>
      <w:r w:rsidR="00C11497" w:rsidRPr="004A57FA">
        <w:rPr>
          <w:rFonts w:asciiTheme="minorEastAsia" w:eastAsiaTheme="minorEastAsia" w:hAnsiTheme="minorEastAsia" w:hint="eastAsia"/>
          <w:szCs w:val="21"/>
        </w:rPr>
        <w:t>8</w:t>
      </w:r>
      <w:r w:rsidRPr="004A57FA">
        <w:rPr>
          <w:rFonts w:asciiTheme="minorEastAsia" w:eastAsiaTheme="minorEastAsia" w:hAnsiTheme="minorEastAsia" w:hint="eastAsia"/>
          <w:szCs w:val="21"/>
        </w:rPr>
        <w:t>）相关法律法规以及监管部门有强制规定的，从其规定。如有新增事项，按国家最新规定估值。</w:t>
      </w:r>
    </w:p>
    <w:p w:rsidR="00AF2EE6" w:rsidRPr="004A57FA" w:rsidRDefault="00AF2EE6" w:rsidP="00C53017">
      <w:pPr>
        <w:snapToGrid w:val="0"/>
        <w:spacing w:line="360" w:lineRule="auto"/>
        <w:ind w:firstLineChars="200" w:firstLine="420"/>
        <w:rPr>
          <w:rFonts w:asciiTheme="minorEastAsia" w:eastAsiaTheme="minorEastAsia" w:hAnsiTheme="minorEastAsia"/>
          <w:szCs w:val="21"/>
        </w:rPr>
      </w:pPr>
      <w:r w:rsidRPr="004A57FA">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 w:val="21"/>
        </w:rPr>
      </w:pPr>
      <w:bookmarkStart w:id="950" w:name="_Toc81231063"/>
      <w:r w:rsidRPr="004A57FA">
        <w:rPr>
          <w:rFonts w:asciiTheme="minorEastAsia" w:eastAsiaTheme="minorEastAsia" w:hAnsiTheme="minorEastAsia" w:hint="eastAsia"/>
          <w:b w:val="0"/>
          <w:bCs/>
        </w:rPr>
        <w:t>（六）基金份额持有人名册的保管</w:t>
      </w:r>
      <w:bookmarkEnd w:id="950"/>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基金管理人和基金托管人须分别妥善保管的基金份额持有人名册，包括《基金合同》生效日、《基金合同》终止日、基金份额持有人大会权利登记日、每年6月30日、</w:t>
      </w:r>
      <w:smartTag w:uri="urn:schemas-microsoft-com:office:smarttags" w:element="chsdate">
        <w:smartTagPr>
          <w:attr w:name="IsROCDate" w:val="False"/>
          <w:attr w:name="IsLunarDate" w:val="False"/>
          <w:attr w:name="Day" w:val="31"/>
          <w:attr w:name="Month" w:val="12"/>
          <w:attr w:name="Year" w:val="2008"/>
        </w:smartTagPr>
        <w:r w:rsidRPr="004A57FA">
          <w:rPr>
            <w:rFonts w:asciiTheme="minorEastAsia" w:eastAsiaTheme="minorEastAsia" w:hAnsiTheme="minorEastAsia" w:hint="eastAsia"/>
          </w:rPr>
          <w:t>12月31日</w:t>
        </w:r>
      </w:smartTag>
      <w:r w:rsidRPr="004A57FA">
        <w:rPr>
          <w:rFonts w:asciiTheme="minorEastAsia" w:eastAsiaTheme="minorEastAsia" w:hAnsiTheme="minorEastAsia" w:hint="eastAsia"/>
        </w:rPr>
        <w:t>的基金份额持有人名册。基金份额持有人名册的内容必须包括基金份额持有人的名称和持有的基金份额。</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sidR="00A31EAA" w:rsidRPr="004A57FA">
        <w:rPr>
          <w:rFonts w:asciiTheme="minorEastAsia" w:eastAsiaTheme="minorEastAsia" w:hAnsiTheme="minorEastAsia" w:hint="eastAsia"/>
        </w:rPr>
        <w:t>20</w:t>
      </w:r>
      <w:r w:rsidRPr="004A57FA">
        <w:rPr>
          <w:rFonts w:asciiTheme="minorEastAsia" w:eastAsiaTheme="minorEastAsia" w:hAnsiTheme="minorEastAsia" w:hint="eastAsia"/>
        </w:rPr>
        <w:t>年。</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基金托管人以电子版形式妥善保管基金份额持有人名册，并定期刻成光盘备份，保存期限为</w:t>
      </w:r>
      <w:r w:rsidR="00A31EAA" w:rsidRPr="004A57FA">
        <w:rPr>
          <w:rFonts w:asciiTheme="minorEastAsia" w:eastAsiaTheme="minorEastAsia" w:hAnsiTheme="minorEastAsia" w:hint="eastAsia"/>
        </w:rPr>
        <w:t>20</w:t>
      </w:r>
      <w:r w:rsidRPr="004A57FA">
        <w:rPr>
          <w:rFonts w:asciiTheme="minorEastAsia" w:eastAsiaTheme="minorEastAsia" w:hAnsiTheme="minorEastAsia" w:hint="eastAsia"/>
        </w:rPr>
        <w:t>年。基金托管人不得将所保管的基金份额持有人名册用于基金托管业务以外的其他用途，并应遵守保密义务。</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若基金管理人或基金托管人由于自身原因无法妥善保管基金份额持有人名册，应按有关法规规定各自承担相应的责任。</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 w:val="21"/>
        </w:rPr>
      </w:pPr>
      <w:bookmarkStart w:id="951" w:name="_Toc81231064"/>
      <w:r w:rsidRPr="004A57FA">
        <w:rPr>
          <w:rFonts w:asciiTheme="minorEastAsia" w:eastAsiaTheme="minorEastAsia" w:hAnsiTheme="minorEastAsia" w:hint="eastAsia"/>
          <w:b w:val="0"/>
          <w:bCs/>
        </w:rPr>
        <w:t>（七）争议解决方式</w:t>
      </w:r>
      <w:bookmarkEnd w:id="951"/>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争议处理期间，相关各方当事人应恪守基金管理人和基金托管人职责，继续忠实、勤勉、尽责地履行《基金合同》和托管协议规定的义务，维护基金份额持有人的合法权益。</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lastRenderedPageBreak/>
        <w:t>本协议受中国法律管辖。</w:t>
      </w:r>
    </w:p>
    <w:p w:rsidR="00AF2EE6" w:rsidRPr="004A57FA" w:rsidRDefault="00AF2EE6" w:rsidP="00C53017">
      <w:pPr>
        <w:pStyle w:val="20"/>
        <w:snapToGrid w:val="0"/>
        <w:spacing w:beforeLines="0" w:afterLines="0" w:line="360" w:lineRule="auto"/>
        <w:ind w:firstLineChars="0" w:firstLine="0"/>
        <w:rPr>
          <w:rFonts w:asciiTheme="minorEastAsia" w:eastAsiaTheme="minorEastAsia" w:hAnsiTheme="minorEastAsia"/>
          <w:b w:val="0"/>
          <w:bCs/>
          <w:sz w:val="21"/>
        </w:rPr>
      </w:pPr>
      <w:bookmarkStart w:id="952" w:name="_Toc81231065"/>
      <w:r w:rsidRPr="004A57FA">
        <w:rPr>
          <w:rFonts w:asciiTheme="minorEastAsia" w:eastAsiaTheme="minorEastAsia" w:hAnsiTheme="minorEastAsia" w:hint="eastAsia"/>
          <w:b w:val="0"/>
          <w:bCs/>
        </w:rPr>
        <w:t>（八）托管协议的变更与终止</w:t>
      </w:r>
      <w:bookmarkEnd w:id="952"/>
    </w:p>
    <w:p w:rsidR="00AF2EE6" w:rsidRPr="004A57FA" w:rsidRDefault="00626C7D"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1、</w:t>
      </w:r>
      <w:r w:rsidR="00AF2EE6" w:rsidRPr="004A57FA">
        <w:rPr>
          <w:rFonts w:asciiTheme="minorEastAsia" w:eastAsiaTheme="minorEastAsia" w:hAnsiTheme="minorEastAsia" w:hint="eastAsia"/>
        </w:rPr>
        <w:t>本协议双方当事人经协商一致，可以对协议的内容进行变更。变更后的托管协议，其内容不得与《基金合同》的规定有任何冲突。基金托管协议的变更报中国证监会</w:t>
      </w:r>
      <w:r w:rsidR="00A31EAA" w:rsidRPr="004A57FA">
        <w:rPr>
          <w:rFonts w:asciiTheme="minorEastAsia" w:eastAsiaTheme="minorEastAsia" w:hAnsiTheme="minorEastAsia" w:hint="eastAsia"/>
        </w:rPr>
        <w:t>备案</w:t>
      </w:r>
      <w:r w:rsidR="00AF2EE6" w:rsidRPr="004A57FA">
        <w:rPr>
          <w:rFonts w:asciiTheme="minorEastAsia" w:eastAsiaTheme="minorEastAsia" w:hAnsiTheme="minorEastAsia" w:hint="eastAsia"/>
        </w:rPr>
        <w:t>。</w:t>
      </w:r>
    </w:p>
    <w:p w:rsidR="00AF2EE6" w:rsidRPr="004A57FA" w:rsidRDefault="00626C7D"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2、</w:t>
      </w:r>
      <w:r w:rsidR="00AF2EE6" w:rsidRPr="004A57FA">
        <w:rPr>
          <w:rFonts w:asciiTheme="minorEastAsia" w:eastAsiaTheme="minorEastAsia" w:hAnsiTheme="minorEastAsia" w:hint="eastAsia"/>
        </w:rPr>
        <w:t>发生以下情况，本托管协议终止：</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（1）《基金合同》终止；</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（2）基金托管人解散、依法被撤销、破产或有其他基金托管人接管基金财产；</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（3）基金管理人解散、依法被撤销、破产或有其他基金管理人接管基金管理权；</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（4）发生法律法规或《基金合同》规定的终止事项。</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p>
    <w:p w:rsidR="00626C7D" w:rsidRPr="004A57FA" w:rsidRDefault="00626C7D"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p>
    <w:p w:rsidR="00626C7D" w:rsidRPr="004A57FA" w:rsidRDefault="00626C7D" w:rsidP="006F648E">
      <w:pPr>
        <w:widowControl/>
        <w:jc w:val="left"/>
        <w:rPr>
          <w:rFonts w:asciiTheme="minorEastAsia" w:eastAsiaTheme="minorEastAsia" w:hAnsiTheme="minorEastAsia"/>
        </w:rPr>
      </w:pPr>
    </w:p>
    <w:p w:rsidR="00A805DC" w:rsidRDefault="00A805DC" w:rsidP="00C53017">
      <w:pPr>
        <w:pStyle w:val="1"/>
        <w:snapToGrid w:val="0"/>
        <w:spacing w:beforeLines="0" w:afterLines="0" w:line="360" w:lineRule="auto"/>
        <w:ind w:firstLine="643"/>
        <w:rPr>
          <w:rFonts w:asciiTheme="minorEastAsia" w:eastAsiaTheme="minorEastAsia" w:hAnsiTheme="minorEastAsia"/>
          <w:b/>
          <w:bCs/>
        </w:rPr>
      </w:pPr>
      <w:r>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953" w:name="_Toc81231066"/>
      <w:r w:rsidRPr="004A57FA">
        <w:rPr>
          <w:rFonts w:asciiTheme="minorEastAsia" w:eastAsiaTheme="minorEastAsia" w:hAnsiTheme="minorEastAsia" w:hint="eastAsia"/>
          <w:b/>
          <w:bCs/>
        </w:rPr>
        <w:lastRenderedPageBreak/>
        <w:t>二</w:t>
      </w:r>
      <w:bookmarkStart w:id="954" w:name="_Toc38438238"/>
      <w:bookmarkStart w:id="955" w:name="_Toc38438575"/>
      <w:bookmarkStart w:id="956" w:name="_Toc38438912"/>
      <w:bookmarkStart w:id="957" w:name="_Toc38439249"/>
      <w:bookmarkStart w:id="958" w:name="_Toc38439586"/>
      <w:bookmarkStart w:id="959" w:name="_Toc38439923"/>
      <w:bookmarkStart w:id="960" w:name="_Toc38440260"/>
      <w:bookmarkStart w:id="961" w:name="_Toc38440597"/>
      <w:bookmarkStart w:id="962" w:name="_Toc38440796"/>
      <w:bookmarkStart w:id="963" w:name="_Toc38441129"/>
      <w:bookmarkStart w:id="964" w:name="_Toc38441461"/>
      <w:bookmarkStart w:id="965" w:name="_Toc38441793"/>
      <w:bookmarkStart w:id="966" w:name="_Toc38442121"/>
      <w:bookmarkStart w:id="967" w:name="_Toc38442453"/>
      <w:bookmarkStart w:id="968" w:name="_Toc38442785"/>
      <w:bookmarkStart w:id="969" w:name="_Toc38443116"/>
      <w:bookmarkStart w:id="970" w:name="_Toc38443447"/>
      <w:bookmarkStart w:id="971" w:name="_Toc38443778"/>
      <w:bookmarkStart w:id="972" w:name="_Toc38438239"/>
      <w:bookmarkStart w:id="973" w:name="_Toc38438576"/>
      <w:bookmarkStart w:id="974" w:name="_Toc38438913"/>
      <w:bookmarkStart w:id="975" w:name="_Toc38439250"/>
      <w:bookmarkStart w:id="976" w:name="_Toc38439587"/>
      <w:bookmarkStart w:id="977" w:name="_Toc38439924"/>
      <w:bookmarkStart w:id="978" w:name="_Toc38440261"/>
      <w:bookmarkStart w:id="979" w:name="_Toc38440598"/>
      <w:bookmarkStart w:id="980" w:name="_Toc38440797"/>
      <w:bookmarkStart w:id="981" w:name="_Toc38441130"/>
      <w:bookmarkStart w:id="982" w:name="_Toc38441462"/>
      <w:bookmarkStart w:id="983" w:name="_Toc38441794"/>
      <w:bookmarkStart w:id="984" w:name="_Toc38442122"/>
      <w:bookmarkStart w:id="985" w:name="_Toc38442454"/>
      <w:bookmarkStart w:id="986" w:name="_Toc38442786"/>
      <w:bookmarkStart w:id="987" w:name="_Toc38443117"/>
      <w:bookmarkStart w:id="988" w:name="_Toc38443448"/>
      <w:bookmarkStart w:id="989" w:name="_Toc38443779"/>
      <w:bookmarkStart w:id="990" w:name="_Toc38438240"/>
      <w:bookmarkStart w:id="991" w:name="_Toc38438577"/>
      <w:bookmarkStart w:id="992" w:name="_Toc38438914"/>
      <w:bookmarkStart w:id="993" w:name="_Toc38439251"/>
      <w:bookmarkStart w:id="994" w:name="_Toc38439588"/>
      <w:bookmarkStart w:id="995" w:name="_Toc38439925"/>
      <w:bookmarkStart w:id="996" w:name="_Toc38440262"/>
      <w:bookmarkStart w:id="997" w:name="_Toc38440599"/>
      <w:bookmarkStart w:id="998" w:name="_Toc38440798"/>
      <w:bookmarkStart w:id="999" w:name="_Toc38441131"/>
      <w:bookmarkStart w:id="1000" w:name="_Toc38441463"/>
      <w:bookmarkStart w:id="1001" w:name="_Toc38441795"/>
      <w:bookmarkStart w:id="1002" w:name="_Toc38442123"/>
      <w:bookmarkStart w:id="1003" w:name="_Toc38442455"/>
      <w:bookmarkStart w:id="1004" w:name="_Toc38442787"/>
      <w:bookmarkStart w:id="1005" w:name="_Toc38443118"/>
      <w:bookmarkStart w:id="1006" w:name="_Toc38443449"/>
      <w:bookmarkStart w:id="1007" w:name="_Toc38443780"/>
      <w:bookmarkStart w:id="1008" w:name="_Toc38438241"/>
      <w:bookmarkStart w:id="1009" w:name="_Toc38438578"/>
      <w:bookmarkStart w:id="1010" w:name="_Toc38438915"/>
      <w:bookmarkStart w:id="1011" w:name="_Toc38439252"/>
      <w:bookmarkStart w:id="1012" w:name="_Toc38439589"/>
      <w:bookmarkStart w:id="1013" w:name="_Toc38439926"/>
      <w:bookmarkStart w:id="1014" w:name="_Toc38440263"/>
      <w:bookmarkStart w:id="1015" w:name="_Toc38440600"/>
      <w:bookmarkStart w:id="1016" w:name="_Toc38440799"/>
      <w:bookmarkStart w:id="1017" w:name="_Toc38441132"/>
      <w:bookmarkStart w:id="1018" w:name="_Toc38441464"/>
      <w:bookmarkStart w:id="1019" w:name="_Toc38441796"/>
      <w:bookmarkStart w:id="1020" w:name="_Toc38442124"/>
      <w:bookmarkStart w:id="1021" w:name="_Toc38442456"/>
      <w:bookmarkStart w:id="1022" w:name="_Toc38442788"/>
      <w:bookmarkStart w:id="1023" w:name="_Toc38443119"/>
      <w:bookmarkStart w:id="1024" w:name="_Toc38443450"/>
      <w:bookmarkStart w:id="1025" w:name="_Toc38443781"/>
      <w:bookmarkStart w:id="1026" w:name="_Toc38438242"/>
      <w:bookmarkStart w:id="1027" w:name="_Toc38438579"/>
      <w:bookmarkStart w:id="1028" w:name="_Toc38438916"/>
      <w:bookmarkStart w:id="1029" w:name="_Toc38439253"/>
      <w:bookmarkStart w:id="1030" w:name="_Toc38439590"/>
      <w:bookmarkStart w:id="1031" w:name="_Toc38439927"/>
      <w:bookmarkStart w:id="1032" w:name="_Toc38440264"/>
      <w:bookmarkStart w:id="1033" w:name="_Toc38440601"/>
      <w:bookmarkStart w:id="1034" w:name="_Toc38440800"/>
      <w:bookmarkStart w:id="1035" w:name="_Toc38441133"/>
      <w:bookmarkStart w:id="1036" w:name="_Toc38441465"/>
      <w:bookmarkStart w:id="1037" w:name="_Toc38441797"/>
      <w:bookmarkStart w:id="1038" w:name="_Toc38442125"/>
      <w:bookmarkStart w:id="1039" w:name="_Toc38442457"/>
      <w:bookmarkStart w:id="1040" w:name="_Toc38442789"/>
      <w:bookmarkStart w:id="1041" w:name="_Toc38443120"/>
      <w:bookmarkStart w:id="1042" w:name="_Toc38443451"/>
      <w:bookmarkStart w:id="1043" w:name="_Toc38443782"/>
      <w:bookmarkStart w:id="1044" w:name="_Toc38438243"/>
      <w:bookmarkStart w:id="1045" w:name="_Toc38438580"/>
      <w:bookmarkStart w:id="1046" w:name="_Toc38438917"/>
      <w:bookmarkStart w:id="1047" w:name="_Toc38439254"/>
      <w:bookmarkStart w:id="1048" w:name="_Toc38439591"/>
      <w:bookmarkStart w:id="1049" w:name="_Toc38439928"/>
      <w:bookmarkStart w:id="1050" w:name="_Toc38440265"/>
      <w:bookmarkStart w:id="1051" w:name="_Toc38440602"/>
      <w:bookmarkStart w:id="1052" w:name="_Toc38440801"/>
      <w:bookmarkStart w:id="1053" w:name="_Toc38441134"/>
      <w:bookmarkStart w:id="1054" w:name="_Toc38441466"/>
      <w:bookmarkStart w:id="1055" w:name="_Toc38441798"/>
      <w:bookmarkStart w:id="1056" w:name="_Toc38442126"/>
      <w:bookmarkStart w:id="1057" w:name="_Toc38442458"/>
      <w:bookmarkStart w:id="1058" w:name="_Toc38442790"/>
      <w:bookmarkStart w:id="1059" w:name="_Toc38443121"/>
      <w:bookmarkStart w:id="1060" w:name="_Toc38443452"/>
      <w:bookmarkStart w:id="1061" w:name="_Toc38443783"/>
      <w:bookmarkStart w:id="1062" w:name="_Toc38438244"/>
      <w:bookmarkStart w:id="1063" w:name="_Toc38438581"/>
      <w:bookmarkStart w:id="1064" w:name="_Toc38438918"/>
      <w:bookmarkStart w:id="1065" w:name="_Toc38439255"/>
      <w:bookmarkStart w:id="1066" w:name="_Toc38439592"/>
      <w:bookmarkStart w:id="1067" w:name="_Toc38439929"/>
      <w:bookmarkStart w:id="1068" w:name="_Toc38440266"/>
      <w:bookmarkStart w:id="1069" w:name="_Toc38440603"/>
      <w:bookmarkStart w:id="1070" w:name="_Toc38440802"/>
      <w:bookmarkStart w:id="1071" w:name="_Toc38441135"/>
      <w:bookmarkStart w:id="1072" w:name="_Toc38441467"/>
      <w:bookmarkStart w:id="1073" w:name="_Toc38441799"/>
      <w:bookmarkStart w:id="1074" w:name="_Toc38442127"/>
      <w:bookmarkStart w:id="1075" w:name="_Toc38442459"/>
      <w:bookmarkStart w:id="1076" w:name="_Toc38442791"/>
      <w:bookmarkStart w:id="1077" w:name="_Toc38443122"/>
      <w:bookmarkStart w:id="1078" w:name="_Toc38443453"/>
      <w:bookmarkStart w:id="1079" w:name="_Toc38443784"/>
      <w:bookmarkStart w:id="1080" w:name="_Toc38438245"/>
      <w:bookmarkStart w:id="1081" w:name="_Toc38438582"/>
      <w:bookmarkStart w:id="1082" w:name="_Toc38438919"/>
      <w:bookmarkStart w:id="1083" w:name="_Toc38439256"/>
      <w:bookmarkStart w:id="1084" w:name="_Toc38439593"/>
      <w:bookmarkStart w:id="1085" w:name="_Toc38439930"/>
      <w:bookmarkStart w:id="1086" w:name="_Toc38440267"/>
      <w:bookmarkStart w:id="1087" w:name="_Toc38440604"/>
      <w:bookmarkStart w:id="1088" w:name="_Toc38440803"/>
      <w:bookmarkStart w:id="1089" w:name="_Toc38441136"/>
      <w:bookmarkStart w:id="1090" w:name="_Toc38441468"/>
      <w:bookmarkStart w:id="1091" w:name="_Toc38441800"/>
      <w:bookmarkStart w:id="1092" w:name="_Toc38442128"/>
      <w:bookmarkStart w:id="1093" w:name="_Toc38442460"/>
      <w:bookmarkStart w:id="1094" w:name="_Toc38442792"/>
      <w:bookmarkStart w:id="1095" w:name="_Toc38443123"/>
      <w:bookmarkStart w:id="1096" w:name="_Toc38443454"/>
      <w:bookmarkStart w:id="1097" w:name="_Toc38443785"/>
      <w:bookmarkStart w:id="1098" w:name="_Toc38438246"/>
      <w:bookmarkStart w:id="1099" w:name="_Toc38438583"/>
      <w:bookmarkStart w:id="1100" w:name="_Toc38438920"/>
      <w:bookmarkStart w:id="1101" w:name="_Toc38439257"/>
      <w:bookmarkStart w:id="1102" w:name="_Toc38439594"/>
      <w:bookmarkStart w:id="1103" w:name="_Toc38439931"/>
      <w:bookmarkStart w:id="1104" w:name="_Toc38440268"/>
      <w:bookmarkStart w:id="1105" w:name="_Toc38440605"/>
      <w:bookmarkStart w:id="1106" w:name="_Toc38440804"/>
      <w:bookmarkStart w:id="1107" w:name="_Toc38441137"/>
      <w:bookmarkStart w:id="1108" w:name="_Toc38441469"/>
      <w:bookmarkStart w:id="1109" w:name="_Toc38441801"/>
      <w:bookmarkStart w:id="1110" w:name="_Toc38442129"/>
      <w:bookmarkStart w:id="1111" w:name="_Toc38442461"/>
      <w:bookmarkStart w:id="1112" w:name="_Toc38442793"/>
      <w:bookmarkStart w:id="1113" w:name="_Toc38443124"/>
      <w:bookmarkStart w:id="1114" w:name="_Toc38443455"/>
      <w:bookmarkStart w:id="1115" w:name="_Toc38443786"/>
      <w:bookmarkStart w:id="1116" w:name="_Toc38438247"/>
      <w:bookmarkStart w:id="1117" w:name="_Toc38438584"/>
      <w:bookmarkStart w:id="1118" w:name="_Toc38438921"/>
      <w:bookmarkStart w:id="1119" w:name="_Toc38439258"/>
      <w:bookmarkStart w:id="1120" w:name="_Toc38439595"/>
      <w:bookmarkStart w:id="1121" w:name="_Toc38439932"/>
      <w:bookmarkStart w:id="1122" w:name="_Toc38440269"/>
      <w:bookmarkStart w:id="1123" w:name="_Toc38440606"/>
      <w:bookmarkStart w:id="1124" w:name="_Toc38440805"/>
      <w:bookmarkStart w:id="1125" w:name="_Toc38441138"/>
      <w:bookmarkStart w:id="1126" w:name="_Toc38441470"/>
      <w:bookmarkStart w:id="1127" w:name="_Toc38441802"/>
      <w:bookmarkStart w:id="1128" w:name="_Toc38442130"/>
      <w:bookmarkStart w:id="1129" w:name="_Toc38442462"/>
      <w:bookmarkStart w:id="1130" w:name="_Toc38442794"/>
      <w:bookmarkStart w:id="1131" w:name="_Toc38443125"/>
      <w:bookmarkStart w:id="1132" w:name="_Toc38443456"/>
      <w:bookmarkStart w:id="1133" w:name="_Toc38443787"/>
      <w:bookmarkStart w:id="1134" w:name="_Toc38438248"/>
      <w:bookmarkStart w:id="1135" w:name="_Toc38438585"/>
      <w:bookmarkStart w:id="1136" w:name="_Toc38438922"/>
      <w:bookmarkStart w:id="1137" w:name="_Toc38439259"/>
      <w:bookmarkStart w:id="1138" w:name="_Toc38439596"/>
      <w:bookmarkStart w:id="1139" w:name="_Toc38439933"/>
      <w:bookmarkStart w:id="1140" w:name="_Toc38440270"/>
      <w:bookmarkStart w:id="1141" w:name="_Toc38440607"/>
      <w:bookmarkStart w:id="1142" w:name="_Toc38440806"/>
      <w:bookmarkStart w:id="1143" w:name="_Toc38441139"/>
      <w:bookmarkStart w:id="1144" w:name="_Toc38441471"/>
      <w:bookmarkStart w:id="1145" w:name="_Toc38441803"/>
      <w:bookmarkStart w:id="1146" w:name="_Toc38442131"/>
      <w:bookmarkStart w:id="1147" w:name="_Toc38442463"/>
      <w:bookmarkStart w:id="1148" w:name="_Toc38442795"/>
      <w:bookmarkStart w:id="1149" w:name="_Toc38443126"/>
      <w:bookmarkStart w:id="1150" w:name="_Toc38443457"/>
      <w:bookmarkStart w:id="1151" w:name="_Toc38443788"/>
      <w:bookmarkStart w:id="1152" w:name="_Toc38438249"/>
      <w:bookmarkStart w:id="1153" w:name="_Toc38438586"/>
      <w:bookmarkStart w:id="1154" w:name="_Toc38438923"/>
      <w:bookmarkStart w:id="1155" w:name="_Toc38439260"/>
      <w:bookmarkStart w:id="1156" w:name="_Toc38439597"/>
      <w:bookmarkStart w:id="1157" w:name="_Toc38439934"/>
      <w:bookmarkStart w:id="1158" w:name="_Toc38440271"/>
      <w:bookmarkStart w:id="1159" w:name="_Toc38440608"/>
      <w:bookmarkStart w:id="1160" w:name="_Toc38440807"/>
      <w:bookmarkStart w:id="1161" w:name="_Toc38441140"/>
      <w:bookmarkStart w:id="1162" w:name="_Toc38441472"/>
      <w:bookmarkStart w:id="1163" w:name="_Toc38441804"/>
      <w:bookmarkStart w:id="1164" w:name="_Toc38442132"/>
      <w:bookmarkStart w:id="1165" w:name="_Toc38442464"/>
      <w:bookmarkStart w:id="1166" w:name="_Toc38442796"/>
      <w:bookmarkStart w:id="1167" w:name="_Toc38443127"/>
      <w:bookmarkStart w:id="1168" w:name="_Toc38443458"/>
      <w:bookmarkStart w:id="1169" w:name="_Toc38443789"/>
      <w:bookmarkStart w:id="1170" w:name="_Toc38438250"/>
      <w:bookmarkStart w:id="1171" w:name="_Toc38438587"/>
      <w:bookmarkStart w:id="1172" w:name="_Toc38438924"/>
      <w:bookmarkStart w:id="1173" w:name="_Toc38439261"/>
      <w:bookmarkStart w:id="1174" w:name="_Toc38439598"/>
      <w:bookmarkStart w:id="1175" w:name="_Toc38439935"/>
      <w:bookmarkStart w:id="1176" w:name="_Toc38440272"/>
      <w:bookmarkStart w:id="1177" w:name="_Toc38440609"/>
      <w:bookmarkStart w:id="1178" w:name="_Toc38440808"/>
      <w:bookmarkStart w:id="1179" w:name="_Toc38441141"/>
      <w:bookmarkStart w:id="1180" w:name="_Toc38441473"/>
      <w:bookmarkStart w:id="1181" w:name="_Toc38441805"/>
      <w:bookmarkStart w:id="1182" w:name="_Toc38442133"/>
      <w:bookmarkStart w:id="1183" w:name="_Toc38442465"/>
      <w:bookmarkStart w:id="1184" w:name="_Toc38442797"/>
      <w:bookmarkStart w:id="1185" w:name="_Toc38443128"/>
      <w:bookmarkStart w:id="1186" w:name="_Toc38443459"/>
      <w:bookmarkStart w:id="1187" w:name="_Toc38443790"/>
      <w:bookmarkStart w:id="1188" w:name="_Toc38438251"/>
      <w:bookmarkStart w:id="1189" w:name="_Toc38438588"/>
      <w:bookmarkStart w:id="1190" w:name="_Toc38438925"/>
      <w:bookmarkStart w:id="1191" w:name="_Toc38439262"/>
      <w:bookmarkStart w:id="1192" w:name="_Toc38439599"/>
      <w:bookmarkStart w:id="1193" w:name="_Toc38439936"/>
      <w:bookmarkStart w:id="1194" w:name="_Toc38440273"/>
      <w:bookmarkStart w:id="1195" w:name="_Toc38440610"/>
      <w:bookmarkStart w:id="1196" w:name="_Toc38440809"/>
      <w:bookmarkStart w:id="1197" w:name="_Toc38441142"/>
      <w:bookmarkStart w:id="1198" w:name="_Toc38441474"/>
      <w:bookmarkStart w:id="1199" w:name="_Toc38441806"/>
      <w:bookmarkStart w:id="1200" w:name="_Toc38442134"/>
      <w:bookmarkStart w:id="1201" w:name="_Toc38442466"/>
      <w:bookmarkStart w:id="1202" w:name="_Toc38442798"/>
      <w:bookmarkStart w:id="1203" w:name="_Toc38443129"/>
      <w:bookmarkStart w:id="1204" w:name="_Toc38443460"/>
      <w:bookmarkStart w:id="1205" w:name="_Toc38443791"/>
      <w:bookmarkStart w:id="1206" w:name="_Toc38438252"/>
      <w:bookmarkStart w:id="1207" w:name="_Toc38438589"/>
      <w:bookmarkStart w:id="1208" w:name="_Toc38438926"/>
      <w:bookmarkStart w:id="1209" w:name="_Toc38439263"/>
      <w:bookmarkStart w:id="1210" w:name="_Toc38439600"/>
      <w:bookmarkStart w:id="1211" w:name="_Toc38439937"/>
      <w:bookmarkStart w:id="1212" w:name="_Toc38440274"/>
      <w:bookmarkStart w:id="1213" w:name="_Toc38440611"/>
      <w:bookmarkStart w:id="1214" w:name="_Toc38440810"/>
      <w:bookmarkStart w:id="1215" w:name="_Toc38441143"/>
      <w:bookmarkStart w:id="1216" w:name="_Toc38441475"/>
      <w:bookmarkStart w:id="1217" w:name="_Toc38441807"/>
      <w:bookmarkStart w:id="1218" w:name="_Toc38442135"/>
      <w:bookmarkStart w:id="1219" w:name="_Toc38442467"/>
      <w:bookmarkStart w:id="1220" w:name="_Toc38442799"/>
      <w:bookmarkStart w:id="1221" w:name="_Toc38443130"/>
      <w:bookmarkStart w:id="1222" w:name="_Toc38443461"/>
      <w:bookmarkStart w:id="1223" w:name="_Toc38443792"/>
      <w:bookmarkStart w:id="1224" w:name="_Toc38438253"/>
      <w:bookmarkStart w:id="1225" w:name="_Toc38438590"/>
      <w:bookmarkStart w:id="1226" w:name="_Toc38438927"/>
      <w:bookmarkStart w:id="1227" w:name="_Toc38439264"/>
      <w:bookmarkStart w:id="1228" w:name="_Toc38439601"/>
      <w:bookmarkStart w:id="1229" w:name="_Toc38439938"/>
      <w:bookmarkStart w:id="1230" w:name="_Toc38440275"/>
      <w:bookmarkStart w:id="1231" w:name="_Toc38440612"/>
      <w:bookmarkStart w:id="1232" w:name="_Toc38440811"/>
      <w:bookmarkStart w:id="1233" w:name="_Toc38441144"/>
      <w:bookmarkStart w:id="1234" w:name="_Toc38441476"/>
      <w:bookmarkStart w:id="1235" w:name="_Toc38441808"/>
      <w:bookmarkStart w:id="1236" w:name="_Toc38442136"/>
      <w:bookmarkStart w:id="1237" w:name="_Toc38442468"/>
      <w:bookmarkStart w:id="1238" w:name="_Toc38442800"/>
      <w:bookmarkStart w:id="1239" w:name="_Toc38443131"/>
      <w:bookmarkStart w:id="1240" w:name="_Toc38443462"/>
      <w:bookmarkStart w:id="1241" w:name="_Toc38443793"/>
      <w:bookmarkStart w:id="1242" w:name="_Toc38438254"/>
      <w:bookmarkStart w:id="1243" w:name="_Toc38438591"/>
      <w:bookmarkStart w:id="1244" w:name="_Toc38438928"/>
      <w:bookmarkStart w:id="1245" w:name="_Toc38439265"/>
      <w:bookmarkStart w:id="1246" w:name="_Toc38439602"/>
      <w:bookmarkStart w:id="1247" w:name="_Toc38439939"/>
      <w:bookmarkStart w:id="1248" w:name="_Toc38440276"/>
      <w:bookmarkStart w:id="1249" w:name="_Toc38440613"/>
      <w:bookmarkStart w:id="1250" w:name="_Toc38440812"/>
      <w:bookmarkStart w:id="1251" w:name="_Toc38441145"/>
      <w:bookmarkStart w:id="1252" w:name="_Toc38441477"/>
      <w:bookmarkStart w:id="1253" w:name="_Toc38441809"/>
      <w:bookmarkStart w:id="1254" w:name="_Toc38442137"/>
      <w:bookmarkStart w:id="1255" w:name="_Toc38442469"/>
      <w:bookmarkStart w:id="1256" w:name="_Toc38442801"/>
      <w:bookmarkStart w:id="1257" w:name="_Toc38443132"/>
      <w:bookmarkStart w:id="1258" w:name="_Toc38443463"/>
      <w:bookmarkStart w:id="1259" w:name="_Toc38443794"/>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4A57FA">
        <w:rPr>
          <w:rFonts w:asciiTheme="minorEastAsia" w:eastAsiaTheme="minorEastAsia" w:hAnsiTheme="minorEastAsia" w:hint="eastAsia"/>
          <w:b/>
          <w:bCs/>
        </w:rPr>
        <w:t>十四、对基金份额持有人的服务</w:t>
      </w:r>
      <w:bookmarkStart w:id="1260" w:name="_Toc38186634"/>
      <w:bookmarkEnd w:id="953"/>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F2EE6" w:rsidRPr="004A57FA" w:rsidRDefault="00AF2EE6" w:rsidP="004A5BAA">
      <w:pPr>
        <w:pStyle w:val="20"/>
        <w:snapToGrid w:val="0"/>
        <w:spacing w:beforeLines="0" w:afterLines="0" w:line="360" w:lineRule="auto"/>
        <w:ind w:firstLineChars="0" w:firstLine="0"/>
        <w:rPr>
          <w:rFonts w:asciiTheme="minorEastAsia" w:eastAsiaTheme="minorEastAsia" w:hAnsiTheme="minorEastAsia"/>
          <w:b w:val="0"/>
          <w:bCs/>
        </w:rPr>
      </w:pPr>
      <w:bookmarkStart w:id="1261" w:name="_Toc81231067"/>
      <w:r w:rsidRPr="004A57FA">
        <w:rPr>
          <w:rFonts w:asciiTheme="minorEastAsia" w:eastAsiaTheme="minorEastAsia" w:hAnsiTheme="minorEastAsia" w:hint="eastAsia"/>
          <w:b w:val="0"/>
          <w:bCs/>
        </w:rPr>
        <w:t>（一）基金份额持有人投资交易确认服务</w:t>
      </w:r>
      <w:bookmarkEnd w:id="1261"/>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基金注册登记机构保留基金份额持有人名册上列明的所有基金份额持有人的基金交易记录。</w:t>
      </w:r>
    </w:p>
    <w:p w:rsidR="00AF2EE6" w:rsidRPr="004A57FA" w:rsidRDefault="003A3CF4"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基金管理人直销网点应根据在基金管理人直销网点进行交易的投资者的要求提供成交确认单</w:t>
      </w:r>
      <w:r w:rsidR="00AF2EE6" w:rsidRPr="004A57FA">
        <w:rPr>
          <w:rFonts w:asciiTheme="minorEastAsia" w:eastAsiaTheme="minorEastAsia" w:hAnsiTheme="minorEastAsia" w:hint="eastAsia"/>
        </w:rPr>
        <w:t>。基金</w:t>
      </w:r>
      <w:r w:rsidR="00862DFC" w:rsidRPr="004A57FA">
        <w:rPr>
          <w:rFonts w:asciiTheme="minorEastAsia" w:eastAsiaTheme="minorEastAsia" w:hAnsiTheme="minorEastAsia" w:hint="eastAsia"/>
        </w:rPr>
        <w:t>非直销销售机构</w:t>
      </w:r>
      <w:r w:rsidR="00AF2EE6" w:rsidRPr="004A57FA">
        <w:rPr>
          <w:rFonts w:asciiTheme="minorEastAsia" w:eastAsiaTheme="minorEastAsia" w:hAnsiTheme="minorEastAsia" w:hint="eastAsia"/>
        </w:rPr>
        <w:t>机构应根据在</w:t>
      </w:r>
      <w:r w:rsidR="00862DFC" w:rsidRPr="004A57FA">
        <w:rPr>
          <w:rFonts w:asciiTheme="minorEastAsia" w:eastAsiaTheme="minorEastAsia" w:hAnsiTheme="minorEastAsia" w:hint="eastAsia"/>
        </w:rPr>
        <w:t>销售</w:t>
      </w:r>
      <w:r w:rsidR="00AF2EE6" w:rsidRPr="004A57FA">
        <w:rPr>
          <w:rFonts w:asciiTheme="minorEastAsia" w:eastAsiaTheme="minorEastAsia" w:hAnsiTheme="minorEastAsia" w:hint="eastAsia"/>
        </w:rPr>
        <w:t>网点进行交易的投资者的要求</w:t>
      </w:r>
      <w:r w:rsidRPr="004A57FA">
        <w:rPr>
          <w:rFonts w:asciiTheme="minorEastAsia" w:eastAsiaTheme="minorEastAsia" w:hAnsiTheme="minorEastAsia" w:hint="eastAsia"/>
        </w:rPr>
        <w:t>提供</w:t>
      </w:r>
      <w:r w:rsidR="00AF2EE6" w:rsidRPr="004A57FA">
        <w:rPr>
          <w:rFonts w:asciiTheme="minorEastAsia" w:eastAsiaTheme="minorEastAsia" w:hAnsiTheme="minorEastAsia" w:hint="eastAsia"/>
        </w:rPr>
        <w:t>成交确认单。</w:t>
      </w:r>
    </w:p>
    <w:p w:rsidR="00AF2EE6" w:rsidRPr="004A57FA" w:rsidRDefault="00AF2EE6" w:rsidP="004A5BAA">
      <w:pPr>
        <w:pStyle w:val="20"/>
        <w:snapToGrid w:val="0"/>
        <w:spacing w:beforeLines="0" w:afterLines="0" w:line="360" w:lineRule="auto"/>
        <w:ind w:firstLineChars="0" w:firstLine="0"/>
        <w:rPr>
          <w:rFonts w:asciiTheme="minorEastAsia" w:eastAsiaTheme="minorEastAsia" w:hAnsiTheme="minorEastAsia"/>
          <w:b w:val="0"/>
          <w:bCs/>
        </w:rPr>
      </w:pPr>
      <w:bookmarkStart w:id="1262" w:name="_Toc81231068"/>
      <w:r w:rsidRPr="004A57FA">
        <w:rPr>
          <w:rFonts w:asciiTheme="minorEastAsia" w:eastAsiaTheme="minorEastAsia" w:hAnsiTheme="minorEastAsia" w:hint="eastAsia"/>
          <w:b w:val="0"/>
          <w:bCs/>
        </w:rPr>
        <w:t>（二）基金份额持有人交易记录查询服务</w:t>
      </w:r>
      <w:bookmarkEnd w:id="1262"/>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本基金份额持有人可通过基金管理人的客户服务中心查询历史交易记录。</w:t>
      </w:r>
    </w:p>
    <w:p w:rsidR="00AF2EE6" w:rsidRPr="004A57FA" w:rsidRDefault="00AF2EE6" w:rsidP="004A5BAA">
      <w:pPr>
        <w:pStyle w:val="20"/>
        <w:snapToGrid w:val="0"/>
        <w:spacing w:beforeLines="0" w:afterLines="0" w:line="360" w:lineRule="auto"/>
        <w:ind w:firstLineChars="0" w:firstLine="0"/>
        <w:rPr>
          <w:rFonts w:asciiTheme="minorEastAsia" w:eastAsiaTheme="minorEastAsia" w:hAnsiTheme="minorEastAsia"/>
          <w:b w:val="0"/>
          <w:bCs/>
        </w:rPr>
      </w:pPr>
      <w:bookmarkStart w:id="1263" w:name="_Toc81231069"/>
      <w:r w:rsidRPr="004A57FA">
        <w:rPr>
          <w:rFonts w:asciiTheme="minorEastAsia" w:eastAsiaTheme="minorEastAsia" w:hAnsiTheme="minorEastAsia" w:hint="eastAsia"/>
          <w:b w:val="0"/>
          <w:bCs/>
        </w:rPr>
        <w:t>（三）基金份额持有人的对账单服务</w:t>
      </w:r>
      <w:bookmarkEnd w:id="1263"/>
    </w:p>
    <w:p w:rsidR="00AF2EE6" w:rsidRPr="004A57FA" w:rsidRDefault="00AF2EE6" w:rsidP="00C53017">
      <w:pPr>
        <w:autoSpaceDE w:val="0"/>
        <w:autoSpaceDN w:val="0"/>
        <w:adjustRightInd w:val="0"/>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1</w:t>
      </w:r>
      <w:r w:rsidR="00626C7D" w:rsidRPr="004A57FA">
        <w:rPr>
          <w:rFonts w:asciiTheme="minorEastAsia" w:eastAsiaTheme="minorEastAsia" w:hAnsiTheme="minorEastAsia" w:hint="eastAsia"/>
        </w:rPr>
        <w:t>、</w:t>
      </w:r>
      <w:r w:rsidRPr="004A57FA">
        <w:rPr>
          <w:rFonts w:asciiTheme="minorEastAsia" w:eastAsiaTheme="minorEastAsia" w:hAnsiTheme="minorEastAsia" w:hint="eastAsia"/>
        </w:rPr>
        <w:t>基金份额持有人可登录本公司网站（</w:t>
      </w:r>
      <w:hyperlink r:id="rId18" w:history="1">
        <w:r w:rsidRPr="004A57FA">
          <w:rPr>
            <w:rFonts w:asciiTheme="minorEastAsia" w:eastAsiaTheme="minorEastAsia" w:hAnsiTheme="minorEastAsia" w:hint="eastAsia"/>
          </w:rPr>
          <w:t>http://www.efunds.com.cn</w:t>
        </w:r>
      </w:hyperlink>
      <w:r w:rsidRPr="004A57FA">
        <w:rPr>
          <w:rFonts w:asciiTheme="minorEastAsia" w:eastAsiaTheme="minorEastAsia" w:hAnsiTheme="minorEastAsia" w:hint="eastAsia"/>
        </w:rPr>
        <w:t>）查阅对账单。</w:t>
      </w:r>
    </w:p>
    <w:p w:rsidR="00AF2EE6" w:rsidRPr="004A57FA" w:rsidRDefault="00AF2EE6" w:rsidP="00C53017">
      <w:pPr>
        <w:autoSpaceDE w:val="0"/>
        <w:autoSpaceDN w:val="0"/>
        <w:adjustRightInd w:val="0"/>
        <w:snapToGrid w:val="0"/>
        <w:spacing w:line="360" w:lineRule="auto"/>
        <w:ind w:firstLineChars="200" w:firstLine="420"/>
        <w:rPr>
          <w:rFonts w:asciiTheme="minorEastAsia" w:eastAsiaTheme="minorEastAsia" w:hAnsiTheme="minorEastAsia"/>
        </w:rPr>
      </w:pPr>
      <w:r>
        <w:t>2</w:t>
      </w:r>
      <w:r>
        <w:t>、本公司至少每年度以电子邮件、短信或其他形式向通过易方达直销系统持有本公司基金份额的基金份额持有人提供基金保有情况信息，基金份额持有人也可以向本公司定制电子邮件形式的月度对账单。</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具体查阅和定制账单的方法可参见本公司网站或拨打客服热线咨询。</w:t>
      </w:r>
    </w:p>
    <w:p w:rsidR="00AF2EE6" w:rsidRPr="004A57FA" w:rsidRDefault="00AF2EE6" w:rsidP="004A5BAA">
      <w:pPr>
        <w:pStyle w:val="20"/>
        <w:snapToGrid w:val="0"/>
        <w:spacing w:beforeLines="0" w:afterLines="0" w:line="360" w:lineRule="auto"/>
        <w:ind w:firstLineChars="0" w:firstLine="0"/>
        <w:rPr>
          <w:rFonts w:asciiTheme="minorEastAsia" w:eastAsiaTheme="minorEastAsia" w:hAnsiTheme="minorEastAsia"/>
          <w:b w:val="0"/>
          <w:bCs/>
        </w:rPr>
      </w:pPr>
      <w:bookmarkStart w:id="1264" w:name="_Toc81231070"/>
      <w:r w:rsidRPr="004A57FA">
        <w:rPr>
          <w:rFonts w:asciiTheme="minorEastAsia" w:eastAsiaTheme="minorEastAsia" w:hAnsiTheme="minorEastAsia" w:hint="eastAsia"/>
          <w:b w:val="0"/>
          <w:bCs/>
        </w:rPr>
        <w:t>（</w:t>
      </w:r>
      <w:r w:rsidR="00FE17DF" w:rsidRPr="004A57FA">
        <w:rPr>
          <w:rFonts w:asciiTheme="minorEastAsia" w:eastAsiaTheme="minorEastAsia" w:hAnsiTheme="minorEastAsia" w:hint="eastAsia"/>
          <w:b w:val="0"/>
          <w:bCs/>
        </w:rPr>
        <w:t>四</w:t>
      </w:r>
      <w:r w:rsidRPr="004A57FA">
        <w:rPr>
          <w:rFonts w:asciiTheme="minorEastAsia" w:eastAsiaTheme="minorEastAsia" w:hAnsiTheme="minorEastAsia" w:hint="eastAsia"/>
          <w:b w:val="0"/>
          <w:bCs/>
        </w:rPr>
        <w:t>）定期定额投资计划</w:t>
      </w:r>
      <w:bookmarkEnd w:id="1264"/>
    </w:p>
    <w:p w:rsidR="00AF2EE6" w:rsidRPr="004A57FA" w:rsidRDefault="006B0EC4"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kern w:val="0"/>
        </w:rPr>
        <w:t>基金管理人可利用</w:t>
      </w:r>
      <w:r w:rsidR="00862DFC" w:rsidRPr="004A57FA">
        <w:rPr>
          <w:rFonts w:asciiTheme="minorEastAsia" w:eastAsiaTheme="minorEastAsia" w:hAnsiTheme="minorEastAsia" w:hint="eastAsia"/>
          <w:kern w:val="0"/>
        </w:rPr>
        <w:t>非直销销售</w:t>
      </w:r>
      <w:r w:rsidRPr="004A57FA">
        <w:rPr>
          <w:rFonts w:asciiTheme="minorEastAsia" w:eastAsiaTheme="minorEastAsia" w:hAnsiTheme="minorEastAsia" w:hint="eastAsia"/>
          <w:kern w:val="0"/>
        </w:rPr>
        <w:t>机构网点和本公司网上交易系统为投资者提供定期定额投资的</w:t>
      </w:r>
      <w:r w:rsidRPr="004A57FA">
        <w:rPr>
          <w:rFonts w:asciiTheme="minorEastAsia" w:eastAsiaTheme="minorEastAsia" w:hAnsiTheme="minorEastAsia" w:hint="eastAsia"/>
          <w:kern w:val="0"/>
          <w:szCs w:val="21"/>
        </w:rPr>
        <w:t>服务（本公司网上交易系统的定期定额投资服务目前仅对个人投资者开通）。</w:t>
      </w:r>
      <w:r w:rsidR="00AF2EE6" w:rsidRPr="004A57FA">
        <w:rPr>
          <w:rFonts w:asciiTheme="minorEastAsia" w:eastAsiaTheme="minorEastAsia" w:hAnsiTheme="minorEastAsia" w:hint="eastAsia"/>
        </w:rPr>
        <w:t>通过定期定额投资计划，投资者可以通过固定的渠道，定期定额申购基金份额</w:t>
      </w:r>
      <w:r w:rsidR="00AF2EE6" w:rsidRPr="004A57FA">
        <w:rPr>
          <w:rFonts w:asciiTheme="minorEastAsia" w:eastAsiaTheme="minorEastAsia" w:hAnsiTheme="minorEastAsia"/>
        </w:rPr>
        <w:t>，</w:t>
      </w:r>
      <w:r w:rsidR="00AF2EE6" w:rsidRPr="004A57FA">
        <w:rPr>
          <w:rFonts w:asciiTheme="minorEastAsia" w:eastAsiaTheme="minorEastAsia" w:hAnsiTheme="minorEastAsia" w:hint="eastAsia"/>
        </w:rPr>
        <w:t>具体实施方法见</w:t>
      </w:r>
      <w:r w:rsidR="00EA3394" w:rsidRPr="004A57FA">
        <w:rPr>
          <w:rFonts w:asciiTheme="minorEastAsia" w:eastAsiaTheme="minorEastAsia" w:hAnsiTheme="minorEastAsia" w:hint="eastAsia"/>
        </w:rPr>
        <w:t>相</w:t>
      </w:r>
      <w:r w:rsidR="00AF2EE6" w:rsidRPr="004A57FA">
        <w:rPr>
          <w:rFonts w:asciiTheme="minorEastAsia" w:eastAsiaTheme="minorEastAsia" w:hAnsiTheme="minorEastAsia" w:hint="eastAsia"/>
        </w:rPr>
        <w:t>关公告。</w:t>
      </w:r>
    </w:p>
    <w:p w:rsidR="00AF2EE6" w:rsidRPr="004A57FA" w:rsidRDefault="00AF2EE6" w:rsidP="004A5BAA">
      <w:pPr>
        <w:pStyle w:val="20"/>
        <w:snapToGrid w:val="0"/>
        <w:spacing w:beforeLines="0" w:afterLines="0" w:line="360" w:lineRule="auto"/>
        <w:ind w:firstLineChars="0" w:firstLine="0"/>
        <w:rPr>
          <w:rFonts w:asciiTheme="minorEastAsia" w:eastAsiaTheme="minorEastAsia" w:hAnsiTheme="minorEastAsia"/>
          <w:b w:val="0"/>
          <w:bCs/>
        </w:rPr>
      </w:pPr>
      <w:bookmarkStart w:id="1265" w:name="_Toc81231071"/>
      <w:r w:rsidRPr="004A57FA">
        <w:rPr>
          <w:rFonts w:asciiTheme="minorEastAsia" w:eastAsiaTheme="minorEastAsia" w:hAnsiTheme="minorEastAsia" w:hint="eastAsia"/>
          <w:b w:val="0"/>
          <w:bCs/>
        </w:rPr>
        <w:t>（</w:t>
      </w:r>
      <w:r w:rsidR="00FE17DF" w:rsidRPr="004A57FA">
        <w:rPr>
          <w:rFonts w:asciiTheme="minorEastAsia" w:eastAsiaTheme="minorEastAsia" w:hAnsiTheme="minorEastAsia" w:hint="eastAsia"/>
          <w:b w:val="0"/>
          <w:bCs/>
        </w:rPr>
        <w:t>五</w:t>
      </w:r>
      <w:r w:rsidRPr="004A57FA">
        <w:rPr>
          <w:rFonts w:asciiTheme="minorEastAsia" w:eastAsiaTheme="minorEastAsia" w:hAnsiTheme="minorEastAsia" w:hint="eastAsia"/>
          <w:b w:val="0"/>
          <w:bCs/>
        </w:rPr>
        <w:t>）资讯服务</w:t>
      </w:r>
      <w:bookmarkEnd w:id="1265"/>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1</w:t>
      </w:r>
      <w:r w:rsidR="00626C7D" w:rsidRPr="004A57FA">
        <w:rPr>
          <w:rFonts w:asciiTheme="minorEastAsia" w:eastAsiaTheme="minorEastAsia" w:hAnsiTheme="minorEastAsia" w:hint="eastAsia"/>
        </w:rPr>
        <w:t>、</w:t>
      </w:r>
      <w:r w:rsidRPr="004A57FA">
        <w:rPr>
          <w:rFonts w:asciiTheme="minorEastAsia" w:eastAsiaTheme="minorEastAsia" w:hAnsiTheme="minorEastAsia" w:hint="eastAsia"/>
        </w:rPr>
        <w:t>客户服务电话</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投资者如果想了解申购与赎回的交易情况、基金账户余额、基金产品与服务等信息</w:t>
      </w:r>
      <w:r w:rsidR="00B17F6C" w:rsidRPr="004A57FA">
        <w:rPr>
          <w:rFonts w:asciiTheme="minorEastAsia" w:eastAsiaTheme="minorEastAsia" w:hAnsiTheme="minorEastAsia" w:hint="eastAsia"/>
          <w:kern w:val="0"/>
          <w:szCs w:val="21"/>
        </w:rPr>
        <w:t>，</w:t>
      </w:r>
      <w:r w:rsidR="00B17F6C" w:rsidRPr="004A57FA">
        <w:rPr>
          <w:rFonts w:asciiTheme="minorEastAsia" w:eastAsiaTheme="minorEastAsia" w:hAnsiTheme="minorEastAsia" w:hint="eastAsia"/>
          <w:kern w:val="0"/>
        </w:rPr>
        <w:t>或反馈投资过程中需要投诉与建议的情况</w:t>
      </w:r>
      <w:r w:rsidRPr="004A57FA">
        <w:rPr>
          <w:rFonts w:asciiTheme="minorEastAsia" w:eastAsiaTheme="minorEastAsia" w:hAnsiTheme="minorEastAsia" w:hint="eastAsia"/>
        </w:rPr>
        <w:t>，可拨打如下电话：4008818088。</w:t>
      </w:r>
      <w:r w:rsidR="00B17F6C" w:rsidRPr="004A57FA">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2.互联网站及电子信箱</w:t>
      </w:r>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网址：</w:t>
      </w:r>
      <w:hyperlink r:id="rId19" w:history="1">
        <w:r w:rsidRPr="004A57FA">
          <w:rPr>
            <w:rFonts w:asciiTheme="minorEastAsia" w:eastAsiaTheme="minorEastAsia" w:hAnsiTheme="minorEastAsia" w:hint="eastAsia"/>
          </w:rPr>
          <w:t>http://www.efunds.com.cn</w:t>
        </w:r>
      </w:hyperlink>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rPr>
      </w:pPr>
      <w:r w:rsidRPr="004A57FA">
        <w:rPr>
          <w:rFonts w:asciiTheme="minorEastAsia" w:eastAsiaTheme="minorEastAsia" w:hAnsiTheme="minorEastAsia" w:hint="eastAsia"/>
        </w:rPr>
        <w:t>电子信箱：</w:t>
      </w:r>
      <w:hyperlink r:id="rId20" w:history="1">
        <w:r w:rsidRPr="004A57FA">
          <w:rPr>
            <w:rFonts w:asciiTheme="minorEastAsia" w:eastAsiaTheme="minorEastAsia" w:hAnsiTheme="minorEastAsia" w:hint="eastAsia"/>
          </w:rPr>
          <w:t>service@efunds.com.cn</w:t>
        </w:r>
      </w:hyperlink>
      <w:bookmarkStart w:id="1266" w:name="_Toc38438275"/>
      <w:bookmarkStart w:id="1267" w:name="_Toc38438612"/>
      <w:bookmarkStart w:id="1268" w:name="_Toc38438949"/>
      <w:bookmarkStart w:id="1269" w:name="_Toc38439286"/>
      <w:bookmarkStart w:id="1270" w:name="_Toc38439623"/>
      <w:bookmarkStart w:id="1271" w:name="_Toc38439960"/>
      <w:bookmarkStart w:id="1272" w:name="_Toc38440297"/>
      <w:bookmarkStart w:id="1273" w:name="_Toc38440630"/>
      <w:bookmarkStart w:id="1274" w:name="_Toc38440829"/>
      <w:bookmarkStart w:id="1275" w:name="_Toc38441161"/>
      <w:bookmarkStart w:id="1276" w:name="_Toc38441493"/>
      <w:bookmarkStart w:id="1277" w:name="_Toc38441821"/>
      <w:bookmarkStart w:id="1278" w:name="_Toc38442153"/>
      <w:bookmarkStart w:id="1279" w:name="_Toc38442485"/>
      <w:bookmarkStart w:id="1280" w:name="_Toc38442816"/>
      <w:bookmarkStart w:id="1281" w:name="_Toc38443147"/>
      <w:bookmarkStart w:id="1282" w:name="_Toc38443478"/>
      <w:bookmarkStart w:id="1283" w:name="_Toc38443809"/>
      <w:bookmarkStart w:id="1284" w:name="_Toc38438277"/>
      <w:bookmarkStart w:id="1285" w:name="_Toc38438614"/>
      <w:bookmarkStart w:id="1286" w:name="_Toc38438951"/>
      <w:bookmarkStart w:id="1287" w:name="_Toc38439288"/>
      <w:bookmarkStart w:id="1288" w:name="_Toc38439625"/>
      <w:bookmarkStart w:id="1289" w:name="_Toc38439962"/>
      <w:bookmarkStart w:id="1290" w:name="_Toc38440299"/>
      <w:bookmarkStart w:id="1291" w:name="_Toc38440632"/>
      <w:bookmarkStart w:id="1292" w:name="_Toc38440831"/>
      <w:bookmarkStart w:id="1293" w:name="_Toc38441163"/>
      <w:bookmarkStart w:id="1294" w:name="_Toc38441495"/>
      <w:bookmarkStart w:id="1295" w:name="_Toc38441823"/>
      <w:bookmarkStart w:id="1296" w:name="_Toc38442155"/>
      <w:bookmarkStart w:id="1297" w:name="_Toc38442487"/>
      <w:bookmarkStart w:id="1298" w:name="_Toc38442818"/>
      <w:bookmarkStart w:id="1299" w:name="_Toc38443149"/>
      <w:bookmarkStart w:id="1300" w:name="_Toc38443480"/>
      <w:bookmarkStart w:id="1301" w:name="_Toc38443811"/>
      <w:bookmarkStart w:id="1302" w:name="_Toc38438278"/>
      <w:bookmarkStart w:id="1303" w:name="_Toc38438615"/>
      <w:bookmarkStart w:id="1304" w:name="_Toc38438952"/>
      <w:bookmarkStart w:id="1305" w:name="_Toc38439289"/>
      <w:bookmarkStart w:id="1306" w:name="_Toc38439626"/>
      <w:bookmarkStart w:id="1307" w:name="_Toc38439963"/>
      <w:bookmarkStart w:id="1308" w:name="_Toc38440300"/>
      <w:bookmarkStart w:id="1309" w:name="_Toc38440633"/>
      <w:bookmarkStart w:id="1310" w:name="_Toc38440832"/>
      <w:bookmarkStart w:id="1311" w:name="_Toc38441164"/>
      <w:bookmarkStart w:id="1312" w:name="_Toc38441496"/>
      <w:bookmarkStart w:id="1313" w:name="_Toc38441824"/>
      <w:bookmarkStart w:id="1314" w:name="_Toc38442156"/>
      <w:bookmarkStart w:id="1315" w:name="_Toc38442488"/>
      <w:bookmarkStart w:id="1316" w:name="_Toc38442819"/>
      <w:bookmarkStart w:id="1317" w:name="_Toc38443150"/>
      <w:bookmarkStart w:id="1318" w:name="_Toc38443481"/>
      <w:bookmarkStart w:id="1319" w:name="_Toc38443812"/>
      <w:bookmarkStart w:id="1320" w:name="_Toc38438279"/>
      <w:bookmarkStart w:id="1321" w:name="_Toc38438616"/>
      <w:bookmarkStart w:id="1322" w:name="_Toc38438953"/>
      <w:bookmarkStart w:id="1323" w:name="_Toc38439290"/>
      <w:bookmarkStart w:id="1324" w:name="_Toc38439627"/>
      <w:bookmarkStart w:id="1325" w:name="_Toc38439964"/>
      <w:bookmarkStart w:id="1326" w:name="_Toc38440301"/>
      <w:bookmarkStart w:id="1327" w:name="_Toc38440634"/>
      <w:bookmarkStart w:id="1328" w:name="_Toc38440833"/>
      <w:bookmarkStart w:id="1329" w:name="_Toc38441165"/>
      <w:bookmarkStart w:id="1330" w:name="_Toc38441497"/>
      <w:bookmarkStart w:id="1331" w:name="_Toc38441825"/>
      <w:bookmarkStart w:id="1332" w:name="_Toc38442157"/>
      <w:bookmarkStart w:id="1333" w:name="_Toc38442489"/>
      <w:bookmarkStart w:id="1334" w:name="_Toc38442820"/>
      <w:bookmarkStart w:id="1335" w:name="_Toc38443151"/>
      <w:bookmarkStart w:id="1336" w:name="_Toc38443482"/>
      <w:bookmarkStart w:id="1337" w:name="_Toc38443813"/>
      <w:bookmarkStart w:id="1338" w:name="_Toc38438280"/>
      <w:bookmarkStart w:id="1339" w:name="_Toc38438617"/>
      <w:bookmarkStart w:id="1340" w:name="_Toc38438954"/>
      <w:bookmarkStart w:id="1341" w:name="_Toc38439291"/>
      <w:bookmarkStart w:id="1342" w:name="_Toc38439628"/>
      <w:bookmarkStart w:id="1343" w:name="_Toc38439965"/>
      <w:bookmarkStart w:id="1344" w:name="_Toc38440302"/>
      <w:bookmarkStart w:id="1345" w:name="_Toc38440635"/>
      <w:bookmarkStart w:id="1346" w:name="_Toc38440834"/>
      <w:bookmarkStart w:id="1347" w:name="_Toc38441166"/>
      <w:bookmarkStart w:id="1348" w:name="_Toc38441498"/>
      <w:bookmarkStart w:id="1349" w:name="_Toc38441826"/>
      <w:bookmarkStart w:id="1350" w:name="_Toc38442158"/>
      <w:bookmarkStart w:id="1351" w:name="_Toc38442490"/>
      <w:bookmarkStart w:id="1352" w:name="_Toc38442821"/>
      <w:bookmarkStart w:id="1353" w:name="_Toc38443152"/>
      <w:bookmarkStart w:id="1354" w:name="_Toc38443483"/>
      <w:bookmarkStart w:id="1355" w:name="_Toc38443814"/>
      <w:bookmarkStart w:id="1356" w:name="_Toc38438281"/>
      <w:bookmarkStart w:id="1357" w:name="_Toc38438618"/>
      <w:bookmarkStart w:id="1358" w:name="_Toc38438955"/>
      <w:bookmarkStart w:id="1359" w:name="_Toc38439292"/>
      <w:bookmarkStart w:id="1360" w:name="_Toc38439629"/>
      <w:bookmarkStart w:id="1361" w:name="_Toc38439966"/>
      <w:bookmarkStart w:id="1362" w:name="_Toc38440303"/>
      <w:bookmarkStart w:id="1363" w:name="_Toc38440636"/>
      <w:bookmarkStart w:id="1364" w:name="_Toc38440835"/>
      <w:bookmarkStart w:id="1365" w:name="_Toc38441167"/>
      <w:bookmarkStart w:id="1366" w:name="_Toc38441499"/>
      <w:bookmarkStart w:id="1367" w:name="_Toc38441827"/>
      <w:bookmarkStart w:id="1368" w:name="_Toc38442159"/>
      <w:bookmarkStart w:id="1369" w:name="_Toc38442491"/>
      <w:bookmarkStart w:id="1370" w:name="_Toc38442822"/>
      <w:bookmarkStart w:id="1371" w:name="_Toc38443153"/>
      <w:bookmarkStart w:id="1372" w:name="_Toc38443484"/>
      <w:bookmarkStart w:id="1373" w:name="_Toc38443815"/>
      <w:bookmarkStart w:id="1374" w:name="_Toc38438282"/>
      <w:bookmarkStart w:id="1375" w:name="_Toc38438619"/>
      <w:bookmarkStart w:id="1376" w:name="_Toc38438956"/>
      <w:bookmarkStart w:id="1377" w:name="_Toc38439293"/>
      <w:bookmarkStart w:id="1378" w:name="_Toc38439630"/>
      <w:bookmarkStart w:id="1379" w:name="_Toc38439967"/>
      <w:bookmarkStart w:id="1380" w:name="_Toc38440304"/>
      <w:bookmarkStart w:id="1381" w:name="_Toc38440637"/>
      <w:bookmarkStart w:id="1382" w:name="_Toc38440836"/>
      <w:bookmarkStart w:id="1383" w:name="_Toc38441168"/>
      <w:bookmarkStart w:id="1384" w:name="_Toc38441500"/>
      <w:bookmarkStart w:id="1385" w:name="_Toc38441828"/>
      <w:bookmarkStart w:id="1386" w:name="_Toc38442160"/>
      <w:bookmarkStart w:id="1387" w:name="_Toc38442492"/>
      <w:bookmarkStart w:id="1388" w:name="_Toc38442823"/>
      <w:bookmarkStart w:id="1389" w:name="_Toc38443154"/>
      <w:bookmarkStart w:id="1390" w:name="_Toc38443485"/>
      <w:bookmarkStart w:id="1391" w:name="_Toc38443816"/>
      <w:bookmarkStart w:id="1392" w:name="_Toc38438283"/>
      <w:bookmarkStart w:id="1393" w:name="_Toc38438620"/>
      <w:bookmarkStart w:id="1394" w:name="_Toc38438957"/>
      <w:bookmarkStart w:id="1395" w:name="_Toc38439294"/>
      <w:bookmarkStart w:id="1396" w:name="_Toc38439631"/>
      <w:bookmarkStart w:id="1397" w:name="_Toc38439968"/>
      <w:bookmarkStart w:id="1398" w:name="_Toc38440305"/>
      <w:bookmarkStart w:id="1399" w:name="_Toc38440638"/>
      <w:bookmarkStart w:id="1400" w:name="_Toc38440837"/>
      <w:bookmarkStart w:id="1401" w:name="_Toc38441169"/>
      <w:bookmarkStart w:id="1402" w:name="_Toc38441501"/>
      <w:bookmarkStart w:id="1403" w:name="_Toc38441829"/>
      <w:bookmarkStart w:id="1404" w:name="_Toc38442161"/>
      <w:bookmarkStart w:id="1405" w:name="_Toc38442493"/>
      <w:bookmarkStart w:id="1406" w:name="_Toc38442824"/>
      <w:bookmarkStart w:id="1407" w:name="_Toc38443155"/>
      <w:bookmarkStart w:id="1408" w:name="_Toc38443486"/>
      <w:bookmarkStart w:id="1409" w:name="_Toc38443817"/>
      <w:bookmarkStart w:id="1410" w:name="_Toc38438284"/>
      <w:bookmarkStart w:id="1411" w:name="_Toc38438621"/>
      <w:bookmarkStart w:id="1412" w:name="_Toc38438958"/>
      <w:bookmarkStart w:id="1413" w:name="_Toc38439295"/>
      <w:bookmarkStart w:id="1414" w:name="_Toc38439632"/>
      <w:bookmarkStart w:id="1415" w:name="_Toc38439969"/>
      <w:bookmarkStart w:id="1416" w:name="_Toc38440306"/>
      <w:bookmarkStart w:id="1417" w:name="_Toc38440639"/>
      <w:bookmarkStart w:id="1418" w:name="_Toc38440838"/>
      <w:bookmarkStart w:id="1419" w:name="_Toc38441170"/>
      <w:bookmarkStart w:id="1420" w:name="_Toc38441502"/>
      <w:bookmarkStart w:id="1421" w:name="_Toc38441830"/>
      <w:bookmarkStart w:id="1422" w:name="_Toc38442162"/>
      <w:bookmarkStart w:id="1423" w:name="_Toc38442494"/>
      <w:bookmarkStart w:id="1424" w:name="_Toc38442825"/>
      <w:bookmarkStart w:id="1425" w:name="_Toc38443156"/>
      <w:bookmarkStart w:id="1426" w:name="_Toc38443487"/>
      <w:bookmarkStart w:id="1427" w:name="_Toc38443818"/>
      <w:bookmarkStart w:id="1428" w:name="_Toc38438285"/>
      <w:bookmarkStart w:id="1429" w:name="_Toc38438622"/>
      <w:bookmarkStart w:id="1430" w:name="_Toc38438959"/>
      <w:bookmarkStart w:id="1431" w:name="_Toc38439296"/>
      <w:bookmarkStart w:id="1432" w:name="_Toc38439633"/>
      <w:bookmarkStart w:id="1433" w:name="_Toc38439970"/>
      <w:bookmarkStart w:id="1434" w:name="_Toc38440307"/>
      <w:bookmarkStart w:id="1435" w:name="_Toc38440640"/>
      <w:bookmarkStart w:id="1436" w:name="_Toc38440839"/>
      <w:bookmarkStart w:id="1437" w:name="_Toc38441171"/>
      <w:bookmarkStart w:id="1438" w:name="_Toc38441503"/>
      <w:bookmarkStart w:id="1439" w:name="_Toc38441831"/>
      <w:bookmarkStart w:id="1440" w:name="_Toc38442163"/>
      <w:bookmarkStart w:id="1441" w:name="_Toc38442495"/>
      <w:bookmarkStart w:id="1442" w:name="_Toc38442826"/>
      <w:bookmarkStart w:id="1443" w:name="_Toc38443157"/>
      <w:bookmarkStart w:id="1444" w:name="_Toc38443488"/>
      <w:bookmarkStart w:id="1445" w:name="_Toc38443819"/>
      <w:bookmarkStart w:id="1446" w:name="_Toc38438286"/>
      <w:bookmarkStart w:id="1447" w:name="_Toc38438623"/>
      <w:bookmarkStart w:id="1448" w:name="_Toc38438960"/>
      <w:bookmarkStart w:id="1449" w:name="_Toc38439297"/>
      <w:bookmarkStart w:id="1450" w:name="_Toc38439634"/>
      <w:bookmarkStart w:id="1451" w:name="_Toc38439971"/>
      <w:bookmarkStart w:id="1452" w:name="_Toc38440308"/>
      <w:bookmarkStart w:id="1453" w:name="_Toc38440641"/>
      <w:bookmarkStart w:id="1454" w:name="_Toc38440840"/>
      <w:bookmarkStart w:id="1455" w:name="_Toc38441172"/>
      <w:bookmarkStart w:id="1456" w:name="_Toc38441504"/>
      <w:bookmarkStart w:id="1457" w:name="_Toc38441832"/>
      <w:bookmarkStart w:id="1458" w:name="_Toc38442164"/>
      <w:bookmarkStart w:id="1459" w:name="_Toc38442496"/>
      <w:bookmarkStart w:id="1460" w:name="_Toc38442827"/>
      <w:bookmarkStart w:id="1461" w:name="_Toc38443158"/>
      <w:bookmarkStart w:id="1462" w:name="_Toc38443489"/>
      <w:bookmarkStart w:id="1463" w:name="_Toc38443820"/>
      <w:bookmarkStart w:id="1464" w:name="_Toc38438287"/>
      <w:bookmarkStart w:id="1465" w:name="_Toc38438624"/>
      <w:bookmarkStart w:id="1466" w:name="_Toc38438961"/>
      <w:bookmarkStart w:id="1467" w:name="_Toc38439298"/>
      <w:bookmarkStart w:id="1468" w:name="_Toc38439635"/>
      <w:bookmarkStart w:id="1469" w:name="_Toc38439972"/>
      <w:bookmarkStart w:id="1470" w:name="_Toc38440309"/>
      <w:bookmarkStart w:id="1471" w:name="_Toc38440642"/>
      <w:bookmarkStart w:id="1472" w:name="_Toc38440841"/>
      <w:bookmarkStart w:id="1473" w:name="_Toc38441173"/>
      <w:bookmarkStart w:id="1474" w:name="_Toc38441505"/>
      <w:bookmarkStart w:id="1475" w:name="_Toc38441833"/>
      <w:bookmarkStart w:id="1476" w:name="_Toc38442165"/>
      <w:bookmarkStart w:id="1477" w:name="_Toc38442497"/>
      <w:bookmarkStart w:id="1478" w:name="_Toc38442828"/>
      <w:bookmarkStart w:id="1479" w:name="_Toc38443159"/>
      <w:bookmarkStart w:id="1480" w:name="_Toc38443490"/>
      <w:bookmarkStart w:id="1481" w:name="_Toc38443821"/>
      <w:bookmarkStart w:id="1482" w:name="_Toc38438288"/>
      <w:bookmarkStart w:id="1483" w:name="_Toc38438625"/>
      <w:bookmarkStart w:id="1484" w:name="_Toc38438962"/>
      <w:bookmarkStart w:id="1485" w:name="_Toc38439299"/>
      <w:bookmarkStart w:id="1486" w:name="_Toc38439636"/>
      <w:bookmarkStart w:id="1487" w:name="_Toc38439973"/>
      <w:bookmarkStart w:id="1488" w:name="_Toc38440310"/>
      <w:bookmarkStart w:id="1489" w:name="_Toc38440643"/>
      <w:bookmarkStart w:id="1490" w:name="_Toc38440842"/>
      <w:bookmarkStart w:id="1491" w:name="_Toc38441174"/>
      <w:bookmarkStart w:id="1492" w:name="_Toc38441506"/>
      <w:bookmarkStart w:id="1493" w:name="_Toc38441834"/>
      <w:bookmarkStart w:id="1494" w:name="_Toc38442166"/>
      <w:bookmarkStart w:id="1495" w:name="_Toc38442498"/>
      <w:bookmarkStart w:id="1496" w:name="_Toc38442829"/>
      <w:bookmarkStart w:id="1497" w:name="_Toc38443160"/>
      <w:bookmarkStart w:id="1498" w:name="_Toc38443491"/>
      <w:bookmarkStart w:id="1499" w:name="_Toc38443822"/>
      <w:bookmarkStart w:id="1500" w:name="_Toc38438289"/>
      <w:bookmarkStart w:id="1501" w:name="_Toc38438626"/>
      <w:bookmarkStart w:id="1502" w:name="_Toc38438963"/>
      <w:bookmarkStart w:id="1503" w:name="_Toc38439300"/>
      <w:bookmarkStart w:id="1504" w:name="_Toc38439637"/>
      <w:bookmarkStart w:id="1505" w:name="_Toc38439974"/>
      <w:bookmarkStart w:id="1506" w:name="_Toc38440311"/>
      <w:bookmarkStart w:id="1507" w:name="_Toc38440644"/>
      <w:bookmarkStart w:id="1508" w:name="_Toc38440843"/>
      <w:bookmarkStart w:id="1509" w:name="_Toc38441175"/>
      <w:bookmarkStart w:id="1510" w:name="_Toc38441507"/>
      <w:bookmarkStart w:id="1511" w:name="_Toc38441835"/>
      <w:bookmarkStart w:id="1512" w:name="_Toc38442167"/>
      <w:bookmarkStart w:id="1513" w:name="_Toc38442499"/>
      <w:bookmarkStart w:id="1514" w:name="_Toc38442830"/>
      <w:bookmarkStart w:id="1515" w:name="_Toc38443161"/>
      <w:bookmarkStart w:id="1516" w:name="_Toc38443492"/>
      <w:bookmarkStart w:id="1517" w:name="_Toc38443823"/>
      <w:bookmarkStart w:id="1518" w:name="_Toc38438290"/>
      <w:bookmarkStart w:id="1519" w:name="_Toc38438627"/>
      <w:bookmarkStart w:id="1520" w:name="_Toc38438964"/>
      <w:bookmarkStart w:id="1521" w:name="_Toc38439301"/>
      <w:bookmarkStart w:id="1522" w:name="_Toc38439638"/>
      <w:bookmarkStart w:id="1523" w:name="_Toc38439975"/>
      <w:bookmarkStart w:id="1524" w:name="_Toc38440312"/>
      <w:bookmarkStart w:id="1525" w:name="_Toc38440645"/>
      <w:bookmarkStart w:id="1526" w:name="_Toc38440844"/>
      <w:bookmarkStart w:id="1527" w:name="_Toc38441176"/>
      <w:bookmarkStart w:id="1528" w:name="_Toc38441508"/>
      <w:bookmarkStart w:id="1529" w:name="_Toc38441836"/>
      <w:bookmarkStart w:id="1530" w:name="_Toc38442168"/>
      <w:bookmarkStart w:id="1531" w:name="_Toc38442500"/>
      <w:bookmarkStart w:id="1532" w:name="_Toc38442831"/>
      <w:bookmarkStart w:id="1533" w:name="_Toc38443162"/>
      <w:bookmarkStart w:id="1534" w:name="_Toc38443493"/>
      <w:bookmarkStart w:id="1535" w:name="_Toc38443824"/>
      <w:bookmarkStart w:id="1536" w:name="_Toc38438291"/>
      <w:bookmarkStart w:id="1537" w:name="_Toc38438628"/>
      <w:bookmarkStart w:id="1538" w:name="_Toc38438965"/>
      <w:bookmarkStart w:id="1539" w:name="_Toc38439302"/>
      <w:bookmarkStart w:id="1540" w:name="_Toc38439639"/>
      <w:bookmarkStart w:id="1541" w:name="_Toc38439976"/>
      <w:bookmarkStart w:id="1542" w:name="_Toc38440313"/>
      <w:bookmarkStart w:id="1543" w:name="_Toc38440646"/>
      <w:bookmarkStart w:id="1544" w:name="_Toc38440845"/>
      <w:bookmarkStart w:id="1545" w:name="_Toc38441177"/>
      <w:bookmarkStart w:id="1546" w:name="_Toc38441509"/>
      <w:bookmarkStart w:id="1547" w:name="_Toc38441837"/>
      <w:bookmarkStart w:id="1548" w:name="_Toc38442169"/>
      <w:bookmarkStart w:id="1549" w:name="_Toc38442501"/>
      <w:bookmarkStart w:id="1550" w:name="_Toc38442832"/>
      <w:bookmarkStart w:id="1551" w:name="_Toc38443163"/>
      <w:bookmarkStart w:id="1552" w:name="_Toc38443494"/>
      <w:bookmarkStart w:id="1553" w:name="_Toc38443825"/>
      <w:bookmarkStart w:id="1554" w:name="_Toc38438292"/>
      <w:bookmarkStart w:id="1555" w:name="_Toc38438629"/>
      <w:bookmarkStart w:id="1556" w:name="_Toc38438966"/>
      <w:bookmarkStart w:id="1557" w:name="_Toc38439303"/>
      <w:bookmarkStart w:id="1558" w:name="_Toc38439640"/>
      <w:bookmarkStart w:id="1559" w:name="_Toc38439977"/>
      <w:bookmarkStart w:id="1560" w:name="_Toc38440314"/>
      <w:bookmarkStart w:id="1561" w:name="_Toc38440647"/>
      <w:bookmarkStart w:id="1562" w:name="_Toc38440846"/>
      <w:bookmarkStart w:id="1563" w:name="_Toc38441178"/>
      <w:bookmarkStart w:id="1564" w:name="_Toc38441510"/>
      <w:bookmarkStart w:id="1565" w:name="_Toc38441838"/>
      <w:bookmarkStart w:id="1566" w:name="_Toc38442170"/>
      <w:bookmarkStart w:id="1567" w:name="_Toc38442502"/>
      <w:bookmarkStart w:id="1568" w:name="_Toc38442833"/>
      <w:bookmarkStart w:id="1569" w:name="_Toc38443164"/>
      <w:bookmarkStart w:id="1570" w:name="_Toc38443495"/>
      <w:bookmarkStart w:id="1571" w:name="_Toc38443826"/>
      <w:bookmarkStart w:id="1572" w:name="_Toc38438293"/>
      <w:bookmarkStart w:id="1573" w:name="_Toc38438630"/>
      <w:bookmarkStart w:id="1574" w:name="_Toc38438967"/>
      <w:bookmarkStart w:id="1575" w:name="_Toc38439304"/>
      <w:bookmarkStart w:id="1576" w:name="_Toc38439641"/>
      <w:bookmarkStart w:id="1577" w:name="_Toc38439978"/>
      <w:bookmarkStart w:id="1578" w:name="_Toc38440315"/>
      <w:bookmarkStart w:id="1579" w:name="_Toc38440648"/>
      <w:bookmarkStart w:id="1580" w:name="_Toc38440847"/>
      <w:bookmarkStart w:id="1581" w:name="_Toc38441179"/>
      <w:bookmarkStart w:id="1582" w:name="_Toc38441511"/>
      <w:bookmarkStart w:id="1583" w:name="_Toc38441839"/>
      <w:bookmarkStart w:id="1584" w:name="_Toc38442171"/>
      <w:bookmarkStart w:id="1585" w:name="_Toc38442503"/>
      <w:bookmarkStart w:id="1586" w:name="_Toc38442834"/>
      <w:bookmarkStart w:id="1587" w:name="_Toc38443165"/>
      <w:bookmarkStart w:id="1588" w:name="_Toc38443496"/>
      <w:bookmarkStart w:id="1589" w:name="_Toc38443827"/>
      <w:bookmarkStart w:id="1590" w:name="_Toc38438296"/>
      <w:bookmarkStart w:id="1591" w:name="_Toc38438633"/>
      <w:bookmarkStart w:id="1592" w:name="_Toc38438970"/>
      <w:bookmarkStart w:id="1593" w:name="_Toc38439307"/>
      <w:bookmarkStart w:id="1594" w:name="_Toc38439644"/>
      <w:bookmarkStart w:id="1595" w:name="_Toc38439981"/>
      <w:bookmarkStart w:id="1596" w:name="_Toc38440318"/>
      <w:bookmarkStart w:id="1597" w:name="_Toc38440651"/>
      <w:bookmarkStart w:id="1598" w:name="_Toc38440850"/>
      <w:bookmarkStart w:id="1599" w:name="_Toc38441182"/>
      <w:bookmarkStart w:id="1600" w:name="_Toc38441514"/>
      <w:bookmarkStart w:id="1601" w:name="_Toc38441842"/>
      <w:bookmarkStart w:id="1602" w:name="_Toc38442174"/>
      <w:bookmarkStart w:id="1603" w:name="_Toc38442506"/>
      <w:bookmarkStart w:id="1604" w:name="_Toc38442837"/>
      <w:bookmarkStart w:id="1605" w:name="_Toc38443168"/>
      <w:bookmarkStart w:id="1606" w:name="_Toc38443499"/>
      <w:bookmarkStart w:id="1607" w:name="_Toc38443830"/>
      <w:bookmarkStart w:id="1608" w:name="_Toc38438297"/>
      <w:bookmarkStart w:id="1609" w:name="_Toc38438634"/>
      <w:bookmarkStart w:id="1610" w:name="_Toc38438971"/>
      <w:bookmarkStart w:id="1611" w:name="_Toc38439308"/>
      <w:bookmarkStart w:id="1612" w:name="_Toc38439645"/>
      <w:bookmarkStart w:id="1613" w:name="_Toc38439982"/>
      <w:bookmarkStart w:id="1614" w:name="_Toc38440319"/>
      <w:bookmarkStart w:id="1615" w:name="_Toc38440652"/>
      <w:bookmarkStart w:id="1616" w:name="_Toc38440851"/>
      <w:bookmarkStart w:id="1617" w:name="_Toc38441183"/>
      <w:bookmarkStart w:id="1618" w:name="_Toc38441515"/>
      <w:bookmarkStart w:id="1619" w:name="_Toc38441843"/>
      <w:bookmarkStart w:id="1620" w:name="_Toc38442175"/>
      <w:bookmarkStart w:id="1621" w:name="_Toc38442507"/>
      <w:bookmarkStart w:id="1622" w:name="_Toc38442838"/>
      <w:bookmarkStart w:id="1623" w:name="_Toc38443169"/>
      <w:bookmarkStart w:id="1624" w:name="_Toc38443500"/>
      <w:bookmarkStart w:id="1625" w:name="_Toc38443831"/>
      <w:bookmarkStart w:id="1626" w:name="_Toc38438298"/>
      <w:bookmarkStart w:id="1627" w:name="_Toc38438635"/>
      <w:bookmarkStart w:id="1628" w:name="_Toc38438972"/>
      <w:bookmarkStart w:id="1629" w:name="_Toc38439309"/>
      <w:bookmarkStart w:id="1630" w:name="_Toc38439646"/>
      <w:bookmarkStart w:id="1631" w:name="_Toc38439983"/>
      <w:bookmarkStart w:id="1632" w:name="_Toc38440320"/>
      <w:bookmarkStart w:id="1633" w:name="_Toc38440653"/>
      <w:bookmarkStart w:id="1634" w:name="_Toc38440852"/>
      <w:bookmarkStart w:id="1635" w:name="_Toc38441184"/>
      <w:bookmarkStart w:id="1636" w:name="_Toc38441516"/>
      <w:bookmarkStart w:id="1637" w:name="_Toc38441844"/>
      <w:bookmarkStart w:id="1638" w:name="_Toc38442176"/>
      <w:bookmarkStart w:id="1639" w:name="_Toc38442508"/>
      <w:bookmarkStart w:id="1640" w:name="_Toc38442839"/>
      <w:bookmarkStart w:id="1641" w:name="_Toc38443170"/>
      <w:bookmarkStart w:id="1642" w:name="_Toc38443501"/>
      <w:bookmarkStart w:id="1643" w:name="_Toc38443832"/>
      <w:bookmarkStart w:id="1644" w:name="_Toc38438299"/>
      <w:bookmarkStart w:id="1645" w:name="_Toc38438636"/>
      <w:bookmarkStart w:id="1646" w:name="_Toc38438973"/>
      <w:bookmarkStart w:id="1647" w:name="_Toc38439310"/>
      <w:bookmarkStart w:id="1648" w:name="_Toc38439647"/>
      <w:bookmarkStart w:id="1649" w:name="_Toc38439984"/>
      <w:bookmarkStart w:id="1650" w:name="_Toc38440321"/>
      <w:bookmarkStart w:id="1651" w:name="_Toc38440654"/>
      <w:bookmarkStart w:id="1652" w:name="_Toc38440853"/>
      <w:bookmarkStart w:id="1653" w:name="_Toc38441185"/>
      <w:bookmarkStart w:id="1654" w:name="_Toc38441517"/>
      <w:bookmarkStart w:id="1655" w:name="_Toc38441845"/>
      <w:bookmarkStart w:id="1656" w:name="_Toc38442177"/>
      <w:bookmarkStart w:id="1657" w:name="_Toc38442509"/>
      <w:bookmarkStart w:id="1658" w:name="_Toc38442840"/>
      <w:bookmarkStart w:id="1659" w:name="_Toc38443171"/>
      <w:bookmarkStart w:id="1660" w:name="_Toc38443502"/>
      <w:bookmarkStart w:id="1661" w:name="_Toc38443833"/>
      <w:bookmarkStart w:id="1662" w:name="_Toc38438301"/>
      <w:bookmarkStart w:id="1663" w:name="_Toc38438638"/>
      <w:bookmarkStart w:id="1664" w:name="_Toc38438975"/>
      <w:bookmarkStart w:id="1665" w:name="_Toc38439312"/>
      <w:bookmarkStart w:id="1666" w:name="_Toc38439649"/>
      <w:bookmarkStart w:id="1667" w:name="_Toc38439986"/>
      <w:bookmarkStart w:id="1668" w:name="_Toc38440323"/>
      <w:bookmarkStart w:id="1669" w:name="_Toc38440656"/>
      <w:bookmarkStart w:id="1670" w:name="_Toc38440855"/>
      <w:bookmarkStart w:id="1671" w:name="_Toc38441187"/>
      <w:bookmarkStart w:id="1672" w:name="_Toc38441519"/>
      <w:bookmarkStart w:id="1673" w:name="_Toc38441847"/>
      <w:bookmarkStart w:id="1674" w:name="_Toc38442179"/>
      <w:bookmarkStart w:id="1675" w:name="_Toc38442511"/>
      <w:bookmarkStart w:id="1676" w:name="_Toc38442842"/>
      <w:bookmarkStart w:id="1677" w:name="_Toc38443173"/>
      <w:bookmarkStart w:id="1678" w:name="_Toc38443504"/>
      <w:bookmarkStart w:id="1679" w:name="_Toc38443835"/>
      <w:bookmarkStart w:id="1680" w:name="_Toc38438302"/>
      <w:bookmarkStart w:id="1681" w:name="_Toc38438639"/>
      <w:bookmarkStart w:id="1682" w:name="_Toc38438976"/>
      <w:bookmarkStart w:id="1683" w:name="_Toc38439313"/>
      <w:bookmarkStart w:id="1684" w:name="_Toc38439650"/>
      <w:bookmarkStart w:id="1685" w:name="_Toc38439987"/>
      <w:bookmarkStart w:id="1686" w:name="_Toc38440324"/>
      <w:bookmarkStart w:id="1687" w:name="_Toc38440657"/>
      <w:bookmarkStart w:id="1688" w:name="_Toc38440856"/>
      <w:bookmarkStart w:id="1689" w:name="_Toc38441188"/>
      <w:bookmarkStart w:id="1690" w:name="_Toc38441520"/>
      <w:bookmarkStart w:id="1691" w:name="_Toc38441848"/>
      <w:bookmarkStart w:id="1692" w:name="_Toc38442180"/>
      <w:bookmarkStart w:id="1693" w:name="_Toc38442512"/>
      <w:bookmarkStart w:id="1694" w:name="_Toc38442843"/>
      <w:bookmarkStart w:id="1695" w:name="_Toc38443174"/>
      <w:bookmarkStart w:id="1696" w:name="_Toc38443505"/>
      <w:bookmarkStart w:id="1697" w:name="_Toc38443836"/>
      <w:bookmarkStart w:id="1698" w:name="_Toc38438303"/>
      <w:bookmarkStart w:id="1699" w:name="_Toc38438640"/>
      <w:bookmarkStart w:id="1700" w:name="_Toc38438977"/>
      <w:bookmarkStart w:id="1701" w:name="_Toc38439314"/>
      <w:bookmarkStart w:id="1702" w:name="_Toc38439651"/>
      <w:bookmarkStart w:id="1703" w:name="_Toc38439988"/>
      <w:bookmarkStart w:id="1704" w:name="_Toc38440325"/>
      <w:bookmarkStart w:id="1705" w:name="_Toc38440658"/>
      <w:bookmarkStart w:id="1706" w:name="_Toc38440857"/>
      <w:bookmarkStart w:id="1707" w:name="_Toc38441189"/>
      <w:bookmarkStart w:id="1708" w:name="_Toc38441521"/>
      <w:bookmarkStart w:id="1709" w:name="_Toc38441849"/>
      <w:bookmarkStart w:id="1710" w:name="_Toc38442181"/>
      <w:bookmarkStart w:id="1711" w:name="_Toc38442513"/>
      <w:bookmarkStart w:id="1712" w:name="_Toc38442844"/>
      <w:bookmarkStart w:id="1713" w:name="_Toc38443175"/>
      <w:bookmarkStart w:id="1714" w:name="_Toc38443506"/>
      <w:bookmarkStart w:id="1715" w:name="_Toc38443837"/>
      <w:bookmarkStart w:id="1716" w:name="_Toc38438304"/>
      <w:bookmarkStart w:id="1717" w:name="_Toc38438641"/>
      <w:bookmarkStart w:id="1718" w:name="_Toc38438978"/>
      <w:bookmarkStart w:id="1719" w:name="_Toc38439315"/>
      <w:bookmarkStart w:id="1720" w:name="_Toc38439652"/>
      <w:bookmarkStart w:id="1721" w:name="_Toc38439989"/>
      <w:bookmarkStart w:id="1722" w:name="_Toc38440326"/>
      <w:bookmarkStart w:id="1723" w:name="_Toc38440659"/>
      <w:bookmarkStart w:id="1724" w:name="_Toc38440858"/>
      <w:bookmarkStart w:id="1725" w:name="_Toc38441190"/>
      <w:bookmarkStart w:id="1726" w:name="_Toc38441522"/>
      <w:bookmarkStart w:id="1727" w:name="_Toc38441850"/>
      <w:bookmarkStart w:id="1728" w:name="_Toc38442182"/>
      <w:bookmarkStart w:id="1729" w:name="_Toc38442514"/>
      <w:bookmarkStart w:id="1730" w:name="_Toc38442845"/>
      <w:bookmarkStart w:id="1731" w:name="_Toc38443176"/>
      <w:bookmarkStart w:id="1732" w:name="_Toc38443507"/>
      <w:bookmarkStart w:id="1733" w:name="_Toc38443838"/>
      <w:bookmarkStart w:id="1734" w:name="_Toc38438305"/>
      <w:bookmarkStart w:id="1735" w:name="_Toc38438642"/>
      <w:bookmarkStart w:id="1736" w:name="_Toc38438979"/>
      <w:bookmarkStart w:id="1737" w:name="_Toc38439316"/>
      <w:bookmarkStart w:id="1738" w:name="_Toc38439653"/>
      <w:bookmarkStart w:id="1739" w:name="_Toc38439990"/>
      <w:bookmarkStart w:id="1740" w:name="_Toc38440327"/>
      <w:bookmarkStart w:id="1741" w:name="_Toc38440660"/>
      <w:bookmarkStart w:id="1742" w:name="_Toc38440859"/>
      <w:bookmarkStart w:id="1743" w:name="_Toc38441191"/>
      <w:bookmarkStart w:id="1744" w:name="_Toc38441523"/>
      <w:bookmarkStart w:id="1745" w:name="_Toc38441851"/>
      <w:bookmarkStart w:id="1746" w:name="_Toc38442183"/>
      <w:bookmarkStart w:id="1747" w:name="_Toc38442515"/>
      <w:bookmarkStart w:id="1748" w:name="_Toc38442846"/>
      <w:bookmarkStart w:id="1749" w:name="_Toc38443177"/>
      <w:bookmarkStart w:id="1750" w:name="_Toc38443508"/>
      <w:bookmarkStart w:id="1751" w:name="_Toc38443839"/>
      <w:bookmarkStart w:id="1752" w:name="_Toc38438306"/>
      <w:bookmarkStart w:id="1753" w:name="_Toc38438643"/>
      <w:bookmarkStart w:id="1754" w:name="_Toc38438980"/>
      <w:bookmarkStart w:id="1755" w:name="_Toc38439317"/>
      <w:bookmarkStart w:id="1756" w:name="_Toc38439654"/>
      <w:bookmarkStart w:id="1757" w:name="_Toc38439991"/>
      <w:bookmarkStart w:id="1758" w:name="_Toc38440328"/>
      <w:bookmarkStart w:id="1759" w:name="_Toc38440661"/>
      <w:bookmarkStart w:id="1760" w:name="_Toc38440860"/>
      <w:bookmarkStart w:id="1761" w:name="_Toc38441192"/>
      <w:bookmarkStart w:id="1762" w:name="_Toc38441524"/>
      <w:bookmarkStart w:id="1763" w:name="_Toc38441852"/>
      <w:bookmarkStart w:id="1764" w:name="_Toc38442184"/>
      <w:bookmarkStart w:id="1765" w:name="_Toc38442516"/>
      <w:bookmarkStart w:id="1766" w:name="_Toc38442847"/>
      <w:bookmarkStart w:id="1767" w:name="_Toc38443178"/>
      <w:bookmarkStart w:id="1768" w:name="_Toc38443509"/>
      <w:bookmarkStart w:id="1769" w:name="_Toc38443840"/>
      <w:bookmarkStart w:id="1770" w:name="_Toc38438310"/>
      <w:bookmarkStart w:id="1771" w:name="_Toc38438647"/>
      <w:bookmarkStart w:id="1772" w:name="_Toc38438984"/>
      <w:bookmarkStart w:id="1773" w:name="_Toc38439321"/>
      <w:bookmarkStart w:id="1774" w:name="_Toc38439658"/>
      <w:bookmarkStart w:id="1775" w:name="_Toc38439995"/>
      <w:bookmarkStart w:id="1776" w:name="_Toc38440332"/>
      <w:bookmarkStart w:id="1777" w:name="_Toc38440665"/>
      <w:bookmarkStart w:id="1778" w:name="_Toc38440864"/>
      <w:bookmarkStart w:id="1779" w:name="_Toc38441196"/>
      <w:bookmarkStart w:id="1780" w:name="_Toc38441528"/>
      <w:bookmarkStart w:id="1781" w:name="_Toc38441856"/>
      <w:bookmarkStart w:id="1782" w:name="_Toc38442188"/>
      <w:bookmarkStart w:id="1783" w:name="_Toc38442520"/>
      <w:bookmarkStart w:id="1784" w:name="_Toc38442851"/>
      <w:bookmarkStart w:id="1785" w:name="_Toc38443182"/>
      <w:bookmarkStart w:id="1786" w:name="_Toc38443513"/>
      <w:bookmarkStart w:id="1787" w:name="_Toc38443844"/>
      <w:bookmarkStart w:id="1788" w:name="_Toc38438311"/>
      <w:bookmarkStart w:id="1789" w:name="_Toc38438648"/>
      <w:bookmarkStart w:id="1790" w:name="_Toc38438985"/>
      <w:bookmarkStart w:id="1791" w:name="_Toc38439322"/>
      <w:bookmarkStart w:id="1792" w:name="_Toc38439659"/>
      <w:bookmarkStart w:id="1793" w:name="_Toc38439996"/>
      <w:bookmarkStart w:id="1794" w:name="_Toc38440333"/>
      <w:bookmarkStart w:id="1795" w:name="_Toc38440666"/>
      <w:bookmarkStart w:id="1796" w:name="_Toc38440865"/>
      <w:bookmarkStart w:id="1797" w:name="_Toc38441197"/>
      <w:bookmarkStart w:id="1798" w:name="_Toc38441529"/>
      <w:bookmarkStart w:id="1799" w:name="_Toc38441857"/>
      <w:bookmarkStart w:id="1800" w:name="_Toc38442189"/>
      <w:bookmarkStart w:id="1801" w:name="_Toc38442521"/>
      <w:bookmarkStart w:id="1802" w:name="_Toc38442852"/>
      <w:bookmarkStart w:id="1803" w:name="_Toc38443183"/>
      <w:bookmarkStart w:id="1804" w:name="_Toc38443514"/>
      <w:bookmarkStart w:id="1805" w:name="_Toc38443845"/>
      <w:bookmarkStart w:id="1806" w:name="_Toc38438312"/>
      <w:bookmarkStart w:id="1807" w:name="_Toc38438649"/>
      <w:bookmarkStart w:id="1808" w:name="_Toc38438986"/>
      <w:bookmarkStart w:id="1809" w:name="_Toc38439323"/>
      <w:bookmarkStart w:id="1810" w:name="_Toc38439660"/>
      <w:bookmarkStart w:id="1811" w:name="_Toc38439997"/>
      <w:bookmarkStart w:id="1812" w:name="_Toc38440334"/>
      <w:bookmarkStart w:id="1813" w:name="_Toc38440667"/>
      <w:bookmarkStart w:id="1814" w:name="_Toc38440866"/>
      <w:bookmarkStart w:id="1815" w:name="_Toc38441198"/>
      <w:bookmarkStart w:id="1816" w:name="_Toc38441530"/>
      <w:bookmarkStart w:id="1817" w:name="_Toc38441858"/>
      <w:bookmarkStart w:id="1818" w:name="_Toc38442190"/>
      <w:bookmarkStart w:id="1819" w:name="_Toc38442522"/>
      <w:bookmarkStart w:id="1820" w:name="_Toc38442853"/>
      <w:bookmarkStart w:id="1821" w:name="_Toc38443184"/>
      <w:bookmarkStart w:id="1822" w:name="_Toc38443515"/>
      <w:bookmarkStart w:id="1823" w:name="_Toc38443846"/>
      <w:bookmarkStart w:id="1824" w:name="_Toc38438313"/>
      <w:bookmarkStart w:id="1825" w:name="_Toc38438650"/>
      <w:bookmarkStart w:id="1826" w:name="_Toc38438987"/>
      <w:bookmarkStart w:id="1827" w:name="_Toc38439324"/>
      <w:bookmarkStart w:id="1828" w:name="_Toc38439661"/>
      <w:bookmarkStart w:id="1829" w:name="_Toc38439998"/>
      <w:bookmarkStart w:id="1830" w:name="_Toc38440335"/>
      <w:bookmarkStart w:id="1831" w:name="_Toc38440668"/>
      <w:bookmarkStart w:id="1832" w:name="_Toc38440867"/>
      <w:bookmarkStart w:id="1833" w:name="_Toc38441199"/>
      <w:bookmarkStart w:id="1834" w:name="_Toc38441531"/>
      <w:bookmarkStart w:id="1835" w:name="_Toc38441859"/>
      <w:bookmarkStart w:id="1836" w:name="_Toc38442191"/>
      <w:bookmarkStart w:id="1837" w:name="_Toc38442523"/>
      <w:bookmarkStart w:id="1838" w:name="_Toc38442854"/>
      <w:bookmarkStart w:id="1839" w:name="_Toc38443185"/>
      <w:bookmarkStart w:id="1840" w:name="_Toc38443516"/>
      <w:bookmarkStart w:id="1841" w:name="_Toc38443847"/>
      <w:bookmarkStart w:id="1842" w:name="_Toc38438314"/>
      <w:bookmarkStart w:id="1843" w:name="_Toc38438651"/>
      <w:bookmarkStart w:id="1844" w:name="_Toc38438988"/>
      <w:bookmarkStart w:id="1845" w:name="_Toc38439325"/>
      <w:bookmarkStart w:id="1846" w:name="_Toc38439662"/>
      <w:bookmarkStart w:id="1847" w:name="_Toc38439999"/>
      <w:bookmarkStart w:id="1848" w:name="_Toc38440336"/>
      <w:bookmarkStart w:id="1849" w:name="_Toc38440669"/>
      <w:bookmarkStart w:id="1850" w:name="_Toc38440868"/>
      <w:bookmarkStart w:id="1851" w:name="_Toc38441200"/>
      <w:bookmarkStart w:id="1852" w:name="_Toc38441532"/>
      <w:bookmarkStart w:id="1853" w:name="_Toc38441860"/>
      <w:bookmarkStart w:id="1854" w:name="_Toc38442192"/>
      <w:bookmarkStart w:id="1855" w:name="_Toc38442524"/>
      <w:bookmarkStart w:id="1856" w:name="_Toc38442855"/>
      <w:bookmarkStart w:id="1857" w:name="_Toc38443186"/>
      <w:bookmarkStart w:id="1858" w:name="_Toc38443517"/>
      <w:bookmarkStart w:id="1859" w:name="_Toc38443848"/>
      <w:bookmarkStart w:id="1860" w:name="_Toc38438315"/>
      <w:bookmarkStart w:id="1861" w:name="_Toc38438652"/>
      <w:bookmarkStart w:id="1862" w:name="_Toc38438989"/>
      <w:bookmarkStart w:id="1863" w:name="_Toc38439326"/>
      <w:bookmarkStart w:id="1864" w:name="_Toc38439663"/>
      <w:bookmarkStart w:id="1865" w:name="_Toc38440000"/>
      <w:bookmarkStart w:id="1866" w:name="_Toc38440337"/>
      <w:bookmarkStart w:id="1867" w:name="_Toc38440670"/>
      <w:bookmarkStart w:id="1868" w:name="_Toc38440869"/>
      <w:bookmarkStart w:id="1869" w:name="_Toc38441201"/>
      <w:bookmarkStart w:id="1870" w:name="_Toc38441533"/>
      <w:bookmarkStart w:id="1871" w:name="_Toc38441861"/>
      <w:bookmarkStart w:id="1872" w:name="_Toc38442193"/>
      <w:bookmarkStart w:id="1873" w:name="_Toc38442525"/>
      <w:bookmarkStart w:id="1874" w:name="_Toc38442856"/>
      <w:bookmarkStart w:id="1875" w:name="_Toc38443187"/>
      <w:bookmarkStart w:id="1876" w:name="_Toc38443518"/>
      <w:bookmarkStart w:id="1877" w:name="_Toc38443849"/>
      <w:bookmarkStart w:id="1878" w:name="_Toc38438316"/>
      <w:bookmarkStart w:id="1879" w:name="_Toc38438653"/>
      <w:bookmarkStart w:id="1880" w:name="_Toc38438990"/>
      <w:bookmarkStart w:id="1881" w:name="_Toc38439327"/>
      <w:bookmarkStart w:id="1882" w:name="_Toc38439664"/>
      <w:bookmarkStart w:id="1883" w:name="_Toc38440001"/>
      <w:bookmarkStart w:id="1884" w:name="_Toc38440338"/>
      <w:bookmarkStart w:id="1885" w:name="_Toc38440671"/>
      <w:bookmarkStart w:id="1886" w:name="_Toc38440870"/>
      <w:bookmarkStart w:id="1887" w:name="_Toc38441202"/>
      <w:bookmarkStart w:id="1888" w:name="_Toc38441534"/>
      <w:bookmarkStart w:id="1889" w:name="_Toc38441862"/>
      <w:bookmarkStart w:id="1890" w:name="_Toc38442194"/>
      <w:bookmarkStart w:id="1891" w:name="_Toc38442526"/>
      <w:bookmarkStart w:id="1892" w:name="_Toc38442857"/>
      <w:bookmarkStart w:id="1893" w:name="_Toc38443188"/>
      <w:bookmarkStart w:id="1894" w:name="_Toc38443519"/>
      <w:bookmarkStart w:id="1895" w:name="_Toc38443850"/>
      <w:bookmarkStart w:id="1896" w:name="_Toc38438317"/>
      <w:bookmarkStart w:id="1897" w:name="_Toc38438654"/>
      <w:bookmarkStart w:id="1898" w:name="_Toc38438991"/>
      <w:bookmarkStart w:id="1899" w:name="_Toc38439328"/>
      <w:bookmarkStart w:id="1900" w:name="_Toc38439665"/>
      <w:bookmarkStart w:id="1901" w:name="_Toc38440002"/>
      <w:bookmarkStart w:id="1902" w:name="_Toc38440339"/>
      <w:bookmarkStart w:id="1903" w:name="_Toc38440672"/>
      <w:bookmarkStart w:id="1904" w:name="_Toc38440871"/>
      <w:bookmarkStart w:id="1905" w:name="_Toc38441203"/>
      <w:bookmarkStart w:id="1906" w:name="_Toc38441535"/>
      <w:bookmarkStart w:id="1907" w:name="_Toc38441863"/>
      <w:bookmarkStart w:id="1908" w:name="_Toc38442195"/>
      <w:bookmarkStart w:id="1909" w:name="_Toc38442527"/>
      <w:bookmarkStart w:id="1910" w:name="_Toc38442858"/>
      <w:bookmarkStart w:id="1911" w:name="_Toc38443189"/>
      <w:bookmarkStart w:id="1912" w:name="_Toc38443520"/>
      <w:bookmarkStart w:id="1913" w:name="_Toc38443851"/>
      <w:bookmarkStart w:id="1914" w:name="_Toc38438318"/>
      <w:bookmarkStart w:id="1915" w:name="_Toc38438655"/>
      <w:bookmarkStart w:id="1916" w:name="_Toc38438992"/>
      <w:bookmarkStart w:id="1917" w:name="_Toc38439329"/>
      <w:bookmarkStart w:id="1918" w:name="_Toc38439666"/>
      <w:bookmarkStart w:id="1919" w:name="_Toc38440003"/>
      <w:bookmarkStart w:id="1920" w:name="_Toc38440340"/>
      <w:bookmarkStart w:id="1921" w:name="_Toc38440673"/>
      <w:bookmarkStart w:id="1922" w:name="_Toc38440872"/>
      <w:bookmarkStart w:id="1923" w:name="_Toc38441204"/>
      <w:bookmarkStart w:id="1924" w:name="_Toc38441536"/>
      <w:bookmarkStart w:id="1925" w:name="_Toc38441864"/>
      <w:bookmarkStart w:id="1926" w:name="_Toc38442196"/>
      <w:bookmarkStart w:id="1927" w:name="_Toc38442528"/>
      <w:bookmarkStart w:id="1928" w:name="_Toc38442859"/>
      <w:bookmarkStart w:id="1929" w:name="_Toc38443190"/>
      <w:bookmarkStart w:id="1930" w:name="_Toc38443521"/>
      <w:bookmarkStart w:id="1931" w:name="_Toc38443852"/>
      <w:bookmarkStart w:id="1932" w:name="_Toc38438319"/>
      <w:bookmarkStart w:id="1933" w:name="_Toc38438656"/>
      <w:bookmarkStart w:id="1934" w:name="_Toc38438993"/>
      <w:bookmarkStart w:id="1935" w:name="_Toc38439330"/>
      <w:bookmarkStart w:id="1936" w:name="_Toc38439667"/>
      <w:bookmarkStart w:id="1937" w:name="_Toc38440004"/>
      <w:bookmarkStart w:id="1938" w:name="_Toc38440341"/>
      <w:bookmarkStart w:id="1939" w:name="_Toc38440674"/>
      <w:bookmarkStart w:id="1940" w:name="_Toc38440873"/>
      <w:bookmarkStart w:id="1941" w:name="_Toc38441205"/>
      <w:bookmarkStart w:id="1942" w:name="_Toc38441537"/>
      <w:bookmarkStart w:id="1943" w:name="_Toc38441865"/>
      <w:bookmarkStart w:id="1944" w:name="_Toc38442197"/>
      <w:bookmarkStart w:id="1945" w:name="_Toc38442529"/>
      <w:bookmarkStart w:id="1946" w:name="_Toc38442860"/>
      <w:bookmarkStart w:id="1947" w:name="_Toc38443191"/>
      <w:bookmarkStart w:id="1948" w:name="_Toc38443522"/>
      <w:bookmarkStart w:id="1949" w:name="_Toc38443853"/>
      <w:bookmarkStart w:id="1950" w:name="_Toc38438320"/>
      <w:bookmarkStart w:id="1951" w:name="_Toc38438657"/>
      <w:bookmarkStart w:id="1952" w:name="_Toc38438994"/>
      <w:bookmarkStart w:id="1953" w:name="_Toc38439331"/>
      <w:bookmarkStart w:id="1954" w:name="_Toc38439668"/>
      <w:bookmarkStart w:id="1955" w:name="_Toc38440005"/>
      <w:bookmarkStart w:id="1956" w:name="_Toc38440342"/>
      <w:bookmarkStart w:id="1957" w:name="_Toc38440675"/>
      <w:bookmarkStart w:id="1958" w:name="_Toc38440874"/>
      <w:bookmarkStart w:id="1959" w:name="_Toc38441206"/>
      <w:bookmarkStart w:id="1960" w:name="_Toc38441538"/>
      <w:bookmarkStart w:id="1961" w:name="_Toc38441866"/>
      <w:bookmarkStart w:id="1962" w:name="_Toc38442198"/>
      <w:bookmarkStart w:id="1963" w:name="_Toc38442530"/>
      <w:bookmarkStart w:id="1964" w:name="_Toc38442861"/>
      <w:bookmarkStart w:id="1965" w:name="_Toc38443192"/>
      <w:bookmarkStart w:id="1966" w:name="_Toc38443523"/>
      <w:bookmarkStart w:id="1967" w:name="_Toc38443854"/>
      <w:bookmarkStart w:id="1968" w:name="_Toc38438321"/>
      <w:bookmarkStart w:id="1969" w:name="_Toc38438658"/>
      <w:bookmarkStart w:id="1970" w:name="_Toc38438995"/>
      <w:bookmarkStart w:id="1971" w:name="_Toc38439332"/>
      <w:bookmarkStart w:id="1972" w:name="_Toc38439669"/>
      <w:bookmarkStart w:id="1973" w:name="_Toc38440006"/>
      <w:bookmarkStart w:id="1974" w:name="_Toc38440343"/>
      <w:bookmarkStart w:id="1975" w:name="_Toc38440676"/>
      <w:bookmarkStart w:id="1976" w:name="_Toc38440875"/>
      <w:bookmarkStart w:id="1977" w:name="_Toc38441207"/>
      <w:bookmarkStart w:id="1978" w:name="_Toc38441539"/>
      <w:bookmarkStart w:id="1979" w:name="_Toc38441867"/>
      <w:bookmarkStart w:id="1980" w:name="_Toc38442199"/>
      <w:bookmarkStart w:id="1981" w:name="_Toc38442531"/>
      <w:bookmarkStart w:id="1982" w:name="_Toc38442862"/>
      <w:bookmarkStart w:id="1983" w:name="_Toc38443193"/>
      <w:bookmarkStart w:id="1984" w:name="_Toc38443524"/>
      <w:bookmarkStart w:id="1985" w:name="_Toc38443855"/>
      <w:bookmarkStart w:id="1986" w:name="_Toc38438322"/>
      <w:bookmarkStart w:id="1987" w:name="_Toc38438659"/>
      <w:bookmarkStart w:id="1988" w:name="_Toc38438996"/>
      <w:bookmarkStart w:id="1989" w:name="_Toc38439333"/>
      <w:bookmarkStart w:id="1990" w:name="_Toc38439670"/>
      <w:bookmarkStart w:id="1991" w:name="_Toc38440007"/>
      <w:bookmarkStart w:id="1992" w:name="_Toc38440344"/>
      <w:bookmarkStart w:id="1993" w:name="_Toc38440677"/>
      <w:bookmarkStart w:id="1994" w:name="_Toc38440876"/>
      <w:bookmarkStart w:id="1995" w:name="_Toc38441208"/>
      <w:bookmarkStart w:id="1996" w:name="_Toc38441540"/>
      <w:bookmarkStart w:id="1997" w:name="_Toc38441868"/>
      <w:bookmarkStart w:id="1998" w:name="_Toc38442200"/>
      <w:bookmarkStart w:id="1999" w:name="_Toc38442532"/>
      <w:bookmarkStart w:id="2000" w:name="_Toc38442863"/>
      <w:bookmarkStart w:id="2001" w:name="_Toc38443194"/>
      <w:bookmarkStart w:id="2002" w:name="_Toc38443525"/>
      <w:bookmarkStart w:id="2003" w:name="_Toc38443856"/>
      <w:bookmarkStart w:id="2004" w:name="_Toc38438323"/>
      <w:bookmarkStart w:id="2005" w:name="_Toc38438660"/>
      <w:bookmarkStart w:id="2006" w:name="_Toc38438997"/>
      <w:bookmarkStart w:id="2007" w:name="_Toc38439334"/>
      <w:bookmarkStart w:id="2008" w:name="_Toc38439671"/>
      <w:bookmarkStart w:id="2009" w:name="_Toc38440008"/>
      <w:bookmarkStart w:id="2010" w:name="_Toc38440345"/>
      <w:bookmarkStart w:id="2011" w:name="_Toc38440678"/>
      <w:bookmarkStart w:id="2012" w:name="_Toc38440877"/>
      <w:bookmarkStart w:id="2013" w:name="_Toc38441209"/>
      <w:bookmarkStart w:id="2014" w:name="_Toc38441541"/>
      <w:bookmarkStart w:id="2015" w:name="_Toc38441869"/>
      <w:bookmarkStart w:id="2016" w:name="_Toc38442201"/>
      <w:bookmarkStart w:id="2017" w:name="_Toc38442533"/>
      <w:bookmarkStart w:id="2018" w:name="_Toc38442864"/>
      <w:bookmarkStart w:id="2019" w:name="_Toc38443195"/>
      <w:bookmarkStart w:id="2020" w:name="_Toc38443526"/>
      <w:bookmarkStart w:id="2021" w:name="_Toc38443857"/>
      <w:bookmarkStart w:id="2022" w:name="_Toc38438324"/>
      <w:bookmarkStart w:id="2023" w:name="_Toc38438661"/>
      <w:bookmarkStart w:id="2024" w:name="_Toc38438998"/>
      <w:bookmarkStart w:id="2025" w:name="_Toc38439335"/>
      <w:bookmarkStart w:id="2026" w:name="_Toc38439672"/>
      <w:bookmarkStart w:id="2027" w:name="_Toc38440009"/>
      <w:bookmarkStart w:id="2028" w:name="_Toc38440346"/>
      <w:bookmarkStart w:id="2029" w:name="_Toc38440679"/>
      <w:bookmarkStart w:id="2030" w:name="_Toc38440878"/>
      <w:bookmarkStart w:id="2031" w:name="_Toc38441210"/>
      <w:bookmarkStart w:id="2032" w:name="_Toc38441542"/>
      <w:bookmarkStart w:id="2033" w:name="_Toc38441870"/>
      <w:bookmarkStart w:id="2034" w:name="_Toc38442202"/>
      <w:bookmarkStart w:id="2035" w:name="_Toc38442534"/>
      <w:bookmarkStart w:id="2036" w:name="_Toc38442865"/>
      <w:bookmarkStart w:id="2037" w:name="_Toc38443196"/>
      <w:bookmarkStart w:id="2038" w:name="_Toc38443527"/>
      <w:bookmarkStart w:id="2039" w:name="_Toc38443858"/>
      <w:bookmarkStart w:id="2040" w:name="_Toc38438325"/>
      <w:bookmarkStart w:id="2041" w:name="_Toc38438662"/>
      <w:bookmarkStart w:id="2042" w:name="_Toc38438999"/>
      <w:bookmarkStart w:id="2043" w:name="_Toc38439336"/>
      <w:bookmarkStart w:id="2044" w:name="_Toc38439673"/>
      <w:bookmarkStart w:id="2045" w:name="_Toc38440010"/>
      <w:bookmarkStart w:id="2046" w:name="_Toc38440347"/>
      <w:bookmarkStart w:id="2047" w:name="_Toc38440879"/>
      <w:bookmarkStart w:id="2048" w:name="_Toc38441211"/>
      <w:bookmarkStart w:id="2049" w:name="_Toc38441543"/>
      <w:bookmarkStart w:id="2050" w:name="_Toc38441871"/>
      <w:bookmarkStart w:id="2051" w:name="_Toc38442203"/>
      <w:bookmarkStart w:id="2052" w:name="_Toc38442535"/>
      <w:bookmarkStart w:id="2053" w:name="_Toc38442866"/>
      <w:bookmarkStart w:id="2054" w:name="_Toc38443197"/>
      <w:bookmarkStart w:id="2055" w:name="_Toc38443528"/>
      <w:bookmarkStart w:id="2056" w:name="_Toc38443859"/>
      <w:bookmarkStart w:id="2057" w:name="_Toc38438326"/>
      <w:bookmarkStart w:id="2058" w:name="_Toc38438663"/>
      <w:bookmarkStart w:id="2059" w:name="_Toc38439000"/>
      <w:bookmarkStart w:id="2060" w:name="_Toc38439337"/>
      <w:bookmarkStart w:id="2061" w:name="_Toc38439674"/>
      <w:bookmarkStart w:id="2062" w:name="_Toc38440011"/>
      <w:bookmarkStart w:id="2063" w:name="_Toc38440348"/>
      <w:bookmarkStart w:id="2064" w:name="_Toc38440880"/>
      <w:bookmarkStart w:id="2065" w:name="_Toc38441212"/>
      <w:bookmarkStart w:id="2066" w:name="_Toc38441544"/>
      <w:bookmarkStart w:id="2067" w:name="_Toc38441872"/>
      <w:bookmarkStart w:id="2068" w:name="_Toc38442204"/>
      <w:bookmarkStart w:id="2069" w:name="_Toc38442536"/>
      <w:bookmarkStart w:id="2070" w:name="_Toc38442867"/>
      <w:bookmarkStart w:id="2071" w:name="_Toc38443198"/>
      <w:bookmarkStart w:id="2072" w:name="_Toc38443529"/>
      <w:bookmarkStart w:id="2073" w:name="_Toc38443860"/>
      <w:bookmarkStart w:id="2074" w:name="_Toc38438327"/>
      <w:bookmarkStart w:id="2075" w:name="_Toc38438664"/>
      <w:bookmarkStart w:id="2076" w:name="_Toc38439001"/>
      <w:bookmarkStart w:id="2077" w:name="_Toc38439338"/>
      <w:bookmarkStart w:id="2078" w:name="_Toc38439675"/>
      <w:bookmarkStart w:id="2079" w:name="_Toc38440012"/>
      <w:bookmarkStart w:id="2080" w:name="_Toc38440349"/>
      <w:bookmarkStart w:id="2081" w:name="_Toc38440881"/>
      <w:bookmarkStart w:id="2082" w:name="_Toc38441213"/>
      <w:bookmarkStart w:id="2083" w:name="_Toc38441545"/>
      <w:bookmarkStart w:id="2084" w:name="_Toc38441873"/>
      <w:bookmarkStart w:id="2085" w:name="_Toc38442205"/>
      <w:bookmarkStart w:id="2086" w:name="_Toc38442537"/>
      <w:bookmarkStart w:id="2087" w:name="_Toc38442868"/>
      <w:bookmarkStart w:id="2088" w:name="_Toc38443199"/>
      <w:bookmarkStart w:id="2089" w:name="_Toc38443530"/>
      <w:bookmarkStart w:id="2090" w:name="_Toc38443861"/>
      <w:bookmarkStart w:id="2091" w:name="_Toc38438328"/>
      <w:bookmarkStart w:id="2092" w:name="_Toc38438665"/>
      <w:bookmarkStart w:id="2093" w:name="_Toc38439002"/>
      <w:bookmarkStart w:id="2094" w:name="_Toc38439339"/>
      <w:bookmarkStart w:id="2095" w:name="_Toc38439676"/>
      <w:bookmarkStart w:id="2096" w:name="_Toc38440013"/>
      <w:bookmarkStart w:id="2097" w:name="_Toc38440350"/>
      <w:bookmarkStart w:id="2098" w:name="_Toc38440882"/>
      <w:bookmarkStart w:id="2099" w:name="_Toc38441214"/>
      <w:bookmarkStart w:id="2100" w:name="_Toc38441546"/>
      <w:bookmarkStart w:id="2101" w:name="_Toc38441874"/>
      <w:bookmarkStart w:id="2102" w:name="_Toc38442206"/>
      <w:bookmarkStart w:id="2103" w:name="_Toc38442538"/>
      <w:bookmarkStart w:id="2104" w:name="_Toc38442869"/>
      <w:bookmarkStart w:id="2105" w:name="_Toc38443200"/>
      <w:bookmarkStart w:id="2106" w:name="_Toc38443531"/>
      <w:bookmarkStart w:id="2107" w:name="_Toc38443862"/>
      <w:bookmarkStart w:id="2108" w:name="_Toc38438329"/>
      <w:bookmarkStart w:id="2109" w:name="_Toc38438666"/>
      <w:bookmarkStart w:id="2110" w:name="_Toc38439003"/>
      <w:bookmarkStart w:id="2111" w:name="_Toc38439340"/>
      <w:bookmarkStart w:id="2112" w:name="_Toc38439677"/>
      <w:bookmarkStart w:id="2113" w:name="_Toc38440014"/>
      <w:bookmarkStart w:id="2114" w:name="_Toc38440351"/>
      <w:bookmarkStart w:id="2115" w:name="_Toc38440883"/>
      <w:bookmarkStart w:id="2116" w:name="_Toc38441215"/>
      <w:bookmarkStart w:id="2117" w:name="_Toc38441547"/>
      <w:bookmarkStart w:id="2118" w:name="_Toc38441875"/>
      <w:bookmarkStart w:id="2119" w:name="_Toc38442207"/>
      <w:bookmarkStart w:id="2120" w:name="_Toc38442539"/>
      <w:bookmarkStart w:id="2121" w:name="_Toc38442870"/>
      <w:bookmarkStart w:id="2122" w:name="_Toc38443201"/>
      <w:bookmarkStart w:id="2123" w:name="_Toc38443532"/>
      <w:bookmarkStart w:id="2124" w:name="_Toc38443863"/>
      <w:bookmarkStart w:id="2125" w:name="_Toc38438330"/>
      <w:bookmarkStart w:id="2126" w:name="_Toc38438667"/>
      <w:bookmarkStart w:id="2127" w:name="_Toc38439004"/>
      <w:bookmarkStart w:id="2128" w:name="_Toc38439341"/>
      <w:bookmarkStart w:id="2129" w:name="_Toc38439678"/>
      <w:bookmarkStart w:id="2130" w:name="_Toc38440015"/>
      <w:bookmarkStart w:id="2131" w:name="_Toc38440352"/>
      <w:bookmarkStart w:id="2132" w:name="_Toc38440884"/>
      <w:bookmarkStart w:id="2133" w:name="_Toc38441216"/>
      <w:bookmarkStart w:id="2134" w:name="_Toc38441548"/>
      <w:bookmarkStart w:id="2135" w:name="_Toc38441876"/>
      <w:bookmarkStart w:id="2136" w:name="_Toc38442208"/>
      <w:bookmarkStart w:id="2137" w:name="_Toc38442540"/>
      <w:bookmarkStart w:id="2138" w:name="_Toc38442871"/>
      <w:bookmarkStart w:id="2139" w:name="_Toc38443202"/>
      <w:bookmarkStart w:id="2140" w:name="_Toc38443533"/>
      <w:bookmarkStart w:id="2141" w:name="_Toc38443864"/>
      <w:bookmarkStart w:id="2142" w:name="_Toc38438331"/>
      <w:bookmarkStart w:id="2143" w:name="_Toc38438668"/>
      <w:bookmarkStart w:id="2144" w:name="_Toc38439005"/>
      <w:bookmarkStart w:id="2145" w:name="_Toc38439342"/>
      <w:bookmarkStart w:id="2146" w:name="_Toc38439679"/>
      <w:bookmarkStart w:id="2147" w:name="_Toc38440016"/>
      <w:bookmarkStart w:id="2148" w:name="_Toc38440353"/>
      <w:bookmarkStart w:id="2149" w:name="_Toc38440885"/>
      <w:bookmarkStart w:id="2150" w:name="_Toc38441217"/>
      <w:bookmarkStart w:id="2151" w:name="_Toc38441549"/>
      <w:bookmarkStart w:id="2152" w:name="_Toc38441877"/>
      <w:bookmarkStart w:id="2153" w:name="_Toc38442209"/>
      <w:bookmarkStart w:id="2154" w:name="_Toc38442541"/>
      <w:bookmarkStart w:id="2155" w:name="_Toc38442872"/>
      <w:bookmarkStart w:id="2156" w:name="_Toc38443203"/>
      <w:bookmarkStart w:id="2157" w:name="_Toc38443534"/>
      <w:bookmarkStart w:id="2158" w:name="_Toc38443865"/>
      <w:bookmarkStart w:id="2159" w:name="_Toc38438332"/>
      <w:bookmarkStart w:id="2160" w:name="_Toc38438669"/>
      <w:bookmarkStart w:id="2161" w:name="_Toc38439006"/>
      <w:bookmarkStart w:id="2162" w:name="_Toc38439343"/>
      <w:bookmarkStart w:id="2163" w:name="_Toc38439680"/>
      <w:bookmarkStart w:id="2164" w:name="_Toc38440017"/>
      <w:bookmarkStart w:id="2165" w:name="_Toc38440354"/>
      <w:bookmarkStart w:id="2166" w:name="_Toc38440886"/>
      <w:bookmarkStart w:id="2167" w:name="_Toc38441218"/>
      <w:bookmarkStart w:id="2168" w:name="_Toc38441550"/>
      <w:bookmarkStart w:id="2169" w:name="_Toc38441878"/>
      <w:bookmarkStart w:id="2170" w:name="_Toc38442210"/>
      <w:bookmarkStart w:id="2171" w:name="_Toc38442542"/>
      <w:bookmarkStart w:id="2172" w:name="_Toc38442873"/>
      <w:bookmarkStart w:id="2173" w:name="_Toc38443204"/>
      <w:bookmarkStart w:id="2174" w:name="_Toc38443535"/>
      <w:bookmarkStart w:id="2175" w:name="_Toc38443866"/>
      <w:bookmarkStart w:id="2176" w:name="_Toc38438333"/>
      <w:bookmarkStart w:id="2177" w:name="_Toc38438670"/>
      <w:bookmarkStart w:id="2178" w:name="_Toc38439007"/>
      <w:bookmarkStart w:id="2179" w:name="_Toc38439344"/>
      <w:bookmarkStart w:id="2180" w:name="_Toc38439681"/>
      <w:bookmarkStart w:id="2181" w:name="_Toc38440018"/>
      <w:bookmarkStart w:id="2182" w:name="_Toc38440355"/>
      <w:bookmarkStart w:id="2183" w:name="_Toc38440887"/>
      <w:bookmarkStart w:id="2184" w:name="_Toc38441219"/>
      <w:bookmarkStart w:id="2185" w:name="_Toc38441551"/>
      <w:bookmarkStart w:id="2186" w:name="_Toc38441879"/>
      <w:bookmarkStart w:id="2187" w:name="_Toc38442211"/>
      <w:bookmarkStart w:id="2188" w:name="_Toc38442543"/>
      <w:bookmarkStart w:id="2189" w:name="_Toc38442874"/>
      <w:bookmarkStart w:id="2190" w:name="_Toc38443205"/>
      <w:bookmarkStart w:id="2191" w:name="_Toc38443536"/>
      <w:bookmarkStart w:id="2192" w:name="_Toc38443867"/>
      <w:bookmarkStart w:id="2193" w:name="_Toc38438334"/>
      <w:bookmarkStart w:id="2194" w:name="_Toc38438671"/>
      <w:bookmarkStart w:id="2195" w:name="_Toc38439008"/>
      <w:bookmarkStart w:id="2196" w:name="_Toc38439345"/>
      <w:bookmarkStart w:id="2197" w:name="_Toc38439682"/>
      <w:bookmarkStart w:id="2198" w:name="_Toc38440019"/>
      <w:bookmarkStart w:id="2199" w:name="_Toc38440356"/>
      <w:bookmarkStart w:id="2200" w:name="_Toc38440888"/>
      <w:bookmarkStart w:id="2201" w:name="_Toc38441220"/>
      <w:bookmarkStart w:id="2202" w:name="_Toc38441552"/>
      <w:bookmarkStart w:id="2203" w:name="_Toc38441880"/>
      <w:bookmarkStart w:id="2204" w:name="_Toc38442212"/>
      <w:bookmarkStart w:id="2205" w:name="_Toc38442544"/>
      <w:bookmarkStart w:id="2206" w:name="_Toc38442875"/>
      <w:bookmarkStart w:id="2207" w:name="_Toc38443206"/>
      <w:bookmarkStart w:id="2208" w:name="_Toc38443537"/>
      <w:bookmarkStart w:id="2209" w:name="_Toc38443868"/>
      <w:bookmarkStart w:id="2210" w:name="_Toc38438335"/>
      <w:bookmarkStart w:id="2211" w:name="_Toc38438672"/>
      <w:bookmarkStart w:id="2212" w:name="_Toc38439009"/>
      <w:bookmarkStart w:id="2213" w:name="_Toc38439346"/>
      <w:bookmarkStart w:id="2214" w:name="_Toc38439683"/>
      <w:bookmarkStart w:id="2215" w:name="_Toc38440020"/>
      <w:bookmarkStart w:id="2216" w:name="_Toc38440357"/>
      <w:bookmarkStart w:id="2217" w:name="_Toc38440889"/>
      <w:bookmarkStart w:id="2218" w:name="_Toc38441221"/>
      <w:bookmarkStart w:id="2219" w:name="_Toc38441553"/>
      <w:bookmarkStart w:id="2220" w:name="_Toc38441881"/>
      <w:bookmarkStart w:id="2221" w:name="_Toc38442213"/>
      <w:bookmarkStart w:id="2222" w:name="_Toc38442545"/>
      <w:bookmarkStart w:id="2223" w:name="_Toc38442876"/>
      <w:bookmarkStart w:id="2224" w:name="_Toc38443207"/>
      <w:bookmarkStart w:id="2225" w:name="_Toc38443538"/>
      <w:bookmarkStart w:id="2226" w:name="_Toc38443869"/>
      <w:bookmarkStart w:id="2227" w:name="_Toc38438336"/>
      <w:bookmarkStart w:id="2228" w:name="_Toc38438673"/>
      <w:bookmarkStart w:id="2229" w:name="_Toc38439010"/>
      <w:bookmarkStart w:id="2230" w:name="_Toc38439347"/>
      <w:bookmarkStart w:id="2231" w:name="_Toc38439684"/>
      <w:bookmarkStart w:id="2232" w:name="_Toc38440021"/>
      <w:bookmarkStart w:id="2233" w:name="_Toc38440358"/>
      <w:bookmarkStart w:id="2234" w:name="_Toc38440890"/>
      <w:bookmarkStart w:id="2235" w:name="_Toc38441222"/>
      <w:bookmarkStart w:id="2236" w:name="_Toc38441554"/>
      <w:bookmarkStart w:id="2237" w:name="_Toc38441882"/>
      <w:bookmarkStart w:id="2238" w:name="_Toc38442214"/>
      <w:bookmarkStart w:id="2239" w:name="_Toc38442546"/>
      <w:bookmarkStart w:id="2240" w:name="_Toc38442877"/>
      <w:bookmarkStart w:id="2241" w:name="_Toc38443208"/>
      <w:bookmarkStart w:id="2242" w:name="_Toc38443539"/>
      <w:bookmarkStart w:id="2243" w:name="_Toc38443870"/>
      <w:bookmarkStart w:id="2244" w:name="_Toc38438337"/>
      <w:bookmarkStart w:id="2245" w:name="_Toc38438674"/>
      <w:bookmarkStart w:id="2246" w:name="_Toc38439011"/>
      <w:bookmarkStart w:id="2247" w:name="_Toc38439348"/>
      <w:bookmarkStart w:id="2248" w:name="_Toc38439685"/>
      <w:bookmarkStart w:id="2249" w:name="_Toc38440022"/>
      <w:bookmarkStart w:id="2250" w:name="_Toc38440359"/>
      <w:bookmarkStart w:id="2251" w:name="_Toc38440891"/>
      <w:bookmarkStart w:id="2252" w:name="_Toc38441223"/>
      <w:bookmarkStart w:id="2253" w:name="_Toc38441555"/>
      <w:bookmarkStart w:id="2254" w:name="_Toc38441883"/>
      <w:bookmarkStart w:id="2255" w:name="_Toc38442215"/>
      <w:bookmarkStart w:id="2256" w:name="_Toc38442547"/>
      <w:bookmarkStart w:id="2257" w:name="_Toc38442878"/>
      <w:bookmarkStart w:id="2258" w:name="_Toc38443209"/>
      <w:bookmarkStart w:id="2259" w:name="_Toc38443540"/>
      <w:bookmarkStart w:id="2260" w:name="_Toc38443871"/>
      <w:bookmarkStart w:id="2261" w:name="_Toc38438338"/>
      <w:bookmarkStart w:id="2262" w:name="_Toc38438675"/>
      <w:bookmarkStart w:id="2263" w:name="_Toc38439012"/>
      <w:bookmarkStart w:id="2264" w:name="_Toc38439349"/>
      <w:bookmarkStart w:id="2265" w:name="_Toc38439686"/>
      <w:bookmarkStart w:id="2266" w:name="_Toc38440023"/>
      <w:bookmarkStart w:id="2267" w:name="_Toc38440360"/>
      <w:bookmarkStart w:id="2268" w:name="_Toc38440892"/>
      <w:bookmarkStart w:id="2269" w:name="_Toc38441224"/>
      <w:bookmarkStart w:id="2270" w:name="_Toc38441556"/>
      <w:bookmarkStart w:id="2271" w:name="_Toc38441884"/>
      <w:bookmarkStart w:id="2272" w:name="_Toc38442216"/>
      <w:bookmarkStart w:id="2273" w:name="_Toc38442548"/>
      <w:bookmarkStart w:id="2274" w:name="_Toc38442879"/>
      <w:bookmarkStart w:id="2275" w:name="_Toc38443210"/>
      <w:bookmarkStart w:id="2276" w:name="_Toc38443541"/>
      <w:bookmarkStart w:id="2277" w:name="_Toc38443872"/>
      <w:bookmarkStart w:id="2278" w:name="_Toc38438339"/>
      <w:bookmarkStart w:id="2279" w:name="_Toc38438676"/>
      <w:bookmarkStart w:id="2280" w:name="_Toc38439013"/>
      <w:bookmarkStart w:id="2281" w:name="_Toc38439350"/>
      <w:bookmarkStart w:id="2282" w:name="_Toc38439687"/>
      <w:bookmarkStart w:id="2283" w:name="_Toc38440024"/>
      <w:bookmarkStart w:id="2284" w:name="_Toc38440361"/>
      <w:bookmarkStart w:id="2285" w:name="_Toc38440893"/>
      <w:bookmarkStart w:id="2286" w:name="_Toc38441225"/>
      <w:bookmarkStart w:id="2287" w:name="_Toc38441557"/>
      <w:bookmarkStart w:id="2288" w:name="_Toc38441885"/>
      <w:bookmarkStart w:id="2289" w:name="_Toc38442217"/>
      <w:bookmarkStart w:id="2290" w:name="_Toc38442549"/>
      <w:bookmarkStart w:id="2291" w:name="_Toc38442880"/>
      <w:bookmarkStart w:id="2292" w:name="_Toc38443211"/>
      <w:bookmarkStart w:id="2293" w:name="_Toc38443542"/>
      <w:bookmarkStart w:id="2294" w:name="_Toc38443873"/>
      <w:bookmarkStart w:id="2295" w:name="_Toc38438340"/>
      <w:bookmarkStart w:id="2296" w:name="_Toc38438677"/>
      <w:bookmarkStart w:id="2297" w:name="_Toc38439014"/>
      <w:bookmarkStart w:id="2298" w:name="_Toc38439351"/>
      <w:bookmarkStart w:id="2299" w:name="_Toc38439688"/>
      <w:bookmarkStart w:id="2300" w:name="_Toc38440025"/>
      <w:bookmarkStart w:id="2301" w:name="_Toc38440362"/>
      <w:bookmarkStart w:id="2302" w:name="_Toc38440894"/>
      <w:bookmarkStart w:id="2303" w:name="_Toc38441226"/>
      <w:bookmarkStart w:id="2304" w:name="_Toc38441558"/>
      <w:bookmarkStart w:id="2305" w:name="_Toc38441886"/>
      <w:bookmarkStart w:id="2306" w:name="_Toc38442218"/>
      <w:bookmarkStart w:id="2307" w:name="_Toc38442550"/>
      <w:bookmarkStart w:id="2308" w:name="_Toc38442881"/>
      <w:bookmarkStart w:id="2309" w:name="_Toc38443212"/>
      <w:bookmarkStart w:id="2310" w:name="_Toc38443543"/>
      <w:bookmarkStart w:id="2311" w:name="_Toc38443874"/>
      <w:bookmarkStart w:id="2312" w:name="_Toc38438341"/>
      <w:bookmarkStart w:id="2313" w:name="_Toc38438678"/>
      <w:bookmarkStart w:id="2314" w:name="_Toc38439015"/>
      <w:bookmarkStart w:id="2315" w:name="_Toc38439352"/>
      <w:bookmarkStart w:id="2316" w:name="_Toc38439689"/>
      <w:bookmarkStart w:id="2317" w:name="_Toc38440026"/>
      <w:bookmarkStart w:id="2318" w:name="_Toc38440363"/>
      <w:bookmarkStart w:id="2319" w:name="_Toc38440895"/>
      <w:bookmarkStart w:id="2320" w:name="_Toc38441227"/>
      <w:bookmarkStart w:id="2321" w:name="_Toc38441559"/>
      <w:bookmarkStart w:id="2322" w:name="_Toc38441887"/>
      <w:bookmarkStart w:id="2323" w:name="_Toc38442219"/>
      <w:bookmarkStart w:id="2324" w:name="_Toc38442551"/>
      <w:bookmarkStart w:id="2325" w:name="_Toc38442882"/>
      <w:bookmarkStart w:id="2326" w:name="_Toc38443213"/>
      <w:bookmarkStart w:id="2327" w:name="_Toc38443544"/>
      <w:bookmarkStart w:id="2328" w:name="_Toc38443875"/>
      <w:bookmarkStart w:id="2329" w:name="_Toc38438342"/>
      <w:bookmarkStart w:id="2330" w:name="_Toc38438679"/>
      <w:bookmarkStart w:id="2331" w:name="_Toc38439016"/>
      <w:bookmarkStart w:id="2332" w:name="_Toc38439353"/>
      <w:bookmarkStart w:id="2333" w:name="_Toc38439690"/>
      <w:bookmarkStart w:id="2334" w:name="_Toc38440027"/>
      <w:bookmarkStart w:id="2335" w:name="_Toc38440364"/>
      <w:bookmarkStart w:id="2336" w:name="_Toc38440896"/>
      <w:bookmarkStart w:id="2337" w:name="_Toc38441228"/>
      <w:bookmarkStart w:id="2338" w:name="_Toc38441560"/>
      <w:bookmarkStart w:id="2339" w:name="_Toc38441888"/>
      <w:bookmarkStart w:id="2340" w:name="_Toc38442220"/>
      <w:bookmarkStart w:id="2341" w:name="_Toc38442552"/>
      <w:bookmarkStart w:id="2342" w:name="_Toc38442883"/>
      <w:bookmarkStart w:id="2343" w:name="_Toc38443214"/>
      <w:bookmarkStart w:id="2344" w:name="_Toc38443545"/>
      <w:bookmarkStart w:id="2345" w:name="_Toc38443876"/>
      <w:bookmarkStart w:id="2346" w:name="_Toc38438343"/>
      <w:bookmarkStart w:id="2347" w:name="_Toc38438680"/>
      <w:bookmarkStart w:id="2348" w:name="_Toc38439017"/>
      <w:bookmarkStart w:id="2349" w:name="_Toc38439354"/>
      <w:bookmarkStart w:id="2350" w:name="_Toc38439691"/>
      <w:bookmarkStart w:id="2351" w:name="_Toc38440028"/>
      <w:bookmarkStart w:id="2352" w:name="_Toc38440365"/>
      <w:bookmarkStart w:id="2353" w:name="_Toc38440897"/>
      <w:bookmarkStart w:id="2354" w:name="_Toc38441229"/>
      <w:bookmarkStart w:id="2355" w:name="_Toc38441561"/>
      <w:bookmarkStart w:id="2356" w:name="_Toc38441889"/>
      <w:bookmarkStart w:id="2357" w:name="_Toc38442221"/>
      <w:bookmarkStart w:id="2358" w:name="_Toc38442553"/>
      <w:bookmarkStart w:id="2359" w:name="_Toc38442884"/>
      <w:bookmarkStart w:id="2360" w:name="_Toc38443215"/>
      <w:bookmarkStart w:id="2361" w:name="_Toc38443546"/>
      <w:bookmarkStart w:id="2362" w:name="_Toc38443877"/>
      <w:bookmarkStart w:id="2363" w:name="_Toc13148422"/>
      <w:bookmarkEnd w:id="1260"/>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3C7A30" w:rsidRPr="004A57FA" w:rsidRDefault="003C7A30" w:rsidP="00C53017">
      <w:pPr>
        <w:pStyle w:val="ac"/>
        <w:autoSpaceDE w:val="0"/>
        <w:autoSpaceDN w:val="0"/>
        <w:adjustRightInd w:val="0"/>
        <w:snapToGrid w:val="0"/>
        <w:spacing w:after="0" w:line="360" w:lineRule="auto"/>
        <w:ind w:firstLineChars="200"/>
        <w:rPr>
          <w:rFonts w:asciiTheme="minorEastAsia" w:eastAsiaTheme="minorEastAsia" w:hAnsiTheme="minorEastAsia"/>
        </w:rPr>
        <w:sectPr w:rsidR="003C7A30" w:rsidRPr="004A57FA" w:rsidSect="00A805DC">
          <w:pgSz w:w="11907" w:h="16840" w:code="9"/>
          <w:pgMar w:top="1440" w:right="1800" w:bottom="1440" w:left="1800" w:header="1134" w:footer="1247" w:gutter="0"/>
          <w:cols w:space="425"/>
          <w:docGrid w:type="lines" w:linePitch="312"/>
        </w:sectPr>
      </w:pP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2364" w:name="_Toc81231072"/>
      <w:r w:rsidRPr="004A57FA">
        <w:rPr>
          <w:rFonts w:asciiTheme="minorEastAsia" w:eastAsiaTheme="minorEastAsia" w:hAnsiTheme="minorEastAsia" w:hint="eastAsia"/>
          <w:b/>
          <w:bCs/>
        </w:rPr>
        <w:lastRenderedPageBreak/>
        <w:t>二十五、</w:t>
      </w:r>
      <w:bookmarkEnd w:id="2363"/>
      <w:r w:rsidRPr="004A57FA">
        <w:rPr>
          <w:rFonts w:asciiTheme="minorEastAsia" w:eastAsiaTheme="minorEastAsia" w:hAnsiTheme="minorEastAsia" w:hint="eastAsia"/>
          <w:b/>
          <w:bCs/>
        </w:rPr>
        <w:t>其他应披露事项</w:t>
      </w:r>
      <w:bookmarkEnd w:id="236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1559"/>
      </w:tblGrid>
      <w:tr w:rsidR="004A57FA" w:rsidRPr="004A57FA" w:rsidTr="008F0551">
        <w:trPr>
          <w:trHeight w:val="765"/>
        </w:trPr>
        <w:tc>
          <w:tcPr>
            <w:tcW w:w="7054" w:type="dxa"/>
            <w:tcBorders>
              <w:top w:val="single" w:sz="4" w:space="0" w:color="auto"/>
              <w:left w:val="single" w:sz="4" w:space="0" w:color="auto"/>
              <w:bottom w:val="single" w:sz="4" w:space="0" w:color="auto"/>
              <w:right w:val="single" w:sz="4" w:space="0" w:color="auto"/>
            </w:tcBorders>
            <w:vAlign w:val="center"/>
            <w:hideMark/>
          </w:tcPr>
          <w:p w:rsidR="008F0551" w:rsidRPr="004A57FA" w:rsidRDefault="00195415" w:rsidP="008F0551">
            <w:pPr>
              <w:widowControl/>
              <w:snapToGrid w:val="0"/>
              <w:spacing w:line="360" w:lineRule="auto"/>
              <w:jc w:val="center"/>
              <w:rPr>
                <w:rFonts w:asciiTheme="minorEastAsia" w:eastAsiaTheme="minorEastAsia" w:hAnsiTheme="minorEastAsia"/>
                <w:szCs w:val="21"/>
              </w:rPr>
            </w:pPr>
            <w:bookmarkStart w:id="2365" w:name="_Toc38438350"/>
            <w:bookmarkStart w:id="2366" w:name="_Toc38438687"/>
            <w:bookmarkStart w:id="2367" w:name="_Toc38439024"/>
            <w:bookmarkStart w:id="2368" w:name="_Toc38439361"/>
            <w:bookmarkStart w:id="2369" w:name="_Toc38439698"/>
            <w:bookmarkStart w:id="2370" w:name="_Toc38440035"/>
            <w:bookmarkStart w:id="2371" w:name="_Toc38440372"/>
            <w:bookmarkStart w:id="2372" w:name="_Toc38440904"/>
            <w:bookmarkStart w:id="2373" w:name="_Toc38441236"/>
            <w:bookmarkStart w:id="2374" w:name="_Toc38441568"/>
            <w:bookmarkStart w:id="2375" w:name="_Toc38441896"/>
            <w:bookmarkStart w:id="2376" w:name="_Toc38442228"/>
            <w:bookmarkStart w:id="2377" w:name="_Toc38442560"/>
            <w:bookmarkStart w:id="2378" w:name="_Toc38442891"/>
            <w:bookmarkStart w:id="2379" w:name="_Toc38443222"/>
            <w:bookmarkStart w:id="2380" w:name="_Toc38443553"/>
            <w:bookmarkStart w:id="2381" w:name="_Toc38443883"/>
            <w:bookmarkStart w:id="2382" w:name="_Toc38438351"/>
            <w:bookmarkStart w:id="2383" w:name="_Toc38438688"/>
            <w:bookmarkStart w:id="2384" w:name="_Toc38439025"/>
            <w:bookmarkStart w:id="2385" w:name="_Toc38439362"/>
            <w:bookmarkStart w:id="2386" w:name="_Toc38439699"/>
            <w:bookmarkStart w:id="2387" w:name="_Toc38440036"/>
            <w:bookmarkStart w:id="2388" w:name="_Toc38440373"/>
            <w:bookmarkStart w:id="2389" w:name="_Toc38440905"/>
            <w:bookmarkStart w:id="2390" w:name="_Toc38441237"/>
            <w:bookmarkStart w:id="2391" w:name="_Toc38441569"/>
            <w:bookmarkStart w:id="2392" w:name="_Toc38441897"/>
            <w:bookmarkStart w:id="2393" w:name="_Toc38442229"/>
            <w:bookmarkStart w:id="2394" w:name="_Toc38442561"/>
            <w:bookmarkStart w:id="2395" w:name="_Toc38442892"/>
            <w:bookmarkStart w:id="2396" w:name="_Toc38443223"/>
            <w:bookmarkStart w:id="2397" w:name="_Toc38443554"/>
            <w:bookmarkStart w:id="2398" w:name="_Toc38443884"/>
            <w:bookmarkStart w:id="2399" w:name="_Toc38438352"/>
            <w:bookmarkStart w:id="2400" w:name="_Toc38438689"/>
            <w:bookmarkStart w:id="2401" w:name="_Toc38439026"/>
            <w:bookmarkStart w:id="2402" w:name="_Toc38439363"/>
            <w:bookmarkStart w:id="2403" w:name="_Toc38439700"/>
            <w:bookmarkStart w:id="2404" w:name="_Toc38440037"/>
            <w:bookmarkStart w:id="2405" w:name="_Toc38440374"/>
            <w:bookmarkStart w:id="2406" w:name="_Toc38440906"/>
            <w:bookmarkStart w:id="2407" w:name="_Toc38441238"/>
            <w:bookmarkStart w:id="2408" w:name="_Toc38441570"/>
            <w:bookmarkStart w:id="2409" w:name="_Toc38441898"/>
            <w:bookmarkStart w:id="2410" w:name="_Toc38442230"/>
            <w:bookmarkStart w:id="2411" w:name="_Toc38442562"/>
            <w:bookmarkStart w:id="2412" w:name="_Toc38442893"/>
            <w:bookmarkStart w:id="2413" w:name="_Toc38443224"/>
            <w:bookmarkStart w:id="2414" w:name="_Toc38443555"/>
            <w:bookmarkStart w:id="2415" w:name="_Toc38443885"/>
            <w:bookmarkStart w:id="2416" w:name="_Toc38438353"/>
            <w:bookmarkStart w:id="2417" w:name="_Toc38438690"/>
            <w:bookmarkStart w:id="2418" w:name="_Toc38439027"/>
            <w:bookmarkStart w:id="2419" w:name="_Toc38439364"/>
            <w:bookmarkStart w:id="2420" w:name="_Toc38439701"/>
            <w:bookmarkStart w:id="2421" w:name="_Toc38440038"/>
            <w:bookmarkStart w:id="2422" w:name="_Toc38440375"/>
            <w:bookmarkStart w:id="2423" w:name="_Toc38440907"/>
            <w:bookmarkStart w:id="2424" w:name="_Toc38441239"/>
            <w:bookmarkStart w:id="2425" w:name="_Toc38441571"/>
            <w:bookmarkStart w:id="2426" w:name="_Toc38441899"/>
            <w:bookmarkStart w:id="2427" w:name="_Toc38442231"/>
            <w:bookmarkStart w:id="2428" w:name="_Toc38442563"/>
            <w:bookmarkStart w:id="2429" w:name="_Toc38442894"/>
            <w:bookmarkStart w:id="2430" w:name="_Toc38443225"/>
            <w:bookmarkStart w:id="2431" w:name="_Toc38443556"/>
            <w:bookmarkStart w:id="2432" w:name="_Toc38443886"/>
            <w:bookmarkStart w:id="2433" w:name="_Toc38438354"/>
            <w:bookmarkStart w:id="2434" w:name="_Toc38438691"/>
            <w:bookmarkStart w:id="2435" w:name="_Toc38439028"/>
            <w:bookmarkStart w:id="2436" w:name="_Toc38439365"/>
            <w:bookmarkStart w:id="2437" w:name="_Toc38439702"/>
            <w:bookmarkStart w:id="2438" w:name="_Toc38440039"/>
            <w:bookmarkStart w:id="2439" w:name="_Toc38440376"/>
            <w:bookmarkStart w:id="2440" w:name="_Toc38440908"/>
            <w:bookmarkStart w:id="2441" w:name="_Toc38441240"/>
            <w:bookmarkStart w:id="2442" w:name="_Toc38441572"/>
            <w:bookmarkStart w:id="2443" w:name="_Toc38441900"/>
            <w:bookmarkStart w:id="2444" w:name="_Toc38442232"/>
            <w:bookmarkStart w:id="2445" w:name="_Toc38442564"/>
            <w:bookmarkStart w:id="2446" w:name="_Toc38442895"/>
            <w:bookmarkStart w:id="2447" w:name="_Toc38443226"/>
            <w:bookmarkStart w:id="2448" w:name="_Toc38443557"/>
            <w:bookmarkStart w:id="2449" w:name="_Toc38443887"/>
            <w:bookmarkStart w:id="2450" w:name="_Toc38438355"/>
            <w:bookmarkStart w:id="2451" w:name="_Toc38438692"/>
            <w:bookmarkStart w:id="2452" w:name="_Toc38439029"/>
            <w:bookmarkStart w:id="2453" w:name="_Toc38439366"/>
            <w:bookmarkStart w:id="2454" w:name="_Toc38439703"/>
            <w:bookmarkStart w:id="2455" w:name="_Toc38440040"/>
            <w:bookmarkStart w:id="2456" w:name="_Toc38440377"/>
            <w:bookmarkStart w:id="2457" w:name="_Toc38440909"/>
            <w:bookmarkStart w:id="2458" w:name="_Toc38441241"/>
            <w:bookmarkStart w:id="2459" w:name="_Toc38441573"/>
            <w:bookmarkStart w:id="2460" w:name="_Toc38441901"/>
            <w:bookmarkStart w:id="2461" w:name="_Toc38442233"/>
            <w:bookmarkStart w:id="2462" w:name="_Toc38442565"/>
            <w:bookmarkStart w:id="2463" w:name="_Toc38442896"/>
            <w:bookmarkStart w:id="2464" w:name="_Toc38443227"/>
            <w:bookmarkStart w:id="2465" w:name="_Toc38443558"/>
            <w:bookmarkStart w:id="2466" w:name="_Toc38443888"/>
            <w:bookmarkStart w:id="2467" w:name="_Toc38438356"/>
            <w:bookmarkStart w:id="2468" w:name="_Toc38438693"/>
            <w:bookmarkStart w:id="2469" w:name="_Toc38439030"/>
            <w:bookmarkStart w:id="2470" w:name="_Toc38439367"/>
            <w:bookmarkStart w:id="2471" w:name="_Toc38439704"/>
            <w:bookmarkStart w:id="2472" w:name="_Toc38440041"/>
            <w:bookmarkStart w:id="2473" w:name="_Toc38440378"/>
            <w:bookmarkStart w:id="2474" w:name="_Toc38440910"/>
            <w:bookmarkStart w:id="2475" w:name="_Toc38441242"/>
            <w:bookmarkStart w:id="2476" w:name="_Toc38441574"/>
            <w:bookmarkStart w:id="2477" w:name="_Toc38441902"/>
            <w:bookmarkStart w:id="2478" w:name="_Toc38442234"/>
            <w:bookmarkStart w:id="2479" w:name="_Toc38442566"/>
            <w:bookmarkStart w:id="2480" w:name="_Toc38442897"/>
            <w:bookmarkStart w:id="2481" w:name="_Toc38443228"/>
            <w:bookmarkStart w:id="2482" w:name="_Toc38443559"/>
            <w:bookmarkStart w:id="2483" w:name="_Toc38443889"/>
            <w:bookmarkStart w:id="2484" w:name="_Toc38438357"/>
            <w:bookmarkStart w:id="2485" w:name="_Toc38438694"/>
            <w:bookmarkStart w:id="2486" w:name="_Toc38439031"/>
            <w:bookmarkStart w:id="2487" w:name="_Toc38439368"/>
            <w:bookmarkStart w:id="2488" w:name="_Toc38439705"/>
            <w:bookmarkStart w:id="2489" w:name="_Toc38440042"/>
            <w:bookmarkStart w:id="2490" w:name="_Toc38440379"/>
            <w:bookmarkStart w:id="2491" w:name="_Toc38440911"/>
            <w:bookmarkStart w:id="2492" w:name="_Toc38441243"/>
            <w:bookmarkStart w:id="2493" w:name="_Toc38441575"/>
            <w:bookmarkStart w:id="2494" w:name="_Toc38441903"/>
            <w:bookmarkStart w:id="2495" w:name="_Toc38442235"/>
            <w:bookmarkStart w:id="2496" w:name="_Toc38442567"/>
            <w:bookmarkStart w:id="2497" w:name="_Toc38442898"/>
            <w:bookmarkStart w:id="2498" w:name="_Toc38443229"/>
            <w:bookmarkStart w:id="2499" w:name="_Toc38443560"/>
            <w:bookmarkStart w:id="2500" w:name="_Toc38443890"/>
            <w:bookmarkStart w:id="2501" w:name="_Toc38438358"/>
            <w:bookmarkStart w:id="2502" w:name="_Toc38438695"/>
            <w:bookmarkStart w:id="2503" w:name="_Toc38439032"/>
            <w:bookmarkStart w:id="2504" w:name="_Toc38439369"/>
            <w:bookmarkStart w:id="2505" w:name="_Toc38439706"/>
            <w:bookmarkStart w:id="2506" w:name="_Toc38440043"/>
            <w:bookmarkStart w:id="2507" w:name="_Toc38440380"/>
            <w:bookmarkStart w:id="2508" w:name="_Toc38440912"/>
            <w:bookmarkStart w:id="2509" w:name="_Toc38441244"/>
            <w:bookmarkStart w:id="2510" w:name="_Toc38441576"/>
            <w:bookmarkStart w:id="2511" w:name="_Toc38441904"/>
            <w:bookmarkStart w:id="2512" w:name="_Toc38442236"/>
            <w:bookmarkStart w:id="2513" w:name="_Toc38442568"/>
            <w:bookmarkStart w:id="2514" w:name="_Toc38442899"/>
            <w:bookmarkStart w:id="2515" w:name="_Toc38443230"/>
            <w:bookmarkStart w:id="2516" w:name="_Toc38443561"/>
            <w:bookmarkStart w:id="2517" w:name="_Toc38443891"/>
            <w:bookmarkStart w:id="2518" w:name="_Toc38438359"/>
            <w:bookmarkStart w:id="2519" w:name="_Toc38438696"/>
            <w:bookmarkStart w:id="2520" w:name="_Toc38439033"/>
            <w:bookmarkStart w:id="2521" w:name="_Toc38439370"/>
            <w:bookmarkStart w:id="2522" w:name="_Toc38439707"/>
            <w:bookmarkStart w:id="2523" w:name="_Toc38440044"/>
            <w:bookmarkStart w:id="2524" w:name="_Toc38440381"/>
            <w:bookmarkStart w:id="2525" w:name="_Toc38440913"/>
            <w:bookmarkStart w:id="2526" w:name="_Toc38441245"/>
            <w:bookmarkStart w:id="2527" w:name="_Toc38441577"/>
            <w:bookmarkStart w:id="2528" w:name="_Toc38441905"/>
            <w:bookmarkStart w:id="2529" w:name="_Toc38442237"/>
            <w:bookmarkStart w:id="2530" w:name="_Toc38442569"/>
            <w:bookmarkStart w:id="2531" w:name="_Toc38442900"/>
            <w:bookmarkStart w:id="2532" w:name="_Toc38443231"/>
            <w:bookmarkStart w:id="2533" w:name="_Toc38443562"/>
            <w:bookmarkStart w:id="2534" w:name="_Toc38443892"/>
            <w:bookmarkStart w:id="2535" w:name="_Toc38438360"/>
            <w:bookmarkStart w:id="2536" w:name="_Toc38438697"/>
            <w:bookmarkStart w:id="2537" w:name="_Toc38439034"/>
            <w:bookmarkStart w:id="2538" w:name="_Toc38439371"/>
            <w:bookmarkStart w:id="2539" w:name="_Toc38439708"/>
            <w:bookmarkStart w:id="2540" w:name="_Toc38440045"/>
            <w:bookmarkStart w:id="2541" w:name="_Toc38440382"/>
            <w:bookmarkStart w:id="2542" w:name="_Toc38440914"/>
            <w:bookmarkStart w:id="2543" w:name="_Toc38441246"/>
            <w:bookmarkStart w:id="2544" w:name="_Toc38441578"/>
            <w:bookmarkStart w:id="2545" w:name="_Toc38441906"/>
            <w:bookmarkStart w:id="2546" w:name="_Toc38442238"/>
            <w:bookmarkStart w:id="2547" w:name="_Toc38442570"/>
            <w:bookmarkStart w:id="2548" w:name="_Toc38442901"/>
            <w:bookmarkStart w:id="2549" w:name="_Toc38443232"/>
            <w:bookmarkStart w:id="2550" w:name="_Toc38443563"/>
            <w:bookmarkStart w:id="2551" w:name="_Toc38443893"/>
            <w:bookmarkStart w:id="2552" w:name="_Toc38438361"/>
            <w:bookmarkStart w:id="2553" w:name="_Toc38438698"/>
            <w:bookmarkStart w:id="2554" w:name="_Toc38439035"/>
            <w:bookmarkStart w:id="2555" w:name="_Toc38439372"/>
            <w:bookmarkStart w:id="2556" w:name="_Toc38439709"/>
            <w:bookmarkStart w:id="2557" w:name="_Toc38440046"/>
            <w:bookmarkStart w:id="2558" w:name="_Toc38440383"/>
            <w:bookmarkStart w:id="2559" w:name="_Toc38440915"/>
            <w:bookmarkStart w:id="2560" w:name="_Toc38441247"/>
            <w:bookmarkStart w:id="2561" w:name="_Toc38441579"/>
            <w:bookmarkStart w:id="2562" w:name="_Toc38441907"/>
            <w:bookmarkStart w:id="2563" w:name="_Toc38442239"/>
            <w:bookmarkStart w:id="2564" w:name="_Toc38442571"/>
            <w:bookmarkStart w:id="2565" w:name="_Toc38442902"/>
            <w:bookmarkStart w:id="2566" w:name="_Toc38443233"/>
            <w:bookmarkStart w:id="2567" w:name="_Toc38443564"/>
            <w:bookmarkStart w:id="2568" w:name="_Toc38443894"/>
            <w:bookmarkStart w:id="2569" w:name="_Toc38438362"/>
            <w:bookmarkStart w:id="2570" w:name="_Toc38438699"/>
            <w:bookmarkStart w:id="2571" w:name="_Toc38439036"/>
            <w:bookmarkStart w:id="2572" w:name="_Toc38439373"/>
            <w:bookmarkStart w:id="2573" w:name="_Toc38439710"/>
            <w:bookmarkStart w:id="2574" w:name="_Toc38440047"/>
            <w:bookmarkStart w:id="2575" w:name="_Toc38440384"/>
            <w:bookmarkStart w:id="2576" w:name="_Toc38440916"/>
            <w:bookmarkStart w:id="2577" w:name="_Toc38441248"/>
            <w:bookmarkStart w:id="2578" w:name="_Toc38441580"/>
            <w:bookmarkStart w:id="2579" w:name="_Toc38441908"/>
            <w:bookmarkStart w:id="2580" w:name="_Toc38442240"/>
            <w:bookmarkStart w:id="2581" w:name="_Toc38442572"/>
            <w:bookmarkStart w:id="2582" w:name="_Toc38442903"/>
            <w:bookmarkStart w:id="2583" w:name="_Toc38443234"/>
            <w:bookmarkStart w:id="2584" w:name="_Toc38443565"/>
            <w:bookmarkStart w:id="2585" w:name="_Toc38443895"/>
            <w:bookmarkStart w:id="2586" w:name="_Toc38438363"/>
            <w:bookmarkStart w:id="2587" w:name="_Toc38438700"/>
            <w:bookmarkStart w:id="2588" w:name="_Toc38439037"/>
            <w:bookmarkStart w:id="2589" w:name="_Toc38439374"/>
            <w:bookmarkStart w:id="2590" w:name="_Toc38439711"/>
            <w:bookmarkStart w:id="2591" w:name="_Toc38440048"/>
            <w:bookmarkStart w:id="2592" w:name="_Toc38440385"/>
            <w:bookmarkStart w:id="2593" w:name="_Toc38440917"/>
            <w:bookmarkStart w:id="2594" w:name="_Toc38441249"/>
            <w:bookmarkStart w:id="2595" w:name="_Toc38441581"/>
            <w:bookmarkStart w:id="2596" w:name="_Toc38441909"/>
            <w:bookmarkStart w:id="2597" w:name="_Toc38442241"/>
            <w:bookmarkStart w:id="2598" w:name="_Toc38442573"/>
            <w:bookmarkStart w:id="2599" w:name="_Toc38442904"/>
            <w:bookmarkStart w:id="2600" w:name="_Toc38443235"/>
            <w:bookmarkStart w:id="2601" w:name="_Toc38443566"/>
            <w:bookmarkStart w:id="2602" w:name="_Toc38443896"/>
            <w:bookmarkStart w:id="2603" w:name="_Toc38438364"/>
            <w:bookmarkStart w:id="2604" w:name="_Toc38438701"/>
            <w:bookmarkStart w:id="2605" w:name="_Toc38439038"/>
            <w:bookmarkStart w:id="2606" w:name="_Toc38439375"/>
            <w:bookmarkStart w:id="2607" w:name="_Toc38439712"/>
            <w:bookmarkStart w:id="2608" w:name="_Toc38440049"/>
            <w:bookmarkStart w:id="2609" w:name="_Toc38440386"/>
            <w:bookmarkStart w:id="2610" w:name="_Toc38440918"/>
            <w:bookmarkStart w:id="2611" w:name="_Toc38441250"/>
            <w:bookmarkStart w:id="2612" w:name="_Toc38441582"/>
            <w:bookmarkStart w:id="2613" w:name="_Toc38441910"/>
            <w:bookmarkStart w:id="2614" w:name="_Toc38442242"/>
            <w:bookmarkStart w:id="2615" w:name="_Toc38442574"/>
            <w:bookmarkStart w:id="2616" w:name="_Toc38442905"/>
            <w:bookmarkStart w:id="2617" w:name="_Toc38443236"/>
            <w:bookmarkStart w:id="2618" w:name="_Toc38443567"/>
            <w:bookmarkStart w:id="2619" w:name="_Toc38443897"/>
            <w:bookmarkStart w:id="2620" w:name="_Toc38438365"/>
            <w:bookmarkStart w:id="2621" w:name="_Toc38438702"/>
            <w:bookmarkStart w:id="2622" w:name="_Toc38439039"/>
            <w:bookmarkStart w:id="2623" w:name="_Toc38439376"/>
            <w:bookmarkStart w:id="2624" w:name="_Toc38439713"/>
            <w:bookmarkStart w:id="2625" w:name="_Toc38440050"/>
            <w:bookmarkStart w:id="2626" w:name="_Toc38440387"/>
            <w:bookmarkStart w:id="2627" w:name="_Toc38440919"/>
            <w:bookmarkStart w:id="2628" w:name="_Toc38441251"/>
            <w:bookmarkStart w:id="2629" w:name="_Toc38441583"/>
            <w:bookmarkStart w:id="2630" w:name="_Toc38441911"/>
            <w:bookmarkStart w:id="2631" w:name="_Toc38442243"/>
            <w:bookmarkStart w:id="2632" w:name="_Toc38442575"/>
            <w:bookmarkStart w:id="2633" w:name="_Toc38442906"/>
            <w:bookmarkStart w:id="2634" w:name="_Toc38443237"/>
            <w:bookmarkStart w:id="2635" w:name="_Toc38443568"/>
            <w:bookmarkStart w:id="2636" w:name="_Toc38443898"/>
            <w:bookmarkStart w:id="2637" w:name="_Toc38438366"/>
            <w:bookmarkStart w:id="2638" w:name="_Toc38438703"/>
            <w:bookmarkStart w:id="2639" w:name="_Toc38439040"/>
            <w:bookmarkStart w:id="2640" w:name="_Toc38439377"/>
            <w:bookmarkStart w:id="2641" w:name="_Toc38439714"/>
            <w:bookmarkStart w:id="2642" w:name="_Toc38440051"/>
            <w:bookmarkStart w:id="2643" w:name="_Toc38440388"/>
            <w:bookmarkStart w:id="2644" w:name="_Toc38440920"/>
            <w:bookmarkStart w:id="2645" w:name="_Toc38441252"/>
            <w:bookmarkStart w:id="2646" w:name="_Toc38441584"/>
            <w:bookmarkStart w:id="2647" w:name="_Toc38441912"/>
            <w:bookmarkStart w:id="2648" w:name="_Toc38442244"/>
            <w:bookmarkStart w:id="2649" w:name="_Toc38442576"/>
            <w:bookmarkStart w:id="2650" w:name="_Toc38442907"/>
            <w:bookmarkStart w:id="2651" w:name="_Toc38443238"/>
            <w:bookmarkStart w:id="2652" w:name="_Toc38443569"/>
            <w:bookmarkStart w:id="2653" w:name="_Toc38443899"/>
            <w:bookmarkStart w:id="2654" w:name="_Toc38438367"/>
            <w:bookmarkStart w:id="2655" w:name="_Toc38438704"/>
            <w:bookmarkStart w:id="2656" w:name="_Toc38439041"/>
            <w:bookmarkStart w:id="2657" w:name="_Toc38439378"/>
            <w:bookmarkStart w:id="2658" w:name="_Toc38439715"/>
            <w:bookmarkStart w:id="2659" w:name="_Toc38440052"/>
            <w:bookmarkStart w:id="2660" w:name="_Toc38440389"/>
            <w:bookmarkStart w:id="2661" w:name="_Toc38440921"/>
            <w:bookmarkStart w:id="2662" w:name="_Toc38441253"/>
            <w:bookmarkStart w:id="2663" w:name="_Toc38441585"/>
            <w:bookmarkStart w:id="2664" w:name="_Toc38441913"/>
            <w:bookmarkStart w:id="2665" w:name="_Toc38442245"/>
            <w:bookmarkStart w:id="2666" w:name="_Toc38442577"/>
            <w:bookmarkStart w:id="2667" w:name="_Toc38442908"/>
            <w:bookmarkStart w:id="2668" w:name="_Toc38443239"/>
            <w:bookmarkStart w:id="2669" w:name="_Toc38443570"/>
            <w:bookmarkStart w:id="2670" w:name="_Toc38443900"/>
            <w:bookmarkStart w:id="2671" w:name="_Toc38438368"/>
            <w:bookmarkStart w:id="2672" w:name="_Toc38438705"/>
            <w:bookmarkStart w:id="2673" w:name="_Toc38439042"/>
            <w:bookmarkStart w:id="2674" w:name="_Toc38439379"/>
            <w:bookmarkStart w:id="2675" w:name="_Toc38439716"/>
            <w:bookmarkStart w:id="2676" w:name="_Toc38440053"/>
            <w:bookmarkStart w:id="2677" w:name="_Toc38440390"/>
            <w:bookmarkStart w:id="2678" w:name="_Toc38440922"/>
            <w:bookmarkStart w:id="2679" w:name="_Toc38441254"/>
            <w:bookmarkStart w:id="2680" w:name="_Toc38441586"/>
            <w:bookmarkStart w:id="2681" w:name="_Toc38441914"/>
            <w:bookmarkStart w:id="2682" w:name="_Toc38442246"/>
            <w:bookmarkStart w:id="2683" w:name="_Toc38442578"/>
            <w:bookmarkStart w:id="2684" w:name="_Toc38442909"/>
            <w:bookmarkStart w:id="2685" w:name="_Toc38443240"/>
            <w:bookmarkStart w:id="2686" w:name="_Toc38443571"/>
            <w:bookmarkStart w:id="2687" w:name="_Toc38443901"/>
            <w:bookmarkStart w:id="2688" w:name="_Toc38438369"/>
            <w:bookmarkStart w:id="2689" w:name="_Toc38438706"/>
            <w:bookmarkStart w:id="2690" w:name="_Toc38439043"/>
            <w:bookmarkStart w:id="2691" w:name="_Toc38439380"/>
            <w:bookmarkStart w:id="2692" w:name="_Toc38439717"/>
            <w:bookmarkStart w:id="2693" w:name="_Toc38440054"/>
            <w:bookmarkStart w:id="2694" w:name="_Toc38440391"/>
            <w:bookmarkStart w:id="2695" w:name="_Toc38440923"/>
            <w:bookmarkStart w:id="2696" w:name="_Toc38441255"/>
            <w:bookmarkStart w:id="2697" w:name="_Toc38441587"/>
            <w:bookmarkStart w:id="2698" w:name="_Toc38441915"/>
            <w:bookmarkStart w:id="2699" w:name="_Toc38442247"/>
            <w:bookmarkStart w:id="2700" w:name="_Toc38442579"/>
            <w:bookmarkStart w:id="2701" w:name="_Toc38442910"/>
            <w:bookmarkStart w:id="2702" w:name="_Toc38443241"/>
            <w:bookmarkStart w:id="2703" w:name="_Toc38443572"/>
            <w:bookmarkStart w:id="2704" w:name="_Toc38443902"/>
            <w:bookmarkStart w:id="2705" w:name="_Toc38438371"/>
            <w:bookmarkStart w:id="2706" w:name="_Toc38438708"/>
            <w:bookmarkStart w:id="2707" w:name="_Toc38439045"/>
            <w:bookmarkStart w:id="2708" w:name="_Toc38439382"/>
            <w:bookmarkStart w:id="2709" w:name="_Toc38439719"/>
            <w:bookmarkStart w:id="2710" w:name="_Toc38440056"/>
            <w:bookmarkStart w:id="2711" w:name="_Toc38440393"/>
            <w:bookmarkStart w:id="2712" w:name="_Toc38440925"/>
            <w:bookmarkStart w:id="2713" w:name="_Toc38441257"/>
            <w:bookmarkStart w:id="2714" w:name="_Toc38441589"/>
            <w:bookmarkStart w:id="2715" w:name="_Toc38441917"/>
            <w:bookmarkStart w:id="2716" w:name="_Toc38442249"/>
            <w:bookmarkStart w:id="2717" w:name="_Toc38442581"/>
            <w:bookmarkStart w:id="2718" w:name="_Toc38442912"/>
            <w:bookmarkStart w:id="2719" w:name="_Toc38443243"/>
            <w:bookmarkStart w:id="2720" w:name="_Toc38443574"/>
            <w:bookmarkStart w:id="2721" w:name="_Toc38443904"/>
            <w:bookmarkStart w:id="2722" w:name="_Toc38438372"/>
            <w:bookmarkStart w:id="2723" w:name="_Toc38438709"/>
            <w:bookmarkStart w:id="2724" w:name="_Toc38439046"/>
            <w:bookmarkStart w:id="2725" w:name="_Toc38439383"/>
            <w:bookmarkStart w:id="2726" w:name="_Toc38439720"/>
            <w:bookmarkStart w:id="2727" w:name="_Toc38440057"/>
            <w:bookmarkStart w:id="2728" w:name="_Toc38440394"/>
            <w:bookmarkStart w:id="2729" w:name="_Toc38440926"/>
            <w:bookmarkStart w:id="2730" w:name="_Toc38441258"/>
            <w:bookmarkStart w:id="2731" w:name="_Toc38441590"/>
            <w:bookmarkStart w:id="2732" w:name="_Toc38441918"/>
            <w:bookmarkStart w:id="2733" w:name="_Toc38442250"/>
            <w:bookmarkStart w:id="2734" w:name="_Toc38442582"/>
            <w:bookmarkStart w:id="2735" w:name="_Toc38442913"/>
            <w:bookmarkStart w:id="2736" w:name="_Toc38443244"/>
            <w:bookmarkStart w:id="2737" w:name="_Toc38443575"/>
            <w:bookmarkStart w:id="2738" w:name="_Toc38443905"/>
            <w:bookmarkStart w:id="2739" w:name="_Toc38438373"/>
            <w:bookmarkStart w:id="2740" w:name="_Toc38438710"/>
            <w:bookmarkStart w:id="2741" w:name="_Toc38439047"/>
            <w:bookmarkStart w:id="2742" w:name="_Toc38439384"/>
            <w:bookmarkStart w:id="2743" w:name="_Toc38439721"/>
            <w:bookmarkStart w:id="2744" w:name="_Toc38440058"/>
            <w:bookmarkStart w:id="2745" w:name="_Toc38440395"/>
            <w:bookmarkStart w:id="2746" w:name="_Toc38440927"/>
            <w:bookmarkStart w:id="2747" w:name="_Toc38441259"/>
            <w:bookmarkStart w:id="2748" w:name="_Toc38441591"/>
            <w:bookmarkStart w:id="2749" w:name="_Toc38441919"/>
            <w:bookmarkStart w:id="2750" w:name="_Toc38442251"/>
            <w:bookmarkStart w:id="2751" w:name="_Toc38442583"/>
            <w:bookmarkStart w:id="2752" w:name="_Toc38442914"/>
            <w:bookmarkStart w:id="2753" w:name="_Toc38443245"/>
            <w:bookmarkStart w:id="2754" w:name="_Toc38443576"/>
            <w:bookmarkStart w:id="2755" w:name="_Toc38443906"/>
            <w:bookmarkStart w:id="2756" w:name="_Toc38438374"/>
            <w:bookmarkStart w:id="2757" w:name="_Toc38438711"/>
            <w:bookmarkStart w:id="2758" w:name="_Toc38439048"/>
            <w:bookmarkStart w:id="2759" w:name="_Toc38439385"/>
            <w:bookmarkStart w:id="2760" w:name="_Toc38439722"/>
            <w:bookmarkStart w:id="2761" w:name="_Toc38440059"/>
            <w:bookmarkStart w:id="2762" w:name="_Toc38440396"/>
            <w:bookmarkStart w:id="2763" w:name="_Toc38440928"/>
            <w:bookmarkStart w:id="2764" w:name="_Toc38441260"/>
            <w:bookmarkStart w:id="2765" w:name="_Toc38441592"/>
            <w:bookmarkStart w:id="2766" w:name="_Toc38441920"/>
            <w:bookmarkStart w:id="2767" w:name="_Toc38442252"/>
            <w:bookmarkStart w:id="2768" w:name="_Toc38442584"/>
            <w:bookmarkStart w:id="2769" w:name="_Toc38442915"/>
            <w:bookmarkStart w:id="2770" w:name="_Toc38443246"/>
            <w:bookmarkStart w:id="2771" w:name="_Toc38443577"/>
            <w:bookmarkStart w:id="2772" w:name="_Toc38443907"/>
            <w:bookmarkStart w:id="2773" w:name="_Toc38438375"/>
            <w:bookmarkStart w:id="2774" w:name="_Toc38438712"/>
            <w:bookmarkStart w:id="2775" w:name="_Toc38439049"/>
            <w:bookmarkStart w:id="2776" w:name="_Toc38439386"/>
            <w:bookmarkStart w:id="2777" w:name="_Toc38439723"/>
            <w:bookmarkStart w:id="2778" w:name="_Toc38440060"/>
            <w:bookmarkStart w:id="2779" w:name="_Toc38440397"/>
            <w:bookmarkStart w:id="2780" w:name="_Toc38440929"/>
            <w:bookmarkStart w:id="2781" w:name="_Toc38441261"/>
            <w:bookmarkStart w:id="2782" w:name="_Toc38441593"/>
            <w:bookmarkStart w:id="2783" w:name="_Toc38441921"/>
            <w:bookmarkStart w:id="2784" w:name="_Toc38442253"/>
            <w:bookmarkStart w:id="2785" w:name="_Toc38442585"/>
            <w:bookmarkStart w:id="2786" w:name="_Toc38442916"/>
            <w:bookmarkStart w:id="2787" w:name="_Toc38443247"/>
            <w:bookmarkStart w:id="2788" w:name="_Toc38443578"/>
            <w:bookmarkStart w:id="2789" w:name="_Toc38443908"/>
            <w:bookmarkStart w:id="2790" w:name="_Toc38438376"/>
            <w:bookmarkStart w:id="2791" w:name="_Toc38438713"/>
            <w:bookmarkStart w:id="2792" w:name="_Toc38439050"/>
            <w:bookmarkStart w:id="2793" w:name="_Toc38439387"/>
            <w:bookmarkStart w:id="2794" w:name="_Toc38439724"/>
            <w:bookmarkStart w:id="2795" w:name="_Toc38440061"/>
            <w:bookmarkStart w:id="2796" w:name="_Toc38440398"/>
            <w:bookmarkStart w:id="2797" w:name="_Toc38440930"/>
            <w:bookmarkStart w:id="2798" w:name="_Toc38441262"/>
            <w:bookmarkStart w:id="2799" w:name="_Toc38441594"/>
            <w:bookmarkStart w:id="2800" w:name="_Toc38441922"/>
            <w:bookmarkStart w:id="2801" w:name="_Toc38442254"/>
            <w:bookmarkStart w:id="2802" w:name="_Toc38442586"/>
            <w:bookmarkStart w:id="2803" w:name="_Toc38442917"/>
            <w:bookmarkStart w:id="2804" w:name="_Toc38443248"/>
            <w:bookmarkStart w:id="2805" w:name="_Toc38443579"/>
            <w:bookmarkStart w:id="2806" w:name="_Toc38443909"/>
            <w:bookmarkStart w:id="2807" w:name="_Toc38438377"/>
            <w:bookmarkStart w:id="2808" w:name="_Toc38438714"/>
            <w:bookmarkStart w:id="2809" w:name="_Toc38439051"/>
            <w:bookmarkStart w:id="2810" w:name="_Toc38439388"/>
            <w:bookmarkStart w:id="2811" w:name="_Toc38439725"/>
            <w:bookmarkStart w:id="2812" w:name="_Toc38440062"/>
            <w:bookmarkStart w:id="2813" w:name="_Toc38440399"/>
            <w:bookmarkStart w:id="2814" w:name="_Toc38440931"/>
            <w:bookmarkStart w:id="2815" w:name="_Toc38441263"/>
            <w:bookmarkStart w:id="2816" w:name="_Toc38441595"/>
            <w:bookmarkStart w:id="2817" w:name="_Toc38441923"/>
            <w:bookmarkStart w:id="2818" w:name="_Toc38442255"/>
            <w:bookmarkStart w:id="2819" w:name="_Toc38442587"/>
            <w:bookmarkStart w:id="2820" w:name="_Toc38442918"/>
            <w:bookmarkStart w:id="2821" w:name="_Toc38443249"/>
            <w:bookmarkStart w:id="2822" w:name="_Toc38443580"/>
            <w:bookmarkStart w:id="2823" w:name="_Toc38443910"/>
            <w:bookmarkStart w:id="2824" w:name="_Toc38438378"/>
            <w:bookmarkStart w:id="2825" w:name="_Toc38438715"/>
            <w:bookmarkStart w:id="2826" w:name="_Toc38439052"/>
            <w:bookmarkStart w:id="2827" w:name="_Toc38439389"/>
            <w:bookmarkStart w:id="2828" w:name="_Toc38439726"/>
            <w:bookmarkStart w:id="2829" w:name="_Toc38440063"/>
            <w:bookmarkStart w:id="2830" w:name="_Toc38440400"/>
            <w:bookmarkStart w:id="2831" w:name="_Toc38440932"/>
            <w:bookmarkStart w:id="2832" w:name="_Toc38441264"/>
            <w:bookmarkStart w:id="2833" w:name="_Toc38441596"/>
            <w:bookmarkStart w:id="2834" w:name="_Toc38441924"/>
            <w:bookmarkStart w:id="2835" w:name="_Toc38442256"/>
            <w:bookmarkStart w:id="2836" w:name="_Toc38442588"/>
            <w:bookmarkStart w:id="2837" w:name="_Toc38442919"/>
            <w:bookmarkStart w:id="2838" w:name="_Toc38443250"/>
            <w:bookmarkStart w:id="2839" w:name="_Toc38443581"/>
            <w:bookmarkStart w:id="2840" w:name="_Toc38443911"/>
            <w:bookmarkStart w:id="2841" w:name="_Toc38438379"/>
            <w:bookmarkStart w:id="2842" w:name="_Toc38438716"/>
            <w:bookmarkStart w:id="2843" w:name="_Toc38439053"/>
            <w:bookmarkStart w:id="2844" w:name="_Toc38439390"/>
            <w:bookmarkStart w:id="2845" w:name="_Toc38439727"/>
            <w:bookmarkStart w:id="2846" w:name="_Toc38440064"/>
            <w:bookmarkStart w:id="2847" w:name="_Toc38440401"/>
            <w:bookmarkStart w:id="2848" w:name="_Toc38440933"/>
            <w:bookmarkStart w:id="2849" w:name="_Toc38441265"/>
            <w:bookmarkStart w:id="2850" w:name="_Toc38441597"/>
            <w:bookmarkStart w:id="2851" w:name="_Toc38441925"/>
            <w:bookmarkStart w:id="2852" w:name="_Toc38442257"/>
            <w:bookmarkStart w:id="2853" w:name="_Toc38442589"/>
            <w:bookmarkStart w:id="2854" w:name="_Toc38442920"/>
            <w:bookmarkStart w:id="2855" w:name="_Toc38443251"/>
            <w:bookmarkStart w:id="2856" w:name="_Toc38443582"/>
            <w:bookmarkStart w:id="2857" w:name="_Toc38443912"/>
            <w:bookmarkStart w:id="2858" w:name="_Toc38438380"/>
            <w:bookmarkStart w:id="2859" w:name="_Toc38438717"/>
            <w:bookmarkStart w:id="2860" w:name="_Toc38439054"/>
            <w:bookmarkStart w:id="2861" w:name="_Toc38439391"/>
            <w:bookmarkStart w:id="2862" w:name="_Toc38439728"/>
            <w:bookmarkStart w:id="2863" w:name="_Toc38440065"/>
            <w:bookmarkStart w:id="2864" w:name="_Toc38440402"/>
            <w:bookmarkStart w:id="2865" w:name="_Toc38440934"/>
            <w:bookmarkStart w:id="2866" w:name="_Toc38441266"/>
            <w:bookmarkStart w:id="2867" w:name="_Toc38441598"/>
            <w:bookmarkStart w:id="2868" w:name="_Toc38441926"/>
            <w:bookmarkStart w:id="2869" w:name="_Toc38442258"/>
            <w:bookmarkStart w:id="2870" w:name="_Toc38442590"/>
            <w:bookmarkStart w:id="2871" w:name="_Toc38442921"/>
            <w:bookmarkStart w:id="2872" w:name="_Toc38443252"/>
            <w:bookmarkStart w:id="2873" w:name="_Toc38443583"/>
            <w:bookmarkStart w:id="2874" w:name="_Toc38443913"/>
            <w:bookmarkStart w:id="2875" w:name="_Toc38438381"/>
            <w:bookmarkStart w:id="2876" w:name="_Toc38438718"/>
            <w:bookmarkStart w:id="2877" w:name="_Toc38439055"/>
            <w:bookmarkStart w:id="2878" w:name="_Toc38439392"/>
            <w:bookmarkStart w:id="2879" w:name="_Toc38439729"/>
            <w:bookmarkStart w:id="2880" w:name="_Toc38440066"/>
            <w:bookmarkStart w:id="2881" w:name="_Toc38440403"/>
            <w:bookmarkStart w:id="2882" w:name="_Toc38440935"/>
            <w:bookmarkStart w:id="2883" w:name="_Toc38441267"/>
            <w:bookmarkStart w:id="2884" w:name="_Toc38441599"/>
            <w:bookmarkStart w:id="2885" w:name="_Toc38441927"/>
            <w:bookmarkStart w:id="2886" w:name="_Toc38442259"/>
            <w:bookmarkStart w:id="2887" w:name="_Toc38442591"/>
            <w:bookmarkStart w:id="2888" w:name="_Toc38442922"/>
            <w:bookmarkStart w:id="2889" w:name="_Toc38443253"/>
            <w:bookmarkStart w:id="2890" w:name="_Toc38443584"/>
            <w:bookmarkStart w:id="2891" w:name="_Toc38443914"/>
            <w:bookmarkStart w:id="2892" w:name="_Toc38438382"/>
            <w:bookmarkStart w:id="2893" w:name="_Toc38438719"/>
            <w:bookmarkStart w:id="2894" w:name="_Toc38439056"/>
            <w:bookmarkStart w:id="2895" w:name="_Toc38439393"/>
            <w:bookmarkStart w:id="2896" w:name="_Toc38439730"/>
            <w:bookmarkStart w:id="2897" w:name="_Toc38440067"/>
            <w:bookmarkStart w:id="2898" w:name="_Toc38440404"/>
            <w:bookmarkStart w:id="2899" w:name="_Toc38440936"/>
            <w:bookmarkStart w:id="2900" w:name="_Toc38441268"/>
            <w:bookmarkStart w:id="2901" w:name="_Toc38441600"/>
            <w:bookmarkStart w:id="2902" w:name="_Toc38441928"/>
            <w:bookmarkStart w:id="2903" w:name="_Toc38442260"/>
            <w:bookmarkStart w:id="2904" w:name="_Toc38442592"/>
            <w:bookmarkStart w:id="2905" w:name="_Toc38442923"/>
            <w:bookmarkStart w:id="2906" w:name="_Toc38443254"/>
            <w:bookmarkStart w:id="2907" w:name="_Toc38443585"/>
            <w:bookmarkStart w:id="2908" w:name="_Toc38443915"/>
            <w:bookmarkStart w:id="2909" w:name="_Toc38438383"/>
            <w:bookmarkStart w:id="2910" w:name="_Toc38438720"/>
            <w:bookmarkStart w:id="2911" w:name="_Toc38439057"/>
            <w:bookmarkStart w:id="2912" w:name="_Toc38439394"/>
            <w:bookmarkStart w:id="2913" w:name="_Toc38439731"/>
            <w:bookmarkStart w:id="2914" w:name="_Toc38440068"/>
            <w:bookmarkStart w:id="2915" w:name="_Toc38440405"/>
            <w:bookmarkStart w:id="2916" w:name="_Toc38440937"/>
            <w:bookmarkStart w:id="2917" w:name="_Toc38441269"/>
            <w:bookmarkStart w:id="2918" w:name="_Toc38441601"/>
            <w:bookmarkStart w:id="2919" w:name="_Toc38441929"/>
            <w:bookmarkStart w:id="2920" w:name="_Toc38442261"/>
            <w:bookmarkStart w:id="2921" w:name="_Toc38442593"/>
            <w:bookmarkStart w:id="2922" w:name="_Toc38442924"/>
            <w:bookmarkStart w:id="2923" w:name="_Toc38443255"/>
            <w:bookmarkStart w:id="2924" w:name="_Toc38443586"/>
            <w:bookmarkStart w:id="2925" w:name="_Toc38443916"/>
            <w:bookmarkStart w:id="2926" w:name="_Toc38438384"/>
            <w:bookmarkStart w:id="2927" w:name="_Toc38438721"/>
            <w:bookmarkStart w:id="2928" w:name="_Toc38439058"/>
            <w:bookmarkStart w:id="2929" w:name="_Toc38439395"/>
            <w:bookmarkStart w:id="2930" w:name="_Toc38439732"/>
            <w:bookmarkStart w:id="2931" w:name="_Toc38440069"/>
            <w:bookmarkStart w:id="2932" w:name="_Toc38440406"/>
            <w:bookmarkStart w:id="2933" w:name="_Toc38440938"/>
            <w:bookmarkStart w:id="2934" w:name="_Toc38441270"/>
            <w:bookmarkStart w:id="2935" w:name="_Toc38441602"/>
            <w:bookmarkStart w:id="2936" w:name="_Toc38441930"/>
            <w:bookmarkStart w:id="2937" w:name="_Toc38442262"/>
            <w:bookmarkStart w:id="2938" w:name="_Toc38442594"/>
            <w:bookmarkStart w:id="2939" w:name="_Toc38442925"/>
            <w:bookmarkStart w:id="2940" w:name="_Toc38443256"/>
            <w:bookmarkStart w:id="2941" w:name="_Toc38443587"/>
            <w:bookmarkStart w:id="2942" w:name="_Toc38443917"/>
            <w:bookmarkStart w:id="2943" w:name="_Toc38438385"/>
            <w:bookmarkStart w:id="2944" w:name="_Toc38438722"/>
            <w:bookmarkStart w:id="2945" w:name="_Toc38439059"/>
            <w:bookmarkStart w:id="2946" w:name="_Toc38439396"/>
            <w:bookmarkStart w:id="2947" w:name="_Toc38439733"/>
            <w:bookmarkStart w:id="2948" w:name="_Toc38440070"/>
            <w:bookmarkStart w:id="2949" w:name="_Toc38440407"/>
            <w:bookmarkStart w:id="2950" w:name="_Toc38440939"/>
            <w:bookmarkStart w:id="2951" w:name="_Toc38441271"/>
            <w:bookmarkStart w:id="2952" w:name="_Toc38441603"/>
            <w:bookmarkStart w:id="2953" w:name="_Toc38441931"/>
            <w:bookmarkStart w:id="2954" w:name="_Toc38442263"/>
            <w:bookmarkStart w:id="2955" w:name="_Toc38442595"/>
            <w:bookmarkStart w:id="2956" w:name="_Toc38442926"/>
            <w:bookmarkStart w:id="2957" w:name="_Toc38443257"/>
            <w:bookmarkStart w:id="2958" w:name="_Toc38443588"/>
            <w:bookmarkStart w:id="2959" w:name="_Toc38443918"/>
            <w:bookmarkStart w:id="2960" w:name="_Toc38438386"/>
            <w:bookmarkStart w:id="2961" w:name="_Toc38438723"/>
            <w:bookmarkStart w:id="2962" w:name="_Toc38439060"/>
            <w:bookmarkStart w:id="2963" w:name="_Toc38439397"/>
            <w:bookmarkStart w:id="2964" w:name="_Toc38439734"/>
            <w:bookmarkStart w:id="2965" w:name="_Toc38440071"/>
            <w:bookmarkStart w:id="2966" w:name="_Toc38440408"/>
            <w:bookmarkStart w:id="2967" w:name="_Toc38440940"/>
            <w:bookmarkStart w:id="2968" w:name="_Toc38441272"/>
            <w:bookmarkStart w:id="2969" w:name="_Toc38441604"/>
            <w:bookmarkStart w:id="2970" w:name="_Toc38441932"/>
            <w:bookmarkStart w:id="2971" w:name="_Toc38442264"/>
            <w:bookmarkStart w:id="2972" w:name="_Toc38442596"/>
            <w:bookmarkStart w:id="2973" w:name="_Toc38442927"/>
            <w:bookmarkStart w:id="2974" w:name="_Toc38443258"/>
            <w:bookmarkStart w:id="2975" w:name="_Toc38443589"/>
            <w:bookmarkStart w:id="2976" w:name="_Toc38443919"/>
            <w:bookmarkStart w:id="2977" w:name="_Toc38438387"/>
            <w:bookmarkStart w:id="2978" w:name="_Toc38438724"/>
            <w:bookmarkStart w:id="2979" w:name="_Toc38439061"/>
            <w:bookmarkStart w:id="2980" w:name="_Toc38439398"/>
            <w:bookmarkStart w:id="2981" w:name="_Toc38439735"/>
            <w:bookmarkStart w:id="2982" w:name="_Toc38440072"/>
            <w:bookmarkStart w:id="2983" w:name="_Toc38440409"/>
            <w:bookmarkStart w:id="2984" w:name="_Toc38440941"/>
            <w:bookmarkStart w:id="2985" w:name="_Toc38441273"/>
            <w:bookmarkStart w:id="2986" w:name="_Toc38441605"/>
            <w:bookmarkStart w:id="2987" w:name="_Toc38441933"/>
            <w:bookmarkStart w:id="2988" w:name="_Toc38442265"/>
            <w:bookmarkStart w:id="2989" w:name="_Toc38442597"/>
            <w:bookmarkStart w:id="2990" w:name="_Toc38442928"/>
            <w:bookmarkStart w:id="2991" w:name="_Toc38443259"/>
            <w:bookmarkStart w:id="2992" w:name="_Toc38443590"/>
            <w:bookmarkStart w:id="2993" w:name="_Toc38443920"/>
            <w:bookmarkStart w:id="2994" w:name="_Toc38438388"/>
            <w:bookmarkStart w:id="2995" w:name="_Toc38438725"/>
            <w:bookmarkStart w:id="2996" w:name="_Toc38439062"/>
            <w:bookmarkStart w:id="2997" w:name="_Toc38439399"/>
            <w:bookmarkStart w:id="2998" w:name="_Toc38439736"/>
            <w:bookmarkStart w:id="2999" w:name="_Toc38440073"/>
            <w:bookmarkStart w:id="3000" w:name="_Toc38440410"/>
            <w:bookmarkStart w:id="3001" w:name="_Toc38440942"/>
            <w:bookmarkStart w:id="3002" w:name="_Toc38441274"/>
            <w:bookmarkStart w:id="3003" w:name="_Toc38441606"/>
            <w:bookmarkStart w:id="3004" w:name="_Toc38441934"/>
            <w:bookmarkStart w:id="3005" w:name="_Toc38442266"/>
            <w:bookmarkStart w:id="3006" w:name="_Toc38442598"/>
            <w:bookmarkStart w:id="3007" w:name="_Toc38442929"/>
            <w:bookmarkStart w:id="3008" w:name="_Toc38443260"/>
            <w:bookmarkStart w:id="3009" w:name="_Toc38443591"/>
            <w:bookmarkStart w:id="3010" w:name="_Toc38443921"/>
            <w:bookmarkStart w:id="3011" w:name="_Toc38438389"/>
            <w:bookmarkStart w:id="3012" w:name="_Toc38438726"/>
            <w:bookmarkStart w:id="3013" w:name="_Toc38439063"/>
            <w:bookmarkStart w:id="3014" w:name="_Toc38439400"/>
            <w:bookmarkStart w:id="3015" w:name="_Toc38439737"/>
            <w:bookmarkStart w:id="3016" w:name="_Toc38440074"/>
            <w:bookmarkStart w:id="3017" w:name="_Toc38440411"/>
            <w:bookmarkStart w:id="3018" w:name="_Toc38440943"/>
            <w:bookmarkStart w:id="3019" w:name="_Toc38441275"/>
            <w:bookmarkStart w:id="3020" w:name="_Toc38441607"/>
            <w:bookmarkStart w:id="3021" w:name="_Toc38441935"/>
            <w:bookmarkStart w:id="3022" w:name="_Toc38442267"/>
            <w:bookmarkStart w:id="3023" w:name="_Toc38442599"/>
            <w:bookmarkStart w:id="3024" w:name="_Toc38442930"/>
            <w:bookmarkStart w:id="3025" w:name="_Toc38443261"/>
            <w:bookmarkStart w:id="3026" w:name="_Toc38443592"/>
            <w:bookmarkStart w:id="3027" w:name="_Toc38443922"/>
            <w:bookmarkStart w:id="3028" w:name="_Toc38438390"/>
            <w:bookmarkStart w:id="3029" w:name="_Toc38438727"/>
            <w:bookmarkStart w:id="3030" w:name="_Toc38439064"/>
            <w:bookmarkStart w:id="3031" w:name="_Toc38439401"/>
            <w:bookmarkStart w:id="3032" w:name="_Toc38439738"/>
            <w:bookmarkStart w:id="3033" w:name="_Toc38440075"/>
            <w:bookmarkStart w:id="3034" w:name="_Toc38440412"/>
            <w:bookmarkStart w:id="3035" w:name="_Toc38440944"/>
            <w:bookmarkStart w:id="3036" w:name="_Toc38441276"/>
            <w:bookmarkStart w:id="3037" w:name="_Toc38441608"/>
            <w:bookmarkStart w:id="3038" w:name="_Toc38441936"/>
            <w:bookmarkStart w:id="3039" w:name="_Toc38442268"/>
            <w:bookmarkStart w:id="3040" w:name="_Toc38442600"/>
            <w:bookmarkStart w:id="3041" w:name="_Toc38442931"/>
            <w:bookmarkStart w:id="3042" w:name="_Toc38443262"/>
            <w:bookmarkStart w:id="3043" w:name="_Toc38443593"/>
            <w:bookmarkStart w:id="3044" w:name="_Toc38443923"/>
            <w:bookmarkStart w:id="3045" w:name="_Toc38438391"/>
            <w:bookmarkStart w:id="3046" w:name="_Toc38438728"/>
            <w:bookmarkStart w:id="3047" w:name="_Toc38439065"/>
            <w:bookmarkStart w:id="3048" w:name="_Toc38439402"/>
            <w:bookmarkStart w:id="3049" w:name="_Toc38439739"/>
            <w:bookmarkStart w:id="3050" w:name="_Toc38440076"/>
            <w:bookmarkStart w:id="3051" w:name="_Toc38440413"/>
            <w:bookmarkStart w:id="3052" w:name="_Toc38440945"/>
            <w:bookmarkStart w:id="3053" w:name="_Toc38441277"/>
            <w:bookmarkStart w:id="3054" w:name="_Toc38441609"/>
            <w:bookmarkStart w:id="3055" w:name="_Toc38441937"/>
            <w:bookmarkStart w:id="3056" w:name="_Toc38442269"/>
            <w:bookmarkStart w:id="3057" w:name="_Toc38442601"/>
            <w:bookmarkStart w:id="3058" w:name="_Toc38442932"/>
            <w:bookmarkStart w:id="3059" w:name="_Toc38443263"/>
            <w:bookmarkStart w:id="3060" w:name="_Toc38443594"/>
            <w:bookmarkStart w:id="3061" w:name="_Toc38443924"/>
            <w:bookmarkStart w:id="3062" w:name="_Toc38438392"/>
            <w:bookmarkStart w:id="3063" w:name="_Toc38438729"/>
            <w:bookmarkStart w:id="3064" w:name="_Toc38439066"/>
            <w:bookmarkStart w:id="3065" w:name="_Toc38439403"/>
            <w:bookmarkStart w:id="3066" w:name="_Toc38439740"/>
            <w:bookmarkStart w:id="3067" w:name="_Toc38440077"/>
            <w:bookmarkStart w:id="3068" w:name="_Toc38440414"/>
            <w:bookmarkStart w:id="3069" w:name="_Toc38440946"/>
            <w:bookmarkStart w:id="3070" w:name="_Toc38441278"/>
            <w:bookmarkStart w:id="3071" w:name="_Toc38441610"/>
            <w:bookmarkStart w:id="3072" w:name="_Toc38441938"/>
            <w:bookmarkStart w:id="3073" w:name="_Toc38442270"/>
            <w:bookmarkStart w:id="3074" w:name="_Toc38442602"/>
            <w:bookmarkStart w:id="3075" w:name="_Toc38442933"/>
            <w:bookmarkStart w:id="3076" w:name="_Toc38443264"/>
            <w:bookmarkStart w:id="3077" w:name="_Toc38443595"/>
            <w:bookmarkStart w:id="3078" w:name="_Toc38443925"/>
            <w:bookmarkStart w:id="3079" w:name="_Toc38438393"/>
            <w:bookmarkStart w:id="3080" w:name="_Toc38438730"/>
            <w:bookmarkStart w:id="3081" w:name="_Toc38439067"/>
            <w:bookmarkStart w:id="3082" w:name="_Toc38439404"/>
            <w:bookmarkStart w:id="3083" w:name="_Toc38439741"/>
            <w:bookmarkStart w:id="3084" w:name="_Toc38440078"/>
            <w:bookmarkStart w:id="3085" w:name="_Toc38440415"/>
            <w:bookmarkStart w:id="3086" w:name="_Toc38440947"/>
            <w:bookmarkStart w:id="3087" w:name="_Toc38441279"/>
            <w:bookmarkStart w:id="3088" w:name="_Toc38441611"/>
            <w:bookmarkStart w:id="3089" w:name="_Toc38441939"/>
            <w:bookmarkStart w:id="3090" w:name="_Toc38442271"/>
            <w:bookmarkStart w:id="3091" w:name="_Toc38442603"/>
            <w:bookmarkStart w:id="3092" w:name="_Toc38442934"/>
            <w:bookmarkStart w:id="3093" w:name="_Toc38443265"/>
            <w:bookmarkStart w:id="3094" w:name="_Toc38443596"/>
            <w:bookmarkStart w:id="3095" w:name="_Toc38443926"/>
            <w:bookmarkStart w:id="3096" w:name="_Toc38438394"/>
            <w:bookmarkStart w:id="3097" w:name="_Toc38438731"/>
            <w:bookmarkStart w:id="3098" w:name="_Toc38439068"/>
            <w:bookmarkStart w:id="3099" w:name="_Toc38439405"/>
            <w:bookmarkStart w:id="3100" w:name="_Toc38439742"/>
            <w:bookmarkStart w:id="3101" w:name="_Toc38440079"/>
            <w:bookmarkStart w:id="3102" w:name="_Toc38440416"/>
            <w:bookmarkStart w:id="3103" w:name="_Toc38440948"/>
            <w:bookmarkStart w:id="3104" w:name="_Toc38441280"/>
            <w:bookmarkStart w:id="3105" w:name="_Toc38441612"/>
            <w:bookmarkStart w:id="3106" w:name="_Toc38441940"/>
            <w:bookmarkStart w:id="3107" w:name="_Toc38442272"/>
            <w:bookmarkStart w:id="3108" w:name="_Toc38442604"/>
            <w:bookmarkStart w:id="3109" w:name="_Toc38442935"/>
            <w:bookmarkStart w:id="3110" w:name="_Toc38443266"/>
            <w:bookmarkStart w:id="3111" w:name="_Toc38443597"/>
            <w:bookmarkStart w:id="3112" w:name="_Toc38443927"/>
            <w:bookmarkStart w:id="3113" w:name="_Toc38438395"/>
            <w:bookmarkStart w:id="3114" w:name="_Toc38438732"/>
            <w:bookmarkStart w:id="3115" w:name="_Toc38439069"/>
            <w:bookmarkStart w:id="3116" w:name="_Toc38439406"/>
            <w:bookmarkStart w:id="3117" w:name="_Toc38439743"/>
            <w:bookmarkStart w:id="3118" w:name="_Toc38440080"/>
            <w:bookmarkStart w:id="3119" w:name="_Toc38440417"/>
            <w:bookmarkStart w:id="3120" w:name="_Toc38440949"/>
            <w:bookmarkStart w:id="3121" w:name="_Toc38441281"/>
            <w:bookmarkStart w:id="3122" w:name="_Toc38441613"/>
            <w:bookmarkStart w:id="3123" w:name="_Toc38441941"/>
            <w:bookmarkStart w:id="3124" w:name="_Toc38442273"/>
            <w:bookmarkStart w:id="3125" w:name="_Toc38442605"/>
            <w:bookmarkStart w:id="3126" w:name="_Toc38442936"/>
            <w:bookmarkStart w:id="3127" w:name="_Toc38443267"/>
            <w:bookmarkStart w:id="3128" w:name="_Toc38443598"/>
            <w:bookmarkStart w:id="3129" w:name="_Toc38443928"/>
            <w:bookmarkStart w:id="3130" w:name="_Toc38438396"/>
            <w:bookmarkStart w:id="3131" w:name="_Toc38438733"/>
            <w:bookmarkStart w:id="3132" w:name="_Toc38439070"/>
            <w:bookmarkStart w:id="3133" w:name="_Toc38439407"/>
            <w:bookmarkStart w:id="3134" w:name="_Toc38439744"/>
            <w:bookmarkStart w:id="3135" w:name="_Toc38440081"/>
            <w:bookmarkStart w:id="3136" w:name="_Toc38440418"/>
            <w:bookmarkStart w:id="3137" w:name="_Toc38440950"/>
            <w:bookmarkStart w:id="3138" w:name="_Toc38441282"/>
            <w:bookmarkStart w:id="3139" w:name="_Toc38441614"/>
            <w:bookmarkStart w:id="3140" w:name="_Toc38441942"/>
            <w:bookmarkStart w:id="3141" w:name="_Toc38442274"/>
            <w:bookmarkStart w:id="3142" w:name="_Toc38442606"/>
            <w:bookmarkStart w:id="3143" w:name="_Toc38442937"/>
            <w:bookmarkStart w:id="3144" w:name="_Toc38443268"/>
            <w:bookmarkStart w:id="3145" w:name="_Toc38443599"/>
            <w:bookmarkStart w:id="3146" w:name="_Toc38443929"/>
            <w:bookmarkStart w:id="3147" w:name="_Toc38438397"/>
            <w:bookmarkStart w:id="3148" w:name="_Toc38438734"/>
            <w:bookmarkStart w:id="3149" w:name="_Toc38439071"/>
            <w:bookmarkStart w:id="3150" w:name="_Toc38439408"/>
            <w:bookmarkStart w:id="3151" w:name="_Toc38439745"/>
            <w:bookmarkStart w:id="3152" w:name="_Toc38440082"/>
            <w:bookmarkStart w:id="3153" w:name="_Toc38440419"/>
            <w:bookmarkStart w:id="3154" w:name="_Toc38440951"/>
            <w:bookmarkStart w:id="3155" w:name="_Toc38441283"/>
            <w:bookmarkStart w:id="3156" w:name="_Toc38441615"/>
            <w:bookmarkStart w:id="3157" w:name="_Toc38441943"/>
            <w:bookmarkStart w:id="3158" w:name="_Toc38442275"/>
            <w:bookmarkStart w:id="3159" w:name="_Toc38442607"/>
            <w:bookmarkStart w:id="3160" w:name="_Toc38442938"/>
            <w:bookmarkStart w:id="3161" w:name="_Toc38443269"/>
            <w:bookmarkStart w:id="3162" w:name="_Toc38443600"/>
            <w:bookmarkStart w:id="3163" w:name="_Toc38443930"/>
            <w:bookmarkStart w:id="3164" w:name="_Toc38438398"/>
            <w:bookmarkStart w:id="3165" w:name="_Toc38438735"/>
            <w:bookmarkStart w:id="3166" w:name="_Toc38439072"/>
            <w:bookmarkStart w:id="3167" w:name="_Toc38439409"/>
            <w:bookmarkStart w:id="3168" w:name="_Toc38439746"/>
            <w:bookmarkStart w:id="3169" w:name="_Toc38440083"/>
            <w:bookmarkStart w:id="3170" w:name="_Toc38440420"/>
            <w:bookmarkStart w:id="3171" w:name="_Toc38440952"/>
            <w:bookmarkStart w:id="3172" w:name="_Toc38441284"/>
            <w:bookmarkStart w:id="3173" w:name="_Toc38441616"/>
            <w:bookmarkStart w:id="3174" w:name="_Toc38441944"/>
            <w:bookmarkStart w:id="3175" w:name="_Toc38442276"/>
            <w:bookmarkStart w:id="3176" w:name="_Toc38442608"/>
            <w:bookmarkStart w:id="3177" w:name="_Toc38442939"/>
            <w:bookmarkStart w:id="3178" w:name="_Toc38443270"/>
            <w:bookmarkStart w:id="3179" w:name="_Toc38443601"/>
            <w:bookmarkStart w:id="3180" w:name="_Toc38443931"/>
            <w:bookmarkStart w:id="3181" w:name="_Toc38438400"/>
            <w:bookmarkStart w:id="3182" w:name="_Toc38438737"/>
            <w:bookmarkStart w:id="3183" w:name="_Toc38439074"/>
            <w:bookmarkStart w:id="3184" w:name="_Toc38439411"/>
            <w:bookmarkStart w:id="3185" w:name="_Toc38439748"/>
            <w:bookmarkStart w:id="3186" w:name="_Toc38440085"/>
            <w:bookmarkStart w:id="3187" w:name="_Toc38440422"/>
            <w:bookmarkStart w:id="3188" w:name="_Toc38440954"/>
            <w:bookmarkStart w:id="3189" w:name="_Toc38441286"/>
            <w:bookmarkStart w:id="3190" w:name="_Toc38441618"/>
            <w:bookmarkStart w:id="3191" w:name="_Toc38441946"/>
            <w:bookmarkStart w:id="3192" w:name="_Toc38442278"/>
            <w:bookmarkStart w:id="3193" w:name="_Toc38442610"/>
            <w:bookmarkStart w:id="3194" w:name="_Toc38442941"/>
            <w:bookmarkStart w:id="3195" w:name="_Toc38443272"/>
            <w:bookmarkStart w:id="3196" w:name="_Toc38443603"/>
            <w:bookmarkStart w:id="3197" w:name="_Toc38443933"/>
            <w:bookmarkStart w:id="3198" w:name="_Toc38438401"/>
            <w:bookmarkStart w:id="3199" w:name="_Toc38438738"/>
            <w:bookmarkStart w:id="3200" w:name="_Toc38439075"/>
            <w:bookmarkStart w:id="3201" w:name="_Toc38439412"/>
            <w:bookmarkStart w:id="3202" w:name="_Toc38439749"/>
            <w:bookmarkStart w:id="3203" w:name="_Toc38440086"/>
            <w:bookmarkStart w:id="3204" w:name="_Toc38440423"/>
            <w:bookmarkStart w:id="3205" w:name="_Toc38440955"/>
            <w:bookmarkStart w:id="3206" w:name="_Toc38441287"/>
            <w:bookmarkStart w:id="3207" w:name="_Toc38441619"/>
            <w:bookmarkStart w:id="3208" w:name="_Toc38441947"/>
            <w:bookmarkStart w:id="3209" w:name="_Toc38442279"/>
            <w:bookmarkStart w:id="3210" w:name="_Toc38442611"/>
            <w:bookmarkStart w:id="3211" w:name="_Toc38442942"/>
            <w:bookmarkStart w:id="3212" w:name="_Toc38443273"/>
            <w:bookmarkStart w:id="3213" w:name="_Toc38443604"/>
            <w:bookmarkStart w:id="3214" w:name="_Toc38443934"/>
            <w:bookmarkStart w:id="3215" w:name="_Toc38438402"/>
            <w:bookmarkStart w:id="3216" w:name="_Toc38438739"/>
            <w:bookmarkStart w:id="3217" w:name="_Toc38439076"/>
            <w:bookmarkStart w:id="3218" w:name="_Toc38439413"/>
            <w:bookmarkStart w:id="3219" w:name="_Toc38439750"/>
            <w:bookmarkStart w:id="3220" w:name="_Toc38440087"/>
            <w:bookmarkStart w:id="3221" w:name="_Toc38440424"/>
            <w:bookmarkStart w:id="3222" w:name="_Toc38440956"/>
            <w:bookmarkStart w:id="3223" w:name="_Toc38441288"/>
            <w:bookmarkStart w:id="3224" w:name="_Toc38441620"/>
            <w:bookmarkStart w:id="3225" w:name="_Toc38441948"/>
            <w:bookmarkStart w:id="3226" w:name="_Toc38442280"/>
            <w:bookmarkStart w:id="3227" w:name="_Toc38442612"/>
            <w:bookmarkStart w:id="3228" w:name="_Toc38442943"/>
            <w:bookmarkStart w:id="3229" w:name="_Toc38443274"/>
            <w:bookmarkStart w:id="3230" w:name="_Toc38443605"/>
            <w:bookmarkStart w:id="3231" w:name="_Toc38443935"/>
            <w:bookmarkStart w:id="3232" w:name="_Toc38438404"/>
            <w:bookmarkStart w:id="3233" w:name="_Toc38438741"/>
            <w:bookmarkStart w:id="3234" w:name="_Toc38439078"/>
            <w:bookmarkStart w:id="3235" w:name="_Toc38439415"/>
            <w:bookmarkStart w:id="3236" w:name="_Toc38439752"/>
            <w:bookmarkStart w:id="3237" w:name="_Toc38440089"/>
            <w:bookmarkStart w:id="3238" w:name="_Toc38440426"/>
            <w:bookmarkStart w:id="3239" w:name="_Toc38440958"/>
            <w:bookmarkStart w:id="3240" w:name="_Toc38441290"/>
            <w:bookmarkStart w:id="3241" w:name="_Toc38441622"/>
            <w:bookmarkStart w:id="3242" w:name="_Toc38441950"/>
            <w:bookmarkStart w:id="3243" w:name="_Toc38442282"/>
            <w:bookmarkStart w:id="3244" w:name="_Toc38442614"/>
            <w:bookmarkStart w:id="3245" w:name="_Toc38442945"/>
            <w:bookmarkStart w:id="3246" w:name="_Toc38443276"/>
            <w:bookmarkStart w:id="3247" w:name="_Toc38443607"/>
            <w:bookmarkStart w:id="3248" w:name="_Toc38443937"/>
            <w:bookmarkStart w:id="3249" w:name="_Toc38438405"/>
            <w:bookmarkStart w:id="3250" w:name="_Toc38438742"/>
            <w:bookmarkStart w:id="3251" w:name="_Toc38439079"/>
            <w:bookmarkStart w:id="3252" w:name="_Toc38439416"/>
            <w:bookmarkStart w:id="3253" w:name="_Toc38439753"/>
            <w:bookmarkStart w:id="3254" w:name="_Toc38440090"/>
            <w:bookmarkStart w:id="3255" w:name="_Toc38440427"/>
            <w:bookmarkStart w:id="3256" w:name="_Toc38440959"/>
            <w:bookmarkStart w:id="3257" w:name="_Toc38441291"/>
            <w:bookmarkStart w:id="3258" w:name="_Toc38441623"/>
            <w:bookmarkStart w:id="3259" w:name="_Toc38441951"/>
            <w:bookmarkStart w:id="3260" w:name="_Toc38442283"/>
            <w:bookmarkStart w:id="3261" w:name="_Toc38442615"/>
            <w:bookmarkStart w:id="3262" w:name="_Toc38442946"/>
            <w:bookmarkStart w:id="3263" w:name="_Toc38443277"/>
            <w:bookmarkStart w:id="3264" w:name="_Toc38443608"/>
            <w:bookmarkStart w:id="3265" w:name="_Toc38443938"/>
            <w:bookmarkStart w:id="3266" w:name="_Toc38438406"/>
            <w:bookmarkStart w:id="3267" w:name="_Toc38438743"/>
            <w:bookmarkStart w:id="3268" w:name="_Toc38439080"/>
            <w:bookmarkStart w:id="3269" w:name="_Toc38439417"/>
            <w:bookmarkStart w:id="3270" w:name="_Toc38439754"/>
            <w:bookmarkStart w:id="3271" w:name="_Toc38440091"/>
            <w:bookmarkStart w:id="3272" w:name="_Toc38440428"/>
            <w:bookmarkStart w:id="3273" w:name="_Toc38440960"/>
            <w:bookmarkStart w:id="3274" w:name="_Toc38441292"/>
            <w:bookmarkStart w:id="3275" w:name="_Toc38441624"/>
            <w:bookmarkStart w:id="3276" w:name="_Toc38441952"/>
            <w:bookmarkStart w:id="3277" w:name="_Toc38442284"/>
            <w:bookmarkStart w:id="3278" w:name="_Toc38442616"/>
            <w:bookmarkStart w:id="3279" w:name="_Toc38442947"/>
            <w:bookmarkStart w:id="3280" w:name="_Toc38443278"/>
            <w:bookmarkStart w:id="3281" w:name="_Toc38443609"/>
            <w:bookmarkStart w:id="3282" w:name="_Toc38443939"/>
            <w:bookmarkStart w:id="3283" w:name="_Toc38438407"/>
            <w:bookmarkStart w:id="3284" w:name="_Toc38438744"/>
            <w:bookmarkStart w:id="3285" w:name="_Toc38439081"/>
            <w:bookmarkStart w:id="3286" w:name="_Toc38439418"/>
            <w:bookmarkStart w:id="3287" w:name="_Toc38439755"/>
            <w:bookmarkStart w:id="3288" w:name="_Toc38440092"/>
            <w:bookmarkStart w:id="3289" w:name="_Toc38440429"/>
            <w:bookmarkStart w:id="3290" w:name="_Toc38440961"/>
            <w:bookmarkStart w:id="3291" w:name="_Toc38441293"/>
            <w:bookmarkStart w:id="3292" w:name="_Toc38441625"/>
            <w:bookmarkStart w:id="3293" w:name="_Toc38441953"/>
            <w:bookmarkStart w:id="3294" w:name="_Toc38442285"/>
            <w:bookmarkStart w:id="3295" w:name="_Toc38442617"/>
            <w:bookmarkStart w:id="3296" w:name="_Toc38442948"/>
            <w:bookmarkStart w:id="3297" w:name="_Toc38443279"/>
            <w:bookmarkStart w:id="3298" w:name="_Toc38443610"/>
            <w:bookmarkStart w:id="3299" w:name="_Toc38443940"/>
            <w:bookmarkStart w:id="3300" w:name="_Toc38438408"/>
            <w:bookmarkStart w:id="3301" w:name="_Toc38438745"/>
            <w:bookmarkStart w:id="3302" w:name="_Toc38439082"/>
            <w:bookmarkStart w:id="3303" w:name="_Toc38439419"/>
            <w:bookmarkStart w:id="3304" w:name="_Toc38439756"/>
            <w:bookmarkStart w:id="3305" w:name="_Toc38440093"/>
            <w:bookmarkStart w:id="3306" w:name="_Toc38440430"/>
            <w:bookmarkStart w:id="3307" w:name="_Toc38440962"/>
            <w:bookmarkStart w:id="3308" w:name="_Toc38441294"/>
            <w:bookmarkStart w:id="3309" w:name="_Toc38441626"/>
            <w:bookmarkStart w:id="3310" w:name="_Toc38441954"/>
            <w:bookmarkStart w:id="3311" w:name="_Toc38442286"/>
            <w:bookmarkStart w:id="3312" w:name="_Toc38442618"/>
            <w:bookmarkStart w:id="3313" w:name="_Toc38442949"/>
            <w:bookmarkStart w:id="3314" w:name="_Toc38443280"/>
            <w:bookmarkStart w:id="3315" w:name="_Toc38443611"/>
            <w:bookmarkStart w:id="3316" w:name="_Toc38443941"/>
            <w:bookmarkStart w:id="3317" w:name="_Toc38438409"/>
            <w:bookmarkStart w:id="3318" w:name="_Toc38438746"/>
            <w:bookmarkStart w:id="3319" w:name="_Toc38439083"/>
            <w:bookmarkStart w:id="3320" w:name="_Toc38439420"/>
            <w:bookmarkStart w:id="3321" w:name="_Toc38439757"/>
            <w:bookmarkStart w:id="3322" w:name="_Toc38440094"/>
            <w:bookmarkStart w:id="3323" w:name="_Toc38440431"/>
            <w:bookmarkStart w:id="3324" w:name="_Toc38440963"/>
            <w:bookmarkStart w:id="3325" w:name="_Toc38441295"/>
            <w:bookmarkStart w:id="3326" w:name="_Toc38441627"/>
            <w:bookmarkStart w:id="3327" w:name="_Toc38441955"/>
            <w:bookmarkStart w:id="3328" w:name="_Toc38442287"/>
            <w:bookmarkStart w:id="3329" w:name="_Toc38442619"/>
            <w:bookmarkStart w:id="3330" w:name="_Toc38442950"/>
            <w:bookmarkStart w:id="3331" w:name="_Toc38443281"/>
            <w:bookmarkStart w:id="3332" w:name="_Toc38443612"/>
            <w:bookmarkStart w:id="3333" w:name="_Toc38443942"/>
            <w:bookmarkStart w:id="3334" w:name="_Toc38438410"/>
            <w:bookmarkStart w:id="3335" w:name="_Toc38438747"/>
            <w:bookmarkStart w:id="3336" w:name="_Toc38439084"/>
            <w:bookmarkStart w:id="3337" w:name="_Toc38439421"/>
            <w:bookmarkStart w:id="3338" w:name="_Toc38439758"/>
            <w:bookmarkStart w:id="3339" w:name="_Toc38440095"/>
            <w:bookmarkStart w:id="3340" w:name="_Toc38440432"/>
            <w:bookmarkStart w:id="3341" w:name="_Toc38440964"/>
            <w:bookmarkStart w:id="3342" w:name="_Toc38441296"/>
            <w:bookmarkStart w:id="3343" w:name="_Toc38441628"/>
            <w:bookmarkStart w:id="3344" w:name="_Toc38441956"/>
            <w:bookmarkStart w:id="3345" w:name="_Toc38442288"/>
            <w:bookmarkStart w:id="3346" w:name="_Toc38442620"/>
            <w:bookmarkStart w:id="3347" w:name="_Toc38442951"/>
            <w:bookmarkStart w:id="3348" w:name="_Toc38443282"/>
            <w:bookmarkStart w:id="3349" w:name="_Toc38443613"/>
            <w:bookmarkStart w:id="3350" w:name="_Toc38443943"/>
            <w:bookmarkStart w:id="3351" w:name="_Toc38438411"/>
            <w:bookmarkStart w:id="3352" w:name="_Toc38438748"/>
            <w:bookmarkStart w:id="3353" w:name="_Toc38439085"/>
            <w:bookmarkStart w:id="3354" w:name="_Toc38439422"/>
            <w:bookmarkStart w:id="3355" w:name="_Toc38439759"/>
            <w:bookmarkStart w:id="3356" w:name="_Toc38440096"/>
            <w:bookmarkStart w:id="3357" w:name="_Toc38440433"/>
            <w:bookmarkStart w:id="3358" w:name="_Toc38440965"/>
            <w:bookmarkStart w:id="3359" w:name="_Toc38441297"/>
            <w:bookmarkStart w:id="3360" w:name="_Toc38441629"/>
            <w:bookmarkStart w:id="3361" w:name="_Toc38441957"/>
            <w:bookmarkStart w:id="3362" w:name="_Toc38442289"/>
            <w:bookmarkStart w:id="3363" w:name="_Toc38442621"/>
            <w:bookmarkStart w:id="3364" w:name="_Toc38442952"/>
            <w:bookmarkStart w:id="3365" w:name="_Toc38443283"/>
            <w:bookmarkStart w:id="3366" w:name="_Toc38443614"/>
            <w:bookmarkStart w:id="3367" w:name="_Toc38443944"/>
            <w:bookmarkStart w:id="3368" w:name="_Toc38438412"/>
            <w:bookmarkStart w:id="3369" w:name="_Toc38438749"/>
            <w:bookmarkStart w:id="3370" w:name="_Toc38439086"/>
            <w:bookmarkStart w:id="3371" w:name="_Toc38439423"/>
            <w:bookmarkStart w:id="3372" w:name="_Toc38439760"/>
            <w:bookmarkStart w:id="3373" w:name="_Toc38440097"/>
            <w:bookmarkStart w:id="3374" w:name="_Toc38440434"/>
            <w:bookmarkStart w:id="3375" w:name="_Toc38440966"/>
            <w:bookmarkStart w:id="3376" w:name="_Toc38441298"/>
            <w:bookmarkStart w:id="3377" w:name="_Toc38441630"/>
            <w:bookmarkStart w:id="3378" w:name="_Toc38441958"/>
            <w:bookmarkStart w:id="3379" w:name="_Toc38442290"/>
            <w:bookmarkStart w:id="3380" w:name="_Toc38442622"/>
            <w:bookmarkStart w:id="3381" w:name="_Toc38442953"/>
            <w:bookmarkStart w:id="3382" w:name="_Toc38443284"/>
            <w:bookmarkStart w:id="3383" w:name="_Toc38443615"/>
            <w:bookmarkStart w:id="3384" w:name="_Toc38443945"/>
            <w:bookmarkStart w:id="3385" w:name="_Toc38438413"/>
            <w:bookmarkStart w:id="3386" w:name="_Toc38438750"/>
            <w:bookmarkStart w:id="3387" w:name="_Toc38439087"/>
            <w:bookmarkStart w:id="3388" w:name="_Toc38439424"/>
            <w:bookmarkStart w:id="3389" w:name="_Toc38439761"/>
            <w:bookmarkStart w:id="3390" w:name="_Toc38440098"/>
            <w:bookmarkStart w:id="3391" w:name="_Toc38440435"/>
            <w:bookmarkStart w:id="3392" w:name="_Toc38440967"/>
            <w:bookmarkStart w:id="3393" w:name="_Toc38441299"/>
            <w:bookmarkStart w:id="3394" w:name="_Toc38441631"/>
            <w:bookmarkStart w:id="3395" w:name="_Toc38441959"/>
            <w:bookmarkStart w:id="3396" w:name="_Toc38442291"/>
            <w:bookmarkStart w:id="3397" w:name="_Toc38442623"/>
            <w:bookmarkStart w:id="3398" w:name="_Toc38442954"/>
            <w:bookmarkStart w:id="3399" w:name="_Toc38443285"/>
            <w:bookmarkStart w:id="3400" w:name="_Toc38443616"/>
            <w:bookmarkStart w:id="3401" w:name="_Toc38443946"/>
            <w:bookmarkStart w:id="3402" w:name="_Toc38438414"/>
            <w:bookmarkStart w:id="3403" w:name="_Toc38438751"/>
            <w:bookmarkStart w:id="3404" w:name="_Toc38439088"/>
            <w:bookmarkStart w:id="3405" w:name="_Toc38439425"/>
            <w:bookmarkStart w:id="3406" w:name="_Toc38439762"/>
            <w:bookmarkStart w:id="3407" w:name="_Toc38440099"/>
            <w:bookmarkStart w:id="3408" w:name="_Toc38440436"/>
            <w:bookmarkStart w:id="3409" w:name="_Toc38440968"/>
            <w:bookmarkStart w:id="3410" w:name="_Toc38441300"/>
            <w:bookmarkStart w:id="3411" w:name="_Toc38441632"/>
            <w:bookmarkStart w:id="3412" w:name="_Toc38441960"/>
            <w:bookmarkStart w:id="3413" w:name="_Toc38442292"/>
            <w:bookmarkStart w:id="3414" w:name="_Toc38442624"/>
            <w:bookmarkStart w:id="3415" w:name="_Toc38442955"/>
            <w:bookmarkStart w:id="3416" w:name="_Toc38443286"/>
            <w:bookmarkStart w:id="3417" w:name="_Toc38443617"/>
            <w:bookmarkStart w:id="3418" w:name="_Toc38443947"/>
            <w:bookmarkStart w:id="3419" w:name="_Toc38438415"/>
            <w:bookmarkStart w:id="3420" w:name="_Toc38438752"/>
            <w:bookmarkStart w:id="3421" w:name="_Toc38439089"/>
            <w:bookmarkStart w:id="3422" w:name="_Toc38439426"/>
            <w:bookmarkStart w:id="3423" w:name="_Toc38439763"/>
            <w:bookmarkStart w:id="3424" w:name="_Toc38440100"/>
            <w:bookmarkStart w:id="3425" w:name="_Toc38440437"/>
            <w:bookmarkStart w:id="3426" w:name="_Toc38440969"/>
            <w:bookmarkStart w:id="3427" w:name="_Toc38441301"/>
            <w:bookmarkStart w:id="3428" w:name="_Toc38441633"/>
            <w:bookmarkStart w:id="3429" w:name="_Toc38441961"/>
            <w:bookmarkStart w:id="3430" w:name="_Toc38442293"/>
            <w:bookmarkStart w:id="3431" w:name="_Toc38442625"/>
            <w:bookmarkStart w:id="3432" w:name="_Toc38442956"/>
            <w:bookmarkStart w:id="3433" w:name="_Toc38443287"/>
            <w:bookmarkStart w:id="3434" w:name="_Toc38443618"/>
            <w:bookmarkStart w:id="3435" w:name="_Toc38443948"/>
            <w:bookmarkStart w:id="3436" w:name="_Toc38438416"/>
            <w:bookmarkStart w:id="3437" w:name="_Toc38438753"/>
            <w:bookmarkStart w:id="3438" w:name="_Toc38439090"/>
            <w:bookmarkStart w:id="3439" w:name="_Toc38439427"/>
            <w:bookmarkStart w:id="3440" w:name="_Toc38439764"/>
            <w:bookmarkStart w:id="3441" w:name="_Toc38440101"/>
            <w:bookmarkStart w:id="3442" w:name="_Toc38440438"/>
            <w:bookmarkStart w:id="3443" w:name="_Toc38440970"/>
            <w:bookmarkStart w:id="3444" w:name="_Toc38441302"/>
            <w:bookmarkStart w:id="3445" w:name="_Toc38441634"/>
            <w:bookmarkStart w:id="3446" w:name="_Toc38441962"/>
            <w:bookmarkStart w:id="3447" w:name="_Toc38442294"/>
            <w:bookmarkStart w:id="3448" w:name="_Toc38442626"/>
            <w:bookmarkStart w:id="3449" w:name="_Toc38442957"/>
            <w:bookmarkStart w:id="3450" w:name="_Toc38443288"/>
            <w:bookmarkStart w:id="3451" w:name="_Toc38443619"/>
            <w:bookmarkStart w:id="3452" w:name="_Toc38443949"/>
            <w:bookmarkStart w:id="3453" w:name="_Toc38438417"/>
            <w:bookmarkStart w:id="3454" w:name="_Toc38438754"/>
            <w:bookmarkStart w:id="3455" w:name="_Toc38439091"/>
            <w:bookmarkStart w:id="3456" w:name="_Toc38439428"/>
            <w:bookmarkStart w:id="3457" w:name="_Toc38439765"/>
            <w:bookmarkStart w:id="3458" w:name="_Toc38440102"/>
            <w:bookmarkStart w:id="3459" w:name="_Toc38440439"/>
            <w:bookmarkStart w:id="3460" w:name="_Toc38440971"/>
            <w:bookmarkStart w:id="3461" w:name="_Toc38441303"/>
            <w:bookmarkStart w:id="3462" w:name="_Toc38441635"/>
            <w:bookmarkStart w:id="3463" w:name="_Toc38441963"/>
            <w:bookmarkStart w:id="3464" w:name="_Toc38442295"/>
            <w:bookmarkStart w:id="3465" w:name="_Toc38442627"/>
            <w:bookmarkStart w:id="3466" w:name="_Toc38442958"/>
            <w:bookmarkStart w:id="3467" w:name="_Toc38443289"/>
            <w:bookmarkStart w:id="3468" w:name="_Toc38443620"/>
            <w:bookmarkStart w:id="3469" w:name="_Toc38443950"/>
            <w:bookmarkStart w:id="3470" w:name="_Toc38438418"/>
            <w:bookmarkStart w:id="3471" w:name="_Toc38438755"/>
            <w:bookmarkStart w:id="3472" w:name="_Toc38439092"/>
            <w:bookmarkStart w:id="3473" w:name="_Toc38439429"/>
            <w:bookmarkStart w:id="3474" w:name="_Toc38439766"/>
            <w:bookmarkStart w:id="3475" w:name="_Toc38440103"/>
            <w:bookmarkStart w:id="3476" w:name="_Toc38440440"/>
            <w:bookmarkStart w:id="3477" w:name="_Toc38440972"/>
            <w:bookmarkStart w:id="3478" w:name="_Toc38441304"/>
            <w:bookmarkStart w:id="3479" w:name="_Toc38441636"/>
            <w:bookmarkStart w:id="3480" w:name="_Toc38441964"/>
            <w:bookmarkStart w:id="3481" w:name="_Toc38442296"/>
            <w:bookmarkStart w:id="3482" w:name="_Toc38442628"/>
            <w:bookmarkStart w:id="3483" w:name="_Toc38442959"/>
            <w:bookmarkStart w:id="3484" w:name="_Toc38443290"/>
            <w:bookmarkStart w:id="3485" w:name="_Toc38443621"/>
            <w:bookmarkStart w:id="3486" w:name="_Toc38443951"/>
            <w:bookmarkStart w:id="3487" w:name="_Toc38438419"/>
            <w:bookmarkStart w:id="3488" w:name="_Toc38438756"/>
            <w:bookmarkStart w:id="3489" w:name="_Toc38439093"/>
            <w:bookmarkStart w:id="3490" w:name="_Toc38439430"/>
            <w:bookmarkStart w:id="3491" w:name="_Toc38439767"/>
            <w:bookmarkStart w:id="3492" w:name="_Toc38440104"/>
            <w:bookmarkStart w:id="3493" w:name="_Toc38440441"/>
            <w:bookmarkStart w:id="3494" w:name="_Toc38440973"/>
            <w:bookmarkStart w:id="3495" w:name="_Toc38441305"/>
            <w:bookmarkStart w:id="3496" w:name="_Toc38441637"/>
            <w:bookmarkStart w:id="3497" w:name="_Toc38441965"/>
            <w:bookmarkStart w:id="3498" w:name="_Toc38442297"/>
            <w:bookmarkStart w:id="3499" w:name="_Toc38442629"/>
            <w:bookmarkStart w:id="3500" w:name="_Toc38442960"/>
            <w:bookmarkStart w:id="3501" w:name="_Toc38443291"/>
            <w:bookmarkStart w:id="3502" w:name="_Toc38443622"/>
            <w:bookmarkStart w:id="3503" w:name="_Toc38443952"/>
            <w:bookmarkStart w:id="3504" w:name="_Toc38438420"/>
            <w:bookmarkStart w:id="3505" w:name="_Toc38438757"/>
            <w:bookmarkStart w:id="3506" w:name="_Toc38439094"/>
            <w:bookmarkStart w:id="3507" w:name="_Toc38439431"/>
            <w:bookmarkStart w:id="3508" w:name="_Toc38439768"/>
            <w:bookmarkStart w:id="3509" w:name="_Toc38440105"/>
            <w:bookmarkStart w:id="3510" w:name="_Toc38440442"/>
            <w:bookmarkStart w:id="3511" w:name="_Toc38440974"/>
            <w:bookmarkStart w:id="3512" w:name="_Toc38441306"/>
            <w:bookmarkStart w:id="3513" w:name="_Toc38441638"/>
            <w:bookmarkStart w:id="3514" w:name="_Toc38441966"/>
            <w:bookmarkStart w:id="3515" w:name="_Toc38442298"/>
            <w:bookmarkStart w:id="3516" w:name="_Toc38442630"/>
            <w:bookmarkStart w:id="3517" w:name="_Toc38442961"/>
            <w:bookmarkStart w:id="3518" w:name="_Toc38443292"/>
            <w:bookmarkStart w:id="3519" w:name="_Toc38443623"/>
            <w:bookmarkStart w:id="3520" w:name="_Toc38443953"/>
            <w:bookmarkStart w:id="3521" w:name="_Toc38438421"/>
            <w:bookmarkStart w:id="3522" w:name="_Toc38438758"/>
            <w:bookmarkStart w:id="3523" w:name="_Toc38439095"/>
            <w:bookmarkStart w:id="3524" w:name="_Toc38439432"/>
            <w:bookmarkStart w:id="3525" w:name="_Toc38439769"/>
            <w:bookmarkStart w:id="3526" w:name="_Toc38440106"/>
            <w:bookmarkStart w:id="3527" w:name="_Toc38440443"/>
            <w:bookmarkStart w:id="3528" w:name="_Toc38440975"/>
            <w:bookmarkStart w:id="3529" w:name="_Toc38441307"/>
            <w:bookmarkStart w:id="3530" w:name="_Toc38441639"/>
            <w:bookmarkStart w:id="3531" w:name="_Toc38441967"/>
            <w:bookmarkStart w:id="3532" w:name="_Toc38442299"/>
            <w:bookmarkStart w:id="3533" w:name="_Toc38442631"/>
            <w:bookmarkStart w:id="3534" w:name="_Toc38442962"/>
            <w:bookmarkStart w:id="3535" w:name="_Toc38443293"/>
            <w:bookmarkStart w:id="3536" w:name="_Toc38443624"/>
            <w:bookmarkStart w:id="3537" w:name="_Toc38443954"/>
            <w:bookmarkStart w:id="3538" w:name="_Toc38438422"/>
            <w:bookmarkStart w:id="3539" w:name="_Toc38438759"/>
            <w:bookmarkStart w:id="3540" w:name="_Toc38439096"/>
            <w:bookmarkStart w:id="3541" w:name="_Toc38439433"/>
            <w:bookmarkStart w:id="3542" w:name="_Toc38439770"/>
            <w:bookmarkStart w:id="3543" w:name="_Toc38440107"/>
            <w:bookmarkStart w:id="3544" w:name="_Toc38440444"/>
            <w:bookmarkStart w:id="3545" w:name="_Toc38440976"/>
            <w:bookmarkStart w:id="3546" w:name="_Toc38441308"/>
            <w:bookmarkStart w:id="3547" w:name="_Toc38441640"/>
            <w:bookmarkStart w:id="3548" w:name="_Toc38441968"/>
            <w:bookmarkStart w:id="3549" w:name="_Toc38442300"/>
            <w:bookmarkStart w:id="3550" w:name="_Toc38442632"/>
            <w:bookmarkStart w:id="3551" w:name="_Toc38442963"/>
            <w:bookmarkStart w:id="3552" w:name="_Toc38443294"/>
            <w:bookmarkStart w:id="3553" w:name="_Toc38443625"/>
            <w:bookmarkStart w:id="3554" w:name="_Toc38443955"/>
            <w:bookmarkStart w:id="3555" w:name="_Toc38438423"/>
            <w:bookmarkStart w:id="3556" w:name="_Toc38438760"/>
            <w:bookmarkStart w:id="3557" w:name="_Toc38439097"/>
            <w:bookmarkStart w:id="3558" w:name="_Toc38439434"/>
            <w:bookmarkStart w:id="3559" w:name="_Toc38439771"/>
            <w:bookmarkStart w:id="3560" w:name="_Toc38440108"/>
            <w:bookmarkStart w:id="3561" w:name="_Toc38440445"/>
            <w:bookmarkStart w:id="3562" w:name="_Toc38440977"/>
            <w:bookmarkStart w:id="3563" w:name="_Toc38441309"/>
            <w:bookmarkStart w:id="3564" w:name="_Toc38441641"/>
            <w:bookmarkStart w:id="3565" w:name="_Toc38441969"/>
            <w:bookmarkStart w:id="3566" w:name="_Toc38442301"/>
            <w:bookmarkStart w:id="3567" w:name="_Toc38442633"/>
            <w:bookmarkStart w:id="3568" w:name="_Toc38442964"/>
            <w:bookmarkStart w:id="3569" w:name="_Toc38443295"/>
            <w:bookmarkStart w:id="3570" w:name="_Toc38443626"/>
            <w:bookmarkStart w:id="3571" w:name="_Toc38443956"/>
            <w:bookmarkStart w:id="3572" w:name="_Toc38438424"/>
            <w:bookmarkStart w:id="3573" w:name="_Toc38438761"/>
            <w:bookmarkStart w:id="3574" w:name="_Toc38439098"/>
            <w:bookmarkStart w:id="3575" w:name="_Toc38439435"/>
            <w:bookmarkStart w:id="3576" w:name="_Toc38439772"/>
            <w:bookmarkStart w:id="3577" w:name="_Toc38440109"/>
            <w:bookmarkStart w:id="3578" w:name="_Toc38440446"/>
            <w:bookmarkStart w:id="3579" w:name="_Toc38440978"/>
            <w:bookmarkStart w:id="3580" w:name="_Toc38441310"/>
            <w:bookmarkStart w:id="3581" w:name="_Toc38441642"/>
            <w:bookmarkStart w:id="3582" w:name="_Toc38441970"/>
            <w:bookmarkStart w:id="3583" w:name="_Toc38442302"/>
            <w:bookmarkStart w:id="3584" w:name="_Toc38442634"/>
            <w:bookmarkStart w:id="3585" w:name="_Toc38442965"/>
            <w:bookmarkStart w:id="3586" w:name="_Toc38443296"/>
            <w:bookmarkStart w:id="3587" w:name="_Toc38443627"/>
            <w:bookmarkStart w:id="3588" w:name="_Toc38443957"/>
            <w:bookmarkStart w:id="3589" w:name="_Toc38438425"/>
            <w:bookmarkStart w:id="3590" w:name="_Toc38438762"/>
            <w:bookmarkStart w:id="3591" w:name="_Toc38439099"/>
            <w:bookmarkStart w:id="3592" w:name="_Toc38439436"/>
            <w:bookmarkStart w:id="3593" w:name="_Toc38439773"/>
            <w:bookmarkStart w:id="3594" w:name="_Toc38440110"/>
            <w:bookmarkStart w:id="3595" w:name="_Toc38440447"/>
            <w:bookmarkStart w:id="3596" w:name="_Toc38440979"/>
            <w:bookmarkStart w:id="3597" w:name="_Toc38441311"/>
            <w:bookmarkStart w:id="3598" w:name="_Toc38441643"/>
            <w:bookmarkStart w:id="3599" w:name="_Toc38441971"/>
            <w:bookmarkStart w:id="3600" w:name="_Toc38442303"/>
            <w:bookmarkStart w:id="3601" w:name="_Toc38442635"/>
            <w:bookmarkStart w:id="3602" w:name="_Toc38442966"/>
            <w:bookmarkStart w:id="3603" w:name="_Toc38443297"/>
            <w:bookmarkStart w:id="3604" w:name="_Toc38443628"/>
            <w:bookmarkStart w:id="3605" w:name="_Toc38443958"/>
            <w:bookmarkStart w:id="3606" w:name="_Toc38438426"/>
            <w:bookmarkStart w:id="3607" w:name="_Toc38438763"/>
            <w:bookmarkStart w:id="3608" w:name="_Toc38439100"/>
            <w:bookmarkStart w:id="3609" w:name="_Toc38439437"/>
            <w:bookmarkStart w:id="3610" w:name="_Toc38439774"/>
            <w:bookmarkStart w:id="3611" w:name="_Toc38440111"/>
            <w:bookmarkStart w:id="3612" w:name="_Toc38440448"/>
            <w:bookmarkStart w:id="3613" w:name="_Toc38440980"/>
            <w:bookmarkStart w:id="3614" w:name="_Toc38441312"/>
            <w:bookmarkStart w:id="3615" w:name="_Toc38441644"/>
            <w:bookmarkStart w:id="3616" w:name="_Toc38441972"/>
            <w:bookmarkStart w:id="3617" w:name="_Toc38442304"/>
            <w:bookmarkStart w:id="3618" w:name="_Toc38442636"/>
            <w:bookmarkStart w:id="3619" w:name="_Toc38442967"/>
            <w:bookmarkStart w:id="3620" w:name="_Toc38443298"/>
            <w:bookmarkStart w:id="3621" w:name="_Toc38443629"/>
            <w:bookmarkStart w:id="3622" w:name="_Toc38443959"/>
            <w:bookmarkStart w:id="3623" w:name="_Toc38438427"/>
            <w:bookmarkStart w:id="3624" w:name="_Toc38438764"/>
            <w:bookmarkStart w:id="3625" w:name="_Toc38439101"/>
            <w:bookmarkStart w:id="3626" w:name="_Toc38439438"/>
            <w:bookmarkStart w:id="3627" w:name="_Toc38439775"/>
            <w:bookmarkStart w:id="3628" w:name="_Toc38440112"/>
            <w:bookmarkStart w:id="3629" w:name="_Toc38440449"/>
            <w:bookmarkStart w:id="3630" w:name="_Toc38440981"/>
            <w:bookmarkStart w:id="3631" w:name="_Toc38441313"/>
            <w:bookmarkStart w:id="3632" w:name="_Toc38441645"/>
            <w:bookmarkStart w:id="3633" w:name="_Toc38441973"/>
            <w:bookmarkStart w:id="3634" w:name="_Toc38442305"/>
            <w:bookmarkStart w:id="3635" w:name="_Toc38442637"/>
            <w:bookmarkStart w:id="3636" w:name="_Toc38442968"/>
            <w:bookmarkStart w:id="3637" w:name="_Toc38443299"/>
            <w:bookmarkStart w:id="3638" w:name="_Toc38443630"/>
            <w:bookmarkStart w:id="3639" w:name="_Toc38443960"/>
            <w:bookmarkStart w:id="3640" w:name="_Toc38438428"/>
            <w:bookmarkStart w:id="3641" w:name="_Toc38438765"/>
            <w:bookmarkStart w:id="3642" w:name="_Toc38439102"/>
            <w:bookmarkStart w:id="3643" w:name="_Toc38439439"/>
            <w:bookmarkStart w:id="3644" w:name="_Toc38439776"/>
            <w:bookmarkStart w:id="3645" w:name="_Toc38440113"/>
            <w:bookmarkStart w:id="3646" w:name="_Toc38440450"/>
            <w:bookmarkStart w:id="3647" w:name="_Toc38440982"/>
            <w:bookmarkStart w:id="3648" w:name="_Toc38441314"/>
            <w:bookmarkStart w:id="3649" w:name="_Toc38441646"/>
            <w:bookmarkStart w:id="3650" w:name="_Toc38441974"/>
            <w:bookmarkStart w:id="3651" w:name="_Toc38442306"/>
            <w:bookmarkStart w:id="3652" w:name="_Toc38442638"/>
            <w:bookmarkStart w:id="3653" w:name="_Toc38442969"/>
            <w:bookmarkStart w:id="3654" w:name="_Toc38443300"/>
            <w:bookmarkStart w:id="3655" w:name="_Toc38443631"/>
            <w:bookmarkStart w:id="3656" w:name="_Toc38443961"/>
            <w:bookmarkStart w:id="3657" w:name="_Toc38438429"/>
            <w:bookmarkStart w:id="3658" w:name="_Toc38438766"/>
            <w:bookmarkStart w:id="3659" w:name="_Toc38439103"/>
            <w:bookmarkStart w:id="3660" w:name="_Toc38439440"/>
            <w:bookmarkStart w:id="3661" w:name="_Toc38439777"/>
            <w:bookmarkStart w:id="3662" w:name="_Toc38440114"/>
            <w:bookmarkStart w:id="3663" w:name="_Toc38440451"/>
            <w:bookmarkStart w:id="3664" w:name="_Toc38440983"/>
            <w:bookmarkStart w:id="3665" w:name="_Toc38441315"/>
            <w:bookmarkStart w:id="3666" w:name="_Toc38441647"/>
            <w:bookmarkStart w:id="3667" w:name="_Toc38441975"/>
            <w:bookmarkStart w:id="3668" w:name="_Toc38442307"/>
            <w:bookmarkStart w:id="3669" w:name="_Toc38442639"/>
            <w:bookmarkStart w:id="3670" w:name="_Toc38442970"/>
            <w:bookmarkStart w:id="3671" w:name="_Toc38443301"/>
            <w:bookmarkStart w:id="3672" w:name="_Toc38443632"/>
            <w:bookmarkStart w:id="3673" w:name="_Toc38443962"/>
            <w:bookmarkStart w:id="3674" w:name="_Toc38438430"/>
            <w:bookmarkStart w:id="3675" w:name="_Toc38438767"/>
            <w:bookmarkStart w:id="3676" w:name="_Toc38439104"/>
            <w:bookmarkStart w:id="3677" w:name="_Toc38439441"/>
            <w:bookmarkStart w:id="3678" w:name="_Toc38439778"/>
            <w:bookmarkStart w:id="3679" w:name="_Toc38440115"/>
            <w:bookmarkStart w:id="3680" w:name="_Toc38440452"/>
            <w:bookmarkStart w:id="3681" w:name="_Toc38440984"/>
            <w:bookmarkStart w:id="3682" w:name="_Toc38441316"/>
            <w:bookmarkStart w:id="3683" w:name="_Toc38441648"/>
            <w:bookmarkStart w:id="3684" w:name="_Toc38441976"/>
            <w:bookmarkStart w:id="3685" w:name="_Toc38442308"/>
            <w:bookmarkStart w:id="3686" w:name="_Toc38442640"/>
            <w:bookmarkStart w:id="3687" w:name="_Toc38442971"/>
            <w:bookmarkStart w:id="3688" w:name="_Toc38443302"/>
            <w:bookmarkStart w:id="3689" w:name="_Toc38443633"/>
            <w:bookmarkStart w:id="3690" w:name="_Toc38443963"/>
            <w:bookmarkStart w:id="3691" w:name="_Toc38438431"/>
            <w:bookmarkStart w:id="3692" w:name="_Toc38438768"/>
            <w:bookmarkStart w:id="3693" w:name="_Toc38439105"/>
            <w:bookmarkStart w:id="3694" w:name="_Toc38439442"/>
            <w:bookmarkStart w:id="3695" w:name="_Toc38439779"/>
            <w:bookmarkStart w:id="3696" w:name="_Toc38440116"/>
            <w:bookmarkStart w:id="3697" w:name="_Toc38440453"/>
            <w:bookmarkStart w:id="3698" w:name="_Toc38440985"/>
            <w:bookmarkStart w:id="3699" w:name="_Toc38441317"/>
            <w:bookmarkStart w:id="3700" w:name="_Toc38441649"/>
            <w:bookmarkStart w:id="3701" w:name="_Toc38441977"/>
            <w:bookmarkStart w:id="3702" w:name="_Toc38442309"/>
            <w:bookmarkStart w:id="3703" w:name="_Toc38442641"/>
            <w:bookmarkStart w:id="3704" w:name="_Toc38442972"/>
            <w:bookmarkStart w:id="3705" w:name="_Toc38443303"/>
            <w:bookmarkStart w:id="3706" w:name="_Toc38443634"/>
            <w:bookmarkStart w:id="3707" w:name="_Toc38443964"/>
            <w:bookmarkStart w:id="3708" w:name="_Toc38438432"/>
            <w:bookmarkStart w:id="3709" w:name="_Toc38438769"/>
            <w:bookmarkStart w:id="3710" w:name="_Toc38439106"/>
            <w:bookmarkStart w:id="3711" w:name="_Toc38439443"/>
            <w:bookmarkStart w:id="3712" w:name="_Toc38439780"/>
            <w:bookmarkStart w:id="3713" w:name="_Toc38440117"/>
            <w:bookmarkStart w:id="3714" w:name="_Toc38440454"/>
            <w:bookmarkStart w:id="3715" w:name="_Toc38440986"/>
            <w:bookmarkStart w:id="3716" w:name="_Toc38441318"/>
            <w:bookmarkStart w:id="3717" w:name="_Toc38441650"/>
            <w:bookmarkStart w:id="3718" w:name="_Toc38441978"/>
            <w:bookmarkStart w:id="3719" w:name="_Toc38442310"/>
            <w:bookmarkStart w:id="3720" w:name="_Toc38442642"/>
            <w:bookmarkStart w:id="3721" w:name="_Toc38442973"/>
            <w:bookmarkStart w:id="3722" w:name="_Toc38443304"/>
            <w:bookmarkStart w:id="3723" w:name="_Toc38443635"/>
            <w:bookmarkStart w:id="3724" w:name="_Toc38443965"/>
            <w:bookmarkStart w:id="3725" w:name="_Toc38438433"/>
            <w:bookmarkStart w:id="3726" w:name="_Toc38438770"/>
            <w:bookmarkStart w:id="3727" w:name="_Toc38439107"/>
            <w:bookmarkStart w:id="3728" w:name="_Toc38439444"/>
            <w:bookmarkStart w:id="3729" w:name="_Toc38439781"/>
            <w:bookmarkStart w:id="3730" w:name="_Toc38440118"/>
            <w:bookmarkStart w:id="3731" w:name="_Toc38440455"/>
            <w:bookmarkStart w:id="3732" w:name="_Toc38440987"/>
            <w:bookmarkStart w:id="3733" w:name="_Toc38441319"/>
            <w:bookmarkStart w:id="3734" w:name="_Toc38441651"/>
            <w:bookmarkStart w:id="3735" w:name="_Toc38441979"/>
            <w:bookmarkStart w:id="3736" w:name="_Toc38442311"/>
            <w:bookmarkStart w:id="3737" w:name="_Toc38442643"/>
            <w:bookmarkStart w:id="3738" w:name="_Toc38442974"/>
            <w:bookmarkStart w:id="3739" w:name="_Toc38443305"/>
            <w:bookmarkStart w:id="3740" w:name="_Toc38443636"/>
            <w:bookmarkStart w:id="3741" w:name="_Toc38443966"/>
            <w:bookmarkStart w:id="3742" w:name="_Toc38438434"/>
            <w:bookmarkStart w:id="3743" w:name="_Toc38438771"/>
            <w:bookmarkStart w:id="3744" w:name="_Toc38439108"/>
            <w:bookmarkStart w:id="3745" w:name="_Toc38439445"/>
            <w:bookmarkStart w:id="3746" w:name="_Toc38439782"/>
            <w:bookmarkStart w:id="3747" w:name="_Toc38440119"/>
            <w:bookmarkStart w:id="3748" w:name="_Toc38440456"/>
            <w:bookmarkStart w:id="3749" w:name="_Toc38440988"/>
            <w:bookmarkStart w:id="3750" w:name="_Toc38441320"/>
            <w:bookmarkStart w:id="3751" w:name="_Toc38441652"/>
            <w:bookmarkStart w:id="3752" w:name="_Toc38441980"/>
            <w:bookmarkStart w:id="3753" w:name="_Toc38442312"/>
            <w:bookmarkStart w:id="3754" w:name="_Toc38442644"/>
            <w:bookmarkStart w:id="3755" w:name="_Toc38442975"/>
            <w:bookmarkStart w:id="3756" w:name="_Toc38443306"/>
            <w:bookmarkStart w:id="3757" w:name="_Toc38443637"/>
            <w:bookmarkStart w:id="3758" w:name="_Toc38443967"/>
            <w:bookmarkStart w:id="3759" w:name="_Toc38438435"/>
            <w:bookmarkStart w:id="3760" w:name="_Toc38438772"/>
            <w:bookmarkStart w:id="3761" w:name="_Toc38439109"/>
            <w:bookmarkStart w:id="3762" w:name="_Toc38439446"/>
            <w:bookmarkStart w:id="3763" w:name="_Toc38439783"/>
            <w:bookmarkStart w:id="3764" w:name="_Toc38440120"/>
            <w:bookmarkStart w:id="3765" w:name="_Toc38440457"/>
            <w:bookmarkStart w:id="3766" w:name="_Toc38440989"/>
            <w:bookmarkStart w:id="3767" w:name="_Toc38441321"/>
            <w:bookmarkStart w:id="3768" w:name="_Toc38441653"/>
            <w:bookmarkStart w:id="3769" w:name="_Toc38441981"/>
            <w:bookmarkStart w:id="3770" w:name="_Toc38442313"/>
            <w:bookmarkStart w:id="3771" w:name="_Toc38442645"/>
            <w:bookmarkStart w:id="3772" w:name="_Toc38442976"/>
            <w:bookmarkStart w:id="3773" w:name="_Toc38443307"/>
            <w:bookmarkStart w:id="3774" w:name="_Toc38443638"/>
            <w:bookmarkStart w:id="3775" w:name="_Toc38443968"/>
            <w:bookmarkStart w:id="3776" w:name="_Toc38438436"/>
            <w:bookmarkStart w:id="3777" w:name="_Toc38438773"/>
            <w:bookmarkStart w:id="3778" w:name="_Toc38439110"/>
            <w:bookmarkStart w:id="3779" w:name="_Toc38439447"/>
            <w:bookmarkStart w:id="3780" w:name="_Toc38439784"/>
            <w:bookmarkStart w:id="3781" w:name="_Toc38440121"/>
            <w:bookmarkStart w:id="3782" w:name="_Toc38440458"/>
            <w:bookmarkStart w:id="3783" w:name="_Toc38440990"/>
            <w:bookmarkStart w:id="3784" w:name="_Toc38441322"/>
            <w:bookmarkStart w:id="3785" w:name="_Toc38441654"/>
            <w:bookmarkStart w:id="3786" w:name="_Toc38441982"/>
            <w:bookmarkStart w:id="3787" w:name="_Toc38442314"/>
            <w:bookmarkStart w:id="3788" w:name="_Toc38442646"/>
            <w:bookmarkStart w:id="3789" w:name="_Toc38442977"/>
            <w:bookmarkStart w:id="3790" w:name="_Toc38443308"/>
            <w:bookmarkStart w:id="3791" w:name="_Toc38443639"/>
            <w:bookmarkStart w:id="3792" w:name="_Toc38443969"/>
            <w:bookmarkStart w:id="3793" w:name="_Toc38438437"/>
            <w:bookmarkStart w:id="3794" w:name="_Toc38438774"/>
            <w:bookmarkStart w:id="3795" w:name="_Toc38439111"/>
            <w:bookmarkStart w:id="3796" w:name="_Toc38439448"/>
            <w:bookmarkStart w:id="3797" w:name="_Toc38439785"/>
            <w:bookmarkStart w:id="3798" w:name="_Toc38440122"/>
            <w:bookmarkStart w:id="3799" w:name="_Toc38440459"/>
            <w:bookmarkStart w:id="3800" w:name="_Toc38440991"/>
            <w:bookmarkStart w:id="3801" w:name="_Toc38441323"/>
            <w:bookmarkStart w:id="3802" w:name="_Toc38441655"/>
            <w:bookmarkStart w:id="3803" w:name="_Toc38441983"/>
            <w:bookmarkStart w:id="3804" w:name="_Toc38442315"/>
            <w:bookmarkStart w:id="3805" w:name="_Toc38442647"/>
            <w:bookmarkStart w:id="3806" w:name="_Toc38442978"/>
            <w:bookmarkStart w:id="3807" w:name="_Toc38443309"/>
            <w:bookmarkStart w:id="3808" w:name="_Toc38443640"/>
            <w:bookmarkStart w:id="3809" w:name="_Toc38443970"/>
            <w:bookmarkStart w:id="3810" w:name="_Toc38438438"/>
            <w:bookmarkStart w:id="3811" w:name="_Toc38438775"/>
            <w:bookmarkStart w:id="3812" w:name="_Toc38439112"/>
            <w:bookmarkStart w:id="3813" w:name="_Toc38439449"/>
            <w:bookmarkStart w:id="3814" w:name="_Toc38439786"/>
            <w:bookmarkStart w:id="3815" w:name="_Toc38440123"/>
            <w:bookmarkStart w:id="3816" w:name="_Toc38440460"/>
            <w:bookmarkStart w:id="3817" w:name="_Toc38440992"/>
            <w:bookmarkStart w:id="3818" w:name="_Toc38441324"/>
            <w:bookmarkStart w:id="3819" w:name="_Toc38441656"/>
            <w:bookmarkStart w:id="3820" w:name="_Toc38441984"/>
            <w:bookmarkStart w:id="3821" w:name="_Toc38442316"/>
            <w:bookmarkStart w:id="3822" w:name="_Toc38442648"/>
            <w:bookmarkStart w:id="3823" w:name="_Toc38442979"/>
            <w:bookmarkStart w:id="3824" w:name="_Toc38443310"/>
            <w:bookmarkStart w:id="3825" w:name="_Toc38443641"/>
            <w:bookmarkStart w:id="3826" w:name="_Toc38443971"/>
            <w:bookmarkStart w:id="3827" w:name="_Toc38438439"/>
            <w:bookmarkStart w:id="3828" w:name="_Toc38438776"/>
            <w:bookmarkStart w:id="3829" w:name="_Toc38439113"/>
            <w:bookmarkStart w:id="3830" w:name="_Toc38439450"/>
            <w:bookmarkStart w:id="3831" w:name="_Toc38439787"/>
            <w:bookmarkStart w:id="3832" w:name="_Toc38440124"/>
            <w:bookmarkStart w:id="3833" w:name="_Toc38440461"/>
            <w:bookmarkStart w:id="3834" w:name="_Toc38440993"/>
            <w:bookmarkStart w:id="3835" w:name="_Toc38441325"/>
            <w:bookmarkStart w:id="3836" w:name="_Toc38441657"/>
            <w:bookmarkStart w:id="3837" w:name="_Toc38441985"/>
            <w:bookmarkStart w:id="3838" w:name="_Toc38442317"/>
            <w:bookmarkStart w:id="3839" w:name="_Toc38442649"/>
            <w:bookmarkStart w:id="3840" w:name="_Toc38442980"/>
            <w:bookmarkStart w:id="3841" w:name="_Toc38443311"/>
            <w:bookmarkStart w:id="3842" w:name="_Toc38443642"/>
            <w:bookmarkStart w:id="3843" w:name="_Toc38443972"/>
            <w:bookmarkStart w:id="3844" w:name="_Toc38438440"/>
            <w:bookmarkStart w:id="3845" w:name="_Toc38438777"/>
            <w:bookmarkStart w:id="3846" w:name="_Toc38439114"/>
            <w:bookmarkStart w:id="3847" w:name="_Toc38439451"/>
            <w:bookmarkStart w:id="3848" w:name="_Toc38439788"/>
            <w:bookmarkStart w:id="3849" w:name="_Toc38440125"/>
            <w:bookmarkStart w:id="3850" w:name="_Toc38440462"/>
            <w:bookmarkStart w:id="3851" w:name="_Toc38440994"/>
            <w:bookmarkStart w:id="3852" w:name="_Toc38441326"/>
            <w:bookmarkStart w:id="3853" w:name="_Toc38441658"/>
            <w:bookmarkStart w:id="3854" w:name="_Toc38441986"/>
            <w:bookmarkStart w:id="3855" w:name="_Toc38442318"/>
            <w:bookmarkStart w:id="3856" w:name="_Toc38442650"/>
            <w:bookmarkStart w:id="3857" w:name="_Toc38442981"/>
            <w:bookmarkStart w:id="3858" w:name="_Toc38443312"/>
            <w:bookmarkStart w:id="3859" w:name="_Toc38443643"/>
            <w:bookmarkStart w:id="3860" w:name="_Toc38443973"/>
            <w:bookmarkStart w:id="3861" w:name="_Toc38438441"/>
            <w:bookmarkStart w:id="3862" w:name="_Toc38438778"/>
            <w:bookmarkStart w:id="3863" w:name="_Toc38439115"/>
            <w:bookmarkStart w:id="3864" w:name="_Toc38439452"/>
            <w:bookmarkStart w:id="3865" w:name="_Toc38439789"/>
            <w:bookmarkStart w:id="3866" w:name="_Toc38440126"/>
            <w:bookmarkStart w:id="3867" w:name="_Toc38440463"/>
            <w:bookmarkStart w:id="3868" w:name="_Toc38440995"/>
            <w:bookmarkStart w:id="3869" w:name="_Toc38441327"/>
            <w:bookmarkStart w:id="3870" w:name="_Toc38441659"/>
            <w:bookmarkStart w:id="3871" w:name="_Toc38441987"/>
            <w:bookmarkStart w:id="3872" w:name="_Toc38442319"/>
            <w:bookmarkStart w:id="3873" w:name="_Toc38442651"/>
            <w:bookmarkStart w:id="3874" w:name="_Toc38442982"/>
            <w:bookmarkStart w:id="3875" w:name="_Toc38443313"/>
            <w:bookmarkStart w:id="3876" w:name="_Toc38443644"/>
            <w:bookmarkStart w:id="3877" w:name="_Toc38443974"/>
            <w:bookmarkStart w:id="3878" w:name="_Toc38438442"/>
            <w:bookmarkStart w:id="3879" w:name="_Toc38438779"/>
            <w:bookmarkStart w:id="3880" w:name="_Toc38439116"/>
            <w:bookmarkStart w:id="3881" w:name="_Toc38439453"/>
            <w:bookmarkStart w:id="3882" w:name="_Toc38439790"/>
            <w:bookmarkStart w:id="3883" w:name="_Toc38440127"/>
            <w:bookmarkStart w:id="3884" w:name="_Toc38440464"/>
            <w:bookmarkStart w:id="3885" w:name="_Toc38440996"/>
            <w:bookmarkStart w:id="3886" w:name="_Toc38441328"/>
            <w:bookmarkStart w:id="3887" w:name="_Toc38441660"/>
            <w:bookmarkStart w:id="3888" w:name="_Toc38441988"/>
            <w:bookmarkStart w:id="3889" w:name="_Toc38442320"/>
            <w:bookmarkStart w:id="3890" w:name="_Toc38442652"/>
            <w:bookmarkStart w:id="3891" w:name="_Toc38442983"/>
            <w:bookmarkStart w:id="3892" w:name="_Toc38443314"/>
            <w:bookmarkStart w:id="3893" w:name="_Toc38443645"/>
            <w:bookmarkStart w:id="3894" w:name="_Toc38443975"/>
            <w:bookmarkStart w:id="3895" w:name="_Toc38438443"/>
            <w:bookmarkStart w:id="3896" w:name="_Toc38438780"/>
            <w:bookmarkStart w:id="3897" w:name="_Toc38439117"/>
            <w:bookmarkStart w:id="3898" w:name="_Toc38439454"/>
            <w:bookmarkStart w:id="3899" w:name="_Toc38439791"/>
            <w:bookmarkStart w:id="3900" w:name="_Toc38440128"/>
            <w:bookmarkStart w:id="3901" w:name="_Toc38440465"/>
            <w:bookmarkStart w:id="3902" w:name="_Toc38440997"/>
            <w:bookmarkStart w:id="3903" w:name="_Toc38441329"/>
            <w:bookmarkStart w:id="3904" w:name="_Toc38441661"/>
            <w:bookmarkStart w:id="3905" w:name="_Toc38441989"/>
            <w:bookmarkStart w:id="3906" w:name="_Toc38442321"/>
            <w:bookmarkStart w:id="3907" w:name="_Toc38442653"/>
            <w:bookmarkStart w:id="3908" w:name="_Toc38442984"/>
            <w:bookmarkStart w:id="3909" w:name="_Toc38443315"/>
            <w:bookmarkStart w:id="3910" w:name="_Toc38443646"/>
            <w:bookmarkStart w:id="3911" w:name="_Toc38443976"/>
            <w:bookmarkStart w:id="3912" w:name="_Toc38438444"/>
            <w:bookmarkStart w:id="3913" w:name="_Toc38438781"/>
            <w:bookmarkStart w:id="3914" w:name="_Toc38439118"/>
            <w:bookmarkStart w:id="3915" w:name="_Toc38439455"/>
            <w:bookmarkStart w:id="3916" w:name="_Toc38439792"/>
            <w:bookmarkStart w:id="3917" w:name="_Toc38440129"/>
            <w:bookmarkStart w:id="3918" w:name="_Toc38440466"/>
            <w:bookmarkStart w:id="3919" w:name="_Toc38440998"/>
            <w:bookmarkStart w:id="3920" w:name="_Toc38441330"/>
            <w:bookmarkStart w:id="3921" w:name="_Toc38441662"/>
            <w:bookmarkStart w:id="3922" w:name="_Toc38441990"/>
            <w:bookmarkStart w:id="3923" w:name="_Toc38442322"/>
            <w:bookmarkStart w:id="3924" w:name="_Toc38442654"/>
            <w:bookmarkStart w:id="3925" w:name="_Toc38442985"/>
            <w:bookmarkStart w:id="3926" w:name="_Toc38443316"/>
            <w:bookmarkStart w:id="3927" w:name="_Toc38443647"/>
            <w:bookmarkStart w:id="3928" w:name="_Toc38443977"/>
            <w:bookmarkStart w:id="3929" w:name="_Toc38438445"/>
            <w:bookmarkStart w:id="3930" w:name="_Toc38438782"/>
            <w:bookmarkStart w:id="3931" w:name="_Toc38439119"/>
            <w:bookmarkStart w:id="3932" w:name="_Toc38439456"/>
            <w:bookmarkStart w:id="3933" w:name="_Toc38439793"/>
            <w:bookmarkStart w:id="3934" w:name="_Toc38440130"/>
            <w:bookmarkStart w:id="3935" w:name="_Toc38440467"/>
            <w:bookmarkStart w:id="3936" w:name="_Toc38440999"/>
            <w:bookmarkStart w:id="3937" w:name="_Toc38441331"/>
            <w:bookmarkStart w:id="3938" w:name="_Toc38441663"/>
            <w:bookmarkStart w:id="3939" w:name="_Toc38441991"/>
            <w:bookmarkStart w:id="3940" w:name="_Toc38442323"/>
            <w:bookmarkStart w:id="3941" w:name="_Toc38442655"/>
            <w:bookmarkStart w:id="3942" w:name="_Toc38442986"/>
            <w:bookmarkStart w:id="3943" w:name="_Toc38443317"/>
            <w:bookmarkStart w:id="3944" w:name="_Toc38443648"/>
            <w:bookmarkStart w:id="3945" w:name="_Toc38443978"/>
            <w:bookmarkStart w:id="3946" w:name="_Toc38438446"/>
            <w:bookmarkStart w:id="3947" w:name="_Toc38438783"/>
            <w:bookmarkStart w:id="3948" w:name="_Toc38439120"/>
            <w:bookmarkStart w:id="3949" w:name="_Toc38439457"/>
            <w:bookmarkStart w:id="3950" w:name="_Toc38439794"/>
            <w:bookmarkStart w:id="3951" w:name="_Toc38440131"/>
            <w:bookmarkStart w:id="3952" w:name="_Toc38440468"/>
            <w:bookmarkStart w:id="3953" w:name="_Toc38441000"/>
            <w:bookmarkStart w:id="3954" w:name="_Toc38441332"/>
            <w:bookmarkStart w:id="3955" w:name="_Toc38441664"/>
            <w:bookmarkStart w:id="3956" w:name="_Toc38441992"/>
            <w:bookmarkStart w:id="3957" w:name="_Toc38442324"/>
            <w:bookmarkStart w:id="3958" w:name="_Toc38442656"/>
            <w:bookmarkStart w:id="3959" w:name="_Toc38442987"/>
            <w:bookmarkStart w:id="3960" w:name="_Toc38443318"/>
            <w:bookmarkStart w:id="3961" w:name="_Toc38443649"/>
            <w:bookmarkStart w:id="3962" w:name="_Toc38443979"/>
            <w:bookmarkStart w:id="3963" w:name="_Toc38438447"/>
            <w:bookmarkStart w:id="3964" w:name="_Toc38438784"/>
            <w:bookmarkStart w:id="3965" w:name="_Toc38439121"/>
            <w:bookmarkStart w:id="3966" w:name="_Toc38439458"/>
            <w:bookmarkStart w:id="3967" w:name="_Toc38439795"/>
            <w:bookmarkStart w:id="3968" w:name="_Toc38440132"/>
            <w:bookmarkStart w:id="3969" w:name="_Toc38440469"/>
            <w:bookmarkStart w:id="3970" w:name="_Toc38441001"/>
            <w:bookmarkStart w:id="3971" w:name="_Toc38441333"/>
            <w:bookmarkStart w:id="3972" w:name="_Toc38441665"/>
            <w:bookmarkStart w:id="3973" w:name="_Toc38441993"/>
            <w:bookmarkStart w:id="3974" w:name="_Toc38442325"/>
            <w:bookmarkStart w:id="3975" w:name="_Toc38442657"/>
            <w:bookmarkStart w:id="3976" w:name="_Toc38442988"/>
            <w:bookmarkStart w:id="3977" w:name="_Toc38443319"/>
            <w:bookmarkStart w:id="3978" w:name="_Toc38443650"/>
            <w:bookmarkStart w:id="3979" w:name="_Toc38443980"/>
            <w:bookmarkStart w:id="3980" w:name="_Toc38438448"/>
            <w:bookmarkStart w:id="3981" w:name="_Toc38438785"/>
            <w:bookmarkStart w:id="3982" w:name="_Toc38439122"/>
            <w:bookmarkStart w:id="3983" w:name="_Toc38439459"/>
            <w:bookmarkStart w:id="3984" w:name="_Toc38439796"/>
            <w:bookmarkStart w:id="3985" w:name="_Toc38440133"/>
            <w:bookmarkStart w:id="3986" w:name="_Toc38440470"/>
            <w:bookmarkStart w:id="3987" w:name="_Toc38441002"/>
            <w:bookmarkStart w:id="3988" w:name="_Toc38441334"/>
            <w:bookmarkStart w:id="3989" w:name="_Toc38441666"/>
            <w:bookmarkStart w:id="3990" w:name="_Toc38441994"/>
            <w:bookmarkStart w:id="3991" w:name="_Toc38442326"/>
            <w:bookmarkStart w:id="3992" w:name="_Toc38442658"/>
            <w:bookmarkStart w:id="3993" w:name="_Toc38442989"/>
            <w:bookmarkStart w:id="3994" w:name="_Toc38443320"/>
            <w:bookmarkStart w:id="3995" w:name="_Toc38443651"/>
            <w:bookmarkStart w:id="3996" w:name="_Toc38443981"/>
            <w:bookmarkStart w:id="3997" w:name="_Toc38438449"/>
            <w:bookmarkStart w:id="3998" w:name="_Toc38438786"/>
            <w:bookmarkStart w:id="3999" w:name="_Toc38439123"/>
            <w:bookmarkStart w:id="4000" w:name="_Toc38439460"/>
            <w:bookmarkStart w:id="4001" w:name="_Toc38439797"/>
            <w:bookmarkStart w:id="4002" w:name="_Toc38440134"/>
            <w:bookmarkStart w:id="4003" w:name="_Toc38440471"/>
            <w:bookmarkStart w:id="4004" w:name="_Toc38441003"/>
            <w:bookmarkStart w:id="4005" w:name="_Toc38441335"/>
            <w:bookmarkStart w:id="4006" w:name="_Toc38441667"/>
            <w:bookmarkStart w:id="4007" w:name="_Toc38441995"/>
            <w:bookmarkStart w:id="4008" w:name="_Toc38442327"/>
            <w:bookmarkStart w:id="4009" w:name="_Toc38442659"/>
            <w:bookmarkStart w:id="4010" w:name="_Toc38442990"/>
            <w:bookmarkStart w:id="4011" w:name="_Toc38443321"/>
            <w:bookmarkStart w:id="4012" w:name="_Toc38443652"/>
            <w:bookmarkStart w:id="4013" w:name="_Toc38443982"/>
            <w:bookmarkStart w:id="4014" w:name="_Toc38438450"/>
            <w:bookmarkStart w:id="4015" w:name="_Toc38438787"/>
            <w:bookmarkStart w:id="4016" w:name="_Toc38439124"/>
            <w:bookmarkStart w:id="4017" w:name="_Toc38439461"/>
            <w:bookmarkStart w:id="4018" w:name="_Toc38439798"/>
            <w:bookmarkStart w:id="4019" w:name="_Toc38440135"/>
            <w:bookmarkStart w:id="4020" w:name="_Toc38440472"/>
            <w:bookmarkStart w:id="4021" w:name="_Toc38441004"/>
            <w:bookmarkStart w:id="4022" w:name="_Toc38441336"/>
            <w:bookmarkStart w:id="4023" w:name="_Toc38441668"/>
            <w:bookmarkStart w:id="4024" w:name="_Toc38441996"/>
            <w:bookmarkStart w:id="4025" w:name="_Toc38442328"/>
            <w:bookmarkStart w:id="4026" w:name="_Toc38442660"/>
            <w:bookmarkStart w:id="4027" w:name="_Toc38442991"/>
            <w:bookmarkStart w:id="4028" w:name="_Toc38443322"/>
            <w:bookmarkStart w:id="4029" w:name="_Toc38443653"/>
            <w:bookmarkStart w:id="4030" w:name="_Toc38443983"/>
            <w:bookmarkStart w:id="4031" w:name="_Toc38438451"/>
            <w:bookmarkStart w:id="4032" w:name="_Toc38438788"/>
            <w:bookmarkStart w:id="4033" w:name="_Toc38439125"/>
            <w:bookmarkStart w:id="4034" w:name="_Toc38439462"/>
            <w:bookmarkStart w:id="4035" w:name="_Toc38439799"/>
            <w:bookmarkStart w:id="4036" w:name="_Toc38440136"/>
            <w:bookmarkStart w:id="4037" w:name="_Toc38440473"/>
            <w:bookmarkStart w:id="4038" w:name="_Toc38441005"/>
            <w:bookmarkStart w:id="4039" w:name="_Toc38441337"/>
            <w:bookmarkStart w:id="4040" w:name="_Toc38441669"/>
            <w:bookmarkStart w:id="4041" w:name="_Toc38441997"/>
            <w:bookmarkStart w:id="4042" w:name="_Toc38442329"/>
            <w:bookmarkStart w:id="4043" w:name="_Toc38442661"/>
            <w:bookmarkStart w:id="4044" w:name="_Toc38442992"/>
            <w:bookmarkStart w:id="4045" w:name="_Toc38443323"/>
            <w:bookmarkStart w:id="4046" w:name="_Toc38443654"/>
            <w:bookmarkStart w:id="4047" w:name="_Toc38443984"/>
            <w:bookmarkStart w:id="4048" w:name="_Toc38438452"/>
            <w:bookmarkStart w:id="4049" w:name="_Toc38438789"/>
            <w:bookmarkStart w:id="4050" w:name="_Toc38439126"/>
            <w:bookmarkStart w:id="4051" w:name="_Toc38439463"/>
            <w:bookmarkStart w:id="4052" w:name="_Toc38439800"/>
            <w:bookmarkStart w:id="4053" w:name="_Toc38440137"/>
            <w:bookmarkStart w:id="4054" w:name="_Toc38440474"/>
            <w:bookmarkStart w:id="4055" w:name="_Toc38441006"/>
            <w:bookmarkStart w:id="4056" w:name="_Toc38441338"/>
            <w:bookmarkStart w:id="4057" w:name="_Toc38441670"/>
            <w:bookmarkStart w:id="4058" w:name="_Toc38441998"/>
            <w:bookmarkStart w:id="4059" w:name="_Toc38442330"/>
            <w:bookmarkStart w:id="4060" w:name="_Toc38442662"/>
            <w:bookmarkStart w:id="4061" w:name="_Toc38442993"/>
            <w:bookmarkStart w:id="4062" w:name="_Toc38443324"/>
            <w:bookmarkStart w:id="4063" w:name="_Toc38443655"/>
            <w:bookmarkStart w:id="4064" w:name="_Toc38443985"/>
            <w:bookmarkStart w:id="4065" w:name="_Toc38438453"/>
            <w:bookmarkStart w:id="4066" w:name="_Toc38438790"/>
            <w:bookmarkStart w:id="4067" w:name="_Toc38439127"/>
            <w:bookmarkStart w:id="4068" w:name="_Toc38439464"/>
            <w:bookmarkStart w:id="4069" w:name="_Toc38439801"/>
            <w:bookmarkStart w:id="4070" w:name="_Toc38440138"/>
            <w:bookmarkStart w:id="4071" w:name="_Toc38440475"/>
            <w:bookmarkStart w:id="4072" w:name="_Toc38441007"/>
            <w:bookmarkStart w:id="4073" w:name="_Toc38441339"/>
            <w:bookmarkStart w:id="4074" w:name="_Toc38441671"/>
            <w:bookmarkStart w:id="4075" w:name="_Toc38441999"/>
            <w:bookmarkStart w:id="4076" w:name="_Toc38442331"/>
            <w:bookmarkStart w:id="4077" w:name="_Toc38442663"/>
            <w:bookmarkStart w:id="4078" w:name="_Toc38442994"/>
            <w:bookmarkStart w:id="4079" w:name="_Toc38443325"/>
            <w:bookmarkStart w:id="4080" w:name="_Toc38443656"/>
            <w:bookmarkStart w:id="4081" w:name="_Toc38443986"/>
            <w:bookmarkStart w:id="4082" w:name="_Toc38438454"/>
            <w:bookmarkStart w:id="4083" w:name="_Toc38438791"/>
            <w:bookmarkStart w:id="4084" w:name="_Toc38439128"/>
            <w:bookmarkStart w:id="4085" w:name="_Toc38439465"/>
            <w:bookmarkStart w:id="4086" w:name="_Toc38439802"/>
            <w:bookmarkStart w:id="4087" w:name="_Toc38440139"/>
            <w:bookmarkStart w:id="4088" w:name="_Toc38440476"/>
            <w:bookmarkStart w:id="4089" w:name="_Toc38441008"/>
            <w:bookmarkStart w:id="4090" w:name="_Toc38441340"/>
            <w:bookmarkStart w:id="4091" w:name="_Toc38441672"/>
            <w:bookmarkStart w:id="4092" w:name="_Toc38442000"/>
            <w:bookmarkStart w:id="4093" w:name="_Toc38442332"/>
            <w:bookmarkStart w:id="4094" w:name="_Toc38442664"/>
            <w:bookmarkStart w:id="4095" w:name="_Toc38442995"/>
            <w:bookmarkStart w:id="4096" w:name="_Toc38443326"/>
            <w:bookmarkStart w:id="4097" w:name="_Toc38443657"/>
            <w:bookmarkStart w:id="4098" w:name="_Toc38443987"/>
            <w:bookmarkStart w:id="4099" w:name="_Toc38438455"/>
            <w:bookmarkStart w:id="4100" w:name="_Toc38438792"/>
            <w:bookmarkStart w:id="4101" w:name="_Toc38439129"/>
            <w:bookmarkStart w:id="4102" w:name="_Toc38439466"/>
            <w:bookmarkStart w:id="4103" w:name="_Toc38439803"/>
            <w:bookmarkStart w:id="4104" w:name="_Toc38440140"/>
            <w:bookmarkStart w:id="4105" w:name="_Toc38440477"/>
            <w:bookmarkStart w:id="4106" w:name="_Toc38441009"/>
            <w:bookmarkStart w:id="4107" w:name="_Toc38441341"/>
            <w:bookmarkStart w:id="4108" w:name="_Toc38441673"/>
            <w:bookmarkStart w:id="4109" w:name="_Toc38442001"/>
            <w:bookmarkStart w:id="4110" w:name="_Toc38442333"/>
            <w:bookmarkStart w:id="4111" w:name="_Toc38442665"/>
            <w:bookmarkStart w:id="4112" w:name="_Toc38442996"/>
            <w:bookmarkStart w:id="4113" w:name="_Toc38443327"/>
            <w:bookmarkStart w:id="4114" w:name="_Toc38443658"/>
            <w:bookmarkStart w:id="4115" w:name="_Toc38443988"/>
            <w:bookmarkStart w:id="4116" w:name="_Toc38438456"/>
            <w:bookmarkStart w:id="4117" w:name="_Toc38438793"/>
            <w:bookmarkStart w:id="4118" w:name="_Toc38439130"/>
            <w:bookmarkStart w:id="4119" w:name="_Toc38439467"/>
            <w:bookmarkStart w:id="4120" w:name="_Toc38439804"/>
            <w:bookmarkStart w:id="4121" w:name="_Toc38440141"/>
            <w:bookmarkStart w:id="4122" w:name="_Toc38440478"/>
            <w:bookmarkStart w:id="4123" w:name="_Toc38441010"/>
            <w:bookmarkStart w:id="4124" w:name="_Toc38441342"/>
            <w:bookmarkStart w:id="4125" w:name="_Toc38441674"/>
            <w:bookmarkStart w:id="4126" w:name="_Toc38442002"/>
            <w:bookmarkStart w:id="4127" w:name="_Toc38442334"/>
            <w:bookmarkStart w:id="4128" w:name="_Toc38442666"/>
            <w:bookmarkStart w:id="4129" w:name="_Toc38442997"/>
            <w:bookmarkStart w:id="4130" w:name="_Toc38443328"/>
            <w:bookmarkStart w:id="4131" w:name="_Toc38443659"/>
            <w:bookmarkStart w:id="4132" w:name="_Toc38443989"/>
            <w:bookmarkStart w:id="4133" w:name="_Toc38438457"/>
            <w:bookmarkStart w:id="4134" w:name="_Toc38438794"/>
            <w:bookmarkStart w:id="4135" w:name="_Toc38439131"/>
            <w:bookmarkStart w:id="4136" w:name="_Toc38439468"/>
            <w:bookmarkStart w:id="4137" w:name="_Toc38439805"/>
            <w:bookmarkStart w:id="4138" w:name="_Toc38440142"/>
            <w:bookmarkStart w:id="4139" w:name="_Toc38440479"/>
            <w:bookmarkStart w:id="4140" w:name="_Toc38441011"/>
            <w:bookmarkStart w:id="4141" w:name="_Toc38441343"/>
            <w:bookmarkStart w:id="4142" w:name="_Toc38441675"/>
            <w:bookmarkStart w:id="4143" w:name="_Toc38442003"/>
            <w:bookmarkStart w:id="4144" w:name="_Toc38442335"/>
            <w:bookmarkStart w:id="4145" w:name="_Toc38442667"/>
            <w:bookmarkStart w:id="4146" w:name="_Toc38442998"/>
            <w:bookmarkStart w:id="4147" w:name="_Toc38443329"/>
            <w:bookmarkStart w:id="4148" w:name="_Toc38443660"/>
            <w:bookmarkStart w:id="4149" w:name="_Toc38443990"/>
            <w:bookmarkStart w:id="4150" w:name="_Toc38438458"/>
            <w:bookmarkStart w:id="4151" w:name="_Toc38438795"/>
            <w:bookmarkStart w:id="4152" w:name="_Toc38439132"/>
            <w:bookmarkStart w:id="4153" w:name="_Toc38439469"/>
            <w:bookmarkStart w:id="4154" w:name="_Toc38439806"/>
            <w:bookmarkStart w:id="4155" w:name="_Toc38440143"/>
            <w:bookmarkStart w:id="4156" w:name="_Toc38440480"/>
            <w:bookmarkStart w:id="4157" w:name="_Toc38441012"/>
            <w:bookmarkStart w:id="4158" w:name="_Toc38441344"/>
            <w:bookmarkStart w:id="4159" w:name="_Toc38441676"/>
            <w:bookmarkStart w:id="4160" w:name="_Toc38442004"/>
            <w:bookmarkStart w:id="4161" w:name="_Toc38442336"/>
            <w:bookmarkStart w:id="4162" w:name="_Toc38442668"/>
            <w:bookmarkStart w:id="4163" w:name="_Toc38442999"/>
            <w:bookmarkStart w:id="4164" w:name="_Toc38443330"/>
            <w:bookmarkStart w:id="4165" w:name="_Toc38443661"/>
            <w:bookmarkStart w:id="4166" w:name="_Toc38443991"/>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r w:rsidRPr="004A57FA">
              <w:rPr>
                <w:rFonts w:asciiTheme="minorEastAsia" w:eastAsiaTheme="minorEastAsia" w:hAnsiTheme="minorEastAsia" w:hint="eastAsia"/>
                <w:szCs w:val="21"/>
              </w:rPr>
              <w:t>公告事项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551" w:rsidRPr="004A57FA" w:rsidRDefault="00195415" w:rsidP="008F0551">
            <w:pPr>
              <w:widowControl/>
              <w:snapToGrid w:val="0"/>
              <w:spacing w:line="360" w:lineRule="auto"/>
              <w:jc w:val="center"/>
              <w:rPr>
                <w:rFonts w:asciiTheme="minorEastAsia" w:eastAsiaTheme="minorEastAsia" w:hAnsiTheme="minorEastAsia"/>
                <w:szCs w:val="21"/>
              </w:rPr>
            </w:pPr>
            <w:r w:rsidRPr="004A57FA">
              <w:rPr>
                <w:rFonts w:asciiTheme="minorEastAsia" w:eastAsiaTheme="minorEastAsia" w:hAnsiTheme="minorEastAsia" w:hint="eastAsia"/>
                <w:szCs w:val="21"/>
              </w:rPr>
              <w:t>披露日期</w:t>
            </w:r>
          </w:p>
        </w:tc>
      </w:tr>
      <w:tr w:rsidR="00673FF9">
        <w:tc>
          <w:tcPr>
            <w:tcW w:w="7054" w:type="dxa"/>
          </w:tcPr>
          <w:p w:rsidR="00673FF9" w:rsidRDefault="00D61F4E">
            <w:pPr>
              <w:jc w:val="left"/>
            </w:pPr>
            <w:r>
              <w:t>易方达基金管理有限公司旗下部分开放式基金增加中国人寿为销售机构、参加中国人寿费率优惠活动的公告</w:t>
            </w:r>
          </w:p>
        </w:tc>
        <w:tc>
          <w:tcPr>
            <w:tcW w:w="1559" w:type="dxa"/>
          </w:tcPr>
          <w:p w:rsidR="00673FF9" w:rsidRDefault="00D61F4E">
            <w:pPr>
              <w:jc w:val="center"/>
            </w:pPr>
            <w:r>
              <w:t>2020-08-24</w:t>
            </w:r>
          </w:p>
        </w:tc>
      </w:tr>
      <w:tr w:rsidR="00673FF9">
        <w:tc>
          <w:tcPr>
            <w:tcW w:w="7054" w:type="dxa"/>
          </w:tcPr>
          <w:p w:rsidR="00673FF9" w:rsidRDefault="00D61F4E">
            <w:pPr>
              <w:jc w:val="left"/>
            </w:pPr>
            <w:r>
              <w:t>易方达基金管理有限公司旗下基金</w:t>
            </w:r>
            <w:r>
              <w:t>2020</w:t>
            </w:r>
            <w:r>
              <w:t>年中期报告提示性公告</w:t>
            </w:r>
          </w:p>
        </w:tc>
        <w:tc>
          <w:tcPr>
            <w:tcW w:w="1559" w:type="dxa"/>
          </w:tcPr>
          <w:p w:rsidR="00673FF9" w:rsidRDefault="00D61F4E">
            <w:pPr>
              <w:jc w:val="center"/>
            </w:pPr>
            <w:r>
              <w:t>2020-08-28</w:t>
            </w:r>
          </w:p>
        </w:tc>
      </w:tr>
      <w:tr w:rsidR="00673FF9">
        <w:tc>
          <w:tcPr>
            <w:tcW w:w="7054" w:type="dxa"/>
          </w:tcPr>
          <w:p w:rsidR="00673FF9" w:rsidRDefault="00D61F4E">
            <w:pPr>
              <w:jc w:val="left"/>
            </w:pPr>
            <w:r>
              <w:t>易方达基金管理有限公司关于旗下部分基金获配格尔软件（</w:t>
            </w:r>
            <w:r>
              <w:t>603232</w:t>
            </w:r>
            <w:r>
              <w:t>）非公开发行</w:t>
            </w:r>
            <w:r>
              <w:t>A</w:t>
            </w:r>
            <w:r>
              <w:t>股的公告</w:t>
            </w:r>
          </w:p>
        </w:tc>
        <w:tc>
          <w:tcPr>
            <w:tcW w:w="1559" w:type="dxa"/>
          </w:tcPr>
          <w:p w:rsidR="00673FF9" w:rsidRDefault="00D61F4E">
            <w:pPr>
              <w:jc w:val="center"/>
            </w:pPr>
            <w:r>
              <w:t>2020-09-04</w:t>
            </w:r>
          </w:p>
        </w:tc>
      </w:tr>
      <w:tr w:rsidR="00673FF9">
        <w:tc>
          <w:tcPr>
            <w:tcW w:w="7054" w:type="dxa"/>
          </w:tcPr>
          <w:p w:rsidR="00673FF9" w:rsidRDefault="00D61F4E">
            <w:pPr>
              <w:jc w:val="left"/>
            </w:pPr>
            <w:r>
              <w:t>易方达基金管理有限公司旗下部分开放式基金参加中金财富申购费率优惠活动的公告</w:t>
            </w:r>
          </w:p>
        </w:tc>
        <w:tc>
          <w:tcPr>
            <w:tcW w:w="1559" w:type="dxa"/>
          </w:tcPr>
          <w:p w:rsidR="00673FF9" w:rsidRDefault="00D61F4E">
            <w:pPr>
              <w:jc w:val="center"/>
            </w:pPr>
            <w:r>
              <w:t>2020-09-08</w:t>
            </w:r>
          </w:p>
        </w:tc>
      </w:tr>
      <w:tr w:rsidR="00673FF9">
        <w:tc>
          <w:tcPr>
            <w:tcW w:w="7054" w:type="dxa"/>
          </w:tcPr>
          <w:p w:rsidR="00673FF9" w:rsidRDefault="00D61F4E">
            <w:pPr>
              <w:jc w:val="left"/>
            </w:pPr>
            <w:r>
              <w:t>易方达基金管理有限公司高级管理人员变更公告</w:t>
            </w:r>
          </w:p>
        </w:tc>
        <w:tc>
          <w:tcPr>
            <w:tcW w:w="1559" w:type="dxa"/>
          </w:tcPr>
          <w:p w:rsidR="00673FF9" w:rsidRDefault="00D61F4E">
            <w:pPr>
              <w:jc w:val="center"/>
            </w:pPr>
            <w:r>
              <w:t>2020-09-19</w:t>
            </w:r>
          </w:p>
        </w:tc>
      </w:tr>
      <w:tr w:rsidR="00673FF9">
        <w:tc>
          <w:tcPr>
            <w:tcW w:w="7054" w:type="dxa"/>
          </w:tcPr>
          <w:p w:rsidR="00673FF9" w:rsidRDefault="00D61F4E">
            <w:pPr>
              <w:jc w:val="left"/>
            </w:pPr>
            <w:r>
              <w:t>易方达基金管理有限公司旗下部分开放式基金增加五矿证券为销售机构的公告</w:t>
            </w:r>
          </w:p>
        </w:tc>
        <w:tc>
          <w:tcPr>
            <w:tcW w:w="1559" w:type="dxa"/>
          </w:tcPr>
          <w:p w:rsidR="00673FF9" w:rsidRDefault="00D61F4E">
            <w:pPr>
              <w:jc w:val="center"/>
            </w:pPr>
            <w:r>
              <w:t>2020-09-29</w:t>
            </w:r>
          </w:p>
        </w:tc>
      </w:tr>
      <w:tr w:rsidR="00673FF9">
        <w:tc>
          <w:tcPr>
            <w:tcW w:w="7054" w:type="dxa"/>
          </w:tcPr>
          <w:p w:rsidR="00673FF9" w:rsidRDefault="00D61F4E">
            <w:pPr>
              <w:jc w:val="left"/>
            </w:pPr>
            <w:r>
              <w:t>易方达基金管理有限公司高级管理人员变更公告</w:t>
            </w:r>
          </w:p>
        </w:tc>
        <w:tc>
          <w:tcPr>
            <w:tcW w:w="1559" w:type="dxa"/>
          </w:tcPr>
          <w:p w:rsidR="00673FF9" w:rsidRDefault="00D61F4E">
            <w:pPr>
              <w:jc w:val="center"/>
            </w:pPr>
            <w:r>
              <w:t>2020-09-30</w:t>
            </w:r>
          </w:p>
        </w:tc>
      </w:tr>
      <w:tr w:rsidR="00673FF9">
        <w:tc>
          <w:tcPr>
            <w:tcW w:w="7054" w:type="dxa"/>
          </w:tcPr>
          <w:p w:rsidR="00673FF9" w:rsidRDefault="00D61F4E">
            <w:pPr>
              <w:jc w:val="left"/>
            </w:pPr>
            <w:r>
              <w:t>易方达基金管理有限公司关于旗下部分基金修订基金合同、托管协议的公告</w:t>
            </w:r>
          </w:p>
        </w:tc>
        <w:tc>
          <w:tcPr>
            <w:tcW w:w="1559" w:type="dxa"/>
          </w:tcPr>
          <w:p w:rsidR="00673FF9" w:rsidRDefault="00D61F4E">
            <w:pPr>
              <w:jc w:val="center"/>
            </w:pPr>
            <w:r>
              <w:t>2020-10-14</w:t>
            </w:r>
          </w:p>
        </w:tc>
      </w:tr>
      <w:tr w:rsidR="00673FF9">
        <w:tc>
          <w:tcPr>
            <w:tcW w:w="7054" w:type="dxa"/>
          </w:tcPr>
          <w:p w:rsidR="00673FF9" w:rsidRDefault="00D61F4E">
            <w:pPr>
              <w:jc w:val="left"/>
            </w:pPr>
            <w:r>
              <w:t>易方达基金管理有限公司旗下基金</w:t>
            </w:r>
            <w:r>
              <w:t>2020</w:t>
            </w:r>
            <w:r>
              <w:t>年第</w:t>
            </w:r>
            <w:r>
              <w:t>3</w:t>
            </w:r>
            <w:r>
              <w:t>季度报告提示性公告</w:t>
            </w:r>
          </w:p>
        </w:tc>
        <w:tc>
          <w:tcPr>
            <w:tcW w:w="1559" w:type="dxa"/>
          </w:tcPr>
          <w:p w:rsidR="00673FF9" w:rsidRDefault="00D61F4E">
            <w:pPr>
              <w:jc w:val="center"/>
            </w:pPr>
            <w:r>
              <w:t>2020-10-28</w:t>
            </w:r>
          </w:p>
        </w:tc>
      </w:tr>
      <w:tr w:rsidR="00673FF9">
        <w:tc>
          <w:tcPr>
            <w:tcW w:w="7054" w:type="dxa"/>
          </w:tcPr>
          <w:p w:rsidR="00673FF9" w:rsidRDefault="00D61F4E">
            <w:pPr>
              <w:jc w:val="left"/>
            </w:pPr>
            <w:r>
              <w:t>易方达基金管理有限公司关于设立深圳分公司的公告</w:t>
            </w:r>
          </w:p>
        </w:tc>
        <w:tc>
          <w:tcPr>
            <w:tcW w:w="1559" w:type="dxa"/>
          </w:tcPr>
          <w:p w:rsidR="00673FF9" w:rsidRDefault="00D61F4E">
            <w:pPr>
              <w:jc w:val="center"/>
            </w:pPr>
            <w:r>
              <w:t>2020-10-28</w:t>
            </w:r>
          </w:p>
        </w:tc>
      </w:tr>
      <w:tr w:rsidR="00673FF9">
        <w:tc>
          <w:tcPr>
            <w:tcW w:w="7054" w:type="dxa"/>
          </w:tcPr>
          <w:p w:rsidR="00673FF9" w:rsidRDefault="00D61F4E">
            <w:pPr>
              <w:jc w:val="left"/>
            </w:pPr>
            <w:r>
              <w:t>易方达基金管理有限公司旗下部分开放式基金增加兰州银行为销售机构的公告</w:t>
            </w:r>
          </w:p>
        </w:tc>
        <w:tc>
          <w:tcPr>
            <w:tcW w:w="1559" w:type="dxa"/>
          </w:tcPr>
          <w:p w:rsidR="00673FF9" w:rsidRDefault="00D61F4E">
            <w:pPr>
              <w:jc w:val="center"/>
            </w:pPr>
            <w:r>
              <w:t>2020-10-30</w:t>
            </w:r>
          </w:p>
        </w:tc>
      </w:tr>
      <w:tr w:rsidR="00673FF9">
        <w:tc>
          <w:tcPr>
            <w:tcW w:w="7054" w:type="dxa"/>
          </w:tcPr>
          <w:p w:rsidR="00673FF9" w:rsidRDefault="00D61F4E">
            <w:pPr>
              <w:jc w:val="left"/>
            </w:pPr>
            <w:r>
              <w:t>易方达基金管理有限公司关于通过大泰金石基金销售有限公司购买并持有本公司旗下基金的投资者及时办理转托管的提示性公告</w:t>
            </w:r>
          </w:p>
        </w:tc>
        <w:tc>
          <w:tcPr>
            <w:tcW w:w="1559" w:type="dxa"/>
          </w:tcPr>
          <w:p w:rsidR="00673FF9" w:rsidRDefault="00D61F4E">
            <w:pPr>
              <w:jc w:val="center"/>
            </w:pPr>
            <w:r>
              <w:t>2020-10-31</w:t>
            </w:r>
          </w:p>
        </w:tc>
      </w:tr>
      <w:tr w:rsidR="00673FF9">
        <w:tc>
          <w:tcPr>
            <w:tcW w:w="7054" w:type="dxa"/>
          </w:tcPr>
          <w:p w:rsidR="00673FF9" w:rsidRDefault="00D61F4E">
            <w:pPr>
              <w:jc w:val="left"/>
            </w:pPr>
            <w:r>
              <w:t>易方达基金管理有限公司关于旗下部分基金获配开润股份（</w:t>
            </w:r>
            <w:r>
              <w:t>300577</w:t>
            </w:r>
            <w:r>
              <w:t>）非公开发行</w:t>
            </w:r>
            <w:r>
              <w:t>A</w:t>
            </w:r>
            <w:r>
              <w:t>股的公告</w:t>
            </w:r>
          </w:p>
        </w:tc>
        <w:tc>
          <w:tcPr>
            <w:tcW w:w="1559" w:type="dxa"/>
          </w:tcPr>
          <w:p w:rsidR="00673FF9" w:rsidRDefault="00D61F4E">
            <w:pPr>
              <w:jc w:val="center"/>
            </w:pPr>
            <w:r>
              <w:t>2020-11-11</w:t>
            </w:r>
          </w:p>
        </w:tc>
      </w:tr>
      <w:tr w:rsidR="00673FF9">
        <w:tc>
          <w:tcPr>
            <w:tcW w:w="7054" w:type="dxa"/>
          </w:tcPr>
          <w:p w:rsidR="00673FF9" w:rsidRDefault="00D61F4E">
            <w:pPr>
              <w:jc w:val="left"/>
            </w:pPr>
            <w:r>
              <w:t>易方达基金管理有限公司旗下部分开放式基金增加万和证券为销售机构的公告</w:t>
            </w:r>
          </w:p>
        </w:tc>
        <w:tc>
          <w:tcPr>
            <w:tcW w:w="1559" w:type="dxa"/>
          </w:tcPr>
          <w:p w:rsidR="00673FF9" w:rsidRDefault="00D61F4E">
            <w:pPr>
              <w:jc w:val="center"/>
            </w:pPr>
            <w:r>
              <w:t>2020-11-20</w:t>
            </w:r>
          </w:p>
        </w:tc>
      </w:tr>
      <w:tr w:rsidR="00673FF9">
        <w:tc>
          <w:tcPr>
            <w:tcW w:w="7054" w:type="dxa"/>
          </w:tcPr>
          <w:p w:rsidR="00673FF9" w:rsidRDefault="00D61F4E">
            <w:pPr>
              <w:jc w:val="left"/>
            </w:pPr>
            <w:r>
              <w:t>易方达基金管理有限公司关于旗下部分基金获配仁和药业（</w:t>
            </w:r>
            <w:r>
              <w:t>000650</w:t>
            </w:r>
            <w:r>
              <w:t>）非公开发行</w:t>
            </w:r>
            <w:r>
              <w:t>A</w:t>
            </w:r>
            <w:r>
              <w:t>股的公告</w:t>
            </w:r>
          </w:p>
        </w:tc>
        <w:tc>
          <w:tcPr>
            <w:tcW w:w="1559" w:type="dxa"/>
          </w:tcPr>
          <w:p w:rsidR="00673FF9" w:rsidRDefault="00D61F4E">
            <w:pPr>
              <w:jc w:val="center"/>
            </w:pPr>
            <w:r>
              <w:t>2020-11-21</w:t>
            </w:r>
          </w:p>
        </w:tc>
      </w:tr>
      <w:tr w:rsidR="00673FF9">
        <w:tc>
          <w:tcPr>
            <w:tcW w:w="7054" w:type="dxa"/>
          </w:tcPr>
          <w:p w:rsidR="00673FF9" w:rsidRDefault="00D61F4E">
            <w:pPr>
              <w:jc w:val="left"/>
            </w:pPr>
            <w:r>
              <w:t>易方达基金管理有限公司关于暂停上海久富财富基金销售有限公司办理旗下基金相关销售业务的公告</w:t>
            </w:r>
          </w:p>
        </w:tc>
        <w:tc>
          <w:tcPr>
            <w:tcW w:w="1559" w:type="dxa"/>
          </w:tcPr>
          <w:p w:rsidR="00673FF9" w:rsidRDefault="00D61F4E">
            <w:pPr>
              <w:jc w:val="center"/>
            </w:pPr>
            <w:r>
              <w:t>2020-12-08</w:t>
            </w:r>
          </w:p>
        </w:tc>
      </w:tr>
      <w:tr w:rsidR="00673FF9">
        <w:tc>
          <w:tcPr>
            <w:tcW w:w="7054" w:type="dxa"/>
          </w:tcPr>
          <w:p w:rsidR="00673FF9" w:rsidRDefault="00D61F4E">
            <w:pPr>
              <w:jc w:val="left"/>
            </w:pPr>
            <w:r>
              <w:t>易方达科翔混合型证券投资基金暂停机构客户大额申购及大额转换转入业务的公告</w:t>
            </w:r>
          </w:p>
        </w:tc>
        <w:tc>
          <w:tcPr>
            <w:tcW w:w="1559" w:type="dxa"/>
          </w:tcPr>
          <w:p w:rsidR="00673FF9" w:rsidRDefault="00D61F4E">
            <w:pPr>
              <w:jc w:val="center"/>
            </w:pPr>
            <w:r>
              <w:t>2020-12-09</w:t>
            </w:r>
          </w:p>
        </w:tc>
      </w:tr>
      <w:tr w:rsidR="00673FF9">
        <w:tc>
          <w:tcPr>
            <w:tcW w:w="7054" w:type="dxa"/>
          </w:tcPr>
          <w:p w:rsidR="00673FF9" w:rsidRDefault="00D61F4E">
            <w:pPr>
              <w:jc w:val="left"/>
            </w:pPr>
            <w:r>
              <w:t>易方达科翔混合型证券投资基金分红公告</w:t>
            </w:r>
          </w:p>
        </w:tc>
        <w:tc>
          <w:tcPr>
            <w:tcW w:w="1559" w:type="dxa"/>
          </w:tcPr>
          <w:p w:rsidR="00673FF9" w:rsidRDefault="00D61F4E">
            <w:pPr>
              <w:jc w:val="center"/>
            </w:pPr>
            <w:r>
              <w:t>2020-12-10</w:t>
            </w:r>
          </w:p>
        </w:tc>
      </w:tr>
      <w:tr w:rsidR="00673FF9">
        <w:tc>
          <w:tcPr>
            <w:tcW w:w="7054" w:type="dxa"/>
          </w:tcPr>
          <w:p w:rsidR="00673FF9" w:rsidRDefault="00D61F4E">
            <w:pPr>
              <w:jc w:val="left"/>
            </w:pPr>
            <w:r>
              <w:t>关于警惕冒用易方达基金管理有限公司名义进行诈骗活动的特别提示公告</w:t>
            </w:r>
          </w:p>
        </w:tc>
        <w:tc>
          <w:tcPr>
            <w:tcW w:w="1559" w:type="dxa"/>
          </w:tcPr>
          <w:p w:rsidR="00673FF9" w:rsidRDefault="00D61F4E">
            <w:pPr>
              <w:jc w:val="center"/>
            </w:pPr>
            <w:r>
              <w:t>2020-12-10</w:t>
            </w:r>
          </w:p>
        </w:tc>
      </w:tr>
      <w:tr w:rsidR="00673FF9">
        <w:tc>
          <w:tcPr>
            <w:tcW w:w="7054" w:type="dxa"/>
          </w:tcPr>
          <w:p w:rsidR="00673FF9" w:rsidRDefault="00D61F4E">
            <w:pPr>
              <w:jc w:val="left"/>
            </w:pPr>
            <w:r>
              <w:t>易方达基金管理有限公司关于旗下部分基金获配通威股份（</w:t>
            </w:r>
            <w:r>
              <w:t>600438</w:t>
            </w:r>
            <w:r>
              <w:t>）非公开发行</w:t>
            </w:r>
            <w:r>
              <w:t>A</w:t>
            </w:r>
            <w:r>
              <w:t>股的公告</w:t>
            </w:r>
          </w:p>
        </w:tc>
        <w:tc>
          <w:tcPr>
            <w:tcW w:w="1559" w:type="dxa"/>
          </w:tcPr>
          <w:p w:rsidR="00673FF9" w:rsidRDefault="00D61F4E">
            <w:pPr>
              <w:jc w:val="center"/>
            </w:pPr>
            <w:r>
              <w:t>2020-12-12</w:t>
            </w:r>
          </w:p>
        </w:tc>
      </w:tr>
      <w:tr w:rsidR="00673FF9">
        <w:tc>
          <w:tcPr>
            <w:tcW w:w="7054" w:type="dxa"/>
          </w:tcPr>
          <w:p w:rsidR="00673FF9" w:rsidRDefault="00D61F4E">
            <w:pPr>
              <w:jc w:val="left"/>
            </w:pPr>
            <w:r>
              <w:t>易方达基金管理有限公司高级管理人员变更公告</w:t>
            </w:r>
          </w:p>
        </w:tc>
        <w:tc>
          <w:tcPr>
            <w:tcW w:w="1559" w:type="dxa"/>
          </w:tcPr>
          <w:p w:rsidR="00673FF9" w:rsidRDefault="00D61F4E">
            <w:pPr>
              <w:jc w:val="center"/>
            </w:pPr>
            <w:r>
              <w:t>2020-12-12</w:t>
            </w:r>
          </w:p>
        </w:tc>
      </w:tr>
      <w:tr w:rsidR="00673FF9">
        <w:tc>
          <w:tcPr>
            <w:tcW w:w="7054" w:type="dxa"/>
          </w:tcPr>
          <w:p w:rsidR="00673FF9" w:rsidRDefault="00D61F4E">
            <w:pPr>
              <w:jc w:val="left"/>
            </w:pPr>
            <w:r>
              <w:t>易方达基金管理有限公司关于通过深圳宜投基金销售有限公司购买并持有本公司旗下基金的投资者及时办理转托管的提示性公告</w:t>
            </w:r>
          </w:p>
        </w:tc>
        <w:tc>
          <w:tcPr>
            <w:tcW w:w="1559" w:type="dxa"/>
          </w:tcPr>
          <w:p w:rsidR="00673FF9" w:rsidRDefault="00D61F4E">
            <w:pPr>
              <w:jc w:val="center"/>
            </w:pPr>
            <w:r>
              <w:t>2020-12-16</w:t>
            </w:r>
          </w:p>
        </w:tc>
      </w:tr>
      <w:tr w:rsidR="00673FF9">
        <w:tc>
          <w:tcPr>
            <w:tcW w:w="7054" w:type="dxa"/>
          </w:tcPr>
          <w:p w:rsidR="00673FF9" w:rsidRDefault="00D61F4E">
            <w:pPr>
              <w:jc w:val="left"/>
            </w:pPr>
            <w:r>
              <w:t>易方达基金管理有限公司关于通过浙江金观诚基金销售有限公司购买并持有本公司旗下基金的投资者及时办理转托管的提示性公告</w:t>
            </w:r>
          </w:p>
        </w:tc>
        <w:tc>
          <w:tcPr>
            <w:tcW w:w="1559" w:type="dxa"/>
          </w:tcPr>
          <w:p w:rsidR="00673FF9" w:rsidRDefault="00D61F4E">
            <w:pPr>
              <w:jc w:val="center"/>
            </w:pPr>
            <w:r>
              <w:t>2020-12-16</w:t>
            </w:r>
          </w:p>
        </w:tc>
      </w:tr>
      <w:tr w:rsidR="00673FF9">
        <w:tc>
          <w:tcPr>
            <w:tcW w:w="7054" w:type="dxa"/>
          </w:tcPr>
          <w:p w:rsidR="00673FF9" w:rsidRDefault="00D61F4E">
            <w:pPr>
              <w:jc w:val="left"/>
            </w:pPr>
            <w:r>
              <w:t>易方达基金管理有限公司关于通过上海久富财富基金销售有限公司购买并持有本公司旗下基金的投资者及时办理转托管的提示性公告</w:t>
            </w:r>
          </w:p>
        </w:tc>
        <w:tc>
          <w:tcPr>
            <w:tcW w:w="1559" w:type="dxa"/>
          </w:tcPr>
          <w:p w:rsidR="00673FF9" w:rsidRDefault="00D61F4E">
            <w:pPr>
              <w:jc w:val="center"/>
            </w:pPr>
            <w:r>
              <w:t>2020-12-16</w:t>
            </w:r>
          </w:p>
        </w:tc>
      </w:tr>
      <w:tr w:rsidR="00673FF9">
        <w:tc>
          <w:tcPr>
            <w:tcW w:w="7054" w:type="dxa"/>
          </w:tcPr>
          <w:p w:rsidR="00673FF9" w:rsidRDefault="00D61F4E">
            <w:pPr>
              <w:jc w:val="left"/>
            </w:pPr>
            <w:r>
              <w:lastRenderedPageBreak/>
              <w:t>易方达基金管理有限公司旗下部分开放式基金增加东方财富证券为销售机构的公告</w:t>
            </w:r>
          </w:p>
        </w:tc>
        <w:tc>
          <w:tcPr>
            <w:tcW w:w="1559" w:type="dxa"/>
          </w:tcPr>
          <w:p w:rsidR="00673FF9" w:rsidRDefault="00D61F4E">
            <w:pPr>
              <w:jc w:val="center"/>
            </w:pPr>
            <w:r>
              <w:t>2021-01-12</w:t>
            </w:r>
          </w:p>
        </w:tc>
      </w:tr>
      <w:tr w:rsidR="00673FF9">
        <w:tc>
          <w:tcPr>
            <w:tcW w:w="7054" w:type="dxa"/>
          </w:tcPr>
          <w:p w:rsidR="00673FF9" w:rsidRDefault="00D61F4E">
            <w:pPr>
              <w:jc w:val="left"/>
            </w:pPr>
            <w:r>
              <w:t>易方达基金管理有限公司旗下基金</w:t>
            </w:r>
            <w:r>
              <w:t>2020</w:t>
            </w:r>
            <w:r>
              <w:t>年第</w:t>
            </w:r>
            <w:r>
              <w:t>4</w:t>
            </w:r>
            <w:r>
              <w:t>季度报告提示性公告</w:t>
            </w:r>
          </w:p>
        </w:tc>
        <w:tc>
          <w:tcPr>
            <w:tcW w:w="1559" w:type="dxa"/>
          </w:tcPr>
          <w:p w:rsidR="00673FF9" w:rsidRDefault="00D61F4E">
            <w:pPr>
              <w:jc w:val="center"/>
            </w:pPr>
            <w:r>
              <w:t>2021-01-21</w:t>
            </w:r>
          </w:p>
        </w:tc>
      </w:tr>
      <w:tr w:rsidR="00673FF9">
        <w:tc>
          <w:tcPr>
            <w:tcW w:w="7054" w:type="dxa"/>
          </w:tcPr>
          <w:p w:rsidR="00673FF9" w:rsidRDefault="00D61F4E">
            <w:pPr>
              <w:jc w:val="left"/>
            </w:pPr>
            <w:r>
              <w:t>易方达基金管理有限公司高级管理人员变更公告</w:t>
            </w:r>
          </w:p>
        </w:tc>
        <w:tc>
          <w:tcPr>
            <w:tcW w:w="1559" w:type="dxa"/>
          </w:tcPr>
          <w:p w:rsidR="00673FF9" w:rsidRDefault="00D61F4E">
            <w:pPr>
              <w:jc w:val="center"/>
            </w:pPr>
            <w:r>
              <w:t>2021-01-23</w:t>
            </w:r>
          </w:p>
        </w:tc>
      </w:tr>
      <w:tr w:rsidR="00673FF9">
        <w:tc>
          <w:tcPr>
            <w:tcW w:w="7054" w:type="dxa"/>
          </w:tcPr>
          <w:p w:rsidR="00673FF9" w:rsidRDefault="00D61F4E">
            <w:pPr>
              <w:jc w:val="left"/>
            </w:pPr>
            <w:r>
              <w:t>易方达基金管理有限公司旗下部分开放式基金增加长城华西银行为销售机构的公告</w:t>
            </w:r>
          </w:p>
        </w:tc>
        <w:tc>
          <w:tcPr>
            <w:tcW w:w="1559" w:type="dxa"/>
          </w:tcPr>
          <w:p w:rsidR="00673FF9" w:rsidRDefault="00D61F4E">
            <w:pPr>
              <w:jc w:val="center"/>
            </w:pPr>
            <w:r>
              <w:t>2021-01-28</w:t>
            </w:r>
          </w:p>
        </w:tc>
      </w:tr>
      <w:tr w:rsidR="00673FF9">
        <w:tc>
          <w:tcPr>
            <w:tcW w:w="7054" w:type="dxa"/>
          </w:tcPr>
          <w:p w:rsidR="00673FF9" w:rsidRDefault="00D61F4E">
            <w:pPr>
              <w:jc w:val="left"/>
            </w:pPr>
            <w:r>
              <w:t>易方达科翔混合型证券投资基金暂停机构客户大额申购及大额转换转入业务的公告</w:t>
            </w:r>
          </w:p>
        </w:tc>
        <w:tc>
          <w:tcPr>
            <w:tcW w:w="1559" w:type="dxa"/>
          </w:tcPr>
          <w:p w:rsidR="00673FF9" w:rsidRDefault="00D61F4E">
            <w:pPr>
              <w:jc w:val="center"/>
            </w:pPr>
            <w:r>
              <w:t>2021-01-28</w:t>
            </w:r>
          </w:p>
        </w:tc>
      </w:tr>
      <w:tr w:rsidR="00673FF9">
        <w:tc>
          <w:tcPr>
            <w:tcW w:w="7054" w:type="dxa"/>
          </w:tcPr>
          <w:p w:rsidR="00673FF9" w:rsidRDefault="00D61F4E">
            <w:pPr>
              <w:jc w:val="left"/>
            </w:pPr>
            <w:r>
              <w:t>易方达科翔混合型证券投资基金分红公告</w:t>
            </w:r>
          </w:p>
        </w:tc>
        <w:tc>
          <w:tcPr>
            <w:tcW w:w="1559" w:type="dxa"/>
          </w:tcPr>
          <w:p w:rsidR="00673FF9" w:rsidRDefault="00D61F4E">
            <w:pPr>
              <w:jc w:val="center"/>
            </w:pPr>
            <w:r>
              <w:t>2021-01-29</w:t>
            </w:r>
          </w:p>
        </w:tc>
      </w:tr>
      <w:tr w:rsidR="00673FF9">
        <w:tc>
          <w:tcPr>
            <w:tcW w:w="7054" w:type="dxa"/>
          </w:tcPr>
          <w:p w:rsidR="00673FF9" w:rsidRDefault="00D61F4E">
            <w:pPr>
              <w:jc w:val="left"/>
            </w:pPr>
            <w:r>
              <w:t>易方达基金管理有限公司关于旗下部分基金获配雅化集团（</w:t>
            </w:r>
            <w:r>
              <w:t>002497</w:t>
            </w:r>
            <w:r>
              <w:t>）非公开发行</w:t>
            </w:r>
            <w:r>
              <w:t>A</w:t>
            </w:r>
            <w:r>
              <w:t>股的公告</w:t>
            </w:r>
          </w:p>
        </w:tc>
        <w:tc>
          <w:tcPr>
            <w:tcW w:w="1559" w:type="dxa"/>
          </w:tcPr>
          <w:p w:rsidR="00673FF9" w:rsidRDefault="00D61F4E">
            <w:pPr>
              <w:jc w:val="center"/>
            </w:pPr>
            <w:r>
              <w:t>2021-01-29</w:t>
            </w:r>
          </w:p>
        </w:tc>
      </w:tr>
      <w:tr w:rsidR="00673FF9">
        <w:tc>
          <w:tcPr>
            <w:tcW w:w="7054" w:type="dxa"/>
          </w:tcPr>
          <w:p w:rsidR="00673FF9" w:rsidRDefault="00D61F4E">
            <w:pPr>
              <w:jc w:val="left"/>
            </w:pPr>
            <w:r>
              <w:t>易方达基金管理有限公司关于旗下部分基金获配卓胜微（</w:t>
            </w:r>
            <w:r>
              <w:t>300782</w:t>
            </w:r>
            <w:r>
              <w:t>）非公开发行</w:t>
            </w:r>
            <w:r>
              <w:t>A</w:t>
            </w:r>
            <w:r>
              <w:t>股的公告</w:t>
            </w:r>
          </w:p>
        </w:tc>
        <w:tc>
          <w:tcPr>
            <w:tcW w:w="1559" w:type="dxa"/>
          </w:tcPr>
          <w:p w:rsidR="00673FF9" w:rsidRDefault="00D61F4E">
            <w:pPr>
              <w:jc w:val="center"/>
            </w:pPr>
            <w:r>
              <w:t>2021-01-30</w:t>
            </w:r>
          </w:p>
        </w:tc>
      </w:tr>
      <w:tr w:rsidR="00673FF9">
        <w:tc>
          <w:tcPr>
            <w:tcW w:w="7054" w:type="dxa"/>
          </w:tcPr>
          <w:p w:rsidR="00673FF9" w:rsidRDefault="00D61F4E">
            <w:pPr>
              <w:jc w:val="left"/>
            </w:pPr>
            <w:r>
              <w:t>易方达基金管理有限公司关于终止包商银行股份有限公司办理本公司旗下基金销售业务的公告</w:t>
            </w:r>
          </w:p>
        </w:tc>
        <w:tc>
          <w:tcPr>
            <w:tcW w:w="1559" w:type="dxa"/>
          </w:tcPr>
          <w:p w:rsidR="00673FF9" w:rsidRDefault="00D61F4E">
            <w:pPr>
              <w:jc w:val="center"/>
            </w:pPr>
            <w:r>
              <w:t>2021-02-08</w:t>
            </w:r>
          </w:p>
        </w:tc>
      </w:tr>
      <w:tr w:rsidR="00673FF9">
        <w:tc>
          <w:tcPr>
            <w:tcW w:w="7054" w:type="dxa"/>
          </w:tcPr>
          <w:p w:rsidR="00673FF9" w:rsidRDefault="00D61F4E">
            <w:pPr>
              <w:jc w:val="left"/>
            </w:pPr>
            <w:r>
              <w:t>易方达基金管理有限公司旗下部分开放式基金增加基煜基金为销售机构的公告</w:t>
            </w:r>
          </w:p>
        </w:tc>
        <w:tc>
          <w:tcPr>
            <w:tcW w:w="1559" w:type="dxa"/>
          </w:tcPr>
          <w:p w:rsidR="00673FF9" w:rsidRDefault="00D61F4E">
            <w:pPr>
              <w:jc w:val="center"/>
            </w:pPr>
            <w:r>
              <w:t>2021-02-09</w:t>
            </w:r>
          </w:p>
        </w:tc>
      </w:tr>
      <w:tr w:rsidR="00673FF9">
        <w:tc>
          <w:tcPr>
            <w:tcW w:w="7054" w:type="dxa"/>
          </w:tcPr>
          <w:p w:rsidR="00673FF9" w:rsidRDefault="00D61F4E">
            <w:pPr>
              <w:jc w:val="left"/>
            </w:pPr>
            <w:r>
              <w:t>易方达基金管理有限公司旗下部分开放式基金增加英大证券为销售机构的公告</w:t>
            </w:r>
          </w:p>
        </w:tc>
        <w:tc>
          <w:tcPr>
            <w:tcW w:w="1559" w:type="dxa"/>
          </w:tcPr>
          <w:p w:rsidR="00673FF9" w:rsidRDefault="00D61F4E">
            <w:pPr>
              <w:jc w:val="center"/>
            </w:pPr>
            <w:r>
              <w:t>2021-02-10</w:t>
            </w:r>
          </w:p>
        </w:tc>
      </w:tr>
      <w:tr w:rsidR="00673FF9">
        <w:tc>
          <w:tcPr>
            <w:tcW w:w="7054" w:type="dxa"/>
          </w:tcPr>
          <w:p w:rsidR="00673FF9" w:rsidRDefault="00D61F4E">
            <w:pPr>
              <w:jc w:val="left"/>
            </w:pPr>
            <w:r>
              <w:t>易方达基金管理有限公司关于旗下部分基金获配华友钴业（</w:t>
            </w:r>
            <w:r>
              <w:t>603799</w:t>
            </w:r>
            <w:r>
              <w:t>）非公开发行</w:t>
            </w:r>
            <w:r>
              <w:t>A</w:t>
            </w:r>
            <w:r>
              <w:t>股的公告</w:t>
            </w:r>
          </w:p>
        </w:tc>
        <w:tc>
          <w:tcPr>
            <w:tcW w:w="1559" w:type="dxa"/>
          </w:tcPr>
          <w:p w:rsidR="00673FF9" w:rsidRDefault="00D61F4E">
            <w:pPr>
              <w:jc w:val="center"/>
            </w:pPr>
            <w:r>
              <w:t>2021-02-20</w:t>
            </w:r>
          </w:p>
        </w:tc>
      </w:tr>
      <w:tr w:rsidR="00673FF9">
        <w:tc>
          <w:tcPr>
            <w:tcW w:w="7054" w:type="dxa"/>
          </w:tcPr>
          <w:p w:rsidR="00673FF9" w:rsidRDefault="00D61F4E">
            <w:pPr>
              <w:jc w:val="left"/>
            </w:pPr>
            <w:r>
              <w:t>易方达基金管理有限公司关于旗下部分基金获配双林生物（</w:t>
            </w:r>
            <w:r>
              <w:t>000403</w:t>
            </w:r>
            <w:r>
              <w:t>）非公开发行</w:t>
            </w:r>
            <w:r>
              <w:t>A</w:t>
            </w:r>
            <w:r>
              <w:t>股的公告</w:t>
            </w:r>
          </w:p>
        </w:tc>
        <w:tc>
          <w:tcPr>
            <w:tcW w:w="1559" w:type="dxa"/>
          </w:tcPr>
          <w:p w:rsidR="00673FF9" w:rsidRDefault="00D61F4E">
            <w:pPr>
              <w:jc w:val="center"/>
            </w:pPr>
            <w:r>
              <w:t>2021-02-24</w:t>
            </w:r>
          </w:p>
        </w:tc>
      </w:tr>
      <w:tr w:rsidR="00673FF9">
        <w:tc>
          <w:tcPr>
            <w:tcW w:w="7054" w:type="dxa"/>
          </w:tcPr>
          <w:p w:rsidR="00673FF9" w:rsidRDefault="00D61F4E">
            <w:pPr>
              <w:jc w:val="left"/>
            </w:pPr>
            <w:r>
              <w:t>易方达基金管理有限公司旗下部分开放式基金增加植信基金为销售机构的公告</w:t>
            </w:r>
          </w:p>
        </w:tc>
        <w:tc>
          <w:tcPr>
            <w:tcW w:w="1559" w:type="dxa"/>
          </w:tcPr>
          <w:p w:rsidR="00673FF9" w:rsidRDefault="00D61F4E">
            <w:pPr>
              <w:jc w:val="center"/>
            </w:pPr>
            <w:r>
              <w:t>2021-03-12</w:t>
            </w:r>
          </w:p>
        </w:tc>
      </w:tr>
      <w:tr w:rsidR="00673FF9">
        <w:tc>
          <w:tcPr>
            <w:tcW w:w="7054" w:type="dxa"/>
          </w:tcPr>
          <w:p w:rsidR="00673FF9" w:rsidRDefault="00D61F4E">
            <w:pPr>
              <w:jc w:val="left"/>
            </w:pPr>
            <w:r>
              <w:t>易方达基金管理有限公司旗下基金</w:t>
            </w:r>
            <w:r>
              <w:t>2020</w:t>
            </w:r>
            <w:r>
              <w:t>年年度报告提示性公告</w:t>
            </w:r>
          </w:p>
        </w:tc>
        <w:tc>
          <w:tcPr>
            <w:tcW w:w="1559" w:type="dxa"/>
          </w:tcPr>
          <w:p w:rsidR="00673FF9" w:rsidRDefault="00D61F4E">
            <w:pPr>
              <w:jc w:val="center"/>
            </w:pPr>
            <w:r>
              <w:t>2021-03-30</w:t>
            </w:r>
          </w:p>
        </w:tc>
      </w:tr>
      <w:tr w:rsidR="00673FF9">
        <w:tc>
          <w:tcPr>
            <w:tcW w:w="7054" w:type="dxa"/>
          </w:tcPr>
          <w:p w:rsidR="00673FF9" w:rsidRDefault="00D61F4E">
            <w:pPr>
              <w:jc w:val="left"/>
            </w:pPr>
            <w:r>
              <w:t>易方达基金管理有限公司关于提醒投资者及时提供或更新身份信息资料的公告</w:t>
            </w:r>
          </w:p>
        </w:tc>
        <w:tc>
          <w:tcPr>
            <w:tcW w:w="1559" w:type="dxa"/>
          </w:tcPr>
          <w:p w:rsidR="00673FF9" w:rsidRDefault="00D61F4E">
            <w:pPr>
              <w:jc w:val="center"/>
            </w:pPr>
            <w:r>
              <w:t>2021-04-02</w:t>
            </w:r>
          </w:p>
        </w:tc>
      </w:tr>
      <w:tr w:rsidR="00673FF9">
        <w:tc>
          <w:tcPr>
            <w:tcW w:w="7054" w:type="dxa"/>
          </w:tcPr>
          <w:p w:rsidR="00673FF9" w:rsidRDefault="00D61F4E">
            <w:pPr>
              <w:jc w:val="left"/>
            </w:pPr>
            <w:r>
              <w:t>易方达基金管理有限公司旗下基金</w:t>
            </w:r>
            <w:r>
              <w:t>2021</w:t>
            </w:r>
            <w:r>
              <w:t>年第</w:t>
            </w:r>
            <w:r>
              <w:t>1</w:t>
            </w:r>
            <w:r>
              <w:t>季度报告提示性公告</w:t>
            </w:r>
          </w:p>
        </w:tc>
        <w:tc>
          <w:tcPr>
            <w:tcW w:w="1559" w:type="dxa"/>
          </w:tcPr>
          <w:p w:rsidR="00673FF9" w:rsidRDefault="00D61F4E">
            <w:pPr>
              <w:jc w:val="center"/>
            </w:pPr>
            <w:r>
              <w:t>2021-04-19</w:t>
            </w:r>
          </w:p>
        </w:tc>
      </w:tr>
    </w:tbl>
    <w:p w:rsidR="00626C7D" w:rsidRPr="004A57FA" w:rsidRDefault="007526EC" w:rsidP="00C53017">
      <w:pPr>
        <w:widowControl/>
        <w:snapToGrid w:val="0"/>
        <w:spacing w:line="360" w:lineRule="auto"/>
        <w:jc w:val="left"/>
        <w:rPr>
          <w:rFonts w:asciiTheme="minorEastAsia" w:eastAsiaTheme="minorEastAsia" w:hAnsiTheme="minorEastAsia"/>
          <w:szCs w:val="21"/>
        </w:rPr>
      </w:pPr>
      <w:r>
        <w:t>注：以上公告事项披露在规定媒介及基金管理人网站上。</w:t>
      </w: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Cs/>
        </w:rPr>
      </w:pPr>
      <w:bookmarkStart w:id="4167" w:name="_Toc81231073"/>
      <w:r w:rsidRPr="004A57FA">
        <w:rPr>
          <w:rFonts w:asciiTheme="minorEastAsia" w:eastAsiaTheme="minorEastAsia" w:hAnsiTheme="minorEastAsia" w:hint="eastAsia"/>
          <w:b/>
          <w:bCs/>
        </w:rPr>
        <w:lastRenderedPageBreak/>
        <w:t>二十六、招募说明书存放及查阅方式</w:t>
      </w:r>
      <w:bookmarkEnd w:id="4167"/>
    </w:p>
    <w:p w:rsidR="00AF2EE6" w:rsidRPr="004A57FA" w:rsidRDefault="00AF2EE6" w:rsidP="00C53017">
      <w:pPr>
        <w:snapToGrid w:val="0"/>
        <w:spacing w:line="360" w:lineRule="auto"/>
        <w:ind w:firstLine="480"/>
        <w:rPr>
          <w:rFonts w:asciiTheme="minorEastAsia" w:eastAsiaTheme="minorEastAsia" w:hAnsiTheme="minorEastAsia"/>
        </w:rPr>
      </w:pPr>
      <w:r w:rsidRPr="004A57FA">
        <w:rPr>
          <w:rFonts w:asciiTheme="minorEastAsia" w:eastAsiaTheme="minorEastAsia" w:hAnsiTheme="minorEastAsia" w:hint="eastAsia"/>
          <w:szCs w:val="21"/>
        </w:rPr>
        <w:t>本《招募说明书》存放在基金管理人、基金托管人及基金</w:t>
      </w:r>
      <w:r w:rsidR="00862DFC" w:rsidRPr="004A57FA">
        <w:rPr>
          <w:rFonts w:asciiTheme="minorEastAsia" w:eastAsiaTheme="minorEastAsia" w:hAnsiTheme="minorEastAsia" w:hint="eastAsia"/>
          <w:szCs w:val="21"/>
        </w:rPr>
        <w:t>销售</w:t>
      </w:r>
      <w:r w:rsidRPr="004A57FA">
        <w:rPr>
          <w:rFonts w:asciiTheme="minorEastAsia" w:eastAsiaTheme="minorEastAsia" w:hAnsiTheme="minorEastAsia" w:hint="eastAsia"/>
          <w:szCs w:val="21"/>
        </w:rPr>
        <w:t>机构</w:t>
      </w:r>
      <w:r w:rsidR="006179C1" w:rsidRPr="004A57FA">
        <w:rPr>
          <w:rFonts w:asciiTheme="minorEastAsia" w:eastAsiaTheme="minorEastAsia" w:hAnsiTheme="minorEastAsia"/>
          <w:szCs w:val="21"/>
        </w:rPr>
        <w:t>处</w:t>
      </w:r>
      <w:r w:rsidRPr="004A57FA">
        <w:rPr>
          <w:rFonts w:asciiTheme="minorEastAsia" w:eastAsiaTheme="minorEastAsia" w:hAnsiTheme="minorEastAsia" w:hint="eastAsia"/>
          <w:szCs w:val="21"/>
        </w:rPr>
        <w:t>，投资者可在营业时间免费查阅，也可按工本费购买复印件。</w:t>
      </w:r>
      <w:r w:rsidRPr="004A57FA">
        <w:rPr>
          <w:rFonts w:asciiTheme="minorEastAsia" w:eastAsiaTheme="minorEastAsia" w:hAnsiTheme="minorEastAsia"/>
        </w:rPr>
        <w:t>基金管理人和基金托管人保证</w:t>
      </w:r>
      <w:r w:rsidRPr="004A57FA">
        <w:rPr>
          <w:rFonts w:asciiTheme="minorEastAsia" w:eastAsiaTheme="minorEastAsia" w:hAnsiTheme="minorEastAsia" w:hint="eastAsia"/>
        </w:rPr>
        <w:t>其所提供的</w:t>
      </w:r>
      <w:r w:rsidRPr="004A57FA">
        <w:rPr>
          <w:rFonts w:asciiTheme="minorEastAsia" w:eastAsiaTheme="minorEastAsia" w:hAnsiTheme="minorEastAsia"/>
        </w:rPr>
        <w:t>文本的内容与所公告的内容完全一致。</w:t>
      </w:r>
    </w:p>
    <w:p w:rsidR="00AF2EE6" w:rsidRPr="004A57FA" w:rsidRDefault="00AF2EE6"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626C7D" w:rsidRPr="004A57FA" w:rsidRDefault="00626C7D" w:rsidP="00C53017">
      <w:pPr>
        <w:snapToGrid w:val="0"/>
        <w:spacing w:line="360" w:lineRule="auto"/>
        <w:ind w:firstLine="480"/>
        <w:rPr>
          <w:rFonts w:asciiTheme="minorEastAsia" w:eastAsiaTheme="minorEastAsia" w:hAnsiTheme="minorEastAsia"/>
        </w:rPr>
      </w:pPr>
    </w:p>
    <w:p w:rsidR="00385845" w:rsidRPr="004A57FA" w:rsidRDefault="00385845" w:rsidP="00C53017">
      <w:pPr>
        <w:widowControl/>
        <w:spacing w:line="360" w:lineRule="auto"/>
        <w:jc w:val="left"/>
        <w:rPr>
          <w:rFonts w:asciiTheme="minorEastAsia" w:eastAsiaTheme="minorEastAsia" w:hAnsiTheme="minorEastAsia"/>
          <w:b/>
          <w:bCs/>
          <w:sz w:val="32"/>
          <w:szCs w:val="32"/>
        </w:rPr>
      </w:pPr>
      <w:r w:rsidRPr="004A57FA">
        <w:rPr>
          <w:rFonts w:asciiTheme="minorEastAsia" w:eastAsiaTheme="minorEastAsia" w:hAnsiTheme="minorEastAsia"/>
          <w:b/>
          <w:bCs/>
        </w:rPr>
        <w:br w:type="page"/>
      </w:r>
    </w:p>
    <w:p w:rsidR="00AF2EE6" w:rsidRPr="004A57FA" w:rsidRDefault="00AF2EE6" w:rsidP="00C53017">
      <w:pPr>
        <w:pStyle w:val="1"/>
        <w:snapToGrid w:val="0"/>
        <w:spacing w:beforeLines="0" w:afterLines="0" w:line="360" w:lineRule="auto"/>
        <w:ind w:firstLine="643"/>
        <w:rPr>
          <w:rFonts w:asciiTheme="minorEastAsia" w:eastAsiaTheme="minorEastAsia" w:hAnsiTheme="minorEastAsia"/>
          <w:b/>
          <w:bCs/>
        </w:rPr>
      </w:pPr>
      <w:bookmarkStart w:id="4168" w:name="_Toc81231074"/>
      <w:bookmarkStart w:id="4169" w:name="_GoBack"/>
      <w:bookmarkEnd w:id="4169"/>
      <w:r w:rsidRPr="004A57FA">
        <w:rPr>
          <w:rFonts w:asciiTheme="minorEastAsia" w:eastAsiaTheme="minorEastAsia" w:hAnsiTheme="minorEastAsia" w:hint="eastAsia"/>
          <w:b/>
          <w:bCs/>
        </w:rPr>
        <w:lastRenderedPageBreak/>
        <w:t>二十七、备查文件</w:t>
      </w:r>
      <w:bookmarkEnd w:id="4168"/>
    </w:p>
    <w:p w:rsidR="00AF2EE6" w:rsidRPr="004A57FA" w:rsidRDefault="00AF2EE6" w:rsidP="00C53017">
      <w:pPr>
        <w:pStyle w:val="ac"/>
        <w:autoSpaceDE w:val="0"/>
        <w:autoSpaceDN w:val="0"/>
        <w:adjustRightInd w:val="0"/>
        <w:snapToGrid w:val="0"/>
        <w:spacing w:after="0" w:line="360" w:lineRule="auto"/>
        <w:ind w:firstLineChars="200"/>
        <w:rPr>
          <w:rFonts w:asciiTheme="minorEastAsia" w:eastAsiaTheme="minorEastAsia" w:hAnsiTheme="minorEastAsia" w:cs="宋体"/>
          <w:kern w:val="0"/>
          <w:szCs w:val="21"/>
        </w:rPr>
      </w:pPr>
      <w:r w:rsidRPr="004A57FA">
        <w:rPr>
          <w:rFonts w:asciiTheme="minorEastAsia" w:eastAsiaTheme="minorEastAsia" w:hAnsiTheme="minorEastAsia" w:hint="eastAsia"/>
        </w:rPr>
        <w:t>1</w:t>
      </w:r>
      <w:r w:rsidR="00626C7D" w:rsidRPr="004A57FA">
        <w:rPr>
          <w:rFonts w:asciiTheme="minorEastAsia" w:eastAsiaTheme="minorEastAsia" w:hAnsiTheme="minorEastAsia" w:hint="eastAsia"/>
        </w:rPr>
        <w:t>、</w:t>
      </w:r>
      <w:r w:rsidRPr="004A57FA">
        <w:rPr>
          <w:rFonts w:asciiTheme="minorEastAsia" w:eastAsiaTheme="minorEastAsia" w:hAnsiTheme="minorEastAsia" w:cs="宋体" w:hint="eastAsia"/>
          <w:kern w:val="0"/>
          <w:szCs w:val="21"/>
        </w:rPr>
        <w:t>科翔证券投资基金基金份额持有人大会决议生效公告；</w:t>
      </w:r>
    </w:p>
    <w:p w:rsidR="00AF2EE6" w:rsidRPr="004A57FA" w:rsidRDefault="00626C7D" w:rsidP="00C53017">
      <w:pPr>
        <w:pStyle w:val="ac"/>
        <w:autoSpaceDE w:val="0"/>
        <w:autoSpaceDN w:val="0"/>
        <w:adjustRightInd w:val="0"/>
        <w:snapToGrid w:val="0"/>
        <w:spacing w:after="0" w:line="360" w:lineRule="auto"/>
        <w:ind w:firstLineChars="200"/>
        <w:rPr>
          <w:rFonts w:asciiTheme="minorEastAsia" w:eastAsiaTheme="minorEastAsia" w:hAnsiTheme="minorEastAsia" w:cs="宋体"/>
          <w:kern w:val="0"/>
          <w:szCs w:val="21"/>
        </w:rPr>
      </w:pPr>
      <w:r w:rsidRPr="004A57FA">
        <w:rPr>
          <w:rFonts w:asciiTheme="minorEastAsia" w:eastAsiaTheme="minorEastAsia" w:hAnsiTheme="minorEastAsia" w:cs="宋体" w:hint="eastAsia"/>
          <w:kern w:val="0"/>
          <w:szCs w:val="21"/>
        </w:rPr>
        <w:t>2、</w:t>
      </w:r>
      <w:r w:rsidR="00AF2EE6" w:rsidRPr="004A57FA">
        <w:rPr>
          <w:rFonts w:asciiTheme="minorEastAsia" w:eastAsiaTheme="minorEastAsia" w:hAnsiTheme="minorEastAsia" w:cs="宋体"/>
          <w:kern w:val="0"/>
          <w:szCs w:val="21"/>
        </w:rPr>
        <w:t>中国证监会《关于核准科翔证券投资基金基金份额持有人大会有关转换基金运作方式决议的批复》（证监许可[2008]1221号）</w:t>
      </w:r>
      <w:r w:rsidR="00F24964" w:rsidRPr="004A57FA">
        <w:rPr>
          <w:rFonts w:asciiTheme="minorEastAsia" w:eastAsiaTheme="minorEastAsia" w:hAnsiTheme="minorEastAsia" w:cs="宋体" w:hint="eastAsia"/>
          <w:kern w:val="0"/>
          <w:szCs w:val="21"/>
        </w:rPr>
        <w:t>；</w:t>
      </w:r>
    </w:p>
    <w:p w:rsidR="00AF2EE6" w:rsidRPr="004A57FA" w:rsidRDefault="00626C7D" w:rsidP="00C53017">
      <w:pPr>
        <w:pStyle w:val="ac"/>
        <w:autoSpaceDE w:val="0"/>
        <w:autoSpaceDN w:val="0"/>
        <w:adjustRightInd w:val="0"/>
        <w:snapToGrid w:val="0"/>
        <w:spacing w:after="0" w:line="360" w:lineRule="auto"/>
        <w:ind w:firstLineChars="0"/>
        <w:rPr>
          <w:rFonts w:asciiTheme="minorEastAsia" w:eastAsiaTheme="minorEastAsia" w:hAnsiTheme="minorEastAsia"/>
        </w:rPr>
      </w:pPr>
      <w:r w:rsidRPr="004A57FA">
        <w:rPr>
          <w:rFonts w:asciiTheme="minorEastAsia" w:eastAsiaTheme="minorEastAsia" w:hAnsiTheme="minorEastAsia" w:hint="eastAsia"/>
        </w:rPr>
        <w:t>3、</w:t>
      </w:r>
      <w:r w:rsidR="00AF2EE6" w:rsidRPr="004A57FA">
        <w:rPr>
          <w:rFonts w:asciiTheme="minorEastAsia" w:eastAsiaTheme="minorEastAsia" w:hAnsiTheme="minorEastAsia" w:hint="eastAsia"/>
        </w:rPr>
        <w:t>《易方达科翔</w:t>
      </w:r>
      <w:r w:rsidR="00D143F1" w:rsidRPr="004A57FA">
        <w:rPr>
          <w:rFonts w:asciiTheme="minorEastAsia" w:eastAsiaTheme="minorEastAsia" w:hAnsiTheme="minorEastAsia" w:hint="eastAsia"/>
        </w:rPr>
        <w:t>混合</w:t>
      </w:r>
      <w:r w:rsidR="00AF2EE6" w:rsidRPr="004A57FA">
        <w:rPr>
          <w:rFonts w:asciiTheme="minorEastAsia" w:eastAsiaTheme="minorEastAsia" w:hAnsiTheme="minorEastAsia" w:hint="eastAsia"/>
        </w:rPr>
        <w:t>型证券投资基金基金合同》；</w:t>
      </w:r>
    </w:p>
    <w:p w:rsidR="00AF2EE6" w:rsidRPr="004A57FA" w:rsidRDefault="00AF2EE6" w:rsidP="00C53017">
      <w:pPr>
        <w:pStyle w:val="ac"/>
        <w:autoSpaceDE w:val="0"/>
        <w:autoSpaceDN w:val="0"/>
        <w:adjustRightInd w:val="0"/>
        <w:snapToGrid w:val="0"/>
        <w:spacing w:after="0" w:line="360" w:lineRule="auto"/>
        <w:ind w:firstLineChars="0"/>
        <w:rPr>
          <w:rFonts w:asciiTheme="minorEastAsia" w:eastAsiaTheme="minorEastAsia" w:hAnsiTheme="minorEastAsia"/>
        </w:rPr>
      </w:pPr>
      <w:r w:rsidRPr="004A57FA">
        <w:rPr>
          <w:rFonts w:asciiTheme="minorEastAsia" w:eastAsiaTheme="minorEastAsia" w:hAnsiTheme="minorEastAsia" w:hint="eastAsia"/>
        </w:rPr>
        <w:t>4</w:t>
      </w:r>
      <w:r w:rsidR="00626C7D" w:rsidRPr="004A57FA">
        <w:rPr>
          <w:rFonts w:asciiTheme="minorEastAsia" w:eastAsiaTheme="minorEastAsia" w:hAnsiTheme="minorEastAsia" w:hint="eastAsia"/>
        </w:rPr>
        <w:t>、</w:t>
      </w:r>
      <w:r w:rsidRPr="004A57FA">
        <w:rPr>
          <w:rFonts w:asciiTheme="minorEastAsia" w:eastAsiaTheme="minorEastAsia" w:hAnsiTheme="minorEastAsia" w:hint="eastAsia"/>
        </w:rPr>
        <w:t>《易方达基金管理有限公司开放式基金业务规则》；</w:t>
      </w:r>
    </w:p>
    <w:p w:rsidR="00AF2EE6" w:rsidRPr="004A57FA" w:rsidRDefault="00AF2EE6"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rPr>
        <w:t>5</w:t>
      </w:r>
      <w:r w:rsidR="00626C7D" w:rsidRPr="004A57FA">
        <w:rPr>
          <w:rFonts w:asciiTheme="minorEastAsia" w:eastAsiaTheme="minorEastAsia" w:hAnsiTheme="minorEastAsia" w:hint="eastAsia"/>
          <w:szCs w:val="21"/>
        </w:rPr>
        <w:t>、</w:t>
      </w:r>
      <w:r w:rsidRPr="004A57FA">
        <w:rPr>
          <w:rFonts w:asciiTheme="minorEastAsia" w:eastAsiaTheme="minorEastAsia" w:hAnsiTheme="minorEastAsia" w:hint="eastAsia"/>
          <w:szCs w:val="21"/>
        </w:rPr>
        <w:t>《易方达科翔</w:t>
      </w:r>
      <w:r w:rsidR="00D143F1" w:rsidRPr="004A57FA">
        <w:rPr>
          <w:rFonts w:asciiTheme="minorEastAsia" w:eastAsiaTheme="minorEastAsia" w:hAnsiTheme="minorEastAsia" w:hint="eastAsia"/>
          <w:szCs w:val="21"/>
        </w:rPr>
        <w:t>混合</w:t>
      </w:r>
      <w:r w:rsidRPr="004A57FA">
        <w:rPr>
          <w:rFonts w:asciiTheme="minorEastAsia" w:eastAsiaTheme="minorEastAsia" w:hAnsiTheme="minorEastAsia" w:hint="eastAsia"/>
          <w:szCs w:val="21"/>
        </w:rPr>
        <w:t>型证券投资基金托管协议》；</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rPr>
        <w:t>6、</w:t>
      </w:r>
      <w:r w:rsidR="00AF2EE6" w:rsidRPr="004A57FA">
        <w:rPr>
          <w:rFonts w:asciiTheme="minorEastAsia" w:eastAsiaTheme="minorEastAsia" w:hAnsiTheme="minorEastAsia" w:hint="eastAsia"/>
        </w:rPr>
        <w:t>法律意见书；</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7、</w:t>
      </w:r>
      <w:r w:rsidR="00AF2EE6" w:rsidRPr="004A57FA">
        <w:rPr>
          <w:rFonts w:asciiTheme="minorEastAsia" w:eastAsiaTheme="minorEastAsia" w:hAnsiTheme="minorEastAsia" w:hint="eastAsia"/>
          <w:szCs w:val="21"/>
        </w:rPr>
        <w:t>基金管理人业务资格批件和营业执照；</w:t>
      </w:r>
    </w:p>
    <w:p w:rsidR="00AF2EE6" w:rsidRPr="004A57FA" w:rsidRDefault="00626C7D" w:rsidP="00C53017">
      <w:pPr>
        <w:snapToGrid w:val="0"/>
        <w:spacing w:line="360" w:lineRule="auto"/>
        <w:ind w:firstLine="420"/>
        <w:rPr>
          <w:rFonts w:asciiTheme="minorEastAsia" w:eastAsiaTheme="minorEastAsia" w:hAnsiTheme="minorEastAsia"/>
          <w:szCs w:val="21"/>
        </w:rPr>
      </w:pPr>
      <w:r w:rsidRPr="004A57FA">
        <w:rPr>
          <w:rFonts w:asciiTheme="minorEastAsia" w:eastAsiaTheme="minorEastAsia" w:hAnsiTheme="minorEastAsia" w:hint="eastAsia"/>
          <w:szCs w:val="21"/>
        </w:rPr>
        <w:t>8、</w:t>
      </w:r>
      <w:r w:rsidR="00AF2EE6" w:rsidRPr="004A57FA">
        <w:rPr>
          <w:rFonts w:asciiTheme="minorEastAsia" w:eastAsiaTheme="minorEastAsia" w:hAnsiTheme="minorEastAsia" w:hint="eastAsia"/>
          <w:szCs w:val="21"/>
        </w:rPr>
        <w:t>基金托管人业务资格批件和营业执照。</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存放地点：基金管理人、基金托管人处</w:t>
      </w:r>
    </w:p>
    <w:p w:rsidR="00AF2EE6" w:rsidRPr="004A57FA" w:rsidRDefault="00AF2EE6" w:rsidP="00C53017">
      <w:pPr>
        <w:snapToGrid w:val="0"/>
        <w:spacing w:line="360" w:lineRule="auto"/>
        <w:ind w:firstLineChars="200" w:firstLine="420"/>
        <w:rPr>
          <w:rFonts w:asciiTheme="minorEastAsia" w:eastAsiaTheme="minorEastAsia" w:hAnsiTheme="minorEastAsia"/>
        </w:rPr>
      </w:pPr>
      <w:r w:rsidRPr="004A57FA">
        <w:rPr>
          <w:rFonts w:asciiTheme="minorEastAsia" w:eastAsiaTheme="minorEastAsia" w:hAnsiTheme="minorEastAsia" w:hint="eastAsia"/>
        </w:rPr>
        <w:t>查阅方式：投资者可在营业时间免费查阅，也可按工本费购买复印件。</w:t>
      </w:r>
    </w:p>
    <w:p w:rsidR="00A169A7" w:rsidRPr="004A57FA" w:rsidRDefault="00A169A7" w:rsidP="00C53017">
      <w:pPr>
        <w:snapToGrid w:val="0"/>
        <w:spacing w:line="360" w:lineRule="auto"/>
        <w:ind w:left="360" w:firstLine="480"/>
        <w:jc w:val="right"/>
        <w:rPr>
          <w:rFonts w:asciiTheme="minorEastAsia" w:eastAsiaTheme="minorEastAsia" w:hAnsiTheme="minorEastAsia"/>
        </w:rPr>
      </w:pPr>
    </w:p>
    <w:p w:rsidR="00626C7D" w:rsidRPr="004A57FA" w:rsidRDefault="00626C7D" w:rsidP="00C53017">
      <w:pPr>
        <w:snapToGrid w:val="0"/>
        <w:spacing w:line="360" w:lineRule="auto"/>
        <w:ind w:left="360" w:firstLine="480"/>
        <w:jc w:val="right"/>
        <w:rPr>
          <w:rFonts w:asciiTheme="minorEastAsia" w:eastAsiaTheme="minorEastAsia" w:hAnsiTheme="minorEastAsia"/>
        </w:rPr>
      </w:pPr>
    </w:p>
    <w:p w:rsidR="00AF2EE6" w:rsidRPr="004A57FA" w:rsidRDefault="00AE0EF4" w:rsidP="00C53017">
      <w:pPr>
        <w:snapToGrid w:val="0"/>
        <w:spacing w:line="360" w:lineRule="auto"/>
        <w:jc w:val="right"/>
        <w:rPr>
          <w:rFonts w:asciiTheme="minorEastAsia" w:eastAsiaTheme="minorEastAsia" w:hAnsiTheme="minorEastAsia"/>
        </w:rPr>
      </w:pPr>
      <w:r w:rsidRPr="004A57FA">
        <w:rPr>
          <w:rFonts w:asciiTheme="minorEastAsia" w:eastAsiaTheme="minorEastAsia" w:hAnsiTheme="minorEastAsia" w:hint="eastAsia"/>
        </w:rPr>
        <w:t>易方达基金管理有限公司</w:t>
      </w:r>
    </w:p>
    <w:p w:rsidR="00A94BC6" w:rsidRPr="004A57FA" w:rsidRDefault="001E73A8" w:rsidP="00C53017">
      <w:pPr>
        <w:snapToGrid w:val="0"/>
        <w:spacing w:line="360" w:lineRule="auto"/>
        <w:ind w:right="315"/>
        <w:jc w:val="right"/>
        <w:rPr>
          <w:rFonts w:asciiTheme="minorEastAsia" w:eastAsiaTheme="minorEastAsia" w:hAnsiTheme="minorEastAsia"/>
        </w:rPr>
      </w:pPr>
      <w:r>
        <w:t>2021</w:t>
      </w:r>
      <w:r>
        <w:t>年</w:t>
      </w:r>
      <w:r>
        <w:t>8</w:t>
      </w:r>
      <w:r>
        <w:t>月</w:t>
      </w:r>
      <w:r>
        <w:t>3</w:t>
      </w:r>
      <w:r w:rsidR="00A805DC">
        <w:t>1</w:t>
      </w:r>
      <w:r>
        <w:t>日</w:t>
      </w:r>
    </w:p>
    <w:sectPr w:rsidR="00A94BC6" w:rsidRPr="004A57FA" w:rsidSect="00A805DC">
      <w:pgSz w:w="11907" w:h="16840" w:code="9"/>
      <w:pgMar w:top="1440" w:right="1800" w:bottom="1440" w:left="1800"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B9" w:rsidRDefault="00C614B9">
      <w:r>
        <w:separator/>
      </w:r>
    </w:p>
  </w:endnote>
  <w:endnote w:type="continuationSeparator" w:id="0">
    <w:p w:rsidR="00C614B9" w:rsidRDefault="00C6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end"/>
    </w:r>
  </w:p>
  <w:p w:rsidR="000B40E7" w:rsidRDefault="000B40E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pPr>
      <w:pStyle w:val="a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pPr>
      <w:pStyle w:val="a5"/>
      <w:framePr w:wrap="around" w:vAnchor="text" w:hAnchor="margin" w:xAlign="center" w:y="1"/>
      <w:ind w:firstLineChars="311" w:firstLine="560"/>
      <w:rPr>
        <w:rStyle w:val="a4"/>
      </w:rPr>
    </w:pPr>
    <w:r>
      <w:rPr>
        <w:rStyle w:val="a4"/>
      </w:rPr>
      <w:fldChar w:fldCharType="begin"/>
    </w:r>
    <w:r>
      <w:rPr>
        <w:rStyle w:val="a4"/>
      </w:rPr>
      <w:instrText xml:space="preserve">PAGE  </w:instrText>
    </w:r>
    <w:r>
      <w:rPr>
        <w:rStyle w:val="a4"/>
      </w:rPr>
      <w:fldChar w:fldCharType="separate"/>
    </w:r>
    <w:r w:rsidR="00365A7C">
      <w:rPr>
        <w:rStyle w:val="a4"/>
        <w:noProof/>
      </w:rPr>
      <w:t>163</w:t>
    </w:r>
    <w:r>
      <w:rPr>
        <w:rStyle w:val="a4"/>
      </w:rPr>
      <w:fldChar w:fldCharType="end"/>
    </w:r>
    <w:r>
      <w:rPr>
        <w:rStyle w:val="a4"/>
        <w:rFonts w:hint="eastAsia"/>
      </w:rPr>
      <w:t xml:space="preserve"> </w:t>
    </w:r>
  </w:p>
  <w:p w:rsidR="000B40E7" w:rsidRDefault="000B40E7">
    <w:pPr>
      <w:pStyle w:val="a5"/>
      <w:ind w:firstLineChars="2250" w:firstLine="40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rsidP="00A94BC6">
    <w:pPr>
      <w:pStyle w:val="a5"/>
      <w:framePr w:wrap="around" w:vAnchor="text" w:hAnchor="margin" w:xAlign="center" w:y="1"/>
      <w:ind w:firstLineChars="311" w:firstLine="560"/>
      <w:rPr>
        <w:rStyle w:val="a4"/>
      </w:rPr>
    </w:pPr>
    <w:r>
      <w:rPr>
        <w:rStyle w:val="a4"/>
      </w:rPr>
      <w:fldChar w:fldCharType="begin"/>
    </w:r>
    <w:r>
      <w:rPr>
        <w:rStyle w:val="a4"/>
      </w:rPr>
      <w:instrText xml:space="preserve">PAGE  </w:instrText>
    </w:r>
    <w:r>
      <w:rPr>
        <w:rStyle w:val="a4"/>
      </w:rPr>
      <w:fldChar w:fldCharType="separate"/>
    </w:r>
    <w:r w:rsidR="00365A7C">
      <w:rPr>
        <w:rStyle w:val="a4"/>
        <w:noProof/>
      </w:rPr>
      <w:t>I</w:t>
    </w:r>
    <w:r>
      <w:rPr>
        <w:rStyle w:val="a4"/>
      </w:rPr>
      <w:fldChar w:fldCharType="end"/>
    </w:r>
  </w:p>
  <w:p w:rsidR="000B40E7" w:rsidRDefault="000B40E7">
    <w:pPr>
      <w:pStyle w:val="a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B9" w:rsidRDefault="00C614B9">
      <w:r>
        <w:separator/>
      </w:r>
    </w:p>
  </w:footnote>
  <w:footnote w:type="continuationSeparator" w:id="0">
    <w:p w:rsidR="00C614B9" w:rsidRDefault="00C6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Default="000B40E7" w:rsidP="00AC4B94">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Pr="00091045" w:rsidRDefault="000B40E7">
    <w:pPr>
      <w:pStyle w:val="a3"/>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E7" w:rsidRPr="00C53017" w:rsidRDefault="000B40E7" w:rsidP="00C530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3F48"/>
    <w:multiLevelType w:val="hybridMultilevel"/>
    <w:tmpl w:val="CD641236"/>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107B66C2"/>
    <w:multiLevelType w:val="hybridMultilevel"/>
    <w:tmpl w:val="B434A088"/>
    <w:lvl w:ilvl="0" w:tplc="87C2BAB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CDF5963"/>
    <w:multiLevelType w:val="hybridMultilevel"/>
    <w:tmpl w:val="AFD40C0C"/>
    <w:lvl w:ilvl="0" w:tplc="83C49BEE">
      <w:start w:val="1"/>
      <w:numFmt w:val="upperLetter"/>
      <w:lvlText w:val="%1."/>
      <w:lvlJc w:val="left"/>
      <w:pPr>
        <w:tabs>
          <w:tab w:val="num" w:pos="893"/>
        </w:tabs>
        <w:ind w:left="893" w:hanging="420"/>
      </w:pPr>
      <w:rPr>
        <w:rFonts w:ascii="宋体" w:eastAsia="宋体" w:hAnsi="宋体"/>
      </w:rPr>
    </w:lvl>
    <w:lvl w:ilvl="1" w:tplc="04090019" w:tentative="1">
      <w:start w:val="1"/>
      <w:numFmt w:val="lowerLetter"/>
      <w:lvlText w:val="%2)"/>
      <w:lvlJc w:val="left"/>
      <w:pPr>
        <w:tabs>
          <w:tab w:val="num" w:pos="1313"/>
        </w:tabs>
        <w:ind w:left="1313" w:hanging="420"/>
      </w:pPr>
    </w:lvl>
    <w:lvl w:ilvl="2" w:tplc="0409001B" w:tentative="1">
      <w:start w:val="1"/>
      <w:numFmt w:val="lowerRoman"/>
      <w:lvlText w:val="%3."/>
      <w:lvlJc w:val="righ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5" w15:restartNumberingAfterBreak="0">
    <w:nsid w:val="1E416CF6"/>
    <w:multiLevelType w:val="hybridMultilevel"/>
    <w:tmpl w:val="BC3255E2"/>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7" w15:restartNumberingAfterBreak="0">
    <w:nsid w:val="278C6B3B"/>
    <w:multiLevelType w:val="hybridMultilevel"/>
    <w:tmpl w:val="21622C6A"/>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8" w15:restartNumberingAfterBreak="0">
    <w:nsid w:val="2BF770CA"/>
    <w:multiLevelType w:val="hybridMultilevel"/>
    <w:tmpl w:val="967CA574"/>
    <w:lvl w:ilvl="0" w:tplc="D70435A0">
      <w:start w:val="1"/>
      <w:numFmt w:val="japaneseCounting"/>
      <w:lvlText w:val="（%1）"/>
      <w:lvlJc w:val="left"/>
      <w:pPr>
        <w:tabs>
          <w:tab w:val="num" w:pos="855"/>
        </w:tabs>
        <w:ind w:left="855" w:hanging="855"/>
      </w:pPr>
      <w:rPr>
        <w:rFonts w:hint="default"/>
        <w:lang w:val="en-US"/>
      </w:rPr>
    </w:lvl>
    <w:lvl w:ilvl="1" w:tplc="4C606DE0">
      <w:start w:val="9"/>
      <w:numFmt w:val="decimal"/>
      <w:lvlText w:val="（%2）"/>
      <w:lvlJc w:val="left"/>
      <w:pPr>
        <w:tabs>
          <w:tab w:val="num" w:pos="1260"/>
        </w:tabs>
        <w:ind w:left="1260" w:hanging="1260"/>
      </w:pPr>
      <w:rPr>
        <w:rFonts w:hint="eastAsia"/>
        <w:sz w:val="21"/>
      </w:r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9" w15:restartNumberingAfterBreak="0">
    <w:nsid w:val="37E46BB2"/>
    <w:multiLevelType w:val="hybridMultilevel"/>
    <w:tmpl w:val="49280936"/>
    <w:lvl w:ilvl="0" w:tplc="0D7CD354">
      <w:start w:val="1"/>
      <w:numFmt w:val="decimal"/>
      <w:lvlText w:val="%1."/>
      <w:lvlJc w:val="left"/>
      <w:pPr>
        <w:tabs>
          <w:tab w:val="num" w:pos="0"/>
        </w:tabs>
        <w:ind w:left="420" w:firstLine="0"/>
      </w:pPr>
      <w:rPr>
        <w:rFonts w:ascii="宋体" w:eastAsia="宋体" w:hAnsi="宋体"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8604796"/>
    <w:multiLevelType w:val="hybridMultilevel"/>
    <w:tmpl w:val="1EFC0D98"/>
    <w:lvl w:ilvl="0" w:tplc="271E20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C081ED8"/>
    <w:multiLevelType w:val="hybridMultilevel"/>
    <w:tmpl w:val="86DABDCC"/>
    <w:lvl w:ilvl="0" w:tplc="AAC6F7F2">
      <w:start w:val="1"/>
      <w:numFmt w:val="upperLetter"/>
      <w:lvlText w:val="%1."/>
      <w:lvlJc w:val="left"/>
      <w:pPr>
        <w:tabs>
          <w:tab w:val="num" w:pos="893"/>
        </w:tabs>
        <w:ind w:left="893" w:hanging="420"/>
      </w:pPr>
      <w:rPr>
        <w:rFonts w:ascii="宋体" w:eastAsia="宋体" w:hAnsi="宋体"/>
      </w:rPr>
    </w:lvl>
    <w:lvl w:ilvl="1" w:tplc="C8BA0BEC">
      <w:start w:val="1"/>
      <w:numFmt w:val="lowerLetter"/>
      <w:lvlText w:val="%2)"/>
      <w:lvlJc w:val="left"/>
      <w:pPr>
        <w:tabs>
          <w:tab w:val="num" w:pos="1313"/>
        </w:tabs>
        <w:ind w:left="1313" w:hanging="420"/>
      </w:pPr>
      <w:rPr>
        <w:rFonts w:ascii="宋体" w:eastAsia="宋体" w:hAnsi="宋体"/>
      </w:rPr>
    </w:lvl>
    <w:lvl w:ilvl="2" w:tplc="04090015">
      <w:start w:val="1"/>
      <w:numFmt w:val="upperLetter"/>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9" w:tentative="1">
      <w:start w:val="1"/>
      <w:numFmt w:val="lowerLetter"/>
      <w:lvlText w:val="%5)"/>
      <w:lvlJc w:val="left"/>
      <w:pPr>
        <w:tabs>
          <w:tab w:val="num" w:pos="2573"/>
        </w:tabs>
        <w:ind w:left="2573" w:hanging="420"/>
      </w:pPr>
    </w:lvl>
    <w:lvl w:ilvl="5" w:tplc="0409001B" w:tentative="1">
      <w:start w:val="1"/>
      <w:numFmt w:val="lowerRoman"/>
      <w:lvlText w:val="%6."/>
      <w:lvlJc w:val="righ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9" w:tentative="1">
      <w:start w:val="1"/>
      <w:numFmt w:val="lowerLetter"/>
      <w:lvlText w:val="%8)"/>
      <w:lvlJc w:val="left"/>
      <w:pPr>
        <w:tabs>
          <w:tab w:val="num" w:pos="3833"/>
        </w:tabs>
        <w:ind w:left="3833" w:hanging="420"/>
      </w:pPr>
    </w:lvl>
    <w:lvl w:ilvl="8" w:tplc="0409001B" w:tentative="1">
      <w:start w:val="1"/>
      <w:numFmt w:val="lowerRoman"/>
      <w:lvlText w:val="%9."/>
      <w:lvlJc w:val="right"/>
      <w:pPr>
        <w:tabs>
          <w:tab w:val="num" w:pos="4253"/>
        </w:tabs>
        <w:ind w:left="4253" w:hanging="420"/>
      </w:pPr>
    </w:lvl>
  </w:abstractNum>
  <w:abstractNum w:abstractNumId="14" w15:restartNumberingAfterBreak="0">
    <w:nsid w:val="517F3D27"/>
    <w:multiLevelType w:val="hybridMultilevel"/>
    <w:tmpl w:val="A8F0A0B0"/>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5" w15:restartNumberingAfterBreak="0">
    <w:nsid w:val="5562621F"/>
    <w:multiLevelType w:val="hybridMultilevel"/>
    <w:tmpl w:val="460EE016"/>
    <w:lvl w:ilvl="0" w:tplc="9DF6616A">
      <w:start w:val="1"/>
      <w:numFmt w:val="decimal"/>
      <w:lvlText w:val="%1."/>
      <w:lvlJc w:val="left"/>
      <w:pPr>
        <w:tabs>
          <w:tab w:val="num" w:pos="780"/>
        </w:tabs>
        <w:ind w:left="420" w:firstLine="0"/>
      </w:pPr>
      <w:rPr>
        <w:rFonts w:hint="eastAsia"/>
      </w:rPr>
    </w:lvl>
    <w:lvl w:ilvl="1" w:tplc="67C670A4">
      <w:start w:val="1"/>
      <w:numFmt w:val="decimal"/>
      <w:lvlText w:val="（%2）"/>
      <w:lvlJc w:val="left"/>
      <w:pPr>
        <w:tabs>
          <w:tab w:val="num" w:pos="998"/>
        </w:tabs>
        <w:ind w:left="998" w:hanging="714"/>
      </w:pPr>
      <w:rPr>
        <w:rFonts w:ascii="宋体" w:eastAsia="宋体" w:hAnsi="宋体"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B895F82"/>
    <w:multiLevelType w:val="hybridMultilevel"/>
    <w:tmpl w:val="9B88472C"/>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7" w15:restartNumberingAfterBreak="0">
    <w:nsid w:val="66662F29"/>
    <w:multiLevelType w:val="hybridMultilevel"/>
    <w:tmpl w:val="DA36DFEA"/>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8" w15:restartNumberingAfterBreak="0">
    <w:nsid w:val="66732404"/>
    <w:multiLevelType w:val="multilevel"/>
    <w:tmpl w:val="CDC0E6D0"/>
    <w:lvl w:ilvl="0">
      <w:start w:val="1"/>
      <w:numFmt w:val="japaneseCounting"/>
      <w:pStyle w:val="ParaChar"/>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9" w15:restartNumberingAfterBreak="0">
    <w:nsid w:val="67F1543D"/>
    <w:multiLevelType w:val="hybridMultilevel"/>
    <w:tmpl w:val="F23229F0"/>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0" w15:restartNumberingAfterBreak="0">
    <w:nsid w:val="69996945"/>
    <w:multiLevelType w:val="hybridMultilevel"/>
    <w:tmpl w:val="5426CEEC"/>
    <w:lvl w:ilvl="0" w:tplc="BC3E18EA">
      <w:start w:val="1"/>
      <w:numFmt w:val="upperLetter"/>
      <w:lvlText w:val="%1."/>
      <w:lvlJc w:val="left"/>
      <w:pPr>
        <w:tabs>
          <w:tab w:val="num" w:pos="902"/>
        </w:tabs>
        <w:ind w:left="902" w:hanging="420"/>
      </w:pPr>
      <w:rPr>
        <w:rFonts w:ascii="宋体" w:eastAsia="宋体" w:hAnsi="宋体"/>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1" w15:restartNumberingAfterBreak="0">
    <w:nsid w:val="6B710F15"/>
    <w:multiLevelType w:val="hybridMultilevel"/>
    <w:tmpl w:val="AB6E1C32"/>
    <w:lvl w:ilvl="0" w:tplc="0D7CD354">
      <w:start w:val="1"/>
      <w:numFmt w:val="decimal"/>
      <w:lvlText w:val="%1."/>
      <w:lvlJc w:val="left"/>
      <w:pPr>
        <w:tabs>
          <w:tab w:val="num" w:pos="0"/>
        </w:tabs>
        <w:ind w:left="420" w:firstLine="0"/>
      </w:pPr>
      <w:rPr>
        <w:rFonts w:ascii="宋体" w:eastAsia="宋体" w:hAnsi="宋体" w:hint="eastAsia"/>
      </w:r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2" w15:restartNumberingAfterBreak="0">
    <w:nsid w:val="6D0E72B2"/>
    <w:multiLevelType w:val="hybridMultilevel"/>
    <w:tmpl w:val="20445338"/>
    <w:lvl w:ilvl="0" w:tplc="835019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24" w15:restartNumberingAfterBreak="0">
    <w:nsid w:val="77B4748A"/>
    <w:multiLevelType w:val="hybridMultilevel"/>
    <w:tmpl w:val="24622E04"/>
    <w:lvl w:ilvl="0" w:tplc="99AA8908">
      <w:start w:val="1"/>
      <w:numFmt w:val="decimal"/>
      <w:lvlText w:val="%1."/>
      <w:lvlJc w:val="left"/>
      <w:pPr>
        <w:tabs>
          <w:tab w:val="num" w:pos="780"/>
        </w:tabs>
        <w:ind w:left="420" w:firstLine="0"/>
      </w:pPr>
      <w:rPr>
        <w:rFonts w:hint="eastAsia"/>
      </w:rPr>
    </w:lvl>
    <w:lvl w:ilvl="1" w:tplc="B0E250CC">
      <w:start w:val="1"/>
      <w:numFmt w:val="decimal"/>
      <w:lvlText w:val="（%2）"/>
      <w:lvlJc w:val="left"/>
      <w:pPr>
        <w:tabs>
          <w:tab w:val="num" w:pos="851"/>
        </w:tabs>
        <w:ind w:left="851" w:hanging="567"/>
      </w:pPr>
      <w:rPr>
        <w:rFonts w:ascii="宋体" w:eastAsia="宋体" w:hAnsi="宋体"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83C7759"/>
    <w:multiLevelType w:val="hybridMultilevel"/>
    <w:tmpl w:val="A2BED776"/>
    <w:lvl w:ilvl="0" w:tplc="6B32C4CC">
      <w:start w:val="1"/>
      <w:numFmt w:val="decimal"/>
      <w:lvlText w:val="（%1）"/>
      <w:lvlJc w:val="left"/>
      <w:pPr>
        <w:tabs>
          <w:tab w:val="num" w:pos="851"/>
        </w:tabs>
        <w:ind w:left="851" w:hanging="567"/>
      </w:pPr>
      <w:rPr>
        <w:rFonts w:ascii="宋体" w:eastAsia="宋体" w:hAnsi="宋体" w:hint="eastAsia"/>
      </w:rPr>
    </w:lvl>
    <w:lvl w:ilvl="1" w:tplc="12523FB6">
      <w:start w:val="4"/>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8FA724B"/>
    <w:multiLevelType w:val="hybridMultilevel"/>
    <w:tmpl w:val="F176CEDC"/>
    <w:lvl w:ilvl="0" w:tplc="0D7CD35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7" w15:restartNumberingAfterBreak="0">
    <w:nsid w:val="7DA61CBE"/>
    <w:multiLevelType w:val="hybridMultilevel"/>
    <w:tmpl w:val="B05EA884"/>
    <w:lvl w:ilvl="0" w:tplc="67C670A4">
      <w:start w:val="1"/>
      <w:numFmt w:val="decimal"/>
      <w:lvlText w:val="（%1）"/>
      <w:lvlJc w:val="left"/>
      <w:pPr>
        <w:tabs>
          <w:tab w:val="num" w:pos="998"/>
        </w:tabs>
        <w:ind w:left="998" w:hanging="714"/>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8"/>
  </w:num>
  <w:num w:numId="4">
    <w:abstractNumId w:val="12"/>
  </w:num>
  <w:num w:numId="5">
    <w:abstractNumId w:val="9"/>
  </w:num>
  <w:num w:numId="6">
    <w:abstractNumId w:val="15"/>
  </w:num>
  <w:num w:numId="7">
    <w:abstractNumId w:val="24"/>
  </w:num>
  <w:num w:numId="8">
    <w:abstractNumId w:val="8"/>
  </w:num>
  <w:num w:numId="9">
    <w:abstractNumId w:val="20"/>
  </w:num>
  <w:num w:numId="10">
    <w:abstractNumId w:val="23"/>
  </w:num>
  <w:num w:numId="11">
    <w:abstractNumId w:val="25"/>
  </w:num>
  <w:num w:numId="12">
    <w:abstractNumId w:val="10"/>
  </w:num>
  <w:num w:numId="13">
    <w:abstractNumId w:val="3"/>
  </w:num>
  <w:num w:numId="14">
    <w:abstractNumId w:val="13"/>
  </w:num>
  <w:num w:numId="15">
    <w:abstractNumId w:val="4"/>
  </w:num>
  <w:num w:numId="16">
    <w:abstractNumId w:val="17"/>
  </w:num>
  <w:num w:numId="17">
    <w:abstractNumId w:val="26"/>
  </w:num>
  <w:num w:numId="18">
    <w:abstractNumId w:val="5"/>
  </w:num>
  <w:num w:numId="19">
    <w:abstractNumId w:val="21"/>
  </w:num>
  <w:num w:numId="20">
    <w:abstractNumId w:val="7"/>
  </w:num>
  <w:num w:numId="21">
    <w:abstractNumId w:val="14"/>
  </w:num>
  <w:num w:numId="22">
    <w:abstractNumId w:val="0"/>
  </w:num>
  <w:num w:numId="23">
    <w:abstractNumId w:val="16"/>
  </w:num>
  <w:num w:numId="24">
    <w:abstractNumId w:val="1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num>
  <w:num w:numId="37">
    <w:abstractNumId w:val="12"/>
  </w:num>
  <w:num w:numId="38">
    <w:abstractNumId w:val="12"/>
  </w:num>
  <w:num w:numId="39">
    <w:abstractNumId w:val="11"/>
  </w:num>
  <w:num w:numId="40">
    <w:abstractNumId w:val="2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2EE6"/>
    <w:rsid w:val="0000647E"/>
    <w:rsid w:val="000075AF"/>
    <w:rsid w:val="00007780"/>
    <w:rsid w:val="0001562E"/>
    <w:rsid w:val="000157C5"/>
    <w:rsid w:val="00020EDD"/>
    <w:rsid w:val="00024A83"/>
    <w:rsid w:val="00024B69"/>
    <w:rsid w:val="0002592E"/>
    <w:rsid w:val="00031499"/>
    <w:rsid w:val="00031D04"/>
    <w:rsid w:val="0003203F"/>
    <w:rsid w:val="00032A17"/>
    <w:rsid w:val="00032CE5"/>
    <w:rsid w:val="00034154"/>
    <w:rsid w:val="00037890"/>
    <w:rsid w:val="00040917"/>
    <w:rsid w:val="00040948"/>
    <w:rsid w:val="00051197"/>
    <w:rsid w:val="000534E8"/>
    <w:rsid w:val="00053828"/>
    <w:rsid w:val="00055810"/>
    <w:rsid w:val="00056AFF"/>
    <w:rsid w:val="00064735"/>
    <w:rsid w:val="00065F53"/>
    <w:rsid w:val="0006616D"/>
    <w:rsid w:val="00066AC8"/>
    <w:rsid w:val="000706E9"/>
    <w:rsid w:val="0007170C"/>
    <w:rsid w:val="000723C9"/>
    <w:rsid w:val="00073DA0"/>
    <w:rsid w:val="00073E62"/>
    <w:rsid w:val="00073FB7"/>
    <w:rsid w:val="00076156"/>
    <w:rsid w:val="00076D34"/>
    <w:rsid w:val="0008049B"/>
    <w:rsid w:val="0008055B"/>
    <w:rsid w:val="000805A1"/>
    <w:rsid w:val="000A0D0B"/>
    <w:rsid w:val="000A177C"/>
    <w:rsid w:val="000A4DBD"/>
    <w:rsid w:val="000B40E7"/>
    <w:rsid w:val="000B4BC2"/>
    <w:rsid w:val="000B7A8A"/>
    <w:rsid w:val="000C1C90"/>
    <w:rsid w:val="000C3954"/>
    <w:rsid w:val="000C4FFA"/>
    <w:rsid w:val="000D449B"/>
    <w:rsid w:val="000D56E9"/>
    <w:rsid w:val="000D584D"/>
    <w:rsid w:val="000E4550"/>
    <w:rsid w:val="000E5F6E"/>
    <w:rsid w:val="000E76AE"/>
    <w:rsid w:val="000F1894"/>
    <w:rsid w:val="000F2F5B"/>
    <w:rsid w:val="000F3165"/>
    <w:rsid w:val="000F326B"/>
    <w:rsid w:val="000F6FDA"/>
    <w:rsid w:val="000F7854"/>
    <w:rsid w:val="0010270F"/>
    <w:rsid w:val="00107A6F"/>
    <w:rsid w:val="001147EB"/>
    <w:rsid w:val="00116602"/>
    <w:rsid w:val="00122964"/>
    <w:rsid w:val="00130F56"/>
    <w:rsid w:val="00134FA1"/>
    <w:rsid w:val="00143437"/>
    <w:rsid w:val="001522E2"/>
    <w:rsid w:val="00152968"/>
    <w:rsid w:val="001529C6"/>
    <w:rsid w:val="00153EDD"/>
    <w:rsid w:val="001547B1"/>
    <w:rsid w:val="00157759"/>
    <w:rsid w:val="00162C05"/>
    <w:rsid w:val="00170611"/>
    <w:rsid w:val="00172518"/>
    <w:rsid w:val="00172A7F"/>
    <w:rsid w:val="00186646"/>
    <w:rsid w:val="00192086"/>
    <w:rsid w:val="00195415"/>
    <w:rsid w:val="001A0624"/>
    <w:rsid w:val="001A16E8"/>
    <w:rsid w:val="001A5EAD"/>
    <w:rsid w:val="001A6A0F"/>
    <w:rsid w:val="001B0966"/>
    <w:rsid w:val="001B2434"/>
    <w:rsid w:val="001C3F24"/>
    <w:rsid w:val="001C7202"/>
    <w:rsid w:val="001D2584"/>
    <w:rsid w:val="001D43A4"/>
    <w:rsid w:val="001D4B56"/>
    <w:rsid w:val="001E3501"/>
    <w:rsid w:val="001E70FE"/>
    <w:rsid w:val="001E73A8"/>
    <w:rsid w:val="001E77DD"/>
    <w:rsid w:val="001F0045"/>
    <w:rsid w:val="001F0360"/>
    <w:rsid w:val="00201CB8"/>
    <w:rsid w:val="00202203"/>
    <w:rsid w:val="0020281D"/>
    <w:rsid w:val="002052B1"/>
    <w:rsid w:val="00213432"/>
    <w:rsid w:val="00213C27"/>
    <w:rsid w:val="00215323"/>
    <w:rsid w:val="00222AA9"/>
    <w:rsid w:val="00224DF1"/>
    <w:rsid w:val="002305D8"/>
    <w:rsid w:val="00232C06"/>
    <w:rsid w:val="00237489"/>
    <w:rsid w:val="00245D93"/>
    <w:rsid w:val="00245FCF"/>
    <w:rsid w:val="002550A8"/>
    <w:rsid w:val="00260D5B"/>
    <w:rsid w:val="00261475"/>
    <w:rsid w:val="002617D6"/>
    <w:rsid w:val="0026386A"/>
    <w:rsid w:val="002721AC"/>
    <w:rsid w:val="00273337"/>
    <w:rsid w:val="00274942"/>
    <w:rsid w:val="00292CCD"/>
    <w:rsid w:val="002951F6"/>
    <w:rsid w:val="002955DF"/>
    <w:rsid w:val="00297710"/>
    <w:rsid w:val="00297B19"/>
    <w:rsid w:val="00297BB2"/>
    <w:rsid w:val="002A38FC"/>
    <w:rsid w:val="002B05B2"/>
    <w:rsid w:val="002B1562"/>
    <w:rsid w:val="002B5333"/>
    <w:rsid w:val="002B7DB4"/>
    <w:rsid w:val="002C5945"/>
    <w:rsid w:val="002C5947"/>
    <w:rsid w:val="002D6113"/>
    <w:rsid w:val="002D7EE7"/>
    <w:rsid w:val="002E083A"/>
    <w:rsid w:val="002E2C5D"/>
    <w:rsid w:val="002E4119"/>
    <w:rsid w:val="002E723B"/>
    <w:rsid w:val="002F0AF8"/>
    <w:rsid w:val="002F0B93"/>
    <w:rsid w:val="002F1E07"/>
    <w:rsid w:val="002F2D02"/>
    <w:rsid w:val="002F3D38"/>
    <w:rsid w:val="002F41B4"/>
    <w:rsid w:val="002F5C19"/>
    <w:rsid w:val="00304829"/>
    <w:rsid w:val="00307B6D"/>
    <w:rsid w:val="00307CF0"/>
    <w:rsid w:val="00310F4B"/>
    <w:rsid w:val="003141E9"/>
    <w:rsid w:val="00321CC9"/>
    <w:rsid w:val="00321ECF"/>
    <w:rsid w:val="0032343B"/>
    <w:rsid w:val="0033169C"/>
    <w:rsid w:val="00332E41"/>
    <w:rsid w:val="003365C4"/>
    <w:rsid w:val="00350121"/>
    <w:rsid w:val="00350E9A"/>
    <w:rsid w:val="00354872"/>
    <w:rsid w:val="0035619D"/>
    <w:rsid w:val="003579D4"/>
    <w:rsid w:val="00357FAF"/>
    <w:rsid w:val="003623D9"/>
    <w:rsid w:val="00365A7C"/>
    <w:rsid w:val="00367CD8"/>
    <w:rsid w:val="00377171"/>
    <w:rsid w:val="0038345F"/>
    <w:rsid w:val="00383E68"/>
    <w:rsid w:val="00385845"/>
    <w:rsid w:val="003866C8"/>
    <w:rsid w:val="00391F1F"/>
    <w:rsid w:val="003A3CF4"/>
    <w:rsid w:val="003A4DE2"/>
    <w:rsid w:val="003B199E"/>
    <w:rsid w:val="003C7A30"/>
    <w:rsid w:val="003C7DAD"/>
    <w:rsid w:val="003D1316"/>
    <w:rsid w:val="003D53C3"/>
    <w:rsid w:val="003D7E5A"/>
    <w:rsid w:val="003E653A"/>
    <w:rsid w:val="003F10D9"/>
    <w:rsid w:val="003F2CC8"/>
    <w:rsid w:val="003F7466"/>
    <w:rsid w:val="00400654"/>
    <w:rsid w:val="00402CC1"/>
    <w:rsid w:val="00403BDE"/>
    <w:rsid w:val="004109C9"/>
    <w:rsid w:val="00411A64"/>
    <w:rsid w:val="00412460"/>
    <w:rsid w:val="00413950"/>
    <w:rsid w:val="00415A04"/>
    <w:rsid w:val="0042062A"/>
    <w:rsid w:val="004263C9"/>
    <w:rsid w:val="004263E9"/>
    <w:rsid w:val="00430D0A"/>
    <w:rsid w:val="00434E29"/>
    <w:rsid w:val="004458BE"/>
    <w:rsid w:val="00445FE7"/>
    <w:rsid w:val="004476F1"/>
    <w:rsid w:val="00452304"/>
    <w:rsid w:val="00452DCC"/>
    <w:rsid w:val="004551FF"/>
    <w:rsid w:val="00455811"/>
    <w:rsid w:val="004562AB"/>
    <w:rsid w:val="00457409"/>
    <w:rsid w:val="0046157D"/>
    <w:rsid w:val="0046347F"/>
    <w:rsid w:val="00475CDF"/>
    <w:rsid w:val="004777E7"/>
    <w:rsid w:val="004804EA"/>
    <w:rsid w:val="004A2694"/>
    <w:rsid w:val="004A2FC8"/>
    <w:rsid w:val="004A314C"/>
    <w:rsid w:val="004A4A56"/>
    <w:rsid w:val="004A57FA"/>
    <w:rsid w:val="004A5BAA"/>
    <w:rsid w:val="004A60FE"/>
    <w:rsid w:val="004A6D84"/>
    <w:rsid w:val="004B02C3"/>
    <w:rsid w:val="004B77CA"/>
    <w:rsid w:val="004C45B5"/>
    <w:rsid w:val="004C58C1"/>
    <w:rsid w:val="004C66C9"/>
    <w:rsid w:val="004D36B7"/>
    <w:rsid w:val="004D716D"/>
    <w:rsid w:val="004E070C"/>
    <w:rsid w:val="004E6C7D"/>
    <w:rsid w:val="004E7E70"/>
    <w:rsid w:val="004F16EA"/>
    <w:rsid w:val="004F3779"/>
    <w:rsid w:val="004F3ACF"/>
    <w:rsid w:val="005034F8"/>
    <w:rsid w:val="005035EF"/>
    <w:rsid w:val="005119A6"/>
    <w:rsid w:val="00513315"/>
    <w:rsid w:val="00521860"/>
    <w:rsid w:val="00522E9E"/>
    <w:rsid w:val="0054271A"/>
    <w:rsid w:val="00547660"/>
    <w:rsid w:val="005518C5"/>
    <w:rsid w:val="00551C6B"/>
    <w:rsid w:val="00551FD7"/>
    <w:rsid w:val="005619BE"/>
    <w:rsid w:val="00561DDA"/>
    <w:rsid w:val="00563EB2"/>
    <w:rsid w:val="00565680"/>
    <w:rsid w:val="00565F9F"/>
    <w:rsid w:val="00572734"/>
    <w:rsid w:val="00581EF9"/>
    <w:rsid w:val="005835F4"/>
    <w:rsid w:val="00585490"/>
    <w:rsid w:val="005940EA"/>
    <w:rsid w:val="005960C1"/>
    <w:rsid w:val="005A24A5"/>
    <w:rsid w:val="005A2892"/>
    <w:rsid w:val="005A6B6D"/>
    <w:rsid w:val="005B00A0"/>
    <w:rsid w:val="005B0802"/>
    <w:rsid w:val="005B0A3C"/>
    <w:rsid w:val="005B0CE6"/>
    <w:rsid w:val="005B3368"/>
    <w:rsid w:val="005B4935"/>
    <w:rsid w:val="005B5B40"/>
    <w:rsid w:val="005B6AD6"/>
    <w:rsid w:val="005C0E12"/>
    <w:rsid w:val="005D3425"/>
    <w:rsid w:val="005D66DA"/>
    <w:rsid w:val="005E19A4"/>
    <w:rsid w:val="005E2962"/>
    <w:rsid w:val="005F25B6"/>
    <w:rsid w:val="005F34B9"/>
    <w:rsid w:val="005F4186"/>
    <w:rsid w:val="005F7BC4"/>
    <w:rsid w:val="00601F03"/>
    <w:rsid w:val="00602CA4"/>
    <w:rsid w:val="00607AEE"/>
    <w:rsid w:val="00612FE5"/>
    <w:rsid w:val="006179C1"/>
    <w:rsid w:val="00617D5E"/>
    <w:rsid w:val="0062089E"/>
    <w:rsid w:val="00620A92"/>
    <w:rsid w:val="00626C7D"/>
    <w:rsid w:val="00627F53"/>
    <w:rsid w:val="006309FD"/>
    <w:rsid w:val="006322D6"/>
    <w:rsid w:val="0063711B"/>
    <w:rsid w:val="006436EE"/>
    <w:rsid w:val="0065404E"/>
    <w:rsid w:val="00657F9E"/>
    <w:rsid w:val="00660705"/>
    <w:rsid w:val="00661F99"/>
    <w:rsid w:val="00665DFF"/>
    <w:rsid w:val="0066729F"/>
    <w:rsid w:val="00673FF9"/>
    <w:rsid w:val="00674F75"/>
    <w:rsid w:val="006755F7"/>
    <w:rsid w:val="0067611C"/>
    <w:rsid w:val="006763DC"/>
    <w:rsid w:val="00680853"/>
    <w:rsid w:val="00681D81"/>
    <w:rsid w:val="00686467"/>
    <w:rsid w:val="0069016D"/>
    <w:rsid w:val="00697F04"/>
    <w:rsid w:val="006A725D"/>
    <w:rsid w:val="006B0EC4"/>
    <w:rsid w:val="006B22E1"/>
    <w:rsid w:val="006B62E3"/>
    <w:rsid w:val="006B66F7"/>
    <w:rsid w:val="006C3048"/>
    <w:rsid w:val="006C4087"/>
    <w:rsid w:val="006C6691"/>
    <w:rsid w:val="006D4899"/>
    <w:rsid w:val="006D6084"/>
    <w:rsid w:val="006E59CE"/>
    <w:rsid w:val="006F1C56"/>
    <w:rsid w:val="006F4650"/>
    <w:rsid w:val="006F60EE"/>
    <w:rsid w:val="006F648E"/>
    <w:rsid w:val="007001A5"/>
    <w:rsid w:val="00704A58"/>
    <w:rsid w:val="00705F9B"/>
    <w:rsid w:val="00715FF6"/>
    <w:rsid w:val="00721C34"/>
    <w:rsid w:val="00726045"/>
    <w:rsid w:val="0072756A"/>
    <w:rsid w:val="0072784D"/>
    <w:rsid w:val="00732262"/>
    <w:rsid w:val="00732862"/>
    <w:rsid w:val="00734D63"/>
    <w:rsid w:val="007418D1"/>
    <w:rsid w:val="00741E0F"/>
    <w:rsid w:val="00741F55"/>
    <w:rsid w:val="0075142E"/>
    <w:rsid w:val="007526EC"/>
    <w:rsid w:val="00753CCD"/>
    <w:rsid w:val="007576CE"/>
    <w:rsid w:val="00757BD6"/>
    <w:rsid w:val="007657B1"/>
    <w:rsid w:val="007678DC"/>
    <w:rsid w:val="00771591"/>
    <w:rsid w:val="00771AA4"/>
    <w:rsid w:val="007730D0"/>
    <w:rsid w:val="00781699"/>
    <w:rsid w:val="00790E85"/>
    <w:rsid w:val="0079368A"/>
    <w:rsid w:val="00795207"/>
    <w:rsid w:val="00796E7E"/>
    <w:rsid w:val="007A30BD"/>
    <w:rsid w:val="007A5CF8"/>
    <w:rsid w:val="007B0063"/>
    <w:rsid w:val="007B7260"/>
    <w:rsid w:val="007B72A3"/>
    <w:rsid w:val="007C10C7"/>
    <w:rsid w:val="007C114B"/>
    <w:rsid w:val="007C1C6C"/>
    <w:rsid w:val="007C2301"/>
    <w:rsid w:val="007C45F0"/>
    <w:rsid w:val="007C74CD"/>
    <w:rsid w:val="007D1B7F"/>
    <w:rsid w:val="007D293F"/>
    <w:rsid w:val="007D3F73"/>
    <w:rsid w:val="007D7811"/>
    <w:rsid w:val="007E162B"/>
    <w:rsid w:val="007E1DD2"/>
    <w:rsid w:val="007E2D14"/>
    <w:rsid w:val="007E644A"/>
    <w:rsid w:val="007F0B9A"/>
    <w:rsid w:val="007F0CF9"/>
    <w:rsid w:val="007F1137"/>
    <w:rsid w:val="007F4E06"/>
    <w:rsid w:val="007F5EEA"/>
    <w:rsid w:val="0080106B"/>
    <w:rsid w:val="0080641B"/>
    <w:rsid w:val="00806BAF"/>
    <w:rsid w:val="00807BB7"/>
    <w:rsid w:val="008109D7"/>
    <w:rsid w:val="0081105B"/>
    <w:rsid w:val="00812A40"/>
    <w:rsid w:val="00813D1D"/>
    <w:rsid w:val="00817F32"/>
    <w:rsid w:val="00817F6D"/>
    <w:rsid w:val="0082211E"/>
    <w:rsid w:val="00822584"/>
    <w:rsid w:val="00823176"/>
    <w:rsid w:val="00824186"/>
    <w:rsid w:val="00831608"/>
    <w:rsid w:val="00833459"/>
    <w:rsid w:val="0083564A"/>
    <w:rsid w:val="00843B0F"/>
    <w:rsid w:val="008446C8"/>
    <w:rsid w:val="0084549F"/>
    <w:rsid w:val="00854317"/>
    <w:rsid w:val="0085468E"/>
    <w:rsid w:val="00854AFF"/>
    <w:rsid w:val="0085726C"/>
    <w:rsid w:val="00860982"/>
    <w:rsid w:val="00861322"/>
    <w:rsid w:val="008617B8"/>
    <w:rsid w:val="00861807"/>
    <w:rsid w:val="00862DFC"/>
    <w:rsid w:val="0086457F"/>
    <w:rsid w:val="008663A4"/>
    <w:rsid w:val="0086723C"/>
    <w:rsid w:val="008720EC"/>
    <w:rsid w:val="00872EF4"/>
    <w:rsid w:val="00887771"/>
    <w:rsid w:val="00892090"/>
    <w:rsid w:val="008A3FE8"/>
    <w:rsid w:val="008A4484"/>
    <w:rsid w:val="008A510B"/>
    <w:rsid w:val="008A76E0"/>
    <w:rsid w:val="008B1077"/>
    <w:rsid w:val="008B2C5E"/>
    <w:rsid w:val="008C0614"/>
    <w:rsid w:val="008C0D57"/>
    <w:rsid w:val="008C4E34"/>
    <w:rsid w:val="008D0BA7"/>
    <w:rsid w:val="008D23CF"/>
    <w:rsid w:val="008D58E0"/>
    <w:rsid w:val="008E35B6"/>
    <w:rsid w:val="008E5706"/>
    <w:rsid w:val="008E653C"/>
    <w:rsid w:val="008E6C47"/>
    <w:rsid w:val="008F0551"/>
    <w:rsid w:val="00900510"/>
    <w:rsid w:val="009046B0"/>
    <w:rsid w:val="009056AE"/>
    <w:rsid w:val="009062F4"/>
    <w:rsid w:val="00907D68"/>
    <w:rsid w:val="009122CF"/>
    <w:rsid w:val="00914910"/>
    <w:rsid w:val="00915899"/>
    <w:rsid w:val="0091794A"/>
    <w:rsid w:val="009224AA"/>
    <w:rsid w:val="009255D8"/>
    <w:rsid w:val="00927AFE"/>
    <w:rsid w:val="00937F1F"/>
    <w:rsid w:val="009446B2"/>
    <w:rsid w:val="00951052"/>
    <w:rsid w:val="009514EA"/>
    <w:rsid w:val="0095747C"/>
    <w:rsid w:val="00964C7B"/>
    <w:rsid w:val="00974408"/>
    <w:rsid w:val="0097632B"/>
    <w:rsid w:val="00977D1C"/>
    <w:rsid w:val="00982435"/>
    <w:rsid w:val="009825B1"/>
    <w:rsid w:val="00990433"/>
    <w:rsid w:val="0099452D"/>
    <w:rsid w:val="00996DCE"/>
    <w:rsid w:val="00997823"/>
    <w:rsid w:val="009A07E2"/>
    <w:rsid w:val="009B0B29"/>
    <w:rsid w:val="009B3D2F"/>
    <w:rsid w:val="009B48D4"/>
    <w:rsid w:val="009B7BEF"/>
    <w:rsid w:val="009C2BA2"/>
    <w:rsid w:val="009C2CA9"/>
    <w:rsid w:val="009D03DD"/>
    <w:rsid w:val="009D0A5E"/>
    <w:rsid w:val="009D0DB4"/>
    <w:rsid w:val="009D1DFF"/>
    <w:rsid w:val="009D5705"/>
    <w:rsid w:val="009E4DC1"/>
    <w:rsid w:val="009E7B97"/>
    <w:rsid w:val="009F4B8C"/>
    <w:rsid w:val="009F578E"/>
    <w:rsid w:val="009F6BCB"/>
    <w:rsid w:val="009F7764"/>
    <w:rsid w:val="00A004F6"/>
    <w:rsid w:val="00A019E0"/>
    <w:rsid w:val="00A071D9"/>
    <w:rsid w:val="00A12BBC"/>
    <w:rsid w:val="00A143B2"/>
    <w:rsid w:val="00A169A7"/>
    <w:rsid w:val="00A2395C"/>
    <w:rsid w:val="00A243BA"/>
    <w:rsid w:val="00A31EAA"/>
    <w:rsid w:val="00A36A41"/>
    <w:rsid w:val="00A36CD2"/>
    <w:rsid w:val="00A41B6A"/>
    <w:rsid w:val="00A41B81"/>
    <w:rsid w:val="00A43EC7"/>
    <w:rsid w:val="00A5296D"/>
    <w:rsid w:val="00A53FC0"/>
    <w:rsid w:val="00A5491D"/>
    <w:rsid w:val="00A57B5E"/>
    <w:rsid w:val="00A60875"/>
    <w:rsid w:val="00A77BFC"/>
    <w:rsid w:val="00A805DC"/>
    <w:rsid w:val="00A80CB0"/>
    <w:rsid w:val="00A82439"/>
    <w:rsid w:val="00A85397"/>
    <w:rsid w:val="00A85F3D"/>
    <w:rsid w:val="00A86657"/>
    <w:rsid w:val="00A91624"/>
    <w:rsid w:val="00A925EC"/>
    <w:rsid w:val="00A92674"/>
    <w:rsid w:val="00A93F43"/>
    <w:rsid w:val="00A94BC6"/>
    <w:rsid w:val="00A959ED"/>
    <w:rsid w:val="00AA17FF"/>
    <w:rsid w:val="00AA576E"/>
    <w:rsid w:val="00AC0CD4"/>
    <w:rsid w:val="00AC200C"/>
    <w:rsid w:val="00AC34D1"/>
    <w:rsid w:val="00AC4B94"/>
    <w:rsid w:val="00AD1D91"/>
    <w:rsid w:val="00AD5AE2"/>
    <w:rsid w:val="00AE0EF4"/>
    <w:rsid w:val="00AE2CE0"/>
    <w:rsid w:val="00AE39D7"/>
    <w:rsid w:val="00AE6BE9"/>
    <w:rsid w:val="00AF2EE6"/>
    <w:rsid w:val="00B01EBB"/>
    <w:rsid w:val="00B03399"/>
    <w:rsid w:val="00B03D49"/>
    <w:rsid w:val="00B12309"/>
    <w:rsid w:val="00B13217"/>
    <w:rsid w:val="00B17F6C"/>
    <w:rsid w:val="00B25155"/>
    <w:rsid w:val="00B303AE"/>
    <w:rsid w:val="00B336A2"/>
    <w:rsid w:val="00B5086A"/>
    <w:rsid w:val="00B50C76"/>
    <w:rsid w:val="00B573B2"/>
    <w:rsid w:val="00B722A3"/>
    <w:rsid w:val="00B84CF0"/>
    <w:rsid w:val="00B872AE"/>
    <w:rsid w:val="00B87C0A"/>
    <w:rsid w:val="00BA3904"/>
    <w:rsid w:val="00BA4095"/>
    <w:rsid w:val="00BA5599"/>
    <w:rsid w:val="00BB2C34"/>
    <w:rsid w:val="00BC01E2"/>
    <w:rsid w:val="00BC3B97"/>
    <w:rsid w:val="00BC5639"/>
    <w:rsid w:val="00BD123D"/>
    <w:rsid w:val="00BD5CA5"/>
    <w:rsid w:val="00BD6786"/>
    <w:rsid w:val="00BF356A"/>
    <w:rsid w:val="00BF3E3E"/>
    <w:rsid w:val="00C00B3D"/>
    <w:rsid w:val="00C01FFC"/>
    <w:rsid w:val="00C02728"/>
    <w:rsid w:val="00C11497"/>
    <w:rsid w:val="00C117CE"/>
    <w:rsid w:val="00C118E9"/>
    <w:rsid w:val="00C13A5C"/>
    <w:rsid w:val="00C14B72"/>
    <w:rsid w:val="00C16F6D"/>
    <w:rsid w:val="00C240BB"/>
    <w:rsid w:val="00C24AB5"/>
    <w:rsid w:val="00C3651E"/>
    <w:rsid w:val="00C42A7C"/>
    <w:rsid w:val="00C434A1"/>
    <w:rsid w:val="00C454E1"/>
    <w:rsid w:val="00C477E9"/>
    <w:rsid w:val="00C47CB7"/>
    <w:rsid w:val="00C501DB"/>
    <w:rsid w:val="00C520DD"/>
    <w:rsid w:val="00C53017"/>
    <w:rsid w:val="00C545D7"/>
    <w:rsid w:val="00C607F8"/>
    <w:rsid w:val="00C614B9"/>
    <w:rsid w:val="00C617B4"/>
    <w:rsid w:val="00C713C6"/>
    <w:rsid w:val="00C73E7C"/>
    <w:rsid w:val="00C800F9"/>
    <w:rsid w:val="00C80B7D"/>
    <w:rsid w:val="00C80E86"/>
    <w:rsid w:val="00C91B6F"/>
    <w:rsid w:val="00C942D4"/>
    <w:rsid w:val="00C96775"/>
    <w:rsid w:val="00CA3A34"/>
    <w:rsid w:val="00CB0DDD"/>
    <w:rsid w:val="00CB1545"/>
    <w:rsid w:val="00CD1A2D"/>
    <w:rsid w:val="00CD318E"/>
    <w:rsid w:val="00CD6575"/>
    <w:rsid w:val="00CE171C"/>
    <w:rsid w:val="00CE4E70"/>
    <w:rsid w:val="00CF64C8"/>
    <w:rsid w:val="00D0313F"/>
    <w:rsid w:val="00D06513"/>
    <w:rsid w:val="00D06548"/>
    <w:rsid w:val="00D06C5F"/>
    <w:rsid w:val="00D143F1"/>
    <w:rsid w:val="00D14EB9"/>
    <w:rsid w:val="00D20452"/>
    <w:rsid w:val="00D21435"/>
    <w:rsid w:val="00D24843"/>
    <w:rsid w:val="00D26383"/>
    <w:rsid w:val="00D30C13"/>
    <w:rsid w:val="00D31BE5"/>
    <w:rsid w:val="00D32989"/>
    <w:rsid w:val="00D345AC"/>
    <w:rsid w:val="00D357EC"/>
    <w:rsid w:val="00D3630C"/>
    <w:rsid w:val="00D36CDB"/>
    <w:rsid w:val="00D44ADD"/>
    <w:rsid w:val="00D44DED"/>
    <w:rsid w:val="00D45E4B"/>
    <w:rsid w:val="00D47C91"/>
    <w:rsid w:val="00D50991"/>
    <w:rsid w:val="00D5137D"/>
    <w:rsid w:val="00D52CF5"/>
    <w:rsid w:val="00D54D1E"/>
    <w:rsid w:val="00D61F4E"/>
    <w:rsid w:val="00D63432"/>
    <w:rsid w:val="00D6346F"/>
    <w:rsid w:val="00D639AE"/>
    <w:rsid w:val="00D63A77"/>
    <w:rsid w:val="00D63D85"/>
    <w:rsid w:val="00D65A3C"/>
    <w:rsid w:val="00D6612A"/>
    <w:rsid w:val="00D66F32"/>
    <w:rsid w:val="00D67BEB"/>
    <w:rsid w:val="00D82226"/>
    <w:rsid w:val="00D9160A"/>
    <w:rsid w:val="00D92D12"/>
    <w:rsid w:val="00DA03D6"/>
    <w:rsid w:val="00DA1B1C"/>
    <w:rsid w:val="00DA1CBC"/>
    <w:rsid w:val="00DA47D5"/>
    <w:rsid w:val="00DA697F"/>
    <w:rsid w:val="00DA6D89"/>
    <w:rsid w:val="00DB0A7C"/>
    <w:rsid w:val="00DB58AC"/>
    <w:rsid w:val="00DB6A2B"/>
    <w:rsid w:val="00DB6EAA"/>
    <w:rsid w:val="00DB77B6"/>
    <w:rsid w:val="00DC2158"/>
    <w:rsid w:val="00DC2E30"/>
    <w:rsid w:val="00DD186F"/>
    <w:rsid w:val="00DD4E18"/>
    <w:rsid w:val="00DE1ADE"/>
    <w:rsid w:val="00DE4028"/>
    <w:rsid w:val="00DE5577"/>
    <w:rsid w:val="00DF0166"/>
    <w:rsid w:val="00DF0C46"/>
    <w:rsid w:val="00DF1699"/>
    <w:rsid w:val="00DF2A6B"/>
    <w:rsid w:val="00DF385F"/>
    <w:rsid w:val="00DF3D21"/>
    <w:rsid w:val="00DF5C2B"/>
    <w:rsid w:val="00DF6C4C"/>
    <w:rsid w:val="00DF741C"/>
    <w:rsid w:val="00E01EED"/>
    <w:rsid w:val="00E0759E"/>
    <w:rsid w:val="00E07CF1"/>
    <w:rsid w:val="00E131A2"/>
    <w:rsid w:val="00E13D2E"/>
    <w:rsid w:val="00E21573"/>
    <w:rsid w:val="00E22B67"/>
    <w:rsid w:val="00E23D99"/>
    <w:rsid w:val="00E27341"/>
    <w:rsid w:val="00E302A8"/>
    <w:rsid w:val="00E369BB"/>
    <w:rsid w:val="00E40C5F"/>
    <w:rsid w:val="00E41CF8"/>
    <w:rsid w:val="00E43317"/>
    <w:rsid w:val="00E44D46"/>
    <w:rsid w:val="00E468A3"/>
    <w:rsid w:val="00E46B77"/>
    <w:rsid w:val="00E54C12"/>
    <w:rsid w:val="00E55909"/>
    <w:rsid w:val="00E73C34"/>
    <w:rsid w:val="00E97823"/>
    <w:rsid w:val="00E97CB1"/>
    <w:rsid w:val="00EA1677"/>
    <w:rsid w:val="00EA269B"/>
    <w:rsid w:val="00EA31C8"/>
    <w:rsid w:val="00EA3394"/>
    <w:rsid w:val="00EB02FD"/>
    <w:rsid w:val="00EB3F13"/>
    <w:rsid w:val="00EB402B"/>
    <w:rsid w:val="00EB73C1"/>
    <w:rsid w:val="00EB76C4"/>
    <w:rsid w:val="00EB7C27"/>
    <w:rsid w:val="00EC2C9C"/>
    <w:rsid w:val="00EC4C81"/>
    <w:rsid w:val="00EC77F9"/>
    <w:rsid w:val="00ED1EC4"/>
    <w:rsid w:val="00ED291E"/>
    <w:rsid w:val="00ED507C"/>
    <w:rsid w:val="00EE3D37"/>
    <w:rsid w:val="00EF084A"/>
    <w:rsid w:val="00F07079"/>
    <w:rsid w:val="00F10DFE"/>
    <w:rsid w:val="00F1123D"/>
    <w:rsid w:val="00F125F9"/>
    <w:rsid w:val="00F1299A"/>
    <w:rsid w:val="00F151E3"/>
    <w:rsid w:val="00F20933"/>
    <w:rsid w:val="00F22AEB"/>
    <w:rsid w:val="00F2367D"/>
    <w:rsid w:val="00F24964"/>
    <w:rsid w:val="00F26DBD"/>
    <w:rsid w:val="00F3387F"/>
    <w:rsid w:val="00F358A6"/>
    <w:rsid w:val="00F40736"/>
    <w:rsid w:val="00F47E47"/>
    <w:rsid w:val="00F514B6"/>
    <w:rsid w:val="00F54D59"/>
    <w:rsid w:val="00F55B49"/>
    <w:rsid w:val="00F67DBD"/>
    <w:rsid w:val="00F74E75"/>
    <w:rsid w:val="00F84527"/>
    <w:rsid w:val="00F87A02"/>
    <w:rsid w:val="00F94202"/>
    <w:rsid w:val="00F9799A"/>
    <w:rsid w:val="00F979B4"/>
    <w:rsid w:val="00FA1B9B"/>
    <w:rsid w:val="00FA1E74"/>
    <w:rsid w:val="00FA2656"/>
    <w:rsid w:val="00FA67D5"/>
    <w:rsid w:val="00FB1B89"/>
    <w:rsid w:val="00FB269B"/>
    <w:rsid w:val="00FC5032"/>
    <w:rsid w:val="00FC656E"/>
    <w:rsid w:val="00FC7543"/>
    <w:rsid w:val="00FE17DF"/>
    <w:rsid w:val="00FE18AD"/>
    <w:rsid w:val="00FE1CD6"/>
    <w:rsid w:val="00FE5293"/>
    <w:rsid w:val="00FF0D03"/>
    <w:rsid w:val="00FF12E5"/>
    <w:rsid w:val="00FF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4A19AD67-56C8-4330-9899-424467A2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E6"/>
    <w:pPr>
      <w:widowControl w:val="0"/>
      <w:jc w:val="both"/>
    </w:pPr>
    <w:rPr>
      <w:rFonts w:ascii="Times New Roman" w:hAnsi="Times New Roman"/>
      <w:kern w:val="2"/>
      <w:sz w:val="21"/>
      <w:szCs w:val="24"/>
    </w:rPr>
  </w:style>
  <w:style w:type="paragraph" w:styleId="1">
    <w:name w:val="heading 1"/>
    <w:basedOn w:val="a"/>
    <w:next w:val="a"/>
    <w:link w:val="1Char"/>
    <w:qFormat/>
    <w:rsid w:val="00AF2EE6"/>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AF2EE6"/>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link w:val="3Char"/>
    <w:qFormat/>
    <w:rsid w:val="00AF2EE6"/>
    <w:pPr>
      <w:numPr>
        <w:ilvl w:val="2"/>
        <w:numId w:val="3"/>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AF2EE6"/>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F2EE6"/>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AF2EE6"/>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AF2EE6"/>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AF2EE6"/>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AF2EE6"/>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2EE6"/>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AF2EE6"/>
    <w:rPr>
      <w:rFonts w:ascii="Arial" w:eastAsia="宋体" w:hAnsi="Arial" w:cs="Times New Roman"/>
      <w:b/>
      <w:sz w:val="28"/>
      <w:szCs w:val="28"/>
    </w:rPr>
  </w:style>
  <w:style w:type="character" w:customStyle="1" w:styleId="3Char">
    <w:name w:val="标题 3 Char"/>
    <w:basedOn w:val="a0"/>
    <w:link w:val="3"/>
    <w:rsid w:val="00AF2EE6"/>
    <w:rPr>
      <w:rFonts w:ascii="仿宋_GB2312" w:eastAsia="仿宋_GB2312" w:hAnsi="Times New Roman" w:cs="Times New Roman"/>
      <w:sz w:val="24"/>
      <w:szCs w:val="20"/>
    </w:rPr>
  </w:style>
  <w:style w:type="character" w:customStyle="1" w:styleId="4Char">
    <w:name w:val="标题 4 Char"/>
    <w:basedOn w:val="a0"/>
    <w:link w:val="4"/>
    <w:rsid w:val="00AF2EE6"/>
    <w:rPr>
      <w:rFonts w:ascii="Arial" w:eastAsia="黑体" w:hAnsi="Arial" w:cs="Times New Roman"/>
      <w:b/>
      <w:bCs/>
      <w:sz w:val="28"/>
      <w:szCs w:val="28"/>
    </w:rPr>
  </w:style>
  <w:style w:type="character" w:customStyle="1" w:styleId="5Char">
    <w:name w:val="标题 5 Char"/>
    <w:basedOn w:val="a0"/>
    <w:link w:val="5"/>
    <w:rsid w:val="00AF2EE6"/>
    <w:rPr>
      <w:rFonts w:ascii="Times New Roman" w:eastAsia="宋体" w:hAnsi="Times New Roman" w:cs="Times New Roman"/>
      <w:b/>
      <w:bCs/>
      <w:sz w:val="28"/>
      <w:szCs w:val="28"/>
    </w:rPr>
  </w:style>
  <w:style w:type="character" w:customStyle="1" w:styleId="6Char">
    <w:name w:val="标题 6 Char"/>
    <w:basedOn w:val="a0"/>
    <w:link w:val="6"/>
    <w:rsid w:val="00AF2EE6"/>
    <w:rPr>
      <w:rFonts w:ascii="Arial" w:eastAsia="黑体" w:hAnsi="Arial" w:cs="Times New Roman"/>
      <w:b/>
      <w:bCs/>
      <w:sz w:val="24"/>
      <w:szCs w:val="24"/>
    </w:rPr>
  </w:style>
  <w:style w:type="character" w:customStyle="1" w:styleId="7Char">
    <w:name w:val="标题 7 Char"/>
    <w:basedOn w:val="a0"/>
    <w:link w:val="7"/>
    <w:rsid w:val="00AF2EE6"/>
    <w:rPr>
      <w:rFonts w:ascii="Times New Roman" w:eastAsia="宋体" w:hAnsi="Times New Roman" w:cs="Times New Roman"/>
      <w:b/>
      <w:bCs/>
      <w:sz w:val="24"/>
      <w:szCs w:val="24"/>
    </w:rPr>
  </w:style>
  <w:style w:type="character" w:customStyle="1" w:styleId="8Char">
    <w:name w:val="标题 8 Char"/>
    <w:basedOn w:val="a0"/>
    <w:link w:val="8"/>
    <w:rsid w:val="00AF2EE6"/>
    <w:rPr>
      <w:rFonts w:ascii="Arial" w:eastAsia="黑体" w:hAnsi="Arial" w:cs="Times New Roman"/>
      <w:sz w:val="24"/>
      <w:szCs w:val="24"/>
    </w:rPr>
  </w:style>
  <w:style w:type="character" w:customStyle="1" w:styleId="9Char">
    <w:name w:val="标题 9 Char"/>
    <w:basedOn w:val="a0"/>
    <w:link w:val="9"/>
    <w:rsid w:val="00AF2EE6"/>
    <w:rPr>
      <w:rFonts w:ascii="Arial" w:eastAsia="黑体" w:hAnsi="Arial" w:cs="Times New Roman"/>
      <w:sz w:val="24"/>
      <w:szCs w:val="21"/>
    </w:rPr>
  </w:style>
  <w:style w:type="paragraph" w:customStyle="1" w:styleId="211">
    <w:name w:val="样式 标题 2 + 段前: 1 行 段后: 1 行"/>
    <w:basedOn w:val="20"/>
    <w:rsid w:val="00AF2EE6"/>
    <w:pPr>
      <w:numPr>
        <w:numId w:val="1"/>
      </w:numPr>
      <w:spacing w:before="447" w:after="447"/>
    </w:pPr>
    <w:rPr>
      <w:b w:val="0"/>
      <w:szCs w:val="20"/>
    </w:rPr>
  </w:style>
  <w:style w:type="paragraph" w:customStyle="1" w:styleId="CharCharCharCharCharCharChar">
    <w:name w:val="正文文字 Char Char Char Char Char Char Char"/>
    <w:basedOn w:val="a"/>
    <w:next w:val="30"/>
    <w:rsid w:val="00AF2EE6"/>
    <w:pPr>
      <w:numPr>
        <w:ilvl w:val="1"/>
        <w:numId w:val="4"/>
      </w:numPr>
      <w:spacing w:after="120"/>
    </w:pPr>
    <w:rPr>
      <w:sz w:val="16"/>
      <w:szCs w:val="16"/>
    </w:rPr>
  </w:style>
  <w:style w:type="paragraph" w:styleId="30">
    <w:name w:val="Body Text 3"/>
    <w:basedOn w:val="a"/>
    <w:link w:val="3Char0"/>
    <w:rsid w:val="00AF2EE6"/>
    <w:pPr>
      <w:spacing w:after="120"/>
    </w:pPr>
    <w:rPr>
      <w:sz w:val="16"/>
      <w:szCs w:val="16"/>
    </w:rPr>
  </w:style>
  <w:style w:type="character" w:customStyle="1" w:styleId="3Char0">
    <w:name w:val="正文文本 3 Char"/>
    <w:basedOn w:val="a0"/>
    <w:link w:val="30"/>
    <w:rsid w:val="00AF2EE6"/>
    <w:rPr>
      <w:rFonts w:ascii="Times New Roman" w:eastAsia="宋体" w:hAnsi="Times New Roman" w:cs="Times New Roman"/>
      <w:sz w:val="16"/>
      <w:szCs w:val="16"/>
    </w:rPr>
  </w:style>
  <w:style w:type="paragraph" w:styleId="10">
    <w:name w:val="toc 1"/>
    <w:basedOn w:val="a"/>
    <w:next w:val="a"/>
    <w:autoRedefine/>
    <w:uiPriority w:val="39"/>
    <w:rsid w:val="00AF2EE6"/>
    <w:pPr>
      <w:tabs>
        <w:tab w:val="right" w:leader="dot" w:pos="8296"/>
      </w:tabs>
      <w:jc w:val="left"/>
    </w:pPr>
    <w:rPr>
      <w:rFonts w:ascii="宋体" w:eastAsia="黑体" w:hAnsi="宋体"/>
      <w:caps/>
      <w:noProof/>
      <w:sz w:val="24"/>
      <w:szCs w:val="28"/>
    </w:rPr>
  </w:style>
  <w:style w:type="paragraph" w:styleId="21">
    <w:name w:val="toc 2"/>
    <w:basedOn w:val="a"/>
    <w:next w:val="a"/>
    <w:autoRedefine/>
    <w:uiPriority w:val="39"/>
    <w:rsid w:val="00AF2EE6"/>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AF2EE6"/>
    <w:pPr>
      <w:pageBreakBefore/>
    </w:pPr>
    <w:rPr>
      <w:rFonts w:hAnsi="黑体"/>
      <w:b/>
    </w:rPr>
  </w:style>
  <w:style w:type="paragraph" w:customStyle="1" w:styleId="111">
    <w:name w:val="样式 标题 1 + 段前: 1 行 段后: 1 行"/>
    <w:basedOn w:val="1"/>
    <w:rsid w:val="00AF2EE6"/>
    <w:pPr>
      <w:pageBreakBefore/>
    </w:pPr>
    <w:rPr>
      <w:szCs w:val="20"/>
    </w:rPr>
  </w:style>
  <w:style w:type="paragraph" w:customStyle="1" w:styleId="115">
    <w:name w:val="样式 标题 1 + 段前: 1.5 行"/>
    <w:basedOn w:val="a"/>
    <w:rsid w:val="00AF2EE6"/>
    <w:pPr>
      <w:tabs>
        <w:tab w:val="num" w:pos="990"/>
      </w:tabs>
      <w:ind w:left="990" w:hanging="840"/>
    </w:pPr>
    <w:rPr>
      <w:sz w:val="24"/>
      <w:szCs w:val="20"/>
    </w:rPr>
  </w:style>
  <w:style w:type="paragraph" w:customStyle="1" w:styleId="22">
    <w:name w:val="样式 首行缩进:  2 字符"/>
    <w:basedOn w:val="a"/>
    <w:rsid w:val="00AF2EE6"/>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AF2EE6"/>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AF2EE6"/>
    <w:rPr>
      <w:rFonts w:ascii="Times New Roman" w:eastAsia="仿宋_GB2312" w:hAnsi="Times New Roman" w:cs="Times New Roman"/>
      <w:sz w:val="18"/>
      <w:szCs w:val="20"/>
    </w:rPr>
  </w:style>
  <w:style w:type="character" w:styleId="a4">
    <w:name w:val="page number"/>
    <w:basedOn w:val="a0"/>
    <w:rsid w:val="00AF2EE6"/>
  </w:style>
  <w:style w:type="paragraph" w:styleId="a5">
    <w:name w:val="footer"/>
    <w:basedOn w:val="a"/>
    <w:link w:val="Char0"/>
    <w:uiPriority w:val="99"/>
    <w:rsid w:val="00AF2EE6"/>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AF2EE6"/>
    <w:rPr>
      <w:rFonts w:ascii="Times New Roman" w:eastAsia="仿宋_GB2312" w:hAnsi="Times New Roman" w:cs="Times New Roman"/>
      <w:sz w:val="18"/>
      <w:szCs w:val="20"/>
    </w:rPr>
  </w:style>
  <w:style w:type="paragraph" w:customStyle="1" w:styleId="2111111">
    <w:name w:val="样式 样式 样式 标题 2 + 段前: 1 行 段后: 1 行1 + 段前: 1 行 段后: 1 行 + 段前: 1 行 段后..."/>
    <w:basedOn w:val="a"/>
    <w:rsid w:val="00AF2EE6"/>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0"/>
    <w:rsid w:val="00AF2EE6"/>
    <w:pPr>
      <w:ind w:firstLineChars="0" w:firstLine="0"/>
    </w:pPr>
    <w:rPr>
      <w:bCs/>
      <w:szCs w:val="20"/>
    </w:rPr>
  </w:style>
  <w:style w:type="paragraph" w:customStyle="1" w:styleId="211111">
    <w:name w:val="样式 样式 标题 2 + 段前: 1 行 段后: 1 行1 + 段前: 1 行 段后: 1 行"/>
    <w:basedOn w:val="2111"/>
    <w:rsid w:val="00AF2EE6"/>
  </w:style>
  <w:style w:type="character" w:customStyle="1" w:styleId="big1">
    <w:name w:val="big1"/>
    <w:basedOn w:val="a0"/>
    <w:rsid w:val="00AF2EE6"/>
    <w:rPr>
      <w:spacing w:val="360"/>
      <w:sz w:val="22"/>
      <w:szCs w:val="22"/>
    </w:rPr>
  </w:style>
  <w:style w:type="character" w:customStyle="1" w:styleId="read1">
    <w:name w:val="read1"/>
    <w:basedOn w:val="a0"/>
    <w:rsid w:val="00AF2EE6"/>
    <w:rPr>
      <w:rFonts w:ascii="ˎ̥" w:hAnsi="ˎ̥" w:hint="default"/>
      <w:strike w:val="0"/>
      <w:dstrike w:val="0"/>
      <w:color w:val="000000"/>
      <w:u w:val="none"/>
      <w:effect w:val="none"/>
    </w:rPr>
  </w:style>
  <w:style w:type="paragraph" w:styleId="a6">
    <w:name w:val="Title"/>
    <w:basedOn w:val="a"/>
    <w:link w:val="Char1"/>
    <w:qFormat/>
    <w:rsid w:val="00AF2EE6"/>
    <w:pPr>
      <w:spacing w:before="240" w:after="60"/>
      <w:jc w:val="center"/>
      <w:outlineLvl w:val="0"/>
    </w:pPr>
    <w:rPr>
      <w:rFonts w:ascii="Arial" w:hAnsi="Arial" w:cs="Arial"/>
      <w:b/>
      <w:bCs/>
      <w:sz w:val="32"/>
      <w:szCs w:val="32"/>
    </w:rPr>
  </w:style>
  <w:style w:type="character" w:customStyle="1" w:styleId="Char1">
    <w:name w:val="标题 Char"/>
    <w:basedOn w:val="a0"/>
    <w:link w:val="a6"/>
    <w:rsid w:val="00AF2EE6"/>
    <w:rPr>
      <w:rFonts w:ascii="Arial" w:eastAsia="宋体" w:hAnsi="Arial" w:cs="Arial"/>
      <w:b/>
      <w:bCs/>
      <w:sz w:val="32"/>
      <w:szCs w:val="32"/>
    </w:rPr>
  </w:style>
  <w:style w:type="paragraph" w:styleId="a7">
    <w:name w:val="Closing"/>
    <w:basedOn w:val="a"/>
    <w:link w:val="Char2"/>
    <w:rsid w:val="00AF2EE6"/>
    <w:pPr>
      <w:ind w:leftChars="2100" w:left="100"/>
    </w:pPr>
  </w:style>
  <w:style w:type="character" w:customStyle="1" w:styleId="Char2">
    <w:name w:val="结束语 Char"/>
    <w:basedOn w:val="a0"/>
    <w:link w:val="a7"/>
    <w:rsid w:val="00AF2EE6"/>
    <w:rPr>
      <w:rFonts w:ascii="Times New Roman" w:eastAsia="宋体" w:hAnsi="Times New Roman" w:cs="Times New Roman"/>
      <w:szCs w:val="24"/>
    </w:rPr>
  </w:style>
  <w:style w:type="paragraph" w:styleId="a8">
    <w:name w:val="List Number"/>
    <w:basedOn w:val="a"/>
    <w:rsid w:val="00AF2EE6"/>
    <w:pPr>
      <w:tabs>
        <w:tab w:val="num" w:pos="360"/>
      </w:tabs>
      <w:ind w:left="360" w:hangingChars="200" w:hanging="360"/>
    </w:pPr>
  </w:style>
  <w:style w:type="paragraph" w:styleId="23">
    <w:name w:val="List Number 2"/>
    <w:basedOn w:val="a"/>
    <w:rsid w:val="00AF2EE6"/>
    <w:pPr>
      <w:tabs>
        <w:tab w:val="num" w:pos="780"/>
      </w:tabs>
      <w:ind w:leftChars="200" w:left="780" w:hangingChars="200" w:hanging="360"/>
    </w:pPr>
  </w:style>
  <w:style w:type="paragraph" w:styleId="31">
    <w:name w:val="List Number 3"/>
    <w:basedOn w:val="a"/>
    <w:rsid w:val="00AF2EE6"/>
    <w:pPr>
      <w:tabs>
        <w:tab w:val="num" w:pos="1200"/>
      </w:tabs>
      <w:ind w:leftChars="400" w:left="1200" w:hangingChars="200" w:hanging="360"/>
    </w:pPr>
  </w:style>
  <w:style w:type="paragraph" w:styleId="40">
    <w:name w:val="List Number 4"/>
    <w:basedOn w:val="a"/>
    <w:rsid w:val="00AF2EE6"/>
    <w:pPr>
      <w:tabs>
        <w:tab w:val="num" w:pos="1620"/>
      </w:tabs>
      <w:ind w:leftChars="600" w:left="1620" w:hangingChars="200" w:hanging="360"/>
    </w:pPr>
  </w:style>
  <w:style w:type="paragraph" w:styleId="50">
    <w:name w:val="List Number 5"/>
    <w:basedOn w:val="a"/>
    <w:rsid w:val="00AF2EE6"/>
    <w:pPr>
      <w:tabs>
        <w:tab w:val="num" w:pos="2040"/>
      </w:tabs>
      <w:ind w:leftChars="800" w:left="2040" w:hangingChars="200" w:hanging="360"/>
    </w:pPr>
  </w:style>
  <w:style w:type="paragraph" w:styleId="a9">
    <w:name w:val="List Bullet"/>
    <w:basedOn w:val="a"/>
    <w:autoRedefine/>
    <w:rsid w:val="00AF2EE6"/>
    <w:pPr>
      <w:tabs>
        <w:tab w:val="num" w:pos="360"/>
      </w:tabs>
      <w:ind w:left="360" w:hangingChars="200" w:hanging="360"/>
    </w:pPr>
  </w:style>
  <w:style w:type="paragraph" w:styleId="24">
    <w:name w:val="List Bullet 2"/>
    <w:basedOn w:val="a"/>
    <w:autoRedefine/>
    <w:rsid w:val="00AF2EE6"/>
    <w:pPr>
      <w:tabs>
        <w:tab w:val="num" w:pos="780"/>
      </w:tabs>
      <w:ind w:leftChars="200" w:left="780" w:hangingChars="200" w:hanging="360"/>
    </w:pPr>
  </w:style>
  <w:style w:type="paragraph" w:styleId="32">
    <w:name w:val="List Bullet 3"/>
    <w:basedOn w:val="a"/>
    <w:autoRedefine/>
    <w:rsid w:val="00AF2EE6"/>
    <w:pPr>
      <w:tabs>
        <w:tab w:val="num" w:pos="1200"/>
      </w:tabs>
      <w:ind w:leftChars="400" w:left="1200" w:hangingChars="200" w:hanging="360"/>
    </w:pPr>
  </w:style>
  <w:style w:type="paragraph" w:styleId="41">
    <w:name w:val="List Bullet 4"/>
    <w:basedOn w:val="a"/>
    <w:autoRedefine/>
    <w:rsid w:val="00AF2EE6"/>
    <w:pPr>
      <w:tabs>
        <w:tab w:val="num" w:pos="1620"/>
      </w:tabs>
      <w:ind w:leftChars="600" w:left="1620" w:hangingChars="200" w:hanging="360"/>
    </w:pPr>
  </w:style>
  <w:style w:type="paragraph" w:styleId="51">
    <w:name w:val="List Bullet 5"/>
    <w:basedOn w:val="a"/>
    <w:autoRedefine/>
    <w:rsid w:val="00AF2EE6"/>
    <w:pPr>
      <w:tabs>
        <w:tab w:val="num" w:pos="2040"/>
      </w:tabs>
      <w:ind w:leftChars="800" w:left="2040" w:hangingChars="200" w:hanging="360"/>
    </w:pPr>
  </w:style>
  <w:style w:type="paragraph" w:styleId="aa">
    <w:name w:val="table of figures"/>
    <w:basedOn w:val="a"/>
    <w:next w:val="a"/>
    <w:semiHidden/>
    <w:rsid w:val="00AF2EE6"/>
    <w:pPr>
      <w:ind w:leftChars="200" w:left="840" w:hangingChars="200" w:hanging="420"/>
    </w:pPr>
  </w:style>
  <w:style w:type="paragraph" w:styleId="ab">
    <w:name w:val="Body Text"/>
    <w:basedOn w:val="a"/>
    <w:link w:val="Char3"/>
    <w:rsid w:val="00AF2EE6"/>
    <w:pPr>
      <w:spacing w:after="120"/>
    </w:pPr>
  </w:style>
  <w:style w:type="character" w:customStyle="1" w:styleId="Char3">
    <w:name w:val="正文文本 Char"/>
    <w:basedOn w:val="a0"/>
    <w:link w:val="ab"/>
    <w:rsid w:val="00AF2EE6"/>
    <w:rPr>
      <w:rFonts w:ascii="Times New Roman" w:eastAsia="宋体" w:hAnsi="Times New Roman" w:cs="Times New Roman"/>
      <w:szCs w:val="24"/>
    </w:rPr>
  </w:style>
  <w:style w:type="paragraph" w:styleId="ac">
    <w:name w:val="Body Text First Indent"/>
    <w:basedOn w:val="ab"/>
    <w:link w:val="Char4"/>
    <w:rsid w:val="00AF2EE6"/>
    <w:pPr>
      <w:ind w:firstLineChars="100" w:firstLine="420"/>
    </w:pPr>
  </w:style>
  <w:style w:type="character" w:customStyle="1" w:styleId="Char4">
    <w:name w:val="正文首行缩进 Char"/>
    <w:basedOn w:val="Char3"/>
    <w:link w:val="ac"/>
    <w:rsid w:val="00AF2EE6"/>
    <w:rPr>
      <w:rFonts w:ascii="Times New Roman" w:eastAsia="宋体" w:hAnsi="Times New Roman" w:cs="Times New Roman"/>
      <w:szCs w:val="24"/>
    </w:rPr>
  </w:style>
  <w:style w:type="paragraph" w:styleId="ad">
    <w:name w:val="Body Text Indent"/>
    <w:basedOn w:val="a"/>
    <w:link w:val="Char5"/>
    <w:rsid w:val="00AF2EE6"/>
    <w:pPr>
      <w:spacing w:after="120"/>
      <w:ind w:left="420"/>
    </w:pPr>
  </w:style>
  <w:style w:type="character" w:customStyle="1" w:styleId="Char5">
    <w:name w:val="正文文本缩进 Char"/>
    <w:basedOn w:val="a0"/>
    <w:link w:val="ad"/>
    <w:rsid w:val="00AF2EE6"/>
    <w:rPr>
      <w:rFonts w:ascii="Times New Roman" w:eastAsia="宋体" w:hAnsi="Times New Roman" w:cs="Times New Roman"/>
      <w:szCs w:val="24"/>
    </w:rPr>
  </w:style>
  <w:style w:type="paragraph" w:styleId="ae">
    <w:name w:val="Note Heading"/>
    <w:basedOn w:val="a"/>
    <w:next w:val="a"/>
    <w:link w:val="Char6"/>
    <w:rsid w:val="00AF2EE6"/>
    <w:pPr>
      <w:jc w:val="center"/>
    </w:pPr>
  </w:style>
  <w:style w:type="character" w:customStyle="1" w:styleId="Char6">
    <w:name w:val="注释标题 Char"/>
    <w:basedOn w:val="a0"/>
    <w:link w:val="ae"/>
    <w:rsid w:val="00AF2EE6"/>
    <w:rPr>
      <w:rFonts w:ascii="Times New Roman" w:eastAsia="宋体" w:hAnsi="Times New Roman" w:cs="Times New Roman"/>
      <w:szCs w:val="24"/>
    </w:rPr>
  </w:style>
  <w:style w:type="character" w:customStyle="1" w:styleId="font141">
    <w:name w:val="font141"/>
    <w:basedOn w:val="a0"/>
    <w:rsid w:val="00AF2EE6"/>
    <w:rPr>
      <w:rFonts w:ascii="宋体" w:eastAsia="宋体" w:hAnsi="宋体" w:hint="eastAsia"/>
      <w:spacing w:val="300"/>
      <w:sz w:val="21"/>
      <w:szCs w:val="21"/>
    </w:rPr>
  </w:style>
  <w:style w:type="character" w:customStyle="1" w:styleId="da">
    <w:name w:val="da"/>
    <w:basedOn w:val="a0"/>
    <w:rsid w:val="00AF2EE6"/>
  </w:style>
  <w:style w:type="paragraph" w:customStyle="1" w:styleId="af">
    <w:name w:val="特点"/>
    <w:aliases w:val="表正文,正文非缩进,段1"/>
    <w:basedOn w:val="a"/>
    <w:next w:val="af0"/>
    <w:rsid w:val="00AF2EE6"/>
    <w:pPr>
      <w:ind w:firstLine="420"/>
    </w:pPr>
    <w:rPr>
      <w:szCs w:val="20"/>
    </w:rPr>
  </w:style>
  <w:style w:type="paragraph" w:styleId="af0">
    <w:name w:val="Normal Indent"/>
    <w:aliases w:val="正文缩进1,ALT+Z"/>
    <w:basedOn w:val="a"/>
    <w:rsid w:val="00AF2EE6"/>
    <w:pPr>
      <w:ind w:firstLine="420"/>
    </w:pPr>
  </w:style>
  <w:style w:type="paragraph" w:styleId="33">
    <w:name w:val="Body Text Indent 3"/>
    <w:basedOn w:val="a"/>
    <w:link w:val="3Char1"/>
    <w:rsid w:val="00AF2EE6"/>
    <w:pPr>
      <w:spacing w:after="120"/>
      <w:ind w:left="420"/>
    </w:pPr>
    <w:rPr>
      <w:sz w:val="16"/>
      <w:szCs w:val="16"/>
    </w:rPr>
  </w:style>
  <w:style w:type="character" w:customStyle="1" w:styleId="3Char1">
    <w:name w:val="正文文本缩进 3 Char"/>
    <w:basedOn w:val="a0"/>
    <w:link w:val="33"/>
    <w:rsid w:val="00AF2EE6"/>
    <w:rPr>
      <w:rFonts w:ascii="Times New Roman" w:eastAsia="宋体" w:hAnsi="Times New Roman" w:cs="Times New Roman"/>
      <w:sz w:val="16"/>
      <w:szCs w:val="16"/>
    </w:rPr>
  </w:style>
  <w:style w:type="paragraph" w:styleId="af1">
    <w:name w:val="Plain Text"/>
    <w:basedOn w:val="a"/>
    <w:link w:val="Char7"/>
    <w:rsid w:val="00AF2EE6"/>
    <w:rPr>
      <w:rFonts w:ascii="宋体" w:hAnsi="Courier New" w:cs="Courier New"/>
      <w:szCs w:val="21"/>
    </w:rPr>
  </w:style>
  <w:style w:type="character" w:customStyle="1" w:styleId="Char7">
    <w:name w:val="纯文本 Char"/>
    <w:basedOn w:val="a0"/>
    <w:link w:val="af1"/>
    <w:rsid w:val="00AF2EE6"/>
    <w:rPr>
      <w:rFonts w:ascii="宋体" w:eastAsia="宋体" w:hAnsi="Courier New" w:cs="Courier New"/>
      <w:szCs w:val="21"/>
    </w:rPr>
  </w:style>
  <w:style w:type="character" w:styleId="af2">
    <w:name w:val="Hyperlink"/>
    <w:basedOn w:val="a0"/>
    <w:uiPriority w:val="99"/>
    <w:rsid w:val="00AF2EE6"/>
    <w:rPr>
      <w:color w:val="0000FF"/>
      <w:u w:val="single"/>
    </w:rPr>
  </w:style>
  <w:style w:type="paragraph" w:styleId="25">
    <w:name w:val="Body Text Indent 2"/>
    <w:basedOn w:val="a"/>
    <w:link w:val="2Char0"/>
    <w:rsid w:val="00AF2EE6"/>
    <w:pPr>
      <w:spacing w:after="120" w:line="480" w:lineRule="auto"/>
      <w:ind w:left="420"/>
    </w:pPr>
  </w:style>
  <w:style w:type="character" w:customStyle="1" w:styleId="2Char0">
    <w:name w:val="正文文本缩进 2 Char"/>
    <w:basedOn w:val="a0"/>
    <w:link w:val="25"/>
    <w:rsid w:val="00AF2EE6"/>
    <w:rPr>
      <w:rFonts w:ascii="Times New Roman" w:eastAsia="宋体" w:hAnsi="Times New Roman" w:cs="Times New Roman"/>
      <w:szCs w:val="24"/>
    </w:rPr>
  </w:style>
  <w:style w:type="paragraph" w:styleId="26">
    <w:name w:val="Body Text 2"/>
    <w:basedOn w:val="a"/>
    <w:link w:val="2Char1"/>
    <w:rsid w:val="00AF2EE6"/>
    <w:pPr>
      <w:spacing w:after="120" w:line="480" w:lineRule="auto"/>
    </w:pPr>
  </w:style>
  <w:style w:type="character" w:customStyle="1" w:styleId="2Char1">
    <w:name w:val="正文文本 2 Char"/>
    <w:basedOn w:val="a0"/>
    <w:link w:val="26"/>
    <w:rsid w:val="00AF2EE6"/>
    <w:rPr>
      <w:rFonts w:ascii="Times New Roman" w:eastAsia="宋体" w:hAnsi="Times New Roman" w:cs="Times New Roman"/>
      <w:szCs w:val="24"/>
    </w:rPr>
  </w:style>
  <w:style w:type="character" w:styleId="af3">
    <w:name w:val="FollowedHyperlink"/>
    <w:basedOn w:val="a0"/>
    <w:uiPriority w:val="99"/>
    <w:rsid w:val="00AF2EE6"/>
    <w:rPr>
      <w:color w:val="800080"/>
      <w:u w:val="single"/>
    </w:rPr>
  </w:style>
  <w:style w:type="paragraph" w:styleId="HTML">
    <w:name w:val="HTML Preformatted"/>
    <w:basedOn w:val="a"/>
    <w:link w:val="HTMLChar"/>
    <w:uiPriority w:val="99"/>
    <w:rsid w:val="00AF2EE6"/>
    <w:rPr>
      <w:rFonts w:ascii="Courier New" w:hAnsi="Courier New" w:cs="Courier New"/>
      <w:sz w:val="20"/>
      <w:szCs w:val="20"/>
    </w:rPr>
  </w:style>
  <w:style w:type="character" w:customStyle="1" w:styleId="HTMLChar">
    <w:name w:val="HTML 预设格式 Char"/>
    <w:basedOn w:val="a0"/>
    <w:link w:val="HTML"/>
    <w:uiPriority w:val="99"/>
    <w:rsid w:val="00AF2EE6"/>
    <w:rPr>
      <w:rFonts w:ascii="Courier New" w:eastAsia="宋体" w:hAnsi="Courier New" w:cs="Courier New"/>
      <w:sz w:val="20"/>
      <w:szCs w:val="20"/>
    </w:rPr>
  </w:style>
  <w:style w:type="paragraph" w:styleId="af4">
    <w:name w:val="Normal (Web)"/>
    <w:basedOn w:val="a"/>
    <w:rsid w:val="00AF2EE6"/>
    <w:rPr>
      <w:sz w:val="24"/>
    </w:rPr>
  </w:style>
  <w:style w:type="paragraph" w:styleId="af5">
    <w:name w:val="Subtitle"/>
    <w:basedOn w:val="a"/>
    <w:link w:val="Char8"/>
    <w:qFormat/>
    <w:rsid w:val="00AF2EE6"/>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5"/>
    <w:rsid w:val="00AF2EE6"/>
    <w:rPr>
      <w:rFonts w:ascii="Arial" w:eastAsia="宋体" w:hAnsi="Arial" w:cs="Arial"/>
      <w:b/>
      <w:bCs/>
      <w:kern w:val="28"/>
      <w:sz w:val="32"/>
      <w:szCs w:val="32"/>
    </w:rPr>
  </w:style>
  <w:style w:type="paragraph" w:styleId="af6">
    <w:name w:val="Block Text"/>
    <w:basedOn w:val="a"/>
    <w:rsid w:val="00AF2EE6"/>
    <w:pPr>
      <w:spacing w:after="120"/>
      <w:ind w:left="1440" w:right="1440"/>
    </w:pPr>
  </w:style>
  <w:style w:type="character" w:styleId="af7">
    <w:name w:val="Strong"/>
    <w:basedOn w:val="a0"/>
    <w:uiPriority w:val="99"/>
    <w:qFormat/>
    <w:rsid w:val="00AF2EE6"/>
    <w:rPr>
      <w:b/>
      <w:bCs/>
    </w:rPr>
  </w:style>
  <w:style w:type="paragraph" w:styleId="af8">
    <w:name w:val="Document Map"/>
    <w:basedOn w:val="a"/>
    <w:link w:val="Char9"/>
    <w:semiHidden/>
    <w:rsid w:val="00AF2EE6"/>
    <w:pPr>
      <w:shd w:val="clear" w:color="auto" w:fill="000080"/>
    </w:pPr>
  </w:style>
  <w:style w:type="character" w:customStyle="1" w:styleId="Char9">
    <w:name w:val="文档结构图 Char"/>
    <w:basedOn w:val="a0"/>
    <w:link w:val="af8"/>
    <w:semiHidden/>
    <w:rsid w:val="00AF2EE6"/>
    <w:rPr>
      <w:rFonts w:ascii="Times New Roman" w:eastAsia="宋体" w:hAnsi="Times New Roman" w:cs="Times New Roman"/>
      <w:szCs w:val="24"/>
      <w:shd w:val="clear" w:color="auto" w:fill="000080"/>
    </w:rPr>
  </w:style>
  <w:style w:type="character" w:styleId="af9">
    <w:name w:val="footnote reference"/>
    <w:basedOn w:val="a0"/>
    <w:semiHidden/>
    <w:rsid w:val="00AF2EE6"/>
    <w:rPr>
      <w:vertAlign w:val="superscript"/>
    </w:rPr>
  </w:style>
  <w:style w:type="paragraph" w:customStyle="1" w:styleId="2">
    <w:name w:val="列表2"/>
    <w:basedOn w:val="a"/>
    <w:next w:val="a6"/>
    <w:rsid w:val="00AF2EE6"/>
    <w:pPr>
      <w:numPr>
        <w:numId w:val="10"/>
      </w:numPr>
      <w:spacing w:line="360" w:lineRule="auto"/>
    </w:pPr>
    <w:rPr>
      <w:rFonts w:ascii="宋体"/>
      <w:szCs w:val="20"/>
    </w:rPr>
  </w:style>
  <w:style w:type="paragraph" w:customStyle="1" w:styleId="12">
    <w:name w:val="列表1"/>
    <w:basedOn w:val="a"/>
    <w:next w:val="a"/>
    <w:rsid w:val="00AF2EE6"/>
    <w:pPr>
      <w:tabs>
        <w:tab w:val="num" w:pos="644"/>
      </w:tabs>
      <w:spacing w:line="360" w:lineRule="auto"/>
      <w:ind w:left="567" w:hanging="283"/>
    </w:pPr>
    <w:rPr>
      <w:szCs w:val="20"/>
    </w:rPr>
  </w:style>
  <w:style w:type="paragraph" w:customStyle="1" w:styleId="2211">
    <w:name w:val="样式 标题 2 + 首行缩进:  2 字符 段前: 1 行 段后: 1 行"/>
    <w:basedOn w:val="20"/>
    <w:rsid w:val="00AF2EE6"/>
    <w:pPr>
      <w:tabs>
        <w:tab w:val="num" w:pos="1276"/>
      </w:tabs>
      <w:spacing w:beforeLines="0" w:afterLines="0"/>
      <w:ind w:left="851" w:firstLineChars="0" w:firstLine="0"/>
    </w:pPr>
    <w:rPr>
      <w:szCs w:val="20"/>
    </w:rPr>
  </w:style>
  <w:style w:type="paragraph" w:styleId="afa">
    <w:name w:val="Balloon Text"/>
    <w:basedOn w:val="a"/>
    <w:link w:val="Chara"/>
    <w:semiHidden/>
    <w:rsid w:val="00AF2EE6"/>
    <w:rPr>
      <w:sz w:val="18"/>
      <w:szCs w:val="18"/>
    </w:rPr>
  </w:style>
  <w:style w:type="character" w:customStyle="1" w:styleId="Chara">
    <w:name w:val="批注框文本 Char"/>
    <w:basedOn w:val="a0"/>
    <w:link w:val="afa"/>
    <w:semiHidden/>
    <w:rsid w:val="00AF2EE6"/>
    <w:rPr>
      <w:rFonts w:ascii="Times New Roman" w:eastAsia="宋体" w:hAnsi="Times New Roman" w:cs="Times New Roman"/>
      <w:sz w:val="18"/>
      <w:szCs w:val="18"/>
    </w:rPr>
  </w:style>
  <w:style w:type="character" w:customStyle="1" w:styleId="read">
    <w:name w:val="read"/>
    <w:basedOn w:val="a0"/>
    <w:rsid w:val="00AF2EE6"/>
  </w:style>
  <w:style w:type="paragraph" w:styleId="afb">
    <w:name w:val="annotation text"/>
    <w:basedOn w:val="a"/>
    <w:link w:val="Charb"/>
    <w:semiHidden/>
    <w:unhideWhenUsed/>
    <w:rsid w:val="00AF2EE6"/>
    <w:pPr>
      <w:jc w:val="left"/>
    </w:pPr>
  </w:style>
  <w:style w:type="character" w:customStyle="1" w:styleId="Charb">
    <w:name w:val="批注文字 Char"/>
    <w:basedOn w:val="a0"/>
    <w:link w:val="afb"/>
    <w:uiPriority w:val="99"/>
    <w:semiHidden/>
    <w:rsid w:val="00AF2EE6"/>
    <w:rPr>
      <w:rFonts w:ascii="Times New Roman" w:eastAsia="宋体" w:hAnsi="Times New Roman" w:cs="Times New Roman"/>
      <w:szCs w:val="24"/>
    </w:rPr>
  </w:style>
  <w:style w:type="paragraph" w:styleId="afc">
    <w:name w:val="annotation subject"/>
    <w:basedOn w:val="afb"/>
    <w:next w:val="afb"/>
    <w:link w:val="Charc"/>
    <w:semiHidden/>
    <w:rsid w:val="00AF2EE6"/>
    <w:rPr>
      <w:b/>
      <w:bCs/>
    </w:rPr>
  </w:style>
  <w:style w:type="character" w:customStyle="1" w:styleId="Charc">
    <w:name w:val="批注主题 Char"/>
    <w:basedOn w:val="Charb"/>
    <w:link w:val="afc"/>
    <w:semiHidden/>
    <w:rsid w:val="00AF2EE6"/>
    <w:rPr>
      <w:rFonts w:ascii="Times New Roman" w:eastAsia="宋体" w:hAnsi="Times New Roman" w:cs="Times New Roman"/>
      <w:b/>
      <w:bCs/>
      <w:szCs w:val="24"/>
    </w:rPr>
  </w:style>
  <w:style w:type="paragraph" w:customStyle="1" w:styleId="13">
    <w:name w:val="1"/>
    <w:basedOn w:val="a"/>
    <w:rsid w:val="00AF2EE6"/>
    <w:pPr>
      <w:spacing w:before="100" w:beforeAutospacing="1" w:after="120" w:afterAutospacing="1" w:line="360" w:lineRule="auto"/>
      <w:ind w:leftChars="200" w:left="420"/>
    </w:pPr>
  </w:style>
  <w:style w:type="character" w:styleId="afd">
    <w:name w:val="annotation reference"/>
    <w:basedOn w:val="a0"/>
    <w:semiHidden/>
    <w:rsid w:val="00AF2EE6"/>
    <w:rPr>
      <w:sz w:val="21"/>
      <w:szCs w:val="21"/>
    </w:rPr>
  </w:style>
  <w:style w:type="paragraph" w:customStyle="1" w:styleId="CharCharCharChar">
    <w:name w:val="Char Char Char Char"/>
    <w:basedOn w:val="a"/>
    <w:autoRedefine/>
    <w:rsid w:val="00AF2EE6"/>
    <w:pPr>
      <w:tabs>
        <w:tab w:val="num" w:pos="360"/>
      </w:tabs>
    </w:pPr>
    <w:rPr>
      <w:sz w:val="24"/>
    </w:rPr>
  </w:style>
  <w:style w:type="table" w:styleId="afe">
    <w:name w:val="Table Grid"/>
    <w:basedOn w:val="a1"/>
    <w:qFormat/>
    <w:rsid w:val="00AF2EE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d">
    <w:name w:val="Char"/>
    <w:basedOn w:val="a"/>
    <w:rsid w:val="00AF2EE6"/>
  </w:style>
  <w:style w:type="paragraph" w:customStyle="1" w:styleId="ParaChar">
    <w:name w:val="默认段落字体 Para Char"/>
    <w:basedOn w:val="a"/>
    <w:autoRedefine/>
    <w:rsid w:val="00AF2EE6"/>
    <w:pPr>
      <w:numPr>
        <w:numId w:val="3"/>
      </w:numPr>
      <w:tabs>
        <w:tab w:val="num" w:pos="360"/>
      </w:tabs>
      <w:ind w:left="0" w:firstLine="0"/>
    </w:pPr>
    <w:rPr>
      <w:sz w:val="24"/>
    </w:rPr>
  </w:style>
  <w:style w:type="paragraph" w:styleId="aff">
    <w:name w:val="Date"/>
    <w:basedOn w:val="a"/>
    <w:next w:val="a"/>
    <w:link w:val="Chare"/>
    <w:rsid w:val="00AF2EE6"/>
    <w:rPr>
      <w:sz w:val="24"/>
      <w:szCs w:val="20"/>
    </w:rPr>
  </w:style>
  <w:style w:type="character" w:customStyle="1" w:styleId="Chare">
    <w:name w:val="日期 Char"/>
    <w:basedOn w:val="a0"/>
    <w:link w:val="aff"/>
    <w:rsid w:val="00AF2EE6"/>
    <w:rPr>
      <w:rFonts w:ascii="Times New Roman" w:eastAsia="宋体" w:hAnsi="Times New Roman" w:cs="Times New Roman"/>
      <w:sz w:val="24"/>
      <w:szCs w:val="20"/>
    </w:rPr>
  </w:style>
  <w:style w:type="paragraph" w:styleId="aff0">
    <w:name w:val="List"/>
    <w:basedOn w:val="ab"/>
    <w:rsid w:val="00AF2EE6"/>
    <w:pPr>
      <w:spacing w:after="220" w:line="220" w:lineRule="atLeast"/>
      <w:ind w:left="1440" w:hanging="360"/>
    </w:pPr>
    <w:rPr>
      <w:szCs w:val="20"/>
    </w:rPr>
  </w:style>
  <w:style w:type="character" w:customStyle="1" w:styleId="c1">
    <w:name w:val="c1"/>
    <w:basedOn w:val="a0"/>
    <w:rsid w:val="00AF2EE6"/>
    <w:rPr>
      <w:color w:val="000000"/>
      <w:spacing w:val="300"/>
      <w:sz w:val="18"/>
      <w:szCs w:val="18"/>
    </w:rPr>
  </w:style>
  <w:style w:type="paragraph" w:styleId="14">
    <w:name w:val="index 1"/>
    <w:basedOn w:val="a"/>
    <w:next w:val="a"/>
    <w:autoRedefine/>
    <w:semiHidden/>
    <w:rsid w:val="00AF2EE6"/>
    <w:pPr>
      <w:jc w:val="right"/>
    </w:pPr>
    <w:rPr>
      <w:color w:val="008000"/>
    </w:rPr>
  </w:style>
  <w:style w:type="paragraph" w:customStyle="1" w:styleId="font5">
    <w:name w:val="font5"/>
    <w:basedOn w:val="a"/>
    <w:rsid w:val="00AF2EE6"/>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AF2EE6"/>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AF2EE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AF2EE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AF2EE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AF2EE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AF2EE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AF2EE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AF2EE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aff1">
    <w:name w:val="正文 + (符号) 宋体"/>
    <w:aliases w:val="小四,紧缩量  0.2 磅"/>
    <w:basedOn w:val="a"/>
    <w:rsid w:val="00AF2EE6"/>
    <w:pPr>
      <w:autoSpaceDE w:val="0"/>
      <w:autoSpaceDN w:val="0"/>
      <w:adjustRightInd w:val="0"/>
      <w:ind w:rightChars="671" w:right="1409" w:firstLineChars="512" w:firstLine="1229"/>
      <w:jc w:val="distribute"/>
    </w:pPr>
    <w:rPr>
      <w:sz w:val="24"/>
    </w:rPr>
  </w:style>
  <w:style w:type="paragraph" w:styleId="aff2">
    <w:name w:val="footnote text"/>
    <w:basedOn w:val="a"/>
    <w:link w:val="Charf"/>
    <w:semiHidden/>
    <w:rsid w:val="00AF2EE6"/>
    <w:pPr>
      <w:snapToGrid w:val="0"/>
      <w:jc w:val="left"/>
    </w:pPr>
    <w:rPr>
      <w:sz w:val="18"/>
      <w:szCs w:val="18"/>
    </w:rPr>
  </w:style>
  <w:style w:type="character" w:customStyle="1" w:styleId="Charf">
    <w:name w:val="脚注文本 Char"/>
    <w:basedOn w:val="a0"/>
    <w:link w:val="aff2"/>
    <w:semiHidden/>
    <w:rsid w:val="00AF2EE6"/>
    <w:rPr>
      <w:rFonts w:ascii="Times New Roman" w:eastAsia="宋体" w:hAnsi="Times New Roman" w:cs="Times New Roman"/>
      <w:sz w:val="18"/>
      <w:szCs w:val="18"/>
    </w:rPr>
  </w:style>
  <w:style w:type="paragraph" w:customStyle="1" w:styleId="Char10">
    <w:name w:val="Char1"/>
    <w:basedOn w:val="a"/>
    <w:rsid w:val="00AF2EE6"/>
  </w:style>
  <w:style w:type="paragraph" w:customStyle="1" w:styleId="CharCharCharCharCharChar1CharCharChar">
    <w:name w:val="Char Char Char Char Char Char1 Char Char Char"/>
    <w:basedOn w:val="a"/>
    <w:rsid w:val="00AF2EE6"/>
    <w:pPr>
      <w:autoSpaceDE w:val="0"/>
      <w:autoSpaceDN w:val="0"/>
      <w:adjustRightInd w:val="0"/>
      <w:jc w:val="left"/>
      <w:textAlignment w:val="baseline"/>
    </w:pPr>
    <w:rPr>
      <w:rFonts w:ascii="宋体"/>
      <w:kern w:val="0"/>
      <w:sz w:val="34"/>
      <w:szCs w:val="20"/>
    </w:rPr>
  </w:style>
  <w:style w:type="character" w:styleId="HTML0">
    <w:name w:val="HTML Typewriter"/>
    <w:basedOn w:val="a0"/>
    <w:uiPriority w:val="99"/>
    <w:rsid w:val="00AF2EE6"/>
    <w:rPr>
      <w:rFonts w:ascii="黑体" w:eastAsia="黑体" w:hAnsi="Courier New" w:cs="Courier New"/>
      <w:sz w:val="20"/>
      <w:szCs w:val="20"/>
    </w:rPr>
  </w:style>
  <w:style w:type="character" w:customStyle="1" w:styleId="aff3">
    <w:name w:val="a"/>
    <w:basedOn w:val="a0"/>
    <w:rsid w:val="00AF2EE6"/>
  </w:style>
  <w:style w:type="character" w:customStyle="1" w:styleId="txtcontent11">
    <w:name w:val="txtcontent11"/>
    <w:basedOn w:val="a0"/>
    <w:rsid w:val="00AF2EE6"/>
    <w:rPr>
      <w:rFonts w:ascii="ˎ̥" w:hAnsi="ˎ̥" w:hint="default"/>
      <w:b w:val="0"/>
      <w:bCs w:val="0"/>
      <w:color w:val="000000"/>
      <w:sz w:val="21"/>
      <w:szCs w:val="21"/>
    </w:rPr>
  </w:style>
  <w:style w:type="paragraph" w:styleId="aff4">
    <w:name w:val="Revision"/>
    <w:hidden/>
    <w:uiPriority w:val="99"/>
    <w:semiHidden/>
    <w:rsid w:val="00AF2EE6"/>
    <w:rPr>
      <w:rFonts w:ascii="Times New Roman" w:hAnsi="Times New Roman"/>
      <w:kern w:val="2"/>
      <w:sz w:val="21"/>
      <w:szCs w:val="24"/>
    </w:rPr>
  </w:style>
  <w:style w:type="paragraph" w:customStyle="1" w:styleId="CharCharCharChar1">
    <w:name w:val="Char Char Char Char1"/>
    <w:basedOn w:val="a"/>
    <w:autoRedefine/>
    <w:rsid w:val="00AF2EE6"/>
    <w:pPr>
      <w:tabs>
        <w:tab w:val="num" w:pos="360"/>
      </w:tabs>
      <w:spacing w:before="312" w:after="312" w:line="360" w:lineRule="auto"/>
    </w:pPr>
    <w:rPr>
      <w:sz w:val="24"/>
    </w:rPr>
  </w:style>
  <w:style w:type="paragraph" w:customStyle="1" w:styleId="CharCharCharCharCharCharChar0">
    <w:name w:val="Char Char Char Char Char Char Char"/>
    <w:basedOn w:val="a"/>
    <w:rsid w:val="00AF2EE6"/>
  </w:style>
  <w:style w:type="character" w:customStyle="1" w:styleId="text1">
    <w:name w:val="text1"/>
    <w:basedOn w:val="a0"/>
    <w:rsid w:val="00AF2EE6"/>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AF2EE6"/>
    <w:rPr>
      <w:rFonts w:ascii="Arial" w:hAnsi="Arial" w:cs="Arial" w:hint="default"/>
    </w:rPr>
  </w:style>
  <w:style w:type="character" w:customStyle="1" w:styleId="fontcolor3">
    <w:name w:val="fontcolor3"/>
    <w:basedOn w:val="a0"/>
    <w:rsid w:val="00AF2EE6"/>
    <w:rPr>
      <w:color w:val="6C057B"/>
    </w:rPr>
  </w:style>
  <w:style w:type="character" w:customStyle="1" w:styleId="15">
    <w:name w:val="15"/>
    <w:basedOn w:val="a0"/>
    <w:rsid w:val="00AF2EE6"/>
  </w:style>
  <w:style w:type="character" w:customStyle="1" w:styleId="CharChar11">
    <w:name w:val="Char Char11"/>
    <w:basedOn w:val="a0"/>
    <w:locked/>
    <w:rsid w:val="005119A6"/>
    <w:rPr>
      <w:rFonts w:ascii="宋体" w:eastAsia="宋体" w:hAnsi="Courier New" w:cs="Courier New"/>
      <w:kern w:val="2"/>
      <w:sz w:val="21"/>
      <w:szCs w:val="21"/>
      <w:lang w:val="en-US" w:eastAsia="zh-CN" w:bidi="ar-SA"/>
    </w:rPr>
  </w:style>
  <w:style w:type="character" w:customStyle="1" w:styleId="Char11">
    <w:name w:val="纯文本 Char1"/>
    <w:basedOn w:val="a0"/>
    <w:semiHidden/>
    <w:locked/>
    <w:rsid w:val="00A43EC7"/>
    <w:rPr>
      <w:rFonts w:ascii="宋体" w:hAnsi="Courier New" w:cs="Courier New"/>
      <w:kern w:val="2"/>
      <w:sz w:val="21"/>
      <w:szCs w:val="21"/>
    </w:rPr>
  </w:style>
  <w:style w:type="paragraph" w:styleId="34">
    <w:name w:val="toc 3"/>
    <w:basedOn w:val="a"/>
    <w:next w:val="a"/>
    <w:autoRedefine/>
    <w:uiPriority w:val="39"/>
    <w:unhideWhenUsed/>
    <w:rsid w:val="00522E9E"/>
    <w:pPr>
      <w:ind w:leftChars="400" w:left="840"/>
    </w:pPr>
    <w:rPr>
      <w:rFonts w:ascii="Calibri" w:hAnsi="Calibri"/>
      <w:szCs w:val="22"/>
    </w:rPr>
  </w:style>
  <w:style w:type="paragraph" w:styleId="42">
    <w:name w:val="toc 4"/>
    <w:basedOn w:val="a"/>
    <w:next w:val="a"/>
    <w:autoRedefine/>
    <w:uiPriority w:val="39"/>
    <w:unhideWhenUsed/>
    <w:rsid w:val="00522E9E"/>
    <w:pPr>
      <w:ind w:leftChars="600" w:left="1260"/>
    </w:pPr>
    <w:rPr>
      <w:rFonts w:ascii="Calibri" w:hAnsi="Calibri"/>
      <w:szCs w:val="22"/>
    </w:rPr>
  </w:style>
  <w:style w:type="paragraph" w:styleId="52">
    <w:name w:val="toc 5"/>
    <w:basedOn w:val="a"/>
    <w:next w:val="a"/>
    <w:autoRedefine/>
    <w:uiPriority w:val="39"/>
    <w:unhideWhenUsed/>
    <w:rsid w:val="00522E9E"/>
    <w:pPr>
      <w:ind w:leftChars="800" w:left="1680"/>
    </w:pPr>
    <w:rPr>
      <w:rFonts w:ascii="Calibri" w:hAnsi="Calibri"/>
      <w:szCs w:val="22"/>
    </w:rPr>
  </w:style>
  <w:style w:type="paragraph" w:styleId="60">
    <w:name w:val="toc 6"/>
    <w:basedOn w:val="a"/>
    <w:next w:val="a"/>
    <w:autoRedefine/>
    <w:uiPriority w:val="39"/>
    <w:unhideWhenUsed/>
    <w:rsid w:val="00522E9E"/>
    <w:pPr>
      <w:ind w:leftChars="1000" w:left="2100"/>
    </w:pPr>
    <w:rPr>
      <w:rFonts w:ascii="Calibri" w:hAnsi="Calibri"/>
      <w:szCs w:val="22"/>
    </w:rPr>
  </w:style>
  <w:style w:type="paragraph" w:styleId="70">
    <w:name w:val="toc 7"/>
    <w:basedOn w:val="a"/>
    <w:next w:val="a"/>
    <w:autoRedefine/>
    <w:uiPriority w:val="39"/>
    <w:unhideWhenUsed/>
    <w:rsid w:val="00522E9E"/>
    <w:pPr>
      <w:ind w:leftChars="1200" w:left="2520"/>
    </w:pPr>
    <w:rPr>
      <w:rFonts w:ascii="Calibri" w:hAnsi="Calibri"/>
      <w:szCs w:val="22"/>
    </w:rPr>
  </w:style>
  <w:style w:type="paragraph" w:styleId="80">
    <w:name w:val="toc 8"/>
    <w:basedOn w:val="a"/>
    <w:next w:val="a"/>
    <w:autoRedefine/>
    <w:uiPriority w:val="39"/>
    <w:unhideWhenUsed/>
    <w:rsid w:val="00522E9E"/>
    <w:pPr>
      <w:ind w:leftChars="1400" w:left="2940"/>
    </w:pPr>
    <w:rPr>
      <w:rFonts w:ascii="Calibri" w:hAnsi="Calibri"/>
      <w:szCs w:val="22"/>
    </w:rPr>
  </w:style>
  <w:style w:type="paragraph" w:styleId="90">
    <w:name w:val="toc 9"/>
    <w:basedOn w:val="a"/>
    <w:next w:val="a"/>
    <w:autoRedefine/>
    <w:uiPriority w:val="39"/>
    <w:unhideWhenUsed/>
    <w:rsid w:val="00522E9E"/>
    <w:pPr>
      <w:ind w:leftChars="1600" w:left="3360"/>
    </w:pPr>
    <w:rPr>
      <w:rFonts w:ascii="Calibri" w:hAnsi="Calibri"/>
      <w:szCs w:val="22"/>
    </w:rPr>
  </w:style>
  <w:style w:type="paragraph" w:styleId="aff5">
    <w:name w:val="List Paragraph"/>
    <w:basedOn w:val="a"/>
    <w:uiPriority w:val="34"/>
    <w:qFormat/>
    <w:rsid w:val="00AC34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619">
      <w:bodyDiv w:val="1"/>
      <w:marLeft w:val="0"/>
      <w:marRight w:val="0"/>
      <w:marTop w:val="0"/>
      <w:marBottom w:val="0"/>
      <w:divBdr>
        <w:top w:val="none" w:sz="0" w:space="0" w:color="auto"/>
        <w:left w:val="none" w:sz="0" w:space="0" w:color="auto"/>
        <w:bottom w:val="none" w:sz="0" w:space="0" w:color="auto"/>
        <w:right w:val="none" w:sz="0" w:space="0" w:color="auto"/>
      </w:divBdr>
    </w:div>
    <w:div w:id="28798587">
      <w:bodyDiv w:val="1"/>
      <w:marLeft w:val="0"/>
      <w:marRight w:val="0"/>
      <w:marTop w:val="0"/>
      <w:marBottom w:val="0"/>
      <w:divBdr>
        <w:top w:val="none" w:sz="0" w:space="0" w:color="auto"/>
        <w:left w:val="none" w:sz="0" w:space="0" w:color="auto"/>
        <w:bottom w:val="none" w:sz="0" w:space="0" w:color="auto"/>
        <w:right w:val="none" w:sz="0" w:space="0" w:color="auto"/>
      </w:divBdr>
    </w:div>
    <w:div w:id="40449927">
      <w:bodyDiv w:val="1"/>
      <w:marLeft w:val="0"/>
      <w:marRight w:val="0"/>
      <w:marTop w:val="0"/>
      <w:marBottom w:val="0"/>
      <w:divBdr>
        <w:top w:val="none" w:sz="0" w:space="0" w:color="auto"/>
        <w:left w:val="none" w:sz="0" w:space="0" w:color="auto"/>
        <w:bottom w:val="none" w:sz="0" w:space="0" w:color="auto"/>
        <w:right w:val="none" w:sz="0" w:space="0" w:color="auto"/>
      </w:divBdr>
    </w:div>
    <w:div w:id="45760418">
      <w:bodyDiv w:val="1"/>
      <w:marLeft w:val="0"/>
      <w:marRight w:val="0"/>
      <w:marTop w:val="0"/>
      <w:marBottom w:val="0"/>
      <w:divBdr>
        <w:top w:val="none" w:sz="0" w:space="0" w:color="auto"/>
        <w:left w:val="none" w:sz="0" w:space="0" w:color="auto"/>
        <w:bottom w:val="none" w:sz="0" w:space="0" w:color="auto"/>
        <w:right w:val="none" w:sz="0" w:space="0" w:color="auto"/>
      </w:divBdr>
    </w:div>
    <w:div w:id="58133969">
      <w:bodyDiv w:val="1"/>
      <w:marLeft w:val="0"/>
      <w:marRight w:val="0"/>
      <w:marTop w:val="0"/>
      <w:marBottom w:val="0"/>
      <w:divBdr>
        <w:top w:val="none" w:sz="0" w:space="0" w:color="auto"/>
        <w:left w:val="none" w:sz="0" w:space="0" w:color="auto"/>
        <w:bottom w:val="none" w:sz="0" w:space="0" w:color="auto"/>
        <w:right w:val="none" w:sz="0" w:space="0" w:color="auto"/>
      </w:divBdr>
    </w:div>
    <w:div w:id="64494032">
      <w:bodyDiv w:val="1"/>
      <w:marLeft w:val="0"/>
      <w:marRight w:val="0"/>
      <w:marTop w:val="0"/>
      <w:marBottom w:val="0"/>
      <w:divBdr>
        <w:top w:val="none" w:sz="0" w:space="0" w:color="auto"/>
        <w:left w:val="none" w:sz="0" w:space="0" w:color="auto"/>
        <w:bottom w:val="none" w:sz="0" w:space="0" w:color="auto"/>
        <w:right w:val="none" w:sz="0" w:space="0" w:color="auto"/>
      </w:divBdr>
    </w:div>
    <w:div w:id="70397676">
      <w:bodyDiv w:val="1"/>
      <w:marLeft w:val="0"/>
      <w:marRight w:val="0"/>
      <w:marTop w:val="0"/>
      <w:marBottom w:val="0"/>
      <w:divBdr>
        <w:top w:val="none" w:sz="0" w:space="0" w:color="auto"/>
        <w:left w:val="none" w:sz="0" w:space="0" w:color="auto"/>
        <w:bottom w:val="none" w:sz="0" w:space="0" w:color="auto"/>
        <w:right w:val="none" w:sz="0" w:space="0" w:color="auto"/>
      </w:divBdr>
    </w:div>
    <w:div w:id="105544316">
      <w:bodyDiv w:val="1"/>
      <w:marLeft w:val="0"/>
      <w:marRight w:val="0"/>
      <w:marTop w:val="0"/>
      <w:marBottom w:val="0"/>
      <w:divBdr>
        <w:top w:val="none" w:sz="0" w:space="0" w:color="auto"/>
        <w:left w:val="none" w:sz="0" w:space="0" w:color="auto"/>
        <w:bottom w:val="none" w:sz="0" w:space="0" w:color="auto"/>
        <w:right w:val="none" w:sz="0" w:space="0" w:color="auto"/>
      </w:divBdr>
    </w:div>
    <w:div w:id="135345455">
      <w:bodyDiv w:val="1"/>
      <w:marLeft w:val="0"/>
      <w:marRight w:val="0"/>
      <w:marTop w:val="0"/>
      <w:marBottom w:val="0"/>
      <w:divBdr>
        <w:top w:val="none" w:sz="0" w:space="0" w:color="auto"/>
        <w:left w:val="none" w:sz="0" w:space="0" w:color="auto"/>
        <w:bottom w:val="none" w:sz="0" w:space="0" w:color="auto"/>
        <w:right w:val="none" w:sz="0" w:space="0" w:color="auto"/>
      </w:divBdr>
    </w:div>
    <w:div w:id="144400745">
      <w:bodyDiv w:val="1"/>
      <w:marLeft w:val="0"/>
      <w:marRight w:val="0"/>
      <w:marTop w:val="0"/>
      <w:marBottom w:val="0"/>
      <w:divBdr>
        <w:top w:val="none" w:sz="0" w:space="0" w:color="auto"/>
        <w:left w:val="none" w:sz="0" w:space="0" w:color="auto"/>
        <w:bottom w:val="none" w:sz="0" w:space="0" w:color="auto"/>
        <w:right w:val="none" w:sz="0" w:space="0" w:color="auto"/>
      </w:divBdr>
    </w:div>
    <w:div w:id="149368230">
      <w:bodyDiv w:val="1"/>
      <w:marLeft w:val="0"/>
      <w:marRight w:val="0"/>
      <w:marTop w:val="0"/>
      <w:marBottom w:val="0"/>
      <w:divBdr>
        <w:top w:val="none" w:sz="0" w:space="0" w:color="auto"/>
        <w:left w:val="none" w:sz="0" w:space="0" w:color="auto"/>
        <w:bottom w:val="none" w:sz="0" w:space="0" w:color="auto"/>
        <w:right w:val="none" w:sz="0" w:space="0" w:color="auto"/>
      </w:divBdr>
    </w:div>
    <w:div w:id="152650225">
      <w:bodyDiv w:val="1"/>
      <w:marLeft w:val="0"/>
      <w:marRight w:val="0"/>
      <w:marTop w:val="0"/>
      <w:marBottom w:val="0"/>
      <w:divBdr>
        <w:top w:val="none" w:sz="0" w:space="0" w:color="auto"/>
        <w:left w:val="none" w:sz="0" w:space="0" w:color="auto"/>
        <w:bottom w:val="none" w:sz="0" w:space="0" w:color="auto"/>
        <w:right w:val="none" w:sz="0" w:space="0" w:color="auto"/>
      </w:divBdr>
    </w:div>
    <w:div w:id="158278956">
      <w:bodyDiv w:val="1"/>
      <w:marLeft w:val="0"/>
      <w:marRight w:val="0"/>
      <w:marTop w:val="0"/>
      <w:marBottom w:val="0"/>
      <w:divBdr>
        <w:top w:val="none" w:sz="0" w:space="0" w:color="auto"/>
        <w:left w:val="none" w:sz="0" w:space="0" w:color="auto"/>
        <w:bottom w:val="none" w:sz="0" w:space="0" w:color="auto"/>
        <w:right w:val="none" w:sz="0" w:space="0" w:color="auto"/>
      </w:divBdr>
    </w:div>
    <w:div w:id="158545044">
      <w:bodyDiv w:val="1"/>
      <w:marLeft w:val="0"/>
      <w:marRight w:val="0"/>
      <w:marTop w:val="0"/>
      <w:marBottom w:val="0"/>
      <w:divBdr>
        <w:top w:val="none" w:sz="0" w:space="0" w:color="auto"/>
        <w:left w:val="none" w:sz="0" w:space="0" w:color="auto"/>
        <w:bottom w:val="none" w:sz="0" w:space="0" w:color="auto"/>
        <w:right w:val="none" w:sz="0" w:space="0" w:color="auto"/>
      </w:divBdr>
    </w:div>
    <w:div w:id="164396729">
      <w:bodyDiv w:val="1"/>
      <w:marLeft w:val="0"/>
      <w:marRight w:val="0"/>
      <w:marTop w:val="0"/>
      <w:marBottom w:val="0"/>
      <w:divBdr>
        <w:top w:val="none" w:sz="0" w:space="0" w:color="auto"/>
        <w:left w:val="none" w:sz="0" w:space="0" w:color="auto"/>
        <w:bottom w:val="none" w:sz="0" w:space="0" w:color="auto"/>
        <w:right w:val="none" w:sz="0" w:space="0" w:color="auto"/>
      </w:divBdr>
    </w:div>
    <w:div w:id="183322982">
      <w:bodyDiv w:val="1"/>
      <w:marLeft w:val="0"/>
      <w:marRight w:val="0"/>
      <w:marTop w:val="0"/>
      <w:marBottom w:val="0"/>
      <w:divBdr>
        <w:top w:val="none" w:sz="0" w:space="0" w:color="auto"/>
        <w:left w:val="none" w:sz="0" w:space="0" w:color="auto"/>
        <w:bottom w:val="none" w:sz="0" w:space="0" w:color="auto"/>
        <w:right w:val="none" w:sz="0" w:space="0" w:color="auto"/>
      </w:divBdr>
    </w:div>
    <w:div w:id="200361581">
      <w:bodyDiv w:val="1"/>
      <w:marLeft w:val="0"/>
      <w:marRight w:val="0"/>
      <w:marTop w:val="0"/>
      <w:marBottom w:val="0"/>
      <w:divBdr>
        <w:top w:val="none" w:sz="0" w:space="0" w:color="auto"/>
        <w:left w:val="none" w:sz="0" w:space="0" w:color="auto"/>
        <w:bottom w:val="none" w:sz="0" w:space="0" w:color="auto"/>
        <w:right w:val="none" w:sz="0" w:space="0" w:color="auto"/>
      </w:divBdr>
    </w:div>
    <w:div w:id="204875341">
      <w:bodyDiv w:val="1"/>
      <w:marLeft w:val="0"/>
      <w:marRight w:val="0"/>
      <w:marTop w:val="0"/>
      <w:marBottom w:val="0"/>
      <w:divBdr>
        <w:top w:val="none" w:sz="0" w:space="0" w:color="auto"/>
        <w:left w:val="none" w:sz="0" w:space="0" w:color="auto"/>
        <w:bottom w:val="none" w:sz="0" w:space="0" w:color="auto"/>
        <w:right w:val="none" w:sz="0" w:space="0" w:color="auto"/>
      </w:divBdr>
    </w:div>
    <w:div w:id="208346515">
      <w:bodyDiv w:val="1"/>
      <w:marLeft w:val="0"/>
      <w:marRight w:val="0"/>
      <w:marTop w:val="0"/>
      <w:marBottom w:val="0"/>
      <w:divBdr>
        <w:top w:val="none" w:sz="0" w:space="0" w:color="auto"/>
        <w:left w:val="none" w:sz="0" w:space="0" w:color="auto"/>
        <w:bottom w:val="none" w:sz="0" w:space="0" w:color="auto"/>
        <w:right w:val="none" w:sz="0" w:space="0" w:color="auto"/>
      </w:divBdr>
    </w:div>
    <w:div w:id="235676721">
      <w:bodyDiv w:val="1"/>
      <w:marLeft w:val="0"/>
      <w:marRight w:val="0"/>
      <w:marTop w:val="0"/>
      <w:marBottom w:val="0"/>
      <w:divBdr>
        <w:top w:val="none" w:sz="0" w:space="0" w:color="auto"/>
        <w:left w:val="none" w:sz="0" w:space="0" w:color="auto"/>
        <w:bottom w:val="none" w:sz="0" w:space="0" w:color="auto"/>
        <w:right w:val="none" w:sz="0" w:space="0" w:color="auto"/>
      </w:divBdr>
    </w:div>
    <w:div w:id="236402701">
      <w:bodyDiv w:val="1"/>
      <w:marLeft w:val="0"/>
      <w:marRight w:val="0"/>
      <w:marTop w:val="0"/>
      <w:marBottom w:val="0"/>
      <w:divBdr>
        <w:top w:val="none" w:sz="0" w:space="0" w:color="auto"/>
        <w:left w:val="none" w:sz="0" w:space="0" w:color="auto"/>
        <w:bottom w:val="none" w:sz="0" w:space="0" w:color="auto"/>
        <w:right w:val="none" w:sz="0" w:space="0" w:color="auto"/>
      </w:divBdr>
    </w:div>
    <w:div w:id="236747050">
      <w:bodyDiv w:val="1"/>
      <w:marLeft w:val="0"/>
      <w:marRight w:val="0"/>
      <w:marTop w:val="0"/>
      <w:marBottom w:val="0"/>
      <w:divBdr>
        <w:top w:val="none" w:sz="0" w:space="0" w:color="auto"/>
        <w:left w:val="none" w:sz="0" w:space="0" w:color="auto"/>
        <w:bottom w:val="none" w:sz="0" w:space="0" w:color="auto"/>
        <w:right w:val="none" w:sz="0" w:space="0" w:color="auto"/>
      </w:divBdr>
    </w:div>
    <w:div w:id="248006020">
      <w:bodyDiv w:val="1"/>
      <w:marLeft w:val="0"/>
      <w:marRight w:val="0"/>
      <w:marTop w:val="0"/>
      <w:marBottom w:val="0"/>
      <w:divBdr>
        <w:top w:val="none" w:sz="0" w:space="0" w:color="auto"/>
        <w:left w:val="none" w:sz="0" w:space="0" w:color="auto"/>
        <w:bottom w:val="none" w:sz="0" w:space="0" w:color="auto"/>
        <w:right w:val="none" w:sz="0" w:space="0" w:color="auto"/>
      </w:divBdr>
    </w:div>
    <w:div w:id="251403413">
      <w:bodyDiv w:val="1"/>
      <w:marLeft w:val="0"/>
      <w:marRight w:val="0"/>
      <w:marTop w:val="0"/>
      <w:marBottom w:val="0"/>
      <w:divBdr>
        <w:top w:val="none" w:sz="0" w:space="0" w:color="auto"/>
        <w:left w:val="none" w:sz="0" w:space="0" w:color="auto"/>
        <w:bottom w:val="none" w:sz="0" w:space="0" w:color="auto"/>
        <w:right w:val="none" w:sz="0" w:space="0" w:color="auto"/>
      </w:divBdr>
    </w:div>
    <w:div w:id="253243626">
      <w:bodyDiv w:val="1"/>
      <w:marLeft w:val="0"/>
      <w:marRight w:val="0"/>
      <w:marTop w:val="0"/>
      <w:marBottom w:val="0"/>
      <w:divBdr>
        <w:top w:val="none" w:sz="0" w:space="0" w:color="auto"/>
        <w:left w:val="none" w:sz="0" w:space="0" w:color="auto"/>
        <w:bottom w:val="none" w:sz="0" w:space="0" w:color="auto"/>
        <w:right w:val="none" w:sz="0" w:space="0" w:color="auto"/>
      </w:divBdr>
    </w:div>
    <w:div w:id="257636884">
      <w:bodyDiv w:val="1"/>
      <w:marLeft w:val="0"/>
      <w:marRight w:val="0"/>
      <w:marTop w:val="0"/>
      <w:marBottom w:val="0"/>
      <w:divBdr>
        <w:top w:val="none" w:sz="0" w:space="0" w:color="auto"/>
        <w:left w:val="none" w:sz="0" w:space="0" w:color="auto"/>
        <w:bottom w:val="none" w:sz="0" w:space="0" w:color="auto"/>
        <w:right w:val="none" w:sz="0" w:space="0" w:color="auto"/>
      </w:divBdr>
    </w:div>
    <w:div w:id="262997519">
      <w:bodyDiv w:val="1"/>
      <w:marLeft w:val="0"/>
      <w:marRight w:val="0"/>
      <w:marTop w:val="0"/>
      <w:marBottom w:val="0"/>
      <w:divBdr>
        <w:top w:val="none" w:sz="0" w:space="0" w:color="auto"/>
        <w:left w:val="none" w:sz="0" w:space="0" w:color="auto"/>
        <w:bottom w:val="none" w:sz="0" w:space="0" w:color="auto"/>
        <w:right w:val="none" w:sz="0" w:space="0" w:color="auto"/>
      </w:divBdr>
    </w:div>
    <w:div w:id="298189515">
      <w:bodyDiv w:val="1"/>
      <w:marLeft w:val="0"/>
      <w:marRight w:val="0"/>
      <w:marTop w:val="0"/>
      <w:marBottom w:val="0"/>
      <w:divBdr>
        <w:top w:val="none" w:sz="0" w:space="0" w:color="auto"/>
        <w:left w:val="none" w:sz="0" w:space="0" w:color="auto"/>
        <w:bottom w:val="none" w:sz="0" w:space="0" w:color="auto"/>
        <w:right w:val="none" w:sz="0" w:space="0" w:color="auto"/>
      </w:divBdr>
    </w:div>
    <w:div w:id="305472473">
      <w:bodyDiv w:val="1"/>
      <w:marLeft w:val="0"/>
      <w:marRight w:val="0"/>
      <w:marTop w:val="0"/>
      <w:marBottom w:val="0"/>
      <w:divBdr>
        <w:top w:val="none" w:sz="0" w:space="0" w:color="auto"/>
        <w:left w:val="none" w:sz="0" w:space="0" w:color="auto"/>
        <w:bottom w:val="none" w:sz="0" w:space="0" w:color="auto"/>
        <w:right w:val="none" w:sz="0" w:space="0" w:color="auto"/>
      </w:divBdr>
    </w:div>
    <w:div w:id="308747278">
      <w:bodyDiv w:val="1"/>
      <w:marLeft w:val="0"/>
      <w:marRight w:val="0"/>
      <w:marTop w:val="0"/>
      <w:marBottom w:val="0"/>
      <w:divBdr>
        <w:top w:val="none" w:sz="0" w:space="0" w:color="auto"/>
        <w:left w:val="none" w:sz="0" w:space="0" w:color="auto"/>
        <w:bottom w:val="none" w:sz="0" w:space="0" w:color="auto"/>
        <w:right w:val="none" w:sz="0" w:space="0" w:color="auto"/>
      </w:divBdr>
    </w:div>
    <w:div w:id="313920015">
      <w:bodyDiv w:val="1"/>
      <w:marLeft w:val="0"/>
      <w:marRight w:val="0"/>
      <w:marTop w:val="0"/>
      <w:marBottom w:val="0"/>
      <w:divBdr>
        <w:top w:val="none" w:sz="0" w:space="0" w:color="auto"/>
        <w:left w:val="none" w:sz="0" w:space="0" w:color="auto"/>
        <w:bottom w:val="none" w:sz="0" w:space="0" w:color="auto"/>
        <w:right w:val="none" w:sz="0" w:space="0" w:color="auto"/>
      </w:divBdr>
    </w:div>
    <w:div w:id="324095566">
      <w:bodyDiv w:val="1"/>
      <w:marLeft w:val="0"/>
      <w:marRight w:val="0"/>
      <w:marTop w:val="0"/>
      <w:marBottom w:val="0"/>
      <w:divBdr>
        <w:top w:val="none" w:sz="0" w:space="0" w:color="auto"/>
        <w:left w:val="none" w:sz="0" w:space="0" w:color="auto"/>
        <w:bottom w:val="none" w:sz="0" w:space="0" w:color="auto"/>
        <w:right w:val="none" w:sz="0" w:space="0" w:color="auto"/>
      </w:divBdr>
    </w:div>
    <w:div w:id="328020994">
      <w:bodyDiv w:val="1"/>
      <w:marLeft w:val="0"/>
      <w:marRight w:val="0"/>
      <w:marTop w:val="0"/>
      <w:marBottom w:val="0"/>
      <w:divBdr>
        <w:top w:val="none" w:sz="0" w:space="0" w:color="auto"/>
        <w:left w:val="none" w:sz="0" w:space="0" w:color="auto"/>
        <w:bottom w:val="none" w:sz="0" w:space="0" w:color="auto"/>
        <w:right w:val="none" w:sz="0" w:space="0" w:color="auto"/>
      </w:divBdr>
    </w:div>
    <w:div w:id="334379708">
      <w:bodyDiv w:val="1"/>
      <w:marLeft w:val="0"/>
      <w:marRight w:val="0"/>
      <w:marTop w:val="0"/>
      <w:marBottom w:val="0"/>
      <w:divBdr>
        <w:top w:val="none" w:sz="0" w:space="0" w:color="auto"/>
        <w:left w:val="none" w:sz="0" w:space="0" w:color="auto"/>
        <w:bottom w:val="none" w:sz="0" w:space="0" w:color="auto"/>
        <w:right w:val="none" w:sz="0" w:space="0" w:color="auto"/>
      </w:divBdr>
    </w:div>
    <w:div w:id="348458242">
      <w:bodyDiv w:val="1"/>
      <w:marLeft w:val="0"/>
      <w:marRight w:val="0"/>
      <w:marTop w:val="0"/>
      <w:marBottom w:val="0"/>
      <w:divBdr>
        <w:top w:val="none" w:sz="0" w:space="0" w:color="auto"/>
        <w:left w:val="none" w:sz="0" w:space="0" w:color="auto"/>
        <w:bottom w:val="none" w:sz="0" w:space="0" w:color="auto"/>
        <w:right w:val="none" w:sz="0" w:space="0" w:color="auto"/>
      </w:divBdr>
    </w:div>
    <w:div w:id="353193041">
      <w:bodyDiv w:val="1"/>
      <w:marLeft w:val="0"/>
      <w:marRight w:val="0"/>
      <w:marTop w:val="0"/>
      <w:marBottom w:val="0"/>
      <w:divBdr>
        <w:top w:val="none" w:sz="0" w:space="0" w:color="auto"/>
        <w:left w:val="none" w:sz="0" w:space="0" w:color="auto"/>
        <w:bottom w:val="none" w:sz="0" w:space="0" w:color="auto"/>
        <w:right w:val="none" w:sz="0" w:space="0" w:color="auto"/>
      </w:divBdr>
    </w:div>
    <w:div w:id="364333348">
      <w:bodyDiv w:val="1"/>
      <w:marLeft w:val="0"/>
      <w:marRight w:val="0"/>
      <w:marTop w:val="0"/>
      <w:marBottom w:val="0"/>
      <w:divBdr>
        <w:top w:val="none" w:sz="0" w:space="0" w:color="auto"/>
        <w:left w:val="none" w:sz="0" w:space="0" w:color="auto"/>
        <w:bottom w:val="none" w:sz="0" w:space="0" w:color="auto"/>
        <w:right w:val="none" w:sz="0" w:space="0" w:color="auto"/>
      </w:divBdr>
    </w:div>
    <w:div w:id="395012228">
      <w:bodyDiv w:val="1"/>
      <w:marLeft w:val="0"/>
      <w:marRight w:val="0"/>
      <w:marTop w:val="0"/>
      <w:marBottom w:val="0"/>
      <w:divBdr>
        <w:top w:val="none" w:sz="0" w:space="0" w:color="auto"/>
        <w:left w:val="none" w:sz="0" w:space="0" w:color="auto"/>
        <w:bottom w:val="none" w:sz="0" w:space="0" w:color="auto"/>
        <w:right w:val="none" w:sz="0" w:space="0" w:color="auto"/>
      </w:divBdr>
    </w:div>
    <w:div w:id="414714189">
      <w:bodyDiv w:val="1"/>
      <w:marLeft w:val="0"/>
      <w:marRight w:val="0"/>
      <w:marTop w:val="0"/>
      <w:marBottom w:val="0"/>
      <w:divBdr>
        <w:top w:val="none" w:sz="0" w:space="0" w:color="auto"/>
        <w:left w:val="none" w:sz="0" w:space="0" w:color="auto"/>
        <w:bottom w:val="none" w:sz="0" w:space="0" w:color="auto"/>
        <w:right w:val="none" w:sz="0" w:space="0" w:color="auto"/>
      </w:divBdr>
    </w:div>
    <w:div w:id="421490368">
      <w:bodyDiv w:val="1"/>
      <w:marLeft w:val="0"/>
      <w:marRight w:val="0"/>
      <w:marTop w:val="0"/>
      <w:marBottom w:val="0"/>
      <w:divBdr>
        <w:top w:val="none" w:sz="0" w:space="0" w:color="auto"/>
        <w:left w:val="none" w:sz="0" w:space="0" w:color="auto"/>
        <w:bottom w:val="none" w:sz="0" w:space="0" w:color="auto"/>
        <w:right w:val="none" w:sz="0" w:space="0" w:color="auto"/>
      </w:divBdr>
    </w:div>
    <w:div w:id="421999196">
      <w:bodyDiv w:val="1"/>
      <w:marLeft w:val="0"/>
      <w:marRight w:val="0"/>
      <w:marTop w:val="0"/>
      <w:marBottom w:val="0"/>
      <w:divBdr>
        <w:top w:val="none" w:sz="0" w:space="0" w:color="auto"/>
        <w:left w:val="none" w:sz="0" w:space="0" w:color="auto"/>
        <w:bottom w:val="none" w:sz="0" w:space="0" w:color="auto"/>
        <w:right w:val="none" w:sz="0" w:space="0" w:color="auto"/>
      </w:divBdr>
    </w:div>
    <w:div w:id="423770609">
      <w:bodyDiv w:val="1"/>
      <w:marLeft w:val="0"/>
      <w:marRight w:val="0"/>
      <w:marTop w:val="0"/>
      <w:marBottom w:val="0"/>
      <w:divBdr>
        <w:top w:val="none" w:sz="0" w:space="0" w:color="auto"/>
        <w:left w:val="none" w:sz="0" w:space="0" w:color="auto"/>
        <w:bottom w:val="none" w:sz="0" w:space="0" w:color="auto"/>
        <w:right w:val="none" w:sz="0" w:space="0" w:color="auto"/>
      </w:divBdr>
    </w:div>
    <w:div w:id="427625225">
      <w:bodyDiv w:val="1"/>
      <w:marLeft w:val="0"/>
      <w:marRight w:val="0"/>
      <w:marTop w:val="0"/>
      <w:marBottom w:val="0"/>
      <w:divBdr>
        <w:top w:val="none" w:sz="0" w:space="0" w:color="auto"/>
        <w:left w:val="none" w:sz="0" w:space="0" w:color="auto"/>
        <w:bottom w:val="none" w:sz="0" w:space="0" w:color="auto"/>
        <w:right w:val="none" w:sz="0" w:space="0" w:color="auto"/>
      </w:divBdr>
    </w:div>
    <w:div w:id="445120654">
      <w:bodyDiv w:val="1"/>
      <w:marLeft w:val="0"/>
      <w:marRight w:val="0"/>
      <w:marTop w:val="0"/>
      <w:marBottom w:val="0"/>
      <w:divBdr>
        <w:top w:val="none" w:sz="0" w:space="0" w:color="auto"/>
        <w:left w:val="none" w:sz="0" w:space="0" w:color="auto"/>
        <w:bottom w:val="none" w:sz="0" w:space="0" w:color="auto"/>
        <w:right w:val="none" w:sz="0" w:space="0" w:color="auto"/>
      </w:divBdr>
    </w:div>
    <w:div w:id="468207636">
      <w:bodyDiv w:val="1"/>
      <w:marLeft w:val="0"/>
      <w:marRight w:val="0"/>
      <w:marTop w:val="0"/>
      <w:marBottom w:val="0"/>
      <w:divBdr>
        <w:top w:val="none" w:sz="0" w:space="0" w:color="auto"/>
        <w:left w:val="none" w:sz="0" w:space="0" w:color="auto"/>
        <w:bottom w:val="none" w:sz="0" w:space="0" w:color="auto"/>
        <w:right w:val="none" w:sz="0" w:space="0" w:color="auto"/>
      </w:divBdr>
    </w:div>
    <w:div w:id="471218306">
      <w:bodyDiv w:val="1"/>
      <w:marLeft w:val="0"/>
      <w:marRight w:val="0"/>
      <w:marTop w:val="0"/>
      <w:marBottom w:val="0"/>
      <w:divBdr>
        <w:top w:val="none" w:sz="0" w:space="0" w:color="auto"/>
        <w:left w:val="none" w:sz="0" w:space="0" w:color="auto"/>
        <w:bottom w:val="none" w:sz="0" w:space="0" w:color="auto"/>
        <w:right w:val="none" w:sz="0" w:space="0" w:color="auto"/>
      </w:divBdr>
    </w:div>
    <w:div w:id="475225310">
      <w:bodyDiv w:val="1"/>
      <w:marLeft w:val="0"/>
      <w:marRight w:val="0"/>
      <w:marTop w:val="0"/>
      <w:marBottom w:val="0"/>
      <w:divBdr>
        <w:top w:val="none" w:sz="0" w:space="0" w:color="auto"/>
        <w:left w:val="none" w:sz="0" w:space="0" w:color="auto"/>
        <w:bottom w:val="none" w:sz="0" w:space="0" w:color="auto"/>
        <w:right w:val="none" w:sz="0" w:space="0" w:color="auto"/>
      </w:divBdr>
    </w:div>
    <w:div w:id="476075794">
      <w:bodyDiv w:val="1"/>
      <w:marLeft w:val="0"/>
      <w:marRight w:val="0"/>
      <w:marTop w:val="0"/>
      <w:marBottom w:val="0"/>
      <w:divBdr>
        <w:top w:val="none" w:sz="0" w:space="0" w:color="auto"/>
        <w:left w:val="none" w:sz="0" w:space="0" w:color="auto"/>
        <w:bottom w:val="none" w:sz="0" w:space="0" w:color="auto"/>
        <w:right w:val="none" w:sz="0" w:space="0" w:color="auto"/>
      </w:divBdr>
    </w:div>
    <w:div w:id="477386331">
      <w:bodyDiv w:val="1"/>
      <w:marLeft w:val="0"/>
      <w:marRight w:val="0"/>
      <w:marTop w:val="0"/>
      <w:marBottom w:val="0"/>
      <w:divBdr>
        <w:top w:val="none" w:sz="0" w:space="0" w:color="auto"/>
        <w:left w:val="none" w:sz="0" w:space="0" w:color="auto"/>
        <w:bottom w:val="none" w:sz="0" w:space="0" w:color="auto"/>
        <w:right w:val="none" w:sz="0" w:space="0" w:color="auto"/>
      </w:divBdr>
    </w:div>
    <w:div w:id="482085416">
      <w:bodyDiv w:val="1"/>
      <w:marLeft w:val="0"/>
      <w:marRight w:val="0"/>
      <w:marTop w:val="0"/>
      <w:marBottom w:val="0"/>
      <w:divBdr>
        <w:top w:val="none" w:sz="0" w:space="0" w:color="auto"/>
        <w:left w:val="none" w:sz="0" w:space="0" w:color="auto"/>
        <w:bottom w:val="none" w:sz="0" w:space="0" w:color="auto"/>
        <w:right w:val="none" w:sz="0" w:space="0" w:color="auto"/>
      </w:divBdr>
    </w:div>
    <w:div w:id="482284636">
      <w:bodyDiv w:val="1"/>
      <w:marLeft w:val="0"/>
      <w:marRight w:val="0"/>
      <w:marTop w:val="0"/>
      <w:marBottom w:val="0"/>
      <w:divBdr>
        <w:top w:val="none" w:sz="0" w:space="0" w:color="auto"/>
        <w:left w:val="none" w:sz="0" w:space="0" w:color="auto"/>
        <w:bottom w:val="none" w:sz="0" w:space="0" w:color="auto"/>
        <w:right w:val="none" w:sz="0" w:space="0" w:color="auto"/>
      </w:divBdr>
    </w:div>
    <w:div w:id="484006607">
      <w:bodyDiv w:val="1"/>
      <w:marLeft w:val="0"/>
      <w:marRight w:val="0"/>
      <w:marTop w:val="0"/>
      <w:marBottom w:val="0"/>
      <w:divBdr>
        <w:top w:val="none" w:sz="0" w:space="0" w:color="auto"/>
        <w:left w:val="none" w:sz="0" w:space="0" w:color="auto"/>
        <w:bottom w:val="none" w:sz="0" w:space="0" w:color="auto"/>
        <w:right w:val="none" w:sz="0" w:space="0" w:color="auto"/>
      </w:divBdr>
    </w:div>
    <w:div w:id="497188816">
      <w:bodyDiv w:val="1"/>
      <w:marLeft w:val="0"/>
      <w:marRight w:val="0"/>
      <w:marTop w:val="0"/>
      <w:marBottom w:val="0"/>
      <w:divBdr>
        <w:top w:val="none" w:sz="0" w:space="0" w:color="auto"/>
        <w:left w:val="none" w:sz="0" w:space="0" w:color="auto"/>
        <w:bottom w:val="none" w:sz="0" w:space="0" w:color="auto"/>
        <w:right w:val="none" w:sz="0" w:space="0" w:color="auto"/>
      </w:divBdr>
    </w:div>
    <w:div w:id="502555265">
      <w:bodyDiv w:val="1"/>
      <w:marLeft w:val="0"/>
      <w:marRight w:val="0"/>
      <w:marTop w:val="0"/>
      <w:marBottom w:val="0"/>
      <w:divBdr>
        <w:top w:val="none" w:sz="0" w:space="0" w:color="auto"/>
        <w:left w:val="none" w:sz="0" w:space="0" w:color="auto"/>
        <w:bottom w:val="none" w:sz="0" w:space="0" w:color="auto"/>
        <w:right w:val="none" w:sz="0" w:space="0" w:color="auto"/>
      </w:divBdr>
    </w:div>
    <w:div w:id="504438128">
      <w:bodyDiv w:val="1"/>
      <w:marLeft w:val="0"/>
      <w:marRight w:val="0"/>
      <w:marTop w:val="0"/>
      <w:marBottom w:val="0"/>
      <w:divBdr>
        <w:top w:val="none" w:sz="0" w:space="0" w:color="auto"/>
        <w:left w:val="none" w:sz="0" w:space="0" w:color="auto"/>
        <w:bottom w:val="none" w:sz="0" w:space="0" w:color="auto"/>
        <w:right w:val="none" w:sz="0" w:space="0" w:color="auto"/>
      </w:divBdr>
    </w:div>
    <w:div w:id="504520690">
      <w:bodyDiv w:val="1"/>
      <w:marLeft w:val="0"/>
      <w:marRight w:val="0"/>
      <w:marTop w:val="0"/>
      <w:marBottom w:val="0"/>
      <w:divBdr>
        <w:top w:val="none" w:sz="0" w:space="0" w:color="auto"/>
        <w:left w:val="none" w:sz="0" w:space="0" w:color="auto"/>
        <w:bottom w:val="none" w:sz="0" w:space="0" w:color="auto"/>
        <w:right w:val="none" w:sz="0" w:space="0" w:color="auto"/>
      </w:divBdr>
    </w:div>
    <w:div w:id="536697971">
      <w:bodyDiv w:val="1"/>
      <w:marLeft w:val="0"/>
      <w:marRight w:val="0"/>
      <w:marTop w:val="0"/>
      <w:marBottom w:val="0"/>
      <w:divBdr>
        <w:top w:val="none" w:sz="0" w:space="0" w:color="auto"/>
        <w:left w:val="none" w:sz="0" w:space="0" w:color="auto"/>
        <w:bottom w:val="none" w:sz="0" w:space="0" w:color="auto"/>
        <w:right w:val="none" w:sz="0" w:space="0" w:color="auto"/>
      </w:divBdr>
    </w:div>
    <w:div w:id="539971809">
      <w:bodyDiv w:val="1"/>
      <w:marLeft w:val="0"/>
      <w:marRight w:val="0"/>
      <w:marTop w:val="0"/>
      <w:marBottom w:val="0"/>
      <w:divBdr>
        <w:top w:val="none" w:sz="0" w:space="0" w:color="auto"/>
        <w:left w:val="none" w:sz="0" w:space="0" w:color="auto"/>
        <w:bottom w:val="none" w:sz="0" w:space="0" w:color="auto"/>
        <w:right w:val="none" w:sz="0" w:space="0" w:color="auto"/>
      </w:divBdr>
    </w:div>
    <w:div w:id="539980028">
      <w:bodyDiv w:val="1"/>
      <w:marLeft w:val="0"/>
      <w:marRight w:val="0"/>
      <w:marTop w:val="0"/>
      <w:marBottom w:val="0"/>
      <w:divBdr>
        <w:top w:val="none" w:sz="0" w:space="0" w:color="auto"/>
        <w:left w:val="none" w:sz="0" w:space="0" w:color="auto"/>
        <w:bottom w:val="none" w:sz="0" w:space="0" w:color="auto"/>
        <w:right w:val="none" w:sz="0" w:space="0" w:color="auto"/>
      </w:divBdr>
    </w:div>
    <w:div w:id="542445870">
      <w:bodyDiv w:val="1"/>
      <w:marLeft w:val="0"/>
      <w:marRight w:val="0"/>
      <w:marTop w:val="0"/>
      <w:marBottom w:val="0"/>
      <w:divBdr>
        <w:top w:val="none" w:sz="0" w:space="0" w:color="auto"/>
        <w:left w:val="none" w:sz="0" w:space="0" w:color="auto"/>
        <w:bottom w:val="none" w:sz="0" w:space="0" w:color="auto"/>
        <w:right w:val="none" w:sz="0" w:space="0" w:color="auto"/>
      </w:divBdr>
    </w:div>
    <w:div w:id="549922642">
      <w:bodyDiv w:val="1"/>
      <w:marLeft w:val="0"/>
      <w:marRight w:val="0"/>
      <w:marTop w:val="0"/>
      <w:marBottom w:val="0"/>
      <w:divBdr>
        <w:top w:val="none" w:sz="0" w:space="0" w:color="auto"/>
        <w:left w:val="none" w:sz="0" w:space="0" w:color="auto"/>
        <w:bottom w:val="none" w:sz="0" w:space="0" w:color="auto"/>
        <w:right w:val="none" w:sz="0" w:space="0" w:color="auto"/>
      </w:divBdr>
    </w:div>
    <w:div w:id="552426712">
      <w:bodyDiv w:val="1"/>
      <w:marLeft w:val="0"/>
      <w:marRight w:val="0"/>
      <w:marTop w:val="0"/>
      <w:marBottom w:val="0"/>
      <w:divBdr>
        <w:top w:val="none" w:sz="0" w:space="0" w:color="auto"/>
        <w:left w:val="none" w:sz="0" w:space="0" w:color="auto"/>
        <w:bottom w:val="none" w:sz="0" w:space="0" w:color="auto"/>
        <w:right w:val="none" w:sz="0" w:space="0" w:color="auto"/>
      </w:divBdr>
    </w:div>
    <w:div w:id="561643638">
      <w:bodyDiv w:val="1"/>
      <w:marLeft w:val="0"/>
      <w:marRight w:val="0"/>
      <w:marTop w:val="0"/>
      <w:marBottom w:val="0"/>
      <w:divBdr>
        <w:top w:val="none" w:sz="0" w:space="0" w:color="auto"/>
        <w:left w:val="none" w:sz="0" w:space="0" w:color="auto"/>
        <w:bottom w:val="none" w:sz="0" w:space="0" w:color="auto"/>
        <w:right w:val="none" w:sz="0" w:space="0" w:color="auto"/>
      </w:divBdr>
    </w:div>
    <w:div w:id="589436269">
      <w:bodyDiv w:val="1"/>
      <w:marLeft w:val="0"/>
      <w:marRight w:val="0"/>
      <w:marTop w:val="0"/>
      <w:marBottom w:val="0"/>
      <w:divBdr>
        <w:top w:val="none" w:sz="0" w:space="0" w:color="auto"/>
        <w:left w:val="none" w:sz="0" w:space="0" w:color="auto"/>
        <w:bottom w:val="none" w:sz="0" w:space="0" w:color="auto"/>
        <w:right w:val="none" w:sz="0" w:space="0" w:color="auto"/>
      </w:divBdr>
    </w:div>
    <w:div w:id="602499894">
      <w:bodyDiv w:val="1"/>
      <w:marLeft w:val="0"/>
      <w:marRight w:val="0"/>
      <w:marTop w:val="0"/>
      <w:marBottom w:val="0"/>
      <w:divBdr>
        <w:top w:val="none" w:sz="0" w:space="0" w:color="auto"/>
        <w:left w:val="none" w:sz="0" w:space="0" w:color="auto"/>
        <w:bottom w:val="none" w:sz="0" w:space="0" w:color="auto"/>
        <w:right w:val="none" w:sz="0" w:space="0" w:color="auto"/>
      </w:divBdr>
    </w:div>
    <w:div w:id="602613360">
      <w:bodyDiv w:val="1"/>
      <w:marLeft w:val="0"/>
      <w:marRight w:val="0"/>
      <w:marTop w:val="0"/>
      <w:marBottom w:val="0"/>
      <w:divBdr>
        <w:top w:val="none" w:sz="0" w:space="0" w:color="auto"/>
        <w:left w:val="none" w:sz="0" w:space="0" w:color="auto"/>
        <w:bottom w:val="none" w:sz="0" w:space="0" w:color="auto"/>
        <w:right w:val="none" w:sz="0" w:space="0" w:color="auto"/>
      </w:divBdr>
    </w:div>
    <w:div w:id="618222536">
      <w:bodyDiv w:val="1"/>
      <w:marLeft w:val="0"/>
      <w:marRight w:val="0"/>
      <w:marTop w:val="0"/>
      <w:marBottom w:val="0"/>
      <w:divBdr>
        <w:top w:val="none" w:sz="0" w:space="0" w:color="auto"/>
        <w:left w:val="none" w:sz="0" w:space="0" w:color="auto"/>
        <w:bottom w:val="none" w:sz="0" w:space="0" w:color="auto"/>
        <w:right w:val="none" w:sz="0" w:space="0" w:color="auto"/>
      </w:divBdr>
    </w:div>
    <w:div w:id="619919816">
      <w:bodyDiv w:val="1"/>
      <w:marLeft w:val="0"/>
      <w:marRight w:val="0"/>
      <w:marTop w:val="0"/>
      <w:marBottom w:val="0"/>
      <w:divBdr>
        <w:top w:val="none" w:sz="0" w:space="0" w:color="auto"/>
        <w:left w:val="none" w:sz="0" w:space="0" w:color="auto"/>
        <w:bottom w:val="none" w:sz="0" w:space="0" w:color="auto"/>
        <w:right w:val="none" w:sz="0" w:space="0" w:color="auto"/>
      </w:divBdr>
    </w:div>
    <w:div w:id="622659209">
      <w:bodyDiv w:val="1"/>
      <w:marLeft w:val="0"/>
      <w:marRight w:val="0"/>
      <w:marTop w:val="0"/>
      <w:marBottom w:val="0"/>
      <w:divBdr>
        <w:top w:val="none" w:sz="0" w:space="0" w:color="auto"/>
        <w:left w:val="none" w:sz="0" w:space="0" w:color="auto"/>
        <w:bottom w:val="none" w:sz="0" w:space="0" w:color="auto"/>
        <w:right w:val="none" w:sz="0" w:space="0" w:color="auto"/>
      </w:divBdr>
    </w:div>
    <w:div w:id="634262348">
      <w:bodyDiv w:val="1"/>
      <w:marLeft w:val="0"/>
      <w:marRight w:val="0"/>
      <w:marTop w:val="0"/>
      <w:marBottom w:val="0"/>
      <w:divBdr>
        <w:top w:val="none" w:sz="0" w:space="0" w:color="auto"/>
        <w:left w:val="none" w:sz="0" w:space="0" w:color="auto"/>
        <w:bottom w:val="none" w:sz="0" w:space="0" w:color="auto"/>
        <w:right w:val="none" w:sz="0" w:space="0" w:color="auto"/>
      </w:divBdr>
    </w:div>
    <w:div w:id="655652052">
      <w:bodyDiv w:val="1"/>
      <w:marLeft w:val="0"/>
      <w:marRight w:val="0"/>
      <w:marTop w:val="0"/>
      <w:marBottom w:val="0"/>
      <w:divBdr>
        <w:top w:val="none" w:sz="0" w:space="0" w:color="auto"/>
        <w:left w:val="none" w:sz="0" w:space="0" w:color="auto"/>
        <w:bottom w:val="none" w:sz="0" w:space="0" w:color="auto"/>
        <w:right w:val="none" w:sz="0" w:space="0" w:color="auto"/>
      </w:divBdr>
    </w:div>
    <w:div w:id="656147545">
      <w:bodyDiv w:val="1"/>
      <w:marLeft w:val="0"/>
      <w:marRight w:val="0"/>
      <w:marTop w:val="0"/>
      <w:marBottom w:val="0"/>
      <w:divBdr>
        <w:top w:val="none" w:sz="0" w:space="0" w:color="auto"/>
        <w:left w:val="none" w:sz="0" w:space="0" w:color="auto"/>
        <w:bottom w:val="none" w:sz="0" w:space="0" w:color="auto"/>
        <w:right w:val="none" w:sz="0" w:space="0" w:color="auto"/>
      </w:divBdr>
    </w:div>
    <w:div w:id="665594260">
      <w:bodyDiv w:val="1"/>
      <w:marLeft w:val="0"/>
      <w:marRight w:val="0"/>
      <w:marTop w:val="0"/>
      <w:marBottom w:val="0"/>
      <w:divBdr>
        <w:top w:val="none" w:sz="0" w:space="0" w:color="auto"/>
        <w:left w:val="none" w:sz="0" w:space="0" w:color="auto"/>
        <w:bottom w:val="none" w:sz="0" w:space="0" w:color="auto"/>
        <w:right w:val="none" w:sz="0" w:space="0" w:color="auto"/>
      </w:divBdr>
    </w:div>
    <w:div w:id="667514910">
      <w:bodyDiv w:val="1"/>
      <w:marLeft w:val="0"/>
      <w:marRight w:val="0"/>
      <w:marTop w:val="0"/>
      <w:marBottom w:val="0"/>
      <w:divBdr>
        <w:top w:val="none" w:sz="0" w:space="0" w:color="auto"/>
        <w:left w:val="none" w:sz="0" w:space="0" w:color="auto"/>
        <w:bottom w:val="none" w:sz="0" w:space="0" w:color="auto"/>
        <w:right w:val="none" w:sz="0" w:space="0" w:color="auto"/>
      </w:divBdr>
    </w:div>
    <w:div w:id="673579888">
      <w:bodyDiv w:val="1"/>
      <w:marLeft w:val="0"/>
      <w:marRight w:val="0"/>
      <w:marTop w:val="0"/>
      <w:marBottom w:val="0"/>
      <w:divBdr>
        <w:top w:val="none" w:sz="0" w:space="0" w:color="auto"/>
        <w:left w:val="none" w:sz="0" w:space="0" w:color="auto"/>
        <w:bottom w:val="none" w:sz="0" w:space="0" w:color="auto"/>
        <w:right w:val="none" w:sz="0" w:space="0" w:color="auto"/>
      </w:divBdr>
    </w:div>
    <w:div w:id="673872789">
      <w:bodyDiv w:val="1"/>
      <w:marLeft w:val="0"/>
      <w:marRight w:val="0"/>
      <w:marTop w:val="0"/>
      <w:marBottom w:val="0"/>
      <w:divBdr>
        <w:top w:val="none" w:sz="0" w:space="0" w:color="auto"/>
        <w:left w:val="none" w:sz="0" w:space="0" w:color="auto"/>
        <w:bottom w:val="none" w:sz="0" w:space="0" w:color="auto"/>
        <w:right w:val="none" w:sz="0" w:space="0" w:color="auto"/>
      </w:divBdr>
    </w:div>
    <w:div w:id="675234710">
      <w:bodyDiv w:val="1"/>
      <w:marLeft w:val="0"/>
      <w:marRight w:val="0"/>
      <w:marTop w:val="0"/>
      <w:marBottom w:val="0"/>
      <w:divBdr>
        <w:top w:val="none" w:sz="0" w:space="0" w:color="auto"/>
        <w:left w:val="none" w:sz="0" w:space="0" w:color="auto"/>
        <w:bottom w:val="none" w:sz="0" w:space="0" w:color="auto"/>
        <w:right w:val="none" w:sz="0" w:space="0" w:color="auto"/>
      </w:divBdr>
    </w:div>
    <w:div w:id="686102928">
      <w:bodyDiv w:val="1"/>
      <w:marLeft w:val="0"/>
      <w:marRight w:val="0"/>
      <w:marTop w:val="0"/>
      <w:marBottom w:val="0"/>
      <w:divBdr>
        <w:top w:val="none" w:sz="0" w:space="0" w:color="auto"/>
        <w:left w:val="none" w:sz="0" w:space="0" w:color="auto"/>
        <w:bottom w:val="none" w:sz="0" w:space="0" w:color="auto"/>
        <w:right w:val="none" w:sz="0" w:space="0" w:color="auto"/>
      </w:divBdr>
    </w:div>
    <w:div w:id="726032686">
      <w:bodyDiv w:val="1"/>
      <w:marLeft w:val="0"/>
      <w:marRight w:val="0"/>
      <w:marTop w:val="0"/>
      <w:marBottom w:val="0"/>
      <w:divBdr>
        <w:top w:val="none" w:sz="0" w:space="0" w:color="auto"/>
        <w:left w:val="none" w:sz="0" w:space="0" w:color="auto"/>
        <w:bottom w:val="none" w:sz="0" w:space="0" w:color="auto"/>
        <w:right w:val="none" w:sz="0" w:space="0" w:color="auto"/>
      </w:divBdr>
    </w:div>
    <w:div w:id="730227671">
      <w:bodyDiv w:val="1"/>
      <w:marLeft w:val="0"/>
      <w:marRight w:val="0"/>
      <w:marTop w:val="0"/>
      <w:marBottom w:val="0"/>
      <w:divBdr>
        <w:top w:val="none" w:sz="0" w:space="0" w:color="auto"/>
        <w:left w:val="none" w:sz="0" w:space="0" w:color="auto"/>
        <w:bottom w:val="none" w:sz="0" w:space="0" w:color="auto"/>
        <w:right w:val="none" w:sz="0" w:space="0" w:color="auto"/>
      </w:divBdr>
    </w:div>
    <w:div w:id="734813919">
      <w:bodyDiv w:val="1"/>
      <w:marLeft w:val="0"/>
      <w:marRight w:val="0"/>
      <w:marTop w:val="0"/>
      <w:marBottom w:val="0"/>
      <w:divBdr>
        <w:top w:val="none" w:sz="0" w:space="0" w:color="auto"/>
        <w:left w:val="none" w:sz="0" w:space="0" w:color="auto"/>
        <w:bottom w:val="none" w:sz="0" w:space="0" w:color="auto"/>
        <w:right w:val="none" w:sz="0" w:space="0" w:color="auto"/>
      </w:divBdr>
    </w:div>
    <w:div w:id="736320032">
      <w:bodyDiv w:val="1"/>
      <w:marLeft w:val="0"/>
      <w:marRight w:val="0"/>
      <w:marTop w:val="0"/>
      <w:marBottom w:val="0"/>
      <w:divBdr>
        <w:top w:val="none" w:sz="0" w:space="0" w:color="auto"/>
        <w:left w:val="none" w:sz="0" w:space="0" w:color="auto"/>
        <w:bottom w:val="none" w:sz="0" w:space="0" w:color="auto"/>
        <w:right w:val="none" w:sz="0" w:space="0" w:color="auto"/>
      </w:divBdr>
    </w:div>
    <w:div w:id="737753376">
      <w:bodyDiv w:val="1"/>
      <w:marLeft w:val="0"/>
      <w:marRight w:val="0"/>
      <w:marTop w:val="0"/>
      <w:marBottom w:val="0"/>
      <w:divBdr>
        <w:top w:val="none" w:sz="0" w:space="0" w:color="auto"/>
        <w:left w:val="none" w:sz="0" w:space="0" w:color="auto"/>
        <w:bottom w:val="none" w:sz="0" w:space="0" w:color="auto"/>
        <w:right w:val="none" w:sz="0" w:space="0" w:color="auto"/>
      </w:divBdr>
    </w:div>
    <w:div w:id="745417045">
      <w:bodyDiv w:val="1"/>
      <w:marLeft w:val="0"/>
      <w:marRight w:val="0"/>
      <w:marTop w:val="0"/>
      <w:marBottom w:val="0"/>
      <w:divBdr>
        <w:top w:val="none" w:sz="0" w:space="0" w:color="auto"/>
        <w:left w:val="none" w:sz="0" w:space="0" w:color="auto"/>
        <w:bottom w:val="none" w:sz="0" w:space="0" w:color="auto"/>
        <w:right w:val="none" w:sz="0" w:space="0" w:color="auto"/>
      </w:divBdr>
    </w:div>
    <w:div w:id="761413790">
      <w:bodyDiv w:val="1"/>
      <w:marLeft w:val="0"/>
      <w:marRight w:val="0"/>
      <w:marTop w:val="0"/>
      <w:marBottom w:val="0"/>
      <w:divBdr>
        <w:top w:val="none" w:sz="0" w:space="0" w:color="auto"/>
        <w:left w:val="none" w:sz="0" w:space="0" w:color="auto"/>
        <w:bottom w:val="none" w:sz="0" w:space="0" w:color="auto"/>
        <w:right w:val="none" w:sz="0" w:space="0" w:color="auto"/>
      </w:divBdr>
    </w:div>
    <w:div w:id="766465773">
      <w:bodyDiv w:val="1"/>
      <w:marLeft w:val="0"/>
      <w:marRight w:val="0"/>
      <w:marTop w:val="0"/>
      <w:marBottom w:val="0"/>
      <w:divBdr>
        <w:top w:val="none" w:sz="0" w:space="0" w:color="auto"/>
        <w:left w:val="none" w:sz="0" w:space="0" w:color="auto"/>
        <w:bottom w:val="none" w:sz="0" w:space="0" w:color="auto"/>
        <w:right w:val="none" w:sz="0" w:space="0" w:color="auto"/>
      </w:divBdr>
    </w:div>
    <w:div w:id="770052749">
      <w:bodyDiv w:val="1"/>
      <w:marLeft w:val="0"/>
      <w:marRight w:val="0"/>
      <w:marTop w:val="0"/>
      <w:marBottom w:val="0"/>
      <w:divBdr>
        <w:top w:val="none" w:sz="0" w:space="0" w:color="auto"/>
        <w:left w:val="none" w:sz="0" w:space="0" w:color="auto"/>
        <w:bottom w:val="none" w:sz="0" w:space="0" w:color="auto"/>
        <w:right w:val="none" w:sz="0" w:space="0" w:color="auto"/>
      </w:divBdr>
    </w:div>
    <w:div w:id="772631460">
      <w:bodyDiv w:val="1"/>
      <w:marLeft w:val="0"/>
      <w:marRight w:val="0"/>
      <w:marTop w:val="0"/>
      <w:marBottom w:val="0"/>
      <w:divBdr>
        <w:top w:val="none" w:sz="0" w:space="0" w:color="auto"/>
        <w:left w:val="none" w:sz="0" w:space="0" w:color="auto"/>
        <w:bottom w:val="none" w:sz="0" w:space="0" w:color="auto"/>
        <w:right w:val="none" w:sz="0" w:space="0" w:color="auto"/>
      </w:divBdr>
    </w:div>
    <w:div w:id="780690998">
      <w:bodyDiv w:val="1"/>
      <w:marLeft w:val="0"/>
      <w:marRight w:val="0"/>
      <w:marTop w:val="0"/>
      <w:marBottom w:val="0"/>
      <w:divBdr>
        <w:top w:val="none" w:sz="0" w:space="0" w:color="auto"/>
        <w:left w:val="none" w:sz="0" w:space="0" w:color="auto"/>
        <w:bottom w:val="none" w:sz="0" w:space="0" w:color="auto"/>
        <w:right w:val="none" w:sz="0" w:space="0" w:color="auto"/>
      </w:divBdr>
    </w:div>
    <w:div w:id="789015334">
      <w:bodyDiv w:val="1"/>
      <w:marLeft w:val="0"/>
      <w:marRight w:val="0"/>
      <w:marTop w:val="0"/>
      <w:marBottom w:val="0"/>
      <w:divBdr>
        <w:top w:val="none" w:sz="0" w:space="0" w:color="auto"/>
        <w:left w:val="none" w:sz="0" w:space="0" w:color="auto"/>
        <w:bottom w:val="none" w:sz="0" w:space="0" w:color="auto"/>
        <w:right w:val="none" w:sz="0" w:space="0" w:color="auto"/>
      </w:divBdr>
    </w:div>
    <w:div w:id="792796689">
      <w:bodyDiv w:val="1"/>
      <w:marLeft w:val="0"/>
      <w:marRight w:val="0"/>
      <w:marTop w:val="0"/>
      <w:marBottom w:val="0"/>
      <w:divBdr>
        <w:top w:val="none" w:sz="0" w:space="0" w:color="auto"/>
        <w:left w:val="none" w:sz="0" w:space="0" w:color="auto"/>
        <w:bottom w:val="none" w:sz="0" w:space="0" w:color="auto"/>
        <w:right w:val="none" w:sz="0" w:space="0" w:color="auto"/>
      </w:divBdr>
    </w:div>
    <w:div w:id="794176573">
      <w:bodyDiv w:val="1"/>
      <w:marLeft w:val="0"/>
      <w:marRight w:val="0"/>
      <w:marTop w:val="0"/>
      <w:marBottom w:val="0"/>
      <w:divBdr>
        <w:top w:val="none" w:sz="0" w:space="0" w:color="auto"/>
        <w:left w:val="none" w:sz="0" w:space="0" w:color="auto"/>
        <w:bottom w:val="none" w:sz="0" w:space="0" w:color="auto"/>
        <w:right w:val="none" w:sz="0" w:space="0" w:color="auto"/>
      </w:divBdr>
    </w:div>
    <w:div w:id="824785691">
      <w:bodyDiv w:val="1"/>
      <w:marLeft w:val="0"/>
      <w:marRight w:val="0"/>
      <w:marTop w:val="0"/>
      <w:marBottom w:val="0"/>
      <w:divBdr>
        <w:top w:val="none" w:sz="0" w:space="0" w:color="auto"/>
        <w:left w:val="none" w:sz="0" w:space="0" w:color="auto"/>
        <w:bottom w:val="none" w:sz="0" w:space="0" w:color="auto"/>
        <w:right w:val="none" w:sz="0" w:space="0" w:color="auto"/>
      </w:divBdr>
    </w:div>
    <w:div w:id="830676710">
      <w:bodyDiv w:val="1"/>
      <w:marLeft w:val="0"/>
      <w:marRight w:val="0"/>
      <w:marTop w:val="0"/>
      <w:marBottom w:val="0"/>
      <w:divBdr>
        <w:top w:val="none" w:sz="0" w:space="0" w:color="auto"/>
        <w:left w:val="none" w:sz="0" w:space="0" w:color="auto"/>
        <w:bottom w:val="none" w:sz="0" w:space="0" w:color="auto"/>
        <w:right w:val="none" w:sz="0" w:space="0" w:color="auto"/>
      </w:divBdr>
    </w:div>
    <w:div w:id="832793082">
      <w:bodyDiv w:val="1"/>
      <w:marLeft w:val="0"/>
      <w:marRight w:val="0"/>
      <w:marTop w:val="0"/>
      <w:marBottom w:val="0"/>
      <w:divBdr>
        <w:top w:val="none" w:sz="0" w:space="0" w:color="auto"/>
        <w:left w:val="none" w:sz="0" w:space="0" w:color="auto"/>
        <w:bottom w:val="none" w:sz="0" w:space="0" w:color="auto"/>
        <w:right w:val="none" w:sz="0" w:space="0" w:color="auto"/>
      </w:divBdr>
    </w:div>
    <w:div w:id="840434369">
      <w:bodyDiv w:val="1"/>
      <w:marLeft w:val="0"/>
      <w:marRight w:val="0"/>
      <w:marTop w:val="0"/>
      <w:marBottom w:val="0"/>
      <w:divBdr>
        <w:top w:val="none" w:sz="0" w:space="0" w:color="auto"/>
        <w:left w:val="none" w:sz="0" w:space="0" w:color="auto"/>
        <w:bottom w:val="none" w:sz="0" w:space="0" w:color="auto"/>
        <w:right w:val="none" w:sz="0" w:space="0" w:color="auto"/>
      </w:divBdr>
    </w:div>
    <w:div w:id="841747260">
      <w:bodyDiv w:val="1"/>
      <w:marLeft w:val="0"/>
      <w:marRight w:val="0"/>
      <w:marTop w:val="0"/>
      <w:marBottom w:val="0"/>
      <w:divBdr>
        <w:top w:val="none" w:sz="0" w:space="0" w:color="auto"/>
        <w:left w:val="none" w:sz="0" w:space="0" w:color="auto"/>
        <w:bottom w:val="none" w:sz="0" w:space="0" w:color="auto"/>
        <w:right w:val="none" w:sz="0" w:space="0" w:color="auto"/>
      </w:divBdr>
    </w:div>
    <w:div w:id="844518806">
      <w:bodyDiv w:val="1"/>
      <w:marLeft w:val="0"/>
      <w:marRight w:val="0"/>
      <w:marTop w:val="0"/>
      <w:marBottom w:val="0"/>
      <w:divBdr>
        <w:top w:val="none" w:sz="0" w:space="0" w:color="auto"/>
        <w:left w:val="none" w:sz="0" w:space="0" w:color="auto"/>
        <w:bottom w:val="none" w:sz="0" w:space="0" w:color="auto"/>
        <w:right w:val="none" w:sz="0" w:space="0" w:color="auto"/>
      </w:divBdr>
    </w:div>
    <w:div w:id="848370490">
      <w:bodyDiv w:val="1"/>
      <w:marLeft w:val="0"/>
      <w:marRight w:val="0"/>
      <w:marTop w:val="0"/>
      <w:marBottom w:val="0"/>
      <w:divBdr>
        <w:top w:val="none" w:sz="0" w:space="0" w:color="auto"/>
        <w:left w:val="none" w:sz="0" w:space="0" w:color="auto"/>
        <w:bottom w:val="none" w:sz="0" w:space="0" w:color="auto"/>
        <w:right w:val="none" w:sz="0" w:space="0" w:color="auto"/>
      </w:divBdr>
    </w:div>
    <w:div w:id="852305835">
      <w:bodyDiv w:val="1"/>
      <w:marLeft w:val="0"/>
      <w:marRight w:val="0"/>
      <w:marTop w:val="0"/>
      <w:marBottom w:val="0"/>
      <w:divBdr>
        <w:top w:val="none" w:sz="0" w:space="0" w:color="auto"/>
        <w:left w:val="none" w:sz="0" w:space="0" w:color="auto"/>
        <w:bottom w:val="none" w:sz="0" w:space="0" w:color="auto"/>
        <w:right w:val="none" w:sz="0" w:space="0" w:color="auto"/>
      </w:divBdr>
    </w:div>
    <w:div w:id="870384772">
      <w:bodyDiv w:val="1"/>
      <w:marLeft w:val="0"/>
      <w:marRight w:val="0"/>
      <w:marTop w:val="0"/>
      <w:marBottom w:val="0"/>
      <w:divBdr>
        <w:top w:val="none" w:sz="0" w:space="0" w:color="auto"/>
        <w:left w:val="none" w:sz="0" w:space="0" w:color="auto"/>
        <w:bottom w:val="none" w:sz="0" w:space="0" w:color="auto"/>
        <w:right w:val="none" w:sz="0" w:space="0" w:color="auto"/>
      </w:divBdr>
    </w:div>
    <w:div w:id="877473039">
      <w:bodyDiv w:val="1"/>
      <w:marLeft w:val="0"/>
      <w:marRight w:val="0"/>
      <w:marTop w:val="0"/>
      <w:marBottom w:val="0"/>
      <w:divBdr>
        <w:top w:val="none" w:sz="0" w:space="0" w:color="auto"/>
        <w:left w:val="none" w:sz="0" w:space="0" w:color="auto"/>
        <w:bottom w:val="none" w:sz="0" w:space="0" w:color="auto"/>
        <w:right w:val="none" w:sz="0" w:space="0" w:color="auto"/>
      </w:divBdr>
    </w:div>
    <w:div w:id="886648550">
      <w:bodyDiv w:val="1"/>
      <w:marLeft w:val="0"/>
      <w:marRight w:val="0"/>
      <w:marTop w:val="0"/>
      <w:marBottom w:val="0"/>
      <w:divBdr>
        <w:top w:val="none" w:sz="0" w:space="0" w:color="auto"/>
        <w:left w:val="none" w:sz="0" w:space="0" w:color="auto"/>
        <w:bottom w:val="none" w:sz="0" w:space="0" w:color="auto"/>
        <w:right w:val="none" w:sz="0" w:space="0" w:color="auto"/>
      </w:divBdr>
    </w:div>
    <w:div w:id="916355736">
      <w:bodyDiv w:val="1"/>
      <w:marLeft w:val="0"/>
      <w:marRight w:val="0"/>
      <w:marTop w:val="0"/>
      <w:marBottom w:val="0"/>
      <w:divBdr>
        <w:top w:val="none" w:sz="0" w:space="0" w:color="auto"/>
        <w:left w:val="none" w:sz="0" w:space="0" w:color="auto"/>
        <w:bottom w:val="none" w:sz="0" w:space="0" w:color="auto"/>
        <w:right w:val="none" w:sz="0" w:space="0" w:color="auto"/>
      </w:divBdr>
    </w:div>
    <w:div w:id="918252260">
      <w:bodyDiv w:val="1"/>
      <w:marLeft w:val="0"/>
      <w:marRight w:val="0"/>
      <w:marTop w:val="0"/>
      <w:marBottom w:val="0"/>
      <w:divBdr>
        <w:top w:val="none" w:sz="0" w:space="0" w:color="auto"/>
        <w:left w:val="none" w:sz="0" w:space="0" w:color="auto"/>
        <w:bottom w:val="none" w:sz="0" w:space="0" w:color="auto"/>
        <w:right w:val="none" w:sz="0" w:space="0" w:color="auto"/>
      </w:divBdr>
    </w:div>
    <w:div w:id="919170780">
      <w:bodyDiv w:val="1"/>
      <w:marLeft w:val="0"/>
      <w:marRight w:val="0"/>
      <w:marTop w:val="0"/>
      <w:marBottom w:val="0"/>
      <w:divBdr>
        <w:top w:val="none" w:sz="0" w:space="0" w:color="auto"/>
        <w:left w:val="none" w:sz="0" w:space="0" w:color="auto"/>
        <w:bottom w:val="none" w:sz="0" w:space="0" w:color="auto"/>
        <w:right w:val="none" w:sz="0" w:space="0" w:color="auto"/>
      </w:divBdr>
    </w:div>
    <w:div w:id="920406775">
      <w:bodyDiv w:val="1"/>
      <w:marLeft w:val="0"/>
      <w:marRight w:val="0"/>
      <w:marTop w:val="0"/>
      <w:marBottom w:val="0"/>
      <w:divBdr>
        <w:top w:val="none" w:sz="0" w:space="0" w:color="auto"/>
        <w:left w:val="none" w:sz="0" w:space="0" w:color="auto"/>
        <w:bottom w:val="none" w:sz="0" w:space="0" w:color="auto"/>
        <w:right w:val="none" w:sz="0" w:space="0" w:color="auto"/>
      </w:divBdr>
    </w:div>
    <w:div w:id="925920753">
      <w:bodyDiv w:val="1"/>
      <w:marLeft w:val="0"/>
      <w:marRight w:val="0"/>
      <w:marTop w:val="0"/>
      <w:marBottom w:val="0"/>
      <w:divBdr>
        <w:top w:val="none" w:sz="0" w:space="0" w:color="auto"/>
        <w:left w:val="none" w:sz="0" w:space="0" w:color="auto"/>
        <w:bottom w:val="none" w:sz="0" w:space="0" w:color="auto"/>
        <w:right w:val="none" w:sz="0" w:space="0" w:color="auto"/>
      </w:divBdr>
    </w:div>
    <w:div w:id="956105716">
      <w:bodyDiv w:val="1"/>
      <w:marLeft w:val="0"/>
      <w:marRight w:val="0"/>
      <w:marTop w:val="0"/>
      <w:marBottom w:val="0"/>
      <w:divBdr>
        <w:top w:val="none" w:sz="0" w:space="0" w:color="auto"/>
        <w:left w:val="none" w:sz="0" w:space="0" w:color="auto"/>
        <w:bottom w:val="none" w:sz="0" w:space="0" w:color="auto"/>
        <w:right w:val="none" w:sz="0" w:space="0" w:color="auto"/>
      </w:divBdr>
    </w:div>
    <w:div w:id="986208279">
      <w:bodyDiv w:val="1"/>
      <w:marLeft w:val="0"/>
      <w:marRight w:val="0"/>
      <w:marTop w:val="0"/>
      <w:marBottom w:val="0"/>
      <w:divBdr>
        <w:top w:val="none" w:sz="0" w:space="0" w:color="auto"/>
        <w:left w:val="none" w:sz="0" w:space="0" w:color="auto"/>
        <w:bottom w:val="none" w:sz="0" w:space="0" w:color="auto"/>
        <w:right w:val="none" w:sz="0" w:space="0" w:color="auto"/>
      </w:divBdr>
    </w:div>
    <w:div w:id="991985003">
      <w:bodyDiv w:val="1"/>
      <w:marLeft w:val="0"/>
      <w:marRight w:val="0"/>
      <w:marTop w:val="0"/>
      <w:marBottom w:val="0"/>
      <w:divBdr>
        <w:top w:val="none" w:sz="0" w:space="0" w:color="auto"/>
        <w:left w:val="none" w:sz="0" w:space="0" w:color="auto"/>
        <w:bottom w:val="none" w:sz="0" w:space="0" w:color="auto"/>
        <w:right w:val="none" w:sz="0" w:space="0" w:color="auto"/>
      </w:divBdr>
    </w:div>
    <w:div w:id="998537139">
      <w:bodyDiv w:val="1"/>
      <w:marLeft w:val="0"/>
      <w:marRight w:val="0"/>
      <w:marTop w:val="0"/>
      <w:marBottom w:val="0"/>
      <w:divBdr>
        <w:top w:val="none" w:sz="0" w:space="0" w:color="auto"/>
        <w:left w:val="none" w:sz="0" w:space="0" w:color="auto"/>
        <w:bottom w:val="none" w:sz="0" w:space="0" w:color="auto"/>
        <w:right w:val="none" w:sz="0" w:space="0" w:color="auto"/>
      </w:divBdr>
    </w:div>
    <w:div w:id="1005862160">
      <w:bodyDiv w:val="1"/>
      <w:marLeft w:val="0"/>
      <w:marRight w:val="0"/>
      <w:marTop w:val="0"/>
      <w:marBottom w:val="0"/>
      <w:divBdr>
        <w:top w:val="none" w:sz="0" w:space="0" w:color="auto"/>
        <w:left w:val="none" w:sz="0" w:space="0" w:color="auto"/>
        <w:bottom w:val="none" w:sz="0" w:space="0" w:color="auto"/>
        <w:right w:val="none" w:sz="0" w:space="0" w:color="auto"/>
      </w:divBdr>
    </w:div>
    <w:div w:id="1007710606">
      <w:bodyDiv w:val="1"/>
      <w:marLeft w:val="0"/>
      <w:marRight w:val="0"/>
      <w:marTop w:val="0"/>
      <w:marBottom w:val="0"/>
      <w:divBdr>
        <w:top w:val="none" w:sz="0" w:space="0" w:color="auto"/>
        <w:left w:val="none" w:sz="0" w:space="0" w:color="auto"/>
        <w:bottom w:val="none" w:sz="0" w:space="0" w:color="auto"/>
        <w:right w:val="none" w:sz="0" w:space="0" w:color="auto"/>
      </w:divBdr>
    </w:div>
    <w:div w:id="1014844725">
      <w:bodyDiv w:val="1"/>
      <w:marLeft w:val="0"/>
      <w:marRight w:val="0"/>
      <w:marTop w:val="0"/>
      <w:marBottom w:val="0"/>
      <w:divBdr>
        <w:top w:val="none" w:sz="0" w:space="0" w:color="auto"/>
        <w:left w:val="none" w:sz="0" w:space="0" w:color="auto"/>
        <w:bottom w:val="none" w:sz="0" w:space="0" w:color="auto"/>
        <w:right w:val="none" w:sz="0" w:space="0" w:color="auto"/>
      </w:divBdr>
    </w:div>
    <w:div w:id="1023940111">
      <w:bodyDiv w:val="1"/>
      <w:marLeft w:val="0"/>
      <w:marRight w:val="0"/>
      <w:marTop w:val="0"/>
      <w:marBottom w:val="0"/>
      <w:divBdr>
        <w:top w:val="none" w:sz="0" w:space="0" w:color="auto"/>
        <w:left w:val="none" w:sz="0" w:space="0" w:color="auto"/>
        <w:bottom w:val="none" w:sz="0" w:space="0" w:color="auto"/>
        <w:right w:val="none" w:sz="0" w:space="0" w:color="auto"/>
      </w:divBdr>
    </w:div>
    <w:div w:id="1028602837">
      <w:bodyDiv w:val="1"/>
      <w:marLeft w:val="0"/>
      <w:marRight w:val="0"/>
      <w:marTop w:val="0"/>
      <w:marBottom w:val="0"/>
      <w:divBdr>
        <w:top w:val="none" w:sz="0" w:space="0" w:color="auto"/>
        <w:left w:val="none" w:sz="0" w:space="0" w:color="auto"/>
        <w:bottom w:val="none" w:sz="0" w:space="0" w:color="auto"/>
        <w:right w:val="none" w:sz="0" w:space="0" w:color="auto"/>
      </w:divBdr>
    </w:div>
    <w:div w:id="1034044015">
      <w:bodyDiv w:val="1"/>
      <w:marLeft w:val="0"/>
      <w:marRight w:val="0"/>
      <w:marTop w:val="0"/>
      <w:marBottom w:val="0"/>
      <w:divBdr>
        <w:top w:val="none" w:sz="0" w:space="0" w:color="auto"/>
        <w:left w:val="none" w:sz="0" w:space="0" w:color="auto"/>
        <w:bottom w:val="none" w:sz="0" w:space="0" w:color="auto"/>
        <w:right w:val="none" w:sz="0" w:space="0" w:color="auto"/>
      </w:divBdr>
    </w:div>
    <w:div w:id="1070232885">
      <w:bodyDiv w:val="1"/>
      <w:marLeft w:val="0"/>
      <w:marRight w:val="0"/>
      <w:marTop w:val="0"/>
      <w:marBottom w:val="0"/>
      <w:divBdr>
        <w:top w:val="none" w:sz="0" w:space="0" w:color="auto"/>
        <w:left w:val="none" w:sz="0" w:space="0" w:color="auto"/>
        <w:bottom w:val="none" w:sz="0" w:space="0" w:color="auto"/>
        <w:right w:val="none" w:sz="0" w:space="0" w:color="auto"/>
      </w:divBdr>
    </w:div>
    <w:div w:id="1079519836">
      <w:bodyDiv w:val="1"/>
      <w:marLeft w:val="0"/>
      <w:marRight w:val="0"/>
      <w:marTop w:val="0"/>
      <w:marBottom w:val="0"/>
      <w:divBdr>
        <w:top w:val="none" w:sz="0" w:space="0" w:color="auto"/>
        <w:left w:val="none" w:sz="0" w:space="0" w:color="auto"/>
        <w:bottom w:val="none" w:sz="0" w:space="0" w:color="auto"/>
        <w:right w:val="none" w:sz="0" w:space="0" w:color="auto"/>
      </w:divBdr>
    </w:div>
    <w:div w:id="1092320081">
      <w:bodyDiv w:val="1"/>
      <w:marLeft w:val="0"/>
      <w:marRight w:val="0"/>
      <w:marTop w:val="0"/>
      <w:marBottom w:val="0"/>
      <w:divBdr>
        <w:top w:val="none" w:sz="0" w:space="0" w:color="auto"/>
        <w:left w:val="none" w:sz="0" w:space="0" w:color="auto"/>
        <w:bottom w:val="none" w:sz="0" w:space="0" w:color="auto"/>
        <w:right w:val="none" w:sz="0" w:space="0" w:color="auto"/>
      </w:divBdr>
    </w:div>
    <w:div w:id="1095520202">
      <w:bodyDiv w:val="1"/>
      <w:marLeft w:val="0"/>
      <w:marRight w:val="0"/>
      <w:marTop w:val="0"/>
      <w:marBottom w:val="0"/>
      <w:divBdr>
        <w:top w:val="none" w:sz="0" w:space="0" w:color="auto"/>
        <w:left w:val="none" w:sz="0" w:space="0" w:color="auto"/>
        <w:bottom w:val="none" w:sz="0" w:space="0" w:color="auto"/>
        <w:right w:val="none" w:sz="0" w:space="0" w:color="auto"/>
      </w:divBdr>
    </w:div>
    <w:div w:id="1102412551">
      <w:bodyDiv w:val="1"/>
      <w:marLeft w:val="0"/>
      <w:marRight w:val="0"/>
      <w:marTop w:val="0"/>
      <w:marBottom w:val="0"/>
      <w:divBdr>
        <w:top w:val="none" w:sz="0" w:space="0" w:color="auto"/>
        <w:left w:val="none" w:sz="0" w:space="0" w:color="auto"/>
        <w:bottom w:val="none" w:sz="0" w:space="0" w:color="auto"/>
        <w:right w:val="none" w:sz="0" w:space="0" w:color="auto"/>
      </w:divBdr>
    </w:div>
    <w:div w:id="1108233580">
      <w:bodyDiv w:val="1"/>
      <w:marLeft w:val="0"/>
      <w:marRight w:val="0"/>
      <w:marTop w:val="0"/>
      <w:marBottom w:val="0"/>
      <w:divBdr>
        <w:top w:val="none" w:sz="0" w:space="0" w:color="auto"/>
        <w:left w:val="none" w:sz="0" w:space="0" w:color="auto"/>
        <w:bottom w:val="none" w:sz="0" w:space="0" w:color="auto"/>
        <w:right w:val="none" w:sz="0" w:space="0" w:color="auto"/>
      </w:divBdr>
    </w:div>
    <w:div w:id="1113020323">
      <w:bodyDiv w:val="1"/>
      <w:marLeft w:val="0"/>
      <w:marRight w:val="0"/>
      <w:marTop w:val="0"/>
      <w:marBottom w:val="0"/>
      <w:divBdr>
        <w:top w:val="none" w:sz="0" w:space="0" w:color="auto"/>
        <w:left w:val="none" w:sz="0" w:space="0" w:color="auto"/>
        <w:bottom w:val="none" w:sz="0" w:space="0" w:color="auto"/>
        <w:right w:val="none" w:sz="0" w:space="0" w:color="auto"/>
      </w:divBdr>
    </w:div>
    <w:div w:id="1113095536">
      <w:bodyDiv w:val="1"/>
      <w:marLeft w:val="0"/>
      <w:marRight w:val="0"/>
      <w:marTop w:val="0"/>
      <w:marBottom w:val="0"/>
      <w:divBdr>
        <w:top w:val="none" w:sz="0" w:space="0" w:color="auto"/>
        <w:left w:val="none" w:sz="0" w:space="0" w:color="auto"/>
        <w:bottom w:val="none" w:sz="0" w:space="0" w:color="auto"/>
        <w:right w:val="none" w:sz="0" w:space="0" w:color="auto"/>
      </w:divBdr>
    </w:div>
    <w:div w:id="1121344242">
      <w:bodyDiv w:val="1"/>
      <w:marLeft w:val="0"/>
      <w:marRight w:val="0"/>
      <w:marTop w:val="0"/>
      <w:marBottom w:val="0"/>
      <w:divBdr>
        <w:top w:val="none" w:sz="0" w:space="0" w:color="auto"/>
        <w:left w:val="none" w:sz="0" w:space="0" w:color="auto"/>
        <w:bottom w:val="none" w:sz="0" w:space="0" w:color="auto"/>
        <w:right w:val="none" w:sz="0" w:space="0" w:color="auto"/>
      </w:divBdr>
    </w:div>
    <w:div w:id="1125350222">
      <w:bodyDiv w:val="1"/>
      <w:marLeft w:val="0"/>
      <w:marRight w:val="0"/>
      <w:marTop w:val="0"/>
      <w:marBottom w:val="0"/>
      <w:divBdr>
        <w:top w:val="none" w:sz="0" w:space="0" w:color="auto"/>
        <w:left w:val="none" w:sz="0" w:space="0" w:color="auto"/>
        <w:bottom w:val="none" w:sz="0" w:space="0" w:color="auto"/>
        <w:right w:val="none" w:sz="0" w:space="0" w:color="auto"/>
      </w:divBdr>
    </w:div>
    <w:div w:id="1164273821">
      <w:bodyDiv w:val="1"/>
      <w:marLeft w:val="0"/>
      <w:marRight w:val="0"/>
      <w:marTop w:val="0"/>
      <w:marBottom w:val="0"/>
      <w:divBdr>
        <w:top w:val="none" w:sz="0" w:space="0" w:color="auto"/>
        <w:left w:val="none" w:sz="0" w:space="0" w:color="auto"/>
        <w:bottom w:val="none" w:sz="0" w:space="0" w:color="auto"/>
        <w:right w:val="none" w:sz="0" w:space="0" w:color="auto"/>
      </w:divBdr>
    </w:div>
    <w:div w:id="1173954284">
      <w:bodyDiv w:val="1"/>
      <w:marLeft w:val="0"/>
      <w:marRight w:val="0"/>
      <w:marTop w:val="0"/>
      <w:marBottom w:val="0"/>
      <w:divBdr>
        <w:top w:val="none" w:sz="0" w:space="0" w:color="auto"/>
        <w:left w:val="none" w:sz="0" w:space="0" w:color="auto"/>
        <w:bottom w:val="none" w:sz="0" w:space="0" w:color="auto"/>
        <w:right w:val="none" w:sz="0" w:space="0" w:color="auto"/>
      </w:divBdr>
    </w:div>
    <w:div w:id="1186358407">
      <w:bodyDiv w:val="1"/>
      <w:marLeft w:val="0"/>
      <w:marRight w:val="0"/>
      <w:marTop w:val="0"/>
      <w:marBottom w:val="0"/>
      <w:divBdr>
        <w:top w:val="none" w:sz="0" w:space="0" w:color="auto"/>
        <w:left w:val="none" w:sz="0" w:space="0" w:color="auto"/>
        <w:bottom w:val="none" w:sz="0" w:space="0" w:color="auto"/>
        <w:right w:val="none" w:sz="0" w:space="0" w:color="auto"/>
      </w:divBdr>
    </w:div>
    <w:div w:id="1207791304">
      <w:bodyDiv w:val="1"/>
      <w:marLeft w:val="0"/>
      <w:marRight w:val="0"/>
      <w:marTop w:val="0"/>
      <w:marBottom w:val="0"/>
      <w:divBdr>
        <w:top w:val="none" w:sz="0" w:space="0" w:color="auto"/>
        <w:left w:val="none" w:sz="0" w:space="0" w:color="auto"/>
        <w:bottom w:val="none" w:sz="0" w:space="0" w:color="auto"/>
        <w:right w:val="none" w:sz="0" w:space="0" w:color="auto"/>
      </w:divBdr>
    </w:div>
    <w:div w:id="1214541961">
      <w:bodyDiv w:val="1"/>
      <w:marLeft w:val="0"/>
      <w:marRight w:val="0"/>
      <w:marTop w:val="0"/>
      <w:marBottom w:val="0"/>
      <w:divBdr>
        <w:top w:val="none" w:sz="0" w:space="0" w:color="auto"/>
        <w:left w:val="none" w:sz="0" w:space="0" w:color="auto"/>
        <w:bottom w:val="none" w:sz="0" w:space="0" w:color="auto"/>
        <w:right w:val="none" w:sz="0" w:space="0" w:color="auto"/>
      </w:divBdr>
    </w:div>
    <w:div w:id="1225600874">
      <w:bodyDiv w:val="1"/>
      <w:marLeft w:val="0"/>
      <w:marRight w:val="0"/>
      <w:marTop w:val="0"/>
      <w:marBottom w:val="0"/>
      <w:divBdr>
        <w:top w:val="none" w:sz="0" w:space="0" w:color="auto"/>
        <w:left w:val="none" w:sz="0" w:space="0" w:color="auto"/>
        <w:bottom w:val="none" w:sz="0" w:space="0" w:color="auto"/>
        <w:right w:val="none" w:sz="0" w:space="0" w:color="auto"/>
      </w:divBdr>
    </w:div>
    <w:div w:id="1247036155">
      <w:bodyDiv w:val="1"/>
      <w:marLeft w:val="0"/>
      <w:marRight w:val="0"/>
      <w:marTop w:val="0"/>
      <w:marBottom w:val="0"/>
      <w:divBdr>
        <w:top w:val="none" w:sz="0" w:space="0" w:color="auto"/>
        <w:left w:val="none" w:sz="0" w:space="0" w:color="auto"/>
        <w:bottom w:val="none" w:sz="0" w:space="0" w:color="auto"/>
        <w:right w:val="none" w:sz="0" w:space="0" w:color="auto"/>
      </w:divBdr>
    </w:div>
    <w:div w:id="1260219788">
      <w:bodyDiv w:val="1"/>
      <w:marLeft w:val="0"/>
      <w:marRight w:val="0"/>
      <w:marTop w:val="0"/>
      <w:marBottom w:val="0"/>
      <w:divBdr>
        <w:top w:val="none" w:sz="0" w:space="0" w:color="auto"/>
        <w:left w:val="none" w:sz="0" w:space="0" w:color="auto"/>
        <w:bottom w:val="none" w:sz="0" w:space="0" w:color="auto"/>
        <w:right w:val="none" w:sz="0" w:space="0" w:color="auto"/>
      </w:divBdr>
    </w:div>
    <w:div w:id="1262908427">
      <w:bodyDiv w:val="1"/>
      <w:marLeft w:val="0"/>
      <w:marRight w:val="0"/>
      <w:marTop w:val="0"/>
      <w:marBottom w:val="0"/>
      <w:divBdr>
        <w:top w:val="none" w:sz="0" w:space="0" w:color="auto"/>
        <w:left w:val="none" w:sz="0" w:space="0" w:color="auto"/>
        <w:bottom w:val="none" w:sz="0" w:space="0" w:color="auto"/>
        <w:right w:val="none" w:sz="0" w:space="0" w:color="auto"/>
      </w:divBdr>
    </w:div>
    <w:div w:id="1264455723">
      <w:bodyDiv w:val="1"/>
      <w:marLeft w:val="0"/>
      <w:marRight w:val="0"/>
      <w:marTop w:val="0"/>
      <w:marBottom w:val="0"/>
      <w:divBdr>
        <w:top w:val="none" w:sz="0" w:space="0" w:color="auto"/>
        <w:left w:val="none" w:sz="0" w:space="0" w:color="auto"/>
        <w:bottom w:val="none" w:sz="0" w:space="0" w:color="auto"/>
        <w:right w:val="none" w:sz="0" w:space="0" w:color="auto"/>
      </w:divBdr>
    </w:div>
    <w:div w:id="1282762887">
      <w:bodyDiv w:val="1"/>
      <w:marLeft w:val="0"/>
      <w:marRight w:val="0"/>
      <w:marTop w:val="0"/>
      <w:marBottom w:val="0"/>
      <w:divBdr>
        <w:top w:val="none" w:sz="0" w:space="0" w:color="auto"/>
        <w:left w:val="none" w:sz="0" w:space="0" w:color="auto"/>
        <w:bottom w:val="none" w:sz="0" w:space="0" w:color="auto"/>
        <w:right w:val="none" w:sz="0" w:space="0" w:color="auto"/>
      </w:divBdr>
    </w:div>
    <w:div w:id="1283416259">
      <w:bodyDiv w:val="1"/>
      <w:marLeft w:val="0"/>
      <w:marRight w:val="0"/>
      <w:marTop w:val="0"/>
      <w:marBottom w:val="0"/>
      <w:divBdr>
        <w:top w:val="none" w:sz="0" w:space="0" w:color="auto"/>
        <w:left w:val="none" w:sz="0" w:space="0" w:color="auto"/>
        <w:bottom w:val="none" w:sz="0" w:space="0" w:color="auto"/>
        <w:right w:val="none" w:sz="0" w:space="0" w:color="auto"/>
      </w:divBdr>
    </w:div>
    <w:div w:id="1299800455">
      <w:bodyDiv w:val="1"/>
      <w:marLeft w:val="0"/>
      <w:marRight w:val="0"/>
      <w:marTop w:val="0"/>
      <w:marBottom w:val="0"/>
      <w:divBdr>
        <w:top w:val="none" w:sz="0" w:space="0" w:color="auto"/>
        <w:left w:val="none" w:sz="0" w:space="0" w:color="auto"/>
        <w:bottom w:val="none" w:sz="0" w:space="0" w:color="auto"/>
        <w:right w:val="none" w:sz="0" w:space="0" w:color="auto"/>
      </w:divBdr>
    </w:div>
    <w:div w:id="1313632771">
      <w:bodyDiv w:val="1"/>
      <w:marLeft w:val="0"/>
      <w:marRight w:val="0"/>
      <w:marTop w:val="0"/>
      <w:marBottom w:val="0"/>
      <w:divBdr>
        <w:top w:val="none" w:sz="0" w:space="0" w:color="auto"/>
        <w:left w:val="none" w:sz="0" w:space="0" w:color="auto"/>
        <w:bottom w:val="none" w:sz="0" w:space="0" w:color="auto"/>
        <w:right w:val="none" w:sz="0" w:space="0" w:color="auto"/>
      </w:divBdr>
    </w:div>
    <w:div w:id="1317221033">
      <w:bodyDiv w:val="1"/>
      <w:marLeft w:val="0"/>
      <w:marRight w:val="0"/>
      <w:marTop w:val="0"/>
      <w:marBottom w:val="0"/>
      <w:divBdr>
        <w:top w:val="none" w:sz="0" w:space="0" w:color="auto"/>
        <w:left w:val="none" w:sz="0" w:space="0" w:color="auto"/>
        <w:bottom w:val="none" w:sz="0" w:space="0" w:color="auto"/>
        <w:right w:val="none" w:sz="0" w:space="0" w:color="auto"/>
      </w:divBdr>
    </w:div>
    <w:div w:id="1370645684">
      <w:bodyDiv w:val="1"/>
      <w:marLeft w:val="0"/>
      <w:marRight w:val="0"/>
      <w:marTop w:val="0"/>
      <w:marBottom w:val="0"/>
      <w:divBdr>
        <w:top w:val="none" w:sz="0" w:space="0" w:color="auto"/>
        <w:left w:val="none" w:sz="0" w:space="0" w:color="auto"/>
        <w:bottom w:val="none" w:sz="0" w:space="0" w:color="auto"/>
        <w:right w:val="none" w:sz="0" w:space="0" w:color="auto"/>
      </w:divBdr>
    </w:div>
    <w:div w:id="1401363593">
      <w:bodyDiv w:val="1"/>
      <w:marLeft w:val="0"/>
      <w:marRight w:val="0"/>
      <w:marTop w:val="0"/>
      <w:marBottom w:val="0"/>
      <w:divBdr>
        <w:top w:val="none" w:sz="0" w:space="0" w:color="auto"/>
        <w:left w:val="none" w:sz="0" w:space="0" w:color="auto"/>
        <w:bottom w:val="none" w:sz="0" w:space="0" w:color="auto"/>
        <w:right w:val="none" w:sz="0" w:space="0" w:color="auto"/>
      </w:divBdr>
    </w:div>
    <w:div w:id="1413968627">
      <w:bodyDiv w:val="1"/>
      <w:marLeft w:val="0"/>
      <w:marRight w:val="0"/>
      <w:marTop w:val="0"/>
      <w:marBottom w:val="0"/>
      <w:divBdr>
        <w:top w:val="none" w:sz="0" w:space="0" w:color="auto"/>
        <w:left w:val="none" w:sz="0" w:space="0" w:color="auto"/>
        <w:bottom w:val="none" w:sz="0" w:space="0" w:color="auto"/>
        <w:right w:val="none" w:sz="0" w:space="0" w:color="auto"/>
      </w:divBdr>
    </w:div>
    <w:div w:id="1414817485">
      <w:bodyDiv w:val="1"/>
      <w:marLeft w:val="0"/>
      <w:marRight w:val="0"/>
      <w:marTop w:val="0"/>
      <w:marBottom w:val="0"/>
      <w:divBdr>
        <w:top w:val="none" w:sz="0" w:space="0" w:color="auto"/>
        <w:left w:val="none" w:sz="0" w:space="0" w:color="auto"/>
        <w:bottom w:val="none" w:sz="0" w:space="0" w:color="auto"/>
        <w:right w:val="none" w:sz="0" w:space="0" w:color="auto"/>
      </w:divBdr>
    </w:div>
    <w:div w:id="1422066312">
      <w:bodyDiv w:val="1"/>
      <w:marLeft w:val="0"/>
      <w:marRight w:val="0"/>
      <w:marTop w:val="0"/>
      <w:marBottom w:val="0"/>
      <w:divBdr>
        <w:top w:val="none" w:sz="0" w:space="0" w:color="auto"/>
        <w:left w:val="none" w:sz="0" w:space="0" w:color="auto"/>
        <w:bottom w:val="none" w:sz="0" w:space="0" w:color="auto"/>
        <w:right w:val="none" w:sz="0" w:space="0" w:color="auto"/>
      </w:divBdr>
    </w:div>
    <w:div w:id="1437091445">
      <w:bodyDiv w:val="1"/>
      <w:marLeft w:val="0"/>
      <w:marRight w:val="0"/>
      <w:marTop w:val="0"/>
      <w:marBottom w:val="0"/>
      <w:divBdr>
        <w:top w:val="none" w:sz="0" w:space="0" w:color="auto"/>
        <w:left w:val="none" w:sz="0" w:space="0" w:color="auto"/>
        <w:bottom w:val="none" w:sz="0" w:space="0" w:color="auto"/>
        <w:right w:val="none" w:sz="0" w:space="0" w:color="auto"/>
      </w:divBdr>
    </w:div>
    <w:div w:id="1441073503">
      <w:bodyDiv w:val="1"/>
      <w:marLeft w:val="0"/>
      <w:marRight w:val="0"/>
      <w:marTop w:val="0"/>
      <w:marBottom w:val="0"/>
      <w:divBdr>
        <w:top w:val="none" w:sz="0" w:space="0" w:color="auto"/>
        <w:left w:val="none" w:sz="0" w:space="0" w:color="auto"/>
        <w:bottom w:val="none" w:sz="0" w:space="0" w:color="auto"/>
        <w:right w:val="none" w:sz="0" w:space="0" w:color="auto"/>
      </w:divBdr>
    </w:div>
    <w:div w:id="1443568301">
      <w:bodyDiv w:val="1"/>
      <w:marLeft w:val="0"/>
      <w:marRight w:val="0"/>
      <w:marTop w:val="0"/>
      <w:marBottom w:val="0"/>
      <w:divBdr>
        <w:top w:val="none" w:sz="0" w:space="0" w:color="auto"/>
        <w:left w:val="none" w:sz="0" w:space="0" w:color="auto"/>
        <w:bottom w:val="none" w:sz="0" w:space="0" w:color="auto"/>
        <w:right w:val="none" w:sz="0" w:space="0" w:color="auto"/>
      </w:divBdr>
    </w:div>
    <w:div w:id="1479499379">
      <w:bodyDiv w:val="1"/>
      <w:marLeft w:val="0"/>
      <w:marRight w:val="0"/>
      <w:marTop w:val="0"/>
      <w:marBottom w:val="0"/>
      <w:divBdr>
        <w:top w:val="none" w:sz="0" w:space="0" w:color="auto"/>
        <w:left w:val="none" w:sz="0" w:space="0" w:color="auto"/>
        <w:bottom w:val="none" w:sz="0" w:space="0" w:color="auto"/>
        <w:right w:val="none" w:sz="0" w:space="0" w:color="auto"/>
      </w:divBdr>
    </w:div>
    <w:div w:id="1488747497">
      <w:bodyDiv w:val="1"/>
      <w:marLeft w:val="0"/>
      <w:marRight w:val="0"/>
      <w:marTop w:val="0"/>
      <w:marBottom w:val="0"/>
      <w:divBdr>
        <w:top w:val="none" w:sz="0" w:space="0" w:color="auto"/>
        <w:left w:val="none" w:sz="0" w:space="0" w:color="auto"/>
        <w:bottom w:val="none" w:sz="0" w:space="0" w:color="auto"/>
        <w:right w:val="none" w:sz="0" w:space="0" w:color="auto"/>
      </w:divBdr>
    </w:div>
    <w:div w:id="1488858129">
      <w:bodyDiv w:val="1"/>
      <w:marLeft w:val="0"/>
      <w:marRight w:val="0"/>
      <w:marTop w:val="0"/>
      <w:marBottom w:val="0"/>
      <w:divBdr>
        <w:top w:val="none" w:sz="0" w:space="0" w:color="auto"/>
        <w:left w:val="none" w:sz="0" w:space="0" w:color="auto"/>
        <w:bottom w:val="none" w:sz="0" w:space="0" w:color="auto"/>
        <w:right w:val="none" w:sz="0" w:space="0" w:color="auto"/>
      </w:divBdr>
    </w:div>
    <w:div w:id="1496338849">
      <w:bodyDiv w:val="1"/>
      <w:marLeft w:val="0"/>
      <w:marRight w:val="0"/>
      <w:marTop w:val="0"/>
      <w:marBottom w:val="0"/>
      <w:divBdr>
        <w:top w:val="none" w:sz="0" w:space="0" w:color="auto"/>
        <w:left w:val="none" w:sz="0" w:space="0" w:color="auto"/>
        <w:bottom w:val="none" w:sz="0" w:space="0" w:color="auto"/>
        <w:right w:val="none" w:sz="0" w:space="0" w:color="auto"/>
      </w:divBdr>
    </w:div>
    <w:div w:id="1501189689">
      <w:bodyDiv w:val="1"/>
      <w:marLeft w:val="0"/>
      <w:marRight w:val="0"/>
      <w:marTop w:val="0"/>
      <w:marBottom w:val="0"/>
      <w:divBdr>
        <w:top w:val="none" w:sz="0" w:space="0" w:color="auto"/>
        <w:left w:val="none" w:sz="0" w:space="0" w:color="auto"/>
        <w:bottom w:val="none" w:sz="0" w:space="0" w:color="auto"/>
        <w:right w:val="none" w:sz="0" w:space="0" w:color="auto"/>
      </w:divBdr>
    </w:div>
    <w:div w:id="1504398676">
      <w:bodyDiv w:val="1"/>
      <w:marLeft w:val="0"/>
      <w:marRight w:val="0"/>
      <w:marTop w:val="0"/>
      <w:marBottom w:val="0"/>
      <w:divBdr>
        <w:top w:val="none" w:sz="0" w:space="0" w:color="auto"/>
        <w:left w:val="none" w:sz="0" w:space="0" w:color="auto"/>
        <w:bottom w:val="none" w:sz="0" w:space="0" w:color="auto"/>
        <w:right w:val="none" w:sz="0" w:space="0" w:color="auto"/>
      </w:divBdr>
    </w:div>
    <w:div w:id="1508665659">
      <w:bodyDiv w:val="1"/>
      <w:marLeft w:val="0"/>
      <w:marRight w:val="0"/>
      <w:marTop w:val="0"/>
      <w:marBottom w:val="0"/>
      <w:divBdr>
        <w:top w:val="none" w:sz="0" w:space="0" w:color="auto"/>
        <w:left w:val="none" w:sz="0" w:space="0" w:color="auto"/>
        <w:bottom w:val="none" w:sz="0" w:space="0" w:color="auto"/>
        <w:right w:val="none" w:sz="0" w:space="0" w:color="auto"/>
      </w:divBdr>
    </w:div>
    <w:div w:id="1518036670">
      <w:bodyDiv w:val="1"/>
      <w:marLeft w:val="0"/>
      <w:marRight w:val="0"/>
      <w:marTop w:val="0"/>
      <w:marBottom w:val="0"/>
      <w:divBdr>
        <w:top w:val="none" w:sz="0" w:space="0" w:color="auto"/>
        <w:left w:val="none" w:sz="0" w:space="0" w:color="auto"/>
        <w:bottom w:val="none" w:sz="0" w:space="0" w:color="auto"/>
        <w:right w:val="none" w:sz="0" w:space="0" w:color="auto"/>
      </w:divBdr>
    </w:div>
    <w:div w:id="1519194831">
      <w:bodyDiv w:val="1"/>
      <w:marLeft w:val="0"/>
      <w:marRight w:val="0"/>
      <w:marTop w:val="0"/>
      <w:marBottom w:val="0"/>
      <w:divBdr>
        <w:top w:val="none" w:sz="0" w:space="0" w:color="auto"/>
        <w:left w:val="none" w:sz="0" w:space="0" w:color="auto"/>
        <w:bottom w:val="none" w:sz="0" w:space="0" w:color="auto"/>
        <w:right w:val="none" w:sz="0" w:space="0" w:color="auto"/>
      </w:divBdr>
    </w:div>
    <w:div w:id="1536455764">
      <w:bodyDiv w:val="1"/>
      <w:marLeft w:val="0"/>
      <w:marRight w:val="0"/>
      <w:marTop w:val="0"/>
      <w:marBottom w:val="0"/>
      <w:divBdr>
        <w:top w:val="none" w:sz="0" w:space="0" w:color="auto"/>
        <w:left w:val="none" w:sz="0" w:space="0" w:color="auto"/>
        <w:bottom w:val="none" w:sz="0" w:space="0" w:color="auto"/>
        <w:right w:val="none" w:sz="0" w:space="0" w:color="auto"/>
      </w:divBdr>
    </w:div>
    <w:div w:id="1538859740">
      <w:bodyDiv w:val="1"/>
      <w:marLeft w:val="0"/>
      <w:marRight w:val="0"/>
      <w:marTop w:val="0"/>
      <w:marBottom w:val="0"/>
      <w:divBdr>
        <w:top w:val="none" w:sz="0" w:space="0" w:color="auto"/>
        <w:left w:val="none" w:sz="0" w:space="0" w:color="auto"/>
        <w:bottom w:val="none" w:sz="0" w:space="0" w:color="auto"/>
        <w:right w:val="none" w:sz="0" w:space="0" w:color="auto"/>
      </w:divBdr>
    </w:div>
    <w:div w:id="1549730506">
      <w:bodyDiv w:val="1"/>
      <w:marLeft w:val="0"/>
      <w:marRight w:val="0"/>
      <w:marTop w:val="0"/>
      <w:marBottom w:val="0"/>
      <w:divBdr>
        <w:top w:val="none" w:sz="0" w:space="0" w:color="auto"/>
        <w:left w:val="none" w:sz="0" w:space="0" w:color="auto"/>
        <w:bottom w:val="none" w:sz="0" w:space="0" w:color="auto"/>
        <w:right w:val="none" w:sz="0" w:space="0" w:color="auto"/>
      </w:divBdr>
    </w:div>
    <w:div w:id="1554001103">
      <w:bodyDiv w:val="1"/>
      <w:marLeft w:val="0"/>
      <w:marRight w:val="0"/>
      <w:marTop w:val="0"/>
      <w:marBottom w:val="0"/>
      <w:divBdr>
        <w:top w:val="none" w:sz="0" w:space="0" w:color="auto"/>
        <w:left w:val="none" w:sz="0" w:space="0" w:color="auto"/>
        <w:bottom w:val="none" w:sz="0" w:space="0" w:color="auto"/>
        <w:right w:val="none" w:sz="0" w:space="0" w:color="auto"/>
      </w:divBdr>
    </w:div>
    <w:div w:id="1556576183">
      <w:bodyDiv w:val="1"/>
      <w:marLeft w:val="0"/>
      <w:marRight w:val="0"/>
      <w:marTop w:val="0"/>
      <w:marBottom w:val="0"/>
      <w:divBdr>
        <w:top w:val="none" w:sz="0" w:space="0" w:color="auto"/>
        <w:left w:val="none" w:sz="0" w:space="0" w:color="auto"/>
        <w:bottom w:val="none" w:sz="0" w:space="0" w:color="auto"/>
        <w:right w:val="none" w:sz="0" w:space="0" w:color="auto"/>
      </w:divBdr>
    </w:div>
    <w:div w:id="1561356180">
      <w:bodyDiv w:val="1"/>
      <w:marLeft w:val="0"/>
      <w:marRight w:val="0"/>
      <w:marTop w:val="0"/>
      <w:marBottom w:val="0"/>
      <w:divBdr>
        <w:top w:val="none" w:sz="0" w:space="0" w:color="auto"/>
        <w:left w:val="none" w:sz="0" w:space="0" w:color="auto"/>
        <w:bottom w:val="none" w:sz="0" w:space="0" w:color="auto"/>
        <w:right w:val="none" w:sz="0" w:space="0" w:color="auto"/>
      </w:divBdr>
    </w:div>
    <w:div w:id="1572503184">
      <w:bodyDiv w:val="1"/>
      <w:marLeft w:val="0"/>
      <w:marRight w:val="0"/>
      <w:marTop w:val="0"/>
      <w:marBottom w:val="0"/>
      <w:divBdr>
        <w:top w:val="none" w:sz="0" w:space="0" w:color="auto"/>
        <w:left w:val="none" w:sz="0" w:space="0" w:color="auto"/>
        <w:bottom w:val="none" w:sz="0" w:space="0" w:color="auto"/>
        <w:right w:val="none" w:sz="0" w:space="0" w:color="auto"/>
      </w:divBdr>
    </w:div>
    <w:div w:id="1583565516">
      <w:bodyDiv w:val="1"/>
      <w:marLeft w:val="0"/>
      <w:marRight w:val="0"/>
      <w:marTop w:val="0"/>
      <w:marBottom w:val="0"/>
      <w:divBdr>
        <w:top w:val="none" w:sz="0" w:space="0" w:color="auto"/>
        <w:left w:val="none" w:sz="0" w:space="0" w:color="auto"/>
        <w:bottom w:val="none" w:sz="0" w:space="0" w:color="auto"/>
        <w:right w:val="none" w:sz="0" w:space="0" w:color="auto"/>
      </w:divBdr>
    </w:div>
    <w:div w:id="1586187897">
      <w:bodyDiv w:val="1"/>
      <w:marLeft w:val="0"/>
      <w:marRight w:val="0"/>
      <w:marTop w:val="0"/>
      <w:marBottom w:val="0"/>
      <w:divBdr>
        <w:top w:val="none" w:sz="0" w:space="0" w:color="auto"/>
        <w:left w:val="none" w:sz="0" w:space="0" w:color="auto"/>
        <w:bottom w:val="none" w:sz="0" w:space="0" w:color="auto"/>
        <w:right w:val="none" w:sz="0" w:space="0" w:color="auto"/>
      </w:divBdr>
    </w:div>
    <w:div w:id="1594318521">
      <w:bodyDiv w:val="1"/>
      <w:marLeft w:val="0"/>
      <w:marRight w:val="0"/>
      <w:marTop w:val="0"/>
      <w:marBottom w:val="0"/>
      <w:divBdr>
        <w:top w:val="none" w:sz="0" w:space="0" w:color="auto"/>
        <w:left w:val="none" w:sz="0" w:space="0" w:color="auto"/>
        <w:bottom w:val="none" w:sz="0" w:space="0" w:color="auto"/>
        <w:right w:val="none" w:sz="0" w:space="0" w:color="auto"/>
      </w:divBdr>
    </w:div>
    <w:div w:id="1604798913">
      <w:bodyDiv w:val="1"/>
      <w:marLeft w:val="0"/>
      <w:marRight w:val="0"/>
      <w:marTop w:val="0"/>
      <w:marBottom w:val="0"/>
      <w:divBdr>
        <w:top w:val="none" w:sz="0" w:space="0" w:color="auto"/>
        <w:left w:val="none" w:sz="0" w:space="0" w:color="auto"/>
        <w:bottom w:val="none" w:sz="0" w:space="0" w:color="auto"/>
        <w:right w:val="none" w:sz="0" w:space="0" w:color="auto"/>
      </w:divBdr>
    </w:div>
    <w:div w:id="1639533003">
      <w:bodyDiv w:val="1"/>
      <w:marLeft w:val="0"/>
      <w:marRight w:val="0"/>
      <w:marTop w:val="0"/>
      <w:marBottom w:val="0"/>
      <w:divBdr>
        <w:top w:val="none" w:sz="0" w:space="0" w:color="auto"/>
        <w:left w:val="none" w:sz="0" w:space="0" w:color="auto"/>
        <w:bottom w:val="none" w:sz="0" w:space="0" w:color="auto"/>
        <w:right w:val="none" w:sz="0" w:space="0" w:color="auto"/>
      </w:divBdr>
    </w:div>
    <w:div w:id="1644583660">
      <w:bodyDiv w:val="1"/>
      <w:marLeft w:val="0"/>
      <w:marRight w:val="0"/>
      <w:marTop w:val="0"/>
      <w:marBottom w:val="0"/>
      <w:divBdr>
        <w:top w:val="none" w:sz="0" w:space="0" w:color="auto"/>
        <w:left w:val="none" w:sz="0" w:space="0" w:color="auto"/>
        <w:bottom w:val="none" w:sz="0" w:space="0" w:color="auto"/>
        <w:right w:val="none" w:sz="0" w:space="0" w:color="auto"/>
      </w:divBdr>
    </w:div>
    <w:div w:id="1663654387">
      <w:bodyDiv w:val="1"/>
      <w:marLeft w:val="0"/>
      <w:marRight w:val="0"/>
      <w:marTop w:val="0"/>
      <w:marBottom w:val="0"/>
      <w:divBdr>
        <w:top w:val="none" w:sz="0" w:space="0" w:color="auto"/>
        <w:left w:val="none" w:sz="0" w:space="0" w:color="auto"/>
        <w:bottom w:val="none" w:sz="0" w:space="0" w:color="auto"/>
        <w:right w:val="none" w:sz="0" w:space="0" w:color="auto"/>
      </w:divBdr>
    </w:div>
    <w:div w:id="1683778378">
      <w:bodyDiv w:val="1"/>
      <w:marLeft w:val="0"/>
      <w:marRight w:val="0"/>
      <w:marTop w:val="0"/>
      <w:marBottom w:val="0"/>
      <w:divBdr>
        <w:top w:val="none" w:sz="0" w:space="0" w:color="auto"/>
        <w:left w:val="none" w:sz="0" w:space="0" w:color="auto"/>
        <w:bottom w:val="none" w:sz="0" w:space="0" w:color="auto"/>
        <w:right w:val="none" w:sz="0" w:space="0" w:color="auto"/>
      </w:divBdr>
    </w:div>
    <w:div w:id="1703554763">
      <w:bodyDiv w:val="1"/>
      <w:marLeft w:val="0"/>
      <w:marRight w:val="0"/>
      <w:marTop w:val="0"/>
      <w:marBottom w:val="0"/>
      <w:divBdr>
        <w:top w:val="none" w:sz="0" w:space="0" w:color="auto"/>
        <w:left w:val="none" w:sz="0" w:space="0" w:color="auto"/>
        <w:bottom w:val="none" w:sz="0" w:space="0" w:color="auto"/>
        <w:right w:val="none" w:sz="0" w:space="0" w:color="auto"/>
      </w:divBdr>
    </w:div>
    <w:div w:id="1705328565">
      <w:bodyDiv w:val="1"/>
      <w:marLeft w:val="0"/>
      <w:marRight w:val="0"/>
      <w:marTop w:val="0"/>
      <w:marBottom w:val="0"/>
      <w:divBdr>
        <w:top w:val="none" w:sz="0" w:space="0" w:color="auto"/>
        <w:left w:val="none" w:sz="0" w:space="0" w:color="auto"/>
        <w:bottom w:val="none" w:sz="0" w:space="0" w:color="auto"/>
        <w:right w:val="none" w:sz="0" w:space="0" w:color="auto"/>
      </w:divBdr>
    </w:div>
    <w:div w:id="1705398788">
      <w:bodyDiv w:val="1"/>
      <w:marLeft w:val="0"/>
      <w:marRight w:val="0"/>
      <w:marTop w:val="0"/>
      <w:marBottom w:val="0"/>
      <w:divBdr>
        <w:top w:val="none" w:sz="0" w:space="0" w:color="auto"/>
        <w:left w:val="none" w:sz="0" w:space="0" w:color="auto"/>
        <w:bottom w:val="none" w:sz="0" w:space="0" w:color="auto"/>
        <w:right w:val="none" w:sz="0" w:space="0" w:color="auto"/>
      </w:divBdr>
    </w:div>
    <w:div w:id="1721321736">
      <w:bodyDiv w:val="1"/>
      <w:marLeft w:val="0"/>
      <w:marRight w:val="0"/>
      <w:marTop w:val="0"/>
      <w:marBottom w:val="0"/>
      <w:divBdr>
        <w:top w:val="none" w:sz="0" w:space="0" w:color="auto"/>
        <w:left w:val="none" w:sz="0" w:space="0" w:color="auto"/>
        <w:bottom w:val="none" w:sz="0" w:space="0" w:color="auto"/>
        <w:right w:val="none" w:sz="0" w:space="0" w:color="auto"/>
      </w:divBdr>
    </w:div>
    <w:div w:id="1739546711">
      <w:bodyDiv w:val="1"/>
      <w:marLeft w:val="0"/>
      <w:marRight w:val="0"/>
      <w:marTop w:val="0"/>
      <w:marBottom w:val="0"/>
      <w:divBdr>
        <w:top w:val="none" w:sz="0" w:space="0" w:color="auto"/>
        <w:left w:val="none" w:sz="0" w:space="0" w:color="auto"/>
        <w:bottom w:val="none" w:sz="0" w:space="0" w:color="auto"/>
        <w:right w:val="none" w:sz="0" w:space="0" w:color="auto"/>
      </w:divBdr>
    </w:div>
    <w:div w:id="1749964743">
      <w:bodyDiv w:val="1"/>
      <w:marLeft w:val="0"/>
      <w:marRight w:val="0"/>
      <w:marTop w:val="0"/>
      <w:marBottom w:val="0"/>
      <w:divBdr>
        <w:top w:val="none" w:sz="0" w:space="0" w:color="auto"/>
        <w:left w:val="none" w:sz="0" w:space="0" w:color="auto"/>
        <w:bottom w:val="none" w:sz="0" w:space="0" w:color="auto"/>
        <w:right w:val="none" w:sz="0" w:space="0" w:color="auto"/>
      </w:divBdr>
    </w:div>
    <w:div w:id="1750999138">
      <w:bodyDiv w:val="1"/>
      <w:marLeft w:val="0"/>
      <w:marRight w:val="0"/>
      <w:marTop w:val="0"/>
      <w:marBottom w:val="0"/>
      <w:divBdr>
        <w:top w:val="none" w:sz="0" w:space="0" w:color="auto"/>
        <w:left w:val="none" w:sz="0" w:space="0" w:color="auto"/>
        <w:bottom w:val="none" w:sz="0" w:space="0" w:color="auto"/>
        <w:right w:val="none" w:sz="0" w:space="0" w:color="auto"/>
      </w:divBdr>
    </w:div>
    <w:div w:id="1752659251">
      <w:bodyDiv w:val="1"/>
      <w:marLeft w:val="0"/>
      <w:marRight w:val="0"/>
      <w:marTop w:val="0"/>
      <w:marBottom w:val="0"/>
      <w:divBdr>
        <w:top w:val="none" w:sz="0" w:space="0" w:color="auto"/>
        <w:left w:val="none" w:sz="0" w:space="0" w:color="auto"/>
        <w:bottom w:val="none" w:sz="0" w:space="0" w:color="auto"/>
        <w:right w:val="none" w:sz="0" w:space="0" w:color="auto"/>
      </w:divBdr>
    </w:div>
    <w:div w:id="1756437125">
      <w:bodyDiv w:val="1"/>
      <w:marLeft w:val="0"/>
      <w:marRight w:val="0"/>
      <w:marTop w:val="0"/>
      <w:marBottom w:val="0"/>
      <w:divBdr>
        <w:top w:val="none" w:sz="0" w:space="0" w:color="auto"/>
        <w:left w:val="none" w:sz="0" w:space="0" w:color="auto"/>
        <w:bottom w:val="none" w:sz="0" w:space="0" w:color="auto"/>
        <w:right w:val="none" w:sz="0" w:space="0" w:color="auto"/>
      </w:divBdr>
    </w:div>
    <w:div w:id="1757822418">
      <w:bodyDiv w:val="1"/>
      <w:marLeft w:val="0"/>
      <w:marRight w:val="0"/>
      <w:marTop w:val="0"/>
      <w:marBottom w:val="0"/>
      <w:divBdr>
        <w:top w:val="none" w:sz="0" w:space="0" w:color="auto"/>
        <w:left w:val="none" w:sz="0" w:space="0" w:color="auto"/>
        <w:bottom w:val="none" w:sz="0" w:space="0" w:color="auto"/>
        <w:right w:val="none" w:sz="0" w:space="0" w:color="auto"/>
      </w:divBdr>
    </w:div>
    <w:div w:id="1776749692">
      <w:bodyDiv w:val="1"/>
      <w:marLeft w:val="0"/>
      <w:marRight w:val="0"/>
      <w:marTop w:val="0"/>
      <w:marBottom w:val="0"/>
      <w:divBdr>
        <w:top w:val="none" w:sz="0" w:space="0" w:color="auto"/>
        <w:left w:val="none" w:sz="0" w:space="0" w:color="auto"/>
        <w:bottom w:val="none" w:sz="0" w:space="0" w:color="auto"/>
        <w:right w:val="none" w:sz="0" w:space="0" w:color="auto"/>
      </w:divBdr>
    </w:div>
    <w:div w:id="1780829333">
      <w:bodyDiv w:val="1"/>
      <w:marLeft w:val="0"/>
      <w:marRight w:val="0"/>
      <w:marTop w:val="0"/>
      <w:marBottom w:val="0"/>
      <w:divBdr>
        <w:top w:val="none" w:sz="0" w:space="0" w:color="auto"/>
        <w:left w:val="none" w:sz="0" w:space="0" w:color="auto"/>
        <w:bottom w:val="none" w:sz="0" w:space="0" w:color="auto"/>
        <w:right w:val="none" w:sz="0" w:space="0" w:color="auto"/>
      </w:divBdr>
    </w:div>
    <w:div w:id="1829247446">
      <w:bodyDiv w:val="1"/>
      <w:marLeft w:val="0"/>
      <w:marRight w:val="0"/>
      <w:marTop w:val="0"/>
      <w:marBottom w:val="0"/>
      <w:divBdr>
        <w:top w:val="none" w:sz="0" w:space="0" w:color="auto"/>
        <w:left w:val="none" w:sz="0" w:space="0" w:color="auto"/>
        <w:bottom w:val="none" w:sz="0" w:space="0" w:color="auto"/>
        <w:right w:val="none" w:sz="0" w:space="0" w:color="auto"/>
      </w:divBdr>
    </w:div>
    <w:div w:id="1839731846">
      <w:bodyDiv w:val="1"/>
      <w:marLeft w:val="0"/>
      <w:marRight w:val="0"/>
      <w:marTop w:val="0"/>
      <w:marBottom w:val="0"/>
      <w:divBdr>
        <w:top w:val="none" w:sz="0" w:space="0" w:color="auto"/>
        <w:left w:val="none" w:sz="0" w:space="0" w:color="auto"/>
        <w:bottom w:val="none" w:sz="0" w:space="0" w:color="auto"/>
        <w:right w:val="none" w:sz="0" w:space="0" w:color="auto"/>
      </w:divBdr>
    </w:div>
    <w:div w:id="1846049363">
      <w:bodyDiv w:val="1"/>
      <w:marLeft w:val="0"/>
      <w:marRight w:val="0"/>
      <w:marTop w:val="0"/>
      <w:marBottom w:val="0"/>
      <w:divBdr>
        <w:top w:val="none" w:sz="0" w:space="0" w:color="auto"/>
        <w:left w:val="none" w:sz="0" w:space="0" w:color="auto"/>
        <w:bottom w:val="none" w:sz="0" w:space="0" w:color="auto"/>
        <w:right w:val="none" w:sz="0" w:space="0" w:color="auto"/>
      </w:divBdr>
    </w:div>
    <w:div w:id="1849297262">
      <w:bodyDiv w:val="1"/>
      <w:marLeft w:val="0"/>
      <w:marRight w:val="0"/>
      <w:marTop w:val="0"/>
      <w:marBottom w:val="0"/>
      <w:divBdr>
        <w:top w:val="none" w:sz="0" w:space="0" w:color="auto"/>
        <w:left w:val="none" w:sz="0" w:space="0" w:color="auto"/>
        <w:bottom w:val="none" w:sz="0" w:space="0" w:color="auto"/>
        <w:right w:val="none" w:sz="0" w:space="0" w:color="auto"/>
      </w:divBdr>
    </w:div>
    <w:div w:id="1881433646">
      <w:bodyDiv w:val="1"/>
      <w:marLeft w:val="0"/>
      <w:marRight w:val="0"/>
      <w:marTop w:val="0"/>
      <w:marBottom w:val="0"/>
      <w:divBdr>
        <w:top w:val="none" w:sz="0" w:space="0" w:color="auto"/>
        <w:left w:val="none" w:sz="0" w:space="0" w:color="auto"/>
        <w:bottom w:val="none" w:sz="0" w:space="0" w:color="auto"/>
        <w:right w:val="none" w:sz="0" w:space="0" w:color="auto"/>
      </w:divBdr>
    </w:div>
    <w:div w:id="1893736185">
      <w:bodyDiv w:val="1"/>
      <w:marLeft w:val="0"/>
      <w:marRight w:val="0"/>
      <w:marTop w:val="0"/>
      <w:marBottom w:val="0"/>
      <w:divBdr>
        <w:top w:val="none" w:sz="0" w:space="0" w:color="auto"/>
        <w:left w:val="none" w:sz="0" w:space="0" w:color="auto"/>
        <w:bottom w:val="none" w:sz="0" w:space="0" w:color="auto"/>
        <w:right w:val="none" w:sz="0" w:space="0" w:color="auto"/>
      </w:divBdr>
    </w:div>
    <w:div w:id="1896506361">
      <w:bodyDiv w:val="1"/>
      <w:marLeft w:val="0"/>
      <w:marRight w:val="0"/>
      <w:marTop w:val="0"/>
      <w:marBottom w:val="0"/>
      <w:divBdr>
        <w:top w:val="none" w:sz="0" w:space="0" w:color="auto"/>
        <w:left w:val="none" w:sz="0" w:space="0" w:color="auto"/>
        <w:bottom w:val="none" w:sz="0" w:space="0" w:color="auto"/>
        <w:right w:val="none" w:sz="0" w:space="0" w:color="auto"/>
      </w:divBdr>
    </w:div>
    <w:div w:id="1898784622">
      <w:bodyDiv w:val="1"/>
      <w:marLeft w:val="0"/>
      <w:marRight w:val="0"/>
      <w:marTop w:val="0"/>
      <w:marBottom w:val="0"/>
      <w:divBdr>
        <w:top w:val="none" w:sz="0" w:space="0" w:color="auto"/>
        <w:left w:val="none" w:sz="0" w:space="0" w:color="auto"/>
        <w:bottom w:val="none" w:sz="0" w:space="0" w:color="auto"/>
        <w:right w:val="none" w:sz="0" w:space="0" w:color="auto"/>
      </w:divBdr>
    </w:div>
    <w:div w:id="1898973521">
      <w:bodyDiv w:val="1"/>
      <w:marLeft w:val="0"/>
      <w:marRight w:val="0"/>
      <w:marTop w:val="0"/>
      <w:marBottom w:val="0"/>
      <w:divBdr>
        <w:top w:val="none" w:sz="0" w:space="0" w:color="auto"/>
        <w:left w:val="none" w:sz="0" w:space="0" w:color="auto"/>
        <w:bottom w:val="none" w:sz="0" w:space="0" w:color="auto"/>
        <w:right w:val="none" w:sz="0" w:space="0" w:color="auto"/>
      </w:divBdr>
    </w:div>
    <w:div w:id="1904019981">
      <w:bodyDiv w:val="1"/>
      <w:marLeft w:val="0"/>
      <w:marRight w:val="0"/>
      <w:marTop w:val="0"/>
      <w:marBottom w:val="0"/>
      <w:divBdr>
        <w:top w:val="none" w:sz="0" w:space="0" w:color="auto"/>
        <w:left w:val="none" w:sz="0" w:space="0" w:color="auto"/>
        <w:bottom w:val="none" w:sz="0" w:space="0" w:color="auto"/>
        <w:right w:val="none" w:sz="0" w:space="0" w:color="auto"/>
      </w:divBdr>
    </w:div>
    <w:div w:id="1913351895">
      <w:bodyDiv w:val="1"/>
      <w:marLeft w:val="0"/>
      <w:marRight w:val="0"/>
      <w:marTop w:val="0"/>
      <w:marBottom w:val="0"/>
      <w:divBdr>
        <w:top w:val="none" w:sz="0" w:space="0" w:color="auto"/>
        <w:left w:val="none" w:sz="0" w:space="0" w:color="auto"/>
        <w:bottom w:val="none" w:sz="0" w:space="0" w:color="auto"/>
        <w:right w:val="none" w:sz="0" w:space="0" w:color="auto"/>
      </w:divBdr>
    </w:div>
    <w:div w:id="1919291981">
      <w:bodyDiv w:val="1"/>
      <w:marLeft w:val="0"/>
      <w:marRight w:val="0"/>
      <w:marTop w:val="0"/>
      <w:marBottom w:val="0"/>
      <w:divBdr>
        <w:top w:val="none" w:sz="0" w:space="0" w:color="auto"/>
        <w:left w:val="none" w:sz="0" w:space="0" w:color="auto"/>
        <w:bottom w:val="none" w:sz="0" w:space="0" w:color="auto"/>
        <w:right w:val="none" w:sz="0" w:space="0" w:color="auto"/>
      </w:divBdr>
    </w:div>
    <w:div w:id="1924877845">
      <w:bodyDiv w:val="1"/>
      <w:marLeft w:val="0"/>
      <w:marRight w:val="0"/>
      <w:marTop w:val="0"/>
      <w:marBottom w:val="0"/>
      <w:divBdr>
        <w:top w:val="none" w:sz="0" w:space="0" w:color="auto"/>
        <w:left w:val="none" w:sz="0" w:space="0" w:color="auto"/>
        <w:bottom w:val="none" w:sz="0" w:space="0" w:color="auto"/>
        <w:right w:val="none" w:sz="0" w:space="0" w:color="auto"/>
      </w:divBdr>
    </w:div>
    <w:div w:id="1945531458">
      <w:bodyDiv w:val="1"/>
      <w:marLeft w:val="0"/>
      <w:marRight w:val="0"/>
      <w:marTop w:val="0"/>
      <w:marBottom w:val="0"/>
      <w:divBdr>
        <w:top w:val="none" w:sz="0" w:space="0" w:color="auto"/>
        <w:left w:val="none" w:sz="0" w:space="0" w:color="auto"/>
        <w:bottom w:val="none" w:sz="0" w:space="0" w:color="auto"/>
        <w:right w:val="none" w:sz="0" w:space="0" w:color="auto"/>
      </w:divBdr>
    </w:div>
    <w:div w:id="1963029531">
      <w:bodyDiv w:val="1"/>
      <w:marLeft w:val="0"/>
      <w:marRight w:val="0"/>
      <w:marTop w:val="0"/>
      <w:marBottom w:val="0"/>
      <w:divBdr>
        <w:top w:val="none" w:sz="0" w:space="0" w:color="auto"/>
        <w:left w:val="none" w:sz="0" w:space="0" w:color="auto"/>
        <w:bottom w:val="none" w:sz="0" w:space="0" w:color="auto"/>
        <w:right w:val="none" w:sz="0" w:space="0" w:color="auto"/>
      </w:divBdr>
    </w:div>
    <w:div w:id="1979065735">
      <w:bodyDiv w:val="1"/>
      <w:marLeft w:val="0"/>
      <w:marRight w:val="0"/>
      <w:marTop w:val="0"/>
      <w:marBottom w:val="0"/>
      <w:divBdr>
        <w:top w:val="none" w:sz="0" w:space="0" w:color="auto"/>
        <w:left w:val="none" w:sz="0" w:space="0" w:color="auto"/>
        <w:bottom w:val="none" w:sz="0" w:space="0" w:color="auto"/>
        <w:right w:val="none" w:sz="0" w:space="0" w:color="auto"/>
      </w:divBdr>
    </w:div>
    <w:div w:id="1982538338">
      <w:bodyDiv w:val="1"/>
      <w:marLeft w:val="0"/>
      <w:marRight w:val="0"/>
      <w:marTop w:val="0"/>
      <w:marBottom w:val="0"/>
      <w:divBdr>
        <w:top w:val="none" w:sz="0" w:space="0" w:color="auto"/>
        <w:left w:val="none" w:sz="0" w:space="0" w:color="auto"/>
        <w:bottom w:val="none" w:sz="0" w:space="0" w:color="auto"/>
        <w:right w:val="none" w:sz="0" w:space="0" w:color="auto"/>
      </w:divBdr>
    </w:div>
    <w:div w:id="1984654077">
      <w:bodyDiv w:val="1"/>
      <w:marLeft w:val="0"/>
      <w:marRight w:val="0"/>
      <w:marTop w:val="0"/>
      <w:marBottom w:val="0"/>
      <w:divBdr>
        <w:top w:val="none" w:sz="0" w:space="0" w:color="auto"/>
        <w:left w:val="none" w:sz="0" w:space="0" w:color="auto"/>
        <w:bottom w:val="none" w:sz="0" w:space="0" w:color="auto"/>
        <w:right w:val="none" w:sz="0" w:space="0" w:color="auto"/>
      </w:divBdr>
    </w:div>
    <w:div w:id="1988240482">
      <w:bodyDiv w:val="1"/>
      <w:marLeft w:val="0"/>
      <w:marRight w:val="0"/>
      <w:marTop w:val="0"/>
      <w:marBottom w:val="0"/>
      <w:divBdr>
        <w:top w:val="none" w:sz="0" w:space="0" w:color="auto"/>
        <w:left w:val="none" w:sz="0" w:space="0" w:color="auto"/>
        <w:bottom w:val="none" w:sz="0" w:space="0" w:color="auto"/>
        <w:right w:val="none" w:sz="0" w:space="0" w:color="auto"/>
      </w:divBdr>
    </w:div>
    <w:div w:id="1992784279">
      <w:bodyDiv w:val="1"/>
      <w:marLeft w:val="0"/>
      <w:marRight w:val="0"/>
      <w:marTop w:val="0"/>
      <w:marBottom w:val="0"/>
      <w:divBdr>
        <w:top w:val="none" w:sz="0" w:space="0" w:color="auto"/>
        <w:left w:val="none" w:sz="0" w:space="0" w:color="auto"/>
        <w:bottom w:val="none" w:sz="0" w:space="0" w:color="auto"/>
        <w:right w:val="none" w:sz="0" w:space="0" w:color="auto"/>
      </w:divBdr>
    </w:div>
    <w:div w:id="2011718429">
      <w:bodyDiv w:val="1"/>
      <w:marLeft w:val="0"/>
      <w:marRight w:val="0"/>
      <w:marTop w:val="0"/>
      <w:marBottom w:val="0"/>
      <w:divBdr>
        <w:top w:val="none" w:sz="0" w:space="0" w:color="auto"/>
        <w:left w:val="none" w:sz="0" w:space="0" w:color="auto"/>
        <w:bottom w:val="none" w:sz="0" w:space="0" w:color="auto"/>
        <w:right w:val="none" w:sz="0" w:space="0" w:color="auto"/>
      </w:divBdr>
    </w:div>
    <w:div w:id="2014722187">
      <w:bodyDiv w:val="1"/>
      <w:marLeft w:val="0"/>
      <w:marRight w:val="0"/>
      <w:marTop w:val="0"/>
      <w:marBottom w:val="0"/>
      <w:divBdr>
        <w:top w:val="none" w:sz="0" w:space="0" w:color="auto"/>
        <w:left w:val="none" w:sz="0" w:space="0" w:color="auto"/>
        <w:bottom w:val="none" w:sz="0" w:space="0" w:color="auto"/>
        <w:right w:val="none" w:sz="0" w:space="0" w:color="auto"/>
      </w:divBdr>
    </w:div>
    <w:div w:id="2019113312">
      <w:bodyDiv w:val="1"/>
      <w:marLeft w:val="0"/>
      <w:marRight w:val="0"/>
      <w:marTop w:val="0"/>
      <w:marBottom w:val="0"/>
      <w:divBdr>
        <w:top w:val="none" w:sz="0" w:space="0" w:color="auto"/>
        <w:left w:val="none" w:sz="0" w:space="0" w:color="auto"/>
        <w:bottom w:val="none" w:sz="0" w:space="0" w:color="auto"/>
        <w:right w:val="none" w:sz="0" w:space="0" w:color="auto"/>
      </w:divBdr>
    </w:div>
    <w:div w:id="2026246573">
      <w:bodyDiv w:val="1"/>
      <w:marLeft w:val="0"/>
      <w:marRight w:val="0"/>
      <w:marTop w:val="0"/>
      <w:marBottom w:val="0"/>
      <w:divBdr>
        <w:top w:val="none" w:sz="0" w:space="0" w:color="auto"/>
        <w:left w:val="none" w:sz="0" w:space="0" w:color="auto"/>
        <w:bottom w:val="none" w:sz="0" w:space="0" w:color="auto"/>
        <w:right w:val="none" w:sz="0" w:space="0" w:color="auto"/>
      </w:divBdr>
    </w:div>
    <w:div w:id="2030837400">
      <w:bodyDiv w:val="1"/>
      <w:marLeft w:val="0"/>
      <w:marRight w:val="0"/>
      <w:marTop w:val="0"/>
      <w:marBottom w:val="0"/>
      <w:divBdr>
        <w:top w:val="none" w:sz="0" w:space="0" w:color="auto"/>
        <w:left w:val="none" w:sz="0" w:space="0" w:color="auto"/>
        <w:bottom w:val="none" w:sz="0" w:space="0" w:color="auto"/>
        <w:right w:val="none" w:sz="0" w:space="0" w:color="auto"/>
      </w:divBdr>
    </w:div>
    <w:div w:id="2038698468">
      <w:bodyDiv w:val="1"/>
      <w:marLeft w:val="0"/>
      <w:marRight w:val="0"/>
      <w:marTop w:val="0"/>
      <w:marBottom w:val="0"/>
      <w:divBdr>
        <w:top w:val="none" w:sz="0" w:space="0" w:color="auto"/>
        <w:left w:val="none" w:sz="0" w:space="0" w:color="auto"/>
        <w:bottom w:val="none" w:sz="0" w:space="0" w:color="auto"/>
        <w:right w:val="none" w:sz="0" w:space="0" w:color="auto"/>
      </w:divBdr>
    </w:div>
    <w:div w:id="2045405828">
      <w:bodyDiv w:val="1"/>
      <w:marLeft w:val="0"/>
      <w:marRight w:val="0"/>
      <w:marTop w:val="0"/>
      <w:marBottom w:val="0"/>
      <w:divBdr>
        <w:top w:val="none" w:sz="0" w:space="0" w:color="auto"/>
        <w:left w:val="none" w:sz="0" w:space="0" w:color="auto"/>
        <w:bottom w:val="none" w:sz="0" w:space="0" w:color="auto"/>
        <w:right w:val="none" w:sz="0" w:space="0" w:color="auto"/>
      </w:divBdr>
    </w:div>
    <w:div w:id="2050639763">
      <w:bodyDiv w:val="1"/>
      <w:marLeft w:val="0"/>
      <w:marRight w:val="0"/>
      <w:marTop w:val="0"/>
      <w:marBottom w:val="0"/>
      <w:divBdr>
        <w:top w:val="none" w:sz="0" w:space="0" w:color="auto"/>
        <w:left w:val="none" w:sz="0" w:space="0" w:color="auto"/>
        <w:bottom w:val="none" w:sz="0" w:space="0" w:color="auto"/>
        <w:right w:val="none" w:sz="0" w:space="0" w:color="auto"/>
      </w:divBdr>
    </w:div>
    <w:div w:id="2052728840">
      <w:bodyDiv w:val="1"/>
      <w:marLeft w:val="0"/>
      <w:marRight w:val="0"/>
      <w:marTop w:val="0"/>
      <w:marBottom w:val="0"/>
      <w:divBdr>
        <w:top w:val="none" w:sz="0" w:space="0" w:color="auto"/>
        <w:left w:val="none" w:sz="0" w:space="0" w:color="auto"/>
        <w:bottom w:val="none" w:sz="0" w:space="0" w:color="auto"/>
        <w:right w:val="none" w:sz="0" w:space="0" w:color="auto"/>
      </w:divBdr>
    </w:div>
    <w:div w:id="2053573882">
      <w:bodyDiv w:val="1"/>
      <w:marLeft w:val="0"/>
      <w:marRight w:val="0"/>
      <w:marTop w:val="0"/>
      <w:marBottom w:val="0"/>
      <w:divBdr>
        <w:top w:val="none" w:sz="0" w:space="0" w:color="auto"/>
        <w:left w:val="none" w:sz="0" w:space="0" w:color="auto"/>
        <w:bottom w:val="none" w:sz="0" w:space="0" w:color="auto"/>
        <w:right w:val="none" w:sz="0" w:space="0" w:color="auto"/>
      </w:divBdr>
    </w:div>
    <w:div w:id="2054843642">
      <w:bodyDiv w:val="1"/>
      <w:marLeft w:val="0"/>
      <w:marRight w:val="0"/>
      <w:marTop w:val="0"/>
      <w:marBottom w:val="0"/>
      <w:divBdr>
        <w:top w:val="none" w:sz="0" w:space="0" w:color="auto"/>
        <w:left w:val="none" w:sz="0" w:space="0" w:color="auto"/>
        <w:bottom w:val="none" w:sz="0" w:space="0" w:color="auto"/>
        <w:right w:val="none" w:sz="0" w:space="0" w:color="auto"/>
      </w:divBdr>
    </w:div>
    <w:div w:id="2084327873">
      <w:bodyDiv w:val="1"/>
      <w:marLeft w:val="0"/>
      <w:marRight w:val="0"/>
      <w:marTop w:val="0"/>
      <w:marBottom w:val="0"/>
      <w:divBdr>
        <w:top w:val="none" w:sz="0" w:space="0" w:color="auto"/>
        <w:left w:val="none" w:sz="0" w:space="0" w:color="auto"/>
        <w:bottom w:val="none" w:sz="0" w:space="0" w:color="auto"/>
        <w:right w:val="none" w:sz="0" w:space="0" w:color="auto"/>
      </w:divBdr>
    </w:div>
    <w:div w:id="2086683136">
      <w:bodyDiv w:val="1"/>
      <w:marLeft w:val="0"/>
      <w:marRight w:val="0"/>
      <w:marTop w:val="0"/>
      <w:marBottom w:val="0"/>
      <w:divBdr>
        <w:top w:val="none" w:sz="0" w:space="0" w:color="auto"/>
        <w:left w:val="none" w:sz="0" w:space="0" w:color="auto"/>
        <w:bottom w:val="none" w:sz="0" w:space="0" w:color="auto"/>
        <w:right w:val="none" w:sz="0" w:space="0" w:color="auto"/>
      </w:divBdr>
    </w:div>
    <w:div w:id="2125686874">
      <w:bodyDiv w:val="1"/>
      <w:marLeft w:val="0"/>
      <w:marRight w:val="0"/>
      <w:marTop w:val="0"/>
      <w:marBottom w:val="0"/>
      <w:divBdr>
        <w:top w:val="none" w:sz="0" w:space="0" w:color="auto"/>
        <w:left w:val="none" w:sz="0" w:space="0" w:color="auto"/>
        <w:bottom w:val="none" w:sz="0" w:space="0" w:color="auto"/>
        <w:right w:val="none" w:sz="0" w:space="0" w:color="auto"/>
      </w:divBdr>
    </w:div>
    <w:div w:id="2126776299">
      <w:bodyDiv w:val="1"/>
      <w:marLeft w:val="0"/>
      <w:marRight w:val="0"/>
      <w:marTop w:val="0"/>
      <w:marBottom w:val="0"/>
      <w:divBdr>
        <w:top w:val="none" w:sz="0" w:space="0" w:color="auto"/>
        <w:left w:val="none" w:sz="0" w:space="0" w:color="auto"/>
        <w:bottom w:val="none" w:sz="0" w:space="0" w:color="auto"/>
        <w:right w:val="none" w:sz="0" w:space="0" w:color="auto"/>
      </w:divBdr>
    </w:div>
    <w:div w:id="2136674124">
      <w:bodyDiv w:val="1"/>
      <w:marLeft w:val="0"/>
      <w:marRight w:val="0"/>
      <w:marTop w:val="0"/>
      <w:marBottom w:val="0"/>
      <w:divBdr>
        <w:top w:val="none" w:sz="0" w:space="0" w:color="auto"/>
        <w:left w:val="none" w:sz="0" w:space="0" w:color="auto"/>
        <w:bottom w:val="none" w:sz="0" w:space="0" w:color="auto"/>
        <w:right w:val="none" w:sz="0" w:space="0" w:color="auto"/>
      </w:divBdr>
    </w:div>
    <w:div w:id="214253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63AE9F-A29D-40F6-9FAF-44D42EAB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169</Pages>
  <Words>19395</Words>
  <Characters>110555</Characters>
  <Application>Microsoft Office Word</Application>
  <DocSecurity>0</DocSecurity>
  <Lines>921</Lines>
  <Paragraphs>259</Paragraphs>
  <ScaleCrop>false</ScaleCrop>
  <Company>易方达基金管理有限公司</Company>
  <LinksUpToDate>false</LinksUpToDate>
  <CharactersWithSpaces>129691</CharactersWithSpaces>
  <SharedDoc>false</SharedDoc>
  <HLinks>
    <vt:vector size="648" baseType="variant">
      <vt:variant>
        <vt:i4>1704044</vt:i4>
      </vt:variant>
      <vt:variant>
        <vt:i4>642</vt:i4>
      </vt:variant>
      <vt:variant>
        <vt:i4>0</vt:i4>
      </vt:variant>
      <vt:variant>
        <vt:i4>5</vt:i4>
      </vt:variant>
      <vt:variant>
        <vt:lpwstr>mailto:service@efunds.com.cn</vt:lpwstr>
      </vt:variant>
      <vt:variant>
        <vt:lpwstr/>
      </vt:variant>
      <vt:variant>
        <vt:i4>6160454</vt:i4>
      </vt:variant>
      <vt:variant>
        <vt:i4>639</vt:i4>
      </vt:variant>
      <vt:variant>
        <vt:i4>0</vt:i4>
      </vt:variant>
      <vt:variant>
        <vt:i4>5</vt:i4>
      </vt:variant>
      <vt:variant>
        <vt:lpwstr>http://www.efunds.com.cn/</vt:lpwstr>
      </vt:variant>
      <vt:variant>
        <vt:lpwstr/>
      </vt:variant>
      <vt:variant>
        <vt:i4>6160454</vt:i4>
      </vt:variant>
      <vt:variant>
        <vt:i4>636</vt:i4>
      </vt:variant>
      <vt:variant>
        <vt:i4>0</vt:i4>
      </vt:variant>
      <vt:variant>
        <vt:i4>5</vt:i4>
      </vt:variant>
      <vt:variant>
        <vt:lpwstr>http://www.efunds.com.cn/</vt:lpwstr>
      </vt:variant>
      <vt:variant>
        <vt:lpwstr/>
      </vt:variant>
      <vt:variant>
        <vt:i4>1769527</vt:i4>
      </vt:variant>
      <vt:variant>
        <vt:i4>626</vt:i4>
      </vt:variant>
      <vt:variant>
        <vt:i4>0</vt:i4>
      </vt:variant>
      <vt:variant>
        <vt:i4>5</vt:i4>
      </vt:variant>
      <vt:variant>
        <vt:lpwstr/>
      </vt:variant>
      <vt:variant>
        <vt:lpwstr>_Toc423099970</vt:lpwstr>
      </vt:variant>
      <vt:variant>
        <vt:i4>1703991</vt:i4>
      </vt:variant>
      <vt:variant>
        <vt:i4>620</vt:i4>
      </vt:variant>
      <vt:variant>
        <vt:i4>0</vt:i4>
      </vt:variant>
      <vt:variant>
        <vt:i4>5</vt:i4>
      </vt:variant>
      <vt:variant>
        <vt:lpwstr/>
      </vt:variant>
      <vt:variant>
        <vt:lpwstr>_Toc423099969</vt:lpwstr>
      </vt:variant>
      <vt:variant>
        <vt:i4>1703991</vt:i4>
      </vt:variant>
      <vt:variant>
        <vt:i4>614</vt:i4>
      </vt:variant>
      <vt:variant>
        <vt:i4>0</vt:i4>
      </vt:variant>
      <vt:variant>
        <vt:i4>5</vt:i4>
      </vt:variant>
      <vt:variant>
        <vt:lpwstr/>
      </vt:variant>
      <vt:variant>
        <vt:lpwstr>_Toc423099968</vt:lpwstr>
      </vt:variant>
      <vt:variant>
        <vt:i4>1703991</vt:i4>
      </vt:variant>
      <vt:variant>
        <vt:i4>608</vt:i4>
      </vt:variant>
      <vt:variant>
        <vt:i4>0</vt:i4>
      </vt:variant>
      <vt:variant>
        <vt:i4>5</vt:i4>
      </vt:variant>
      <vt:variant>
        <vt:lpwstr/>
      </vt:variant>
      <vt:variant>
        <vt:lpwstr>_Toc423099967</vt:lpwstr>
      </vt:variant>
      <vt:variant>
        <vt:i4>1703991</vt:i4>
      </vt:variant>
      <vt:variant>
        <vt:i4>602</vt:i4>
      </vt:variant>
      <vt:variant>
        <vt:i4>0</vt:i4>
      </vt:variant>
      <vt:variant>
        <vt:i4>5</vt:i4>
      </vt:variant>
      <vt:variant>
        <vt:lpwstr/>
      </vt:variant>
      <vt:variant>
        <vt:lpwstr>_Toc423099966</vt:lpwstr>
      </vt:variant>
      <vt:variant>
        <vt:i4>1703991</vt:i4>
      </vt:variant>
      <vt:variant>
        <vt:i4>596</vt:i4>
      </vt:variant>
      <vt:variant>
        <vt:i4>0</vt:i4>
      </vt:variant>
      <vt:variant>
        <vt:i4>5</vt:i4>
      </vt:variant>
      <vt:variant>
        <vt:lpwstr/>
      </vt:variant>
      <vt:variant>
        <vt:lpwstr>_Toc423099965</vt:lpwstr>
      </vt:variant>
      <vt:variant>
        <vt:i4>1703991</vt:i4>
      </vt:variant>
      <vt:variant>
        <vt:i4>590</vt:i4>
      </vt:variant>
      <vt:variant>
        <vt:i4>0</vt:i4>
      </vt:variant>
      <vt:variant>
        <vt:i4>5</vt:i4>
      </vt:variant>
      <vt:variant>
        <vt:lpwstr/>
      </vt:variant>
      <vt:variant>
        <vt:lpwstr>_Toc423099964</vt:lpwstr>
      </vt:variant>
      <vt:variant>
        <vt:i4>1703991</vt:i4>
      </vt:variant>
      <vt:variant>
        <vt:i4>584</vt:i4>
      </vt:variant>
      <vt:variant>
        <vt:i4>0</vt:i4>
      </vt:variant>
      <vt:variant>
        <vt:i4>5</vt:i4>
      </vt:variant>
      <vt:variant>
        <vt:lpwstr/>
      </vt:variant>
      <vt:variant>
        <vt:lpwstr>_Toc423099963</vt:lpwstr>
      </vt:variant>
      <vt:variant>
        <vt:i4>1703991</vt:i4>
      </vt:variant>
      <vt:variant>
        <vt:i4>578</vt:i4>
      </vt:variant>
      <vt:variant>
        <vt:i4>0</vt:i4>
      </vt:variant>
      <vt:variant>
        <vt:i4>5</vt:i4>
      </vt:variant>
      <vt:variant>
        <vt:lpwstr/>
      </vt:variant>
      <vt:variant>
        <vt:lpwstr>_Toc423099962</vt:lpwstr>
      </vt:variant>
      <vt:variant>
        <vt:i4>1703991</vt:i4>
      </vt:variant>
      <vt:variant>
        <vt:i4>572</vt:i4>
      </vt:variant>
      <vt:variant>
        <vt:i4>0</vt:i4>
      </vt:variant>
      <vt:variant>
        <vt:i4>5</vt:i4>
      </vt:variant>
      <vt:variant>
        <vt:lpwstr/>
      </vt:variant>
      <vt:variant>
        <vt:lpwstr>_Toc423099961</vt:lpwstr>
      </vt:variant>
      <vt:variant>
        <vt:i4>1703991</vt:i4>
      </vt:variant>
      <vt:variant>
        <vt:i4>566</vt:i4>
      </vt:variant>
      <vt:variant>
        <vt:i4>0</vt:i4>
      </vt:variant>
      <vt:variant>
        <vt:i4>5</vt:i4>
      </vt:variant>
      <vt:variant>
        <vt:lpwstr/>
      </vt:variant>
      <vt:variant>
        <vt:lpwstr>_Toc423099960</vt:lpwstr>
      </vt:variant>
      <vt:variant>
        <vt:i4>1638455</vt:i4>
      </vt:variant>
      <vt:variant>
        <vt:i4>560</vt:i4>
      </vt:variant>
      <vt:variant>
        <vt:i4>0</vt:i4>
      </vt:variant>
      <vt:variant>
        <vt:i4>5</vt:i4>
      </vt:variant>
      <vt:variant>
        <vt:lpwstr/>
      </vt:variant>
      <vt:variant>
        <vt:lpwstr>_Toc423099959</vt:lpwstr>
      </vt:variant>
      <vt:variant>
        <vt:i4>1638455</vt:i4>
      </vt:variant>
      <vt:variant>
        <vt:i4>554</vt:i4>
      </vt:variant>
      <vt:variant>
        <vt:i4>0</vt:i4>
      </vt:variant>
      <vt:variant>
        <vt:i4>5</vt:i4>
      </vt:variant>
      <vt:variant>
        <vt:lpwstr/>
      </vt:variant>
      <vt:variant>
        <vt:lpwstr>_Toc423099958</vt:lpwstr>
      </vt:variant>
      <vt:variant>
        <vt:i4>1638455</vt:i4>
      </vt:variant>
      <vt:variant>
        <vt:i4>548</vt:i4>
      </vt:variant>
      <vt:variant>
        <vt:i4>0</vt:i4>
      </vt:variant>
      <vt:variant>
        <vt:i4>5</vt:i4>
      </vt:variant>
      <vt:variant>
        <vt:lpwstr/>
      </vt:variant>
      <vt:variant>
        <vt:lpwstr>_Toc423099957</vt:lpwstr>
      </vt:variant>
      <vt:variant>
        <vt:i4>1638455</vt:i4>
      </vt:variant>
      <vt:variant>
        <vt:i4>542</vt:i4>
      </vt:variant>
      <vt:variant>
        <vt:i4>0</vt:i4>
      </vt:variant>
      <vt:variant>
        <vt:i4>5</vt:i4>
      </vt:variant>
      <vt:variant>
        <vt:lpwstr/>
      </vt:variant>
      <vt:variant>
        <vt:lpwstr>_Toc423099956</vt:lpwstr>
      </vt:variant>
      <vt:variant>
        <vt:i4>1638455</vt:i4>
      </vt:variant>
      <vt:variant>
        <vt:i4>536</vt:i4>
      </vt:variant>
      <vt:variant>
        <vt:i4>0</vt:i4>
      </vt:variant>
      <vt:variant>
        <vt:i4>5</vt:i4>
      </vt:variant>
      <vt:variant>
        <vt:lpwstr/>
      </vt:variant>
      <vt:variant>
        <vt:lpwstr>_Toc423099955</vt:lpwstr>
      </vt:variant>
      <vt:variant>
        <vt:i4>1638455</vt:i4>
      </vt:variant>
      <vt:variant>
        <vt:i4>530</vt:i4>
      </vt:variant>
      <vt:variant>
        <vt:i4>0</vt:i4>
      </vt:variant>
      <vt:variant>
        <vt:i4>5</vt:i4>
      </vt:variant>
      <vt:variant>
        <vt:lpwstr/>
      </vt:variant>
      <vt:variant>
        <vt:lpwstr>_Toc423099954</vt:lpwstr>
      </vt:variant>
      <vt:variant>
        <vt:i4>1638455</vt:i4>
      </vt:variant>
      <vt:variant>
        <vt:i4>524</vt:i4>
      </vt:variant>
      <vt:variant>
        <vt:i4>0</vt:i4>
      </vt:variant>
      <vt:variant>
        <vt:i4>5</vt:i4>
      </vt:variant>
      <vt:variant>
        <vt:lpwstr/>
      </vt:variant>
      <vt:variant>
        <vt:lpwstr>_Toc423099953</vt:lpwstr>
      </vt:variant>
      <vt:variant>
        <vt:i4>1638455</vt:i4>
      </vt:variant>
      <vt:variant>
        <vt:i4>518</vt:i4>
      </vt:variant>
      <vt:variant>
        <vt:i4>0</vt:i4>
      </vt:variant>
      <vt:variant>
        <vt:i4>5</vt:i4>
      </vt:variant>
      <vt:variant>
        <vt:lpwstr/>
      </vt:variant>
      <vt:variant>
        <vt:lpwstr>_Toc423099952</vt:lpwstr>
      </vt:variant>
      <vt:variant>
        <vt:i4>1638455</vt:i4>
      </vt:variant>
      <vt:variant>
        <vt:i4>512</vt:i4>
      </vt:variant>
      <vt:variant>
        <vt:i4>0</vt:i4>
      </vt:variant>
      <vt:variant>
        <vt:i4>5</vt:i4>
      </vt:variant>
      <vt:variant>
        <vt:lpwstr/>
      </vt:variant>
      <vt:variant>
        <vt:lpwstr>_Toc423099951</vt:lpwstr>
      </vt:variant>
      <vt:variant>
        <vt:i4>1638455</vt:i4>
      </vt:variant>
      <vt:variant>
        <vt:i4>506</vt:i4>
      </vt:variant>
      <vt:variant>
        <vt:i4>0</vt:i4>
      </vt:variant>
      <vt:variant>
        <vt:i4>5</vt:i4>
      </vt:variant>
      <vt:variant>
        <vt:lpwstr/>
      </vt:variant>
      <vt:variant>
        <vt:lpwstr>_Toc423099950</vt:lpwstr>
      </vt:variant>
      <vt:variant>
        <vt:i4>1572919</vt:i4>
      </vt:variant>
      <vt:variant>
        <vt:i4>500</vt:i4>
      </vt:variant>
      <vt:variant>
        <vt:i4>0</vt:i4>
      </vt:variant>
      <vt:variant>
        <vt:i4>5</vt:i4>
      </vt:variant>
      <vt:variant>
        <vt:lpwstr/>
      </vt:variant>
      <vt:variant>
        <vt:lpwstr>_Toc423099949</vt:lpwstr>
      </vt:variant>
      <vt:variant>
        <vt:i4>1572919</vt:i4>
      </vt:variant>
      <vt:variant>
        <vt:i4>494</vt:i4>
      </vt:variant>
      <vt:variant>
        <vt:i4>0</vt:i4>
      </vt:variant>
      <vt:variant>
        <vt:i4>5</vt:i4>
      </vt:variant>
      <vt:variant>
        <vt:lpwstr/>
      </vt:variant>
      <vt:variant>
        <vt:lpwstr>_Toc423099948</vt:lpwstr>
      </vt:variant>
      <vt:variant>
        <vt:i4>1572919</vt:i4>
      </vt:variant>
      <vt:variant>
        <vt:i4>488</vt:i4>
      </vt:variant>
      <vt:variant>
        <vt:i4>0</vt:i4>
      </vt:variant>
      <vt:variant>
        <vt:i4>5</vt:i4>
      </vt:variant>
      <vt:variant>
        <vt:lpwstr/>
      </vt:variant>
      <vt:variant>
        <vt:lpwstr>_Toc423099947</vt:lpwstr>
      </vt:variant>
      <vt:variant>
        <vt:i4>1572919</vt:i4>
      </vt:variant>
      <vt:variant>
        <vt:i4>482</vt:i4>
      </vt:variant>
      <vt:variant>
        <vt:i4>0</vt:i4>
      </vt:variant>
      <vt:variant>
        <vt:i4>5</vt:i4>
      </vt:variant>
      <vt:variant>
        <vt:lpwstr/>
      </vt:variant>
      <vt:variant>
        <vt:lpwstr>_Toc423099946</vt:lpwstr>
      </vt:variant>
      <vt:variant>
        <vt:i4>1572919</vt:i4>
      </vt:variant>
      <vt:variant>
        <vt:i4>476</vt:i4>
      </vt:variant>
      <vt:variant>
        <vt:i4>0</vt:i4>
      </vt:variant>
      <vt:variant>
        <vt:i4>5</vt:i4>
      </vt:variant>
      <vt:variant>
        <vt:lpwstr/>
      </vt:variant>
      <vt:variant>
        <vt:lpwstr>_Toc423099945</vt:lpwstr>
      </vt:variant>
      <vt:variant>
        <vt:i4>1572919</vt:i4>
      </vt:variant>
      <vt:variant>
        <vt:i4>470</vt:i4>
      </vt:variant>
      <vt:variant>
        <vt:i4>0</vt:i4>
      </vt:variant>
      <vt:variant>
        <vt:i4>5</vt:i4>
      </vt:variant>
      <vt:variant>
        <vt:lpwstr/>
      </vt:variant>
      <vt:variant>
        <vt:lpwstr>_Toc423099944</vt:lpwstr>
      </vt:variant>
      <vt:variant>
        <vt:i4>1572919</vt:i4>
      </vt:variant>
      <vt:variant>
        <vt:i4>464</vt:i4>
      </vt:variant>
      <vt:variant>
        <vt:i4>0</vt:i4>
      </vt:variant>
      <vt:variant>
        <vt:i4>5</vt:i4>
      </vt:variant>
      <vt:variant>
        <vt:lpwstr/>
      </vt:variant>
      <vt:variant>
        <vt:lpwstr>_Toc423099943</vt:lpwstr>
      </vt:variant>
      <vt:variant>
        <vt:i4>1572919</vt:i4>
      </vt:variant>
      <vt:variant>
        <vt:i4>458</vt:i4>
      </vt:variant>
      <vt:variant>
        <vt:i4>0</vt:i4>
      </vt:variant>
      <vt:variant>
        <vt:i4>5</vt:i4>
      </vt:variant>
      <vt:variant>
        <vt:lpwstr/>
      </vt:variant>
      <vt:variant>
        <vt:lpwstr>_Toc423099942</vt:lpwstr>
      </vt:variant>
      <vt:variant>
        <vt:i4>1572919</vt:i4>
      </vt:variant>
      <vt:variant>
        <vt:i4>452</vt:i4>
      </vt:variant>
      <vt:variant>
        <vt:i4>0</vt:i4>
      </vt:variant>
      <vt:variant>
        <vt:i4>5</vt:i4>
      </vt:variant>
      <vt:variant>
        <vt:lpwstr/>
      </vt:variant>
      <vt:variant>
        <vt:lpwstr>_Toc423099941</vt:lpwstr>
      </vt:variant>
      <vt:variant>
        <vt:i4>1572919</vt:i4>
      </vt:variant>
      <vt:variant>
        <vt:i4>446</vt:i4>
      </vt:variant>
      <vt:variant>
        <vt:i4>0</vt:i4>
      </vt:variant>
      <vt:variant>
        <vt:i4>5</vt:i4>
      </vt:variant>
      <vt:variant>
        <vt:lpwstr/>
      </vt:variant>
      <vt:variant>
        <vt:lpwstr>_Toc423099940</vt:lpwstr>
      </vt:variant>
      <vt:variant>
        <vt:i4>2031671</vt:i4>
      </vt:variant>
      <vt:variant>
        <vt:i4>440</vt:i4>
      </vt:variant>
      <vt:variant>
        <vt:i4>0</vt:i4>
      </vt:variant>
      <vt:variant>
        <vt:i4>5</vt:i4>
      </vt:variant>
      <vt:variant>
        <vt:lpwstr/>
      </vt:variant>
      <vt:variant>
        <vt:lpwstr>_Toc423099939</vt:lpwstr>
      </vt:variant>
      <vt:variant>
        <vt:i4>2031671</vt:i4>
      </vt:variant>
      <vt:variant>
        <vt:i4>434</vt:i4>
      </vt:variant>
      <vt:variant>
        <vt:i4>0</vt:i4>
      </vt:variant>
      <vt:variant>
        <vt:i4>5</vt:i4>
      </vt:variant>
      <vt:variant>
        <vt:lpwstr/>
      </vt:variant>
      <vt:variant>
        <vt:lpwstr>_Toc423099938</vt:lpwstr>
      </vt:variant>
      <vt:variant>
        <vt:i4>2031671</vt:i4>
      </vt:variant>
      <vt:variant>
        <vt:i4>428</vt:i4>
      </vt:variant>
      <vt:variant>
        <vt:i4>0</vt:i4>
      </vt:variant>
      <vt:variant>
        <vt:i4>5</vt:i4>
      </vt:variant>
      <vt:variant>
        <vt:lpwstr/>
      </vt:variant>
      <vt:variant>
        <vt:lpwstr>_Toc423099937</vt:lpwstr>
      </vt:variant>
      <vt:variant>
        <vt:i4>2031671</vt:i4>
      </vt:variant>
      <vt:variant>
        <vt:i4>422</vt:i4>
      </vt:variant>
      <vt:variant>
        <vt:i4>0</vt:i4>
      </vt:variant>
      <vt:variant>
        <vt:i4>5</vt:i4>
      </vt:variant>
      <vt:variant>
        <vt:lpwstr/>
      </vt:variant>
      <vt:variant>
        <vt:lpwstr>_Toc423099936</vt:lpwstr>
      </vt:variant>
      <vt:variant>
        <vt:i4>2031671</vt:i4>
      </vt:variant>
      <vt:variant>
        <vt:i4>416</vt:i4>
      </vt:variant>
      <vt:variant>
        <vt:i4>0</vt:i4>
      </vt:variant>
      <vt:variant>
        <vt:i4>5</vt:i4>
      </vt:variant>
      <vt:variant>
        <vt:lpwstr/>
      </vt:variant>
      <vt:variant>
        <vt:lpwstr>_Toc423099935</vt:lpwstr>
      </vt:variant>
      <vt:variant>
        <vt:i4>2031671</vt:i4>
      </vt:variant>
      <vt:variant>
        <vt:i4>410</vt:i4>
      </vt:variant>
      <vt:variant>
        <vt:i4>0</vt:i4>
      </vt:variant>
      <vt:variant>
        <vt:i4>5</vt:i4>
      </vt:variant>
      <vt:variant>
        <vt:lpwstr/>
      </vt:variant>
      <vt:variant>
        <vt:lpwstr>_Toc423099934</vt:lpwstr>
      </vt:variant>
      <vt:variant>
        <vt:i4>2031671</vt:i4>
      </vt:variant>
      <vt:variant>
        <vt:i4>404</vt:i4>
      </vt:variant>
      <vt:variant>
        <vt:i4>0</vt:i4>
      </vt:variant>
      <vt:variant>
        <vt:i4>5</vt:i4>
      </vt:variant>
      <vt:variant>
        <vt:lpwstr/>
      </vt:variant>
      <vt:variant>
        <vt:lpwstr>_Toc423099933</vt:lpwstr>
      </vt:variant>
      <vt:variant>
        <vt:i4>2031671</vt:i4>
      </vt:variant>
      <vt:variant>
        <vt:i4>398</vt:i4>
      </vt:variant>
      <vt:variant>
        <vt:i4>0</vt:i4>
      </vt:variant>
      <vt:variant>
        <vt:i4>5</vt:i4>
      </vt:variant>
      <vt:variant>
        <vt:lpwstr/>
      </vt:variant>
      <vt:variant>
        <vt:lpwstr>_Toc423099932</vt:lpwstr>
      </vt:variant>
      <vt:variant>
        <vt:i4>2031671</vt:i4>
      </vt:variant>
      <vt:variant>
        <vt:i4>392</vt:i4>
      </vt:variant>
      <vt:variant>
        <vt:i4>0</vt:i4>
      </vt:variant>
      <vt:variant>
        <vt:i4>5</vt:i4>
      </vt:variant>
      <vt:variant>
        <vt:lpwstr/>
      </vt:variant>
      <vt:variant>
        <vt:lpwstr>_Toc423099931</vt:lpwstr>
      </vt:variant>
      <vt:variant>
        <vt:i4>2031671</vt:i4>
      </vt:variant>
      <vt:variant>
        <vt:i4>386</vt:i4>
      </vt:variant>
      <vt:variant>
        <vt:i4>0</vt:i4>
      </vt:variant>
      <vt:variant>
        <vt:i4>5</vt:i4>
      </vt:variant>
      <vt:variant>
        <vt:lpwstr/>
      </vt:variant>
      <vt:variant>
        <vt:lpwstr>_Toc423099930</vt:lpwstr>
      </vt:variant>
      <vt:variant>
        <vt:i4>1966135</vt:i4>
      </vt:variant>
      <vt:variant>
        <vt:i4>380</vt:i4>
      </vt:variant>
      <vt:variant>
        <vt:i4>0</vt:i4>
      </vt:variant>
      <vt:variant>
        <vt:i4>5</vt:i4>
      </vt:variant>
      <vt:variant>
        <vt:lpwstr/>
      </vt:variant>
      <vt:variant>
        <vt:lpwstr>_Toc423099929</vt:lpwstr>
      </vt:variant>
      <vt:variant>
        <vt:i4>1966135</vt:i4>
      </vt:variant>
      <vt:variant>
        <vt:i4>374</vt:i4>
      </vt:variant>
      <vt:variant>
        <vt:i4>0</vt:i4>
      </vt:variant>
      <vt:variant>
        <vt:i4>5</vt:i4>
      </vt:variant>
      <vt:variant>
        <vt:lpwstr/>
      </vt:variant>
      <vt:variant>
        <vt:lpwstr>_Toc423099928</vt:lpwstr>
      </vt:variant>
      <vt:variant>
        <vt:i4>1966135</vt:i4>
      </vt:variant>
      <vt:variant>
        <vt:i4>368</vt:i4>
      </vt:variant>
      <vt:variant>
        <vt:i4>0</vt:i4>
      </vt:variant>
      <vt:variant>
        <vt:i4>5</vt:i4>
      </vt:variant>
      <vt:variant>
        <vt:lpwstr/>
      </vt:variant>
      <vt:variant>
        <vt:lpwstr>_Toc423099927</vt:lpwstr>
      </vt:variant>
      <vt:variant>
        <vt:i4>1966135</vt:i4>
      </vt:variant>
      <vt:variant>
        <vt:i4>362</vt:i4>
      </vt:variant>
      <vt:variant>
        <vt:i4>0</vt:i4>
      </vt:variant>
      <vt:variant>
        <vt:i4>5</vt:i4>
      </vt:variant>
      <vt:variant>
        <vt:lpwstr/>
      </vt:variant>
      <vt:variant>
        <vt:lpwstr>_Toc423099926</vt:lpwstr>
      </vt:variant>
      <vt:variant>
        <vt:i4>1966135</vt:i4>
      </vt:variant>
      <vt:variant>
        <vt:i4>356</vt:i4>
      </vt:variant>
      <vt:variant>
        <vt:i4>0</vt:i4>
      </vt:variant>
      <vt:variant>
        <vt:i4>5</vt:i4>
      </vt:variant>
      <vt:variant>
        <vt:lpwstr/>
      </vt:variant>
      <vt:variant>
        <vt:lpwstr>_Toc423099925</vt:lpwstr>
      </vt:variant>
      <vt:variant>
        <vt:i4>1966135</vt:i4>
      </vt:variant>
      <vt:variant>
        <vt:i4>350</vt:i4>
      </vt:variant>
      <vt:variant>
        <vt:i4>0</vt:i4>
      </vt:variant>
      <vt:variant>
        <vt:i4>5</vt:i4>
      </vt:variant>
      <vt:variant>
        <vt:lpwstr/>
      </vt:variant>
      <vt:variant>
        <vt:lpwstr>_Toc423099924</vt:lpwstr>
      </vt:variant>
      <vt:variant>
        <vt:i4>1966135</vt:i4>
      </vt:variant>
      <vt:variant>
        <vt:i4>344</vt:i4>
      </vt:variant>
      <vt:variant>
        <vt:i4>0</vt:i4>
      </vt:variant>
      <vt:variant>
        <vt:i4>5</vt:i4>
      </vt:variant>
      <vt:variant>
        <vt:lpwstr/>
      </vt:variant>
      <vt:variant>
        <vt:lpwstr>_Toc423099923</vt:lpwstr>
      </vt:variant>
      <vt:variant>
        <vt:i4>1966135</vt:i4>
      </vt:variant>
      <vt:variant>
        <vt:i4>338</vt:i4>
      </vt:variant>
      <vt:variant>
        <vt:i4>0</vt:i4>
      </vt:variant>
      <vt:variant>
        <vt:i4>5</vt:i4>
      </vt:variant>
      <vt:variant>
        <vt:lpwstr/>
      </vt:variant>
      <vt:variant>
        <vt:lpwstr>_Toc423099922</vt:lpwstr>
      </vt:variant>
      <vt:variant>
        <vt:i4>1966135</vt:i4>
      </vt:variant>
      <vt:variant>
        <vt:i4>332</vt:i4>
      </vt:variant>
      <vt:variant>
        <vt:i4>0</vt:i4>
      </vt:variant>
      <vt:variant>
        <vt:i4>5</vt:i4>
      </vt:variant>
      <vt:variant>
        <vt:lpwstr/>
      </vt:variant>
      <vt:variant>
        <vt:lpwstr>_Toc423099921</vt:lpwstr>
      </vt:variant>
      <vt:variant>
        <vt:i4>1966135</vt:i4>
      </vt:variant>
      <vt:variant>
        <vt:i4>326</vt:i4>
      </vt:variant>
      <vt:variant>
        <vt:i4>0</vt:i4>
      </vt:variant>
      <vt:variant>
        <vt:i4>5</vt:i4>
      </vt:variant>
      <vt:variant>
        <vt:lpwstr/>
      </vt:variant>
      <vt:variant>
        <vt:lpwstr>_Toc423099920</vt:lpwstr>
      </vt:variant>
      <vt:variant>
        <vt:i4>1900599</vt:i4>
      </vt:variant>
      <vt:variant>
        <vt:i4>320</vt:i4>
      </vt:variant>
      <vt:variant>
        <vt:i4>0</vt:i4>
      </vt:variant>
      <vt:variant>
        <vt:i4>5</vt:i4>
      </vt:variant>
      <vt:variant>
        <vt:lpwstr/>
      </vt:variant>
      <vt:variant>
        <vt:lpwstr>_Toc423099919</vt:lpwstr>
      </vt:variant>
      <vt:variant>
        <vt:i4>1900599</vt:i4>
      </vt:variant>
      <vt:variant>
        <vt:i4>314</vt:i4>
      </vt:variant>
      <vt:variant>
        <vt:i4>0</vt:i4>
      </vt:variant>
      <vt:variant>
        <vt:i4>5</vt:i4>
      </vt:variant>
      <vt:variant>
        <vt:lpwstr/>
      </vt:variant>
      <vt:variant>
        <vt:lpwstr>_Toc423099918</vt:lpwstr>
      </vt:variant>
      <vt:variant>
        <vt:i4>1900599</vt:i4>
      </vt:variant>
      <vt:variant>
        <vt:i4>308</vt:i4>
      </vt:variant>
      <vt:variant>
        <vt:i4>0</vt:i4>
      </vt:variant>
      <vt:variant>
        <vt:i4>5</vt:i4>
      </vt:variant>
      <vt:variant>
        <vt:lpwstr/>
      </vt:variant>
      <vt:variant>
        <vt:lpwstr>_Toc423099917</vt:lpwstr>
      </vt:variant>
      <vt:variant>
        <vt:i4>1900599</vt:i4>
      </vt:variant>
      <vt:variant>
        <vt:i4>302</vt:i4>
      </vt:variant>
      <vt:variant>
        <vt:i4>0</vt:i4>
      </vt:variant>
      <vt:variant>
        <vt:i4>5</vt:i4>
      </vt:variant>
      <vt:variant>
        <vt:lpwstr/>
      </vt:variant>
      <vt:variant>
        <vt:lpwstr>_Toc423099916</vt:lpwstr>
      </vt:variant>
      <vt:variant>
        <vt:i4>1900599</vt:i4>
      </vt:variant>
      <vt:variant>
        <vt:i4>296</vt:i4>
      </vt:variant>
      <vt:variant>
        <vt:i4>0</vt:i4>
      </vt:variant>
      <vt:variant>
        <vt:i4>5</vt:i4>
      </vt:variant>
      <vt:variant>
        <vt:lpwstr/>
      </vt:variant>
      <vt:variant>
        <vt:lpwstr>_Toc423099915</vt:lpwstr>
      </vt:variant>
      <vt:variant>
        <vt:i4>1900599</vt:i4>
      </vt:variant>
      <vt:variant>
        <vt:i4>290</vt:i4>
      </vt:variant>
      <vt:variant>
        <vt:i4>0</vt:i4>
      </vt:variant>
      <vt:variant>
        <vt:i4>5</vt:i4>
      </vt:variant>
      <vt:variant>
        <vt:lpwstr/>
      </vt:variant>
      <vt:variant>
        <vt:lpwstr>_Toc423099914</vt:lpwstr>
      </vt:variant>
      <vt:variant>
        <vt:i4>1900599</vt:i4>
      </vt:variant>
      <vt:variant>
        <vt:i4>284</vt:i4>
      </vt:variant>
      <vt:variant>
        <vt:i4>0</vt:i4>
      </vt:variant>
      <vt:variant>
        <vt:i4>5</vt:i4>
      </vt:variant>
      <vt:variant>
        <vt:lpwstr/>
      </vt:variant>
      <vt:variant>
        <vt:lpwstr>_Toc423099913</vt:lpwstr>
      </vt:variant>
      <vt:variant>
        <vt:i4>1900599</vt:i4>
      </vt:variant>
      <vt:variant>
        <vt:i4>278</vt:i4>
      </vt:variant>
      <vt:variant>
        <vt:i4>0</vt:i4>
      </vt:variant>
      <vt:variant>
        <vt:i4>5</vt:i4>
      </vt:variant>
      <vt:variant>
        <vt:lpwstr/>
      </vt:variant>
      <vt:variant>
        <vt:lpwstr>_Toc423099912</vt:lpwstr>
      </vt:variant>
      <vt:variant>
        <vt:i4>1900599</vt:i4>
      </vt:variant>
      <vt:variant>
        <vt:i4>272</vt:i4>
      </vt:variant>
      <vt:variant>
        <vt:i4>0</vt:i4>
      </vt:variant>
      <vt:variant>
        <vt:i4>5</vt:i4>
      </vt:variant>
      <vt:variant>
        <vt:lpwstr/>
      </vt:variant>
      <vt:variant>
        <vt:lpwstr>_Toc423099911</vt:lpwstr>
      </vt:variant>
      <vt:variant>
        <vt:i4>1900599</vt:i4>
      </vt:variant>
      <vt:variant>
        <vt:i4>266</vt:i4>
      </vt:variant>
      <vt:variant>
        <vt:i4>0</vt:i4>
      </vt:variant>
      <vt:variant>
        <vt:i4>5</vt:i4>
      </vt:variant>
      <vt:variant>
        <vt:lpwstr/>
      </vt:variant>
      <vt:variant>
        <vt:lpwstr>_Toc423099910</vt:lpwstr>
      </vt:variant>
      <vt:variant>
        <vt:i4>1835063</vt:i4>
      </vt:variant>
      <vt:variant>
        <vt:i4>260</vt:i4>
      </vt:variant>
      <vt:variant>
        <vt:i4>0</vt:i4>
      </vt:variant>
      <vt:variant>
        <vt:i4>5</vt:i4>
      </vt:variant>
      <vt:variant>
        <vt:lpwstr/>
      </vt:variant>
      <vt:variant>
        <vt:lpwstr>_Toc423099909</vt:lpwstr>
      </vt:variant>
      <vt:variant>
        <vt:i4>1835063</vt:i4>
      </vt:variant>
      <vt:variant>
        <vt:i4>254</vt:i4>
      </vt:variant>
      <vt:variant>
        <vt:i4>0</vt:i4>
      </vt:variant>
      <vt:variant>
        <vt:i4>5</vt:i4>
      </vt:variant>
      <vt:variant>
        <vt:lpwstr/>
      </vt:variant>
      <vt:variant>
        <vt:lpwstr>_Toc423099908</vt:lpwstr>
      </vt:variant>
      <vt:variant>
        <vt:i4>1835063</vt:i4>
      </vt:variant>
      <vt:variant>
        <vt:i4>248</vt:i4>
      </vt:variant>
      <vt:variant>
        <vt:i4>0</vt:i4>
      </vt:variant>
      <vt:variant>
        <vt:i4>5</vt:i4>
      </vt:variant>
      <vt:variant>
        <vt:lpwstr/>
      </vt:variant>
      <vt:variant>
        <vt:lpwstr>_Toc423099907</vt:lpwstr>
      </vt:variant>
      <vt:variant>
        <vt:i4>1835063</vt:i4>
      </vt:variant>
      <vt:variant>
        <vt:i4>242</vt:i4>
      </vt:variant>
      <vt:variant>
        <vt:i4>0</vt:i4>
      </vt:variant>
      <vt:variant>
        <vt:i4>5</vt:i4>
      </vt:variant>
      <vt:variant>
        <vt:lpwstr/>
      </vt:variant>
      <vt:variant>
        <vt:lpwstr>_Toc423099906</vt:lpwstr>
      </vt:variant>
      <vt:variant>
        <vt:i4>1835063</vt:i4>
      </vt:variant>
      <vt:variant>
        <vt:i4>236</vt:i4>
      </vt:variant>
      <vt:variant>
        <vt:i4>0</vt:i4>
      </vt:variant>
      <vt:variant>
        <vt:i4>5</vt:i4>
      </vt:variant>
      <vt:variant>
        <vt:lpwstr/>
      </vt:variant>
      <vt:variant>
        <vt:lpwstr>_Toc423099905</vt:lpwstr>
      </vt:variant>
      <vt:variant>
        <vt:i4>1835063</vt:i4>
      </vt:variant>
      <vt:variant>
        <vt:i4>230</vt:i4>
      </vt:variant>
      <vt:variant>
        <vt:i4>0</vt:i4>
      </vt:variant>
      <vt:variant>
        <vt:i4>5</vt:i4>
      </vt:variant>
      <vt:variant>
        <vt:lpwstr/>
      </vt:variant>
      <vt:variant>
        <vt:lpwstr>_Toc423099904</vt:lpwstr>
      </vt:variant>
      <vt:variant>
        <vt:i4>1835063</vt:i4>
      </vt:variant>
      <vt:variant>
        <vt:i4>224</vt:i4>
      </vt:variant>
      <vt:variant>
        <vt:i4>0</vt:i4>
      </vt:variant>
      <vt:variant>
        <vt:i4>5</vt:i4>
      </vt:variant>
      <vt:variant>
        <vt:lpwstr/>
      </vt:variant>
      <vt:variant>
        <vt:lpwstr>_Toc423099903</vt:lpwstr>
      </vt:variant>
      <vt:variant>
        <vt:i4>1835063</vt:i4>
      </vt:variant>
      <vt:variant>
        <vt:i4>218</vt:i4>
      </vt:variant>
      <vt:variant>
        <vt:i4>0</vt:i4>
      </vt:variant>
      <vt:variant>
        <vt:i4>5</vt:i4>
      </vt:variant>
      <vt:variant>
        <vt:lpwstr/>
      </vt:variant>
      <vt:variant>
        <vt:lpwstr>_Toc423099902</vt:lpwstr>
      </vt:variant>
      <vt:variant>
        <vt:i4>1835063</vt:i4>
      </vt:variant>
      <vt:variant>
        <vt:i4>212</vt:i4>
      </vt:variant>
      <vt:variant>
        <vt:i4>0</vt:i4>
      </vt:variant>
      <vt:variant>
        <vt:i4>5</vt:i4>
      </vt:variant>
      <vt:variant>
        <vt:lpwstr/>
      </vt:variant>
      <vt:variant>
        <vt:lpwstr>_Toc423099901</vt:lpwstr>
      </vt:variant>
      <vt:variant>
        <vt:i4>1835063</vt:i4>
      </vt:variant>
      <vt:variant>
        <vt:i4>206</vt:i4>
      </vt:variant>
      <vt:variant>
        <vt:i4>0</vt:i4>
      </vt:variant>
      <vt:variant>
        <vt:i4>5</vt:i4>
      </vt:variant>
      <vt:variant>
        <vt:lpwstr/>
      </vt:variant>
      <vt:variant>
        <vt:lpwstr>_Toc423099900</vt:lpwstr>
      </vt:variant>
      <vt:variant>
        <vt:i4>1376310</vt:i4>
      </vt:variant>
      <vt:variant>
        <vt:i4>200</vt:i4>
      </vt:variant>
      <vt:variant>
        <vt:i4>0</vt:i4>
      </vt:variant>
      <vt:variant>
        <vt:i4>5</vt:i4>
      </vt:variant>
      <vt:variant>
        <vt:lpwstr/>
      </vt:variant>
      <vt:variant>
        <vt:lpwstr>_Toc423099899</vt:lpwstr>
      </vt:variant>
      <vt:variant>
        <vt:i4>1376310</vt:i4>
      </vt:variant>
      <vt:variant>
        <vt:i4>194</vt:i4>
      </vt:variant>
      <vt:variant>
        <vt:i4>0</vt:i4>
      </vt:variant>
      <vt:variant>
        <vt:i4>5</vt:i4>
      </vt:variant>
      <vt:variant>
        <vt:lpwstr/>
      </vt:variant>
      <vt:variant>
        <vt:lpwstr>_Toc423099898</vt:lpwstr>
      </vt:variant>
      <vt:variant>
        <vt:i4>1376310</vt:i4>
      </vt:variant>
      <vt:variant>
        <vt:i4>188</vt:i4>
      </vt:variant>
      <vt:variant>
        <vt:i4>0</vt:i4>
      </vt:variant>
      <vt:variant>
        <vt:i4>5</vt:i4>
      </vt:variant>
      <vt:variant>
        <vt:lpwstr/>
      </vt:variant>
      <vt:variant>
        <vt:lpwstr>_Toc423099897</vt:lpwstr>
      </vt:variant>
      <vt:variant>
        <vt:i4>1376310</vt:i4>
      </vt:variant>
      <vt:variant>
        <vt:i4>182</vt:i4>
      </vt:variant>
      <vt:variant>
        <vt:i4>0</vt:i4>
      </vt:variant>
      <vt:variant>
        <vt:i4>5</vt:i4>
      </vt:variant>
      <vt:variant>
        <vt:lpwstr/>
      </vt:variant>
      <vt:variant>
        <vt:lpwstr>_Toc423099896</vt:lpwstr>
      </vt:variant>
      <vt:variant>
        <vt:i4>1376310</vt:i4>
      </vt:variant>
      <vt:variant>
        <vt:i4>176</vt:i4>
      </vt:variant>
      <vt:variant>
        <vt:i4>0</vt:i4>
      </vt:variant>
      <vt:variant>
        <vt:i4>5</vt:i4>
      </vt:variant>
      <vt:variant>
        <vt:lpwstr/>
      </vt:variant>
      <vt:variant>
        <vt:lpwstr>_Toc423099895</vt:lpwstr>
      </vt:variant>
      <vt:variant>
        <vt:i4>1376310</vt:i4>
      </vt:variant>
      <vt:variant>
        <vt:i4>170</vt:i4>
      </vt:variant>
      <vt:variant>
        <vt:i4>0</vt:i4>
      </vt:variant>
      <vt:variant>
        <vt:i4>5</vt:i4>
      </vt:variant>
      <vt:variant>
        <vt:lpwstr/>
      </vt:variant>
      <vt:variant>
        <vt:lpwstr>_Toc423099894</vt:lpwstr>
      </vt:variant>
      <vt:variant>
        <vt:i4>1376310</vt:i4>
      </vt:variant>
      <vt:variant>
        <vt:i4>164</vt:i4>
      </vt:variant>
      <vt:variant>
        <vt:i4>0</vt:i4>
      </vt:variant>
      <vt:variant>
        <vt:i4>5</vt:i4>
      </vt:variant>
      <vt:variant>
        <vt:lpwstr/>
      </vt:variant>
      <vt:variant>
        <vt:lpwstr>_Toc423099893</vt:lpwstr>
      </vt:variant>
      <vt:variant>
        <vt:i4>1376310</vt:i4>
      </vt:variant>
      <vt:variant>
        <vt:i4>158</vt:i4>
      </vt:variant>
      <vt:variant>
        <vt:i4>0</vt:i4>
      </vt:variant>
      <vt:variant>
        <vt:i4>5</vt:i4>
      </vt:variant>
      <vt:variant>
        <vt:lpwstr/>
      </vt:variant>
      <vt:variant>
        <vt:lpwstr>_Toc423099892</vt:lpwstr>
      </vt:variant>
      <vt:variant>
        <vt:i4>1376310</vt:i4>
      </vt:variant>
      <vt:variant>
        <vt:i4>152</vt:i4>
      </vt:variant>
      <vt:variant>
        <vt:i4>0</vt:i4>
      </vt:variant>
      <vt:variant>
        <vt:i4>5</vt:i4>
      </vt:variant>
      <vt:variant>
        <vt:lpwstr/>
      </vt:variant>
      <vt:variant>
        <vt:lpwstr>_Toc423099891</vt:lpwstr>
      </vt:variant>
      <vt:variant>
        <vt:i4>1376310</vt:i4>
      </vt:variant>
      <vt:variant>
        <vt:i4>146</vt:i4>
      </vt:variant>
      <vt:variant>
        <vt:i4>0</vt:i4>
      </vt:variant>
      <vt:variant>
        <vt:i4>5</vt:i4>
      </vt:variant>
      <vt:variant>
        <vt:lpwstr/>
      </vt:variant>
      <vt:variant>
        <vt:lpwstr>_Toc423099890</vt:lpwstr>
      </vt:variant>
      <vt:variant>
        <vt:i4>1310774</vt:i4>
      </vt:variant>
      <vt:variant>
        <vt:i4>140</vt:i4>
      </vt:variant>
      <vt:variant>
        <vt:i4>0</vt:i4>
      </vt:variant>
      <vt:variant>
        <vt:i4>5</vt:i4>
      </vt:variant>
      <vt:variant>
        <vt:lpwstr/>
      </vt:variant>
      <vt:variant>
        <vt:lpwstr>_Toc423099889</vt:lpwstr>
      </vt:variant>
      <vt:variant>
        <vt:i4>1310774</vt:i4>
      </vt:variant>
      <vt:variant>
        <vt:i4>134</vt:i4>
      </vt:variant>
      <vt:variant>
        <vt:i4>0</vt:i4>
      </vt:variant>
      <vt:variant>
        <vt:i4>5</vt:i4>
      </vt:variant>
      <vt:variant>
        <vt:lpwstr/>
      </vt:variant>
      <vt:variant>
        <vt:lpwstr>_Toc423099888</vt:lpwstr>
      </vt:variant>
      <vt:variant>
        <vt:i4>1310774</vt:i4>
      </vt:variant>
      <vt:variant>
        <vt:i4>128</vt:i4>
      </vt:variant>
      <vt:variant>
        <vt:i4>0</vt:i4>
      </vt:variant>
      <vt:variant>
        <vt:i4>5</vt:i4>
      </vt:variant>
      <vt:variant>
        <vt:lpwstr/>
      </vt:variant>
      <vt:variant>
        <vt:lpwstr>_Toc423099887</vt:lpwstr>
      </vt:variant>
      <vt:variant>
        <vt:i4>1310774</vt:i4>
      </vt:variant>
      <vt:variant>
        <vt:i4>122</vt:i4>
      </vt:variant>
      <vt:variant>
        <vt:i4>0</vt:i4>
      </vt:variant>
      <vt:variant>
        <vt:i4>5</vt:i4>
      </vt:variant>
      <vt:variant>
        <vt:lpwstr/>
      </vt:variant>
      <vt:variant>
        <vt:lpwstr>_Toc423099886</vt:lpwstr>
      </vt:variant>
      <vt:variant>
        <vt:i4>1310774</vt:i4>
      </vt:variant>
      <vt:variant>
        <vt:i4>116</vt:i4>
      </vt:variant>
      <vt:variant>
        <vt:i4>0</vt:i4>
      </vt:variant>
      <vt:variant>
        <vt:i4>5</vt:i4>
      </vt:variant>
      <vt:variant>
        <vt:lpwstr/>
      </vt:variant>
      <vt:variant>
        <vt:lpwstr>_Toc423099885</vt:lpwstr>
      </vt:variant>
      <vt:variant>
        <vt:i4>1310774</vt:i4>
      </vt:variant>
      <vt:variant>
        <vt:i4>110</vt:i4>
      </vt:variant>
      <vt:variant>
        <vt:i4>0</vt:i4>
      </vt:variant>
      <vt:variant>
        <vt:i4>5</vt:i4>
      </vt:variant>
      <vt:variant>
        <vt:lpwstr/>
      </vt:variant>
      <vt:variant>
        <vt:lpwstr>_Toc423099884</vt:lpwstr>
      </vt:variant>
      <vt:variant>
        <vt:i4>1310774</vt:i4>
      </vt:variant>
      <vt:variant>
        <vt:i4>104</vt:i4>
      </vt:variant>
      <vt:variant>
        <vt:i4>0</vt:i4>
      </vt:variant>
      <vt:variant>
        <vt:i4>5</vt:i4>
      </vt:variant>
      <vt:variant>
        <vt:lpwstr/>
      </vt:variant>
      <vt:variant>
        <vt:lpwstr>_Toc423099883</vt:lpwstr>
      </vt:variant>
      <vt:variant>
        <vt:i4>1310774</vt:i4>
      </vt:variant>
      <vt:variant>
        <vt:i4>98</vt:i4>
      </vt:variant>
      <vt:variant>
        <vt:i4>0</vt:i4>
      </vt:variant>
      <vt:variant>
        <vt:i4>5</vt:i4>
      </vt:variant>
      <vt:variant>
        <vt:lpwstr/>
      </vt:variant>
      <vt:variant>
        <vt:lpwstr>_Toc423099882</vt:lpwstr>
      </vt:variant>
      <vt:variant>
        <vt:i4>1310774</vt:i4>
      </vt:variant>
      <vt:variant>
        <vt:i4>92</vt:i4>
      </vt:variant>
      <vt:variant>
        <vt:i4>0</vt:i4>
      </vt:variant>
      <vt:variant>
        <vt:i4>5</vt:i4>
      </vt:variant>
      <vt:variant>
        <vt:lpwstr/>
      </vt:variant>
      <vt:variant>
        <vt:lpwstr>_Toc423099881</vt:lpwstr>
      </vt:variant>
      <vt:variant>
        <vt:i4>1310774</vt:i4>
      </vt:variant>
      <vt:variant>
        <vt:i4>86</vt:i4>
      </vt:variant>
      <vt:variant>
        <vt:i4>0</vt:i4>
      </vt:variant>
      <vt:variant>
        <vt:i4>5</vt:i4>
      </vt:variant>
      <vt:variant>
        <vt:lpwstr/>
      </vt:variant>
      <vt:variant>
        <vt:lpwstr>_Toc423099880</vt:lpwstr>
      </vt:variant>
      <vt:variant>
        <vt:i4>1769526</vt:i4>
      </vt:variant>
      <vt:variant>
        <vt:i4>80</vt:i4>
      </vt:variant>
      <vt:variant>
        <vt:i4>0</vt:i4>
      </vt:variant>
      <vt:variant>
        <vt:i4>5</vt:i4>
      </vt:variant>
      <vt:variant>
        <vt:lpwstr/>
      </vt:variant>
      <vt:variant>
        <vt:lpwstr>_Toc423099879</vt:lpwstr>
      </vt:variant>
      <vt:variant>
        <vt:i4>1769526</vt:i4>
      </vt:variant>
      <vt:variant>
        <vt:i4>74</vt:i4>
      </vt:variant>
      <vt:variant>
        <vt:i4>0</vt:i4>
      </vt:variant>
      <vt:variant>
        <vt:i4>5</vt:i4>
      </vt:variant>
      <vt:variant>
        <vt:lpwstr/>
      </vt:variant>
      <vt:variant>
        <vt:lpwstr>_Toc423099878</vt:lpwstr>
      </vt:variant>
      <vt:variant>
        <vt:i4>1769526</vt:i4>
      </vt:variant>
      <vt:variant>
        <vt:i4>68</vt:i4>
      </vt:variant>
      <vt:variant>
        <vt:i4>0</vt:i4>
      </vt:variant>
      <vt:variant>
        <vt:i4>5</vt:i4>
      </vt:variant>
      <vt:variant>
        <vt:lpwstr/>
      </vt:variant>
      <vt:variant>
        <vt:lpwstr>_Toc423099877</vt:lpwstr>
      </vt:variant>
      <vt:variant>
        <vt:i4>1769526</vt:i4>
      </vt:variant>
      <vt:variant>
        <vt:i4>62</vt:i4>
      </vt:variant>
      <vt:variant>
        <vt:i4>0</vt:i4>
      </vt:variant>
      <vt:variant>
        <vt:i4>5</vt:i4>
      </vt:variant>
      <vt:variant>
        <vt:lpwstr/>
      </vt:variant>
      <vt:variant>
        <vt:lpwstr>_Toc423099876</vt:lpwstr>
      </vt:variant>
      <vt:variant>
        <vt:i4>1769526</vt:i4>
      </vt:variant>
      <vt:variant>
        <vt:i4>56</vt:i4>
      </vt:variant>
      <vt:variant>
        <vt:i4>0</vt:i4>
      </vt:variant>
      <vt:variant>
        <vt:i4>5</vt:i4>
      </vt:variant>
      <vt:variant>
        <vt:lpwstr/>
      </vt:variant>
      <vt:variant>
        <vt:lpwstr>_Toc423099875</vt:lpwstr>
      </vt:variant>
      <vt:variant>
        <vt:i4>1769526</vt:i4>
      </vt:variant>
      <vt:variant>
        <vt:i4>50</vt:i4>
      </vt:variant>
      <vt:variant>
        <vt:i4>0</vt:i4>
      </vt:variant>
      <vt:variant>
        <vt:i4>5</vt:i4>
      </vt:variant>
      <vt:variant>
        <vt:lpwstr/>
      </vt:variant>
      <vt:variant>
        <vt:lpwstr>_Toc423099874</vt:lpwstr>
      </vt:variant>
      <vt:variant>
        <vt:i4>1769526</vt:i4>
      </vt:variant>
      <vt:variant>
        <vt:i4>44</vt:i4>
      </vt:variant>
      <vt:variant>
        <vt:i4>0</vt:i4>
      </vt:variant>
      <vt:variant>
        <vt:i4>5</vt:i4>
      </vt:variant>
      <vt:variant>
        <vt:lpwstr/>
      </vt:variant>
      <vt:variant>
        <vt:lpwstr>_Toc423099873</vt:lpwstr>
      </vt:variant>
      <vt:variant>
        <vt:i4>1769526</vt:i4>
      </vt:variant>
      <vt:variant>
        <vt:i4>38</vt:i4>
      </vt:variant>
      <vt:variant>
        <vt:i4>0</vt:i4>
      </vt:variant>
      <vt:variant>
        <vt:i4>5</vt:i4>
      </vt:variant>
      <vt:variant>
        <vt:lpwstr/>
      </vt:variant>
      <vt:variant>
        <vt:lpwstr>_Toc423099872</vt:lpwstr>
      </vt:variant>
      <vt:variant>
        <vt:i4>1769526</vt:i4>
      </vt:variant>
      <vt:variant>
        <vt:i4>32</vt:i4>
      </vt:variant>
      <vt:variant>
        <vt:i4>0</vt:i4>
      </vt:variant>
      <vt:variant>
        <vt:i4>5</vt:i4>
      </vt:variant>
      <vt:variant>
        <vt:lpwstr/>
      </vt:variant>
      <vt:variant>
        <vt:lpwstr>_Toc423099871</vt:lpwstr>
      </vt:variant>
      <vt:variant>
        <vt:i4>1769526</vt:i4>
      </vt:variant>
      <vt:variant>
        <vt:i4>26</vt:i4>
      </vt:variant>
      <vt:variant>
        <vt:i4>0</vt:i4>
      </vt:variant>
      <vt:variant>
        <vt:i4>5</vt:i4>
      </vt:variant>
      <vt:variant>
        <vt:lpwstr/>
      </vt:variant>
      <vt:variant>
        <vt:lpwstr>_Toc423099870</vt:lpwstr>
      </vt:variant>
      <vt:variant>
        <vt:i4>1703990</vt:i4>
      </vt:variant>
      <vt:variant>
        <vt:i4>20</vt:i4>
      </vt:variant>
      <vt:variant>
        <vt:i4>0</vt:i4>
      </vt:variant>
      <vt:variant>
        <vt:i4>5</vt:i4>
      </vt:variant>
      <vt:variant>
        <vt:lpwstr/>
      </vt:variant>
      <vt:variant>
        <vt:lpwstr>_Toc423099869</vt:lpwstr>
      </vt:variant>
      <vt:variant>
        <vt:i4>1703990</vt:i4>
      </vt:variant>
      <vt:variant>
        <vt:i4>14</vt:i4>
      </vt:variant>
      <vt:variant>
        <vt:i4>0</vt:i4>
      </vt:variant>
      <vt:variant>
        <vt:i4>5</vt:i4>
      </vt:variant>
      <vt:variant>
        <vt:lpwstr/>
      </vt:variant>
      <vt:variant>
        <vt:lpwstr>_Toc423099868</vt:lpwstr>
      </vt:variant>
      <vt:variant>
        <vt:i4>1703990</vt:i4>
      </vt:variant>
      <vt:variant>
        <vt:i4>8</vt:i4>
      </vt:variant>
      <vt:variant>
        <vt:i4>0</vt:i4>
      </vt:variant>
      <vt:variant>
        <vt:i4>5</vt:i4>
      </vt:variant>
      <vt:variant>
        <vt:lpwstr/>
      </vt:variant>
      <vt:variant>
        <vt:lpwstr>_Toc423099867</vt:lpwstr>
      </vt:variant>
      <vt:variant>
        <vt:i4>1703990</vt:i4>
      </vt:variant>
      <vt:variant>
        <vt:i4>2</vt:i4>
      </vt:variant>
      <vt:variant>
        <vt:i4>0</vt:i4>
      </vt:variant>
      <vt:variant>
        <vt:i4>5</vt:i4>
      </vt:variant>
      <vt:variant>
        <vt:lpwstr/>
      </vt:variant>
      <vt:variant>
        <vt:lpwstr>_Toc423099866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5</cp:revision>
  <cp:lastPrinted>2012-06-12T08:04:00Z</cp:lastPrinted>
  <dcterms:created xsi:type="dcterms:W3CDTF">2021-08-24T01:05:00Z</dcterms:created>
  <dcterms:modified xsi:type="dcterms:W3CDTF">2021-08-30T08:07:00Z</dcterms:modified>
</cp:coreProperties>
</file>