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250C1E"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南方道琼斯美国精选</w:t>
      </w:r>
      <w:r>
        <w:rPr>
          <w:rFonts w:ascii="宋体" w:hAnsi="方正黑体简体" w:cs="方正黑体简体"/>
          <w:b/>
          <w:bCs/>
          <w:iCs/>
          <w:sz w:val="31"/>
          <w:szCs w:val="36"/>
        </w:rPr>
        <w:t>REIT指数证券投资基金（A类份额）基金产品资料概要（更新）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250C1E">
        <w:rPr>
          <w:rFonts w:ascii="仿宋" w:hAnsi="仿宋"/>
          <w:color w:val="000000" w:themeColor="text1"/>
          <w:sz w:val="24"/>
          <w:szCs w:val="24"/>
        </w:rPr>
        <w:t>2021年8月23日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250C1E">
        <w:rPr>
          <w:rFonts w:ascii="仿宋" w:hAnsi="仿宋"/>
          <w:color w:val="000000" w:themeColor="text1"/>
          <w:sz w:val="24"/>
          <w:szCs w:val="24"/>
        </w:rPr>
        <w:t>2021年8月24日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250C1E" w:rsidRDefault="00250C1E" w:rsidP="00250C1E">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250C1E" w:rsidTr="00250C1E">
        <w:tc>
          <w:tcPr>
            <w:tcW w:w="2076" w:type="dxa"/>
          </w:tcPr>
          <w:p w:rsidR="00250C1E" w:rsidRDefault="00250C1E" w:rsidP="00250C1E">
            <w:pPr>
              <w:jc w:val="left"/>
            </w:pPr>
            <w:r>
              <w:rPr>
                <w:rFonts w:hint="eastAsia"/>
              </w:rPr>
              <w:t>基金简称</w:t>
            </w:r>
          </w:p>
        </w:tc>
        <w:tc>
          <w:tcPr>
            <w:tcW w:w="2076" w:type="dxa"/>
          </w:tcPr>
          <w:p w:rsidR="00250C1E" w:rsidRDefault="00250C1E" w:rsidP="00250C1E">
            <w:pPr>
              <w:jc w:val="left"/>
            </w:pPr>
            <w:r>
              <w:rPr>
                <w:rFonts w:hint="eastAsia"/>
              </w:rPr>
              <w:t>美国</w:t>
            </w:r>
            <w:r>
              <w:rPr>
                <w:rFonts w:hint="eastAsia"/>
              </w:rPr>
              <w:t>REIT</w:t>
            </w:r>
          </w:p>
        </w:tc>
        <w:tc>
          <w:tcPr>
            <w:tcW w:w="2077" w:type="dxa"/>
          </w:tcPr>
          <w:p w:rsidR="00250C1E" w:rsidRDefault="00250C1E" w:rsidP="00250C1E">
            <w:pPr>
              <w:jc w:val="left"/>
            </w:pPr>
            <w:r>
              <w:rPr>
                <w:rFonts w:hint="eastAsia"/>
              </w:rPr>
              <w:t>基金代码</w:t>
            </w:r>
          </w:p>
        </w:tc>
        <w:tc>
          <w:tcPr>
            <w:tcW w:w="2077" w:type="dxa"/>
          </w:tcPr>
          <w:p w:rsidR="00250C1E" w:rsidRDefault="00250C1E" w:rsidP="00250C1E">
            <w:pPr>
              <w:jc w:val="left"/>
            </w:pPr>
            <w:r>
              <w:t>160140</w:t>
            </w:r>
          </w:p>
        </w:tc>
      </w:tr>
      <w:tr w:rsidR="00250C1E" w:rsidTr="00250C1E">
        <w:tc>
          <w:tcPr>
            <w:tcW w:w="2076" w:type="dxa"/>
          </w:tcPr>
          <w:p w:rsidR="00250C1E" w:rsidRDefault="00250C1E" w:rsidP="00250C1E">
            <w:pPr>
              <w:jc w:val="left"/>
            </w:pPr>
            <w:r>
              <w:rPr>
                <w:rFonts w:hint="eastAsia"/>
              </w:rPr>
              <w:t>基金管理人</w:t>
            </w:r>
          </w:p>
        </w:tc>
        <w:tc>
          <w:tcPr>
            <w:tcW w:w="2076" w:type="dxa"/>
          </w:tcPr>
          <w:p w:rsidR="00250C1E" w:rsidRDefault="00250C1E" w:rsidP="00250C1E">
            <w:pPr>
              <w:jc w:val="left"/>
            </w:pPr>
            <w:r>
              <w:rPr>
                <w:rFonts w:hint="eastAsia"/>
              </w:rPr>
              <w:t>南方基金管理股份有限公司</w:t>
            </w:r>
          </w:p>
        </w:tc>
        <w:tc>
          <w:tcPr>
            <w:tcW w:w="2077" w:type="dxa"/>
          </w:tcPr>
          <w:p w:rsidR="00250C1E" w:rsidRDefault="00250C1E" w:rsidP="00250C1E">
            <w:pPr>
              <w:jc w:val="left"/>
            </w:pPr>
            <w:r>
              <w:rPr>
                <w:rFonts w:hint="eastAsia"/>
              </w:rPr>
              <w:t>基金托管人</w:t>
            </w:r>
          </w:p>
        </w:tc>
        <w:tc>
          <w:tcPr>
            <w:tcW w:w="2077" w:type="dxa"/>
          </w:tcPr>
          <w:p w:rsidR="00250C1E" w:rsidRDefault="00250C1E" w:rsidP="00250C1E">
            <w:pPr>
              <w:jc w:val="left"/>
            </w:pPr>
            <w:r>
              <w:rPr>
                <w:rFonts w:hint="eastAsia"/>
              </w:rPr>
              <w:t>中国工商银行股份有限公司</w:t>
            </w:r>
          </w:p>
        </w:tc>
      </w:tr>
      <w:tr w:rsidR="00250C1E" w:rsidTr="00250C1E">
        <w:tc>
          <w:tcPr>
            <w:tcW w:w="2076" w:type="dxa"/>
          </w:tcPr>
          <w:p w:rsidR="00250C1E" w:rsidRDefault="00250C1E" w:rsidP="00250C1E">
            <w:pPr>
              <w:jc w:val="left"/>
            </w:pPr>
            <w:r>
              <w:rPr>
                <w:rFonts w:hint="eastAsia"/>
              </w:rPr>
              <w:t>境外托管人中文名称</w:t>
            </w:r>
          </w:p>
        </w:tc>
        <w:tc>
          <w:tcPr>
            <w:tcW w:w="2076" w:type="dxa"/>
          </w:tcPr>
          <w:p w:rsidR="00250C1E" w:rsidRDefault="00250C1E" w:rsidP="00250C1E">
            <w:pPr>
              <w:jc w:val="left"/>
            </w:pPr>
            <w:r>
              <w:rPr>
                <w:rFonts w:hint="eastAsia"/>
              </w:rPr>
              <w:t>布朗兄弟哈里曼银行</w:t>
            </w:r>
          </w:p>
        </w:tc>
        <w:tc>
          <w:tcPr>
            <w:tcW w:w="2077" w:type="dxa"/>
          </w:tcPr>
          <w:p w:rsidR="00250C1E" w:rsidRDefault="00250C1E" w:rsidP="00250C1E">
            <w:pPr>
              <w:jc w:val="left"/>
            </w:pPr>
            <w:r>
              <w:rPr>
                <w:rFonts w:hint="eastAsia"/>
              </w:rPr>
              <w:t>境外托管人英文名称</w:t>
            </w:r>
          </w:p>
        </w:tc>
        <w:tc>
          <w:tcPr>
            <w:tcW w:w="2077" w:type="dxa"/>
          </w:tcPr>
          <w:p w:rsidR="00250C1E" w:rsidRDefault="00250C1E" w:rsidP="00250C1E">
            <w:pPr>
              <w:jc w:val="left"/>
            </w:pPr>
            <w:r>
              <w:t>Brown Brothers Harriman &amp; Co.</w:t>
            </w:r>
          </w:p>
        </w:tc>
      </w:tr>
      <w:tr w:rsidR="00250C1E" w:rsidTr="00250C1E">
        <w:tc>
          <w:tcPr>
            <w:tcW w:w="2076" w:type="dxa"/>
            <w:vMerge w:val="restart"/>
          </w:tcPr>
          <w:p w:rsidR="00250C1E" w:rsidRDefault="00250C1E" w:rsidP="00250C1E">
            <w:pPr>
              <w:jc w:val="left"/>
            </w:pPr>
            <w:r>
              <w:rPr>
                <w:rFonts w:hint="eastAsia"/>
              </w:rPr>
              <w:t>基金合同生效日</w:t>
            </w:r>
          </w:p>
        </w:tc>
        <w:tc>
          <w:tcPr>
            <w:tcW w:w="2076" w:type="dxa"/>
            <w:vMerge w:val="restart"/>
          </w:tcPr>
          <w:p w:rsidR="00250C1E" w:rsidRDefault="00250C1E" w:rsidP="00250C1E">
            <w:pPr>
              <w:jc w:val="left"/>
            </w:pPr>
            <w:r>
              <w:rPr>
                <w:rFonts w:hint="eastAsia"/>
              </w:rPr>
              <w:t>2017</w:t>
            </w:r>
            <w:r>
              <w:rPr>
                <w:rFonts w:hint="eastAsia"/>
              </w:rPr>
              <w:t>年</w:t>
            </w:r>
            <w:r>
              <w:rPr>
                <w:rFonts w:hint="eastAsia"/>
              </w:rPr>
              <w:t>10</w:t>
            </w:r>
            <w:r>
              <w:rPr>
                <w:rFonts w:hint="eastAsia"/>
              </w:rPr>
              <w:t>月</w:t>
            </w:r>
            <w:r>
              <w:rPr>
                <w:rFonts w:hint="eastAsia"/>
              </w:rPr>
              <w:t>26</w:t>
            </w:r>
            <w:r>
              <w:rPr>
                <w:rFonts w:hint="eastAsia"/>
              </w:rPr>
              <w:t>日</w:t>
            </w:r>
          </w:p>
        </w:tc>
        <w:tc>
          <w:tcPr>
            <w:tcW w:w="2077" w:type="dxa"/>
          </w:tcPr>
          <w:p w:rsidR="00250C1E" w:rsidRDefault="00250C1E" w:rsidP="00250C1E">
            <w:pPr>
              <w:jc w:val="left"/>
            </w:pPr>
            <w:r>
              <w:rPr>
                <w:rFonts w:hint="eastAsia"/>
              </w:rPr>
              <w:t>上市交易所</w:t>
            </w:r>
          </w:p>
        </w:tc>
        <w:tc>
          <w:tcPr>
            <w:tcW w:w="2077" w:type="dxa"/>
          </w:tcPr>
          <w:p w:rsidR="00250C1E" w:rsidRDefault="00250C1E" w:rsidP="00250C1E">
            <w:pPr>
              <w:jc w:val="left"/>
            </w:pPr>
            <w:r>
              <w:rPr>
                <w:rFonts w:hint="eastAsia"/>
              </w:rPr>
              <w:t>深圳证券交易所</w:t>
            </w:r>
          </w:p>
        </w:tc>
      </w:tr>
      <w:tr w:rsidR="00250C1E" w:rsidTr="00250C1E">
        <w:tc>
          <w:tcPr>
            <w:tcW w:w="2076" w:type="dxa"/>
            <w:vMerge/>
          </w:tcPr>
          <w:p w:rsidR="00250C1E" w:rsidRDefault="00250C1E" w:rsidP="00250C1E">
            <w:pPr>
              <w:jc w:val="left"/>
            </w:pPr>
          </w:p>
        </w:tc>
        <w:tc>
          <w:tcPr>
            <w:tcW w:w="2076" w:type="dxa"/>
            <w:vMerge/>
          </w:tcPr>
          <w:p w:rsidR="00250C1E" w:rsidRDefault="00250C1E" w:rsidP="00250C1E">
            <w:pPr>
              <w:jc w:val="left"/>
            </w:pPr>
          </w:p>
        </w:tc>
        <w:tc>
          <w:tcPr>
            <w:tcW w:w="2077" w:type="dxa"/>
          </w:tcPr>
          <w:p w:rsidR="00250C1E" w:rsidRDefault="00250C1E" w:rsidP="00250C1E">
            <w:pPr>
              <w:jc w:val="left"/>
            </w:pPr>
            <w:r>
              <w:rPr>
                <w:rFonts w:hint="eastAsia"/>
              </w:rPr>
              <w:t>上市日期</w:t>
            </w:r>
          </w:p>
        </w:tc>
        <w:tc>
          <w:tcPr>
            <w:tcW w:w="2077" w:type="dxa"/>
          </w:tcPr>
          <w:p w:rsidR="00250C1E" w:rsidRDefault="00250C1E" w:rsidP="00250C1E">
            <w:pPr>
              <w:jc w:val="left"/>
            </w:pPr>
            <w:r>
              <w:rPr>
                <w:rFonts w:hint="eastAsia"/>
              </w:rPr>
              <w:t>2017</w:t>
            </w:r>
            <w:r>
              <w:rPr>
                <w:rFonts w:hint="eastAsia"/>
              </w:rPr>
              <w:t>年</w:t>
            </w:r>
            <w:r>
              <w:rPr>
                <w:rFonts w:hint="eastAsia"/>
              </w:rPr>
              <w:t>11</w:t>
            </w:r>
            <w:r>
              <w:rPr>
                <w:rFonts w:hint="eastAsia"/>
              </w:rPr>
              <w:t>月</w:t>
            </w:r>
            <w:r>
              <w:rPr>
                <w:rFonts w:hint="eastAsia"/>
              </w:rPr>
              <w:t>24</w:t>
            </w:r>
            <w:r>
              <w:rPr>
                <w:rFonts w:hint="eastAsia"/>
              </w:rPr>
              <w:t>日</w:t>
            </w:r>
          </w:p>
        </w:tc>
      </w:tr>
      <w:tr w:rsidR="00250C1E" w:rsidTr="00250C1E">
        <w:tc>
          <w:tcPr>
            <w:tcW w:w="2076" w:type="dxa"/>
          </w:tcPr>
          <w:p w:rsidR="00250C1E" w:rsidRDefault="00250C1E" w:rsidP="00250C1E">
            <w:pPr>
              <w:jc w:val="left"/>
            </w:pPr>
            <w:r>
              <w:rPr>
                <w:rFonts w:hint="eastAsia"/>
              </w:rPr>
              <w:t>基金类型</w:t>
            </w:r>
          </w:p>
        </w:tc>
        <w:tc>
          <w:tcPr>
            <w:tcW w:w="2076" w:type="dxa"/>
          </w:tcPr>
          <w:p w:rsidR="00250C1E" w:rsidRDefault="00250C1E" w:rsidP="00250C1E">
            <w:pPr>
              <w:jc w:val="left"/>
            </w:pPr>
            <w:r>
              <w:rPr>
                <w:rFonts w:hint="eastAsia"/>
              </w:rPr>
              <w:t>股票型</w:t>
            </w:r>
          </w:p>
        </w:tc>
        <w:tc>
          <w:tcPr>
            <w:tcW w:w="2077" w:type="dxa"/>
          </w:tcPr>
          <w:p w:rsidR="00250C1E" w:rsidRDefault="00250C1E" w:rsidP="00250C1E">
            <w:pPr>
              <w:jc w:val="left"/>
            </w:pPr>
            <w:r>
              <w:rPr>
                <w:rFonts w:hint="eastAsia"/>
              </w:rPr>
              <w:t>交易币种</w:t>
            </w:r>
          </w:p>
        </w:tc>
        <w:tc>
          <w:tcPr>
            <w:tcW w:w="2077" w:type="dxa"/>
          </w:tcPr>
          <w:p w:rsidR="00250C1E" w:rsidRDefault="00250C1E" w:rsidP="00250C1E">
            <w:pPr>
              <w:jc w:val="left"/>
            </w:pPr>
            <w:r>
              <w:rPr>
                <w:rFonts w:hint="eastAsia"/>
              </w:rPr>
              <w:t>人民币</w:t>
            </w:r>
          </w:p>
        </w:tc>
      </w:tr>
      <w:tr w:rsidR="00250C1E" w:rsidTr="004E4EEA">
        <w:tc>
          <w:tcPr>
            <w:tcW w:w="2076" w:type="dxa"/>
          </w:tcPr>
          <w:p w:rsidR="00250C1E" w:rsidRDefault="00250C1E" w:rsidP="00250C1E">
            <w:pPr>
              <w:jc w:val="left"/>
            </w:pPr>
            <w:r>
              <w:rPr>
                <w:rFonts w:hint="eastAsia"/>
              </w:rPr>
              <w:t>运作方式</w:t>
            </w:r>
          </w:p>
        </w:tc>
        <w:tc>
          <w:tcPr>
            <w:tcW w:w="6230" w:type="dxa"/>
            <w:gridSpan w:val="3"/>
          </w:tcPr>
          <w:p w:rsidR="00250C1E" w:rsidRDefault="00250C1E" w:rsidP="00250C1E">
            <w:pPr>
              <w:jc w:val="left"/>
            </w:pPr>
            <w:r>
              <w:rPr>
                <w:rFonts w:hint="eastAsia"/>
              </w:rPr>
              <w:t>普通开放式</w:t>
            </w:r>
          </w:p>
        </w:tc>
      </w:tr>
      <w:tr w:rsidR="00250C1E" w:rsidTr="00D81564">
        <w:tc>
          <w:tcPr>
            <w:tcW w:w="2076" w:type="dxa"/>
          </w:tcPr>
          <w:p w:rsidR="00250C1E" w:rsidRDefault="00250C1E" w:rsidP="00250C1E">
            <w:pPr>
              <w:jc w:val="left"/>
            </w:pPr>
            <w:r>
              <w:rPr>
                <w:rFonts w:hint="eastAsia"/>
              </w:rPr>
              <w:t>开放频率</w:t>
            </w:r>
          </w:p>
        </w:tc>
        <w:tc>
          <w:tcPr>
            <w:tcW w:w="6230" w:type="dxa"/>
            <w:gridSpan w:val="3"/>
          </w:tcPr>
          <w:p w:rsidR="00250C1E" w:rsidRDefault="00250C1E" w:rsidP="00250C1E">
            <w:pPr>
              <w:jc w:val="left"/>
            </w:pPr>
            <w:r>
              <w:rPr>
                <w:rFonts w:hint="eastAsia"/>
              </w:rPr>
              <w:t>每个开放日</w:t>
            </w:r>
          </w:p>
        </w:tc>
      </w:tr>
      <w:tr w:rsidR="00250C1E" w:rsidTr="00250C1E">
        <w:tc>
          <w:tcPr>
            <w:tcW w:w="2076" w:type="dxa"/>
            <w:vMerge w:val="restart"/>
          </w:tcPr>
          <w:p w:rsidR="00250C1E" w:rsidRDefault="00250C1E" w:rsidP="00250C1E">
            <w:pPr>
              <w:jc w:val="left"/>
            </w:pPr>
            <w:r>
              <w:rPr>
                <w:rFonts w:hint="eastAsia"/>
              </w:rPr>
              <w:t>基金经理</w:t>
            </w:r>
          </w:p>
        </w:tc>
        <w:tc>
          <w:tcPr>
            <w:tcW w:w="2076" w:type="dxa"/>
            <w:vMerge w:val="restart"/>
          </w:tcPr>
          <w:p w:rsidR="00250C1E" w:rsidRDefault="00250C1E" w:rsidP="00250C1E">
            <w:pPr>
              <w:jc w:val="left"/>
            </w:pPr>
            <w:r>
              <w:rPr>
                <w:rFonts w:hint="eastAsia"/>
              </w:rPr>
              <w:t>张其思</w:t>
            </w:r>
          </w:p>
        </w:tc>
        <w:tc>
          <w:tcPr>
            <w:tcW w:w="2077" w:type="dxa"/>
          </w:tcPr>
          <w:p w:rsidR="00250C1E" w:rsidRDefault="00250C1E" w:rsidP="00250C1E">
            <w:pPr>
              <w:jc w:val="left"/>
            </w:pPr>
            <w:r>
              <w:rPr>
                <w:rFonts w:hint="eastAsia"/>
              </w:rPr>
              <w:t>开始担任本基金基金经理的日期</w:t>
            </w:r>
          </w:p>
        </w:tc>
        <w:tc>
          <w:tcPr>
            <w:tcW w:w="2077" w:type="dxa"/>
          </w:tcPr>
          <w:p w:rsidR="00250C1E" w:rsidRDefault="00250C1E" w:rsidP="00250C1E">
            <w:pPr>
              <w:jc w:val="left"/>
            </w:pPr>
            <w:r>
              <w:rPr>
                <w:rFonts w:hint="eastAsia"/>
              </w:rPr>
              <w:t>2021</w:t>
            </w:r>
            <w:r>
              <w:rPr>
                <w:rFonts w:hint="eastAsia"/>
              </w:rPr>
              <w:t>年</w:t>
            </w:r>
            <w:r>
              <w:rPr>
                <w:rFonts w:hint="eastAsia"/>
              </w:rPr>
              <w:t>3</w:t>
            </w:r>
            <w:r>
              <w:rPr>
                <w:rFonts w:hint="eastAsia"/>
              </w:rPr>
              <w:t>月</w:t>
            </w:r>
            <w:r>
              <w:rPr>
                <w:rFonts w:hint="eastAsia"/>
              </w:rPr>
              <w:t>26</w:t>
            </w:r>
            <w:r>
              <w:rPr>
                <w:rFonts w:hint="eastAsia"/>
              </w:rPr>
              <w:t>日</w:t>
            </w:r>
          </w:p>
        </w:tc>
      </w:tr>
      <w:tr w:rsidR="00250C1E" w:rsidTr="00250C1E">
        <w:tc>
          <w:tcPr>
            <w:tcW w:w="2076" w:type="dxa"/>
            <w:vMerge/>
          </w:tcPr>
          <w:p w:rsidR="00250C1E" w:rsidRDefault="00250C1E" w:rsidP="00250C1E">
            <w:pPr>
              <w:jc w:val="left"/>
            </w:pPr>
          </w:p>
        </w:tc>
        <w:tc>
          <w:tcPr>
            <w:tcW w:w="2076" w:type="dxa"/>
            <w:vMerge/>
          </w:tcPr>
          <w:p w:rsidR="00250C1E" w:rsidRDefault="00250C1E" w:rsidP="00250C1E">
            <w:pPr>
              <w:jc w:val="left"/>
            </w:pPr>
          </w:p>
        </w:tc>
        <w:tc>
          <w:tcPr>
            <w:tcW w:w="2077" w:type="dxa"/>
          </w:tcPr>
          <w:p w:rsidR="00250C1E" w:rsidRDefault="00250C1E" w:rsidP="00250C1E">
            <w:pPr>
              <w:jc w:val="left"/>
            </w:pPr>
            <w:r>
              <w:rPr>
                <w:rFonts w:hint="eastAsia"/>
              </w:rPr>
              <w:t>证券从业日期</w:t>
            </w:r>
          </w:p>
        </w:tc>
        <w:tc>
          <w:tcPr>
            <w:tcW w:w="2077" w:type="dxa"/>
          </w:tcPr>
          <w:p w:rsidR="00250C1E" w:rsidRDefault="00250C1E" w:rsidP="00250C1E">
            <w:pPr>
              <w:jc w:val="left"/>
            </w:pPr>
            <w:r>
              <w:rPr>
                <w:rFonts w:hint="eastAsia"/>
              </w:rPr>
              <w:t>2014</w:t>
            </w:r>
            <w:r>
              <w:rPr>
                <w:rFonts w:hint="eastAsia"/>
              </w:rPr>
              <w:t>年</w:t>
            </w:r>
            <w:r>
              <w:rPr>
                <w:rFonts w:hint="eastAsia"/>
              </w:rPr>
              <w:t>3</w:t>
            </w:r>
            <w:r>
              <w:rPr>
                <w:rFonts w:hint="eastAsia"/>
              </w:rPr>
              <w:t>月</w:t>
            </w:r>
            <w:r>
              <w:rPr>
                <w:rFonts w:hint="eastAsia"/>
              </w:rPr>
              <w:t>3</w:t>
            </w:r>
            <w:r>
              <w:rPr>
                <w:rFonts w:hint="eastAsia"/>
              </w:rPr>
              <w:t>日</w:t>
            </w:r>
          </w:p>
        </w:tc>
      </w:tr>
      <w:tr w:rsidR="00250C1E" w:rsidTr="00250C1E">
        <w:tc>
          <w:tcPr>
            <w:tcW w:w="2076" w:type="dxa"/>
            <w:vMerge w:val="restart"/>
          </w:tcPr>
          <w:p w:rsidR="00250C1E" w:rsidRDefault="00250C1E" w:rsidP="00250C1E">
            <w:pPr>
              <w:jc w:val="left"/>
            </w:pPr>
            <w:r>
              <w:rPr>
                <w:rFonts w:hint="eastAsia"/>
              </w:rPr>
              <w:t>基金经理</w:t>
            </w:r>
          </w:p>
        </w:tc>
        <w:tc>
          <w:tcPr>
            <w:tcW w:w="2076" w:type="dxa"/>
            <w:vMerge w:val="restart"/>
          </w:tcPr>
          <w:p w:rsidR="00250C1E" w:rsidRDefault="00250C1E" w:rsidP="00250C1E">
            <w:pPr>
              <w:jc w:val="left"/>
            </w:pPr>
            <w:r>
              <w:rPr>
                <w:rFonts w:hint="eastAsia"/>
              </w:rPr>
              <w:t>黄亮</w:t>
            </w:r>
          </w:p>
        </w:tc>
        <w:tc>
          <w:tcPr>
            <w:tcW w:w="2077" w:type="dxa"/>
          </w:tcPr>
          <w:p w:rsidR="00250C1E" w:rsidRDefault="00250C1E" w:rsidP="00250C1E">
            <w:pPr>
              <w:jc w:val="left"/>
            </w:pPr>
            <w:r>
              <w:rPr>
                <w:rFonts w:hint="eastAsia"/>
              </w:rPr>
              <w:t>开始担任本基金基金经理的日期</w:t>
            </w:r>
          </w:p>
        </w:tc>
        <w:tc>
          <w:tcPr>
            <w:tcW w:w="2077" w:type="dxa"/>
          </w:tcPr>
          <w:p w:rsidR="00250C1E" w:rsidRDefault="00250C1E" w:rsidP="00250C1E">
            <w:pPr>
              <w:jc w:val="left"/>
            </w:pPr>
            <w:r>
              <w:rPr>
                <w:rFonts w:hint="eastAsia"/>
              </w:rPr>
              <w:t>2017</w:t>
            </w:r>
            <w:r>
              <w:rPr>
                <w:rFonts w:hint="eastAsia"/>
              </w:rPr>
              <w:t>年</w:t>
            </w:r>
            <w:r>
              <w:rPr>
                <w:rFonts w:hint="eastAsia"/>
              </w:rPr>
              <w:t>10</w:t>
            </w:r>
            <w:r>
              <w:rPr>
                <w:rFonts w:hint="eastAsia"/>
              </w:rPr>
              <w:t>月</w:t>
            </w:r>
            <w:r>
              <w:rPr>
                <w:rFonts w:hint="eastAsia"/>
              </w:rPr>
              <w:t>26</w:t>
            </w:r>
            <w:r>
              <w:rPr>
                <w:rFonts w:hint="eastAsia"/>
              </w:rPr>
              <w:t>日</w:t>
            </w:r>
          </w:p>
        </w:tc>
      </w:tr>
      <w:tr w:rsidR="00250C1E" w:rsidTr="00250C1E">
        <w:tc>
          <w:tcPr>
            <w:tcW w:w="2076" w:type="dxa"/>
            <w:vMerge/>
          </w:tcPr>
          <w:p w:rsidR="00250C1E" w:rsidRDefault="00250C1E" w:rsidP="00250C1E">
            <w:pPr>
              <w:jc w:val="left"/>
            </w:pPr>
          </w:p>
        </w:tc>
        <w:tc>
          <w:tcPr>
            <w:tcW w:w="2076" w:type="dxa"/>
            <w:vMerge/>
          </w:tcPr>
          <w:p w:rsidR="00250C1E" w:rsidRDefault="00250C1E" w:rsidP="00250C1E">
            <w:pPr>
              <w:jc w:val="left"/>
            </w:pPr>
          </w:p>
        </w:tc>
        <w:tc>
          <w:tcPr>
            <w:tcW w:w="2077" w:type="dxa"/>
          </w:tcPr>
          <w:p w:rsidR="00250C1E" w:rsidRDefault="00250C1E" w:rsidP="00250C1E">
            <w:pPr>
              <w:jc w:val="left"/>
            </w:pPr>
            <w:r>
              <w:rPr>
                <w:rFonts w:hint="eastAsia"/>
              </w:rPr>
              <w:t>证券从业日期</w:t>
            </w:r>
          </w:p>
        </w:tc>
        <w:tc>
          <w:tcPr>
            <w:tcW w:w="2077" w:type="dxa"/>
          </w:tcPr>
          <w:p w:rsidR="00250C1E" w:rsidRDefault="00250C1E" w:rsidP="00250C1E">
            <w:pPr>
              <w:jc w:val="left"/>
            </w:pPr>
            <w:r>
              <w:rPr>
                <w:rFonts w:hint="eastAsia"/>
              </w:rPr>
              <w:t>2001</w:t>
            </w:r>
            <w:r>
              <w:rPr>
                <w:rFonts w:hint="eastAsia"/>
              </w:rPr>
              <w:t>年</w:t>
            </w:r>
            <w:r>
              <w:rPr>
                <w:rFonts w:hint="eastAsia"/>
              </w:rPr>
              <w:t>2</w:t>
            </w:r>
            <w:r>
              <w:rPr>
                <w:rFonts w:hint="eastAsia"/>
              </w:rPr>
              <w:t>月</w:t>
            </w:r>
            <w:r>
              <w:rPr>
                <w:rFonts w:hint="eastAsia"/>
              </w:rPr>
              <w:t>2</w:t>
            </w:r>
            <w:r>
              <w:rPr>
                <w:rFonts w:hint="eastAsia"/>
              </w:rPr>
              <w:t>日</w:t>
            </w:r>
          </w:p>
        </w:tc>
      </w:tr>
      <w:tr w:rsidR="00250C1E" w:rsidTr="00EC6374">
        <w:tc>
          <w:tcPr>
            <w:tcW w:w="2076" w:type="dxa"/>
          </w:tcPr>
          <w:p w:rsidR="00250C1E" w:rsidRDefault="00250C1E" w:rsidP="00250C1E">
            <w:pPr>
              <w:jc w:val="left"/>
            </w:pPr>
            <w:r>
              <w:rPr>
                <w:rFonts w:hint="eastAsia"/>
              </w:rPr>
              <w:t>其他</w:t>
            </w:r>
          </w:p>
        </w:tc>
        <w:tc>
          <w:tcPr>
            <w:tcW w:w="6230" w:type="dxa"/>
            <w:gridSpan w:val="3"/>
          </w:tcPr>
          <w:p w:rsidR="00250C1E" w:rsidRDefault="00250C1E" w:rsidP="00250C1E">
            <w:pPr>
              <w:jc w:val="left"/>
              <w:rPr>
                <w:rFonts w:hint="eastAsia"/>
              </w:rPr>
            </w:pPr>
            <w:r>
              <w:rPr>
                <w:rFonts w:hint="eastAsia"/>
              </w:rPr>
              <w:t>1</w:t>
            </w:r>
            <w:r>
              <w:rPr>
                <w:rFonts w:hint="eastAsia"/>
              </w:rPr>
              <w:t>、场内简称：美国</w:t>
            </w:r>
            <w:r>
              <w:rPr>
                <w:rFonts w:hint="eastAsia"/>
              </w:rPr>
              <w:t>REIT</w:t>
            </w:r>
            <w:r>
              <w:rPr>
                <w:rFonts w:hint="eastAsia"/>
              </w:rPr>
              <w:t>；美国</w:t>
            </w:r>
            <w:r>
              <w:rPr>
                <w:rFonts w:hint="eastAsia"/>
              </w:rPr>
              <w:t>REIT</w:t>
            </w:r>
            <w:r>
              <w:rPr>
                <w:rFonts w:hint="eastAsia"/>
              </w:rPr>
              <w:t>精选</w:t>
            </w:r>
            <w:r>
              <w:rPr>
                <w:rFonts w:hint="eastAsia"/>
              </w:rPr>
              <w:t>LOF</w:t>
            </w:r>
          </w:p>
          <w:p w:rsidR="00250C1E" w:rsidRDefault="00250C1E" w:rsidP="00250C1E">
            <w:pPr>
              <w:jc w:val="left"/>
            </w:pPr>
            <w:r>
              <w:rPr>
                <w:rFonts w:hint="eastAsia"/>
              </w:rPr>
              <w:t>2</w:t>
            </w:r>
            <w:r>
              <w:rPr>
                <w:rFonts w:hint="eastAsia"/>
              </w:rPr>
              <w:t>、若将来基金管理人推出以道琼斯美国精选</w:t>
            </w:r>
            <w:r>
              <w:rPr>
                <w:rFonts w:hint="eastAsia"/>
              </w:rPr>
              <w:t>REIT</w:t>
            </w:r>
            <w:r>
              <w:rPr>
                <w:rFonts w:hint="eastAsia"/>
              </w:rPr>
              <w:t>指数为标的指数的交易型开放式指数基金（</w:t>
            </w:r>
            <w:r>
              <w:rPr>
                <w:rFonts w:hint="eastAsia"/>
              </w:rPr>
              <w:t>ETF</w:t>
            </w:r>
            <w:r>
              <w:rPr>
                <w:rFonts w:hint="eastAsia"/>
              </w:rPr>
              <w:t>），本基金由基金管理人和基金托管人协商一致后可相应调整为该交易型开放式指数基金（</w:t>
            </w:r>
            <w:r>
              <w:rPr>
                <w:rFonts w:hint="eastAsia"/>
              </w:rPr>
              <w:t>ETF</w:t>
            </w:r>
            <w:r>
              <w:rPr>
                <w:rFonts w:hint="eastAsia"/>
              </w:rPr>
              <w:t>）的联接基金，并对投资运作等相关内容进行调整，届时无需召开基金份额持有人大会，但需报中国证监会变更注册或备案并提前公告。</w:t>
            </w:r>
          </w:p>
        </w:tc>
      </w:tr>
    </w:tbl>
    <w:p w:rsidR="00250C1E" w:rsidRDefault="00250C1E" w:rsidP="00250C1E">
      <w:pPr>
        <w:pStyle w:val="-1"/>
        <w:spacing w:before="156" w:after="156"/>
        <w:rPr>
          <w:rFonts w:hint="eastAsia"/>
        </w:rPr>
      </w:pPr>
      <w:r>
        <w:rPr>
          <w:rFonts w:hint="eastAsia"/>
        </w:rPr>
        <w:t>二、基金投资与净值表现</w:t>
      </w:r>
    </w:p>
    <w:p w:rsidR="00250C1E" w:rsidRDefault="00250C1E" w:rsidP="00250C1E">
      <w:pPr>
        <w:pStyle w:val="-2"/>
        <w:spacing w:before="156" w:after="156"/>
        <w:rPr>
          <w:rFonts w:hint="eastAsia"/>
        </w:rPr>
      </w:pPr>
      <w:r>
        <w:rPr>
          <w:rFonts w:hint="eastAsia"/>
        </w:rPr>
        <w:t>（一）</w:t>
      </w:r>
      <w:r>
        <w:rPr>
          <w:rFonts w:hint="eastAsia"/>
        </w:rPr>
        <w:t xml:space="preserve"> </w:t>
      </w:r>
      <w:r>
        <w:rPr>
          <w:rFonts w:hint="eastAsia"/>
        </w:rPr>
        <w:t>投资目标与投资策略</w:t>
      </w:r>
    </w:p>
    <w:p w:rsidR="00250C1E" w:rsidRDefault="00250C1E" w:rsidP="00250C1E">
      <w:pPr>
        <w:pStyle w:val="-"/>
        <w:ind w:firstLine="420"/>
        <w:rPr>
          <w:rFonts w:hint="eastAsia"/>
        </w:rPr>
      </w:pPr>
      <w:r>
        <w:rPr>
          <w:rFonts w:hint="eastAsia"/>
        </w:rPr>
        <w:t>详见《南方道琼斯美国精选</w:t>
      </w:r>
      <w:r>
        <w:rPr>
          <w:rFonts w:hint="eastAsia"/>
        </w:rPr>
        <w:t>REIT</w:t>
      </w:r>
      <w:r>
        <w:rPr>
          <w:rFonts w:hint="eastAsia"/>
        </w:rPr>
        <w:t>指数证券投资基金（</w:t>
      </w:r>
      <w:r>
        <w:rPr>
          <w:rFonts w:hint="eastAsia"/>
        </w:rPr>
        <w:t>QDII-LOF</w:t>
      </w:r>
      <w:r>
        <w:rPr>
          <w:rFonts w:hint="eastAsia"/>
        </w:rPr>
        <w:t>）招募说明书》第四部分“基金的投资”。</w:t>
      </w:r>
    </w:p>
    <w:tbl>
      <w:tblPr>
        <w:tblStyle w:val="-noheader"/>
        <w:tblW w:w="8505" w:type="dxa"/>
        <w:tblLayout w:type="fixed"/>
        <w:tblLook w:val="04A0" w:firstRow="1" w:lastRow="0" w:firstColumn="1" w:lastColumn="0" w:noHBand="0" w:noVBand="1"/>
      </w:tblPr>
      <w:tblGrid>
        <w:gridCol w:w="1701"/>
        <w:gridCol w:w="6804"/>
      </w:tblGrid>
      <w:tr w:rsidR="00250C1E" w:rsidTr="00250C1E">
        <w:tc>
          <w:tcPr>
            <w:tcW w:w="8505" w:type="nil"/>
          </w:tcPr>
          <w:p w:rsidR="00250C1E" w:rsidRDefault="00250C1E" w:rsidP="00250C1E">
            <w:pPr>
              <w:pStyle w:val="-"/>
              <w:shd w:val="clear" w:color="auto" w:fill="auto"/>
              <w:ind w:firstLineChars="0" w:firstLine="0"/>
              <w:jc w:val="left"/>
            </w:pPr>
            <w:r>
              <w:rPr>
                <w:rFonts w:hint="eastAsia"/>
              </w:rPr>
              <w:t>投资目标</w:t>
            </w:r>
          </w:p>
        </w:tc>
        <w:tc>
          <w:tcPr>
            <w:tcW w:w="8505" w:type="nil"/>
          </w:tcPr>
          <w:p w:rsidR="00250C1E" w:rsidRDefault="00250C1E" w:rsidP="00250C1E">
            <w:pPr>
              <w:pStyle w:val="-"/>
              <w:shd w:val="clear" w:color="auto" w:fill="auto"/>
              <w:ind w:firstLineChars="0" w:firstLine="0"/>
              <w:jc w:val="left"/>
            </w:pPr>
            <w:r>
              <w:rPr>
                <w:rFonts w:hint="eastAsia"/>
              </w:rPr>
              <w:t>在有效分散风险的基础上，力争获得与业绩比较基准相似的回报。</w:t>
            </w:r>
          </w:p>
        </w:tc>
      </w:tr>
      <w:tr w:rsidR="00250C1E" w:rsidTr="00250C1E">
        <w:tc>
          <w:tcPr>
            <w:tcW w:w="8505" w:type="nil"/>
          </w:tcPr>
          <w:p w:rsidR="00250C1E" w:rsidRDefault="00250C1E" w:rsidP="00250C1E">
            <w:pPr>
              <w:pStyle w:val="-"/>
              <w:shd w:val="clear" w:color="auto" w:fill="auto"/>
              <w:ind w:firstLineChars="0" w:firstLine="0"/>
              <w:jc w:val="left"/>
            </w:pPr>
            <w:r>
              <w:rPr>
                <w:rFonts w:hint="eastAsia"/>
              </w:rPr>
              <w:t>投资范围</w:t>
            </w:r>
          </w:p>
        </w:tc>
        <w:tc>
          <w:tcPr>
            <w:tcW w:w="8505" w:type="nil"/>
          </w:tcPr>
          <w:p w:rsidR="00250C1E" w:rsidRDefault="00250C1E" w:rsidP="00250C1E">
            <w:pPr>
              <w:pStyle w:val="-"/>
              <w:shd w:val="clear" w:color="auto" w:fill="auto"/>
              <w:ind w:firstLineChars="0" w:firstLine="0"/>
              <w:jc w:val="left"/>
            </w:pPr>
            <w:r>
              <w:rPr>
                <w:rFonts w:hint="eastAsia"/>
              </w:rPr>
              <w:t>本基金投资范围为道琼斯美国精选</w:t>
            </w:r>
            <w:r>
              <w:t>REIT</w:t>
            </w:r>
            <w:r>
              <w:t>指数的成份券、备选成份券、以道琼斯美国精选</w:t>
            </w:r>
            <w:r>
              <w:t>REIT</w:t>
            </w:r>
            <w:r>
              <w:t>指数为投资标的的指数基金（包括</w:t>
            </w:r>
            <w:r>
              <w:t>ETF</w:t>
            </w:r>
            <w:r>
              <w:t>）等；已</w:t>
            </w:r>
            <w:r>
              <w:lastRenderedPageBreak/>
              <w:t>与中国证监会签署双边监管合作谅解备忘录的国家或地区证券市场挂牌交易的普通股、优先股、全球存托凭证和美国存托凭证、房地产信托凭证；银行存款、可转让存单、银行承兑汇票、银行票据、商业票据、回购协议、短期政府债券等货币市场工具；在已与中国证监会签署双边监管合作谅解备忘录的国家或地区证券监管机构登记注册的公募债券型基金及货币市场基金；与固定收益、信用等标的物挂钩的结构性投资产品、远期</w:t>
            </w:r>
            <w:r>
              <w:rPr>
                <w:rFonts w:hint="eastAsia"/>
              </w:rPr>
              <w:t>合约、互换及经中国证监会认可的境外交易所上市交易的期权、期货等金融衍生产品。</w:t>
            </w:r>
          </w:p>
          <w:p w:rsidR="00250C1E" w:rsidRDefault="00250C1E" w:rsidP="00250C1E">
            <w:pPr>
              <w:pStyle w:val="-"/>
              <w:shd w:val="clear" w:color="auto" w:fill="auto"/>
              <w:ind w:firstLineChars="0" w:firstLine="0"/>
              <w:jc w:val="left"/>
            </w:pPr>
            <w:r>
              <w:rPr>
                <w:rFonts w:hint="eastAsia"/>
              </w:rPr>
              <w:t>基金的投资组合比例为：本基金投资于道琼斯美国精选</w:t>
            </w:r>
            <w:r>
              <w:t>REIT</w:t>
            </w:r>
            <w:r>
              <w:t>指数成份券、备选成份券及以道琼斯美国精选</w:t>
            </w:r>
            <w:r>
              <w:t>REIT</w:t>
            </w:r>
            <w:r>
              <w:t>指数为投资标的的指数基金（包括</w:t>
            </w:r>
            <w:r>
              <w:t>ETF</w:t>
            </w:r>
            <w:r>
              <w:t>）的投资比例不低于基金资产的</w:t>
            </w:r>
            <w:r>
              <w:t>90%</w:t>
            </w:r>
            <w:r>
              <w:t>，现金或者到期日在一年以内的政府债券不低于基金资产净值的</w:t>
            </w:r>
            <w:r>
              <w:t>5%</w:t>
            </w:r>
            <w:r>
              <w:t>。</w:t>
            </w:r>
          </w:p>
          <w:p w:rsidR="00250C1E" w:rsidRDefault="00250C1E" w:rsidP="00250C1E">
            <w:pPr>
              <w:pStyle w:val="-"/>
              <w:shd w:val="clear" w:color="auto" w:fill="auto"/>
              <w:ind w:firstLineChars="0" w:firstLine="0"/>
              <w:jc w:val="left"/>
            </w:pPr>
            <w:r>
              <w:rPr>
                <w:rFonts w:hint="eastAsia"/>
              </w:rPr>
              <w:t>本基金的标的指数为道琼斯美国精选</w:t>
            </w:r>
            <w:r>
              <w:t>REIT</w:t>
            </w:r>
            <w:r>
              <w:t>指数。</w:t>
            </w:r>
          </w:p>
        </w:tc>
      </w:tr>
      <w:tr w:rsidR="00250C1E" w:rsidTr="00250C1E">
        <w:tc>
          <w:tcPr>
            <w:tcW w:w="8505" w:type="nil"/>
          </w:tcPr>
          <w:p w:rsidR="00250C1E" w:rsidRDefault="00250C1E" w:rsidP="00250C1E">
            <w:pPr>
              <w:pStyle w:val="-"/>
              <w:shd w:val="clear" w:color="auto" w:fill="auto"/>
              <w:ind w:firstLineChars="0" w:firstLine="0"/>
              <w:jc w:val="left"/>
            </w:pPr>
            <w:r>
              <w:rPr>
                <w:rFonts w:hint="eastAsia"/>
              </w:rPr>
              <w:lastRenderedPageBreak/>
              <w:t>主要投资策略</w:t>
            </w:r>
          </w:p>
        </w:tc>
        <w:tc>
          <w:tcPr>
            <w:tcW w:w="8505" w:type="nil"/>
          </w:tcPr>
          <w:p w:rsidR="00250C1E" w:rsidRDefault="00250C1E" w:rsidP="00250C1E">
            <w:pPr>
              <w:pStyle w:val="-"/>
              <w:shd w:val="clear" w:color="auto" w:fill="auto"/>
              <w:ind w:firstLineChars="0" w:firstLine="0"/>
              <w:jc w:val="left"/>
            </w:pPr>
            <w:r>
              <w:rPr>
                <w:rFonts w:hint="eastAsia"/>
              </w:rPr>
              <w:t>本基金采用被动式指数化投资，以实现对标的指数的有效跟踪。主要采用完全复制法，即完全按照标的指数的成份券组成及其权重构建</w:t>
            </w:r>
            <w:r>
              <w:t>REIT</w:t>
            </w:r>
            <w:r>
              <w:t>投资组合，并根据标的指数成份券及其权重的变动进行相应调整。</w:t>
            </w:r>
          </w:p>
        </w:tc>
      </w:tr>
      <w:tr w:rsidR="00250C1E" w:rsidTr="00250C1E">
        <w:tc>
          <w:tcPr>
            <w:tcW w:w="8505" w:type="nil"/>
          </w:tcPr>
          <w:p w:rsidR="00250C1E" w:rsidRDefault="00250C1E" w:rsidP="00250C1E">
            <w:pPr>
              <w:pStyle w:val="-"/>
              <w:shd w:val="clear" w:color="auto" w:fill="auto"/>
              <w:ind w:firstLineChars="0" w:firstLine="0"/>
              <w:jc w:val="left"/>
            </w:pPr>
            <w:r>
              <w:rPr>
                <w:rFonts w:hint="eastAsia"/>
              </w:rPr>
              <w:t>业绩比较基准</w:t>
            </w:r>
          </w:p>
        </w:tc>
        <w:tc>
          <w:tcPr>
            <w:tcW w:w="8505" w:type="nil"/>
          </w:tcPr>
          <w:p w:rsidR="00250C1E" w:rsidRDefault="00250C1E" w:rsidP="00250C1E">
            <w:pPr>
              <w:pStyle w:val="-"/>
              <w:shd w:val="clear" w:color="auto" w:fill="auto"/>
              <w:ind w:firstLineChars="0" w:firstLine="0"/>
              <w:jc w:val="left"/>
            </w:pPr>
            <w:r>
              <w:rPr>
                <w:rFonts w:hint="eastAsia"/>
              </w:rPr>
              <w:t>道琼斯美国精选</w:t>
            </w:r>
            <w:r>
              <w:t>REIT</w:t>
            </w:r>
            <w:r>
              <w:t>指数收益率</w:t>
            </w:r>
            <w:r>
              <w:t>×95%+</w:t>
            </w:r>
            <w:r>
              <w:t>银行人民币活期存款利率（税后）</w:t>
            </w:r>
            <w:r>
              <w:t>×5%</w:t>
            </w:r>
          </w:p>
        </w:tc>
      </w:tr>
      <w:tr w:rsidR="00250C1E" w:rsidTr="00250C1E">
        <w:tc>
          <w:tcPr>
            <w:tcW w:w="8505" w:type="nil"/>
          </w:tcPr>
          <w:p w:rsidR="00250C1E" w:rsidRDefault="00250C1E" w:rsidP="00250C1E">
            <w:pPr>
              <w:pStyle w:val="-"/>
              <w:shd w:val="clear" w:color="auto" w:fill="auto"/>
              <w:ind w:firstLineChars="0" w:firstLine="0"/>
              <w:jc w:val="left"/>
            </w:pPr>
            <w:r>
              <w:rPr>
                <w:rFonts w:hint="eastAsia"/>
              </w:rPr>
              <w:t>风险收益特征</w:t>
            </w:r>
          </w:p>
        </w:tc>
        <w:tc>
          <w:tcPr>
            <w:tcW w:w="8505" w:type="nil"/>
          </w:tcPr>
          <w:p w:rsidR="00250C1E" w:rsidRDefault="00250C1E" w:rsidP="00250C1E">
            <w:pPr>
              <w:pStyle w:val="-"/>
              <w:shd w:val="clear" w:color="auto" w:fill="auto"/>
              <w:ind w:firstLineChars="0" w:firstLine="0"/>
              <w:jc w:val="left"/>
            </w:pPr>
            <w:r>
              <w:rPr>
                <w:rFonts w:hint="eastAsia"/>
              </w:rPr>
              <w:t>本基金为股票型基金，属于较高预期风险和预期收益的证券投资基金品种，其预期风险和预期收益水平高于混合型基金、债券型基金及货币市场基金。</w:t>
            </w:r>
          </w:p>
          <w:p w:rsidR="00250C1E" w:rsidRDefault="00250C1E" w:rsidP="00250C1E">
            <w:pPr>
              <w:pStyle w:val="-"/>
              <w:shd w:val="clear" w:color="auto" w:fill="auto"/>
              <w:ind w:firstLineChars="0" w:firstLine="0"/>
              <w:jc w:val="left"/>
            </w:pPr>
            <w:r>
              <w:rPr>
                <w:rFonts w:hint="eastAsia"/>
              </w:rPr>
              <w:t>本基金主要投资于境外市场，需承担汇率风险以及境外市场的风险。</w:t>
            </w:r>
          </w:p>
        </w:tc>
      </w:tr>
    </w:tbl>
    <w:p w:rsidR="00250C1E" w:rsidRDefault="00250C1E" w:rsidP="00250C1E">
      <w:pPr>
        <w:pStyle w:val="-2"/>
        <w:spacing w:before="156" w:after="156"/>
      </w:pPr>
      <w:r>
        <w:rPr>
          <w:rFonts w:hint="eastAsia"/>
        </w:rPr>
        <w:t>（二）</w:t>
      </w:r>
      <w:r>
        <w:t xml:space="preserve"> </w:t>
      </w:r>
      <w:r>
        <w:t>投资组合资产配置图表</w:t>
      </w:r>
      <w:r>
        <w:t>/</w:t>
      </w:r>
      <w:r>
        <w:t>区域配置图表</w:t>
      </w:r>
    </w:p>
    <w:p w:rsidR="00250C1E" w:rsidRDefault="00250C1E" w:rsidP="00250C1E">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250C1E" w:rsidRDefault="00250C1E" w:rsidP="00250C1E">
      <w:r>
        <w:rPr>
          <w:noProof/>
        </w:rPr>
        <w:lastRenderedPageBreak/>
        <w:drawing>
          <wp:inline distT="0" distB="0" distL="0" distR="0">
            <wp:extent cx="5274310" cy="3101975"/>
            <wp:effectExtent l="0" t="0" r="2540" b="317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101975"/>
                    </a:xfrm>
                    <a:prstGeom prst="rect">
                      <a:avLst/>
                    </a:prstGeom>
                  </pic:spPr>
                </pic:pic>
              </a:graphicData>
            </a:graphic>
          </wp:inline>
        </w:drawing>
      </w:r>
    </w:p>
    <w:p w:rsidR="00250C1E" w:rsidRDefault="00250C1E" w:rsidP="00250C1E">
      <w:pPr>
        <w:pStyle w:val="-"/>
        <w:ind w:firstLine="420"/>
        <w:rPr>
          <w:rFonts w:hint="eastAsia"/>
        </w:rPr>
      </w:pPr>
      <w:r>
        <w:rPr>
          <w:rFonts w:hint="eastAsia"/>
        </w:rPr>
        <w:t>投资组合区域配置饼状图空白部分为除权益投资外的资产占基金资产净值比例。</w:t>
      </w:r>
    </w:p>
    <w:p w:rsidR="00250C1E" w:rsidRDefault="00250C1E" w:rsidP="00250C1E">
      <w:pPr>
        <w:pStyle w:val="-2"/>
        <w:spacing w:before="156" w:after="156"/>
      </w:pPr>
      <w:r>
        <w:rPr>
          <w:rFonts w:hint="eastAsia"/>
        </w:rPr>
        <w:t>（三）</w:t>
      </w:r>
      <w:r>
        <w:t xml:space="preserve"> </w:t>
      </w:r>
      <w:r>
        <w:t>自基金合同生效以来基金每年的净值增长率及与同期业绩比较基准的比较图</w:t>
      </w:r>
    </w:p>
    <w:p w:rsidR="00250C1E" w:rsidRDefault="00250C1E" w:rsidP="00250C1E">
      <w:r>
        <w:rPr>
          <w:noProof/>
        </w:rPr>
        <w:drawing>
          <wp:inline distT="0" distB="0" distL="0" distR="0">
            <wp:extent cx="5274310" cy="4048760"/>
            <wp:effectExtent l="0" t="0" r="2540" b="889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048760"/>
                    </a:xfrm>
                    <a:prstGeom prst="rect">
                      <a:avLst/>
                    </a:prstGeom>
                  </pic:spPr>
                </pic:pic>
              </a:graphicData>
            </a:graphic>
          </wp:inline>
        </w:drawing>
      </w:r>
    </w:p>
    <w:p w:rsidR="00250C1E" w:rsidRDefault="00250C1E" w:rsidP="00250C1E">
      <w:pPr>
        <w:pStyle w:val="-1"/>
        <w:spacing w:before="156" w:after="156"/>
        <w:rPr>
          <w:rFonts w:hint="eastAsia"/>
        </w:rPr>
      </w:pPr>
      <w:r>
        <w:rPr>
          <w:rFonts w:hint="eastAsia"/>
        </w:rPr>
        <w:t>三、投资本基金涉及的费用</w:t>
      </w:r>
    </w:p>
    <w:p w:rsidR="00250C1E" w:rsidRDefault="00250C1E" w:rsidP="00250C1E">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250C1E" w:rsidTr="00250C1E">
        <w:tc>
          <w:tcPr>
            <w:tcW w:w="2076" w:type="dxa"/>
          </w:tcPr>
          <w:p w:rsidR="00250C1E" w:rsidRDefault="00250C1E" w:rsidP="00250C1E">
            <w:pPr>
              <w:jc w:val="center"/>
            </w:pPr>
            <w:r>
              <w:rPr>
                <w:rFonts w:hint="eastAsia"/>
              </w:rPr>
              <w:t>费用类型</w:t>
            </w:r>
          </w:p>
        </w:tc>
        <w:tc>
          <w:tcPr>
            <w:tcW w:w="2076" w:type="dxa"/>
          </w:tcPr>
          <w:p w:rsidR="00250C1E" w:rsidRDefault="00250C1E" w:rsidP="00250C1E">
            <w:pPr>
              <w:jc w:val="center"/>
            </w:pPr>
            <w:r>
              <w:rPr>
                <w:rFonts w:hint="eastAsia"/>
              </w:rPr>
              <w:t>份额（</w:t>
            </w:r>
            <w:r>
              <w:rPr>
                <w:rFonts w:hint="eastAsia"/>
              </w:rPr>
              <w:t>S</w:t>
            </w:r>
            <w:r>
              <w:rPr>
                <w:rFonts w:hint="eastAsia"/>
              </w:rPr>
              <w:t>）或金额</w:t>
            </w:r>
            <w:r>
              <w:rPr>
                <w:rFonts w:hint="eastAsia"/>
              </w:rPr>
              <w:lastRenderedPageBreak/>
              <w:t>（</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250C1E" w:rsidRDefault="00250C1E" w:rsidP="00250C1E">
            <w:pPr>
              <w:jc w:val="center"/>
            </w:pPr>
            <w:r>
              <w:rPr>
                <w:rFonts w:hint="eastAsia"/>
              </w:rPr>
              <w:lastRenderedPageBreak/>
              <w:t>收费方式</w:t>
            </w:r>
            <w:r>
              <w:rPr>
                <w:rFonts w:hint="eastAsia"/>
              </w:rPr>
              <w:t>/</w:t>
            </w:r>
            <w:r>
              <w:rPr>
                <w:rFonts w:hint="eastAsia"/>
              </w:rPr>
              <w:t>费率</w:t>
            </w:r>
          </w:p>
        </w:tc>
        <w:tc>
          <w:tcPr>
            <w:tcW w:w="2077" w:type="dxa"/>
          </w:tcPr>
          <w:p w:rsidR="00250C1E" w:rsidRDefault="00250C1E" w:rsidP="00250C1E">
            <w:pPr>
              <w:jc w:val="center"/>
            </w:pPr>
            <w:r>
              <w:rPr>
                <w:rFonts w:hint="eastAsia"/>
              </w:rPr>
              <w:t>备注</w:t>
            </w:r>
          </w:p>
        </w:tc>
      </w:tr>
      <w:tr w:rsidR="00250C1E" w:rsidTr="00250C1E">
        <w:tc>
          <w:tcPr>
            <w:tcW w:w="2076" w:type="dxa"/>
            <w:vMerge w:val="restart"/>
          </w:tcPr>
          <w:p w:rsidR="00250C1E" w:rsidRDefault="00250C1E" w:rsidP="00250C1E">
            <w:pPr>
              <w:jc w:val="center"/>
            </w:pPr>
            <w:r>
              <w:rPr>
                <w:rFonts w:hint="eastAsia"/>
              </w:rPr>
              <w:t>认购费</w:t>
            </w:r>
          </w:p>
        </w:tc>
        <w:tc>
          <w:tcPr>
            <w:tcW w:w="2076" w:type="dxa"/>
          </w:tcPr>
          <w:p w:rsidR="00250C1E" w:rsidRDefault="00250C1E" w:rsidP="00250C1E">
            <w:pPr>
              <w:jc w:val="left"/>
            </w:pPr>
            <w:r>
              <w:rPr>
                <w:rFonts w:hint="eastAsia"/>
              </w:rPr>
              <w:t>M&lt; 100</w:t>
            </w:r>
            <w:r>
              <w:rPr>
                <w:rFonts w:hint="eastAsia"/>
              </w:rPr>
              <w:t>万元</w:t>
            </w:r>
          </w:p>
        </w:tc>
        <w:tc>
          <w:tcPr>
            <w:tcW w:w="2077" w:type="dxa"/>
          </w:tcPr>
          <w:p w:rsidR="00250C1E" w:rsidRDefault="00250C1E" w:rsidP="00250C1E">
            <w:pPr>
              <w:jc w:val="right"/>
            </w:pPr>
            <w:r>
              <w:t>1%</w:t>
            </w:r>
          </w:p>
        </w:tc>
        <w:tc>
          <w:tcPr>
            <w:tcW w:w="2077" w:type="dxa"/>
          </w:tcPr>
          <w:p w:rsidR="00250C1E" w:rsidRDefault="00250C1E" w:rsidP="00250C1E">
            <w:pPr>
              <w:jc w:val="left"/>
            </w:pPr>
            <w:r>
              <w:rPr>
                <w:rFonts w:hint="eastAsia"/>
              </w:rPr>
              <w:t>场外</w:t>
            </w:r>
          </w:p>
        </w:tc>
      </w:tr>
      <w:tr w:rsidR="00250C1E" w:rsidTr="00250C1E">
        <w:tc>
          <w:tcPr>
            <w:tcW w:w="2076" w:type="dxa"/>
            <w:vMerge/>
          </w:tcPr>
          <w:p w:rsidR="00250C1E" w:rsidRDefault="00250C1E" w:rsidP="00250C1E">
            <w:pPr>
              <w:jc w:val="left"/>
            </w:pPr>
          </w:p>
        </w:tc>
        <w:tc>
          <w:tcPr>
            <w:tcW w:w="2076" w:type="dxa"/>
          </w:tcPr>
          <w:p w:rsidR="00250C1E" w:rsidRDefault="00250C1E" w:rsidP="00250C1E">
            <w:pPr>
              <w:jc w:val="left"/>
            </w:pPr>
            <w:r>
              <w:rPr>
                <w:rFonts w:hint="eastAsia"/>
              </w:rPr>
              <w:t>100</w:t>
            </w:r>
            <w:r>
              <w:rPr>
                <w:rFonts w:hint="eastAsia"/>
              </w:rPr>
              <w:t>万元≤</w:t>
            </w:r>
            <w:r>
              <w:rPr>
                <w:rFonts w:hint="eastAsia"/>
              </w:rPr>
              <w:t>M&lt; 300</w:t>
            </w:r>
            <w:r>
              <w:rPr>
                <w:rFonts w:hint="eastAsia"/>
              </w:rPr>
              <w:t>万元</w:t>
            </w:r>
          </w:p>
        </w:tc>
        <w:tc>
          <w:tcPr>
            <w:tcW w:w="2077" w:type="dxa"/>
          </w:tcPr>
          <w:p w:rsidR="00250C1E" w:rsidRDefault="00250C1E" w:rsidP="00250C1E">
            <w:pPr>
              <w:jc w:val="right"/>
            </w:pPr>
            <w:r>
              <w:t>0.6%</w:t>
            </w:r>
          </w:p>
        </w:tc>
        <w:tc>
          <w:tcPr>
            <w:tcW w:w="2077" w:type="dxa"/>
          </w:tcPr>
          <w:p w:rsidR="00250C1E" w:rsidRDefault="00250C1E" w:rsidP="00250C1E">
            <w:pPr>
              <w:jc w:val="left"/>
            </w:pPr>
            <w:r>
              <w:rPr>
                <w:rFonts w:hint="eastAsia"/>
              </w:rPr>
              <w:t>场外</w:t>
            </w:r>
          </w:p>
        </w:tc>
      </w:tr>
      <w:tr w:rsidR="00250C1E" w:rsidTr="00250C1E">
        <w:tc>
          <w:tcPr>
            <w:tcW w:w="2076" w:type="dxa"/>
            <w:vMerge/>
          </w:tcPr>
          <w:p w:rsidR="00250C1E" w:rsidRDefault="00250C1E" w:rsidP="00250C1E">
            <w:pPr>
              <w:jc w:val="left"/>
            </w:pPr>
          </w:p>
        </w:tc>
        <w:tc>
          <w:tcPr>
            <w:tcW w:w="2076" w:type="dxa"/>
          </w:tcPr>
          <w:p w:rsidR="00250C1E" w:rsidRDefault="00250C1E" w:rsidP="00250C1E">
            <w:pPr>
              <w:jc w:val="left"/>
            </w:pPr>
            <w:r>
              <w:rPr>
                <w:rFonts w:hint="eastAsia"/>
              </w:rPr>
              <w:t>300</w:t>
            </w:r>
            <w:r>
              <w:rPr>
                <w:rFonts w:hint="eastAsia"/>
              </w:rPr>
              <w:t>万元≤</w:t>
            </w:r>
            <w:r>
              <w:rPr>
                <w:rFonts w:hint="eastAsia"/>
              </w:rPr>
              <w:t>M&lt; 500</w:t>
            </w:r>
            <w:r>
              <w:rPr>
                <w:rFonts w:hint="eastAsia"/>
              </w:rPr>
              <w:t>万元</w:t>
            </w:r>
          </w:p>
        </w:tc>
        <w:tc>
          <w:tcPr>
            <w:tcW w:w="2077" w:type="dxa"/>
          </w:tcPr>
          <w:p w:rsidR="00250C1E" w:rsidRDefault="00250C1E" w:rsidP="00250C1E">
            <w:pPr>
              <w:jc w:val="right"/>
            </w:pPr>
            <w:r>
              <w:t>0.3%</w:t>
            </w:r>
          </w:p>
        </w:tc>
        <w:tc>
          <w:tcPr>
            <w:tcW w:w="2077" w:type="dxa"/>
          </w:tcPr>
          <w:p w:rsidR="00250C1E" w:rsidRDefault="00250C1E" w:rsidP="00250C1E">
            <w:pPr>
              <w:jc w:val="left"/>
            </w:pPr>
            <w:r>
              <w:rPr>
                <w:rFonts w:hint="eastAsia"/>
              </w:rPr>
              <w:t>场外</w:t>
            </w:r>
          </w:p>
        </w:tc>
      </w:tr>
      <w:tr w:rsidR="00250C1E" w:rsidTr="00250C1E">
        <w:tc>
          <w:tcPr>
            <w:tcW w:w="2076" w:type="dxa"/>
            <w:vMerge/>
          </w:tcPr>
          <w:p w:rsidR="00250C1E" w:rsidRDefault="00250C1E" w:rsidP="00250C1E">
            <w:pPr>
              <w:jc w:val="left"/>
            </w:pPr>
          </w:p>
        </w:tc>
        <w:tc>
          <w:tcPr>
            <w:tcW w:w="2076" w:type="dxa"/>
          </w:tcPr>
          <w:p w:rsidR="00250C1E" w:rsidRDefault="00250C1E" w:rsidP="00250C1E">
            <w:pPr>
              <w:jc w:val="left"/>
            </w:pPr>
            <w:r>
              <w:rPr>
                <w:rFonts w:hint="eastAsia"/>
              </w:rPr>
              <w:t>500</w:t>
            </w:r>
            <w:r>
              <w:rPr>
                <w:rFonts w:hint="eastAsia"/>
              </w:rPr>
              <w:t>万元≤</w:t>
            </w:r>
            <w:r>
              <w:rPr>
                <w:rFonts w:hint="eastAsia"/>
              </w:rPr>
              <w:t xml:space="preserve">M </w:t>
            </w:r>
          </w:p>
        </w:tc>
        <w:tc>
          <w:tcPr>
            <w:tcW w:w="2077" w:type="dxa"/>
          </w:tcPr>
          <w:p w:rsidR="00250C1E" w:rsidRDefault="00250C1E" w:rsidP="00250C1E">
            <w:pPr>
              <w:jc w:val="left"/>
            </w:pPr>
            <w:r>
              <w:rPr>
                <w:rFonts w:hint="eastAsia"/>
              </w:rPr>
              <w:t>每笔</w:t>
            </w:r>
            <w:r>
              <w:rPr>
                <w:rFonts w:hint="eastAsia"/>
              </w:rPr>
              <w:t>1000</w:t>
            </w:r>
            <w:r>
              <w:rPr>
                <w:rFonts w:hint="eastAsia"/>
              </w:rPr>
              <w:t>元</w:t>
            </w:r>
          </w:p>
        </w:tc>
        <w:tc>
          <w:tcPr>
            <w:tcW w:w="2077" w:type="dxa"/>
          </w:tcPr>
          <w:p w:rsidR="00250C1E" w:rsidRDefault="00250C1E" w:rsidP="00250C1E">
            <w:pPr>
              <w:jc w:val="left"/>
            </w:pPr>
            <w:r>
              <w:rPr>
                <w:rFonts w:hint="eastAsia"/>
              </w:rPr>
              <w:t>场外</w:t>
            </w:r>
          </w:p>
        </w:tc>
      </w:tr>
      <w:tr w:rsidR="00250C1E" w:rsidTr="00250C1E">
        <w:tc>
          <w:tcPr>
            <w:tcW w:w="2076" w:type="dxa"/>
            <w:vMerge w:val="restart"/>
          </w:tcPr>
          <w:p w:rsidR="00250C1E" w:rsidRDefault="00250C1E" w:rsidP="00250C1E">
            <w:pPr>
              <w:jc w:val="center"/>
            </w:pPr>
            <w:r>
              <w:rPr>
                <w:rFonts w:hint="eastAsia"/>
              </w:rPr>
              <w:t>申购费（前收费）</w:t>
            </w:r>
          </w:p>
        </w:tc>
        <w:tc>
          <w:tcPr>
            <w:tcW w:w="2076" w:type="dxa"/>
          </w:tcPr>
          <w:p w:rsidR="00250C1E" w:rsidRDefault="00250C1E" w:rsidP="00250C1E">
            <w:pPr>
              <w:jc w:val="left"/>
            </w:pPr>
            <w:r>
              <w:rPr>
                <w:rFonts w:hint="eastAsia"/>
              </w:rPr>
              <w:t>M&lt; 100</w:t>
            </w:r>
            <w:r>
              <w:rPr>
                <w:rFonts w:hint="eastAsia"/>
              </w:rPr>
              <w:t>万元</w:t>
            </w:r>
          </w:p>
        </w:tc>
        <w:tc>
          <w:tcPr>
            <w:tcW w:w="2077" w:type="dxa"/>
          </w:tcPr>
          <w:p w:rsidR="00250C1E" w:rsidRDefault="00250C1E" w:rsidP="00250C1E">
            <w:pPr>
              <w:jc w:val="right"/>
            </w:pPr>
            <w:r>
              <w:t>1.2%</w:t>
            </w:r>
          </w:p>
        </w:tc>
        <w:tc>
          <w:tcPr>
            <w:tcW w:w="2077" w:type="dxa"/>
          </w:tcPr>
          <w:p w:rsidR="00250C1E" w:rsidRDefault="00250C1E" w:rsidP="00250C1E">
            <w:pPr>
              <w:jc w:val="left"/>
            </w:pPr>
            <w:r>
              <w:rPr>
                <w:rFonts w:hint="eastAsia"/>
              </w:rPr>
              <w:t>场外</w:t>
            </w:r>
          </w:p>
        </w:tc>
      </w:tr>
      <w:tr w:rsidR="00250C1E" w:rsidTr="00250C1E">
        <w:tc>
          <w:tcPr>
            <w:tcW w:w="2076" w:type="dxa"/>
            <w:vMerge/>
          </w:tcPr>
          <w:p w:rsidR="00250C1E" w:rsidRDefault="00250C1E" w:rsidP="00250C1E">
            <w:pPr>
              <w:jc w:val="left"/>
            </w:pPr>
          </w:p>
        </w:tc>
        <w:tc>
          <w:tcPr>
            <w:tcW w:w="2076" w:type="dxa"/>
          </w:tcPr>
          <w:p w:rsidR="00250C1E" w:rsidRDefault="00250C1E" w:rsidP="00250C1E">
            <w:pPr>
              <w:jc w:val="left"/>
            </w:pPr>
            <w:r>
              <w:rPr>
                <w:rFonts w:hint="eastAsia"/>
              </w:rPr>
              <w:t>100</w:t>
            </w:r>
            <w:r>
              <w:rPr>
                <w:rFonts w:hint="eastAsia"/>
              </w:rPr>
              <w:t>万元≤</w:t>
            </w:r>
            <w:r>
              <w:rPr>
                <w:rFonts w:hint="eastAsia"/>
              </w:rPr>
              <w:t>M&lt; 300</w:t>
            </w:r>
            <w:r>
              <w:rPr>
                <w:rFonts w:hint="eastAsia"/>
              </w:rPr>
              <w:t>万元</w:t>
            </w:r>
          </w:p>
        </w:tc>
        <w:tc>
          <w:tcPr>
            <w:tcW w:w="2077" w:type="dxa"/>
          </w:tcPr>
          <w:p w:rsidR="00250C1E" w:rsidRDefault="00250C1E" w:rsidP="00250C1E">
            <w:pPr>
              <w:jc w:val="right"/>
            </w:pPr>
            <w:r>
              <w:t>0.8%</w:t>
            </w:r>
          </w:p>
        </w:tc>
        <w:tc>
          <w:tcPr>
            <w:tcW w:w="2077" w:type="dxa"/>
          </w:tcPr>
          <w:p w:rsidR="00250C1E" w:rsidRDefault="00250C1E" w:rsidP="00250C1E">
            <w:pPr>
              <w:jc w:val="left"/>
            </w:pPr>
            <w:r>
              <w:rPr>
                <w:rFonts w:hint="eastAsia"/>
              </w:rPr>
              <w:t>场外</w:t>
            </w:r>
          </w:p>
        </w:tc>
      </w:tr>
      <w:tr w:rsidR="00250C1E" w:rsidTr="00250C1E">
        <w:tc>
          <w:tcPr>
            <w:tcW w:w="2076" w:type="dxa"/>
            <w:vMerge/>
          </w:tcPr>
          <w:p w:rsidR="00250C1E" w:rsidRDefault="00250C1E" w:rsidP="00250C1E">
            <w:pPr>
              <w:jc w:val="left"/>
            </w:pPr>
          </w:p>
        </w:tc>
        <w:tc>
          <w:tcPr>
            <w:tcW w:w="2076" w:type="dxa"/>
          </w:tcPr>
          <w:p w:rsidR="00250C1E" w:rsidRDefault="00250C1E" w:rsidP="00250C1E">
            <w:pPr>
              <w:jc w:val="left"/>
            </w:pPr>
            <w:r>
              <w:rPr>
                <w:rFonts w:hint="eastAsia"/>
              </w:rPr>
              <w:t>300</w:t>
            </w:r>
            <w:r>
              <w:rPr>
                <w:rFonts w:hint="eastAsia"/>
              </w:rPr>
              <w:t>万元≤</w:t>
            </w:r>
            <w:r>
              <w:rPr>
                <w:rFonts w:hint="eastAsia"/>
              </w:rPr>
              <w:t>M&lt; 500</w:t>
            </w:r>
            <w:r>
              <w:rPr>
                <w:rFonts w:hint="eastAsia"/>
              </w:rPr>
              <w:t>万元</w:t>
            </w:r>
          </w:p>
        </w:tc>
        <w:tc>
          <w:tcPr>
            <w:tcW w:w="2077" w:type="dxa"/>
          </w:tcPr>
          <w:p w:rsidR="00250C1E" w:rsidRDefault="00250C1E" w:rsidP="00250C1E">
            <w:pPr>
              <w:jc w:val="right"/>
            </w:pPr>
            <w:r>
              <w:t>0.5%</w:t>
            </w:r>
          </w:p>
        </w:tc>
        <w:tc>
          <w:tcPr>
            <w:tcW w:w="2077" w:type="dxa"/>
          </w:tcPr>
          <w:p w:rsidR="00250C1E" w:rsidRDefault="00250C1E" w:rsidP="00250C1E">
            <w:pPr>
              <w:jc w:val="left"/>
            </w:pPr>
            <w:r>
              <w:rPr>
                <w:rFonts w:hint="eastAsia"/>
              </w:rPr>
              <w:t>场外</w:t>
            </w:r>
          </w:p>
        </w:tc>
      </w:tr>
      <w:tr w:rsidR="00250C1E" w:rsidTr="00250C1E">
        <w:tc>
          <w:tcPr>
            <w:tcW w:w="2076" w:type="dxa"/>
            <w:vMerge/>
          </w:tcPr>
          <w:p w:rsidR="00250C1E" w:rsidRDefault="00250C1E" w:rsidP="00250C1E">
            <w:pPr>
              <w:jc w:val="left"/>
            </w:pPr>
          </w:p>
        </w:tc>
        <w:tc>
          <w:tcPr>
            <w:tcW w:w="2076" w:type="dxa"/>
          </w:tcPr>
          <w:p w:rsidR="00250C1E" w:rsidRDefault="00250C1E" w:rsidP="00250C1E">
            <w:pPr>
              <w:jc w:val="left"/>
            </w:pPr>
            <w:r>
              <w:rPr>
                <w:rFonts w:hint="eastAsia"/>
              </w:rPr>
              <w:t>500</w:t>
            </w:r>
            <w:r>
              <w:rPr>
                <w:rFonts w:hint="eastAsia"/>
              </w:rPr>
              <w:t>万元≤</w:t>
            </w:r>
            <w:r>
              <w:rPr>
                <w:rFonts w:hint="eastAsia"/>
              </w:rPr>
              <w:t xml:space="preserve">M </w:t>
            </w:r>
          </w:p>
        </w:tc>
        <w:tc>
          <w:tcPr>
            <w:tcW w:w="2077" w:type="dxa"/>
          </w:tcPr>
          <w:p w:rsidR="00250C1E" w:rsidRDefault="00250C1E" w:rsidP="00250C1E">
            <w:pPr>
              <w:jc w:val="left"/>
            </w:pPr>
            <w:r>
              <w:rPr>
                <w:rFonts w:hint="eastAsia"/>
              </w:rPr>
              <w:t>每笔</w:t>
            </w:r>
            <w:r>
              <w:rPr>
                <w:rFonts w:hint="eastAsia"/>
              </w:rPr>
              <w:t>1000</w:t>
            </w:r>
            <w:r>
              <w:rPr>
                <w:rFonts w:hint="eastAsia"/>
              </w:rPr>
              <w:t>元</w:t>
            </w:r>
          </w:p>
        </w:tc>
        <w:tc>
          <w:tcPr>
            <w:tcW w:w="2077" w:type="dxa"/>
          </w:tcPr>
          <w:p w:rsidR="00250C1E" w:rsidRDefault="00250C1E" w:rsidP="00250C1E">
            <w:pPr>
              <w:jc w:val="left"/>
            </w:pPr>
            <w:r>
              <w:rPr>
                <w:rFonts w:hint="eastAsia"/>
              </w:rPr>
              <w:t>场外</w:t>
            </w:r>
          </w:p>
        </w:tc>
      </w:tr>
      <w:tr w:rsidR="00250C1E" w:rsidTr="00250C1E">
        <w:tc>
          <w:tcPr>
            <w:tcW w:w="2076" w:type="dxa"/>
            <w:vMerge w:val="restart"/>
          </w:tcPr>
          <w:p w:rsidR="00250C1E" w:rsidRDefault="00250C1E" w:rsidP="00250C1E">
            <w:pPr>
              <w:jc w:val="center"/>
            </w:pPr>
            <w:r>
              <w:rPr>
                <w:rFonts w:hint="eastAsia"/>
              </w:rPr>
              <w:t>赎回费</w:t>
            </w:r>
          </w:p>
        </w:tc>
        <w:tc>
          <w:tcPr>
            <w:tcW w:w="2076" w:type="dxa"/>
          </w:tcPr>
          <w:p w:rsidR="00250C1E" w:rsidRDefault="00250C1E" w:rsidP="00250C1E">
            <w:pPr>
              <w:jc w:val="left"/>
            </w:pPr>
            <w:r>
              <w:rPr>
                <w:rFonts w:hint="eastAsia"/>
              </w:rPr>
              <w:t>N&lt; 7</w:t>
            </w:r>
            <w:r>
              <w:rPr>
                <w:rFonts w:hint="eastAsia"/>
              </w:rPr>
              <w:t>天</w:t>
            </w:r>
          </w:p>
        </w:tc>
        <w:tc>
          <w:tcPr>
            <w:tcW w:w="2077" w:type="dxa"/>
          </w:tcPr>
          <w:p w:rsidR="00250C1E" w:rsidRDefault="00250C1E" w:rsidP="00250C1E">
            <w:pPr>
              <w:jc w:val="right"/>
            </w:pPr>
            <w:r>
              <w:t>1.5%</w:t>
            </w:r>
          </w:p>
        </w:tc>
        <w:tc>
          <w:tcPr>
            <w:tcW w:w="2077" w:type="dxa"/>
          </w:tcPr>
          <w:p w:rsidR="00250C1E" w:rsidRDefault="00250C1E" w:rsidP="00250C1E">
            <w:pPr>
              <w:jc w:val="left"/>
            </w:pPr>
            <w:r>
              <w:rPr>
                <w:rFonts w:hint="eastAsia"/>
              </w:rPr>
              <w:t>场外</w:t>
            </w:r>
          </w:p>
        </w:tc>
      </w:tr>
      <w:tr w:rsidR="00250C1E" w:rsidTr="00250C1E">
        <w:tc>
          <w:tcPr>
            <w:tcW w:w="2076" w:type="dxa"/>
            <w:vMerge/>
          </w:tcPr>
          <w:p w:rsidR="00250C1E" w:rsidRDefault="00250C1E" w:rsidP="00250C1E">
            <w:pPr>
              <w:jc w:val="left"/>
            </w:pPr>
          </w:p>
        </w:tc>
        <w:tc>
          <w:tcPr>
            <w:tcW w:w="2076" w:type="dxa"/>
          </w:tcPr>
          <w:p w:rsidR="00250C1E" w:rsidRDefault="00250C1E" w:rsidP="00250C1E">
            <w:pPr>
              <w:jc w:val="left"/>
            </w:pPr>
            <w:r>
              <w:rPr>
                <w:rFonts w:hint="eastAsia"/>
              </w:rPr>
              <w:t>7</w:t>
            </w:r>
            <w:r>
              <w:rPr>
                <w:rFonts w:hint="eastAsia"/>
              </w:rPr>
              <w:t>天≤</w:t>
            </w:r>
            <w:r>
              <w:rPr>
                <w:rFonts w:hint="eastAsia"/>
              </w:rPr>
              <w:t xml:space="preserve"> N&lt; 365</w:t>
            </w:r>
            <w:r>
              <w:rPr>
                <w:rFonts w:hint="eastAsia"/>
              </w:rPr>
              <w:t>天</w:t>
            </w:r>
          </w:p>
        </w:tc>
        <w:tc>
          <w:tcPr>
            <w:tcW w:w="2077" w:type="dxa"/>
          </w:tcPr>
          <w:p w:rsidR="00250C1E" w:rsidRDefault="00250C1E" w:rsidP="00250C1E">
            <w:pPr>
              <w:jc w:val="right"/>
            </w:pPr>
            <w:r>
              <w:t>0.5%</w:t>
            </w:r>
          </w:p>
        </w:tc>
        <w:tc>
          <w:tcPr>
            <w:tcW w:w="2077" w:type="dxa"/>
          </w:tcPr>
          <w:p w:rsidR="00250C1E" w:rsidRDefault="00250C1E" w:rsidP="00250C1E">
            <w:pPr>
              <w:jc w:val="left"/>
            </w:pPr>
            <w:r>
              <w:rPr>
                <w:rFonts w:hint="eastAsia"/>
              </w:rPr>
              <w:t>场外</w:t>
            </w:r>
          </w:p>
        </w:tc>
      </w:tr>
      <w:tr w:rsidR="00250C1E" w:rsidTr="00250C1E">
        <w:tc>
          <w:tcPr>
            <w:tcW w:w="2076" w:type="dxa"/>
            <w:vMerge/>
          </w:tcPr>
          <w:p w:rsidR="00250C1E" w:rsidRDefault="00250C1E" w:rsidP="00250C1E">
            <w:pPr>
              <w:jc w:val="left"/>
            </w:pPr>
          </w:p>
        </w:tc>
        <w:tc>
          <w:tcPr>
            <w:tcW w:w="2076" w:type="dxa"/>
          </w:tcPr>
          <w:p w:rsidR="00250C1E" w:rsidRDefault="00250C1E" w:rsidP="00250C1E">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250C1E" w:rsidRDefault="00250C1E" w:rsidP="00250C1E">
            <w:pPr>
              <w:jc w:val="right"/>
            </w:pPr>
            <w:r>
              <w:t>0.25%</w:t>
            </w:r>
          </w:p>
        </w:tc>
        <w:tc>
          <w:tcPr>
            <w:tcW w:w="2077" w:type="dxa"/>
          </w:tcPr>
          <w:p w:rsidR="00250C1E" w:rsidRDefault="00250C1E" w:rsidP="00250C1E">
            <w:pPr>
              <w:jc w:val="left"/>
            </w:pPr>
            <w:r>
              <w:rPr>
                <w:rFonts w:hint="eastAsia"/>
              </w:rPr>
              <w:t>场外</w:t>
            </w:r>
          </w:p>
        </w:tc>
      </w:tr>
      <w:tr w:rsidR="00250C1E" w:rsidTr="00250C1E">
        <w:tc>
          <w:tcPr>
            <w:tcW w:w="2076" w:type="dxa"/>
            <w:vMerge/>
          </w:tcPr>
          <w:p w:rsidR="00250C1E" w:rsidRDefault="00250C1E" w:rsidP="00250C1E">
            <w:pPr>
              <w:jc w:val="left"/>
            </w:pPr>
          </w:p>
        </w:tc>
        <w:tc>
          <w:tcPr>
            <w:tcW w:w="2076" w:type="dxa"/>
          </w:tcPr>
          <w:p w:rsidR="00250C1E" w:rsidRDefault="00250C1E" w:rsidP="00250C1E">
            <w:pPr>
              <w:jc w:val="left"/>
            </w:pPr>
            <w:r>
              <w:rPr>
                <w:rFonts w:hint="eastAsia"/>
              </w:rPr>
              <w:t>2</w:t>
            </w:r>
            <w:r>
              <w:rPr>
                <w:rFonts w:hint="eastAsia"/>
              </w:rPr>
              <w:t>年≤</w:t>
            </w:r>
            <w:r>
              <w:rPr>
                <w:rFonts w:hint="eastAsia"/>
              </w:rPr>
              <w:t xml:space="preserve"> N </w:t>
            </w:r>
          </w:p>
        </w:tc>
        <w:tc>
          <w:tcPr>
            <w:tcW w:w="2077" w:type="dxa"/>
          </w:tcPr>
          <w:p w:rsidR="00250C1E" w:rsidRDefault="00250C1E" w:rsidP="00250C1E">
            <w:pPr>
              <w:jc w:val="right"/>
            </w:pPr>
            <w:r>
              <w:t>0%</w:t>
            </w:r>
          </w:p>
        </w:tc>
        <w:tc>
          <w:tcPr>
            <w:tcW w:w="2077" w:type="dxa"/>
          </w:tcPr>
          <w:p w:rsidR="00250C1E" w:rsidRDefault="00250C1E" w:rsidP="00250C1E">
            <w:pPr>
              <w:jc w:val="left"/>
            </w:pPr>
            <w:r>
              <w:rPr>
                <w:rFonts w:hint="eastAsia"/>
              </w:rPr>
              <w:t>场外</w:t>
            </w:r>
          </w:p>
        </w:tc>
      </w:tr>
      <w:tr w:rsidR="00250C1E" w:rsidTr="00250C1E">
        <w:tc>
          <w:tcPr>
            <w:tcW w:w="2076" w:type="dxa"/>
            <w:vMerge/>
          </w:tcPr>
          <w:p w:rsidR="00250C1E" w:rsidRDefault="00250C1E" w:rsidP="00250C1E">
            <w:pPr>
              <w:jc w:val="left"/>
            </w:pPr>
          </w:p>
        </w:tc>
        <w:tc>
          <w:tcPr>
            <w:tcW w:w="2076" w:type="dxa"/>
          </w:tcPr>
          <w:p w:rsidR="00250C1E" w:rsidRDefault="00250C1E" w:rsidP="00250C1E">
            <w:pPr>
              <w:jc w:val="left"/>
            </w:pPr>
            <w:r>
              <w:rPr>
                <w:rFonts w:hint="eastAsia"/>
              </w:rPr>
              <w:t>0</w:t>
            </w:r>
            <w:r>
              <w:rPr>
                <w:rFonts w:hint="eastAsia"/>
              </w:rPr>
              <w:t>天≤</w:t>
            </w:r>
            <w:r>
              <w:rPr>
                <w:rFonts w:hint="eastAsia"/>
              </w:rPr>
              <w:t xml:space="preserve"> N&lt; 7</w:t>
            </w:r>
            <w:r>
              <w:rPr>
                <w:rFonts w:hint="eastAsia"/>
              </w:rPr>
              <w:t>天</w:t>
            </w:r>
          </w:p>
        </w:tc>
        <w:tc>
          <w:tcPr>
            <w:tcW w:w="2077" w:type="dxa"/>
          </w:tcPr>
          <w:p w:rsidR="00250C1E" w:rsidRDefault="00250C1E" w:rsidP="00250C1E">
            <w:pPr>
              <w:jc w:val="right"/>
            </w:pPr>
            <w:r>
              <w:t>1.5%</w:t>
            </w:r>
          </w:p>
        </w:tc>
        <w:tc>
          <w:tcPr>
            <w:tcW w:w="2077" w:type="dxa"/>
          </w:tcPr>
          <w:p w:rsidR="00250C1E" w:rsidRDefault="00250C1E" w:rsidP="00250C1E">
            <w:pPr>
              <w:jc w:val="left"/>
            </w:pPr>
            <w:r>
              <w:rPr>
                <w:rFonts w:hint="eastAsia"/>
              </w:rPr>
              <w:t>场内</w:t>
            </w:r>
          </w:p>
        </w:tc>
      </w:tr>
      <w:tr w:rsidR="00250C1E" w:rsidTr="00250C1E">
        <w:tc>
          <w:tcPr>
            <w:tcW w:w="2076" w:type="dxa"/>
            <w:vMerge/>
          </w:tcPr>
          <w:p w:rsidR="00250C1E" w:rsidRDefault="00250C1E" w:rsidP="00250C1E">
            <w:pPr>
              <w:jc w:val="left"/>
            </w:pPr>
          </w:p>
        </w:tc>
        <w:tc>
          <w:tcPr>
            <w:tcW w:w="2076" w:type="dxa"/>
          </w:tcPr>
          <w:p w:rsidR="00250C1E" w:rsidRDefault="00250C1E" w:rsidP="00250C1E">
            <w:pPr>
              <w:jc w:val="left"/>
            </w:pPr>
            <w:r>
              <w:rPr>
                <w:rFonts w:hint="eastAsia"/>
              </w:rPr>
              <w:t>7</w:t>
            </w:r>
            <w:r>
              <w:rPr>
                <w:rFonts w:hint="eastAsia"/>
              </w:rPr>
              <w:t>天≤</w:t>
            </w:r>
            <w:r>
              <w:rPr>
                <w:rFonts w:hint="eastAsia"/>
              </w:rPr>
              <w:t xml:space="preserve"> N </w:t>
            </w:r>
          </w:p>
        </w:tc>
        <w:tc>
          <w:tcPr>
            <w:tcW w:w="2077" w:type="dxa"/>
          </w:tcPr>
          <w:p w:rsidR="00250C1E" w:rsidRDefault="00250C1E" w:rsidP="00250C1E">
            <w:pPr>
              <w:jc w:val="right"/>
            </w:pPr>
            <w:r>
              <w:t>0.5%</w:t>
            </w:r>
          </w:p>
        </w:tc>
        <w:tc>
          <w:tcPr>
            <w:tcW w:w="2077" w:type="dxa"/>
          </w:tcPr>
          <w:p w:rsidR="00250C1E" w:rsidRDefault="00250C1E" w:rsidP="00250C1E">
            <w:pPr>
              <w:jc w:val="left"/>
            </w:pPr>
            <w:r>
              <w:rPr>
                <w:rFonts w:hint="eastAsia"/>
              </w:rPr>
              <w:t>场内</w:t>
            </w:r>
          </w:p>
        </w:tc>
      </w:tr>
    </w:tbl>
    <w:p w:rsidR="00250C1E" w:rsidRDefault="00250C1E" w:rsidP="00250C1E">
      <w:pPr>
        <w:pStyle w:val="-"/>
        <w:ind w:firstLine="420"/>
        <w:rPr>
          <w:rFonts w:hint="eastAsia"/>
        </w:rPr>
      </w:pPr>
      <w:r>
        <w:rPr>
          <w:rFonts w:hint="eastAsia"/>
        </w:rPr>
        <w:t>本基金</w:t>
      </w:r>
      <w:r>
        <w:rPr>
          <w:rFonts w:hint="eastAsia"/>
        </w:rPr>
        <w:t>A</w:t>
      </w:r>
      <w:r>
        <w:rPr>
          <w:rFonts w:hint="eastAsia"/>
        </w:rPr>
        <w:t>类份额场内申购费率按照场外申购费率执行。投资人重复申购，须按每次申购所对应的费率档次分别计费。</w:t>
      </w:r>
    </w:p>
    <w:p w:rsidR="00250C1E" w:rsidRDefault="00250C1E" w:rsidP="00250C1E">
      <w:pPr>
        <w:pStyle w:val="-"/>
        <w:ind w:firstLine="420"/>
        <w:rPr>
          <w:rFonts w:hint="eastAsia"/>
        </w:rPr>
      </w:pPr>
      <w:r>
        <w:rPr>
          <w:rFonts w:hint="eastAsia"/>
        </w:rPr>
        <w:t>申购费用由投资人承担，不列入基金财产，主要用于本基金的市场推广、销售、登记等各项费用。</w:t>
      </w:r>
    </w:p>
    <w:p w:rsidR="00250C1E" w:rsidRDefault="00250C1E" w:rsidP="00250C1E">
      <w:pPr>
        <w:pStyle w:val="-"/>
        <w:ind w:firstLine="420"/>
        <w:rPr>
          <w:rFonts w:hint="eastAsia"/>
        </w:rPr>
      </w:pPr>
      <w:r>
        <w:rPr>
          <w:rFonts w:hint="eastAsia"/>
        </w:rPr>
        <w:t>场内交易费用以证券公司实际收取为准。</w:t>
      </w:r>
    </w:p>
    <w:p w:rsidR="00250C1E" w:rsidRDefault="00250C1E" w:rsidP="00250C1E">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250C1E" w:rsidTr="00250C1E">
        <w:tc>
          <w:tcPr>
            <w:tcW w:w="2768" w:type="dxa"/>
          </w:tcPr>
          <w:p w:rsidR="00250C1E" w:rsidRDefault="00250C1E" w:rsidP="00250C1E">
            <w:pPr>
              <w:jc w:val="left"/>
            </w:pPr>
            <w:r>
              <w:rPr>
                <w:rFonts w:hint="eastAsia"/>
              </w:rPr>
              <w:t>费用类别</w:t>
            </w:r>
          </w:p>
        </w:tc>
        <w:tc>
          <w:tcPr>
            <w:tcW w:w="2769" w:type="dxa"/>
          </w:tcPr>
          <w:p w:rsidR="00250C1E" w:rsidRDefault="00250C1E" w:rsidP="00250C1E">
            <w:pPr>
              <w:jc w:val="left"/>
            </w:pPr>
            <w:r>
              <w:rPr>
                <w:rFonts w:hint="eastAsia"/>
              </w:rPr>
              <w:t>收费方式</w:t>
            </w:r>
          </w:p>
        </w:tc>
        <w:tc>
          <w:tcPr>
            <w:tcW w:w="2769" w:type="dxa"/>
          </w:tcPr>
          <w:p w:rsidR="00250C1E" w:rsidRDefault="00250C1E" w:rsidP="00250C1E">
            <w:pPr>
              <w:jc w:val="left"/>
            </w:pPr>
            <w:r>
              <w:rPr>
                <w:rFonts w:hint="eastAsia"/>
              </w:rPr>
              <w:t>年费率</w:t>
            </w:r>
          </w:p>
        </w:tc>
      </w:tr>
      <w:tr w:rsidR="00250C1E" w:rsidTr="00250C1E">
        <w:tc>
          <w:tcPr>
            <w:tcW w:w="2768" w:type="dxa"/>
          </w:tcPr>
          <w:p w:rsidR="00250C1E" w:rsidRDefault="00250C1E" w:rsidP="00250C1E">
            <w:pPr>
              <w:jc w:val="left"/>
            </w:pPr>
            <w:r>
              <w:rPr>
                <w:rFonts w:hint="eastAsia"/>
              </w:rPr>
              <w:t>管理费</w:t>
            </w:r>
          </w:p>
        </w:tc>
        <w:tc>
          <w:tcPr>
            <w:tcW w:w="2769" w:type="dxa"/>
          </w:tcPr>
          <w:p w:rsidR="00250C1E" w:rsidRDefault="00250C1E" w:rsidP="00250C1E">
            <w:pPr>
              <w:jc w:val="right"/>
            </w:pPr>
            <w:r>
              <w:t>-</w:t>
            </w:r>
          </w:p>
        </w:tc>
        <w:tc>
          <w:tcPr>
            <w:tcW w:w="2769" w:type="dxa"/>
          </w:tcPr>
          <w:p w:rsidR="00250C1E" w:rsidRDefault="00250C1E" w:rsidP="00250C1E">
            <w:pPr>
              <w:jc w:val="right"/>
            </w:pPr>
            <w:r>
              <w:t>0.80%</w:t>
            </w:r>
          </w:p>
        </w:tc>
      </w:tr>
      <w:tr w:rsidR="00250C1E" w:rsidTr="00250C1E">
        <w:tc>
          <w:tcPr>
            <w:tcW w:w="2768" w:type="dxa"/>
          </w:tcPr>
          <w:p w:rsidR="00250C1E" w:rsidRDefault="00250C1E" w:rsidP="00250C1E">
            <w:pPr>
              <w:jc w:val="left"/>
            </w:pPr>
            <w:r>
              <w:rPr>
                <w:rFonts w:hint="eastAsia"/>
              </w:rPr>
              <w:t>托管费</w:t>
            </w:r>
          </w:p>
        </w:tc>
        <w:tc>
          <w:tcPr>
            <w:tcW w:w="2769" w:type="dxa"/>
          </w:tcPr>
          <w:p w:rsidR="00250C1E" w:rsidRDefault="00250C1E" w:rsidP="00250C1E">
            <w:pPr>
              <w:jc w:val="right"/>
            </w:pPr>
            <w:r>
              <w:t>-</w:t>
            </w:r>
          </w:p>
        </w:tc>
        <w:tc>
          <w:tcPr>
            <w:tcW w:w="2769" w:type="dxa"/>
          </w:tcPr>
          <w:p w:rsidR="00250C1E" w:rsidRDefault="00250C1E" w:rsidP="00250C1E">
            <w:pPr>
              <w:jc w:val="right"/>
            </w:pPr>
            <w:r>
              <w:t>0.25%</w:t>
            </w:r>
          </w:p>
        </w:tc>
      </w:tr>
      <w:tr w:rsidR="00250C1E" w:rsidTr="00250C1E">
        <w:tc>
          <w:tcPr>
            <w:tcW w:w="2768" w:type="dxa"/>
          </w:tcPr>
          <w:p w:rsidR="00250C1E" w:rsidRDefault="00250C1E" w:rsidP="00250C1E">
            <w:pPr>
              <w:jc w:val="left"/>
            </w:pPr>
            <w:r>
              <w:rPr>
                <w:rFonts w:hint="eastAsia"/>
              </w:rPr>
              <w:t>销售服务费</w:t>
            </w:r>
          </w:p>
        </w:tc>
        <w:tc>
          <w:tcPr>
            <w:tcW w:w="2769" w:type="dxa"/>
          </w:tcPr>
          <w:p w:rsidR="00250C1E" w:rsidRDefault="00250C1E" w:rsidP="00250C1E">
            <w:pPr>
              <w:jc w:val="right"/>
            </w:pPr>
            <w:r>
              <w:t>-</w:t>
            </w:r>
          </w:p>
        </w:tc>
        <w:tc>
          <w:tcPr>
            <w:tcW w:w="2769" w:type="dxa"/>
          </w:tcPr>
          <w:p w:rsidR="00250C1E" w:rsidRDefault="00250C1E" w:rsidP="00250C1E">
            <w:pPr>
              <w:jc w:val="right"/>
            </w:pPr>
            <w:r>
              <w:t>-</w:t>
            </w:r>
          </w:p>
        </w:tc>
      </w:tr>
      <w:tr w:rsidR="00250C1E" w:rsidTr="00953C80">
        <w:tc>
          <w:tcPr>
            <w:tcW w:w="2768" w:type="dxa"/>
          </w:tcPr>
          <w:p w:rsidR="00250C1E" w:rsidRDefault="00250C1E" w:rsidP="00250C1E">
            <w:pPr>
              <w:jc w:val="left"/>
            </w:pPr>
            <w:r>
              <w:rPr>
                <w:rFonts w:hint="eastAsia"/>
              </w:rPr>
              <w:t>其他费用</w:t>
            </w:r>
          </w:p>
        </w:tc>
        <w:tc>
          <w:tcPr>
            <w:tcW w:w="5538" w:type="dxa"/>
            <w:gridSpan w:val="2"/>
          </w:tcPr>
          <w:p w:rsidR="00250C1E" w:rsidRDefault="00250C1E" w:rsidP="00250C1E">
            <w:pPr>
              <w:jc w:val="left"/>
            </w:pPr>
            <w:r>
              <w:rPr>
                <w:rFonts w:hint="eastAsia"/>
              </w:rPr>
              <w:t>基金的指数许可使用费，基金上市费用及年费，《基金合同》生效后与基金相关的信息披露费用，会计师费、律师费、审计费、诉讼费和仲裁费，基金份额持有人大会费用，基金的证券</w:t>
            </w:r>
            <w:r>
              <w:rPr>
                <w:rFonts w:hint="eastAsia"/>
              </w:rPr>
              <w:t>/</w:t>
            </w:r>
            <w:r>
              <w:rPr>
                <w:rFonts w:hint="eastAsia"/>
              </w:rPr>
              <w:t>期货交易费用、所投资基金的交易费用和管理费用及在境外市场的开户、交易、清算、登记等各项费用，基金的银行汇划费用，基金相关账户的开户及维护费用，基金进行外汇兑换交易的相关费用，基金依照有关法律法规应当缴纳的，购买或处置证券有关的任何税收、征费、关税、印花税及预扣提税（以及与前述各项有关的任何利息及费用）（简称“税收”），更换基金管理人、更换基金托管人、更换境外托管人及基金资产由原基金托管人、境外托管人转移新基金托管人、境外托管人所引起的费用，按照国家有关规定和《基金合同》约定，可以在基</w:t>
            </w:r>
            <w:r>
              <w:rPr>
                <w:rFonts w:hint="eastAsia"/>
              </w:rPr>
              <w:lastRenderedPageBreak/>
              <w:t>金财产中列支的其他费用。</w:t>
            </w:r>
          </w:p>
        </w:tc>
      </w:tr>
    </w:tbl>
    <w:p w:rsidR="00250C1E" w:rsidRDefault="00250C1E" w:rsidP="00250C1E">
      <w:pPr>
        <w:pStyle w:val="-7"/>
        <w:ind w:firstLine="420"/>
        <w:rPr>
          <w:rFonts w:hint="eastAsia"/>
        </w:rPr>
      </w:pPr>
      <w:r>
        <w:rPr>
          <w:rFonts w:hint="eastAsia"/>
        </w:rPr>
        <w:lastRenderedPageBreak/>
        <w:t>注：本基金交易证券、基金等产生的费用和税负，按实际发生额从基金资产扣除。</w:t>
      </w:r>
    </w:p>
    <w:p w:rsidR="00250C1E" w:rsidRDefault="00250C1E" w:rsidP="00250C1E">
      <w:pPr>
        <w:pStyle w:val="-"/>
        <w:ind w:firstLine="420"/>
        <w:rPr>
          <w:rFonts w:hint="eastAsia"/>
        </w:rPr>
      </w:pPr>
      <w:r>
        <w:rPr>
          <w:rFonts w:hint="eastAsia"/>
        </w:rPr>
        <w:t>本基金指数使用费率为</w:t>
      </w:r>
      <w:r>
        <w:rPr>
          <w:rFonts w:hint="eastAsia"/>
        </w:rPr>
        <w:t>0.05%/</w:t>
      </w:r>
      <w:r>
        <w:rPr>
          <w:rFonts w:hint="eastAsia"/>
        </w:rPr>
        <w:t>年，许可使用基点费的收取下限为每年</w:t>
      </w:r>
      <w:r>
        <w:rPr>
          <w:rFonts w:hint="eastAsia"/>
        </w:rPr>
        <w:t>3</w:t>
      </w:r>
      <w:r>
        <w:rPr>
          <w:rFonts w:hint="eastAsia"/>
        </w:rPr>
        <w:t>万美元。</w:t>
      </w:r>
    </w:p>
    <w:p w:rsidR="00250C1E" w:rsidRDefault="00250C1E" w:rsidP="00250C1E">
      <w:pPr>
        <w:pStyle w:val="-1"/>
        <w:spacing w:before="156" w:after="156"/>
        <w:rPr>
          <w:rFonts w:hint="eastAsia"/>
        </w:rPr>
      </w:pPr>
      <w:r>
        <w:rPr>
          <w:rFonts w:hint="eastAsia"/>
        </w:rPr>
        <w:t>四、风险揭示与重要提示</w:t>
      </w:r>
    </w:p>
    <w:p w:rsidR="00250C1E" w:rsidRDefault="00250C1E" w:rsidP="00250C1E">
      <w:pPr>
        <w:pStyle w:val="-2"/>
        <w:spacing w:before="156" w:after="156"/>
        <w:rPr>
          <w:rFonts w:hint="eastAsia"/>
        </w:rPr>
      </w:pPr>
      <w:r>
        <w:rPr>
          <w:rFonts w:hint="eastAsia"/>
        </w:rPr>
        <w:t>（一）</w:t>
      </w:r>
      <w:r>
        <w:rPr>
          <w:rFonts w:hint="eastAsia"/>
        </w:rPr>
        <w:t xml:space="preserve"> </w:t>
      </w:r>
      <w:r>
        <w:rPr>
          <w:rFonts w:hint="eastAsia"/>
        </w:rPr>
        <w:t>风险揭示</w:t>
      </w:r>
    </w:p>
    <w:p w:rsidR="00250C1E" w:rsidRDefault="00250C1E" w:rsidP="00250C1E">
      <w:pPr>
        <w:pStyle w:val="-"/>
        <w:ind w:firstLine="420"/>
        <w:rPr>
          <w:rFonts w:hint="eastAsia"/>
        </w:rPr>
      </w:pPr>
      <w:r>
        <w:rPr>
          <w:rFonts w:hint="eastAsia"/>
        </w:rPr>
        <w:t>本基金不提供任何保证。投资者可能损失投资本金。</w:t>
      </w:r>
    </w:p>
    <w:p w:rsidR="00250C1E" w:rsidRDefault="00250C1E" w:rsidP="00250C1E">
      <w:pPr>
        <w:pStyle w:val="-"/>
        <w:ind w:firstLine="420"/>
        <w:rPr>
          <w:rFonts w:hint="eastAsia"/>
        </w:rPr>
      </w:pPr>
      <w:r>
        <w:rPr>
          <w:rFonts w:hint="eastAsia"/>
        </w:rPr>
        <w:t>投资有风险，投资者购买基金时应认真阅读本基金的《招募说明书》等销售文件。</w:t>
      </w:r>
    </w:p>
    <w:p w:rsidR="00250C1E" w:rsidRDefault="00250C1E" w:rsidP="00250C1E">
      <w:pPr>
        <w:pStyle w:val="-"/>
        <w:ind w:firstLine="420"/>
        <w:rPr>
          <w:rFonts w:hint="eastAsia"/>
        </w:rPr>
      </w:pPr>
      <w:r>
        <w:rPr>
          <w:rFonts w:hint="eastAsia"/>
        </w:rPr>
        <w:t>本基金为股票型基金，属于较高预期风险和预期收益的证券投资基金品种，其预期风险和预期收益水平高于混合型基金、债券型基金及货币市场基金。本基金投资范围为道琼斯美国精选</w:t>
      </w:r>
      <w:r>
        <w:rPr>
          <w:rFonts w:hint="eastAsia"/>
        </w:rPr>
        <w:t>REIT</w:t>
      </w:r>
      <w:r>
        <w:rPr>
          <w:rFonts w:hint="eastAsia"/>
        </w:rPr>
        <w:t>指数的成份券、备选成份券、以道琼斯美国精选</w:t>
      </w:r>
      <w:r>
        <w:rPr>
          <w:rFonts w:hint="eastAsia"/>
        </w:rPr>
        <w:t>REIT</w:t>
      </w:r>
      <w:r>
        <w:rPr>
          <w:rFonts w:hint="eastAsia"/>
        </w:rPr>
        <w:t>指数为投资标的的指数基金（包括</w:t>
      </w:r>
      <w:r>
        <w:rPr>
          <w:rFonts w:hint="eastAsia"/>
        </w:rPr>
        <w:t>ETF</w:t>
      </w:r>
      <w:r>
        <w:rPr>
          <w:rFonts w:hint="eastAsia"/>
        </w:rPr>
        <w:t>），基金净值会因为美国房地产市场的波动、行业及房地产公司的经营风险和财务风险等因素产生波动，上述因素的波动和变化可能会使基金资产面临潜在风险。</w:t>
      </w:r>
    </w:p>
    <w:p w:rsidR="00250C1E" w:rsidRDefault="00250C1E" w:rsidP="00250C1E">
      <w:pPr>
        <w:pStyle w:val="-"/>
        <w:ind w:firstLine="420"/>
        <w:rPr>
          <w:rFonts w:hint="eastAsia"/>
        </w:rPr>
      </w:pPr>
      <w:r>
        <w:rPr>
          <w:rFonts w:hint="eastAsia"/>
        </w:rPr>
        <w:t>本基金将主要面临以下风险，其中部分或全部风险因素可能对基金份额净值、收益率、和／或实现投资目标的能力造成影响。</w:t>
      </w:r>
    </w:p>
    <w:p w:rsidR="00250C1E" w:rsidRDefault="00250C1E" w:rsidP="00250C1E">
      <w:pPr>
        <w:pStyle w:val="-"/>
        <w:ind w:firstLine="420"/>
        <w:rPr>
          <w:rFonts w:hint="eastAsia"/>
        </w:rPr>
      </w:pPr>
      <w:r>
        <w:rPr>
          <w:rFonts w:hint="eastAsia"/>
        </w:rPr>
        <w:t>一、境外投资产品风险</w:t>
      </w:r>
    </w:p>
    <w:p w:rsidR="00250C1E" w:rsidRDefault="00250C1E" w:rsidP="00250C1E">
      <w:pPr>
        <w:pStyle w:val="-"/>
        <w:ind w:firstLine="420"/>
        <w:rPr>
          <w:rFonts w:hint="eastAsia"/>
        </w:rPr>
      </w:pPr>
      <w:r>
        <w:rPr>
          <w:rFonts w:hint="eastAsia"/>
        </w:rPr>
        <w:t>1</w:t>
      </w:r>
      <w:r>
        <w:rPr>
          <w:rFonts w:hint="eastAsia"/>
        </w:rPr>
        <w:t>、海外市场风险</w:t>
      </w:r>
    </w:p>
    <w:p w:rsidR="00250C1E" w:rsidRDefault="00250C1E" w:rsidP="00250C1E">
      <w:pPr>
        <w:pStyle w:val="-"/>
        <w:ind w:firstLine="420"/>
        <w:rPr>
          <w:rFonts w:hint="eastAsia"/>
        </w:rPr>
      </w:pPr>
      <w:r>
        <w:rPr>
          <w:rFonts w:hint="eastAsia"/>
        </w:rPr>
        <w:t>境外证券市场整体表现受到经济运行情况、货币</w:t>
      </w:r>
      <w:r>
        <w:rPr>
          <w:rFonts w:hint="eastAsia"/>
        </w:rPr>
        <w:t>/</w:t>
      </w:r>
      <w:r>
        <w:rPr>
          <w:rFonts w:hint="eastAsia"/>
        </w:rPr>
        <w:t>财政政策、产业政策、税法、汇率、交易规则、结算、托管以及其他运作风险等多种因素的影响，上述因素的波动和变化可能会使基金资产面临潜在风险。此外，投资境外市场的成本、波动性也可能高于国内市场，存在一定的市场风险。</w:t>
      </w:r>
    </w:p>
    <w:p w:rsidR="00250C1E" w:rsidRDefault="00250C1E" w:rsidP="00250C1E">
      <w:pPr>
        <w:pStyle w:val="-"/>
        <w:ind w:firstLine="420"/>
        <w:rPr>
          <w:rFonts w:hint="eastAsia"/>
        </w:rPr>
      </w:pPr>
      <w:r>
        <w:rPr>
          <w:rFonts w:hint="eastAsia"/>
        </w:rPr>
        <w:t>2</w:t>
      </w:r>
      <w:r>
        <w:rPr>
          <w:rFonts w:hint="eastAsia"/>
        </w:rPr>
        <w:t>、投资标的风险</w:t>
      </w:r>
    </w:p>
    <w:p w:rsidR="00250C1E" w:rsidRDefault="00250C1E" w:rsidP="00250C1E">
      <w:pPr>
        <w:pStyle w:val="-"/>
        <w:ind w:firstLine="420"/>
        <w:rPr>
          <w:rFonts w:hint="eastAsia"/>
        </w:rPr>
      </w:pPr>
      <w:r>
        <w:rPr>
          <w:rFonts w:hint="eastAsia"/>
        </w:rPr>
        <w:t>本基金投资范围为道琼斯美国精选</w:t>
      </w:r>
      <w:r>
        <w:rPr>
          <w:rFonts w:hint="eastAsia"/>
        </w:rPr>
        <w:t>REIT</w:t>
      </w:r>
      <w:r>
        <w:rPr>
          <w:rFonts w:hint="eastAsia"/>
        </w:rPr>
        <w:t>指数的成份券、备选成份券、以道琼斯美国精选</w:t>
      </w:r>
      <w:r>
        <w:rPr>
          <w:rFonts w:hint="eastAsia"/>
        </w:rPr>
        <w:t>REIT</w:t>
      </w:r>
      <w:r>
        <w:rPr>
          <w:rFonts w:hint="eastAsia"/>
        </w:rPr>
        <w:t>指数为投资标的的指数基金（包括</w:t>
      </w:r>
      <w:r>
        <w:rPr>
          <w:rFonts w:hint="eastAsia"/>
        </w:rPr>
        <w:t>ETF</w:t>
      </w:r>
      <w:r>
        <w:rPr>
          <w:rFonts w:hint="eastAsia"/>
        </w:rPr>
        <w:t>），基金净值会因为美国房地产市场的波动、行业及房地产公司的经营风险和财务风险等因素产生波动，上述因素的波动和变化可能会使基金资产面临潜在风险。</w:t>
      </w:r>
    </w:p>
    <w:p w:rsidR="00250C1E" w:rsidRDefault="00250C1E" w:rsidP="00250C1E">
      <w:pPr>
        <w:pStyle w:val="-"/>
        <w:ind w:firstLine="420"/>
        <w:rPr>
          <w:rFonts w:hint="eastAsia"/>
        </w:rPr>
      </w:pPr>
      <w:r>
        <w:rPr>
          <w:rFonts w:hint="eastAsia"/>
        </w:rPr>
        <w:t>3</w:t>
      </w:r>
      <w:r>
        <w:rPr>
          <w:rFonts w:hint="eastAsia"/>
        </w:rPr>
        <w:t>、汇率风险</w:t>
      </w:r>
    </w:p>
    <w:p w:rsidR="00250C1E" w:rsidRDefault="00250C1E" w:rsidP="00250C1E">
      <w:pPr>
        <w:pStyle w:val="-"/>
        <w:ind w:firstLine="420"/>
        <w:rPr>
          <w:rFonts w:hint="eastAsia"/>
        </w:rPr>
      </w:pPr>
      <w:r>
        <w:rPr>
          <w:rFonts w:hint="eastAsia"/>
        </w:rPr>
        <w:t>本基金以人民币募集和计价，当汇率发生变动时，将会影响到人民币计价的净资产价值，从而导致基金资产面临潜在风险。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rsidR="00250C1E" w:rsidRDefault="00250C1E" w:rsidP="00250C1E">
      <w:pPr>
        <w:pStyle w:val="-"/>
        <w:ind w:firstLine="420"/>
        <w:rPr>
          <w:rFonts w:hint="eastAsia"/>
        </w:rPr>
      </w:pPr>
      <w:r>
        <w:rPr>
          <w:rFonts w:hint="eastAsia"/>
        </w:rPr>
        <w:t>4</w:t>
      </w:r>
      <w:r>
        <w:rPr>
          <w:rFonts w:hint="eastAsia"/>
        </w:rPr>
        <w:t>、政治风险</w:t>
      </w:r>
    </w:p>
    <w:p w:rsidR="00250C1E" w:rsidRDefault="00250C1E" w:rsidP="00250C1E">
      <w:pPr>
        <w:pStyle w:val="-"/>
        <w:ind w:firstLine="420"/>
        <w:rPr>
          <w:rFonts w:hint="eastAsia"/>
        </w:rPr>
      </w:pPr>
      <w:r>
        <w:rPr>
          <w:rFonts w:hint="eastAsia"/>
        </w:rPr>
        <w:t>国家或地区的财政政策、货币政策、产业政策、地区发展政策等宏观政策发生变化，导致市场波动而影响基金收益，也会产生风险，称之为政治风险。例如，境外市场的政府可能会鉴于政治上的优先考虑，改变支付政策。本基金以境外市场为主要投资地区，因此境外市场的政治、社会或经济情势的变动（包括天然灾害、战争、暴动或罢工等），都可能对本基金造成直接或者是间接的负面冲击。本基金将在内部及外部研究机构的支持下，密切关注各国政治、经济和产业政策的变化，适时调整投资策略以应对政治风险的变化。</w:t>
      </w:r>
    </w:p>
    <w:p w:rsidR="00250C1E" w:rsidRDefault="00250C1E" w:rsidP="00250C1E">
      <w:pPr>
        <w:pStyle w:val="-"/>
        <w:ind w:firstLine="420"/>
        <w:rPr>
          <w:rFonts w:hint="eastAsia"/>
        </w:rPr>
      </w:pPr>
      <w:r>
        <w:rPr>
          <w:rFonts w:hint="eastAsia"/>
        </w:rPr>
        <w:t>5</w:t>
      </w:r>
      <w:r>
        <w:rPr>
          <w:rFonts w:hint="eastAsia"/>
        </w:rPr>
        <w:t>、法律及政治管制风险</w:t>
      </w:r>
    </w:p>
    <w:p w:rsidR="00250C1E" w:rsidRDefault="00250C1E" w:rsidP="00250C1E">
      <w:pPr>
        <w:pStyle w:val="-"/>
        <w:ind w:firstLine="420"/>
        <w:rPr>
          <w:rFonts w:hint="eastAsia"/>
        </w:rPr>
      </w:pPr>
      <w:r>
        <w:rPr>
          <w:rFonts w:hint="eastAsia"/>
        </w:rPr>
        <w:t>由于各个国家</w:t>
      </w:r>
      <w:r>
        <w:rPr>
          <w:rFonts w:hint="eastAsia"/>
        </w:rPr>
        <w:t>/</w:t>
      </w:r>
      <w:r>
        <w:rPr>
          <w:rFonts w:hint="eastAsia"/>
        </w:rPr>
        <w:t>地区适用不同法律法规的原因，可能导致本基金的某些投资行为在部分国家</w:t>
      </w:r>
      <w:r>
        <w:rPr>
          <w:rFonts w:hint="eastAsia"/>
        </w:rPr>
        <w:t>/</w:t>
      </w:r>
      <w:r>
        <w:rPr>
          <w:rFonts w:hint="eastAsia"/>
        </w:rPr>
        <w:t>地区受到限制或合同不能正常执行，从而使得基金资产面临损失的可能性。</w:t>
      </w:r>
    </w:p>
    <w:p w:rsidR="00250C1E" w:rsidRDefault="00250C1E" w:rsidP="00250C1E">
      <w:pPr>
        <w:pStyle w:val="-"/>
        <w:ind w:firstLine="420"/>
        <w:rPr>
          <w:rFonts w:hint="eastAsia"/>
        </w:rPr>
      </w:pPr>
      <w:r>
        <w:rPr>
          <w:rFonts w:hint="eastAsia"/>
        </w:rPr>
        <w:t>6</w:t>
      </w:r>
      <w:r>
        <w:rPr>
          <w:rFonts w:hint="eastAsia"/>
        </w:rPr>
        <w:t>、税务风险</w:t>
      </w:r>
    </w:p>
    <w:p w:rsidR="00250C1E" w:rsidRDefault="00250C1E" w:rsidP="00250C1E">
      <w:pPr>
        <w:pStyle w:val="-"/>
        <w:ind w:firstLine="420"/>
        <w:rPr>
          <w:rFonts w:hint="eastAsia"/>
        </w:rPr>
      </w:pPr>
      <w:r>
        <w:rPr>
          <w:rFonts w:hint="eastAsia"/>
        </w:rPr>
        <w:lastRenderedPageBreak/>
        <w:t>在投资各国或地区市场时，因各国、地区税务法律法规的不同，可能会就股息、利息、资本利得等收益向各国、地区税务机构缴纳税金，包括预扣税，该行为可能会使得资产回报受到一定影响。各国、地区的税收法律法规的规定可能变化，或者加以具有追溯力的修订，所以可能须向该等国家或地区缴纳本基金销售、估值或者出售投资当日并未预计的额外税项。</w:t>
      </w:r>
    </w:p>
    <w:p w:rsidR="00250C1E" w:rsidRDefault="00250C1E" w:rsidP="00250C1E">
      <w:pPr>
        <w:pStyle w:val="-"/>
        <w:ind w:firstLine="420"/>
        <w:rPr>
          <w:rFonts w:hint="eastAsia"/>
        </w:rPr>
      </w:pPr>
      <w:r>
        <w:rPr>
          <w:rFonts w:hint="eastAsia"/>
        </w:rPr>
        <w:t>本基金在投资海外市场时会事先了解清楚各地区的税务法律法规，同时，在境外托管人的协助下，完成投资所在国家或地区的税务扣缴工作。</w:t>
      </w:r>
    </w:p>
    <w:p w:rsidR="00250C1E" w:rsidRDefault="00250C1E" w:rsidP="00250C1E">
      <w:pPr>
        <w:pStyle w:val="-"/>
        <w:ind w:firstLine="420"/>
        <w:rPr>
          <w:rFonts w:hint="eastAsia"/>
        </w:rPr>
      </w:pPr>
      <w:r>
        <w:rPr>
          <w:rFonts w:hint="eastAsia"/>
        </w:rPr>
        <w:t>7</w:t>
      </w:r>
      <w:r>
        <w:rPr>
          <w:rFonts w:hint="eastAsia"/>
        </w:rPr>
        <w:t>、会计核算风险</w:t>
      </w:r>
    </w:p>
    <w:p w:rsidR="00250C1E" w:rsidRDefault="00250C1E" w:rsidP="00250C1E">
      <w:pPr>
        <w:pStyle w:val="-"/>
        <w:ind w:firstLine="420"/>
        <w:rPr>
          <w:rFonts w:hint="eastAsia"/>
        </w:rPr>
      </w:pPr>
      <w:r>
        <w:rPr>
          <w:rFonts w:hint="eastAsia"/>
        </w:rPr>
        <w:t>由于各个国家</w:t>
      </w:r>
      <w:r>
        <w:rPr>
          <w:rFonts w:hint="eastAsia"/>
        </w:rPr>
        <w:t>/</w:t>
      </w:r>
      <w:r>
        <w:rPr>
          <w:rFonts w:hint="eastAsia"/>
        </w:rPr>
        <w:t>地区对上市公司日常经营活动的会计处理、财务报表披露等会计核算标准的规定存在一定差异，可能导致基金经理对公司盈利能力、投资价值的判断产生偏差，从而给本基金投资带来潜在风险。</w:t>
      </w:r>
    </w:p>
    <w:p w:rsidR="00250C1E" w:rsidRDefault="00250C1E" w:rsidP="00250C1E">
      <w:pPr>
        <w:pStyle w:val="-"/>
        <w:ind w:firstLine="420"/>
        <w:rPr>
          <w:rFonts w:hint="eastAsia"/>
        </w:rPr>
      </w:pPr>
      <w:r>
        <w:rPr>
          <w:rFonts w:hint="eastAsia"/>
        </w:rPr>
        <w:t>8</w:t>
      </w:r>
      <w:r>
        <w:rPr>
          <w:rFonts w:hint="eastAsia"/>
        </w:rPr>
        <w:t>、证券借贷</w:t>
      </w:r>
      <w:r>
        <w:rPr>
          <w:rFonts w:hint="eastAsia"/>
        </w:rPr>
        <w:t>/</w:t>
      </w:r>
      <w:r>
        <w:rPr>
          <w:rFonts w:hint="eastAsia"/>
        </w:rPr>
        <w:t>正回购</w:t>
      </w:r>
      <w:r>
        <w:rPr>
          <w:rFonts w:hint="eastAsia"/>
        </w:rPr>
        <w:t>/</w:t>
      </w:r>
      <w:r>
        <w:rPr>
          <w:rFonts w:hint="eastAsia"/>
        </w:rPr>
        <w:t>逆回购风险</w:t>
      </w:r>
    </w:p>
    <w:p w:rsidR="00250C1E" w:rsidRDefault="00250C1E" w:rsidP="00250C1E">
      <w:pPr>
        <w:pStyle w:val="-"/>
        <w:ind w:firstLine="420"/>
        <w:rPr>
          <w:rFonts w:hint="eastAsia"/>
        </w:rPr>
      </w:pPr>
      <w:r>
        <w:rPr>
          <w:rFonts w:hint="eastAsia"/>
        </w:rPr>
        <w:t>证券借贷</w:t>
      </w:r>
      <w:r>
        <w:rPr>
          <w:rFonts w:hint="eastAsia"/>
        </w:rPr>
        <w:t>/</w:t>
      </w:r>
      <w:r>
        <w:rPr>
          <w:rFonts w:hint="eastAsia"/>
        </w:rPr>
        <w:t>正回购</w:t>
      </w:r>
      <w:r>
        <w:rPr>
          <w:rFonts w:hint="eastAsia"/>
        </w:rPr>
        <w:t>/</w:t>
      </w:r>
      <w:r>
        <w:rPr>
          <w:rFonts w:hint="eastAsia"/>
        </w:rPr>
        <w:t>逆回购风险的主要风险在于交易对手风险，具体讲，对于证券借贷，交易期满时借方未如约偿还所借证券，或在交易期间未如约支付已借出证券产生的所有股息、利息和分红；对于正回购，交易期满时买方未如约卖回已买入证券，或在交易期间未如约支付售出证券产生的所有股息、利息和分红；对于逆回购，交易期满时卖方未如约买回已售出证券。</w:t>
      </w:r>
    </w:p>
    <w:p w:rsidR="00250C1E" w:rsidRDefault="00250C1E" w:rsidP="00250C1E">
      <w:pPr>
        <w:pStyle w:val="-"/>
        <w:ind w:firstLine="420"/>
        <w:rPr>
          <w:rFonts w:hint="eastAsia"/>
        </w:rPr>
      </w:pPr>
      <w:r>
        <w:rPr>
          <w:rFonts w:hint="eastAsia"/>
        </w:rPr>
        <w:t>二、本基金运作特有风险</w:t>
      </w:r>
    </w:p>
    <w:p w:rsidR="00250C1E" w:rsidRDefault="00250C1E" w:rsidP="00250C1E">
      <w:pPr>
        <w:pStyle w:val="-"/>
        <w:ind w:firstLine="420"/>
        <w:rPr>
          <w:rFonts w:hint="eastAsia"/>
        </w:rPr>
      </w:pPr>
      <w:r>
        <w:rPr>
          <w:rFonts w:hint="eastAsia"/>
        </w:rPr>
        <w:t>1</w:t>
      </w:r>
      <w:r>
        <w:rPr>
          <w:rFonts w:hint="eastAsia"/>
        </w:rPr>
        <w:t>、停牌或终止上市的风险</w:t>
      </w:r>
    </w:p>
    <w:p w:rsidR="00250C1E" w:rsidRDefault="00250C1E" w:rsidP="00250C1E">
      <w:pPr>
        <w:pStyle w:val="-"/>
        <w:ind w:firstLine="420"/>
        <w:rPr>
          <w:rFonts w:hint="eastAsia"/>
        </w:rPr>
      </w:pPr>
      <w:r>
        <w:rPr>
          <w:rFonts w:hint="eastAsia"/>
        </w:rPr>
        <w:t>在《基金合同》生效且本基金符合上市交易条件后，本基金</w:t>
      </w:r>
      <w:r>
        <w:rPr>
          <w:rFonts w:hint="eastAsia"/>
        </w:rPr>
        <w:t>A</w:t>
      </w:r>
      <w:r>
        <w:rPr>
          <w:rFonts w:hint="eastAsia"/>
        </w:rPr>
        <w:t>类基金份额在深圳证券交易所挂牌上市交易。由于上市期间可能因信息披露导致基金停牌，投资者在停牌期间不能买卖基金，产生风险；同时，可能因上市后交易对手不足导致基金流动性风险。</w:t>
      </w:r>
    </w:p>
    <w:p w:rsidR="00250C1E" w:rsidRDefault="00250C1E" w:rsidP="00250C1E">
      <w:pPr>
        <w:pStyle w:val="-"/>
        <w:ind w:firstLine="420"/>
        <w:rPr>
          <w:rFonts w:hint="eastAsia"/>
        </w:rPr>
      </w:pPr>
      <w:r>
        <w:rPr>
          <w:rFonts w:hint="eastAsia"/>
        </w:rPr>
        <w:t>2</w:t>
      </w:r>
      <w:r>
        <w:rPr>
          <w:rFonts w:hint="eastAsia"/>
        </w:rPr>
        <w:t>、基金份额折溢价的风险</w:t>
      </w:r>
    </w:p>
    <w:p w:rsidR="00250C1E" w:rsidRDefault="00250C1E" w:rsidP="00250C1E">
      <w:pPr>
        <w:pStyle w:val="-"/>
        <w:ind w:firstLine="420"/>
        <w:rPr>
          <w:rFonts w:hint="eastAsia"/>
        </w:rPr>
      </w:pPr>
      <w:r>
        <w:rPr>
          <w:rFonts w:hint="eastAsia"/>
        </w:rPr>
        <w:t>A</w:t>
      </w:r>
      <w:r>
        <w:rPr>
          <w:rFonts w:hint="eastAsia"/>
        </w:rPr>
        <w:t>类基金份额上市交易后，基金份额的交易价格与其基金份额净值之间可能发生偏离并出现折溢价交易风险。基金份额的交易价格将受到基金份额净值、市场供求情况、投资人心理预期等多种因素的影响，造成交易价格出现折价或溢价的情况，存在投资人不能按照基金份额净值买入或卖出基金份额的风险。</w:t>
      </w:r>
    </w:p>
    <w:p w:rsidR="00250C1E" w:rsidRDefault="00250C1E" w:rsidP="00250C1E">
      <w:pPr>
        <w:pStyle w:val="-"/>
        <w:ind w:firstLine="420"/>
        <w:rPr>
          <w:rFonts w:hint="eastAsia"/>
        </w:rPr>
      </w:pPr>
      <w:r>
        <w:rPr>
          <w:rFonts w:hint="eastAsia"/>
        </w:rPr>
        <w:t>3</w:t>
      </w:r>
      <w:r>
        <w:rPr>
          <w:rFonts w:hint="eastAsia"/>
        </w:rPr>
        <w:t>、标的指数回报与股票市场平均回报偏离的风险</w:t>
      </w:r>
    </w:p>
    <w:p w:rsidR="00250C1E" w:rsidRDefault="00250C1E" w:rsidP="00250C1E">
      <w:pPr>
        <w:pStyle w:val="-"/>
        <w:ind w:firstLine="420"/>
        <w:rPr>
          <w:rFonts w:hint="eastAsia"/>
        </w:rPr>
      </w:pPr>
      <w:r>
        <w:rPr>
          <w:rFonts w:hint="eastAsia"/>
        </w:rPr>
        <w:t>标的指数并不能完全代表整个股票市场。标的指数成份股的平均回报率与整个股票市场的平均回报率可能存在偏离。</w:t>
      </w:r>
    </w:p>
    <w:p w:rsidR="00250C1E" w:rsidRDefault="00250C1E" w:rsidP="00250C1E">
      <w:pPr>
        <w:pStyle w:val="-"/>
        <w:ind w:firstLine="420"/>
        <w:rPr>
          <w:rFonts w:hint="eastAsia"/>
        </w:rPr>
      </w:pPr>
      <w:r>
        <w:rPr>
          <w:rFonts w:hint="eastAsia"/>
        </w:rPr>
        <w:t>4</w:t>
      </w:r>
      <w:r>
        <w:rPr>
          <w:rFonts w:hint="eastAsia"/>
        </w:rPr>
        <w:t>、标的指数波动的风险</w:t>
      </w:r>
    </w:p>
    <w:p w:rsidR="00250C1E" w:rsidRDefault="00250C1E" w:rsidP="00250C1E">
      <w:pPr>
        <w:pStyle w:val="-"/>
        <w:ind w:firstLine="420"/>
        <w:rPr>
          <w:rFonts w:hint="eastAsia"/>
        </w:rPr>
      </w:pPr>
      <w:r>
        <w:rPr>
          <w:rFonts w:hint="eastAsia"/>
        </w:rPr>
        <w:t>标的指数成份股的价格可能受到政治因素、经济因素、上市公司经营状况、投资人心理和交易制度等各种因素的影响而波动，导致指数波动，从而使基金收益水平发生变化，产生风险。</w:t>
      </w:r>
    </w:p>
    <w:p w:rsidR="00250C1E" w:rsidRDefault="00250C1E" w:rsidP="00250C1E">
      <w:pPr>
        <w:pStyle w:val="-"/>
        <w:ind w:firstLine="420"/>
        <w:rPr>
          <w:rFonts w:hint="eastAsia"/>
        </w:rPr>
      </w:pPr>
      <w:r>
        <w:rPr>
          <w:rFonts w:hint="eastAsia"/>
        </w:rPr>
        <w:t>5</w:t>
      </w:r>
      <w:r>
        <w:rPr>
          <w:rFonts w:hint="eastAsia"/>
        </w:rPr>
        <w:t>、基金投资组合回报与标的指数回报偏离的风险及跟踪误差控制未达约定目标的风险</w:t>
      </w:r>
    </w:p>
    <w:p w:rsidR="00250C1E" w:rsidRDefault="00250C1E" w:rsidP="00250C1E">
      <w:pPr>
        <w:pStyle w:val="-"/>
        <w:ind w:firstLine="420"/>
        <w:rPr>
          <w:rFonts w:hint="eastAsia"/>
        </w:rPr>
      </w:pPr>
      <w:r>
        <w:rPr>
          <w:rFonts w:hint="eastAsia"/>
        </w:rPr>
        <w:t>由于标的指数调整成份股或变更编制方法、标的指数成份股发生配股或增发等行为导致成份股在标的指数中的权重发生变化、成份股派发现金红利、新股市值配售、成份股停牌或摘牌、股流动性差等原因使本基金无法及时调整投资组合以及与基金运作相关的费用等因素使本基金产生跟踪偏离度和跟踪误差。</w:t>
      </w:r>
    </w:p>
    <w:p w:rsidR="00250C1E" w:rsidRDefault="00250C1E" w:rsidP="00250C1E">
      <w:pPr>
        <w:pStyle w:val="-"/>
        <w:ind w:firstLine="420"/>
        <w:rPr>
          <w:rFonts w:hint="eastAsia"/>
        </w:rPr>
      </w:pPr>
      <w:r>
        <w:rPr>
          <w:rFonts w:hint="eastAsia"/>
        </w:rPr>
        <w:t>6</w:t>
      </w:r>
      <w:r>
        <w:rPr>
          <w:rFonts w:hint="eastAsia"/>
        </w:rPr>
        <w:t>、第三方机构服务的风险</w:t>
      </w:r>
    </w:p>
    <w:p w:rsidR="00250C1E" w:rsidRDefault="00250C1E" w:rsidP="00250C1E">
      <w:pPr>
        <w:pStyle w:val="-"/>
        <w:ind w:firstLine="420"/>
        <w:rPr>
          <w:rFonts w:hint="eastAsia"/>
        </w:rPr>
      </w:pPr>
      <w:r>
        <w:rPr>
          <w:rFonts w:hint="eastAsia"/>
        </w:rPr>
        <w:t>本基金的多项服务委托第三方机构办理，存在以下风险：</w:t>
      </w:r>
    </w:p>
    <w:p w:rsidR="00250C1E" w:rsidRDefault="00250C1E" w:rsidP="00250C1E">
      <w:pPr>
        <w:pStyle w:val="-"/>
        <w:ind w:firstLine="420"/>
        <w:rPr>
          <w:rFonts w:hint="eastAsia"/>
        </w:rPr>
      </w:pPr>
      <w:r>
        <w:rPr>
          <w:rFonts w:hint="eastAsia"/>
        </w:rPr>
        <w:t>（</w:t>
      </w:r>
      <w:r>
        <w:rPr>
          <w:rFonts w:hint="eastAsia"/>
        </w:rPr>
        <w:t>1</w:t>
      </w:r>
      <w:r>
        <w:rPr>
          <w:rFonts w:hint="eastAsia"/>
        </w:rPr>
        <w:t>）申购赎回代理券商因多种原因，导致代理申购、赎回业务受到限制、暂停或终止，由此影响对投资者申购赎回服务的风险。</w:t>
      </w:r>
    </w:p>
    <w:p w:rsidR="00250C1E" w:rsidRDefault="00250C1E" w:rsidP="00250C1E">
      <w:pPr>
        <w:pStyle w:val="-"/>
        <w:ind w:firstLine="420"/>
        <w:rPr>
          <w:rFonts w:hint="eastAsia"/>
        </w:rPr>
      </w:pPr>
      <w:r>
        <w:rPr>
          <w:rFonts w:hint="eastAsia"/>
        </w:rPr>
        <w:lastRenderedPageBreak/>
        <w:t>（</w:t>
      </w:r>
      <w:r>
        <w:rPr>
          <w:rFonts w:hint="eastAsia"/>
        </w:rPr>
        <w:t>2</w:t>
      </w:r>
      <w:r>
        <w:rPr>
          <w:rFonts w:hint="eastAsia"/>
        </w:rPr>
        <w:t>）登记机构可能调整结算制度，对投资者基金份额、资金的结算方式发生变化，制度调整可能给投资者带来理解偏差的风险。同样的风险还可能来自于证券交易所及其他代理机构。</w:t>
      </w:r>
    </w:p>
    <w:p w:rsidR="00250C1E" w:rsidRDefault="00250C1E" w:rsidP="00250C1E">
      <w:pPr>
        <w:pStyle w:val="-"/>
        <w:ind w:firstLine="420"/>
        <w:rPr>
          <w:rFonts w:hint="eastAsia"/>
        </w:rPr>
      </w:pPr>
      <w:r>
        <w:rPr>
          <w:rFonts w:hint="eastAsia"/>
        </w:rPr>
        <w:t>（</w:t>
      </w:r>
      <w:r>
        <w:rPr>
          <w:rFonts w:hint="eastAsia"/>
        </w:rPr>
        <w:t>3</w:t>
      </w:r>
      <w:r>
        <w:rPr>
          <w:rFonts w:hint="eastAsia"/>
        </w:rPr>
        <w:t>）证券</w:t>
      </w:r>
      <w:r>
        <w:rPr>
          <w:rFonts w:hint="eastAsia"/>
        </w:rPr>
        <w:t>/</w:t>
      </w:r>
      <w:r>
        <w:rPr>
          <w:rFonts w:hint="eastAsia"/>
        </w:rPr>
        <w:t>期货交易所、登记机构、基金托管人及其他代理机构可能违约，导致基金或投资者利益受损的风险。</w:t>
      </w:r>
    </w:p>
    <w:p w:rsidR="00250C1E" w:rsidRDefault="00250C1E" w:rsidP="00250C1E">
      <w:pPr>
        <w:pStyle w:val="-"/>
        <w:ind w:firstLine="420"/>
        <w:rPr>
          <w:rFonts w:hint="eastAsia"/>
        </w:rPr>
      </w:pPr>
      <w:r>
        <w:rPr>
          <w:rFonts w:hint="eastAsia"/>
        </w:rPr>
        <w:t>（</w:t>
      </w:r>
      <w:r>
        <w:rPr>
          <w:rFonts w:hint="eastAsia"/>
        </w:rPr>
        <w:t>4</w:t>
      </w:r>
      <w:r>
        <w:rPr>
          <w:rFonts w:hint="eastAsia"/>
        </w:rPr>
        <w:t>）指数编制机构停止服务的风险</w:t>
      </w:r>
    </w:p>
    <w:p w:rsidR="00250C1E" w:rsidRDefault="00250C1E" w:rsidP="00250C1E">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w:t>
      </w:r>
    </w:p>
    <w:p w:rsidR="00250C1E" w:rsidRDefault="00250C1E" w:rsidP="00250C1E">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250C1E" w:rsidRDefault="00250C1E" w:rsidP="00250C1E">
      <w:pPr>
        <w:pStyle w:val="-"/>
        <w:ind w:firstLine="420"/>
        <w:rPr>
          <w:rFonts w:hint="eastAsia"/>
        </w:rPr>
      </w:pPr>
      <w:r>
        <w:rPr>
          <w:rFonts w:hint="eastAsia"/>
        </w:rPr>
        <w:t>7</w:t>
      </w:r>
      <w:r>
        <w:rPr>
          <w:rFonts w:hint="eastAsia"/>
        </w:rPr>
        <w:t>、成份股停牌、摘牌的风险</w:t>
      </w:r>
    </w:p>
    <w:p w:rsidR="00250C1E" w:rsidRDefault="00250C1E" w:rsidP="00250C1E">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250C1E" w:rsidRDefault="00250C1E" w:rsidP="00250C1E">
      <w:pPr>
        <w:pStyle w:val="-"/>
        <w:ind w:firstLine="420"/>
        <w:rPr>
          <w:rFonts w:hint="eastAsia"/>
        </w:rPr>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250C1E" w:rsidRDefault="00250C1E" w:rsidP="00250C1E">
      <w:pPr>
        <w:pStyle w:val="-"/>
        <w:ind w:firstLine="420"/>
      </w:pPr>
    </w:p>
    <w:p w:rsidR="00250C1E" w:rsidRDefault="00250C1E" w:rsidP="00250C1E">
      <w:pPr>
        <w:pStyle w:val="-"/>
        <w:ind w:firstLine="420"/>
        <w:rPr>
          <w:rFonts w:hint="eastAsia"/>
        </w:rPr>
      </w:pPr>
      <w:r>
        <w:rPr>
          <w:rFonts w:hint="eastAsia"/>
        </w:rPr>
        <w:t>三、开放式基金风险</w:t>
      </w:r>
    </w:p>
    <w:p w:rsidR="00250C1E" w:rsidRDefault="00250C1E" w:rsidP="00250C1E">
      <w:pPr>
        <w:pStyle w:val="-"/>
        <w:ind w:firstLine="420"/>
        <w:rPr>
          <w:rFonts w:hint="eastAsia"/>
        </w:rPr>
      </w:pPr>
      <w:r>
        <w:rPr>
          <w:rFonts w:hint="eastAsia"/>
        </w:rPr>
        <w:t>1</w:t>
      </w:r>
      <w:r>
        <w:rPr>
          <w:rFonts w:hint="eastAsia"/>
        </w:rPr>
        <w:t>、利率风险</w:t>
      </w:r>
      <w:r>
        <w:rPr>
          <w:rFonts w:hint="eastAsia"/>
        </w:rPr>
        <w:t xml:space="preserve"> 2</w:t>
      </w:r>
      <w:r>
        <w:rPr>
          <w:rFonts w:hint="eastAsia"/>
        </w:rPr>
        <w:t>、信用风险</w:t>
      </w:r>
      <w:r>
        <w:rPr>
          <w:rFonts w:hint="eastAsia"/>
        </w:rPr>
        <w:t xml:space="preserve"> 3</w:t>
      </w:r>
      <w:r>
        <w:rPr>
          <w:rFonts w:hint="eastAsia"/>
        </w:rPr>
        <w:t>、流动性风险</w:t>
      </w:r>
    </w:p>
    <w:p w:rsidR="00250C1E" w:rsidRDefault="00250C1E" w:rsidP="00250C1E">
      <w:pPr>
        <w:pStyle w:val="-"/>
        <w:ind w:firstLine="420"/>
        <w:rPr>
          <w:rFonts w:hint="eastAsia"/>
        </w:rPr>
      </w:pPr>
      <w:r>
        <w:rPr>
          <w:rFonts w:hint="eastAsia"/>
        </w:rPr>
        <w:t>（</w:t>
      </w:r>
      <w:r>
        <w:rPr>
          <w:rFonts w:hint="eastAsia"/>
        </w:rPr>
        <w:t>1</w:t>
      </w:r>
      <w:r>
        <w:rPr>
          <w:rFonts w:hint="eastAsia"/>
        </w:rPr>
        <w:t>）本基金的申购、赎回安排</w:t>
      </w:r>
    </w:p>
    <w:p w:rsidR="00250C1E" w:rsidRDefault="00250C1E" w:rsidP="00250C1E">
      <w:pPr>
        <w:pStyle w:val="-"/>
        <w:ind w:firstLine="420"/>
        <w:rPr>
          <w:rFonts w:hint="eastAsia"/>
        </w:rPr>
      </w:pPr>
      <w:r>
        <w:rPr>
          <w:rFonts w:hint="eastAsia"/>
        </w:rPr>
        <w:t>（</w:t>
      </w:r>
      <w:r>
        <w:rPr>
          <w:rFonts w:hint="eastAsia"/>
        </w:rPr>
        <w:t>2</w:t>
      </w:r>
      <w:r>
        <w:rPr>
          <w:rFonts w:hint="eastAsia"/>
        </w:rPr>
        <w:t>）投资市场、行业及资产的流动性风险评估</w:t>
      </w:r>
    </w:p>
    <w:p w:rsidR="00250C1E" w:rsidRDefault="00250C1E" w:rsidP="00250C1E">
      <w:pPr>
        <w:pStyle w:val="-"/>
        <w:ind w:firstLine="420"/>
        <w:rPr>
          <w:rFonts w:hint="eastAsia"/>
        </w:rPr>
      </w:pPr>
      <w:r>
        <w:rPr>
          <w:rFonts w:hint="eastAsia"/>
        </w:rPr>
        <w:t>（</w:t>
      </w:r>
      <w:r>
        <w:rPr>
          <w:rFonts w:hint="eastAsia"/>
        </w:rPr>
        <w:t>3</w:t>
      </w:r>
      <w:r>
        <w:rPr>
          <w:rFonts w:hint="eastAsia"/>
        </w:rPr>
        <w:t>）巨额赎回情形下的流动性风险管理措施</w:t>
      </w:r>
    </w:p>
    <w:p w:rsidR="00250C1E" w:rsidRDefault="00250C1E" w:rsidP="00250C1E">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250C1E" w:rsidRDefault="00250C1E" w:rsidP="00250C1E">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250C1E" w:rsidRDefault="00250C1E" w:rsidP="00250C1E">
      <w:pPr>
        <w:pStyle w:val="-"/>
        <w:ind w:firstLine="420"/>
        <w:rPr>
          <w:rFonts w:hint="eastAsia"/>
        </w:rPr>
      </w:pPr>
      <w:r>
        <w:rPr>
          <w:rFonts w:hint="eastAsia"/>
        </w:rPr>
        <w:t>4</w:t>
      </w:r>
      <w:r>
        <w:rPr>
          <w:rFonts w:hint="eastAsia"/>
        </w:rPr>
        <w:t>、管理风险</w:t>
      </w:r>
      <w:r>
        <w:rPr>
          <w:rFonts w:hint="eastAsia"/>
        </w:rPr>
        <w:t xml:space="preserve"> 5</w:t>
      </w:r>
      <w:r>
        <w:rPr>
          <w:rFonts w:hint="eastAsia"/>
        </w:rPr>
        <w:t>、会计核算风险</w:t>
      </w:r>
      <w:r>
        <w:rPr>
          <w:rFonts w:hint="eastAsia"/>
        </w:rPr>
        <w:t xml:space="preserve"> 6</w:t>
      </w:r>
      <w:r>
        <w:rPr>
          <w:rFonts w:hint="eastAsia"/>
        </w:rPr>
        <w:t>、税务风险</w:t>
      </w:r>
    </w:p>
    <w:p w:rsidR="00250C1E" w:rsidRDefault="00250C1E" w:rsidP="00250C1E">
      <w:pPr>
        <w:pStyle w:val="-"/>
        <w:ind w:firstLine="420"/>
        <w:rPr>
          <w:rFonts w:hint="eastAsia"/>
        </w:rPr>
      </w:pPr>
      <w:r>
        <w:rPr>
          <w:rFonts w:hint="eastAsia"/>
        </w:rPr>
        <w:t>在境外投资时，因境外税务法律法规的不同，可能会就股息、利息、资本利得等收益向当地税务机构缴纳税金，包括预扣税，该行为可能会使得资产回报受到一定影响。境外市场的税收法律法规的规定可能变化，或者加以具有追溯力的修订，所以可能须向投资所在国家或地区缴纳本基金销售、估值或者出售投资当日并未预计的额外税项。</w:t>
      </w:r>
    </w:p>
    <w:p w:rsidR="00250C1E" w:rsidRDefault="00250C1E" w:rsidP="00250C1E">
      <w:pPr>
        <w:pStyle w:val="-"/>
        <w:ind w:firstLine="420"/>
        <w:rPr>
          <w:rFonts w:hint="eastAsia"/>
        </w:rPr>
      </w:pPr>
      <w:r>
        <w:rPr>
          <w:rFonts w:hint="eastAsia"/>
        </w:rPr>
        <w:lastRenderedPageBreak/>
        <w:t>7</w:t>
      </w:r>
      <w:r>
        <w:rPr>
          <w:rFonts w:hint="eastAsia"/>
        </w:rPr>
        <w:t>、交易结算风险</w:t>
      </w:r>
    </w:p>
    <w:p w:rsidR="00250C1E" w:rsidRDefault="00250C1E" w:rsidP="00250C1E">
      <w:pPr>
        <w:pStyle w:val="-"/>
        <w:ind w:firstLine="420"/>
        <w:rPr>
          <w:rFonts w:hint="eastAsia"/>
        </w:rPr>
      </w:pPr>
      <w:r>
        <w:rPr>
          <w:rFonts w:hint="eastAsia"/>
        </w:rPr>
        <w:t>结算风险是一种特殊形式的信用风险。当双方在同一天进行交换时，就会产生结算风险。在一方已经进行了支付后，如果另一方发生违约，就会产生结算风险。本基金将通过国际性的专业清算公司统一进行交易结算，规避结算风险。</w:t>
      </w:r>
    </w:p>
    <w:p w:rsidR="00250C1E" w:rsidRDefault="00250C1E" w:rsidP="00250C1E">
      <w:pPr>
        <w:pStyle w:val="-"/>
        <w:ind w:firstLine="420"/>
        <w:rPr>
          <w:rFonts w:hint="eastAsia"/>
        </w:rPr>
      </w:pPr>
      <w:r>
        <w:rPr>
          <w:rFonts w:hint="eastAsia"/>
        </w:rPr>
        <w:t>8</w:t>
      </w:r>
      <w:r>
        <w:rPr>
          <w:rFonts w:hint="eastAsia"/>
        </w:rPr>
        <w:t>、法律风险</w:t>
      </w:r>
    </w:p>
    <w:p w:rsidR="00250C1E" w:rsidRDefault="00250C1E" w:rsidP="00250C1E">
      <w:pPr>
        <w:pStyle w:val="-"/>
        <w:ind w:firstLine="420"/>
        <w:rPr>
          <w:rFonts w:hint="eastAsia"/>
        </w:rPr>
      </w:pPr>
      <w:r>
        <w:rPr>
          <w:rFonts w:hint="eastAsia"/>
        </w:rPr>
        <w:t>由于交易合约在法律上无效、合约内容不符合法律的规定，或者由于税制、破产制度的改变等法律上的原因，给交易者带来损失的可能性。法律风险主要发生在</w:t>
      </w:r>
      <w:r>
        <w:rPr>
          <w:rFonts w:hint="eastAsia"/>
        </w:rPr>
        <w:t>OTC</w:t>
      </w:r>
      <w:r>
        <w:rPr>
          <w:rFonts w:hint="eastAsia"/>
        </w:rPr>
        <w:t>（也称为柜台市场）的交易中。法律风险主要来自两个方面：一是合约的不可实施性，包括合约潜在的非法性，对手缺乏进行该项交易的合法资格，以及现行的法律法规发生变更而使该合约失去法律效力等；二是交易对手因经营不善等原因失去清偿能力或不能依照法律规定对其为清偿合约进行平仓交易。对于法律风险，本基金将本着审慎的原则按照中国证监会的要求选择交易对手，并借助于本基金聘请的海外律师严格合约的各项条款与内容，同时，关注相应国家或地区法律环境的变化，有效规避法律风险。</w:t>
      </w:r>
    </w:p>
    <w:p w:rsidR="00250C1E" w:rsidRDefault="00250C1E" w:rsidP="00250C1E">
      <w:pPr>
        <w:pStyle w:val="-"/>
        <w:ind w:firstLine="420"/>
        <w:rPr>
          <w:rFonts w:hint="eastAsia"/>
        </w:rPr>
      </w:pPr>
      <w:r>
        <w:rPr>
          <w:rFonts w:hint="eastAsia"/>
        </w:rPr>
        <w:t>9</w:t>
      </w:r>
      <w:r>
        <w:rPr>
          <w:rFonts w:hint="eastAsia"/>
        </w:rPr>
        <w:t>、衍生品风险</w:t>
      </w:r>
    </w:p>
    <w:p w:rsidR="00250C1E" w:rsidRDefault="00250C1E" w:rsidP="00250C1E">
      <w:pPr>
        <w:pStyle w:val="-"/>
        <w:ind w:firstLine="420"/>
        <w:rPr>
          <w:rFonts w:hint="eastAsia"/>
        </w:rPr>
      </w:pPr>
      <w:r>
        <w:rPr>
          <w:rFonts w:hint="eastAsia"/>
        </w:rPr>
        <w:t>四、其他风险</w:t>
      </w:r>
    </w:p>
    <w:p w:rsidR="00250C1E" w:rsidRDefault="00250C1E" w:rsidP="00250C1E">
      <w:pPr>
        <w:pStyle w:val="-"/>
        <w:ind w:firstLine="420"/>
        <w:rPr>
          <w:rFonts w:hint="eastAsia"/>
        </w:rPr>
      </w:pPr>
      <w:r>
        <w:rPr>
          <w:rFonts w:hint="eastAsia"/>
        </w:rPr>
        <w:t>五、本基金法律文件风险收益特征表述与销售机构基金风险评价可能不一致的风险</w:t>
      </w:r>
    </w:p>
    <w:p w:rsidR="00250C1E" w:rsidRDefault="00250C1E" w:rsidP="00250C1E">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250C1E" w:rsidRDefault="00250C1E" w:rsidP="00250C1E">
      <w:pPr>
        <w:pStyle w:val="-2"/>
        <w:spacing w:before="156" w:after="156"/>
      </w:pPr>
      <w:r>
        <w:rPr>
          <w:rFonts w:hint="eastAsia"/>
        </w:rPr>
        <w:t>（二）</w:t>
      </w:r>
      <w:r>
        <w:t xml:space="preserve"> </w:t>
      </w:r>
      <w:r>
        <w:t>重要提示</w:t>
      </w:r>
    </w:p>
    <w:p w:rsidR="00250C1E" w:rsidRDefault="00250C1E" w:rsidP="00250C1E">
      <w:pPr>
        <w:pStyle w:val="-"/>
        <w:ind w:firstLine="420"/>
        <w:rPr>
          <w:rFonts w:hint="eastAsia"/>
        </w:rPr>
      </w:pPr>
      <w:r>
        <w:rPr>
          <w:rFonts w:hint="eastAsia"/>
        </w:rPr>
        <w:t>南方道琼斯美国精选</w:t>
      </w:r>
      <w:r>
        <w:rPr>
          <w:rFonts w:hint="eastAsia"/>
        </w:rPr>
        <w:t>REIT</w:t>
      </w:r>
      <w:r>
        <w:rPr>
          <w:rFonts w:hint="eastAsia"/>
        </w:rPr>
        <w:t>指数证券投资基金（</w:t>
      </w:r>
      <w:r>
        <w:rPr>
          <w:rFonts w:hint="eastAsia"/>
        </w:rPr>
        <w:t>QDII-LOF</w:t>
      </w:r>
      <w:r>
        <w:rPr>
          <w:rFonts w:hint="eastAsia"/>
        </w:rPr>
        <w:t>）（以下简称“本基金”）经中国证监会</w:t>
      </w:r>
      <w:r>
        <w:rPr>
          <w:rFonts w:hint="eastAsia"/>
        </w:rPr>
        <w:t>2017</w:t>
      </w:r>
      <w:r>
        <w:rPr>
          <w:rFonts w:hint="eastAsia"/>
        </w:rPr>
        <w:t>年</w:t>
      </w:r>
      <w:r>
        <w:rPr>
          <w:rFonts w:hint="eastAsia"/>
        </w:rPr>
        <w:t>6</w:t>
      </w:r>
      <w:r>
        <w:rPr>
          <w:rFonts w:hint="eastAsia"/>
        </w:rPr>
        <w:t>月</w:t>
      </w:r>
      <w:r>
        <w:rPr>
          <w:rFonts w:hint="eastAsia"/>
        </w:rPr>
        <w:t>2</w:t>
      </w:r>
      <w:r>
        <w:rPr>
          <w:rFonts w:hint="eastAsia"/>
        </w:rPr>
        <w:t>日证监许可〔</w:t>
      </w:r>
      <w:r>
        <w:rPr>
          <w:rFonts w:hint="eastAsia"/>
        </w:rPr>
        <w:t>2017</w:t>
      </w:r>
      <w:r>
        <w:rPr>
          <w:rFonts w:hint="eastAsia"/>
        </w:rPr>
        <w:t>〕</w:t>
      </w:r>
      <w:r>
        <w:rPr>
          <w:rFonts w:hint="eastAsia"/>
        </w:rPr>
        <w:t>831</w:t>
      </w:r>
      <w:r>
        <w:rPr>
          <w:rFonts w:hint="eastAsia"/>
        </w:rPr>
        <w:t>号文注册募集。中国证监会对本基金募集的注册，并不表明其对本基金的价值和收益作出实质性判断或保证，也不表明投资于本基金没有风险。</w:t>
      </w:r>
    </w:p>
    <w:p w:rsidR="00250C1E" w:rsidRDefault="00250C1E" w:rsidP="00250C1E">
      <w:pPr>
        <w:pStyle w:val="-"/>
        <w:ind w:firstLine="420"/>
        <w:rPr>
          <w:rFonts w:hint="eastAsia"/>
        </w:rPr>
      </w:pPr>
      <w:r>
        <w:rPr>
          <w:rFonts w:hint="eastAsia"/>
        </w:rPr>
        <w:t>基金管理人依照恪尽职守、诚实信用、谨慎勤勉的原则管理和运用基金财产，但不保证基金一定盈利，也不保证最低收益。</w:t>
      </w:r>
    </w:p>
    <w:p w:rsidR="00250C1E" w:rsidRDefault="00250C1E" w:rsidP="00250C1E">
      <w:pPr>
        <w:pStyle w:val="-"/>
        <w:ind w:firstLine="420"/>
        <w:rPr>
          <w:rFonts w:hint="eastAsia"/>
        </w:rPr>
      </w:pPr>
      <w:r>
        <w:rPr>
          <w:rFonts w:hint="eastAsia"/>
        </w:rPr>
        <w:t>基金投资者自依基金合同取得基金份额，即成为基金份额持有人和基金合同的当事人。</w:t>
      </w:r>
    </w:p>
    <w:p w:rsidR="00250C1E" w:rsidRDefault="00250C1E" w:rsidP="00250C1E">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250C1E" w:rsidRDefault="00250C1E" w:rsidP="00250C1E">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250C1E" w:rsidRDefault="00250C1E" w:rsidP="00250C1E">
      <w:pPr>
        <w:pStyle w:val="-1"/>
        <w:spacing w:before="156" w:after="156"/>
        <w:rPr>
          <w:rFonts w:hint="eastAsia"/>
        </w:rPr>
      </w:pPr>
      <w:r>
        <w:rPr>
          <w:rFonts w:hint="eastAsia"/>
        </w:rPr>
        <w:t>五、其他资料查询方式</w:t>
      </w:r>
    </w:p>
    <w:p w:rsidR="00250C1E" w:rsidRDefault="00250C1E" w:rsidP="00250C1E">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250C1E" w:rsidRDefault="00250C1E" w:rsidP="00250C1E">
      <w:pPr>
        <w:pStyle w:val="-"/>
        <w:ind w:firstLine="420"/>
        <w:rPr>
          <w:rFonts w:hint="eastAsia"/>
        </w:rPr>
      </w:pPr>
      <w:r>
        <w:rPr>
          <w:rFonts w:hint="eastAsia"/>
        </w:rPr>
        <w:t>●《南方道琼斯美国精选</w:t>
      </w:r>
      <w:r>
        <w:rPr>
          <w:rFonts w:hint="eastAsia"/>
        </w:rPr>
        <w:t>REIT</w:t>
      </w:r>
      <w:r>
        <w:rPr>
          <w:rFonts w:hint="eastAsia"/>
        </w:rPr>
        <w:t>指数证券投资基金基金合同》、</w:t>
      </w:r>
    </w:p>
    <w:p w:rsidR="00250C1E" w:rsidRDefault="00250C1E" w:rsidP="00250C1E">
      <w:pPr>
        <w:pStyle w:val="-"/>
        <w:ind w:firstLine="420"/>
        <w:rPr>
          <w:rFonts w:hint="eastAsia"/>
        </w:rPr>
      </w:pPr>
      <w:r>
        <w:rPr>
          <w:rFonts w:hint="eastAsia"/>
        </w:rPr>
        <w:t>《南方道琼斯美国精选</w:t>
      </w:r>
      <w:r>
        <w:rPr>
          <w:rFonts w:hint="eastAsia"/>
        </w:rPr>
        <w:t>REIT</w:t>
      </w:r>
      <w:r>
        <w:rPr>
          <w:rFonts w:hint="eastAsia"/>
        </w:rPr>
        <w:t>指数证券投资基金基金托管协议》、</w:t>
      </w:r>
    </w:p>
    <w:p w:rsidR="00250C1E" w:rsidRDefault="00250C1E" w:rsidP="00250C1E">
      <w:pPr>
        <w:pStyle w:val="-"/>
        <w:ind w:firstLine="420"/>
        <w:rPr>
          <w:rFonts w:hint="eastAsia"/>
        </w:rPr>
      </w:pPr>
      <w:r>
        <w:rPr>
          <w:rFonts w:hint="eastAsia"/>
        </w:rPr>
        <w:t>《南方道琼斯美国精选</w:t>
      </w:r>
      <w:r>
        <w:rPr>
          <w:rFonts w:hint="eastAsia"/>
        </w:rPr>
        <w:t>REIT</w:t>
      </w:r>
      <w:r>
        <w:rPr>
          <w:rFonts w:hint="eastAsia"/>
        </w:rPr>
        <w:t>指数证券投资基金基金招募说明书》</w:t>
      </w:r>
    </w:p>
    <w:p w:rsidR="00250C1E" w:rsidRDefault="00250C1E" w:rsidP="00250C1E">
      <w:pPr>
        <w:pStyle w:val="-"/>
        <w:ind w:firstLine="420"/>
        <w:rPr>
          <w:rFonts w:hint="eastAsia"/>
        </w:rPr>
      </w:pPr>
      <w:r>
        <w:rPr>
          <w:rFonts w:hint="eastAsia"/>
        </w:rPr>
        <w:t>●定期报告、包括基金季度报告、中期报告和年度报告</w:t>
      </w:r>
    </w:p>
    <w:p w:rsidR="00250C1E" w:rsidRDefault="00250C1E" w:rsidP="00250C1E">
      <w:pPr>
        <w:pStyle w:val="-"/>
        <w:ind w:firstLine="420"/>
        <w:rPr>
          <w:rFonts w:hint="eastAsia"/>
        </w:rPr>
      </w:pPr>
      <w:r>
        <w:rPr>
          <w:rFonts w:hint="eastAsia"/>
        </w:rPr>
        <w:lastRenderedPageBreak/>
        <w:t>●基金份额净值</w:t>
      </w:r>
    </w:p>
    <w:p w:rsidR="00250C1E" w:rsidRDefault="00250C1E" w:rsidP="00250C1E">
      <w:pPr>
        <w:pStyle w:val="-"/>
        <w:ind w:firstLine="420"/>
        <w:rPr>
          <w:rFonts w:hint="eastAsia"/>
        </w:rPr>
      </w:pPr>
      <w:r>
        <w:rPr>
          <w:rFonts w:hint="eastAsia"/>
        </w:rPr>
        <w:t>●基金销售机构及联系方式</w:t>
      </w:r>
    </w:p>
    <w:p w:rsidR="00250C1E" w:rsidRDefault="00250C1E" w:rsidP="00250C1E">
      <w:pPr>
        <w:pStyle w:val="-"/>
        <w:ind w:firstLine="420"/>
        <w:rPr>
          <w:rFonts w:hint="eastAsia"/>
        </w:rPr>
      </w:pPr>
      <w:r>
        <w:rPr>
          <w:rFonts w:hint="eastAsia"/>
        </w:rPr>
        <w:t>●其他重要资料</w:t>
      </w:r>
    </w:p>
    <w:p w:rsidR="00250C1E" w:rsidRDefault="00250C1E" w:rsidP="00250C1E">
      <w:pPr>
        <w:pStyle w:val="-1"/>
        <w:spacing w:before="156" w:after="156"/>
        <w:rPr>
          <w:rFonts w:hint="eastAsia"/>
        </w:rPr>
      </w:pPr>
      <w:r>
        <w:rPr>
          <w:rFonts w:hint="eastAsia"/>
        </w:rPr>
        <w:t>六、其他情况说明</w:t>
      </w:r>
    </w:p>
    <w:p w:rsidR="00250C1E" w:rsidRDefault="00250C1E" w:rsidP="00250C1E">
      <w:pPr>
        <w:pStyle w:val="-"/>
        <w:ind w:firstLine="420"/>
        <w:rPr>
          <w:rFonts w:hint="eastAsia"/>
        </w:rPr>
      </w:pPr>
      <w:bookmarkStart w:id="0" w:name="_GoBack"/>
      <w:bookmarkEnd w:id="0"/>
      <w:r>
        <w:rPr>
          <w:rFonts w:hint="eastAsia"/>
        </w:rPr>
        <w:t>暂无。</w:t>
      </w:r>
    </w:p>
    <w:p w:rsidR="00E67375" w:rsidRPr="00ED7F31" w:rsidRDefault="00250C1E" w:rsidP="00250C1E">
      <w:pPr>
        <w:pStyle w:val="-"/>
        <w:ind w:firstLine="420"/>
      </w:pPr>
      <w:r w:rsidRPr="00A84177">
        <w:t xml:space="preserve"> </w:t>
      </w:r>
    </w:p>
    <w:sectPr w:rsidR="00E67375" w:rsidRPr="00ED7F31" w:rsidSect="00F03A8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C1E" w:rsidRDefault="00250C1E" w:rsidP="00C06F04">
      <w:r>
        <w:separator/>
      </w:r>
    </w:p>
  </w:endnote>
  <w:endnote w:type="continuationSeparator" w:id="0">
    <w:p w:rsidR="00250C1E" w:rsidRDefault="00250C1E"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1E" w:rsidRDefault="00250C1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250C1E" w:rsidRPr="00250C1E">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1E" w:rsidRDefault="00250C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C1E" w:rsidRDefault="00250C1E" w:rsidP="00C06F04">
      <w:r>
        <w:separator/>
      </w:r>
    </w:p>
  </w:footnote>
  <w:footnote w:type="continuationSeparator" w:id="0">
    <w:p w:rsidR="00250C1E" w:rsidRDefault="00250C1E"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1E" w:rsidRDefault="00250C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250C1E" w:rsidP="00CE07B7">
    <w:pPr>
      <w:pStyle w:val="a6"/>
      <w:jc w:val="right"/>
    </w:pPr>
    <w:r>
      <w:rPr>
        <w:rFonts w:hint="eastAsia"/>
      </w:rPr>
      <w:t>南方道琼斯美国精选</w:t>
    </w:r>
    <w:r>
      <w:rPr>
        <w:rFonts w:hint="eastAsia"/>
      </w:rPr>
      <w:t>REIT</w:t>
    </w:r>
    <w:r>
      <w:rPr>
        <w:rFonts w:hint="eastAsia"/>
      </w:rPr>
      <w:t>指数证券投资基金（</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1E" w:rsidRDefault="00250C1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50C1E"/>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6BE65-9A67-4F2D-8470-54F09E5C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1138</Words>
  <Characters>6491</Characters>
  <Application>Microsoft Office Word</Application>
  <DocSecurity>0</DocSecurity>
  <Lines>54</Lines>
  <Paragraphs>15</Paragraphs>
  <ScaleCrop>false</ScaleCrop>
  <Company>MC SYSTEM</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2021-08-23T08:00:00Z</dcterms:created>
  <dcterms:modified xsi:type="dcterms:W3CDTF">2021-08-23T08:00:00Z</dcterms:modified>
</cp:coreProperties>
</file>