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11C22" w14:textId="77777777" w:rsidR="00E13C79" w:rsidRPr="0047638B" w:rsidRDefault="00E13C79" w:rsidP="006C2189">
      <w:pPr>
        <w:snapToGrid w:val="0"/>
        <w:spacing w:line="360" w:lineRule="auto"/>
        <w:rPr>
          <w:rFonts w:asciiTheme="minorEastAsia" w:eastAsiaTheme="minorEastAsia" w:hAnsiTheme="minorEastAsia"/>
        </w:rPr>
      </w:pPr>
    </w:p>
    <w:p w14:paraId="50D10563" w14:textId="77777777" w:rsidR="00E13C79" w:rsidRPr="0047638B" w:rsidRDefault="00E13C79" w:rsidP="006C2189">
      <w:pPr>
        <w:snapToGrid w:val="0"/>
        <w:spacing w:line="360" w:lineRule="auto"/>
        <w:rPr>
          <w:rFonts w:asciiTheme="minorEastAsia" w:eastAsiaTheme="minorEastAsia" w:hAnsiTheme="minorEastAsia"/>
        </w:rPr>
      </w:pPr>
    </w:p>
    <w:p w14:paraId="7DC89A47" w14:textId="77777777" w:rsidR="00E13C79" w:rsidRPr="0047638B" w:rsidRDefault="00E13C79" w:rsidP="006C2189">
      <w:pPr>
        <w:snapToGrid w:val="0"/>
        <w:spacing w:line="360" w:lineRule="auto"/>
        <w:rPr>
          <w:rFonts w:asciiTheme="minorEastAsia" w:eastAsiaTheme="minorEastAsia" w:hAnsiTheme="minorEastAsia"/>
        </w:rPr>
      </w:pPr>
    </w:p>
    <w:p w14:paraId="13D3848A" w14:textId="77777777" w:rsidR="00E13C79" w:rsidRPr="0047638B" w:rsidRDefault="00E13C79" w:rsidP="006C2189">
      <w:pPr>
        <w:snapToGrid w:val="0"/>
        <w:spacing w:line="360" w:lineRule="auto"/>
        <w:rPr>
          <w:rFonts w:asciiTheme="minorEastAsia" w:eastAsiaTheme="minorEastAsia" w:hAnsiTheme="minorEastAsia"/>
        </w:rPr>
      </w:pPr>
    </w:p>
    <w:p w14:paraId="34906798" w14:textId="77777777" w:rsidR="00E13C79" w:rsidRPr="0047638B" w:rsidRDefault="00E13C79" w:rsidP="006C2189">
      <w:pPr>
        <w:snapToGrid w:val="0"/>
        <w:spacing w:line="360" w:lineRule="auto"/>
        <w:rPr>
          <w:rFonts w:asciiTheme="minorEastAsia" w:eastAsiaTheme="minorEastAsia" w:hAnsiTheme="minorEastAsia"/>
        </w:rPr>
      </w:pPr>
    </w:p>
    <w:p w14:paraId="22E2F44F" w14:textId="77777777" w:rsidR="00E13C79" w:rsidRPr="0047638B" w:rsidRDefault="00E13C79" w:rsidP="006C2189">
      <w:pPr>
        <w:snapToGrid w:val="0"/>
        <w:spacing w:line="360" w:lineRule="auto"/>
        <w:rPr>
          <w:rFonts w:asciiTheme="minorEastAsia" w:eastAsiaTheme="minorEastAsia" w:hAnsiTheme="minorEastAsia"/>
        </w:rPr>
      </w:pPr>
    </w:p>
    <w:p w14:paraId="77C3361D" w14:textId="77777777" w:rsidR="00E13C79" w:rsidRPr="0047638B" w:rsidRDefault="00E13C79" w:rsidP="006C2189">
      <w:pPr>
        <w:snapToGrid w:val="0"/>
        <w:spacing w:line="360" w:lineRule="auto"/>
        <w:rPr>
          <w:rFonts w:asciiTheme="minorEastAsia" w:eastAsiaTheme="minorEastAsia" w:hAnsiTheme="minorEastAsia"/>
        </w:rPr>
      </w:pPr>
    </w:p>
    <w:p w14:paraId="16FFF850" w14:textId="77777777" w:rsidR="00E13C79" w:rsidRPr="0047638B" w:rsidRDefault="00E13C79" w:rsidP="006C2189">
      <w:pPr>
        <w:snapToGrid w:val="0"/>
        <w:spacing w:line="360" w:lineRule="auto"/>
        <w:rPr>
          <w:rFonts w:asciiTheme="minorEastAsia" w:eastAsiaTheme="minorEastAsia" w:hAnsiTheme="minorEastAsia"/>
        </w:rPr>
      </w:pPr>
    </w:p>
    <w:p w14:paraId="31C07FF9" w14:textId="338EAF11" w:rsidR="00E13C79" w:rsidRPr="0047638B" w:rsidRDefault="00350410" w:rsidP="006C2189">
      <w:pPr>
        <w:snapToGrid w:val="0"/>
        <w:spacing w:line="360" w:lineRule="auto"/>
        <w:jc w:val="center"/>
        <w:rPr>
          <w:rFonts w:asciiTheme="minorEastAsia" w:eastAsiaTheme="minorEastAsia" w:hAnsiTheme="minorEastAsia"/>
          <w:b/>
          <w:sz w:val="44"/>
          <w:szCs w:val="44"/>
        </w:rPr>
      </w:pPr>
      <w:r w:rsidRPr="0047638B">
        <w:rPr>
          <w:rFonts w:asciiTheme="minorEastAsia" w:eastAsiaTheme="minorEastAsia" w:hAnsiTheme="minorEastAsia" w:hint="eastAsia"/>
          <w:b/>
          <w:sz w:val="44"/>
          <w:szCs w:val="44"/>
        </w:rPr>
        <w:t>易方达中证全指证券公司指数证券投资基金（LOF）</w:t>
      </w:r>
      <w:r w:rsidR="000D0429" w:rsidRPr="0047638B">
        <w:rPr>
          <w:rFonts w:asciiTheme="minorEastAsia" w:eastAsiaTheme="minorEastAsia" w:hAnsiTheme="minorEastAsia" w:hint="eastAsia"/>
          <w:b/>
          <w:sz w:val="44"/>
          <w:szCs w:val="44"/>
        </w:rPr>
        <w:t>更新的</w:t>
      </w:r>
      <w:r w:rsidR="00E13C79" w:rsidRPr="0047638B">
        <w:rPr>
          <w:rFonts w:asciiTheme="minorEastAsia" w:eastAsiaTheme="minorEastAsia" w:hAnsiTheme="minorEastAsia" w:hint="eastAsia"/>
          <w:b/>
          <w:sz w:val="44"/>
          <w:szCs w:val="44"/>
        </w:rPr>
        <w:t>招募说明书</w:t>
      </w:r>
    </w:p>
    <w:p w14:paraId="5CEA347D" w14:textId="77777777" w:rsidR="00E13C79" w:rsidRPr="0047638B" w:rsidRDefault="00E13C79" w:rsidP="006C2189">
      <w:pPr>
        <w:snapToGrid w:val="0"/>
        <w:spacing w:line="360" w:lineRule="auto"/>
        <w:rPr>
          <w:rFonts w:asciiTheme="minorEastAsia" w:eastAsiaTheme="minorEastAsia" w:hAnsiTheme="minorEastAsia"/>
        </w:rPr>
      </w:pPr>
    </w:p>
    <w:p w14:paraId="1FEC7ECC" w14:textId="77777777" w:rsidR="00E13C79" w:rsidRPr="0047638B" w:rsidRDefault="00E13C79" w:rsidP="006C2189">
      <w:pPr>
        <w:snapToGrid w:val="0"/>
        <w:spacing w:line="360" w:lineRule="auto"/>
        <w:rPr>
          <w:rFonts w:asciiTheme="minorEastAsia" w:eastAsiaTheme="minorEastAsia" w:hAnsiTheme="minorEastAsia"/>
        </w:rPr>
      </w:pPr>
    </w:p>
    <w:p w14:paraId="4EC9145A" w14:textId="77777777" w:rsidR="00E13C79" w:rsidRPr="0047638B" w:rsidRDefault="00E13C79" w:rsidP="006C2189">
      <w:pPr>
        <w:snapToGrid w:val="0"/>
        <w:spacing w:line="360" w:lineRule="auto"/>
        <w:rPr>
          <w:rFonts w:asciiTheme="minorEastAsia" w:eastAsiaTheme="minorEastAsia" w:hAnsiTheme="minorEastAsia"/>
        </w:rPr>
      </w:pPr>
    </w:p>
    <w:p w14:paraId="131E9C09" w14:textId="77777777" w:rsidR="00E13C79" w:rsidRPr="0047638B" w:rsidRDefault="00E13C79" w:rsidP="006C2189">
      <w:pPr>
        <w:snapToGrid w:val="0"/>
        <w:spacing w:line="360" w:lineRule="auto"/>
        <w:rPr>
          <w:rFonts w:asciiTheme="minorEastAsia" w:eastAsiaTheme="minorEastAsia" w:hAnsiTheme="minorEastAsia"/>
        </w:rPr>
      </w:pPr>
    </w:p>
    <w:p w14:paraId="1854C8DC" w14:textId="77777777" w:rsidR="00E13C79" w:rsidRPr="0047638B" w:rsidRDefault="00E13C79" w:rsidP="006C2189">
      <w:pPr>
        <w:snapToGrid w:val="0"/>
        <w:spacing w:line="360" w:lineRule="auto"/>
        <w:rPr>
          <w:rFonts w:asciiTheme="minorEastAsia" w:eastAsiaTheme="minorEastAsia" w:hAnsiTheme="minorEastAsia"/>
        </w:rPr>
      </w:pPr>
    </w:p>
    <w:p w14:paraId="07AA4D42" w14:textId="77777777" w:rsidR="00E13C79" w:rsidRPr="0047638B" w:rsidRDefault="00E13C79" w:rsidP="006C2189">
      <w:pPr>
        <w:snapToGrid w:val="0"/>
        <w:spacing w:line="360" w:lineRule="auto"/>
        <w:rPr>
          <w:rFonts w:asciiTheme="minorEastAsia" w:eastAsiaTheme="minorEastAsia" w:hAnsiTheme="minorEastAsia"/>
        </w:rPr>
      </w:pPr>
    </w:p>
    <w:p w14:paraId="2B628C55" w14:textId="77777777" w:rsidR="00B826F4" w:rsidRPr="0047638B" w:rsidRDefault="00B826F4" w:rsidP="006C2189">
      <w:pPr>
        <w:snapToGrid w:val="0"/>
        <w:spacing w:line="360" w:lineRule="auto"/>
        <w:rPr>
          <w:rFonts w:asciiTheme="minorEastAsia" w:eastAsiaTheme="minorEastAsia" w:hAnsiTheme="minorEastAsia"/>
        </w:rPr>
      </w:pPr>
    </w:p>
    <w:p w14:paraId="7EAE6AEC" w14:textId="77777777" w:rsidR="00B826F4" w:rsidRPr="0047638B" w:rsidRDefault="00B826F4" w:rsidP="006C2189">
      <w:pPr>
        <w:snapToGrid w:val="0"/>
        <w:spacing w:line="360" w:lineRule="auto"/>
        <w:rPr>
          <w:rFonts w:asciiTheme="minorEastAsia" w:eastAsiaTheme="minorEastAsia" w:hAnsiTheme="minorEastAsia"/>
        </w:rPr>
      </w:pPr>
    </w:p>
    <w:p w14:paraId="0448DBF8" w14:textId="77777777" w:rsidR="00E13C79" w:rsidRPr="0047638B" w:rsidRDefault="00E13C79" w:rsidP="006C2189">
      <w:pPr>
        <w:snapToGrid w:val="0"/>
        <w:spacing w:line="360" w:lineRule="auto"/>
        <w:rPr>
          <w:rFonts w:asciiTheme="minorEastAsia" w:eastAsiaTheme="minorEastAsia" w:hAnsiTheme="minorEastAsia"/>
        </w:rPr>
      </w:pPr>
    </w:p>
    <w:p w14:paraId="7A2B72DC" w14:textId="77777777" w:rsidR="006C2189" w:rsidRPr="0047638B" w:rsidRDefault="006C2189" w:rsidP="006C2189">
      <w:pPr>
        <w:snapToGrid w:val="0"/>
        <w:spacing w:line="360" w:lineRule="auto"/>
        <w:rPr>
          <w:rFonts w:asciiTheme="minorEastAsia" w:eastAsiaTheme="minorEastAsia" w:hAnsiTheme="minorEastAsia"/>
        </w:rPr>
      </w:pPr>
    </w:p>
    <w:p w14:paraId="6FE263D8" w14:textId="77777777" w:rsidR="00E13C79" w:rsidRPr="0047638B" w:rsidRDefault="00E13C79" w:rsidP="006C2189">
      <w:pPr>
        <w:snapToGrid w:val="0"/>
        <w:spacing w:line="360" w:lineRule="auto"/>
        <w:rPr>
          <w:rFonts w:asciiTheme="minorEastAsia" w:eastAsiaTheme="minorEastAsia" w:hAnsiTheme="minorEastAsia"/>
        </w:rPr>
      </w:pPr>
    </w:p>
    <w:p w14:paraId="5B1D5479" w14:textId="77777777" w:rsidR="00E13C79" w:rsidRPr="0047638B" w:rsidRDefault="00E13C79" w:rsidP="006C2189">
      <w:pPr>
        <w:snapToGrid w:val="0"/>
        <w:spacing w:line="360" w:lineRule="auto"/>
        <w:rPr>
          <w:rFonts w:asciiTheme="minorEastAsia" w:eastAsiaTheme="minorEastAsia" w:hAnsiTheme="minorEastAsia"/>
        </w:rPr>
      </w:pPr>
    </w:p>
    <w:p w14:paraId="0F3E7B4E" w14:textId="77777777" w:rsidR="00E13C79" w:rsidRPr="0047638B" w:rsidRDefault="00E13C79" w:rsidP="00365038">
      <w:pPr>
        <w:snapToGrid w:val="0"/>
        <w:spacing w:line="360" w:lineRule="auto"/>
        <w:ind w:firstLineChars="300" w:firstLine="964"/>
        <w:rPr>
          <w:rFonts w:asciiTheme="minorEastAsia" w:eastAsiaTheme="minorEastAsia" w:hAnsiTheme="minorEastAsia"/>
          <w:b/>
          <w:sz w:val="32"/>
          <w:szCs w:val="32"/>
        </w:rPr>
      </w:pPr>
      <w:r w:rsidRPr="0047638B">
        <w:rPr>
          <w:rFonts w:asciiTheme="minorEastAsia" w:eastAsiaTheme="minorEastAsia" w:hAnsiTheme="minorEastAsia" w:hint="eastAsia"/>
          <w:b/>
          <w:sz w:val="32"/>
          <w:szCs w:val="32"/>
        </w:rPr>
        <w:t>基金管理人：</w:t>
      </w:r>
      <w:r w:rsidR="00185386" w:rsidRPr="0047638B">
        <w:rPr>
          <w:rFonts w:asciiTheme="minorEastAsia" w:eastAsiaTheme="minorEastAsia" w:hAnsiTheme="minorEastAsia"/>
          <w:b/>
          <w:bCs/>
          <w:sz w:val="28"/>
          <w:szCs w:val="24"/>
        </w:rPr>
        <w:t>易方达基金管理有限公司</w:t>
      </w:r>
    </w:p>
    <w:p w14:paraId="6B0D0E8A" w14:textId="77777777" w:rsidR="00E13C79" w:rsidRPr="0047638B" w:rsidRDefault="00E13C79" w:rsidP="00365038">
      <w:pPr>
        <w:snapToGrid w:val="0"/>
        <w:spacing w:line="360" w:lineRule="auto"/>
        <w:ind w:firstLineChars="300" w:firstLine="964"/>
        <w:rPr>
          <w:rFonts w:asciiTheme="minorEastAsia" w:eastAsiaTheme="minorEastAsia" w:hAnsiTheme="minorEastAsia"/>
          <w:b/>
          <w:sz w:val="32"/>
          <w:szCs w:val="32"/>
        </w:rPr>
      </w:pPr>
      <w:r w:rsidRPr="0047638B">
        <w:rPr>
          <w:rFonts w:asciiTheme="minorEastAsia" w:eastAsiaTheme="minorEastAsia" w:hAnsiTheme="minorEastAsia" w:hint="eastAsia"/>
          <w:b/>
          <w:sz w:val="32"/>
          <w:szCs w:val="32"/>
        </w:rPr>
        <w:t>基金托管人：</w:t>
      </w:r>
      <w:r w:rsidR="00185386" w:rsidRPr="0047638B">
        <w:rPr>
          <w:rFonts w:asciiTheme="minorEastAsia" w:eastAsiaTheme="minorEastAsia" w:hAnsiTheme="minorEastAsia"/>
          <w:b/>
          <w:bCs/>
          <w:sz w:val="28"/>
          <w:szCs w:val="24"/>
        </w:rPr>
        <w:t>中国建设银行股份有限公司</w:t>
      </w:r>
    </w:p>
    <w:p w14:paraId="6EF3AE9A" w14:textId="77777777" w:rsidR="00E13C79" w:rsidRPr="0047638B" w:rsidRDefault="00E13C79" w:rsidP="006C2189">
      <w:pPr>
        <w:snapToGrid w:val="0"/>
        <w:spacing w:line="360" w:lineRule="auto"/>
        <w:rPr>
          <w:rFonts w:asciiTheme="minorEastAsia" w:eastAsiaTheme="minorEastAsia" w:hAnsiTheme="minorEastAsia"/>
          <w:sz w:val="32"/>
          <w:szCs w:val="32"/>
        </w:rPr>
      </w:pPr>
    </w:p>
    <w:p w14:paraId="157E4E7F" w14:textId="27C2EE7A" w:rsidR="00541F27" w:rsidRPr="0047638B" w:rsidRDefault="00541F27" w:rsidP="006C2189">
      <w:pPr>
        <w:snapToGrid w:val="0"/>
        <w:spacing w:line="360" w:lineRule="auto"/>
        <w:jc w:val="center"/>
        <w:rPr>
          <w:rFonts w:asciiTheme="minorEastAsia" w:eastAsiaTheme="minorEastAsia" w:hAnsiTheme="minorEastAsia"/>
          <w:b/>
          <w:bCs/>
          <w:sz w:val="28"/>
          <w:szCs w:val="24"/>
        </w:rPr>
      </w:pPr>
      <w:r w:rsidRPr="0047638B">
        <w:rPr>
          <w:rFonts w:asciiTheme="minorEastAsia" w:eastAsiaTheme="minorEastAsia" w:hAnsiTheme="minorEastAsia"/>
          <w:b/>
          <w:sz w:val="28"/>
        </w:rPr>
        <w:t>二〇二一年</w:t>
      </w:r>
      <w:r w:rsidR="00452D8D" w:rsidRPr="0047638B">
        <w:rPr>
          <w:rFonts w:asciiTheme="minorEastAsia" w:eastAsiaTheme="minorEastAsia" w:hAnsiTheme="minorEastAsia"/>
          <w:b/>
          <w:sz w:val="28"/>
        </w:rPr>
        <w:t>七</w:t>
      </w:r>
      <w:r w:rsidRPr="0047638B">
        <w:rPr>
          <w:rFonts w:asciiTheme="minorEastAsia" w:eastAsiaTheme="minorEastAsia" w:hAnsiTheme="minorEastAsia"/>
          <w:b/>
          <w:sz w:val="28"/>
        </w:rPr>
        <w:t>月</w:t>
      </w:r>
    </w:p>
    <w:p w14:paraId="29961E0D" w14:textId="77777777" w:rsidR="00815488" w:rsidRPr="0047638B" w:rsidRDefault="00815488" w:rsidP="006C2189">
      <w:pPr>
        <w:snapToGrid w:val="0"/>
        <w:spacing w:line="360" w:lineRule="auto"/>
        <w:jc w:val="center"/>
        <w:rPr>
          <w:rFonts w:asciiTheme="minorEastAsia" w:eastAsiaTheme="minorEastAsia" w:hAnsiTheme="minorEastAsia"/>
          <w:b/>
          <w:bCs/>
          <w:sz w:val="28"/>
          <w:szCs w:val="24"/>
        </w:rPr>
      </w:pPr>
    </w:p>
    <w:p w14:paraId="199C59E1" w14:textId="77777777" w:rsidR="000D0429" w:rsidRPr="0047638B" w:rsidRDefault="000D0429" w:rsidP="006C2189">
      <w:pPr>
        <w:snapToGrid w:val="0"/>
        <w:spacing w:line="360" w:lineRule="auto"/>
        <w:jc w:val="center"/>
        <w:rPr>
          <w:rFonts w:asciiTheme="minorEastAsia" w:eastAsiaTheme="minorEastAsia" w:hAnsiTheme="minorEastAsia"/>
          <w:b/>
          <w:bCs/>
          <w:sz w:val="28"/>
          <w:szCs w:val="24"/>
        </w:rPr>
        <w:sectPr w:rsidR="000D0429" w:rsidRPr="0047638B" w:rsidSect="00A05DAF">
          <w:footerReference w:type="default" r:id="rId9"/>
          <w:pgSz w:w="11906" w:h="16838"/>
          <w:pgMar w:top="1440" w:right="1797" w:bottom="1440" w:left="1797" w:header="851" w:footer="992" w:gutter="0"/>
          <w:pgNumType w:fmt="upperRoman" w:start="1"/>
          <w:cols w:space="425"/>
          <w:docGrid w:type="linesAndChars" w:linePitch="312"/>
        </w:sectPr>
      </w:pPr>
    </w:p>
    <w:p w14:paraId="7E74F3FD" w14:textId="77777777" w:rsidR="00E13C79" w:rsidRPr="0047638B" w:rsidRDefault="00E13C79" w:rsidP="006C2189">
      <w:pPr>
        <w:snapToGrid w:val="0"/>
        <w:spacing w:line="360" w:lineRule="auto"/>
        <w:jc w:val="center"/>
        <w:rPr>
          <w:rFonts w:asciiTheme="minorEastAsia" w:eastAsiaTheme="minorEastAsia" w:hAnsiTheme="minorEastAsia"/>
          <w:b/>
          <w:szCs w:val="21"/>
        </w:rPr>
      </w:pPr>
      <w:r w:rsidRPr="0047638B">
        <w:rPr>
          <w:rFonts w:asciiTheme="minorEastAsia" w:eastAsiaTheme="minorEastAsia" w:hAnsiTheme="minorEastAsia" w:hint="eastAsia"/>
          <w:b/>
          <w:szCs w:val="21"/>
        </w:rPr>
        <w:lastRenderedPageBreak/>
        <w:t>重要提示</w:t>
      </w:r>
    </w:p>
    <w:p w14:paraId="67C13D66" w14:textId="565078BA" w:rsidR="00DD18D9" w:rsidRPr="0047638B" w:rsidRDefault="00350410">
      <w:pPr>
        <w:snapToGrid w:val="0"/>
        <w:spacing w:line="360" w:lineRule="auto"/>
        <w:ind w:firstLineChars="200" w:firstLine="422"/>
        <w:rPr>
          <w:rFonts w:asciiTheme="minorEastAsia" w:eastAsiaTheme="minorEastAsia" w:hAnsiTheme="minorEastAsia"/>
          <w:b/>
          <w:szCs w:val="21"/>
        </w:rPr>
      </w:pPr>
      <w:r w:rsidRPr="0047638B">
        <w:rPr>
          <w:rFonts w:asciiTheme="minorEastAsia" w:eastAsiaTheme="minorEastAsia" w:hAnsiTheme="minorEastAsia" w:hint="eastAsia"/>
          <w:b/>
          <w:szCs w:val="21"/>
        </w:rPr>
        <w:t>易方达证券公司指数分级证券投资基金</w:t>
      </w:r>
      <w:r w:rsidR="00561038" w:rsidRPr="0047638B">
        <w:rPr>
          <w:rFonts w:asciiTheme="minorEastAsia" w:eastAsiaTheme="minorEastAsia" w:hAnsiTheme="minorEastAsia"/>
          <w:b/>
          <w:szCs w:val="21"/>
        </w:rPr>
        <w:t>根据2015年4月21日中国证券监督管理委员会《关于准予易方达证券公司指数分级证券投资基金募集注册的批复》（证监许可［2015］670号）进行募集。</w:t>
      </w:r>
      <w:r w:rsidRPr="0047638B">
        <w:rPr>
          <w:rFonts w:asciiTheme="minorEastAsia" w:eastAsiaTheme="minorEastAsia" w:hAnsiTheme="minorEastAsia" w:hint="eastAsia"/>
          <w:b/>
          <w:szCs w:val="21"/>
        </w:rPr>
        <w:t>易方达证券公司指数分级证券投资基金</w:t>
      </w:r>
      <w:r w:rsidR="00561038" w:rsidRPr="0047638B">
        <w:rPr>
          <w:rFonts w:asciiTheme="minorEastAsia" w:eastAsiaTheme="minorEastAsia" w:hAnsiTheme="minorEastAsia"/>
          <w:b/>
          <w:szCs w:val="21"/>
        </w:rPr>
        <w:t>的基金合同于2015年7月8日正式生效。</w:t>
      </w:r>
    </w:p>
    <w:p w14:paraId="7B5D6212" w14:textId="5FB60662" w:rsidR="00350410" w:rsidRPr="0047638B" w:rsidRDefault="00350410" w:rsidP="0035041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基金管理人于2020年12月2日在规定媒介发布《易方达基金管理有限公司关于易方达证券公司指数分级证券投资基金之易方达证券公司</w:t>
      </w:r>
      <w:r w:rsidR="00EA4F75" w:rsidRPr="0047638B">
        <w:rPr>
          <w:rFonts w:asciiTheme="minorEastAsia" w:eastAsiaTheme="minorEastAsia" w:hAnsiTheme="minorEastAsia" w:hint="eastAsia"/>
          <w:b/>
        </w:rPr>
        <w:t>分级</w:t>
      </w:r>
      <w:r w:rsidRPr="0047638B">
        <w:rPr>
          <w:rFonts w:asciiTheme="minorEastAsia" w:eastAsiaTheme="minorEastAsia" w:hAnsiTheme="minorEastAsia" w:hint="eastAsia"/>
          <w:b/>
        </w:rPr>
        <w:t>A类份额和易方达证券公司</w:t>
      </w:r>
      <w:r w:rsidR="00EA4F75" w:rsidRPr="0047638B">
        <w:rPr>
          <w:rFonts w:asciiTheme="minorEastAsia" w:eastAsiaTheme="minorEastAsia" w:hAnsiTheme="minorEastAsia" w:hint="eastAsia"/>
          <w:b/>
        </w:rPr>
        <w:t>分级</w:t>
      </w:r>
      <w:r w:rsidRPr="0047638B">
        <w:rPr>
          <w:rFonts w:asciiTheme="minorEastAsia" w:eastAsiaTheme="minorEastAsia" w:hAnsiTheme="minorEastAsia" w:hint="eastAsia"/>
          <w:b/>
        </w:rPr>
        <w:t>B类份额终止运作、终止上市并修改基金合同的公告》，公告易方达证券公司</w:t>
      </w:r>
      <w:r w:rsidR="00EA4F75" w:rsidRPr="0047638B">
        <w:rPr>
          <w:rFonts w:asciiTheme="minorEastAsia" w:eastAsiaTheme="minorEastAsia" w:hAnsiTheme="minorEastAsia" w:hint="eastAsia"/>
          <w:b/>
        </w:rPr>
        <w:t>分级</w:t>
      </w:r>
      <w:r w:rsidRPr="0047638B">
        <w:rPr>
          <w:rFonts w:asciiTheme="minorEastAsia" w:eastAsiaTheme="minorEastAsia" w:hAnsiTheme="minorEastAsia" w:hint="eastAsia"/>
          <w:b/>
        </w:rPr>
        <w:t>A类份额和易方达证券公司</w:t>
      </w:r>
      <w:r w:rsidR="00EA4F75" w:rsidRPr="0047638B">
        <w:rPr>
          <w:rFonts w:asciiTheme="minorEastAsia" w:eastAsiaTheme="minorEastAsia" w:hAnsiTheme="minorEastAsia" w:hint="eastAsia"/>
          <w:b/>
        </w:rPr>
        <w:t>分级</w:t>
      </w:r>
      <w:r w:rsidRPr="0047638B">
        <w:rPr>
          <w:rFonts w:asciiTheme="minorEastAsia" w:eastAsiaTheme="minorEastAsia" w:hAnsiTheme="minorEastAsia" w:hint="eastAsia"/>
          <w:b/>
        </w:rPr>
        <w:t>B类份额的摘牌日为2021年1月4日，终止上市日为2021年1月5日（最后交易日为2020年12月31日），同时《易方达证券公司指数分级证券投资基金基金合同》修改为《易方达中证全指证券公司指数证券投资基金（LOF）基金合同》并于2021年1月1日正式生效，《易方达</w:t>
      </w:r>
      <w:r w:rsidR="00283BB8" w:rsidRPr="0047638B">
        <w:rPr>
          <w:rFonts w:asciiTheme="minorEastAsia" w:eastAsiaTheme="minorEastAsia" w:hAnsiTheme="minorEastAsia" w:hint="eastAsia"/>
          <w:b/>
        </w:rPr>
        <w:t>证券公司</w:t>
      </w:r>
      <w:r w:rsidRPr="0047638B">
        <w:rPr>
          <w:rFonts w:asciiTheme="minorEastAsia" w:eastAsiaTheme="minorEastAsia" w:hAnsiTheme="minorEastAsia" w:hint="eastAsia"/>
          <w:b/>
        </w:rPr>
        <w:t>指数分级证券投资基金基金合同》同时失效。</w:t>
      </w:r>
    </w:p>
    <w:p w14:paraId="48883B95" w14:textId="77777777" w:rsidR="00350410" w:rsidRPr="0047638B" w:rsidRDefault="00350410" w:rsidP="0035041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基金管理人保证《招募说明书》的内容真实、准确、完整。中国证监会对易方达</w:t>
      </w:r>
      <w:r w:rsidR="00283BB8" w:rsidRPr="0047638B">
        <w:rPr>
          <w:rFonts w:asciiTheme="minorEastAsia" w:eastAsiaTheme="minorEastAsia" w:hAnsiTheme="minorEastAsia" w:hint="eastAsia"/>
          <w:b/>
        </w:rPr>
        <w:t>证券公司</w:t>
      </w:r>
      <w:r w:rsidRPr="0047638B">
        <w:rPr>
          <w:rFonts w:asciiTheme="minorEastAsia" w:eastAsiaTheme="minorEastAsia" w:hAnsiTheme="minorEastAsia" w:hint="eastAsia"/>
          <w:b/>
        </w:rPr>
        <w:t>指数分级证券投资基金终止分级运作并变更为本基金的备案，并不表明其对本基金的投资价值、市场前景和收益作出实质性判断或保证，也不表明投资于本基金没有风险。</w:t>
      </w:r>
    </w:p>
    <w:p w14:paraId="7DEB6241" w14:textId="48B8DB82" w:rsidR="00A463B0" w:rsidRPr="0047638B" w:rsidRDefault="00A463B0" w:rsidP="00A463B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本基金标的指数为中证全指证券公司指数。中证全指证券公司指数选取中证全指样本股中的证券公司行业股票组成，以反映该行业股票的整体表现。</w:t>
      </w:r>
    </w:p>
    <w:p w14:paraId="4A2548FB" w14:textId="77777777" w:rsidR="00A463B0" w:rsidRPr="0047638B" w:rsidRDefault="00A463B0" w:rsidP="00A463B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（1）指数样本空间</w:t>
      </w:r>
    </w:p>
    <w:p w14:paraId="136D9848" w14:textId="77777777" w:rsidR="00A463B0" w:rsidRPr="0047638B" w:rsidRDefault="00A463B0" w:rsidP="00A463B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同中证全指指数的样本空间。</w:t>
      </w:r>
    </w:p>
    <w:p w14:paraId="6E77C67D" w14:textId="77777777" w:rsidR="00A463B0" w:rsidRPr="0047638B" w:rsidRDefault="00A463B0" w:rsidP="00A463B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（2）选样方法</w:t>
      </w:r>
    </w:p>
    <w:p w14:paraId="083F3C8A" w14:textId="4A28BB7A" w:rsidR="00F556A7" w:rsidRPr="0047638B" w:rsidRDefault="00F556A7" w:rsidP="00F556A7">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1）将样本空间证券按中证行业分类方法分类；</w:t>
      </w:r>
    </w:p>
    <w:p w14:paraId="59099AEB" w14:textId="08704A66" w:rsidR="00F556A7" w:rsidRPr="0047638B" w:rsidRDefault="00F556A7" w:rsidP="00F556A7">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2）如果行业内证券数量少于或等于50只，则全部证券作为相应全指行业指数的样本；</w:t>
      </w:r>
    </w:p>
    <w:p w14:paraId="5FF4E615" w14:textId="63E91474" w:rsidR="00484D38" w:rsidRPr="0047638B" w:rsidRDefault="00F556A7" w:rsidP="00F556A7">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3）如果行业内证券数量多于50只，则分别按照证券的日均成交金额、日均总市值由高到低排名，剔除成交金额排名后10%、以及累积总市值占比达到98%以后的证券，并且保持剔除后证券数量不少于50只；行业内剩余证券作为相应行业指数的样本。</w:t>
      </w:r>
    </w:p>
    <w:p w14:paraId="0BD77863" w14:textId="77777777" w:rsidR="00642952" w:rsidRPr="0047638B" w:rsidRDefault="00642952" w:rsidP="00642952">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（3）指数计算</w:t>
      </w:r>
    </w:p>
    <w:p w14:paraId="185E27FC" w14:textId="49B1223B" w:rsidR="00642952" w:rsidRPr="0047638B" w:rsidRDefault="00642952" w:rsidP="00642952">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指数计算公式为：报告期指数=报告期样本的调整市值/除数×1000。其中，调整市值＝Σ（证券价格×调整股本数×权重因子）。调整股本数的计算方法、除数修正方法参见计算与维护细则。权重因子介于0和1之间，以使当样本量在10只（含10只）至50只之间，单个样本权重不超过15%；当样本数量在50只（含50只）至100只之间，单个样本权重不超过10%。当样本数量在10只以下，则不设权重限制。</w:t>
      </w:r>
    </w:p>
    <w:p w14:paraId="75093962" w14:textId="512BA1FF" w:rsidR="00A463B0" w:rsidRPr="0047638B" w:rsidRDefault="00A463B0" w:rsidP="00F556A7">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有关标的指数具体编制方案及成份股信息详见中证指数有限公司网站，网址：www.csindex.com.cn。</w:t>
      </w:r>
    </w:p>
    <w:p w14:paraId="2D62A476" w14:textId="6FDCFF7B" w:rsidR="00350410" w:rsidRPr="0047638B" w:rsidRDefault="00350410" w:rsidP="0035041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本基金投资于股票的比例不低于基金资产的90%；本基金投资于标的指数成份股和备选</w:t>
      </w:r>
      <w:r w:rsidRPr="0047638B">
        <w:rPr>
          <w:rFonts w:asciiTheme="minorEastAsia" w:eastAsiaTheme="minorEastAsia" w:hAnsiTheme="minorEastAsia" w:hint="eastAsia"/>
          <w:b/>
        </w:rPr>
        <w:lastRenderedPageBreak/>
        <w:t>成份股的资产不低于非现金基金资产的80%，在扣除股指期货合约需缴纳的交易保证金后，现金或到期日在一年以内的政府债券不低于基金资产净值的5%，其投资目标为紧密跟踪业绩比较基准，追求跟踪偏离度及跟踪误差最小化。本基金投资于证券期货市场，基金净值会因为证券期货市场波动等因素产生波动。投资有风险，投资者在投资本基金前，请认真阅读本基金的《招募说明书》、《基金合同》和基金产品资料概要等信息披露文件，全面认识本基金产品的风险收益特征和产品特性，充分考虑自身的风险承受能力，理性判断市场，自主判断基金的投资价值，对申购基金的意愿、时机、数量等投资行为作出独立决策，承担基金投资中出现的各类风险。投资本基金可能遇到的风险包括：本基金特有风险、市场风险、管理风险、流动性风险、本基金法律文件中涉及基金风险特征的表述与销售机构对基金的风险评级可能不一致的风险及其他风险等。本基金特有风险包括：指数化投资的风险；标的指数的风险（包括标的指数回报与股票市场平均回报偏离的风险、标的指数波动的风险、</w:t>
      </w:r>
      <w:r w:rsidR="00941C7F" w:rsidRPr="0047638B">
        <w:rPr>
          <w:rFonts w:asciiTheme="minorEastAsia" w:eastAsiaTheme="minorEastAsia" w:hAnsiTheme="minorEastAsia" w:hint="eastAsia"/>
          <w:b/>
        </w:rPr>
        <w:t>标的指数成份股行业集中风险</w:t>
      </w:r>
      <w:r w:rsidRPr="0047638B">
        <w:rPr>
          <w:rFonts w:asciiTheme="minorEastAsia" w:eastAsiaTheme="minorEastAsia" w:hAnsiTheme="minorEastAsia" w:hint="eastAsia"/>
          <w:b/>
        </w:rPr>
        <w:t>、</w:t>
      </w:r>
      <w:r w:rsidR="002430CC" w:rsidRPr="0047638B">
        <w:rPr>
          <w:rFonts w:asciiTheme="minorEastAsia" w:eastAsiaTheme="minorEastAsia" w:hAnsiTheme="minorEastAsia" w:hint="eastAsia"/>
          <w:b/>
        </w:rPr>
        <w:t>成份股权重较大的风险、</w:t>
      </w:r>
      <w:r w:rsidRPr="0047638B">
        <w:rPr>
          <w:rFonts w:asciiTheme="minorEastAsia" w:eastAsiaTheme="minorEastAsia" w:hAnsiTheme="minorEastAsia" w:hint="eastAsia"/>
          <w:b/>
        </w:rPr>
        <w:t>标的指数值计算出错的风险、标的指数变更的风险等）；基金投资组合回报与标的指数回报偏离的风险；</w:t>
      </w:r>
      <w:r w:rsidR="00642952" w:rsidRPr="0047638B">
        <w:rPr>
          <w:rFonts w:asciiTheme="minorEastAsia" w:eastAsiaTheme="minorEastAsia" w:hAnsiTheme="minorEastAsia" w:hint="eastAsia"/>
          <w:b/>
        </w:rPr>
        <w:t>跟踪误差控制未达约定目标的风险；指数编制机构停止服务的风险；成份股停牌的风险；</w:t>
      </w:r>
      <w:r w:rsidRPr="0047638B">
        <w:rPr>
          <w:rFonts w:asciiTheme="minorEastAsia" w:eastAsiaTheme="minorEastAsia" w:hAnsiTheme="minorEastAsia" w:hint="eastAsia"/>
          <w:b/>
        </w:rPr>
        <w:t>基金份额二级市场交易价格折溢价风险；基金份额退市风险；投资股指期货、资产支持证券等特定品种的特有风险</w:t>
      </w:r>
      <w:r w:rsidR="002F757C" w:rsidRPr="0047638B">
        <w:rPr>
          <w:rFonts w:asciiTheme="minorEastAsia" w:eastAsiaTheme="minorEastAsia" w:hAnsiTheme="minorEastAsia"/>
          <w:b/>
        </w:rPr>
        <w:t>；</w:t>
      </w:r>
      <w:r w:rsidR="002F757C" w:rsidRPr="0047638B">
        <w:rPr>
          <w:rFonts w:asciiTheme="minorEastAsia" w:eastAsiaTheme="minorEastAsia" w:hAnsiTheme="minorEastAsia" w:hint="eastAsia"/>
          <w:b/>
          <w:szCs w:val="21"/>
        </w:rPr>
        <w:t>参与转融通证券出借业务的风险</w:t>
      </w:r>
      <w:r w:rsidRPr="0047638B">
        <w:rPr>
          <w:rFonts w:asciiTheme="minorEastAsia" w:eastAsiaTheme="minorEastAsia" w:hAnsiTheme="minorEastAsia" w:hint="eastAsia"/>
          <w:b/>
        </w:rPr>
        <w:t>等。本基金的具体运作特点详见《基金合同》和《招募说明书》的约定。本基金的一般风险及特有风险详见本《招募说明书》的“风险揭示”部分。</w:t>
      </w:r>
    </w:p>
    <w:p w14:paraId="3C4C1AD5" w14:textId="68345408" w:rsidR="00350410" w:rsidRPr="0047638B" w:rsidRDefault="008A6BA1" w:rsidP="0035041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本基金为股票基金，主要采用完全复制策略跟踪标的指数的表现，其风险收益特征与标的指数相似。长期而言，其风险收益水平高于混合基金、债券基金和货币市场基金。</w:t>
      </w:r>
    </w:p>
    <w:p w14:paraId="4EAE40A9" w14:textId="77777777" w:rsidR="00350410" w:rsidRPr="0047638B" w:rsidRDefault="00350410" w:rsidP="0035041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w:t>
      </w:r>
    </w:p>
    <w:p w14:paraId="0DF360B9" w14:textId="77777777" w:rsidR="00350410" w:rsidRPr="0047638B" w:rsidRDefault="00350410" w:rsidP="00350410">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基金不同于银行储蓄，基金投资人投资于基金有可能获得较高的收益，也有可能损失本金。投资有风险，投资人在进行投资决策前，请仔细阅读本基金的《招募说明书》及《基金合同》。</w:t>
      </w:r>
    </w:p>
    <w:p w14:paraId="4699B70E" w14:textId="77777777" w:rsidR="00AD0CA9" w:rsidRPr="0047638B" w:rsidRDefault="00350410" w:rsidP="006C2189">
      <w:pPr>
        <w:snapToGrid w:val="0"/>
        <w:spacing w:line="360" w:lineRule="auto"/>
        <w:ind w:firstLineChars="200" w:firstLine="422"/>
        <w:rPr>
          <w:rFonts w:asciiTheme="minorEastAsia" w:eastAsiaTheme="minorEastAsia" w:hAnsiTheme="minorEastAsia"/>
          <w:b/>
        </w:rPr>
      </w:pPr>
      <w:r w:rsidRPr="0047638B">
        <w:rPr>
          <w:rFonts w:asciiTheme="minorEastAsia" w:eastAsiaTheme="minorEastAsia" w:hAnsiTheme="minorEastAsia" w:hint="eastAsia"/>
          <w:b/>
        </w:rPr>
        <w:t>基金的过往业绩并不预示其未来表现，基金管理人管理的其他基金的业绩并不构成对本基金表现的保证。</w:t>
      </w:r>
    </w:p>
    <w:p w14:paraId="739E12F8" w14:textId="5CC7286D" w:rsidR="00823875" w:rsidRPr="0047638B" w:rsidRDefault="00AD0CA9" w:rsidP="006C2189">
      <w:pPr>
        <w:snapToGrid w:val="0"/>
        <w:spacing w:line="360" w:lineRule="auto"/>
        <w:ind w:firstLineChars="200" w:firstLine="422"/>
        <w:rPr>
          <w:rFonts w:asciiTheme="minorEastAsia" w:eastAsiaTheme="minorEastAsia" w:hAnsiTheme="minorEastAsia"/>
          <w:b/>
          <w:bCs/>
        </w:rPr>
      </w:pPr>
      <w:r w:rsidRPr="0047638B">
        <w:rPr>
          <w:rFonts w:asciiTheme="minorEastAsia" w:eastAsiaTheme="minorEastAsia" w:hAnsiTheme="minorEastAsia" w:hint="eastAsia"/>
          <w:b/>
        </w:rPr>
        <w:t>基金管理人依照恪尽职守、诚实信用、谨慎勤勉的原则管理和运用基金财产，但不保证基金一定盈利，也不保证最低收益。</w:t>
      </w:r>
    </w:p>
    <w:p w14:paraId="124A9D39" w14:textId="481A2F9A" w:rsidR="00361AC5" w:rsidRPr="0047638B" w:rsidRDefault="00EF1ABD" w:rsidP="006C2189">
      <w:pPr>
        <w:snapToGrid w:val="0"/>
        <w:spacing w:line="360" w:lineRule="auto"/>
        <w:ind w:firstLineChars="200" w:firstLine="422"/>
        <w:rPr>
          <w:rFonts w:asciiTheme="minorEastAsia" w:eastAsiaTheme="minorEastAsia" w:hAnsiTheme="minorEastAsia"/>
          <w:b/>
          <w:szCs w:val="21"/>
        </w:rPr>
        <w:sectPr w:rsidR="00361AC5" w:rsidRPr="0047638B" w:rsidSect="00A05DAF">
          <w:pgSz w:w="11906" w:h="16838"/>
          <w:pgMar w:top="1440" w:right="1797" w:bottom="1440" w:left="1797" w:header="851" w:footer="992" w:gutter="0"/>
          <w:pgNumType w:fmt="upperRoman" w:start="1"/>
          <w:cols w:space="425"/>
          <w:docGrid w:type="linesAndChars" w:linePitch="312"/>
        </w:sectPr>
      </w:pPr>
      <w:r w:rsidRPr="0047638B">
        <w:rPr>
          <w:rFonts w:asciiTheme="minorEastAsia" w:eastAsiaTheme="minorEastAsia" w:hAnsiTheme="minorEastAsia"/>
          <w:b/>
        </w:rPr>
        <w:t>本基金本次更新招募说明书对基金合同、托管协议修订及基金管理人章节相关信息进行更新，相关信息更新截止日为2021年</w:t>
      </w:r>
      <w:r w:rsidR="00452D8D" w:rsidRPr="0047638B">
        <w:rPr>
          <w:rFonts w:asciiTheme="minorEastAsia" w:eastAsiaTheme="minorEastAsia" w:hAnsiTheme="minorEastAsia"/>
          <w:b/>
        </w:rPr>
        <w:t>7</w:t>
      </w:r>
      <w:r w:rsidRPr="0047638B">
        <w:rPr>
          <w:rFonts w:asciiTheme="minorEastAsia" w:eastAsiaTheme="minorEastAsia" w:hAnsiTheme="minorEastAsia"/>
          <w:b/>
        </w:rPr>
        <w:t>月1</w:t>
      </w:r>
      <w:r w:rsidR="00452D8D" w:rsidRPr="0047638B">
        <w:rPr>
          <w:rFonts w:asciiTheme="minorEastAsia" w:eastAsiaTheme="minorEastAsia" w:hAnsiTheme="minorEastAsia"/>
          <w:b/>
        </w:rPr>
        <w:t>9</w:t>
      </w:r>
      <w:r w:rsidRPr="0047638B">
        <w:rPr>
          <w:rFonts w:asciiTheme="minorEastAsia" w:eastAsiaTheme="minorEastAsia" w:hAnsiTheme="minorEastAsia"/>
          <w:b/>
        </w:rPr>
        <w:t>日。除非另有说明，本招募说明书其他所载内容截止日为2020年12月31日，有关财务数据截止日为2020年9月30日，净值表现截止日为2019年12月31日。（本报告中财务数据未经审计）</w:t>
      </w:r>
    </w:p>
    <w:p w14:paraId="537E4130" w14:textId="77777777" w:rsidR="00E13C79" w:rsidRPr="0047638B" w:rsidRDefault="00E13C79" w:rsidP="006C2189">
      <w:pPr>
        <w:snapToGrid w:val="0"/>
        <w:spacing w:line="360" w:lineRule="auto"/>
        <w:jc w:val="center"/>
        <w:rPr>
          <w:rFonts w:asciiTheme="minorEastAsia" w:eastAsiaTheme="minorEastAsia" w:hAnsiTheme="minorEastAsia"/>
          <w:b/>
          <w:szCs w:val="21"/>
        </w:rPr>
      </w:pPr>
      <w:r w:rsidRPr="0047638B">
        <w:rPr>
          <w:rFonts w:asciiTheme="minorEastAsia" w:eastAsiaTheme="minorEastAsia" w:hAnsiTheme="minorEastAsia" w:hint="eastAsia"/>
          <w:b/>
          <w:szCs w:val="21"/>
        </w:rPr>
        <w:lastRenderedPageBreak/>
        <w:t>目录</w:t>
      </w:r>
    </w:p>
    <w:p w14:paraId="65F0D7BA" w14:textId="77777777" w:rsidR="00B14B3B" w:rsidRDefault="00053E1F">
      <w:pPr>
        <w:pStyle w:val="10"/>
        <w:tabs>
          <w:tab w:val="right" w:leader="dot" w:pos="8302"/>
        </w:tabs>
        <w:rPr>
          <w:rFonts w:asciiTheme="minorHAnsi" w:eastAsiaTheme="minorEastAsia" w:hAnsiTheme="minorHAnsi" w:cstheme="minorBidi"/>
          <w:b w:val="0"/>
          <w:bCs w:val="0"/>
          <w:caps w:val="0"/>
          <w:noProof/>
          <w:sz w:val="21"/>
          <w:szCs w:val="22"/>
        </w:rPr>
      </w:pPr>
      <w:r w:rsidRPr="0047638B">
        <w:rPr>
          <w:rFonts w:asciiTheme="minorEastAsia" w:eastAsiaTheme="minorEastAsia" w:hAnsiTheme="minorEastAsia"/>
          <w:sz w:val="21"/>
          <w:szCs w:val="21"/>
        </w:rPr>
        <w:fldChar w:fldCharType="begin"/>
      </w:r>
      <w:r w:rsidR="00E91FEB" w:rsidRPr="0047638B">
        <w:rPr>
          <w:rFonts w:asciiTheme="minorEastAsia" w:eastAsiaTheme="minorEastAsia" w:hAnsiTheme="minorEastAsia"/>
          <w:sz w:val="21"/>
          <w:szCs w:val="21"/>
        </w:rPr>
        <w:instrText xml:space="preserve"> TOC \o "1-1" \h \z \u </w:instrText>
      </w:r>
      <w:r w:rsidRPr="0047638B">
        <w:rPr>
          <w:rFonts w:asciiTheme="minorEastAsia" w:eastAsiaTheme="minorEastAsia" w:hAnsiTheme="minorEastAsia"/>
          <w:sz w:val="21"/>
          <w:szCs w:val="21"/>
        </w:rPr>
        <w:fldChar w:fldCharType="separate"/>
      </w:r>
      <w:hyperlink w:anchor="_Toc77779988" w:history="1">
        <w:r w:rsidR="00B14B3B" w:rsidRPr="00EF389F">
          <w:rPr>
            <w:rStyle w:val="a7"/>
            <w:rFonts w:asciiTheme="minorEastAsia" w:hAnsiTheme="minorEastAsia" w:hint="eastAsia"/>
            <w:noProof/>
          </w:rPr>
          <w:t>一、绪言</w:t>
        </w:r>
        <w:r w:rsidR="00B14B3B">
          <w:rPr>
            <w:noProof/>
            <w:webHidden/>
          </w:rPr>
          <w:tab/>
        </w:r>
        <w:r w:rsidR="00B14B3B">
          <w:rPr>
            <w:noProof/>
            <w:webHidden/>
          </w:rPr>
          <w:fldChar w:fldCharType="begin"/>
        </w:r>
        <w:r w:rsidR="00B14B3B">
          <w:rPr>
            <w:noProof/>
            <w:webHidden/>
          </w:rPr>
          <w:instrText xml:space="preserve"> PAGEREF _Toc77779988 \h </w:instrText>
        </w:r>
        <w:r w:rsidR="00B14B3B">
          <w:rPr>
            <w:noProof/>
            <w:webHidden/>
          </w:rPr>
        </w:r>
        <w:r w:rsidR="00B14B3B">
          <w:rPr>
            <w:noProof/>
            <w:webHidden/>
          </w:rPr>
          <w:fldChar w:fldCharType="separate"/>
        </w:r>
        <w:r w:rsidR="00246462">
          <w:rPr>
            <w:noProof/>
            <w:webHidden/>
          </w:rPr>
          <w:t>1</w:t>
        </w:r>
        <w:r w:rsidR="00B14B3B">
          <w:rPr>
            <w:noProof/>
            <w:webHidden/>
          </w:rPr>
          <w:fldChar w:fldCharType="end"/>
        </w:r>
      </w:hyperlink>
    </w:p>
    <w:p w14:paraId="6390F7D9"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89" w:history="1">
        <w:r w:rsidR="00B14B3B" w:rsidRPr="00EF389F">
          <w:rPr>
            <w:rStyle w:val="a7"/>
            <w:rFonts w:asciiTheme="minorEastAsia" w:hAnsiTheme="minorEastAsia" w:hint="eastAsia"/>
            <w:noProof/>
          </w:rPr>
          <w:t>二、释义</w:t>
        </w:r>
        <w:r w:rsidR="00B14B3B">
          <w:rPr>
            <w:noProof/>
            <w:webHidden/>
          </w:rPr>
          <w:tab/>
        </w:r>
        <w:r w:rsidR="00B14B3B">
          <w:rPr>
            <w:noProof/>
            <w:webHidden/>
          </w:rPr>
          <w:fldChar w:fldCharType="begin"/>
        </w:r>
        <w:r w:rsidR="00B14B3B">
          <w:rPr>
            <w:noProof/>
            <w:webHidden/>
          </w:rPr>
          <w:instrText xml:space="preserve"> PAGEREF _Toc77779989 \h </w:instrText>
        </w:r>
        <w:r w:rsidR="00B14B3B">
          <w:rPr>
            <w:noProof/>
            <w:webHidden/>
          </w:rPr>
        </w:r>
        <w:r w:rsidR="00B14B3B">
          <w:rPr>
            <w:noProof/>
            <w:webHidden/>
          </w:rPr>
          <w:fldChar w:fldCharType="separate"/>
        </w:r>
        <w:r w:rsidR="00246462">
          <w:rPr>
            <w:noProof/>
            <w:webHidden/>
          </w:rPr>
          <w:t>2</w:t>
        </w:r>
        <w:r w:rsidR="00B14B3B">
          <w:rPr>
            <w:noProof/>
            <w:webHidden/>
          </w:rPr>
          <w:fldChar w:fldCharType="end"/>
        </w:r>
      </w:hyperlink>
    </w:p>
    <w:p w14:paraId="4B8134A5"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0" w:history="1">
        <w:r w:rsidR="00B14B3B" w:rsidRPr="00EF389F">
          <w:rPr>
            <w:rStyle w:val="a7"/>
            <w:rFonts w:asciiTheme="minorEastAsia" w:hAnsiTheme="minorEastAsia" w:hint="eastAsia"/>
            <w:noProof/>
          </w:rPr>
          <w:t>三、基金管理人</w:t>
        </w:r>
        <w:r w:rsidR="00B14B3B">
          <w:rPr>
            <w:noProof/>
            <w:webHidden/>
          </w:rPr>
          <w:tab/>
        </w:r>
        <w:r w:rsidR="00B14B3B">
          <w:rPr>
            <w:noProof/>
            <w:webHidden/>
          </w:rPr>
          <w:fldChar w:fldCharType="begin"/>
        </w:r>
        <w:r w:rsidR="00B14B3B">
          <w:rPr>
            <w:noProof/>
            <w:webHidden/>
          </w:rPr>
          <w:instrText xml:space="preserve"> PAGEREF _Toc77779990 \h </w:instrText>
        </w:r>
        <w:r w:rsidR="00B14B3B">
          <w:rPr>
            <w:noProof/>
            <w:webHidden/>
          </w:rPr>
        </w:r>
        <w:r w:rsidR="00B14B3B">
          <w:rPr>
            <w:noProof/>
            <w:webHidden/>
          </w:rPr>
          <w:fldChar w:fldCharType="separate"/>
        </w:r>
        <w:r w:rsidR="00246462">
          <w:rPr>
            <w:noProof/>
            <w:webHidden/>
          </w:rPr>
          <w:t>6</w:t>
        </w:r>
        <w:r w:rsidR="00B14B3B">
          <w:rPr>
            <w:noProof/>
            <w:webHidden/>
          </w:rPr>
          <w:fldChar w:fldCharType="end"/>
        </w:r>
      </w:hyperlink>
    </w:p>
    <w:p w14:paraId="36CD7E9A"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1" w:history="1">
        <w:r w:rsidR="00B14B3B" w:rsidRPr="00EF389F">
          <w:rPr>
            <w:rStyle w:val="a7"/>
            <w:rFonts w:asciiTheme="minorEastAsia" w:hAnsiTheme="minorEastAsia" w:hint="eastAsia"/>
            <w:noProof/>
          </w:rPr>
          <w:t>四、基金托管人</w:t>
        </w:r>
        <w:r w:rsidR="00B14B3B">
          <w:rPr>
            <w:noProof/>
            <w:webHidden/>
          </w:rPr>
          <w:tab/>
        </w:r>
        <w:r w:rsidR="00B14B3B">
          <w:rPr>
            <w:noProof/>
            <w:webHidden/>
          </w:rPr>
          <w:fldChar w:fldCharType="begin"/>
        </w:r>
        <w:r w:rsidR="00B14B3B">
          <w:rPr>
            <w:noProof/>
            <w:webHidden/>
          </w:rPr>
          <w:instrText xml:space="preserve"> PAGEREF _Toc77779991 \h </w:instrText>
        </w:r>
        <w:r w:rsidR="00B14B3B">
          <w:rPr>
            <w:noProof/>
            <w:webHidden/>
          </w:rPr>
        </w:r>
        <w:r w:rsidR="00B14B3B">
          <w:rPr>
            <w:noProof/>
            <w:webHidden/>
          </w:rPr>
          <w:fldChar w:fldCharType="separate"/>
        </w:r>
        <w:r w:rsidR="00246462">
          <w:rPr>
            <w:noProof/>
            <w:webHidden/>
          </w:rPr>
          <w:t>17</w:t>
        </w:r>
        <w:r w:rsidR="00B14B3B">
          <w:rPr>
            <w:noProof/>
            <w:webHidden/>
          </w:rPr>
          <w:fldChar w:fldCharType="end"/>
        </w:r>
      </w:hyperlink>
    </w:p>
    <w:p w14:paraId="047E9990"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2" w:history="1">
        <w:r w:rsidR="00B14B3B" w:rsidRPr="00EF389F">
          <w:rPr>
            <w:rStyle w:val="a7"/>
            <w:rFonts w:asciiTheme="minorEastAsia" w:hAnsiTheme="minorEastAsia" w:hint="eastAsia"/>
            <w:noProof/>
          </w:rPr>
          <w:t>五、相关服务机构</w:t>
        </w:r>
        <w:r w:rsidR="00B14B3B">
          <w:rPr>
            <w:noProof/>
            <w:webHidden/>
          </w:rPr>
          <w:tab/>
        </w:r>
        <w:r w:rsidR="00B14B3B">
          <w:rPr>
            <w:noProof/>
            <w:webHidden/>
          </w:rPr>
          <w:fldChar w:fldCharType="begin"/>
        </w:r>
        <w:r w:rsidR="00B14B3B">
          <w:rPr>
            <w:noProof/>
            <w:webHidden/>
          </w:rPr>
          <w:instrText xml:space="preserve"> PAGEREF _Toc77779992 \h </w:instrText>
        </w:r>
        <w:r w:rsidR="00B14B3B">
          <w:rPr>
            <w:noProof/>
            <w:webHidden/>
          </w:rPr>
        </w:r>
        <w:r w:rsidR="00B14B3B">
          <w:rPr>
            <w:noProof/>
            <w:webHidden/>
          </w:rPr>
          <w:fldChar w:fldCharType="separate"/>
        </w:r>
        <w:r w:rsidR="00246462">
          <w:rPr>
            <w:noProof/>
            <w:webHidden/>
          </w:rPr>
          <w:t>20</w:t>
        </w:r>
        <w:r w:rsidR="00B14B3B">
          <w:rPr>
            <w:noProof/>
            <w:webHidden/>
          </w:rPr>
          <w:fldChar w:fldCharType="end"/>
        </w:r>
      </w:hyperlink>
    </w:p>
    <w:p w14:paraId="07D5E4F6"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3" w:history="1">
        <w:r w:rsidR="00B14B3B" w:rsidRPr="00EF389F">
          <w:rPr>
            <w:rStyle w:val="a7"/>
            <w:rFonts w:asciiTheme="minorEastAsia" w:hAnsiTheme="minorEastAsia" w:hint="eastAsia"/>
            <w:noProof/>
          </w:rPr>
          <w:t>六、基金份额的分类</w:t>
        </w:r>
        <w:r w:rsidR="00B14B3B">
          <w:rPr>
            <w:noProof/>
            <w:webHidden/>
          </w:rPr>
          <w:tab/>
        </w:r>
        <w:r w:rsidR="00B14B3B">
          <w:rPr>
            <w:noProof/>
            <w:webHidden/>
          </w:rPr>
          <w:fldChar w:fldCharType="begin"/>
        </w:r>
        <w:r w:rsidR="00B14B3B">
          <w:rPr>
            <w:noProof/>
            <w:webHidden/>
          </w:rPr>
          <w:instrText xml:space="preserve"> PAGEREF _Toc77779993 \h </w:instrText>
        </w:r>
        <w:r w:rsidR="00B14B3B">
          <w:rPr>
            <w:noProof/>
            <w:webHidden/>
          </w:rPr>
        </w:r>
        <w:r w:rsidR="00B14B3B">
          <w:rPr>
            <w:noProof/>
            <w:webHidden/>
          </w:rPr>
          <w:fldChar w:fldCharType="separate"/>
        </w:r>
        <w:r w:rsidR="00246462">
          <w:rPr>
            <w:noProof/>
            <w:webHidden/>
          </w:rPr>
          <w:t>52</w:t>
        </w:r>
        <w:r w:rsidR="00B14B3B">
          <w:rPr>
            <w:noProof/>
            <w:webHidden/>
          </w:rPr>
          <w:fldChar w:fldCharType="end"/>
        </w:r>
      </w:hyperlink>
    </w:p>
    <w:p w14:paraId="33BD54F6"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4" w:history="1">
        <w:r w:rsidR="00B14B3B" w:rsidRPr="00EF389F">
          <w:rPr>
            <w:rStyle w:val="a7"/>
            <w:rFonts w:asciiTheme="minorEastAsia" w:hAnsiTheme="minorEastAsia" w:hint="eastAsia"/>
            <w:noProof/>
          </w:rPr>
          <w:t>七、基金的历史沿革</w:t>
        </w:r>
        <w:r w:rsidR="00B14B3B">
          <w:rPr>
            <w:noProof/>
            <w:webHidden/>
          </w:rPr>
          <w:tab/>
        </w:r>
        <w:r w:rsidR="00B14B3B">
          <w:rPr>
            <w:noProof/>
            <w:webHidden/>
          </w:rPr>
          <w:fldChar w:fldCharType="begin"/>
        </w:r>
        <w:r w:rsidR="00B14B3B">
          <w:rPr>
            <w:noProof/>
            <w:webHidden/>
          </w:rPr>
          <w:instrText xml:space="preserve"> PAGEREF _Toc77779994 \h </w:instrText>
        </w:r>
        <w:r w:rsidR="00B14B3B">
          <w:rPr>
            <w:noProof/>
            <w:webHidden/>
          </w:rPr>
        </w:r>
        <w:r w:rsidR="00B14B3B">
          <w:rPr>
            <w:noProof/>
            <w:webHidden/>
          </w:rPr>
          <w:fldChar w:fldCharType="separate"/>
        </w:r>
        <w:r w:rsidR="00246462">
          <w:rPr>
            <w:noProof/>
            <w:webHidden/>
          </w:rPr>
          <w:t>53</w:t>
        </w:r>
        <w:r w:rsidR="00B14B3B">
          <w:rPr>
            <w:noProof/>
            <w:webHidden/>
          </w:rPr>
          <w:fldChar w:fldCharType="end"/>
        </w:r>
      </w:hyperlink>
    </w:p>
    <w:p w14:paraId="01711F90"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5" w:history="1">
        <w:r w:rsidR="00B14B3B" w:rsidRPr="00EF389F">
          <w:rPr>
            <w:rStyle w:val="a7"/>
            <w:rFonts w:asciiTheme="minorEastAsia" w:hAnsiTheme="minorEastAsia" w:hint="eastAsia"/>
            <w:noProof/>
          </w:rPr>
          <w:t>八、基金的存续</w:t>
        </w:r>
        <w:r w:rsidR="00B14B3B">
          <w:rPr>
            <w:noProof/>
            <w:webHidden/>
          </w:rPr>
          <w:tab/>
        </w:r>
        <w:r w:rsidR="00B14B3B">
          <w:rPr>
            <w:noProof/>
            <w:webHidden/>
          </w:rPr>
          <w:fldChar w:fldCharType="begin"/>
        </w:r>
        <w:r w:rsidR="00B14B3B">
          <w:rPr>
            <w:noProof/>
            <w:webHidden/>
          </w:rPr>
          <w:instrText xml:space="preserve"> PAGEREF _Toc77779995 \h </w:instrText>
        </w:r>
        <w:r w:rsidR="00B14B3B">
          <w:rPr>
            <w:noProof/>
            <w:webHidden/>
          </w:rPr>
        </w:r>
        <w:r w:rsidR="00B14B3B">
          <w:rPr>
            <w:noProof/>
            <w:webHidden/>
          </w:rPr>
          <w:fldChar w:fldCharType="separate"/>
        </w:r>
        <w:r w:rsidR="00246462">
          <w:rPr>
            <w:noProof/>
            <w:webHidden/>
          </w:rPr>
          <w:t>54</w:t>
        </w:r>
        <w:r w:rsidR="00B14B3B">
          <w:rPr>
            <w:noProof/>
            <w:webHidden/>
          </w:rPr>
          <w:fldChar w:fldCharType="end"/>
        </w:r>
      </w:hyperlink>
    </w:p>
    <w:p w14:paraId="6BD481A5"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6" w:history="1">
        <w:r w:rsidR="00B14B3B" w:rsidRPr="00EF389F">
          <w:rPr>
            <w:rStyle w:val="a7"/>
            <w:rFonts w:asciiTheme="minorEastAsia" w:hAnsiTheme="minorEastAsia" w:hint="eastAsia"/>
            <w:noProof/>
          </w:rPr>
          <w:t>九、基金份额的上市交易</w:t>
        </w:r>
        <w:r w:rsidR="00B14B3B">
          <w:rPr>
            <w:noProof/>
            <w:webHidden/>
          </w:rPr>
          <w:tab/>
        </w:r>
        <w:r w:rsidR="00B14B3B">
          <w:rPr>
            <w:noProof/>
            <w:webHidden/>
          </w:rPr>
          <w:fldChar w:fldCharType="begin"/>
        </w:r>
        <w:r w:rsidR="00B14B3B">
          <w:rPr>
            <w:noProof/>
            <w:webHidden/>
          </w:rPr>
          <w:instrText xml:space="preserve"> PAGEREF _Toc77779996 \h </w:instrText>
        </w:r>
        <w:r w:rsidR="00B14B3B">
          <w:rPr>
            <w:noProof/>
            <w:webHidden/>
          </w:rPr>
        </w:r>
        <w:r w:rsidR="00B14B3B">
          <w:rPr>
            <w:noProof/>
            <w:webHidden/>
          </w:rPr>
          <w:fldChar w:fldCharType="separate"/>
        </w:r>
        <w:r w:rsidR="00246462">
          <w:rPr>
            <w:noProof/>
            <w:webHidden/>
          </w:rPr>
          <w:t>55</w:t>
        </w:r>
        <w:r w:rsidR="00B14B3B">
          <w:rPr>
            <w:noProof/>
            <w:webHidden/>
          </w:rPr>
          <w:fldChar w:fldCharType="end"/>
        </w:r>
      </w:hyperlink>
    </w:p>
    <w:p w14:paraId="527E88D5"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7" w:history="1">
        <w:r w:rsidR="00B14B3B" w:rsidRPr="00EF389F">
          <w:rPr>
            <w:rStyle w:val="a7"/>
            <w:rFonts w:asciiTheme="minorEastAsia" w:hAnsiTheme="minorEastAsia" w:hint="eastAsia"/>
            <w:noProof/>
          </w:rPr>
          <w:t>十、基金份额的申购与赎回</w:t>
        </w:r>
        <w:r w:rsidR="00B14B3B">
          <w:rPr>
            <w:noProof/>
            <w:webHidden/>
          </w:rPr>
          <w:tab/>
        </w:r>
        <w:r w:rsidR="00B14B3B">
          <w:rPr>
            <w:noProof/>
            <w:webHidden/>
          </w:rPr>
          <w:fldChar w:fldCharType="begin"/>
        </w:r>
        <w:r w:rsidR="00B14B3B">
          <w:rPr>
            <w:noProof/>
            <w:webHidden/>
          </w:rPr>
          <w:instrText xml:space="preserve"> PAGEREF _Toc77779997 \h </w:instrText>
        </w:r>
        <w:r w:rsidR="00B14B3B">
          <w:rPr>
            <w:noProof/>
            <w:webHidden/>
          </w:rPr>
        </w:r>
        <w:r w:rsidR="00B14B3B">
          <w:rPr>
            <w:noProof/>
            <w:webHidden/>
          </w:rPr>
          <w:fldChar w:fldCharType="separate"/>
        </w:r>
        <w:r w:rsidR="00246462">
          <w:rPr>
            <w:noProof/>
            <w:webHidden/>
          </w:rPr>
          <w:t>56</w:t>
        </w:r>
        <w:r w:rsidR="00B14B3B">
          <w:rPr>
            <w:noProof/>
            <w:webHidden/>
          </w:rPr>
          <w:fldChar w:fldCharType="end"/>
        </w:r>
      </w:hyperlink>
    </w:p>
    <w:p w14:paraId="5B543C5A"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8" w:history="1">
        <w:r w:rsidR="00B14B3B" w:rsidRPr="00EF389F">
          <w:rPr>
            <w:rStyle w:val="a7"/>
            <w:rFonts w:asciiTheme="minorEastAsia" w:hAnsiTheme="minorEastAsia" w:hint="eastAsia"/>
            <w:noProof/>
          </w:rPr>
          <w:t>十一、基金的非交易过户、冻结与质押</w:t>
        </w:r>
        <w:r w:rsidR="00B14B3B">
          <w:rPr>
            <w:noProof/>
            <w:webHidden/>
          </w:rPr>
          <w:tab/>
        </w:r>
        <w:r w:rsidR="00B14B3B">
          <w:rPr>
            <w:noProof/>
            <w:webHidden/>
          </w:rPr>
          <w:fldChar w:fldCharType="begin"/>
        </w:r>
        <w:r w:rsidR="00B14B3B">
          <w:rPr>
            <w:noProof/>
            <w:webHidden/>
          </w:rPr>
          <w:instrText xml:space="preserve"> PAGEREF _Toc77779998 \h </w:instrText>
        </w:r>
        <w:r w:rsidR="00B14B3B">
          <w:rPr>
            <w:noProof/>
            <w:webHidden/>
          </w:rPr>
        </w:r>
        <w:r w:rsidR="00B14B3B">
          <w:rPr>
            <w:noProof/>
            <w:webHidden/>
          </w:rPr>
          <w:fldChar w:fldCharType="separate"/>
        </w:r>
        <w:r w:rsidR="00246462">
          <w:rPr>
            <w:noProof/>
            <w:webHidden/>
          </w:rPr>
          <w:t>73</w:t>
        </w:r>
        <w:r w:rsidR="00B14B3B">
          <w:rPr>
            <w:noProof/>
            <w:webHidden/>
          </w:rPr>
          <w:fldChar w:fldCharType="end"/>
        </w:r>
      </w:hyperlink>
    </w:p>
    <w:p w14:paraId="499C34E4"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79999" w:history="1">
        <w:r w:rsidR="00B14B3B" w:rsidRPr="00EF389F">
          <w:rPr>
            <w:rStyle w:val="a7"/>
            <w:rFonts w:asciiTheme="minorEastAsia" w:hAnsiTheme="minorEastAsia" w:hint="eastAsia"/>
            <w:noProof/>
          </w:rPr>
          <w:t>十二、基金份额的登记结算</w:t>
        </w:r>
        <w:r w:rsidR="00B14B3B">
          <w:rPr>
            <w:noProof/>
            <w:webHidden/>
          </w:rPr>
          <w:tab/>
        </w:r>
        <w:r w:rsidR="00B14B3B">
          <w:rPr>
            <w:noProof/>
            <w:webHidden/>
          </w:rPr>
          <w:fldChar w:fldCharType="begin"/>
        </w:r>
        <w:r w:rsidR="00B14B3B">
          <w:rPr>
            <w:noProof/>
            <w:webHidden/>
          </w:rPr>
          <w:instrText xml:space="preserve"> PAGEREF _Toc77779999 \h </w:instrText>
        </w:r>
        <w:r w:rsidR="00B14B3B">
          <w:rPr>
            <w:noProof/>
            <w:webHidden/>
          </w:rPr>
        </w:r>
        <w:r w:rsidR="00B14B3B">
          <w:rPr>
            <w:noProof/>
            <w:webHidden/>
          </w:rPr>
          <w:fldChar w:fldCharType="separate"/>
        </w:r>
        <w:r w:rsidR="00246462">
          <w:rPr>
            <w:noProof/>
            <w:webHidden/>
          </w:rPr>
          <w:t>74</w:t>
        </w:r>
        <w:r w:rsidR="00B14B3B">
          <w:rPr>
            <w:noProof/>
            <w:webHidden/>
          </w:rPr>
          <w:fldChar w:fldCharType="end"/>
        </w:r>
      </w:hyperlink>
    </w:p>
    <w:p w14:paraId="08A5F3C3"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0" w:history="1">
        <w:r w:rsidR="00B14B3B" w:rsidRPr="00EF389F">
          <w:rPr>
            <w:rStyle w:val="a7"/>
            <w:rFonts w:asciiTheme="minorEastAsia" w:hAnsiTheme="minorEastAsia" w:hint="eastAsia"/>
            <w:noProof/>
          </w:rPr>
          <w:t>十三、基金的投资</w:t>
        </w:r>
        <w:r w:rsidR="00B14B3B">
          <w:rPr>
            <w:noProof/>
            <w:webHidden/>
          </w:rPr>
          <w:tab/>
        </w:r>
        <w:r w:rsidR="00B14B3B">
          <w:rPr>
            <w:noProof/>
            <w:webHidden/>
          </w:rPr>
          <w:fldChar w:fldCharType="begin"/>
        </w:r>
        <w:r w:rsidR="00B14B3B">
          <w:rPr>
            <w:noProof/>
            <w:webHidden/>
          </w:rPr>
          <w:instrText xml:space="preserve"> PAGEREF _Toc77780000 \h </w:instrText>
        </w:r>
        <w:r w:rsidR="00B14B3B">
          <w:rPr>
            <w:noProof/>
            <w:webHidden/>
          </w:rPr>
        </w:r>
        <w:r w:rsidR="00B14B3B">
          <w:rPr>
            <w:noProof/>
            <w:webHidden/>
          </w:rPr>
          <w:fldChar w:fldCharType="separate"/>
        </w:r>
        <w:r w:rsidR="00246462">
          <w:rPr>
            <w:noProof/>
            <w:webHidden/>
          </w:rPr>
          <w:t>76</w:t>
        </w:r>
        <w:r w:rsidR="00B14B3B">
          <w:rPr>
            <w:noProof/>
            <w:webHidden/>
          </w:rPr>
          <w:fldChar w:fldCharType="end"/>
        </w:r>
      </w:hyperlink>
    </w:p>
    <w:p w14:paraId="618526A7"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1" w:history="1">
        <w:r w:rsidR="00B14B3B" w:rsidRPr="00EF389F">
          <w:rPr>
            <w:rStyle w:val="a7"/>
            <w:rFonts w:asciiTheme="minorEastAsia" w:hAnsiTheme="minorEastAsia" w:hint="eastAsia"/>
            <w:noProof/>
          </w:rPr>
          <w:t>十四、基金的业绩</w:t>
        </w:r>
        <w:r w:rsidR="00B14B3B">
          <w:rPr>
            <w:noProof/>
            <w:webHidden/>
          </w:rPr>
          <w:tab/>
        </w:r>
        <w:r w:rsidR="00B14B3B">
          <w:rPr>
            <w:noProof/>
            <w:webHidden/>
          </w:rPr>
          <w:fldChar w:fldCharType="begin"/>
        </w:r>
        <w:r w:rsidR="00B14B3B">
          <w:rPr>
            <w:noProof/>
            <w:webHidden/>
          </w:rPr>
          <w:instrText xml:space="preserve"> PAGEREF _Toc77780001 \h </w:instrText>
        </w:r>
        <w:r w:rsidR="00B14B3B">
          <w:rPr>
            <w:noProof/>
            <w:webHidden/>
          </w:rPr>
        </w:r>
        <w:r w:rsidR="00B14B3B">
          <w:rPr>
            <w:noProof/>
            <w:webHidden/>
          </w:rPr>
          <w:fldChar w:fldCharType="separate"/>
        </w:r>
        <w:r w:rsidR="00246462">
          <w:rPr>
            <w:noProof/>
            <w:webHidden/>
          </w:rPr>
          <w:t>86</w:t>
        </w:r>
        <w:r w:rsidR="00B14B3B">
          <w:rPr>
            <w:noProof/>
            <w:webHidden/>
          </w:rPr>
          <w:fldChar w:fldCharType="end"/>
        </w:r>
      </w:hyperlink>
    </w:p>
    <w:p w14:paraId="4C28B1F4"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2" w:history="1">
        <w:r w:rsidR="00B14B3B" w:rsidRPr="00EF389F">
          <w:rPr>
            <w:rStyle w:val="a7"/>
            <w:rFonts w:asciiTheme="minorEastAsia" w:hAnsiTheme="minorEastAsia" w:hint="eastAsia"/>
            <w:noProof/>
          </w:rPr>
          <w:t>十五、基金的财产</w:t>
        </w:r>
        <w:r w:rsidR="00B14B3B">
          <w:rPr>
            <w:noProof/>
            <w:webHidden/>
          </w:rPr>
          <w:tab/>
        </w:r>
        <w:r w:rsidR="00B14B3B">
          <w:rPr>
            <w:noProof/>
            <w:webHidden/>
          </w:rPr>
          <w:fldChar w:fldCharType="begin"/>
        </w:r>
        <w:r w:rsidR="00B14B3B">
          <w:rPr>
            <w:noProof/>
            <w:webHidden/>
          </w:rPr>
          <w:instrText xml:space="preserve"> PAGEREF _Toc77780002 \h </w:instrText>
        </w:r>
        <w:r w:rsidR="00B14B3B">
          <w:rPr>
            <w:noProof/>
            <w:webHidden/>
          </w:rPr>
        </w:r>
        <w:r w:rsidR="00B14B3B">
          <w:rPr>
            <w:noProof/>
            <w:webHidden/>
          </w:rPr>
          <w:fldChar w:fldCharType="separate"/>
        </w:r>
        <w:r w:rsidR="00246462">
          <w:rPr>
            <w:noProof/>
            <w:webHidden/>
          </w:rPr>
          <w:t>88</w:t>
        </w:r>
        <w:r w:rsidR="00B14B3B">
          <w:rPr>
            <w:noProof/>
            <w:webHidden/>
          </w:rPr>
          <w:fldChar w:fldCharType="end"/>
        </w:r>
      </w:hyperlink>
    </w:p>
    <w:p w14:paraId="503FBCF3"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3" w:history="1">
        <w:r w:rsidR="00B14B3B" w:rsidRPr="00EF389F">
          <w:rPr>
            <w:rStyle w:val="a7"/>
            <w:rFonts w:asciiTheme="minorEastAsia" w:hAnsiTheme="minorEastAsia" w:hint="eastAsia"/>
            <w:noProof/>
          </w:rPr>
          <w:t>十六、基金资产估值</w:t>
        </w:r>
        <w:r w:rsidR="00B14B3B">
          <w:rPr>
            <w:noProof/>
            <w:webHidden/>
          </w:rPr>
          <w:tab/>
        </w:r>
        <w:r w:rsidR="00B14B3B">
          <w:rPr>
            <w:noProof/>
            <w:webHidden/>
          </w:rPr>
          <w:fldChar w:fldCharType="begin"/>
        </w:r>
        <w:r w:rsidR="00B14B3B">
          <w:rPr>
            <w:noProof/>
            <w:webHidden/>
          </w:rPr>
          <w:instrText xml:space="preserve"> PAGEREF _Toc77780003 \h </w:instrText>
        </w:r>
        <w:r w:rsidR="00B14B3B">
          <w:rPr>
            <w:noProof/>
            <w:webHidden/>
          </w:rPr>
        </w:r>
        <w:r w:rsidR="00B14B3B">
          <w:rPr>
            <w:noProof/>
            <w:webHidden/>
          </w:rPr>
          <w:fldChar w:fldCharType="separate"/>
        </w:r>
        <w:r w:rsidR="00246462">
          <w:rPr>
            <w:noProof/>
            <w:webHidden/>
          </w:rPr>
          <w:t>89</w:t>
        </w:r>
        <w:r w:rsidR="00B14B3B">
          <w:rPr>
            <w:noProof/>
            <w:webHidden/>
          </w:rPr>
          <w:fldChar w:fldCharType="end"/>
        </w:r>
      </w:hyperlink>
    </w:p>
    <w:p w14:paraId="384091EA"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4" w:history="1">
        <w:r w:rsidR="00B14B3B" w:rsidRPr="00EF389F">
          <w:rPr>
            <w:rStyle w:val="a7"/>
            <w:rFonts w:asciiTheme="minorEastAsia" w:hAnsiTheme="minorEastAsia" w:hint="eastAsia"/>
            <w:noProof/>
          </w:rPr>
          <w:t>十七、基金的收益与分配</w:t>
        </w:r>
        <w:r w:rsidR="00B14B3B">
          <w:rPr>
            <w:noProof/>
            <w:webHidden/>
          </w:rPr>
          <w:tab/>
        </w:r>
        <w:r w:rsidR="00B14B3B">
          <w:rPr>
            <w:noProof/>
            <w:webHidden/>
          </w:rPr>
          <w:fldChar w:fldCharType="begin"/>
        </w:r>
        <w:r w:rsidR="00B14B3B">
          <w:rPr>
            <w:noProof/>
            <w:webHidden/>
          </w:rPr>
          <w:instrText xml:space="preserve"> PAGEREF _Toc77780004 \h </w:instrText>
        </w:r>
        <w:r w:rsidR="00B14B3B">
          <w:rPr>
            <w:noProof/>
            <w:webHidden/>
          </w:rPr>
        </w:r>
        <w:r w:rsidR="00B14B3B">
          <w:rPr>
            <w:noProof/>
            <w:webHidden/>
          </w:rPr>
          <w:fldChar w:fldCharType="separate"/>
        </w:r>
        <w:r w:rsidR="00246462">
          <w:rPr>
            <w:noProof/>
            <w:webHidden/>
          </w:rPr>
          <w:t>93</w:t>
        </w:r>
        <w:r w:rsidR="00B14B3B">
          <w:rPr>
            <w:noProof/>
            <w:webHidden/>
          </w:rPr>
          <w:fldChar w:fldCharType="end"/>
        </w:r>
      </w:hyperlink>
    </w:p>
    <w:p w14:paraId="202A9D78"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5" w:history="1">
        <w:r w:rsidR="00B14B3B" w:rsidRPr="00EF389F">
          <w:rPr>
            <w:rStyle w:val="a7"/>
            <w:rFonts w:asciiTheme="minorEastAsia" w:hAnsiTheme="minorEastAsia" w:hint="eastAsia"/>
            <w:noProof/>
          </w:rPr>
          <w:t>十八、基金的费用与税收</w:t>
        </w:r>
        <w:r w:rsidR="00B14B3B">
          <w:rPr>
            <w:noProof/>
            <w:webHidden/>
          </w:rPr>
          <w:tab/>
        </w:r>
        <w:r w:rsidR="00B14B3B">
          <w:rPr>
            <w:noProof/>
            <w:webHidden/>
          </w:rPr>
          <w:fldChar w:fldCharType="begin"/>
        </w:r>
        <w:r w:rsidR="00B14B3B">
          <w:rPr>
            <w:noProof/>
            <w:webHidden/>
          </w:rPr>
          <w:instrText xml:space="preserve"> PAGEREF _Toc77780005 \h </w:instrText>
        </w:r>
        <w:r w:rsidR="00B14B3B">
          <w:rPr>
            <w:noProof/>
            <w:webHidden/>
          </w:rPr>
        </w:r>
        <w:r w:rsidR="00B14B3B">
          <w:rPr>
            <w:noProof/>
            <w:webHidden/>
          </w:rPr>
          <w:fldChar w:fldCharType="separate"/>
        </w:r>
        <w:r w:rsidR="00246462">
          <w:rPr>
            <w:noProof/>
            <w:webHidden/>
          </w:rPr>
          <w:t>95</w:t>
        </w:r>
        <w:r w:rsidR="00B14B3B">
          <w:rPr>
            <w:noProof/>
            <w:webHidden/>
          </w:rPr>
          <w:fldChar w:fldCharType="end"/>
        </w:r>
      </w:hyperlink>
    </w:p>
    <w:p w14:paraId="1DE7C7CF"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6" w:history="1">
        <w:r w:rsidR="00B14B3B" w:rsidRPr="00EF389F">
          <w:rPr>
            <w:rStyle w:val="a7"/>
            <w:rFonts w:asciiTheme="minorEastAsia" w:hAnsiTheme="minorEastAsia" w:hint="eastAsia"/>
            <w:noProof/>
          </w:rPr>
          <w:t>十九、基金的会计和审计</w:t>
        </w:r>
        <w:r w:rsidR="00B14B3B">
          <w:rPr>
            <w:noProof/>
            <w:webHidden/>
          </w:rPr>
          <w:tab/>
        </w:r>
        <w:r w:rsidR="00B14B3B">
          <w:rPr>
            <w:noProof/>
            <w:webHidden/>
          </w:rPr>
          <w:fldChar w:fldCharType="begin"/>
        </w:r>
        <w:r w:rsidR="00B14B3B">
          <w:rPr>
            <w:noProof/>
            <w:webHidden/>
          </w:rPr>
          <w:instrText xml:space="preserve"> PAGEREF _Toc77780006 \h </w:instrText>
        </w:r>
        <w:r w:rsidR="00B14B3B">
          <w:rPr>
            <w:noProof/>
            <w:webHidden/>
          </w:rPr>
        </w:r>
        <w:r w:rsidR="00B14B3B">
          <w:rPr>
            <w:noProof/>
            <w:webHidden/>
          </w:rPr>
          <w:fldChar w:fldCharType="separate"/>
        </w:r>
        <w:r w:rsidR="00246462">
          <w:rPr>
            <w:noProof/>
            <w:webHidden/>
          </w:rPr>
          <w:t>98</w:t>
        </w:r>
        <w:r w:rsidR="00B14B3B">
          <w:rPr>
            <w:noProof/>
            <w:webHidden/>
          </w:rPr>
          <w:fldChar w:fldCharType="end"/>
        </w:r>
      </w:hyperlink>
    </w:p>
    <w:p w14:paraId="5FE9010D"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7" w:history="1">
        <w:r w:rsidR="00B14B3B" w:rsidRPr="00EF389F">
          <w:rPr>
            <w:rStyle w:val="a7"/>
            <w:rFonts w:asciiTheme="minorEastAsia" w:hAnsiTheme="minorEastAsia" w:hint="eastAsia"/>
            <w:noProof/>
          </w:rPr>
          <w:t>二十、基金的信息披露</w:t>
        </w:r>
        <w:r w:rsidR="00B14B3B">
          <w:rPr>
            <w:noProof/>
            <w:webHidden/>
          </w:rPr>
          <w:tab/>
        </w:r>
        <w:r w:rsidR="00B14B3B">
          <w:rPr>
            <w:noProof/>
            <w:webHidden/>
          </w:rPr>
          <w:fldChar w:fldCharType="begin"/>
        </w:r>
        <w:r w:rsidR="00B14B3B">
          <w:rPr>
            <w:noProof/>
            <w:webHidden/>
          </w:rPr>
          <w:instrText xml:space="preserve"> PAGEREF _Toc77780007 \h </w:instrText>
        </w:r>
        <w:r w:rsidR="00B14B3B">
          <w:rPr>
            <w:noProof/>
            <w:webHidden/>
          </w:rPr>
        </w:r>
        <w:r w:rsidR="00B14B3B">
          <w:rPr>
            <w:noProof/>
            <w:webHidden/>
          </w:rPr>
          <w:fldChar w:fldCharType="separate"/>
        </w:r>
        <w:r w:rsidR="00246462">
          <w:rPr>
            <w:noProof/>
            <w:webHidden/>
          </w:rPr>
          <w:t>99</w:t>
        </w:r>
        <w:r w:rsidR="00B14B3B">
          <w:rPr>
            <w:noProof/>
            <w:webHidden/>
          </w:rPr>
          <w:fldChar w:fldCharType="end"/>
        </w:r>
      </w:hyperlink>
    </w:p>
    <w:p w14:paraId="08DA3A0D"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8" w:history="1">
        <w:r w:rsidR="00B14B3B" w:rsidRPr="00EF389F">
          <w:rPr>
            <w:rStyle w:val="a7"/>
            <w:rFonts w:asciiTheme="minorEastAsia" w:hAnsiTheme="minorEastAsia" w:hint="eastAsia"/>
            <w:noProof/>
          </w:rPr>
          <w:t>二十一、风险揭示</w:t>
        </w:r>
        <w:r w:rsidR="00B14B3B">
          <w:rPr>
            <w:noProof/>
            <w:webHidden/>
          </w:rPr>
          <w:tab/>
        </w:r>
        <w:r w:rsidR="00B14B3B">
          <w:rPr>
            <w:noProof/>
            <w:webHidden/>
          </w:rPr>
          <w:fldChar w:fldCharType="begin"/>
        </w:r>
        <w:r w:rsidR="00B14B3B">
          <w:rPr>
            <w:noProof/>
            <w:webHidden/>
          </w:rPr>
          <w:instrText xml:space="preserve"> PAGEREF _Toc77780008 \h </w:instrText>
        </w:r>
        <w:r w:rsidR="00B14B3B">
          <w:rPr>
            <w:noProof/>
            <w:webHidden/>
          </w:rPr>
        </w:r>
        <w:r w:rsidR="00B14B3B">
          <w:rPr>
            <w:noProof/>
            <w:webHidden/>
          </w:rPr>
          <w:fldChar w:fldCharType="separate"/>
        </w:r>
        <w:r w:rsidR="00246462">
          <w:rPr>
            <w:noProof/>
            <w:webHidden/>
          </w:rPr>
          <w:t>104</w:t>
        </w:r>
        <w:r w:rsidR="00B14B3B">
          <w:rPr>
            <w:noProof/>
            <w:webHidden/>
          </w:rPr>
          <w:fldChar w:fldCharType="end"/>
        </w:r>
      </w:hyperlink>
    </w:p>
    <w:p w14:paraId="36F1AE89"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09" w:history="1">
        <w:r w:rsidR="00B14B3B" w:rsidRPr="00EF389F">
          <w:rPr>
            <w:rStyle w:val="a7"/>
            <w:rFonts w:asciiTheme="minorEastAsia" w:hAnsiTheme="minorEastAsia" w:hint="eastAsia"/>
            <w:noProof/>
          </w:rPr>
          <w:t>二十二、《基金合同》的变更、终止与基金财产的清算</w:t>
        </w:r>
        <w:r w:rsidR="00B14B3B">
          <w:rPr>
            <w:noProof/>
            <w:webHidden/>
          </w:rPr>
          <w:tab/>
        </w:r>
        <w:r w:rsidR="00B14B3B">
          <w:rPr>
            <w:noProof/>
            <w:webHidden/>
          </w:rPr>
          <w:fldChar w:fldCharType="begin"/>
        </w:r>
        <w:r w:rsidR="00B14B3B">
          <w:rPr>
            <w:noProof/>
            <w:webHidden/>
          </w:rPr>
          <w:instrText xml:space="preserve"> PAGEREF _Toc77780009 \h </w:instrText>
        </w:r>
        <w:r w:rsidR="00B14B3B">
          <w:rPr>
            <w:noProof/>
            <w:webHidden/>
          </w:rPr>
        </w:r>
        <w:r w:rsidR="00B14B3B">
          <w:rPr>
            <w:noProof/>
            <w:webHidden/>
          </w:rPr>
          <w:fldChar w:fldCharType="separate"/>
        </w:r>
        <w:r w:rsidR="00246462">
          <w:rPr>
            <w:noProof/>
            <w:webHidden/>
          </w:rPr>
          <w:t>111</w:t>
        </w:r>
        <w:r w:rsidR="00B14B3B">
          <w:rPr>
            <w:noProof/>
            <w:webHidden/>
          </w:rPr>
          <w:fldChar w:fldCharType="end"/>
        </w:r>
      </w:hyperlink>
    </w:p>
    <w:p w14:paraId="70C17EE1"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10" w:history="1">
        <w:r w:rsidR="00B14B3B" w:rsidRPr="00EF389F">
          <w:rPr>
            <w:rStyle w:val="a7"/>
            <w:rFonts w:asciiTheme="minorEastAsia" w:hAnsiTheme="minorEastAsia" w:hint="eastAsia"/>
            <w:noProof/>
          </w:rPr>
          <w:t>二十三、《基金合同》的内容摘要</w:t>
        </w:r>
        <w:r w:rsidR="00B14B3B">
          <w:rPr>
            <w:noProof/>
            <w:webHidden/>
          </w:rPr>
          <w:tab/>
        </w:r>
        <w:r w:rsidR="00B14B3B">
          <w:rPr>
            <w:noProof/>
            <w:webHidden/>
          </w:rPr>
          <w:fldChar w:fldCharType="begin"/>
        </w:r>
        <w:r w:rsidR="00B14B3B">
          <w:rPr>
            <w:noProof/>
            <w:webHidden/>
          </w:rPr>
          <w:instrText xml:space="preserve"> PAGEREF _Toc77780010 \h </w:instrText>
        </w:r>
        <w:r w:rsidR="00B14B3B">
          <w:rPr>
            <w:noProof/>
            <w:webHidden/>
          </w:rPr>
        </w:r>
        <w:r w:rsidR="00B14B3B">
          <w:rPr>
            <w:noProof/>
            <w:webHidden/>
          </w:rPr>
          <w:fldChar w:fldCharType="separate"/>
        </w:r>
        <w:r w:rsidR="00246462">
          <w:rPr>
            <w:noProof/>
            <w:webHidden/>
          </w:rPr>
          <w:t>113</w:t>
        </w:r>
        <w:r w:rsidR="00B14B3B">
          <w:rPr>
            <w:noProof/>
            <w:webHidden/>
          </w:rPr>
          <w:fldChar w:fldCharType="end"/>
        </w:r>
      </w:hyperlink>
    </w:p>
    <w:p w14:paraId="4A2D7805"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11" w:history="1">
        <w:r w:rsidR="00B14B3B" w:rsidRPr="00EF389F">
          <w:rPr>
            <w:rStyle w:val="a7"/>
            <w:rFonts w:asciiTheme="minorEastAsia" w:hAnsiTheme="minorEastAsia" w:hint="eastAsia"/>
            <w:noProof/>
          </w:rPr>
          <w:t>二十四、基金托管协议的内容摘要</w:t>
        </w:r>
        <w:r w:rsidR="00B14B3B">
          <w:rPr>
            <w:noProof/>
            <w:webHidden/>
          </w:rPr>
          <w:tab/>
        </w:r>
        <w:r w:rsidR="00B14B3B">
          <w:rPr>
            <w:noProof/>
            <w:webHidden/>
          </w:rPr>
          <w:fldChar w:fldCharType="begin"/>
        </w:r>
        <w:r w:rsidR="00B14B3B">
          <w:rPr>
            <w:noProof/>
            <w:webHidden/>
          </w:rPr>
          <w:instrText xml:space="preserve"> PAGEREF _Toc77780011 \h </w:instrText>
        </w:r>
        <w:r w:rsidR="00B14B3B">
          <w:rPr>
            <w:noProof/>
            <w:webHidden/>
          </w:rPr>
        </w:r>
        <w:r w:rsidR="00B14B3B">
          <w:rPr>
            <w:noProof/>
            <w:webHidden/>
          </w:rPr>
          <w:fldChar w:fldCharType="separate"/>
        </w:r>
        <w:r w:rsidR="00246462">
          <w:rPr>
            <w:noProof/>
            <w:webHidden/>
          </w:rPr>
          <w:t>125</w:t>
        </w:r>
        <w:r w:rsidR="00B14B3B">
          <w:rPr>
            <w:noProof/>
            <w:webHidden/>
          </w:rPr>
          <w:fldChar w:fldCharType="end"/>
        </w:r>
      </w:hyperlink>
    </w:p>
    <w:p w14:paraId="4D624270"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12" w:history="1">
        <w:r w:rsidR="00B14B3B" w:rsidRPr="00EF389F">
          <w:rPr>
            <w:rStyle w:val="a7"/>
            <w:rFonts w:asciiTheme="minorEastAsia" w:hAnsiTheme="minorEastAsia" w:hint="eastAsia"/>
            <w:noProof/>
          </w:rPr>
          <w:t>二十五、对基金份额持有人的服务</w:t>
        </w:r>
        <w:r w:rsidR="00B14B3B">
          <w:rPr>
            <w:noProof/>
            <w:webHidden/>
          </w:rPr>
          <w:tab/>
        </w:r>
        <w:r w:rsidR="00B14B3B">
          <w:rPr>
            <w:noProof/>
            <w:webHidden/>
          </w:rPr>
          <w:fldChar w:fldCharType="begin"/>
        </w:r>
        <w:r w:rsidR="00B14B3B">
          <w:rPr>
            <w:noProof/>
            <w:webHidden/>
          </w:rPr>
          <w:instrText xml:space="preserve"> PAGEREF _Toc77780012 \h </w:instrText>
        </w:r>
        <w:r w:rsidR="00B14B3B">
          <w:rPr>
            <w:noProof/>
            <w:webHidden/>
          </w:rPr>
        </w:r>
        <w:r w:rsidR="00B14B3B">
          <w:rPr>
            <w:noProof/>
            <w:webHidden/>
          </w:rPr>
          <w:fldChar w:fldCharType="separate"/>
        </w:r>
        <w:r w:rsidR="00246462">
          <w:rPr>
            <w:noProof/>
            <w:webHidden/>
          </w:rPr>
          <w:t>138</w:t>
        </w:r>
        <w:r w:rsidR="00B14B3B">
          <w:rPr>
            <w:noProof/>
            <w:webHidden/>
          </w:rPr>
          <w:fldChar w:fldCharType="end"/>
        </w:r>
      </w:hyperlink>
    </w:p>
    <w:p w14:paraId="4D9BAEBC"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13" w:history="1">
        <w:r w:rsidR="00B14B3B" w:rsidRPr="00EF389F">
          <w:rPr>
            <w:rStyle w:val="a7"/>
            <w:rFonts w:asciiTheme="minorEastAsia" w:hAnsiTheme="minorEastAsia" w:hint="eastAsia"/>
            <w:noProof/>
          </w:rPr>
          <w:t>二十六、其他应披露事项</w:t>
        </w:r>
        <w:r w:rsidR="00B14B3B">
          <w:rPr>
            <w:noProof/>
            <w:webHidden/>
          </w:rPr>
          <w:tab/>
        </w:r>
        <w:r w:rsidR="00B14B3B">
          <w:rPr>
            <w:noProof/>
            <w:webHidden/>
          </w:rPr>
          <w:fldChar w:fldCharType="begin"/>
        </w:r>
        <w:r w:rsidR="00B14B3B">
          <w:rPr>
            <w:noProof/>
            <w:webHidden/>
          </w:rPr>
          <w:instrText xml:space="preserve"> PAGEREF _Toc77780013 \h </w:instrText>
        </w:r>
        <w:r w:rsidR="00B14B3B">
          <w:rPr>
            <w:noProof/>
            <w:webHidden/>
          </w:rPr>
        </w:r>
        <w:r w:rsidR="00B14B3B">
          <w:rPr>
            <w:noProof/>
            <w:webHidden/>
          </w:rPr>
          <w:fldChar w:fldCharType="separate"/>
        </w:r>
        <w:r w:rsidR="00246462">
          <w:rPr>
            <w:noProof/>
            <w:webHidden/>
          </w:rPr>
          <w:t>139</w:t>
        </w:r>
        <w:r w:rsidR="00B14B3B">
          <w:rPr>
            <w:noProof/>
            <w:webHidden/>
          </w:rPr>
          <w:fldChar w:fldCharType="end"/>
        </w:r>
      </w:hyperlink>
    </w:p>
    <w:p w14:paraId="688B3949"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14" w:history="1">
        <w:r w:rsidR="00B14B3B" w:rsidRPr="00EF389F">
          <w:rPr>
            <w:rStyle w:val="a7"/>
            <w:rFonts w:asciiTheme="minorEastAsia" w:hAnsiTheme="minorEastAsia" w:hint="eastAsia"/>
            <w:noProof/>
          </w:rPr>
          <w:t>二十七、《招募说明书》存放及查阅方式</w:t>
        </w:r>
        <w:r w:rsidR="00B14B3B">
          <w:rPr>
            <w:noProof/>
            <w:webHidden/>
          </w:rPr>
          <w:tab/>
        </w:r>
        <w:r w:rsidR="00B14B3B">
          <w:rPr>
            <w:noProof/>
            <w:webHidden/>
          </w:rPr>
          <w:fldChar w:fldCharType="begin"/>
        </w:r>
        <w:r w:rsidR="00B14B3B">
          <w:rPr>
            <w:noProof/>
            <w:webHidden/>
          </w:rPr>
          <w:instrText xml:space="preserve"> PAGEREF _Toc77780014 \h </w:instrText>
        </w:r>
        <w:r w:rsidR="00B14B3B">
          <w:rPr>
            <w:noProof/>
            <w:webHidden/>
          </w:rPr>
        </w:r>
        <w:r w:rsidR="00B14B3B">
          <w:rPr>
            <w:noProof/>
            <w:webHidden/>
          </w:rPr>
          <w:fldChar w:fldCharType="separate"/>
        </w:r>
        <w:r w:rsidR="00246462">
          <w:rPr>
            <w:noProof/>
            <w:webHidden/>
          </w:rPr>
          <w:t>145</w:t>
        </w:r>
        <w:r w:rsidR="00B14B3B">
          <w:rPr>
            <w:noProof/>
            <w:webHidden/>
          </w:rPr>
          <w:fldChar w:fldCharType="end"/>
        </w:r>
      </w:hyperlink>
    </w:p>
    <w:p w14:paraId="4021A14D" w14:textId="77777777" w:rsidR="00B14B3B" w:rsidRDefault="005D77D4">
      <w:pPr>
        <w:pStyle w:val="10"/>
        <w:tabs>
          <w:tab w:val="right" w:leader="dot" w:pos="8302"/>
        </w:tabs>
        <w:rPr>
          <w:rFonts w:asciiTheme="minorHAnsi" w:eastAsiaTheme="minorEastAsia" w:hAnsiTheme="minorHAnsi" w:cstheme="minorBidi"/>
          <w:b w:val="0"/>
          <w:bCs w:val="0"/>
          <w:caps w:val="0"/>
          <w:noProof/>
          <w:sz w:val="21"/>
          <w:szCs w:val="22"/>
        </w:rPr>
      </w:pPr>
      <w:hyperlink w:anchor="_Toc77780015" w:history="1">
        <w:r w:rsidR="00B14B3B" w:rsidRPr="00EF389F">
          <w:rPr>
            <w:rStyle w:val="a7"/>
            <w:rFonts w:asciiTheme="minorEastAsia" w:hAnsiTheme="minorEastAsia" w:hint="eastAsia"/>
            <w:noProof/>
          </w:rPr>
          <w:t>二十八、备查文</w:t>
        </w:r>
        <w:r w:rsidR="00B14B3B" w:rsidRPr="00EF389F">
          <w:rPr>
            <w:rStyle w:val="a7"/>
            <w:rFonts w:asciiTheme="minorEastAsia" w:hAnsiTheme="minorEastAsia" w:hint="eastAsia"/>
            <w:noProof/>
          </w:rPr>
          <w:t>件</w:t>
        </w:r>
        <w:r w:rsidR="00B14B3B">
          <w:rPr>
            <w:noProof/>
            <w:webHidden/>
          </w:rPr>
          <w:tab/>
        </w:r>
        <w:r w:rsidR="00B14B3B">
          <w:rPr>
            <w:noProof/>
            <w:webHidden/>
          </w:rPr>
          <w:fldChar w:fldCharType="begin"/>
        </w:r>
        <w:r w:rsidR="00B14B3B">
          <w:rPr>
            <w:noProof/>
            <w:webHidden/>
          </w:rPr>
          <w:instrText xml:space="preserve"> PAGEREF _Toc77780015 \h </w:instrText>
        </w:r>
        <w:r w:rsidR="00B14B3B">
          <w:rPr>
            <w:noProof/>
            <w:webHidden/>
          </w:rPr>
        </w:r>
        <w:r w:rsidR="00B14B3B">
          <w:rPr>
            <w:noProof/>
            <w:webHidden/>
          </w:rPr>
          <w:fldChar w:fldCharType="separate"/>
        </w:r>
        <w:r w:rsidR="00246462">
          <w:rPr>
            <w:noProof/>
            <w:webHidden/>
          </w:rPr>
          <w:t>146</w:t>
        </w:r>
        <w:r w:rsidR="00B14B3B">
          <w:rPr>
            <w:noProof/>
            <w:webHidden/>
          </w:rPr>
          <w:fldChar w:fldCharType="end"/>
        </w:r>
      </w:hyperlink>
    </w:p>
    <w:p w14:paraId="51431E78" w14:textId="12703F71" w:rsidR="004A1480" w:rsidRPr="0047638B" w:rsidRDefault="00053E1F" w:rsidP="008C3150">
      <w:pPr>
        <w:pStyle w:val="10"/>
        <w:tabs>
          <w:tab w:val="right" w:leader="dot" w:pos="8302"/>
        </w:tabs>
        <w:rPr>
          <w:rFonts w:asciiTheme="minorEastAsia" w:eastAsiaTheme="minorEastAsia" w:hAnsiTheme="minorEastAsia"/>
          <w:sz w:val="21"/>
          <w:szCs w:val="21"/>
        </w:rPr>
        <w:sectPr w:rsidR="004A1480" w:rsidRPr="0047638B" w:rsidSect="00361AC5">
          <w:footerReference w:type="default" r:id="rId10"/>
          <w:pgSz w:w="11906" w:h="16838"/>
          <w:pgMar w:top="1440" w:right="1797" w:bottom="1440" w:left="1797" w:header="851" w:footer="992" w:gutter="0"/>
          <w:pgNumType w:fmt="upperRoman" w:start="1"/>
          <w:cols w:space="425"/>
          <w:docGrid w:type="lines" w:linePitch="312"/>
        </w:sectPr>
      </w:pPr>
      <w:r w:rsidRPr="0047638B">
        <w:rPr>
          <w:rFonts w:asciiTheme="minorEastAsia" w:eastAsiaTheme="minorEastAsia" w:hAnsiTheme="minorEastAsia"/>
          <w:sz w:val="21"/>
          <w:szCs w:val="21"/>
        </w:rPr>
        <w:fldChar w:fldCharType="end"/>
      </w:r>
    </w:p>
    <w:p w14:paraId="16F4B78A" w14:textId="77777777" w:rsidR="00E13C79" w:rsidRPr="0047638B" w:rsidRDefault="00954084" w:rsidP="00365038">
      <w:pPr>
        <w:pStyle w:val="11"/>
        <w:snapToGrid w:val="0"/>
        <w:spacing w:beforeLines="0" w:afterLines="0" w:line="360" w:lineRule="auto"/>
        <w:ind w:firstLine="600"/>
        <w:rPr>
          <w:rFonts w:asciiTheme="minorEastAsia" w:eastAsiaTheme="minorEastAsia" w:hAnsiTheme="minorEastAsia"/>
          <w:b w:val="0"/>
          <w:sz w:val="30"/>
        </w:rPr>
      </w:pPr>
      <w:bookmarkStart w:id="0" w:name="_Toc77779988"/>
      <w:r w:rsidRPr="0047638B">
        <w:rPr>
          <w:rFonts w:asciiTheme="minorEastAsia" w:eastAsiaTheme="minorEastAsia" w:hAnsiTheme="minorEastAsia"/>
          <w:b w:val="0"/>
          <w:sz w:val="30"/>
        </w:rPr>
        <w:lastRenderedPageBreak/>
        <w:t>一、</w:t>
      </w:r>
      <w:r w:rsidR="00E13C79" w:rsidRPr="0047638B">
        <w:rPr>
          <w:rFonts w:asciiTheme="minorEastAsia" w:eastAsiaTheme="minorEastAsia" w:hAnsiTheme="minorEastAsia"/>
          <w:b w:val="0"/>
          <w:sz w:val="30"/>
        </w:rPr>
        <w:t>绪言</w:t>
      </w:r>
      <w:bookmarkEnd w:id="0"/>
    </w:p>
    <w:p w14:paraId="4531E9B9" w14:textId="428B39FC"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本《招募说明书》依据《中华人民共和国证券投资基金法》（以下简称《基金法》）、《公开募集证券投资基金运作管理办法》（以下简称《运作办法》）、《</w:t>
      </w:r>
      <w:r w:rsidR="00283BB8" w:rsidRPr="0047638B">
        <w:rPr>
          <w:rFonts w:asciiTheme="minorEastAsia" w:eastAsiaTheme="minorEastAsia" w:hAnsiTheme="minorEastAsia" w:hint="eastAsia"/>
          <w:szCs w:val="24"/>
        </w:rPr>
        <w:t>公开募集证券投资基金销售机构监督管理办法</w:t>
      </w:r>
      <w:r w:rsidRPr="0047638B">
        <w:rPr>
          <w:rFonts w:asciiTheme="minorEastAsia" w:eastAsiaTheme="minorEastAsia" w:hAnsiTheme="minorEastAsia"/>
          <w:szCs w:val="24"/>
        </w:rPr>
        <w:t>》（以下简称《销售办法》）、《</w:t>
      </w:r>
      <w:r w:rsidR="00E80CE3" w:rsidRPr="0047638B">
        <w:rPr>
          <w:rFonts w:asciiTheme="minorEastAsia" w:eastAsiaTheme="minorEastAsia" w:hAnsiTheme="minorEastAsia" w:hint="eastAsia"/>
          <w:szCs w:val="24"/>
        </w:rPr>
        <w:t>公开募集</w:t>
      </w:r>
      <w:r w:rsidRPr="0047638B">
        <w:rPr>
          <w:rFonts w:asciiTheme="minorEastAsia" w:eastAsiaTheme="minorEastAsia" w:hAnsiTheme="minorEastAsia"/>
          <w:szCs w:val="24"/>
        </w:rPr>
        <w:t>证券投资基金信息披露管理办法》（以下简称《信息披露办法》）、《证券投资基金信息披露内容与格式准则第5号&lt;《招募说明书》的内容与格式&gt;》</w:t>
      </w:r>
      <w:r w:rsidR="001D0102" w:rsidRPr="0047638B">
        <w:rPr>
          <w:rFonts w:asciiTheme="minorEastAsia" w:eastAsiaTheme="minorEastAsia" w:hAnsiTheme="minorEastAsia" w:hint="eastAsia"/>
        </w:rPr>
        <w:t>、《公开募集开放式证券投资基金流动性风险管理规定》（以下简称“《管理规定》”）</w:t>
      </w:r>
      <w:r w:rsidR="002D2486" w:rsidRPr="0047638B">
        <w:rPr>
          <w:rFonts w:asciiTheme="minorEastAsia" w:eastAsiaTheme="minorEastAsia" w:hAnsiTheme="minorEastAsia" w:hint="eastAsia"/>
        </w:rPr>
        <w:t>、《公开募集证券投资基金运作指引第3号——指数基金指引》（以下简称《指数基金指引》）</w:t>
      </w:r>
      <w:r w:rsidRPr="0047638B">
        <w:rPr>
          <w:rFonts w:asciiTheme="minorEastAsia" w:eastAsiaTheme="minorEastAsia" w:hAnsiTheme="minorEastAsia"/>
          <w:szCs w:val="24"/>
        </w:rPr>
        <w:t>等有关法律法规以及《易方达</w:t>
      </w:r>
      <w:r w:rsidR="00283BB8" w:rsidRPr="0047638B">
        <w:rPr>
          <w:rFonts w:asciiTheme="minorEastAsia" w:eastAsiaTheme="minorEastAsia" w:hAnsiTheme="minorEastAsia" w:hint="eastAsia"/>
          <w:szCs w:val="24"/>
        </w:rPr>
        <w:t>中证全指</w:t>
      </w:r>
      <w:r w:rsidRPr="0047638B">
        <w:rPr>
          <w:rFonts w:asciiTheme="minorEastAsia" w:eastAsiaTheme="minorEastAsia" w:hAnsiTheme="minorEastAsia"/>
          <w:szCs w:val="24"/>
        </w:rPr>
        <w:t>证券公司指数证券投资基金</w:t>
      </w:r>
      <w:r w:rsidR="00283BB8" w:rsidRPr="0047638B">
        <w:rPr>
          <w:rFonts w:asciiTheme="minorEastAsia" w:eastAsiaTheme="minorEastAsia" w:hAnsiTheme="minorEastAsia"/>
          <w:szCs w:val="24"/>
        </w:rPr>
        <w:t>（</w:t>
      </w:r>
      <w:r w:rsidR="00283BB8" w:rsidRPr="0047638B">
        <w:rPr>
          <w:rFonts w:asciiTheme="minorEastAsia" w:eastAsiaTheme="minorEastAsia" w:hAnsiTheme="minorEastAsia" w:hint="eastAsia"/>
          <w:szCs w:val="24"/>
        </w:rPr>
        <w:t>LOF</w:t>
      </w:r>
      <w:r w:rsidR="00283BB8" w:rsidRPr="0047638B">
        <w:rPr>
          <w:rFonts w:asciiTheme="minorEastAsia" w:eastAsiaTheme="minorEastAsia" w:hAnsiTheme="minorEastAsia"/>
          <w:szCs w:val="24"/>
        </w:rPr>
        <w:t>）</w:t>
      </w:r>
      <w:r w:rsidRPr="0047638B">
        <w:rPr>
          <w:rFonts w:asciiTheme="minorEastAsia" w:eastAsiaTheme="minorEastAsia" w:hAnsiTheme="minorEastAsia"/>
          <w:szCs w:val="24"/>
        </w:rPr>
        <w:t>基金合同》（以下简称《基金合同》）编写。</w:t>
      </w:r>
    </w:p>
    <w:p w14:paraId="26E027B7" w14:textId="2B85969C"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基金管理人承诺本《招募说明书》不存在任何虚假记载、误导性陈述或者重大遗漏,并对其真实性、准确性、完整性承担法律责任。</w:t>
      </w:r>
      <w:r w:rsidR="00283BB8" w:rsidRPr="0047638B">
        <w:rPr>
          <w:rFonts w:asciiTheme="minorEastAsia" w:eastAsiaTheme="minorEastAsia" w:hAnsiTheme="minorEastAsia" w:hint="eastAsia"/>
        </w:rPr>
        <w:t>本基金由易方达证券公司指数分级证券投资基金终止分级运作变更而来，易方达证券公司指数分级证券投资基金由基金管理人依照《基金法》、《</w:t>
      </w:r>
      <w:r w:rsidR="003F16AC" w:rsidRPr="0047638B">
        <w:rPr>
          <w:rFonts w:asciiTheme="minorEastAsia" w:eastAsiaTheme="minorEastAsia" w:hAnsiTheme="minorEastAsia" w:hint="eastAsia"/>
        </w:rPr>
        <w:t>易方达证券公司指数分级证券投资基金</w:t>
      </w:r>
      <w:r w:rsidR="00283BB8" w:rsidRPr="0047638B">
        <w:rPr>
          <w:rFonts w:asciiTheme="minorEastAsia" w:eastAsiaTheme="minorEastAsia" w:hAnsiTheme="minorEastAsia" w:hint="eastAsia"/>
        </w:rPr>
        <w:t>基金合同》及其他有关规定募集。</w:t>
      </w:r>
      <w:r w:rsidRPr="0047638B">
        <w:rPr>
          <w:rFonts w:asciiTheme="minorEastAsia" w:eastAsiaTheme="minorEastAsia" w:hAnsiTheme="minorEastAsia"/>
          <w:szCs w:val="24"/>
        </w:rPr>
        <w:t>本基金管理人没有委托或授权任何其他人提供未在本《招募说明书》中载明的信息，或对本《招募说明书》作任何解释或者说明。</w:t>
      </w:r>
    </w:p>
    <w:p w14:paraId="0060523A" w14:textId="3EEF9DB0" w:rsidR="00721818" w:rsidRPr="0047638B" w:rsidRDefault="00721818"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本《招募说明书》根据本基金的《基金合同》编写。《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47638B">
        <w:rPr>
          <w:rFonts w:asciiTheme="minorEastAsia" w:eastAsiaTheme="minorEastAsia" w:hAnsiTheme="minorEastAsia"/>
        </w:rPr>
        <w:br w:type="page"/>
      </w:r>
    </w:p>
    <w:p w14:paraId="0A3F3E22" w14:textId="77777777" w:rsidR="00E13C79" w:rsidRPr="0047638B" w:rsidRDefault="00721818" w:rsidP="00365038">
      <w:pPr>
        <w:pStyle w:val="11"/>
        <w:snapToGrid w:val="0"/>
        <w:spacing w:beforeLines="0" w:afterLines="0" w:line="360" w:lineRule="auto"/>
        <w:ind w:firstLine="600"/>
        <w:rPr>
          <w:rFonts w:asciiTheme="minorEastAsia" w:eastAsiaTheme="minorEastAsia" w:hAnsiTheme="minorEastAsia"/>
          <w:b w:val="0"/>
          <w:sz w:val="30"/>
        </w:rPr>
      </w:pPr>
      <w:bookmarkStart w:id="1" w:name="_Toc77779989"/>
      <w:r w:rsidRPr="0047638B">
        <w:rPr>
          <w:rFonts w:asciiTheme="minorEastAsia" w:eastAsiaTheme="minorEastAsia" w:hAnsiTheme="minorEastAsia"/>
          <w:b w:val="0"/>
          <w:sz w:val="30"/>
        </w:rPr>
        <w:lastRenderedPageBreak/>
        <w:t>二</w:t>
      </w:r>
      <w:r w:rsidR="00954084"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释义</w:t>
      </w:r>
      <w:bookmarkEnd w:id="1"/>
    </w:p>
    <w:p w14:paraId="17180485" w14:textId="77777777" w:rsidR="002F757C" w:rsidRPr="0047638B" w:rsidRDefault="00E13C79"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本《招募说明书》中，除非文意另有所指，下列词语</w:t>
      </w:r>
      <w:r w:rsidR="00283BB8" w:rsidRPr="0047638B">
        <w:rPr>
          <w:rFonts w:asciiTheme="minorEastAsia" w:eastAsiaTheme="minorEastAsia" w:hAnsiTheme="minorEastAsia" w:hint="eastAsia"/>
        </w:rPr>
        <w:t>或简称</w:t>
      </w:r>
      <w:r w:rsidRPr="0047638B">
        <w:rPr>
          <w:rFonts w:asciiTheme="minorEastAsia" w:eastAsiaTheme="minorEastAsia" w:hAnsiTheme="minorEastAsia"/>
        </w:rPr>
        <w:t>有如下含义：</w:t>
      </w:r>
    </w:p>
    <w:p w14:paraId="0F721EF0"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w:t>
      </w:r>
      <w:r w:rsidRPr="0047638B">
        <w:rPr>
          <w:rFonts w:asciiTheme="minorEastAsia" w:eastAsiaTheme="minorEastAsia" w:hAnsiTheme="minorEastAsia" w:hint="eastAsia"/>
        </w:rPr>
        <w:tab/>
        <w:t>基金或本基金：指易方达中证全指证券公司指数证券投资基金（LOF），由易方达证券公司指数分级证券投资基金终止分级运作并变更而来</w:t>
      </w:r>
    </w:p>
    <w:p w14:paraId="28198EA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w:t>
      </w:r>
      <w:r w:rsidRPr="0047638B">
        <w:rPr>
          <w:rFonts w:asciiTheme="minorEastAsia" w:eastAsiaTheme="minorEastAsia" w:hAnsiTheme="minorEastAsia" w:hint="eastAsia"/>
        </w:rPr>
        <w:tab/>
        <w:t>基金管理人：指易方达基金管理有限公司</w:t>
      </w:r>
    </w:p>
    <w:p w14:paraId="7781FEEB"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w:t>
      </w:r>
      <w:r w:rsidRPr="0047638B">
        <w:rPr>
          <w:rFonts w:asciiTheme="minorEastAsia" w:eastAsiaTheme="minorEastAsia" w:hAnsiTheme="minorEastAsia" w:hint="eastAsia"/>
        </w:rPr>
        <w:tab/>
        <w:t>基金托管人：指中国建设银行股份有限公司</w:t>
      </w:r>
    </w:p>
    <w:p w14:paraId="511D794D"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w:t>
      </w:r>
      <w:r w:rsidRPr="0047638B">
        <w:rPr>
          <w:rFonts w:asciiTheme="minorEastAsia" w:eastAsiaTheme="minorEastAsia" w:hAnsiTheme="minorEastAsia" w:hint="eastAsia"/>
        </w:rPr>
        <w:tab/>
        <w:t>《基金合同》或本《基金合同》：指《易方达中证全指证券公司指数证券投资基金（LOF）基金合同》及对本《基金合同》的任何有效修订和补充</w:t>
      </w:r>
    </w:p>
    <w:p w14:paraId="72C36998"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w:t>
      </w:r>
      <w:r w:rsidRPr="0047638B">
        <w:rPr>
          <w:rFonts w:asciiTheme="minorEastAsia" w:eastAsiaTheme="minorEastAsia" w:hAnsiTheme="minorEastAsia" w:hint="eastAsia"/>
        </w:rPr>
        <w:tab/>
        <w:t>《托管协议》：指基金管理人与基金托管人就本基金签订之《易方达中证全指证券公司指数证券投资基金（LOF）托管协议》及对该托管协议的任何有效修订和补充</w:t>
      </w:r>
    </w:p>
    <w:p w14:paraId="4DB6D84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w:t>
      </w:r>
      <w:r w:rsidRPr="0047638B">
        <w:rPr>
          <w:rFonts w:asciiTheme="minorEastAsia" w:eastAsiaTheme="minorEastAsia" w:hAnsiTheme="minorEastAsia" w:hint="eastAsia"/>
        </w:rPr>
        <w:tab/>
        <w:t>《招募说明书》：指《易方达中证全指证券公司指数证券投资基金（LOF）招募说明书》及其更新</w:t>
      </w:r>
    </w:p>
    <w:p w14:paraId="7A937FD7"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7.</w:t>
      </w:r>
      <w:r w:rsidRPr="0047638B">
        <w:rPr>
          <w:rFonts w:asciiTheme="minorEastAsia" w:eastAsiaTheme="minorEastAsia" w:hAnsiTheme="minorEastAsia" w:hint="eastAsia"/>
        </w:rPr>
        <w:tab/>
        <w:t>基金产品资料概要：指《易方达中证全指证券公司指数证券投资基金（LOF）基金产品资料概要》及其更新</w:t>
      </w:r>
    </w:p>
    <w:p w14:paraId="079C64D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8.</w:t>
      </w:r>
      <w:r w:rsidRPr="0047638B">
        <w:rPr>
          <w:rFonts w:asciiTheme="minorEastAsia" w:eastAsiaTheme="minorEastAsia" w:hAnsiTheme="minorEastAsia" w:hint="eastAsia"/>
        </w:rPr>
        <w:tab/>
        <w:t>法律法规：指中国现行有效并公布实施的法律、行政法规、规范性文件、司法解释、行政规章以及其他对《基金合同》当事人有约束力的决定、决议、通知等</w:t>
      </w:r>
    </w:p>
    <w:p w14:paraId="15D4C719"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9.</w:t>
      </w:r>
      <w:r w:rsidRPr="0047638B">
        <w:rPr>
          <w:rFonts w:asciiTheme="minorEastAsia" w:eastAsiaTheme="minorEastAsia" w:hAnsiTheme="minorEastAsia" w:hint="eastAsia"/>
        </w:rPr>
        <w:tab/>
        <w:t>《基金法》：指2012年12月28日经第十一届全国人民代表大会常务委员会第三十次会议通过，自2013年6月1日起实施的《中华人民共和国证券投资基金法》及颁布机关对其不时做出的修订</w:t>
      </w:r>
    </w:p>
    <w:p w14:paraId="1EE6D8C2"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10.</w:t>
      </w:r>
      <w:r w:rsidRPr="0047638B">
        <w:rPr>
          <w:rFonts w:asciiTheme="minorEastAsia" w:eastAsiaTheme="minorEastAsia" w:hAnsiTheme="minorEastAsia" w:hint="eastAsia"/>
        </w:rPr>
        <w:tab/>
        <w:t>《销售办法》：指中国证监会2020年8月28日颁布、同年10月1日实施的《公开募集证券投资基金销售机构监督管理办法》及颁布机关对其不时做出的修订</w:t>
      </w:r>
    </w:p>
    <w:p w14:paraId="191659AE"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11.</w:t>
      </w:r>
      <w:r w:rsidRPr="0047638B">
        <w:rPr>
          <w:rFonts w:asciiTheme="minorEastAsia" w:eastAsiaTheme="minorEastAsia" w:hAnsiTheme="minorEastAsia" w:hint="eastAsia"/>
        </w:rPr>
        <w:tab/>
        <w:t>《信息披露办法》：指中国证监会2019年7月26日颁布、同年9月1日实施的《公开募集证券投资基金信息披露管理办法》及颁布机关对其不时做出的修订</w:t>
      </w:r>
    </w:p>
    <w:p w14:paraId="097B1B77"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12.</w:t>
      </w:r>
      <w:r w:rsidRPr="0047638B">
        <w:rPr>
          <w:rFonts w:asciiTheme="minorEastAsia" w:eastAsiaTheme="minorEastAsia" w:hAnsiTheme="minorEastAsia" w:hint="eastAsia"/>
        </w:rPr>
        <w:tab/>
        <w:t>《运作办法》：指中国证监会2014年7月7日颁布、同年8月8日实施的《公开募集证券投资基金运作管理办法》及颁布机关对其不时做出的修订</w:t>
      </w:r>
    </w:p>
    <w:p w14:paraId="52D960FF"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13.</w:t>
      </w:r>
      <w:r w:rsidRPr="0047638B">
        <w:rPr>
          <w:rFonts w:asciiTheme="minorEastAsia" w:eastAsiaTheme="minorEastAsia" w:hAnsiTheme="minorEastAsia" w:hint="eastAsia"/>
        </w:rPr>
        <w:tab/>
        <w:t>《管理规定》：指中国证监会2017年8月31日颁布、同年10月1日实施的《公开募集开放式证券投资基金流动性风险管理规定》及颁布机关对其不时做出的修订</w:t>
      </w:r>
    </w:p>
    <w:p w14:paraId="786AFC63"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14.</w:t>
      </w:r>
      <w:r w:rsidRPr="0047638B">
        <w:rPr>
          <w:rFonts w:asciiTheme="minorEastAsia" w:eastAsiaTheme="minorEastAsia" w:hAnsiTheme="minorEastAsia" w:hint="eastAsia"/>
        </w:rPr>
        <w:tab/>
        <w:t>《指数基金指引》：指中国证监会2021年1月22日颁布、同年2月1日实施的《公开募集证券投资基金运作指引第3号——指数基金指引》及颁布机关对其不时做出的修订</w:t>
      </w:r>
    </w:p>
    <w:p w14:paraId="3B61556E"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15.</w:t>
      </w:r>
      <w:r w:rsidRPr="0047638B">
        <w:rPr>
          <w:rFonts w:asciiTheme="minorEastAsia" w:eastAsiaTheme="minorEastAsia" w:hAnsiTheme="minorEastAsia" w:hint="eastAsia"/>
        </w:rPr>
        <w:tab/>
        <w:t>中国证监会：指中国证券监督管理委员会</w:t>
      </w:r>
    </w:p>
    <w:p w14:paraId="2017335B"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16.</w:t>
      </w:r>
      <w:r w:rsidRPr="0047638B">
        <w:rPr>
          <w:rFonts w:asciiTheme="minorEastAsia" w:eastAsiaTheme="minorEastAsia" w:hAnsiTheme="minorEastAsia" w:hint="eastAsia"/>
        </w:rPr>
        <w:tab/>
        <w:t>银行业监督管理机构：指中国人民银行和/或中国银行保险监督管理委员会</w:t>
      </w:r>
    </w:p>
    <w:p w14:paraId="3519EE18"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17.</w:t>
      </w:r>
      <w:r w:rsidRPr="0047638B">
        <w:rPr>
          <w:rFonts w:asciiTheme="minorEastAsia" w:eastAsiaTheme="minorEastAsia" w:hAnsiTheme="minorEastAsia" w:hint="eastAsia"/>
        </w:rPr>
        <w:tab/>
        <w:t>《基金合同》当事人：指受《基金合同》约束，根据《基金合同》享有权利并承担义务的法律主体，包括基金管理人、基金托管人和基金份额持有人</w:t>
      </w:r>
    </w:p>
    <w:p w14:paraId="3ECFE5DC"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lastRenderedPageBreak/>
        <w:t>18.</w:t>
      </w:r>
      <w:r w:rsidRPr="0047638B">
        <w:rPr>
          <w:rFonts w:asciiTheme="minorEastAsia" w:eastAsiaTheme="minorEastAsia" w:hAnsiTheme="minorEastAsia" w:hint="eastAsia"/>
        </w:rPr>
        <w:tab/>
        <w:t>个人投资者：指依据有关法律法规规定可投资于证券投资基金的自然人</w:t>
      </w:r>
    </w:p>
    <w:p w14:paraId="48B20C47"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19.</w:t>
      </w:r>
      <w:r w:rsidRPr="0047638B">
        <w:rPr>
          <w:rFonts w:asciiTheme="minorEastAsia" w:eastAsiaTheme="minorEastAsia" w:hAnsiTheme="minorEastAsia" w:hint="eastAsia"/>
        </w:rPr>
        <w:tab/>
        <w:t>机构投资者：指依法可以投资证券投资基金的、在中华人民共和国境内合法登记并存续或经有关政府部门批准设立并存续的企业法人、事业法人、社会团体或其他组织</w:t>
      </w:r>
    </w:p>
    <w:p w14:paraId="718DD416"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20.</w:t>
      </w:r>
      <w:r w:rsidRPr="0047638B">
        <w:rPr>
          <w:rFonts w:asciiTheme="minorEastAsia" w:eastAsiaTheme="minorEastAsia" w:hAnsiTheme="minorEastAsia" w:hint="eastAsia"/>
        </w:rPr>
        <w:tab/>
        <w:t>合格境外机构投资者：指符合相关法律法规规定可以投资于在中国境内依法募集的证券投资基金的中国境外的机构投资者</w:t>
      </w:r>
    </w:p>
    <w:p w14:paraId="690E3717"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21.</w:t>
      </w:r>
      <w:r w:rsidRPr="0047638B">
        <w:rPr>
          <w:rFonts w:asciiTheme="minorEastAsia" w:eastAsiaTheme="minorEastAsia" w:hAnsiTheme="minorEastAsia" w:hint="eastAsia"/>
        </w:rPr>
        <w:tab/>
        <w:t>投资者：指个人投资者、机构投资者和合格境外机构投资者以及法律法规或中国证监会允许购买证券投资基金的其他投资者的合称</w:t>
      </w:r>
    </w:p>
    <w:p w14:paraId="61646B29"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22.</w:t>
      </w:r>
      <w:r w:rsidRPr="0047638B">
        <w:rPr>
          <w:rFonts w:asciiTheme="minorEastAsia" w:eastAsiaTheme="minorEastAsia" w:hAnsiTheme="minorEastAsia" w:hint="eastAsia"/>
        </w:rPr>
        <w:tab/>
        <w:t>基金份额持有人：指依《基金合同》和《招募说明书》合法取得本基金基金份额的投资者</w:t>
      </w:r>
    </w:p>
    <w:p w14:paraId="646FDCC2"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23.</w:t>
      </w:r>
      <w:r w:rsidRPr="0047638B">
        <w:rPr>
          <w:rFonts w:asciiTheme="minorEastAsia" w:eastAsiaTheme="minorEastAsia" w:hAnsiTheme="minorEastAsia" w:hint="eastAsia"/>
        </w:rPr>
        <w:tab/>
        <w:t>基金销售业务：指基金管理人或销售机构宣传推介基金，办理基金份额的申购、赎回、转换、转托管及定期定额投资等业务</w:t>
      </w:r>
    </w:p>
    <w:p w14:paraId="3274E8A7"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24.</w:t>
      </w:r>
      <w:r w:rsidRPr="0047638B">
        <w:rPr>
          <w:rFonts w:asciiTheme="minorEastAsia" w:eastAsiaTheme="minorEastAsia" w:hAnsiTheme="minorEastAsia" w:hint="eastAsia"/>
        </w:rPr>
        <w:tab/>
        <w:t>销售机构：指直销机构和非直销销售机构</w:t>
      </w:r>
    </w:p>
    <w:p w14:paraId="4A0E10E7"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25.</w:t>
      </w:r>
      <w:r w:rsidRPr="0047638B">
        <w:rPr>
          <w:rFonts w:asciiTheme="minorEastAsia" w:eastAsiaTheme="minorEastAsia" w:hAnsiTheme="minorEastAsia" w:hint="eastAsia"/>
        </w:rPr>
        <w:tab/>
        <w:t>直销机构：指易方达基金管理有限公司</w:t>
      </w:r>
    </w:p>
    <w:p w14:paraId="18AB5DA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26.</w:t>
      </w:r>
      <w:r w:rsidRPr="0047638B">
        <w:rPr>
          <w:rFonts w:asciiTheme="minorEastAsia" w:eastAsiaTheme="minorEastAsia" w:hAnsiTheme="minorEastAsia" w:hint="eastAsia"/>
        </w:rPr>
        <w:tab/>
        <w:t>非直销销售机构：指符合《销售办法》和中国证监会规定的其他条件，取得基金销售业务资格并与基金管理人签订了基金销售服务协议，办理基金销售业务的机构</w:t>
      </w:r>
    </w:p>
    <w:p w14:paraId="0134096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27.</w:t>
      </w:r>
      <w:r w:rsidRPr="0047638B">
        <w:rPr>
          <w:rFonts w:asciiTheme="minorEastAsia" w:eastAsiaTheme="minorEastAsia" w:hAnsiTheme="minorEastAsia" w:hint="eastAsia"/>
        </w:rPr>
        <w:tab/>
        <w:t>基金销售网点：指销售机构的销售网点</w:t>
      </w:r>
    </w:p>
    <w:p w14:paraId="4458E645"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28.</w:t>
      </w:r>
      <w:r w:rsidRPr="0047638B">
        <w:rPr>
          <w:rFonts w:asciiTheme="minorEastAsia" w:eastAsiaTheme="minorEastAsia" w:hAnsiTheme="minorEastAsia" w:hint="eastAsia"/>
        </w:rPr>
        <w:tab/>
        <w:t>元：指人民币元</w:t>
      </w:r>
    </w:p>
    <w:p w14:paraId="2186AD9A"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29.</w:t>
      </w:r>
      <w:r w:rsidRPr="0047638B">
        <w:rPr>
          <w:rFonts w:asciiTheme="minorEastAsia" w:eastAsiaTheme="minorEastAsia" w:hAnsiTheme="minorEastAsia" w:hint="eastAsia"/>
        </w:rPr>
        <w:tab/>
        <w:t>登记结算业务：指基金登记、存管、过户、清算和结算业务，具体内容包括投资者基金账户的建立和管理、基金份额登记、基金销售业务的确认、清算和结算、代理发放红利、建立并保管基金份额持有人名册和办理非交易过户等</w:t>
      </w:r>
    </w:p>
    <w:p w14:paraId="46BEA54B"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30.</w:t>
      </w:r>
      <w:r w:rsidRPr="0047638B">
        <w:rPr>
          <w:rFonts w:asciiTheme="minorEastAsia" w:eastAsiaTheme="minorEastAsia" w:hAnsiTheme="minorEastAsia" w:hint="eastAsia"/>
        </w:rPr>
        <w:tab/>
        <w:t>登记结算机构：指办理登记结算业务的机构。本基金A类基金份额的登记结算机构为中国证券登记结算有限责任公司（以下简称：中国结算公司），C类基金份额的登记结算机构为易方达基金管理有限公司</w:t>
      </w:r>
    </w:p>
    <w:p w14:paraId="1AD7F881"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31.</w:t>
      </w:r>
      <w:r w:rsidRPr="0047638B">
        <w:rPr>
          <w:rFonts w:asciiTheme="minorEastAsia" w:eastAsiaTheme="minorEastAsia" w:hAnsiTheme="minorEastAsia" w:hint="eastAsia"/>
        </w:rPr>
        <w:tab/>
        <w:t>登记结算系统：指中国证券登记结算有限责任公司开放式基金登记结算系统</w:t>
      </w:r>
    </w:p>
    <w:p w14:paraId="6A652090"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32.</w:t>
      </w:r>
      <w:r w:rsidRPr="0047638B">
        <w:rPr>
          <w:rFonts w:asciiTheme="minorEastAsia" w:eastAsiaTheme="minorEastAsia" w:hAnsiTheme="minorEastAsia" w:hint="eastAsia"/>
        </w:rPr>
        <w:tab/>
        <w:t>证券登记系统：指中国证券登记结算有限责任公司上海分公司证券登记系统</w:t>
      </w:r>
    </w:p>
    <w:p w14:paraId="449F1AE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33.</w:t>
      </w:r>
      <w:r w:rsidRPr="0047638B">
        <w:rPr>
          <w:rFonts w:asciiTheme="minorEastAsia" w:eastAsiaTheme="minorEastAsia" w:hAnsiTheme="minorEastAsia" w:hint="eastAsia"/>
        </w:rPr>
        <w:tab/>
        <w:t>开放式基金账户或基金账户：指登记结算机构为投资者开立的、记录其持有的、基金管理人所管理的场外份额余额及其变动情况的账户，其中场外A类基金份额记录在中国结算公司开立的开放式基金账户并登记在中国证券登记结算有限责任公司的登记结算系统，场内A类人民币份额记录在基金份额持有人上海证券账户并登记在中国结算上海分公司证券登记结算系统，C类基金份额记录在易方达基金管理有限公司开立的基金账户并登记在易方达基金管理有限公司的注册登记系统</w:t>
      </w:r>
    </w:p>
    <w:p w14:paraId="26D769DB"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34.</w:t>
      </w:r>
      <w:r w:rsidRPr="0047638B">
        <w:rPr>
          <w:rFonts w:asciiTheme="minorEastAsia" w:eastAsiaTheme="minorEastAsia" w:hAnsiTheme="minorEastAsia" w:hint="eastAsia"/>
        </w:rPr>
        <w:tab/>
        <w:t>上海证券账户：指在中国证券登记结算有限责任公司上海分公司开设的上海证券交易所人民币普通股票账户（即A股账户）或证券投资基金账户</w:t>
      </w:r>
    </w:p>
    <w:p w14:paraId="3104C5E9"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35.</w:t>
      </w:r>
      <w:r w:rsidRPr="0047638B">
        <w:rPr>
          <w:rFonts w:asciiTheme="minorEastAsia" w:eastAsiaTheme="minorEastAsia" w:hAnsiTheme="minorEastAsia" w:hint="eastAsia"/>
        </w:rPr>
        <w:tab/>
        <w:t>基金交易账户：指销售机构为投资者开立的、记录投资者通过该销售机构买卖基金、</w:t>
      </w:r>
      <w:r w:rsidRPr="0047638B">
        <w:rPr>
          <w:rFonts w:asciiTheme="minorEastAsia" w:eastAsiaTheme="minorEastAsia" w:hAnsiTheme="minorEastAsia" w:hint="eastAsia"/>
        </w:rPr>
        <w:lastRenderedPageBreak/>
        <w:t>办理申购、赎回、转换、转托管、定期定额投资等业务而引起的基金份额变动及结余情况的账户</w:t>
      </w:r>
    </w:p>
    <w:p w14:paraId="1F293CD6"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36.</w:t>
      </w:r>
      <w:r w:rsidRPr="0047638B">
        <w:rPr>
          <w:rFonts w:asciiTheme="minorEastAsia" w:eastAsiaTheme="minorEastAsia" w:hAnsiTheme="minorEastAsia" w:hint="eastAsia"/>
        </w:rPr>
        <w:tab/>
        <w:t>《基金合同》生效日：指《易方达中证全指证券公司指数证券投资基金（LOF）基金合同》生效日，《易方达证券公司指数分级证券投资基金基金合同》自同一日失效</w:t>
      </w:r>
    </w:p>
    <w:p w14:paraId="0C0F9245"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37.</w:t>
      </w:r>
      <w:r w:rsidRPr="0047638B">
        <w:rPr>
          <w:rFonts w:asciiTheme="minorEastAsia" w:eastAsiaTheme="minorEastAsia" w:hAnsiTheme="minorEastAsia" w:hint="eastAsia"/>
        </w:rPr>
        <w:tab/>
        <w:t>《基金合同》终止日：指《基金合同》规定的《基金合同》终止事由出现后，基金财产清算完毕，清算结果报中国证监会备案并予以公告的日期</w:t>
      </w:r>
    </w:p>
    <w:p w14:paraId="4C6B213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38.</w:t>
      </w:r>
      <w:r w:rsidRPr="0047638B">
        <w:rPr>
          <w:rFonts w:asciiTheme="minorEastAsia" w:eastAsiaTheme="minorEastAsia" w:hAnsiTheme="minorEastAsia" w:hint="eastAsia"/>
        </w:rPr>
        <w:tab/>
        <w:t>存续期：指《基金合同》生效至终止之间的不定期期限</w:t>
      </w:r>
    </w:p>
    <w:p w14:paraId="44E5B450"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39.</w:t>
      </w:r>
      <w:r w:rsidRPr="0047638B">
        <w:rPr>
          <w:rFonts w:asciiTheme="minorEastAsia" w:eastAsiaTheme="minorEastAsia" w:hAnsiTheme="minorEastAsia" w:hint="eastAsia"/>
        </w:rPr>
        <w:tab/>
        <w:t>工作日：指上海证券交易所、深圳证券交易所的正常交易日</w:t>
      </w:r>
    </w:p>
    <w:p w14:paraId="3B433489"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40.</w:t>
      </w:r>
      <w:r w:rsidRPr="0047638B">
        <w:rPr>
          <w:rFonts w:asciiTheme="minorEastAsia" w:eastAsiaTheme="minorEastAsia" w:hAnsiTheme="minorEastAsia" w:hint="eastAsia"/>
        </w:rPr>
        <w:tab/>
        <w:t>T日：指销售机构在规定时间受理投资者申购、赎回或其他业务申请的开放日</w:t>
      </w:r>
    </w:p>
    <w:p w14:paraId="1C432C96"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41.</w:t>
      </w:r>
      <w:r w:rsidRPr="0047638B">
        <w:rPr>
          <w:rFonts w:asciiTheme="minorEastAsia" w:eastAsiaTheme="minorEastAsia" w:hAnsiTheme="minorEastAsia" w:hint="eastAsia"/>
        </w:rPr>
        <w:tab/>
        <w:t>T+n日：指自T日起第n个工作日(不包含T日)，n为自然数</w:t>
      </w:r>
    </w:p>
    <w:p w14:paraId="58122E8A"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42.</w:t>
      </w:r>
      <w:r w:rsidRPr="0047638B">
        <w:rPr>
          <w:rFonts w:asciiTheme="minorEastAsia" w:eastAsiaTheme="minorEastAsia" w:hAnsiTheme="minorEastAsia" w:hint="eastAsia"/>
        </w:rPr>
        <w:tab/>
        <w:t>开放日：指为投资者办理基金份额申购、赎回或其他业务的工作日</w:t>
      </w:r>
    </w:p>
    <w:p w14:paraId="4C9038E0"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43.</w:t>
      </w:r>
      <w:r w:rsidRPr="0047638B">
        <w:rPr>
          <w:rFonts w:asciiTheme="minorEastAsia" w:eastAsiaTheme="minorEastAsia" w:hAnsiTheme="minorEastAsia" w:hint="eastAsia"/>
        </w:rPr>
        <w:tab/>
        <w:t>开放时间：指开放日基金接受申购、赎回或其他交易的时间段</w:t>
      </w:r>
    </w:p>
    <w:p w14:paraId="53E2D3EC"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44.</w:t>
      </w:r>
      <w:r w:rsidRPr="0047638B">
        <w:rPr>
          <w:rFonts w:asciiTheme="minorEastAsia" w:eastAsiaTheme="minorEastAsia" w:hAnsiTheme="minorEastAsia" w:hint="eastAsia"/>
        </w:rPr>
        <w:tab/>
        <w:t>《业务规则》：指上海证券交易所、登记结算机构、基金管理人及基金销售机构的相关业务规则，由基金管理人和投资者共同遵守</w:t>
      </w:r>
    </w:p>
    <w:p w14:paraId="3FE8E9D0"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45.</w:t>
      </w:r>
      <w:r w:rsidRPr="0047638B">
        <w:rPr>
          <w:rFonts w:asciiTheme="minorEastAsia" w:eastAsiaTheme="minorEastAsia" w:hAnsiTheme="minorEastAsia" w:hint="eastAsia"/>
        </w:rPr>
        <w:tab/>
        <w:t>场内：通过具有相应业务资格的上海证券交易所会员单位利用上海证券交易所交易系统办理本基金基金份额的申购、赎回和上市交易等业务的场所。通过该等场所办理基金份额的申购、赎回分别称为场内申购、场内赎回</w:t>
      </w:r>
    </w:p>
    <w:p w14:paraId="655EABAC"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46.</w:t>
      </w:r>
      <w:r w:rsidRPr="0047638B">
        <w:rPr>
          <w:rFonts w:asciiTheme="minorEastAsia" w:eastAsiaTheme="minorEastAsia" w:hAnsiTheme="minorEastAsia" w:hint="eastAsia"/>
        </w:rPr>
        <w:tab/>
        <w:t>场外：指上海证券交易所交易系统外的销售机构利用其自身柜台或者其他交易系统办理本基金基金份额申购和赎回业务的基金销售机构和场所。通过该等场所办理基金份额的申购和赎回分别称为场外申购和场外赎回</w:t>
      </w:r>
    </w:p>
    <w:p w14:paraId="7BECE0E3"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47.</w:t>
      </w:r>
      <w:r w:rsidRPr="0047638B">
        <w:rPr>
          <w:rFonts w:asciiTheme="minorEastAsia" w:eastAsiaTheme="minorEastAsia" w:hAnsiTheme="minorEastAsia" w:hint="eastAsia"/>
        </w:rPr>
        <w:tab/>
        <w:t>场内份额：指登记在证券登记系统下的A类基金份额</w:t>
      </w:r>
    </w:p>
    <w:p w14:paraId="497C6AE3"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48.</w:t>
      </w:r>
      <w:r w:rsidRPr="0047638B">
        <w:rPr>
          <w:rFonts w:asciiTheme="minorEastAsia" w:eastAsiaTheme="minorEastAsia" w:hAnsiTheme="minorEastAsia" w:hint="eastAsia"/>
        </w:rPr>
        <w:tab/>
        <w:t>场外份额：指登记在登记结算系统下的A类基金份额和登记在易方达基金管理有限公司注册登记系统下的C类基金份额</w:t>
      </w:r>
    </w:p>
    <w:p w14:paraId="451D5B35"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49.</w:t>
      </w:r>
      <w:r w:rsidRPr="0047638B">
        <w:rPr>
          <w:rFonts w:asciiTheme="minorEastAsia" w:eastAsiaTheme="minorEastAsia" w:hAnsiTheme="minorEastAsia" w:hint="eastAsia"/>
        </w:rPr>
        <w:tab/>
        <w:t>申购：指《基金合同》生效后，投资者根据《基金合同》和《招募说明书》的规定申请购买基金份额的行为</w:t>
      </w:r>
    </w:p>
    <w:p w14:paraId="1240EACE"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50.</w:t>
      </w:r>
      <w:r w:rsidRPr="0047638B">
        <w:rPr>
          <w:rFonts w:asciiTheme="minorEastAsia" w:eastAsiaTheme="minorEastAsia" w:hAnsiTheme="minorEastAsia" w:hint="eastAsia"/>
        </w:rPr>
        <w:tab/>
        <w:t>赎回：指《基金合同》生效后，基金份额持有人按《基金合同》和《招募说明书》规定的条件要求将基金份额兑换为现金的行为</w:t>
      </w:r>
    </w:p>
    <w:p w14:paraId="5F7C9F8D"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51.</w:t>
      </w:r>
      <w:r w:rsidRPr="0047638B">
        <w:rPr>
          <w:rFonts w:asciiTheme="minorEastAsia" w:eastAsiaTheme="minorEastAsia" w:hAnsiTheme="minorEastAsia" w:hint="eastAsia"/>
        </w:rPr>
        <w:tab/>
        <w:t xml:space="preserve">巨额赎回：指本基金单个开放日内的基金份额净赎回申请(赎回申请份额总数加上基金转换中转出申请份额总数后扣除申购申请份额总数及基金转换中转入申请份额总数后的余额)超过上一开放日基金总份额的10% </w:t>
      </w:r>
    </w:p>
    <w:p w14:paraId="4B01BF56"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52.</w:t>
      </w:r>
      <w:r w:rsidRPr="0047638B">
        <w:rPr>
          <w:rFonts w:asciiTheme="minorEastAsia" w:eastAsiaTheme="minorEastAsia" w:hAnsiTheme="minorEastAsia" w:hint="eastAsia"/>
        </w:rPr>
        <w:tab/>
        <w:t>上市交易：指《基金合同》生效后，投资者通过证券交易所会员单位以集中竞价的方式买卖基金份额的行为</w:t>
      </w:r>
    </w:p>
    <w:p w14:paraId="1D161B4A"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53.</w:t>
      </w:r>
      <w:r w:rsidRPr="0047638B">
        <w:rPr>
          <w:rFonts w:asciiTheme="minorEastAsia" w:eastAsiaTheme="minorEastAsia" w:hAnsiTheme="minorEastAsia" w:hint="eastAsia"/>
        </w:rPr>
        <w:tab/>
        <w:t>基金转换：指基金份额持有人按照《基金合同》和基金管理人届时有效公告规定的条件，申请将其持有基金管理人管理的、某一基金的基金份额转换为基金管理人管理的其他</w:t>
      </w:r>
      <w:r w:rsidRPr="0047638B">
        <w:rPr>
          <w:rFonts w:asciiTheme="minorEastAsia" w:eastAsiaTheme="minorEastAsia" w:hAnsiTheme="minorEastAsia" w:hint="eastAsia"/>
        </w:rPr>
        <w:lastRenderedPageBreak/>
        <w:t>基金基金份额的行为</w:t>
      </w:r>
    </w:p>
    <w:p w14:paraId="74219F93"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54.</w:t>
      </w:r>
      <w:r w:rsidRPr="0047638B">
        <w:rPr>
          <w:rFonts w:asciiTheme="minorEastAsia" w:eastAsiaTheme="minorEastAsia" w:hAnsiTheme="minorEastAsia" w:hint="eastAsia"/>
        </w:rPr>
        <w:tab/>
        <w:t>转托管：指基金份额持有人在本基金的不同销售机构之间实施的变更所持基金份额销售机构的操作。A类基金份额转托管包括系统内转托管和跨系统转托管</w:t>
      </w:r>
    </w:p>
    <w:p w14:paraId="48F3C55C"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55.</w:t>
      </w:r>
      <w:r w:rsidRPr="0047638B">
        <w:rPr>
          <w:rFonts w:asciiTheme="minorEastAsia" w:eastAsiaTheme="minorEastAsia" w:hAnsiTheme="minorEastAsia" w:hint="eastAsia"/>
        </w:rPr>
        <w:tab/>
        <w:t>系统内转托管：基金份额持有人将持有的A类基金份额在登记结算系统内不同销售机构（网点）之间进行转托管或证券登记系统内不同会员单位（交易单元）之间进行转指定的行为，以及基金份额持有人将持有的C类基金份额在易方达基金管理有限公司注册登记系统内不同销售机构之间进行转托管的行为</w:t>
      </w:r>
    </w:p>
    <w:p w14:paraId="4AE7371C"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56.</w:t>
      </w:r>
      <w:r w:rsidRPr="0047638B">
        <w:rPr>
          <w:rFonts w:asciiTheme="minorEastAsia" w:eastAsiaTheme="minorEastAsia" w:hAnsiTheme="minorEastAsia" w:hint="eastAsia"/>
        </w:rPr>
        <w:tab/>
        <w:t>跨系统转托管：基金份额持有人将持有的A类基金份额在登记结算系统和证券登记系统间进行转托管的行为</w:t>
      </w:r>
    </w:p>
    <w:p w14:paraId="2339FB19"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57.</w:t>
      </w:r>
      <w:r w:rsidRPr="0047638B">
        <w:rPr>
          <w:rFonts w:asciiTheme="minorEastAsia" w:eastAsiaTheme="minorEastAsia" w:hAnsiTheme="minorEastAsia" w:hint="eastAsia"/>
        </w:rPr>
        <w:tab/>
        <w:t>定期定额投资计划：指投资者通过有关销售机构提出申请，约定每期申购日、扣款金额及扣款方式，由销售机构于每期约定扣款日在投资者指定银行账户内自动完成扣款及受理基金申购申请的一种投资方式</w:t>
      </w:r>
    </w:p>
    <w:p w14:paraId="0262C454"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58.</w:t>
      </w:r>
      <w:r w:rsidRPr="0047638B">
        <w:rPr>
          <w:rFonts w:asciiTheme="minorEastAsia" w:eastAsiaTheme="minorEastAsia" w:hAnsiTheme="minorEastAsia" w:hint="eastAsia"/>
        </w:rPr>
        <w:tab/>
        <w:t>标的指数：中证全指证券公司指数</w:t>
      </w:r>
    </w:p>
    <w:p w14:paraId="2212809E"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59.</w:t>
      </w:r>
      <w:r w:rsidRPr="0047638B">
        <w:rPr>
          <w:rFonts w:asciiTheme="minorEastAsia" w:eastAsiaTheme="minorEastAsia" w:hAnsiTheme="minorEastAsia" w:hint="eastAsia"/>
        </w:rPr>
        <w:tab/>
        <w:t>基金收益：指基金投资所得红利、股息、债券利息、买卖证券价差、银行存款利息、已实现的其他合法收入及因运用基金财产带来的成本和费用的节约</w:t>
      </w:r>
    </w:p>
    <w:p w14:paraId="3ADCE66C"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60.</w:t>
      </w:r>
      <w:r w:rsidRPr="0047638B">
        <w:rPr>
          <w:rFonts w:asciiTheme="minorEastAsia" w:eastAsiaTheme="minorEastAsia" w:hAnsiTheme="minorEastAsia" w:hint="eastAsia"/>
        </w:rPr>
        <w:tab/>
        <w:t>基金资产总值：指基金拥有的各类有价证券、银行存款本息、基金应收申购款及其他资产的价值总和</w:t>
      </w:r>
    </w:p>
    <w:p w14:paraId="4780907B"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61.</w:t>
      </w:r>
      <w:r w:rsidRPr="0047638B">
        <w:rPr>
          <w:rFonts w:asciiTheme="minorEastAsia" w:eastAsiaTheme="minorEastAsia" w:hAnsiTheme="minorEastAsia" w:hint="eastAsia"/>
        </w:rPr>
        <w:tab/>
        <w:t>基金资产净值：指基金资产总值减去基金负债后的价值</w:t>
      </w:r>
    </w:p>
    <w:p w14:paraId="2A3390F5"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62.</w:t>
      </w:r>
      <w:r w:rsidRPr="0047638B">
        <w:rPr>
          <w:rFonts w:asciiTheme="minorEastAsia" w:eastAsiaTheme="minorEastAsia" w:hAnsiTheme="minorEastAsia" w:hint="eastAsia"/>
        </w:rPr>
        <w:tab/>
        <w:t>基金份额净值：指计算日基金资产净值除以计算日基金份额总数所得的单位基金份额的价值</w:t>
      </w:r>
    </w:p>
    <w:p w14:paraId="174CCB6B"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63.</w:t>
      </w:r>
      <w:r w:rsidRPr="0047638B">
        <w:rPr>
          <w:rFonts w:asciiTheme="minorEastAsia" w:eastAsiaTheme="minorEastAsia" w:hAnsiTheme="minorEastAsia" w:hint="eastAsia"/>
        </w:rPr>
        <w:tab/>
        <w:t>基金资产估值：指计算评估基金资产和负债的价值，以确定基金资产净值和基金份额净值的过程</w:t>
      </w:r>
    </w:p>
    <w:p w14:paraId="78247520" w14:textId="77777777"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64.</w:t>
      </w:r>
      <w:r w:rsidRPr="0047638B">
        <w:rPr>
          <w:rFonts w:asciiTheme="minorEastAsia" w:eastAsiaTheme="minorEastAsia" w:hAnsiTheme="minorEastAsia" w:hint="eastAsia"/>
        </w:rPr>
        <w:tab/>
        <w:t>规定媒介：指符合中国证监会规定条件的全国性报刊（以下简称规定报刊）及《信息披露办法》规定的互联网网站（以下简称规定网站，包括基金管理人网站、基金托管人网站、中国证监会基金电子披露网站）等媒介</w:t>
      </w:r>
    </w:p>
    <w:p w14:paraId="29AE41BD" w14:textId="3DC16B18" w:rsidR="002F757C"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65.</w:t>
      </w:r>
      <w:r w:rsidRPr="0047638B">
        <w:rPr>
          <w:rFonts w:asciiTheme="minorEastAsia" w:eastAsiaTheme="minorEastAsia" w:hAnsiTheme="minorEastAsia" w:hint="eastAsia"/>
        </w:rPr>
        <w:tab/>
        <w:t>不可抗力：指《基金合同》当事人不能预见、不能避免且不能克服的客观事件。</w:t>
      </w:r>
    </w:p>
    <w:p w14:paraId="6C0628CC" w14:textId="7C3E4991" w:rsidR="00834184" w:rsidRPr="0047638B" w:rsidRDefault="002F757C" w:rsidP="002F757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66.</w:t>
      </w:r>
      <w:r w:rsidRPr="0047638B">
        <w:rPr>
          <w:rFonts w:asciiTheme="minorEastAsia" w:eastAsiaTheme="minorEastAsia" w:hAnsiTheme="minorEastAsia" w:hint="eastAsia"/>
        </w:rPr>
        <w:tab/>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14:paraId="4358106C" w14:textId="77777777" w:rsidR="00E13C79" w:rsidRPr="0047638B" w:rsidRDefault="00CE69CE" w:rsidP="00680735">
      <w:pPr>
        <w:pStyle w:val="11"/>
        <w:snapToGrid w:val="0"/>
        <w:spacing w:beforeLines="0" w:afterLines="0" w:line="360" w:lineRule="auto"/>
        <w:ind w:firstLine="600"/>
        <w:rPr>
          <w:rFonts w:asciiTheme="minorEastAsia" w:eastAsiaTheme="minorEastAsia" w:hAnsiTheme="minorEastAsia"/>
        </w:rPr>
      </w:pPr>
      <w:bookmarkStart w:id="2" w:name="_Toc77779990"/>
      <w:r w:rsidRPr="0047638B">
        <w:rPr>
          <w:rFonts w:asciiTheme="minorEastAsia" w:eastAsiaTheme="minorEastAsia" w:hAnsiTheme="minorEastAsia"/>
          <w:b w:val="0"/>
          <w:sz w:val="30"/>
        </w:rPr>
        <w:lastRenderedPageBreak/>
        <w:t>三</w:t>
      </w:r>
      <w:r w:rsidR="009D5497"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基金管理人</w:t>
      </w:r>
      <w:bookmarkEnd w:id="2"/>
    </w:p>
    <w:p w14:paraId="247AD1E2"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一</w:t>
      </w:r>
      <w:r w:rsidRPr="0047638B">
        <w:rPr>
          <w:rFonts w:asciiTheme="minorEastAsia" w:eastAsiaTheme="minorEastAsia" w:hAnsiTheme="minorEastAsia"/>
        </w:rPr>
        <w:t>）</w:t>
      </w:r>
      <w:r w:rsidR="00E13C79" w:rsidRPr="0047638B">
        <w:rPr>
          <w:rFonts w:asciiTheme="minorEastAsia" w:eastAsiaTheme="minorEastAsia" w:hAnsiTheme="minorEastAsia"/>
        </w:rPr>
        <w:t>基金管理人基本情况</w:t>
      </w:r>
    </w:p>
    <w:p w14:paraId="16D28BFE" w14:textId="77777777" w:rsidR="00E13C79" w:rsidRPr="0047638B" w:rsidRDefault="00B826F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E13C79" w:rsidRPr="0047638B">
        <w:rPr>
          <w:rFonts w:asciiTheme="minorEastAsia" w:eastAsiaTheme="minorEastAsia" w:hAnsiTheme="minorEastAsia"/>
          <w:szCs w:val="24"/>
        </w:rPr>
        <w:t>基本情况</w:t>
      </w:r>
    </w:p>
    <w:p w14:paraId="26514E4A"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公司名称：</w:t>
      </w:r>
      <w:r w:rsidR="00721818" w:rsidRPr="0047638B">
        <w:rPr>
          <w:rFonts w:asciiTheme="minorEastAsia" w:eastAsiaTheme="minorEastAsia" w:hAnsiTheme="minorEastAsia"/>
          <w:szCs w:val="24"/>
        </w:rPr>
        <w:t>易方达基金管理有限公司</w:t>
      </w:r>
    </w:p>
    <w:p w14:paraId="18353D82"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注册地址：</w:t>
      </w:r>
      <w:r w:rsidR="002F4B14" w:rsidRPr="0047638B">
        <w:rPr>
          <w:rFonts w:asciiTheme="minorEastAsia" w:eastAsiaTheme="minorEastAsia" w:hAnsiTheme="minorEastAsia" w:hint="eastAsia"/>
          <w:szCs w:val="24"/>
        </w:rPr>
        <w:t>广东省珠海市横琴新区宝华路6号105室－42891（集中办公区）</w:t>
      </w:r>
    </w:p>
    <w:p w14:paraId="4D8568C9"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办公地址：</w:t>
      </w:r>
      <w:r w:rsidR="00721818" w:rsidRPr="0047638B">
        <w:rPr>
          <w:rFonts w:asciiTheme="minorEastAsia" w:eastAsiaTheme="minorEastAsia" w:hAnsiTheme="minorEastAsia"/>
          <w:szCs w:val="24"/>
        </w:rPr>
        <w:t>广州市天河区珠江新城珠江东路30号广州银行大厦40-43楼</w:t>
      </w:r>
    </w:p>
    <w:p w14:paraId="1211C894"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批准设立机关及批准设立文号：</w:t>
      </w:r>
      <w:r w:rsidR="00721818" w:rsidRPr="0047638B">
        <w:rPr>
          <w:rFonts w:asciiTheme="minorEastAsia" w:eastAsiaTheme="minorEastAsia" w:hAnsiTheme="minorEastAsia"/>
          <w:szCs w:val="24"/>
        </w:rPr>
        <w:t>中国证券监督管理委员会，证监基金字[2001]4号</w:t>
      </w:r>
    </w:p>
    <w:p w14:paraId="4F489C46"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法定代表人：</w:t>
      </w:r>
      <w:r w:rsidR="00721818" w:rsidRPr="0047638B">
        <w:rPr>
          <w:rFonts w:asciiTheme="minorEastAsia" w:eastAsiaTheme="minorEastAsia" w:hAnsiTheme="minorEastAsia"/>
          <w:szCs w:val="24"/>
        </w:rPr>
        <w:t>刘晓艳</w:t>
      </w:r>
    </w:p>
    <w:p w14:paraId="2FA00059"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设立日期：</w:t>
      </w:r>
      <w:r w:rsidR="00721818" w:rsidRPr="0047638B">
        <w:rPr>
          <w:rFonts w:asciiTheme="minorEastAsia" w:eastAsiaTheme="minorEastAsia" w:hAnsiTheme="minorEastAsia"/>
          <w:szCs w:val="24"/>
        </w:rPr>
        <w:t>2001年4月17日</w:t>
      </w:r>
    </w:p>
    <w:p w14:paraId="283A24C9"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组织形式：</w:t>
      </w:r>
      <w:r w:rsidR="00721818" w:rsidRPr="0047638B">
        <w:rPr>
          <w:rFonts w:asciiTheme="minorEastAsia" w:eastAsiaTheme="minorEastAsia" w:hAnsiTheme="minorEastAsia"/>
          <w:szCs w:val="24"/>
        </w:rPr>
        <w:t>有限责任公司</w:t>
      </w:r>
    </w:p>
    <w:p w14:paraId="59A1ED50" w14:textId="77777777" w:rsidR="00E13C79" w:rsidRPr="0047638B" w:rsidRDefault="00AF7E43"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注册资本：13,244.2万元人民币</w:t>
      </w:r>
    </w:p>
    <w:p w14:paraId="3419FC0A"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存续期限：</w:t>
      </w:r>
      <w:r w:rsidR="00721818" w:rsidRPr="0047638B">
        <w:rPr>
          <w:rFonts w:asciiTheme="minorEastAsia" w:eastAsiaTheme="minorEastAsia" w:hAnsiTheme="minorEastAsia"/>
          <w:szCs w:val="24"/>
        </w:rPr>
        <w:t>持续经营</w:t>
      </w:r>
    </w:p>
    <w:p w14:paraId="63E6EDA3" w14:textId="77777777" w:rsidR="00565A6A" w:rsidRPr="0047638B" w:rsidRDefault="00565A6A"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联系电话：</w:t>
      </w:r>
      <w:r w:rsidR="00721818" w:rsidRPr="0047638B">
        <w:rPr>
          <w:rFonts w:asciiTheme="minorEastAsia" w:eastAsiaTheme="minorEastAsia" w:hAnsiTheme="minorEastAsia"/>
          <w:szCs w:val="24"/>
        </w:rPr>
        <w:t>4008818088</w:t>
      </w:r>
    </w:p>
    <w:p w14:paraId="2D377689" w14:textId="77777777" w:rsidR="00E13C79" w:rsidRPr="0047638B" w:rsidRDefault="00565A6A"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w:t>
      </w:r>
      <w:r w:rsidR="003B2D1F" w:rsidRPr="0047638B">
        <w:rPr>
          <w:rFonts w:asciiTheme="minorEastAsia" w:eastAsiaTheme="minorEastAsia" w:hAnsiTheme="minorEastAsia" w:hint="eastAsia"/>
          <w:szCs w:val="24"/>
        </w:rPr>
        <w:t>李红枫</w:t>
      </w:r>
    </w:p>
    <w:p w14:paraId="43CB23F6" w14:textId="77777777" w:rsidR="00E13C79" w:rsidRPr="0047638B" w:rsidRDefault="00B826F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9D5497" w:rsidRPr="0047638B">
        <w:rPr>
          <w:rFonts w:asciiTheme="minorEastAsia" w:eastAsiaTheme="minorEastAsia" w:hAnsiTheme="minorEastAsia"/>
          <w:szCs w:val="24"/>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3"/>
        <w:gridCol w:w="2529"/>
      </w:tblGrid>
      <w:tr w:rsidR="0047638B" w:rsidRPr="0047638B" w14:paraId="6F6BBED3" w14:textId="77777777" w:rsidTr="007116E5">
        <w:trPr>
          <w:trHeight w:val="340"/>
          <w:jc w:val="center"/>
        </w:trPr>
        <w:tc>
          <w:tcPr>
            <w:tcW w:w="3477" w:type="pct"/>
            <w:vAlign w:val="center"/>
          </w:tcPr>
          <w:p w14:paraId="632F6510" w14:textId="77777777" w:rsidR="00D155B6" w:rsidRPr="0047638B" w:rsidRDefault="00D155B6"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t>股东名称</w:t>
            </w:r>
          </w:p>
        </w:tc>
        <w:tc>
          <w:tcPr>
            <w:tcW w:w="1523" w:type="pct"/>
            <w:vAlign w:val="center"/>
          </w:tcPr>
          <w:p w14:paraId="2C4508B4" w14:textId="77777777" w:rsidR="00D155B6" w:rsidRPr="0047638B" w:rsidRDefault="00D155B6"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t>出资比例</w:t>
            </w:r>
          </w:p>
        </w:tc>
      </w:tr>
      <w:tr w:rsidR="0047638B" w:rsidRPr="0047638B" w14:paraId="735251A5" w14:textId="77777777">
        <w:trPr>
          <w:jc w:val="center"/>
        </w:trPr>
        <w:tc>
          <w:tcPr>
            <w:tcW w:w="5773" w:type="dxa"/>
          </w:tcPr>
          <w:p w14:paraId="17AD3EC3"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广东粤财信托有限公司</w:t>
            </w:r>
          </w:p>
        </w:tc>
        <w:tc>
          <w:tcPr>
            <w:tcW w:w="2529" w:type="dxa"/>
          </w:tcPr>
          <w:p w14:paraId="6C4D7A1B"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22.6514%</w:t>
            </w:r>
          </w:p>
        </w:tc>
      </w:tr>
      <w:tr w:rsidR="0047638B" w:rsidRPr="0047638B" w14:paraId="4D146BDB" w14:textId="77777777">
        <w:trPr>
          <w:jc w:val="center"/>
        </w:trPr>
        <w:tc>
          <w:tcPr>
            <w:tcW w:w="5773" w:type="dxa"/>
          </w:tcPr>
          <w:p w14:paraId="38132040"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广发证券股份有限公司</w:t>
            </w:r>
          </w:p>
        </w:tc>
        <w:tc>
          <w:tcPr>
            <w:tcW w:w="2529" w:type="dxa"/>
          </w:tcPr>
          <w:p w14:paraId="50C91416"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22.6514%</w:t>
            </w:r>
          </w:p>
        </w:tc>
      </w:tr>
      <w:tr w:rsidR="0047638B" w:rsidRPr="0047638B" w14:paraId="59DD2A3C" w14:textId="77777777">
        <w:trPr>
          <w:jc w:val="center"/>
        </w:trPr>
        <w:tc>
          <w:tcPr>
            <w:tcW w:w="5773" w:type="dxa"/>
          </w:tcPr>
          <w:p w14:paraId="237A7E90"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盈峰控股集团有限公司</w:t>
            </w:r>
          </w:p>
        </w:tc>
        <w:tc>
          <w:tcPr>
            <w:tcW w:w="2529" w:type="dxa"/>
          </w:tcPr>
          <w:p w14:paraId="2D561129"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22.6514%</w:t>
            </w:r>
          </w:p>
        </w:tc>
      </w:tr>
      <w:tr w:rsidR="0047638B" w:rsidRPr="0047638B" w14:paraId="7BA7B237" w14:textId="77777777">
        <w:trPr>
          <w:jc w:val="center"/>
        </w:trPr>
        <w:tc>
          <w:tcPr>
            <w:tcW w:w="5773" w:type="dxa"/>
          </w:tcPr>
          <w:p w14:paraId="14AA1F8F"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广东省广晟控股集团有限公司</w:t>
            </w:r>
          </w:p>
        </w:tc>
        <w:tc>
          <w:tcPr>
            <w:tcW w:w="2529" w:type="dxa"/>
          </w:tcPr>
          <w:p w14:paraId="5D8969AB"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15.1010%</w:t>
            </w:r>
          </w:p>
        </w:tc>
      </w:tr>
      <w:tr w:rsidR="0047638B" w:rsidRPr="0047638B" w14:paraId="1104EA77" w14:textId="77777777">
        <w:trPr>
          <w:jc w:val="center"/>
        </w:trPr>
        <w:tc>
          <w:tcPr>
            <w:tcW w:w="5773" w:type="dxa"/>
          </w:tcPr>
          <w:p w14:paraId="6B6CD3CD"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广州市广永国有资产经营有限公司</w:t>
            </w:r>
          </w:p>
        </w:tc>
        <w:tc>
          <w:tcPr>
            <w:tcW w:w="2529" w:type="dxa"/>
          </w:tcPr>
          <w:p w14:paraId="490647FF"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7.5505%</w:t>
            </w:r>
          </w:p>
        </w:tc>
      </w:tr>
      <w:tr w:rsidR="0047638B" w:rsidRPr="0047638B" w14:paraId="27E97D8A" w14:textId="77777777">
        <w:trPr>
          <w:jc w:val="center"/>
        </w:trPr>
        <w:tc>
          <w:tcPr>
            <w:tcW w:w="5773" w:type="dxa"/>
          </w:tcPr>
          <w:p w14:paraId="04A38F22"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珠海祺荣宝股权投资合伙企业（有限合伙）</w:t>
            </w:r>
          </w:p>
        </w:tc>
        <w:tc>
          <w:tcPr>
            <w:tcW w:w="2529" w:type="dxa"/>
          </w:tcPr>
          <w:p w14:paraId="11B6ABCC"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1.5087%</w:t>
            </w:r>
          </w:p>
        </w:tc>
      </w:tr>
      <w:tr w:rsidR="0047638B" w:rsidRPr="0047638B" w14:paraId="2E37B60D" w14:textId="77777777">
        <w:trPr>
          <w:jc w:val="center"/>
        </w:trPr>
        <w:tc>
          <w:tcPr>
            <w:tcW w:w="5773" w:type="dxa"/>
          </w:tcPr>
          <w:p w14:paraId="4381D519"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珠海祺泰宝股权投资合伙企业（有限合伙）</w:t>
            </w:r>
          </w:p>
        </w:tc>
        <w:tc>
          <w:tcPr>
            <w:tcW w:w="2529" w:type="dxa"/>
          </w:tcPr>
          <w:p w14:paraId="66D9023C"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1.6205%</w:t>
            </w:r>
          </w:p>
        </w:tc>
      </w:tr>
      <w:tr w:rsidR="0047638B" w:rsidRPr="0047638B" w14:paraId="1743AE55" w14:textId="77777777">
        <w:trPr>
          <w:jc w:val="center"/>
        </w:trPr>
        <w:tc>
          <w:tcPr>
            <w:tcW w:w="5773" w:type="dxa"/>
          </w:tcPr>
          <w:p w14:paraId="2A4FED09"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珠海祺丰宝股权投资合伙企业（有限合伙）</w:t>
            </w:r>
          </w:p>
        </w:tc>
        <w:tc>
          <w:tcPr>
            <w:tcW w:w="2529" w:type="dxa"/>
          </w:tcPr>
          <w:p w14:paraId="574543B7"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1.5309%</w:t>
            </w:r>
          </w:p>
        </w:tc>
      </w:tr>
      <w:tr w:rsidR="0047638B" w:rsidRPr="0047638B" w14:paraId="0CA87C3C" w14:textId="77777777">
        <w:trPr>
          <w:jc w:val="center"/>
        </w:trPr>
        <w:tc>
          <w:tcPr>
            <w:tcW w:w="5773" w:type="dxa"/>
          </w:tcPr>
          <w:p w14:paraId="1A83A71B"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珠海聚莱康股权投资合伙企业（有限合伙）</w:t>
            </w:r>
          </w:p>
        </w:tc>
        <w:tc>
          <w:tcPr>
            <w:tcW w:w="2529" w:type="dxa"/>
          </w:tcPr>
          <w:p w14:paraId="47AE8170"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1.7558%</w:t>
            </w:r>
          </w:p>
        </w:tc>
      </w:tr>
      <w:tr w:rsidR="0047638B" w:rsidRPr="0047638B" w14:paraId="18406851" w14:textId="77777777">
        <w:trPr>
          <w:jc w:val="center"/>
        </w:trPr>
        <w:tc>
          <w:tcPr>
            <w:tcW w:w="5773" w:type="dxa"/>
          </w:tcPr>
          <w:p w14:paraId="36B2B568"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珠海聚宁康股权投资合伙企业（有限合伙）</w:t>
            </w:r>
          </w:p>
        </w:tc>
        <w:tc>
          <w:tcPr>
            <w:tcW w:w="2529" w:type="dxa"/>
          </w:tcPr>
          <w:p w14:paraId="00E625AF"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1.4396%</w:t>
            </w:r>
          </w:p>
        </w:tc>
      </w:tr>
      <w:tr w:rsidR="0047638B" w:rsidRPr="0047638B" w14:paraId="7F3061D1" w14:textId="77777777">
        <w:trPr>
          <w:jc w:val="center"/>
        </w:trPr>
        <w:tc>
          <w:tcPr>
            <w:tcW w:w="5773" w:type="dxa"/>
          </w:tcPr>
          <w:p w14:paraId="79EEB8AD"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珠海聚弘康股权投资合伙企业（有限合伙）</w:t>
            </w:r>
          </w:p>
        </w:tc>
        <w:tc>
          <w:tcPr>
            <w:tcW w:w="2529" w:type="dxa"/>
          </w:tcPr>
          <w:p w14:paraId="562FB49A"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1.5388%</w:t>
            </w:r>
          </w:p>
        </w:tc>
      </w:tr>
      <w:tr w:rsidR="0047638B" w:rsidRPr="0047638B" w14:paraId="2879E7FF" w14:textId="77777777">
        <w:trPr>
          <w:jc w:val="center"/>
        </w:trPr>
        <w:tc>
          <w:tcPr>
            <w:tcW w:w="5773" w:type="dxa"/>
          </w:tcPr>
          <w:p w14:paraId="7E258203"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总   计</w:t>
            </w:r>
          </w:p>
        </w:tc>
        <w:tc>
          <w:tcPr>
            <w:tcW w:w="2529" w:type="dxa"/>
          </w:tcPr>
          <w:p w14:paraId="7FF9AD4A" w14:textId="77777777" w:rsidR="0013620F" w:rsidRPr="0047638B" w:rsidRDefault="004C23A2">
            <w:pPr>
              <w:jc w:val="center"/>
              <w:rPr>
                <w:rFonts w:asciiTheme="minorEastAsia" w:eastAsiaTheme="minorEastAsia" w:hAnsiTheme="minorEastAsia"/>
              </w:rPr>
            </w:pPr>
            <w:r w:rsidRPr="0047638B">
              <w:rPr>
                <w:rFonts w:asciiTheme="minorEastAsia" w:eastAsiaTheme="minorEastAsia" w:hAnsiTheme="minorEastAsia"/>
              </w:rPr>
              <w:t>100%</w:t>
            </w:r>
          </w:p>
        </w:tc>
      </w:tr>
    </w:tbl>
    <w:p w14:paraId="653C7872"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二</w:t>
      </w:r>
      <w:r w:rsidRPr="0047638B">
        <w:rPr>
          <w:rFonts w:asciiTheme="minorEastAsia" w:eastAsiaTheme="minorEastAsia" w:hAnsiTheme="minorEastAsia"/>
        </w:rPr>
        <w:t>）</w:t>
      </w:r>
      <w:r w:rsidR="00E13C79" w:rsidRPr="0047638B">
        <w:rPr>
          <w:rFonts w:asciiTheme="minorEastAsia" w:eastAsiaTheme="minorEastAsia" w:hAnsiTheme="minorEastAsia"/>
        </w:rPr>
        <w:t>主要人员情况</w:t>
      </w:r>
    </w:p>
    <w:p w14:paraId="5BE5A3F3" w14:textId="77777777" w:rsidR="00E13C79" w:rsidRPr="0047638B" w:rsidRDefault="00B826F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E13C79" w:rsidRPr="0047638B">
        <w:rPr>
          <w:rFonts w:asciiTheme="minorEastAsia" w:eastAsiaTheme="minorEastAsia" w:hAnsiTheme="minorEastAsia"/>
          <w:szCs w:val="24"/>
        </w:rPr>
        <w:t>董事、监事及高级管理人员</w:t>
      </w:r>
    </w:p>
    <w:p w14:paraId="5F82BF9D"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詹余引先生，工商管理博士，董事长。曾任中国平安保险公司证券部研究咨询室总经理助理，平安证券有限责任公司研究咨询部副总经理（主持工作）、国债部副总经理（主持工</w:t>
      </w:r>
      <w:r w:rsidRPr="0047638B">
        <w:rPr>
          <w:rFonts w:asciiTheme="minorEastAsia" w:eastAsiaTheme="minorEastAsia" w:hAnsiTheme="minorEastAsia" w:hint="eastAsia"/>
          <w:szCs w:val="24"/>
        </w:rPr>
        <w:lastRenderedPageBreak/>
        <w:t>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35FDCE4B"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14:paraId="64DFDF12"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周泽群先生，高级管理人员工商管理硕士（</w:t>
      </w:r>
      <w:r w:rsidRPr="0047638B">
        <w:rPr>
          <w:rFonts w:asciiTheme="minorEastAsia" w:eastAsiaTheme="minorEastAsia" w:hAnsiTheme="minorEastAsia"/>
          <w:szCs w:val="24"/>
        </w:rPr>
        <w:t>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7B7DAED8"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14:paraId="1FA99798"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宁波盈峰股权投资基金管理有限公司执行董事，北京华录百纳影视股份有限公司董事。</w:t>
      </w:r>
    </w:p>
    <w:p w14:paraId="48297743"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14:paraId="79D12565"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忻榕女士，工商行政管理博士，独立董事。曾任中科院研究生院讲师，美国加州高温橡</w:t>
      </w:r>
      <w:r w:rsidRPr="0047638B">
        <w:rPr>
          <w:rFonts w:asciiTheme="minorEastAsia" w:eastAsiaTheme="minorEastAsia" w:hAnsiTheme="minorEastAsia" w:hint="eastAsia"/>
          <w:szCs w:val="24"/>
        </w:rPr>
        <w:lastRenderedPageBreak/>
        <w:t>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14:paraId="67948EA6"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14:paraId="493152FE"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14:paraId="0449A834"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14:paraId="18C682C6"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广州市广永国有资产经营有限公司董事长，广州广永股权投资基金管理有限公司董事长，广州广永投资管理有限公司董事长、总经理，广州赛马娱乐总公司副董事长。现任易方达基金管理有限公司监事。</w:t>
      </w:r>
    </w:p>
    <w:p w14:paraId="12939C08"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14:paraId="43D597ED"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743241B3"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刘炜先生，工商管理硕士（</w:t>
      </w:r>
      <w:r w:rsidRPr="0047638B">
        <w:rPr>
          <w:rFonts w:asciiTheme="minorEastAsia" w:eastAsiaTheme="minorEastAsia" w:hAnsiTheme="minorEastAsia"/>
          <w:szCs w:val="24"/>
        </w:rPr>
        <w:t>EMBA</w:t>
      </w:r>
      <w:r w:rsidRPr="0047638B">
        <w:rPr>
          <w:rFonts w:asciiTheme="minorEastAsia" w:eastAsiaTheme="minorEastAsia" w:hAnsiTheme="minorEastAsia" w:hint="eastAsia"/>
          <w:szCs w:val="24"/>
        </w:rPr>
        <w:t>）、法学硕士，监事。曾任易方达基金管理有限公司监察部监察员、上海分公司销售经理、市场部总经理助理、人力资源部副总经理、综合管理部总经理。现任易方达基金管理有限公司监事、人力资源部总经理。</w:t>
      </w:r>
    </w:p>
    <w:p w14:paraId="470F71BA"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马骏先生，工商管理硕士（</w:t>
      </w:r>
      <w:r w:rsidRPr="0047638B">
        <w:rPr>
          <w:rFonts w:asciiTheme="minorEastAsia" w:eastAsiaTheme="minorEastAsia" w:hAnsiTheme="minorEastAsia"/>
          <w:szCs w:val="24"/>
        </w:rPr>
        <w:t>EMBA</w:t>
      </w:r>
      <w:r w:rsidRPr="0047638B">
        <w:rPr>
          <w:rFonts w:asciiTheme="minorEastAsia" w:eastAsiaTheme="minorEastAsia" w:hAnsiTheme="minorEastAsia" w:hint="eastAsia"/>
          <w:szCs w:val="24"/>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47638B">
        <w:rPr>
          <w:rFonts w:asciiTheme="minorEastAsia" w:eastAsiaTheme="minorEastAsia" w:hAnsiTheme="minorEastAsia"/>
          <w:szCs w:val="24"/>
        </w:rPr>
        <w:t>RQFII</w:t>
      </w:r>
      <w:r w:rsidRPr="0047638B">
        <w:rPr>
          <w:rFonts w:asciiTheme="minorEastAsia" w:eastAsiaTheme="minorEastAsia" w:hAnsiTheme="minorEastAsia" w:hint="eastAsia"/>
          <w:szCs w:val="24"/>
        </w:rPr>
        <w:t>）业务负责人、证券交易负责人员（</w:t>
      </w:r>
      <w:r w:rsidRPr="0047638B">
        <w:rPr>
          <w:rFonts w:asciiTheme="minorEastAsia" w:eastAsiaTheme="minorEastAsia" w:hAnsiTheme="minorEastAsia"/>
          <w:szCs w:val="24"/>
        </w:rPr>
        <w:t>RO</w:t>
      </w:r>
      <w:r w:rsidRPr="0047638B">
        <w:rPr>
          <w:rFonts w:asciiTheme="minorEastAsia" w:eastAsiaTheme="minorEastAsia" w:hAnsiTheme="minorEastAsia" w:hint="eastAsia"/>
          <w:szCs w:val="24"/>
        </w:rPr>
        <w:t>）、就证券提供意见负责人员（</w:t>
      </w:r>
      <w:r w:rsidRPr="0047638B">
        <w:rPr>
          <w:rFonts w:asciiTheme="minorEastAsia" w:eastAsiaTheme="minorEastAsia" w:hAnsiTheme="minorEastAsia"/>
          <w:szCs w:val="24"/>
        </w:rPr>
        <w:t>RO</w:t>
      </w:r>
      <w:r w:rsidRPr="0047638B">
        <w:rPr>
          <w:rFonts w:asciiTheme="minorEastAsia" w:eastAsiaTheme="minorEastAsia" w:hAnsiTheme="minorEastAsia" w:hint="eastAsia"/>
          <w:szCs w:val="24"/>
        </w:rPr>
        <w:t>）、提供资产管理负责人员（</w:t>
      </w:r>
      <w:r w:rsidRPr="0047638B">
        <w:rPr>
          <w:rFonts w:asciiTheme="minorEastAsia" w:eastAsiaTheme="minorEastAsia" w:hAnsiTheme="minorEastAsia"/>
          <w:szCs w:val="24"/>
        </w:rPr>
        <w:t>RO</w:t>
      </w:r>
      <w:r w:rsidRPr="0047638B">
        <w:rPr>
          <w:rFonts w:asciiTheme="minorEastAsia" w:eastAsiaTheme="minorEastAsia" w:hAnsiTheme="minorEastAsia" w:hint="eastAsia"/>
          <w:szCs w:val="24"/>
        </w:rPr>
        <w:t>）、产品审批委员会委员。</w:t>
      </w:r>
    </w:p>
    <w:p w14:paraId="368AD698"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14:paraId="07575FE3"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3E0632B3"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张南女士，经济学博士，督察长。曾任广东省经济贸易委员会主任科员、副处长，易方达基金管理有限公司市场拓展部副总经理、监察部总经理。现任易方达基金管理有限公司督察长。</w:t>
      </w:r>
    </w:p>
    <w:p w14:paraId="0ED3CF74"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6ECA411F"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高松凡先生，工商管理硕士（</w:t>
      </w:r>
      <w:r w:rsidRPr="0047638B">
        <w:rPr>
          <w:rFonts w:asciiTheme="minorEastAsia" w:eastAsiaTheme="minorEastAsia" w:hAnsiTheme="minorEastAsia"/>
          <w:szCs w:val="24"/>
        </w:rPr>
        <w:t>EMBA</w:t>
      </w:r>
      <w:r w:rsidRPr="0047638B">
        <w:rPr>
          <w:rFonts w:asciiTheme="minorEastAsia" w:eastAsiaTheme="minorEastAsia" w:hAnsiTheme="minorEastAsia" w:hint="eastAsia"/>
          <w:szCs w:val="24"/>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60313400"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关秀霞女士，工商管理硕士、金融学硕士，副总经理级高级管理人员。曾任中国银行（香港）有限公司分析员，</w:t>
      </w:r>
      <w:r w:rsidRPr="0047638B">
        <w:rPr>
          <w:rFonts w:asciiTheme="minorEastAsia" w:eastAsiaTheme="minorEastAsia" w:hAnsiTheme="minorEastAsia"/>
          <w:szCs w:val="24"/>
        </w:rPr>
        <w:t>Daniel Dennis高级审计师，美国道富银行公司内部审计部高级审计师、美国共同基金业务风险经理、亚洲区（除日本外）机构服务主管、亚洲区（除日本外）副总裁、大中华地区</w:t>
      </w:r>
      <w:r w:rsidRPr="0047638B">
        <w:rPr>
          <w:rFonts w:asciiTheme="minorEastAsia" w:eastAsiaTheme="minorEastAsia" w:hAnsiTheme="minorEastAsia" w:hint="eastAsia"/>
          <w:szCs w:val="24"/>
        </w:rPr>
        <w:t>董事总经理、大中华地区高级副总裁、中国区行长。现任易方达基金管理有限公司副总经理级高级管理人员。</w:t>
      </w:r>
    </w:p>
    <w:p w14:paraId="5AA4DA03"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14:paraId="014C8228"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6F29DC92"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14:paraId="33FFB50B"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14:paraId="73D12A81"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14:paraId="3A5889F4"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14:paraId="71B12F7A" w14:textId="77777777" w:rsidR="00452D8D" w:rsidRPr="0047638B" w:rsidRDefault="00452D8D" w:rsidP="00452D8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娄利舟女士，工商管理硕士（</w:t>
      </w:r>
      <w:r w:rsidRPr="0047638B">
        <w:rPr>
          <w:rFonts w:asciiTheme="minorEastAsia" w:eastAsiaTheme="minorEastAsia" w:hAnsiTheme="minorEastAsia"/>
          <w:szCs w:val="24"/>
        </w:rPr>
        <w:t>EMBA）</w:t>
      </w:r>
      <w:r w:rsidRPr="0047638B">
        <w:rPr>
          <w:rFonts w:asciiTheme="minorEastAsia" w:eastAsiaTheme="minorEastAsia" w:hAnsiTheme="minorEastAsia" w:hint="eastAsia"/>
          <w:szCs w:val="24"/>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w:t>
      </w:r>
      <w:r w:rsidRPr="0047638B">
        <w:rPr>
          <w:rFonts w:asciiTheme="minorEastAsia" w:eastAsiaTheme="minorEastAsia" w:hAnsiTheme="minorEastAsia"/>
          <w:szCs w:val="24"/>
        </w:rPr>
        <w:t>FOF</w:t>
      </w:r>
      <w:r w:rsidRPr="0047638B">
        <w:rPr>
          <w:rFonts w:asciiTheme="minorEastAsia" w:eastAsiaTheme="minorEastAsia" w:hAnsiTheme="minorEastAsia" w:hint="eastAsia"/>
          <w:szCs w:val="24"/>
        </w:rPr>
        <w:t>投资决策委员会委员，易方达资产管理有限公司董事长，易方达资产管理（香港）有限公司董事。</w:t>
      </w:r>
    </w:p>
    <w:p w14:paraId="6B0A82E4" w14:textId="77777777" w:rsidR="0013620F" w:rsidRPr="0047638B" w:rsidRDefault="0013620F">
      <w:pPr>
        <w:spacing w:line="360" w:lineRule="auto"/>
        <w:ind w:firstLine="420"/>
        <w:rPr>
          <w:rFonts w:asciiTheme="minorEastAsia" w:eastAsiaTheme="minorEastAsia" w:hAnsiTheme="minorEastAsia"/>
        </w:rPr>
      </w:pPr>
    </w:p>
    <w:p w14:paraId="53C52E34" w14:textId="77777777" w:rsidR="00541F27" w:rsidRPr="0047638B" w:rsidRDefault="00541F2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2、基金经理</w:t>
      </w:r>
    </w:p>
    <w:p w14:paraId="7C726737" w14:textId="77777777" w:rsidR="00C21C7C" w:rsidRPr="0047638B" w:rsidRDefault="00747BF8"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张湛先生，理学硕士，本基金的基金经理。曾任易方达基金管理有限公司投资发展部数量化投资研究员、指数与量化投资部量化研究员、指数及增强投资部投资经理。现任易方达基金管理有限公司易方达中证科技50交易型开放式指数证券投资基金基金经理（自2020年3月16日起任职）、易方达中证军工交易型开放式指数证券投资基金基金经理（自2020年4月30日起任职）、易方达中证全指证券公司交易型开放式指数证券投资基金基金经理（自2020年4月30日起任职）、易方达中证人工智能主题交易型开放式指数证券投资基金基金经理（自2020年7月27日起任职）、易方达中证万得生物科技指数证券投资基金（LOF）基金经理（自2020年12月3日起任职）、易方达中证军工指数证券投资基金（LOF）基金经理（自2021年1月1日起任职）、易方达中证全指证券公司指数证券投资基金（LOF）基金经理（自2021年1月1日起任职）。</w:t>
      </w:r>
    </w:p>
    <w:p w14:paraId="4E8A745B" w14:textId="139530B3" w:rsidR="00541F27" w:rsidRPr="0047638B" w:rsidRDefault="00C21C7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本基金历任基金经理情况：余海燕，管理时间为2015年7月8日至2020年12月31日。</w:t>
      </w:r>
    </w:p>
    <w:p w14:paraId="309E9D61" w14:textId="77777777" w:rsidR="00541F27" w:rsidRPr="0047638B" w:rsidRDefault="00541F2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3、指数投资决策委员会成员</w:t>
      </w:r>
    </w:p>
    <w:p w14:paraId="0D4C4CFB" w14:textId="77777777" w:rsidR="0013620F" w:rsidRPr="0047638B" w:rsidRDefault="004C23A2">
      <w:pPr>
        <w:spacing w:line="360" w:lineRule="auto"/>
        <w:ind w:firstLine="420"/>
        <w:rPr>
          <w:rFonts w:asciiTheme="minorEastAsia" w:eastAsiaTheme="minorEastAsia" w:hAnsiTheme="minorEastAsia"/>
        </w:rPr>
      </w:pPr>
      <w:r w:rsidRPr="0047638B">
        <w:rPr>
          <w:rFonts w:asciiTheme="minorEastAsia" w:eastAsiaTheme="minorEastAsia" w:hAnsiTheme="minorEastAsia"/>
        </w:rPr>
        <w:lastRenderedPageBreak/>
        <w:t>本公司指数投资决策委员会成员包括：林伟斌先生、余海燕女士、FAN BING（范冰）先生。</w:t>
      </w:r>
    </w:p>
    <w:p w14:paraId="4331FF3E" w14:textId="77777777" w:rsidR="0013620F" w:rsidRPr="0047638B" w:rsidRDefault="004C23A2">
      <w:pPr>
        <w:spacing w:line="360" w:lineRule="auto"/>
        <w:ind w:firstLine="420"/>
        <w:rPr>
          <w:rFonts w:asciiTheme="minorEastAsia" w:eastAsiaTheme="minorEastAsia" w:hAnsiTheme="minorEastAsia"/>
        </w:rPr>
      </w:pPr>
      <w:r w:rsidRPr="0047638B">
        <w:rPr>
          <w:rFonts w:asciiTheme="minorEastAsia" w:eastAsiaTheme="minorEastAsia" w:hAnsiTheme="minorEastAsia"/>
        </w:rPr>
        <w:t>林伟斌先生，易方达基金管理有限公司指数投资部总经理、基金经理。</w:t>
      </w:r>
    </w:p>
    <w:p w14:paraId="7019C0FE" w14:textId="77777777" w:rsidR="0013620F" w:rsidRPr="0047638B" w:rsidRDefault="004C23A2">
      <w:pPr>
        <w:spacing w:line="360" w:lineRule="auto"/>
        <w:ind w:firstLine="420"/>
        <w:rPr>
          <w:rFonts w:asciiTheme="minorEastAsia" w:eastAsiaTheme="minorEastAsia" w:hAnsiTheme="minorEastAsia"/>
        </w:rPr>
      </w:pPr>
      <w:r w:rsidRPr="0047638B">
        <w:rPr>
          <w:rFonts w:asciiTheme="minorEastAsia" w:eastAsiaTheme="minorEastAsia" w:hAnsiTheme="minorEastAsia"/>
        </w:rPr>
        <w:t>余海燕女士，易方达基金管理有限公司指数投资部副总经理、基金经理。</w:t>
      </w:r>
    </w:p>
    <w:p w14:paraId="270DB774" w14:textId="77777777" w:rsidR="0013620F" w:rsidRPr="0047638B" w:rsidRDefault="004C23A2">
      <w:pPr>
        <w:spacing w:line="360" w:lineRule="auto"/>
        <w:ind w:firstLine="420"/>
        <w:rPr>
          <w:rFonts w:asciiTheme="minorEastAsia" w:eastAsiaTheme="minorEastAsia" w:hAnsiTheme="minorEastAsia"/>
        </w:rPr>
      </w:pPr>
      <w:r w:rsidRPr="0047638B">
        <w:rPr>
          <w:rFonts w:asciiTheme="minorEastAsia" w:eastAsiaTheme="minorEastAsia" w:hAnsiTheme="minorEastAsia"/>
        </w:rPr>
        <w:t>FAN BING（范冰）先生，易方达基金管理有限公司基金经理。</w:t>
      </w:r>
    </w:p>
    <w:p w14:paraId="49AEE2DB" w14:textId="77777777" w:rsidR="00E13C79" w:rsidRPr="0047638B" w:rsidRDefault="00B826F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w:t>
      </w:r>
      <w:r w:rsidR="00E13C79" w:rsidRPr="0047638B">
        <w:rPr>
          <w:rFonts w:asciiTheme="minorEastAsia" w:eastAsiaTheme="minorEastAsia" w:hAnsiTheme="minorEastAsia"/>
          <w:szCs w:val="24"/>
        </w:rPr>
        <w:t>上述人员之间均不存在近亲属关系。</w:t>
      </w:r>
    </w:p>
    <w:p w14:paraId="5541CCD1"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三</w:t>
      </w:r>
      <w:r w:rsidRPr="0047638B">
        <w:rPr>
          <w:rFonts w:asciiTheme="minorEastAsia" w:eastAsiaTheme="minorEastAsia" w:hAnsiTheme="minorEastAsia"/>
        </w:rPr>
        <w:t>）</w:t>
      </w:r>
      <w:r w:rsidR="00E13C79" w:rsidRPr="0047638B">
        <w:rPr>
          <w:rFonts w:asciiTheme="minorEastAsia" w:eastAsiaTheme="minorEastAsia" w:hAnsiTheme="minorEastAsia"/>
        </w:rPr>
        <w:t>基金管理人的职责</w:t>
      </w:r>
    </w:p>
    <w:p w14:paraId="585B3EE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1、依法募集资金，办理或者委托经中国证监会认定的其他机构代为办理基金份额的发售、申购、赎回、转换和登记事宜；</w:t>
      </w:r>
    </w:p>
    <w:p w14:paraId="3F89CB2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2、办理基金备案手续；</w:t>
      </w:r>
    </w:p>
    <w:p w14:paraId="2442CAA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3、对所管理的不同基金财产分别管理、分别记账，进行证券投资；</w:t>
      </w:r>
    </w:p>
    <w:p w14:paraId="3165CA8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4、按照《基金合同》的约定确定基金收益分配方案，及时向基金份额持有人分配收益；</w:t>
      </w:r>
    </w:p>
    <w:p w14:paraId="29167C2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5、进行基金会计核算并编制基金财务会计报告；</w:t>
      </w:r>
    </w:p>
    <w:p w14:paraId="5EA67E7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6、编制季度</w:t>
      </w:r>
      <w:r w:rsidR="00E80CE3" w:rsidRPr="0047638B">
        <w:rPr>
          <w:rFonts w:asciiTheme="minorEastAsia" w:eastAsiaTheme="minorEastAsia" w:hAnsiTheme="minorEastAsia" w:hint="eastAsia"/>
          <w:szCs w:val="24"/>
        </w:rPr>
        <w:t>报告</w:t>
      </w:r>
      <w:r w:rsidRPr="0047638B">
        <w:rPr>
          <w:rFonts w:asciiTheme="minorEastAsia" w:eastAsiaTheme="minorEastAsia" w:hAnsiTheme="minorEastAsia"/>
          <w:szCs w:val="24"/>
        </w:rPr>
        <w:t>、</w:t>
      </w:r>
      <w:r w:rsidR="00E80CE3" w:rsidRPr="0047638B">
        <w:rPr>
          <w:rFonts w:asciiTheme="minorEastAsia" w:eastAsiaTheme="minorEastAsia" w:hAnsiTheme="minorEastAsia" w:hint="eastAsia"/>
          <w:szCs w:val="24"/>
        </w:rPr>
        <w:t>中期报告</w:t>
      </w:r>
      <w:r w:rsidRPr="0047638B">
        <w:rPr>
          <w:rFonts w:asciiTheme="minorEastAsia" w:eastAsiaTheme="minorEastAsia" w:hAnsiTheme="minorEastAsia"/>
          <w:szCs w:val="24"/>
        </w:rPr>
        <w:t>和年度报告；</w:t>
      </w:r>
    </w:p>
    <w:p w14:paraId="344FB82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7、计算并公告基金净值</w:t>
      </w:r>
      <w:r w:rsidR="00E80CE3" w:rsidRPr="0047638B">
        <w:rPr>
          <w:rFonts w:asciiTheme="minorEastAsia" w:eastAsiaTheme="minorEastAsia" w:hAnsiTheme="minorEastAsia" w:hint="eastAsia"/>
          <w:szCs w:val="24"/>
        </w:rPr>
        <w:t>信息</w:t>
      </w:r>
      <w:r w:rsidRPr="0047638B">
        <w:rPr>
          <w:rFonts w:asciiTheme="minorEastAsia" w:eastAsiaTheme="minorEastAsia" w:hAnsiTheme="minorEastAsia"/>
          <w:szCs w:val="24"/>
        </w:rPr>
        <w:t>，确定基金份额申购、赎回价格；</w:t>
      </w:r>
    </w:p>
    <w:p w14:paraId="7158D78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8、办理与基金财产管理业务活动有关的信息披露事项；</w:t>
      </w:r>
    </w:p>
    <w:p w14:paraId="78525A8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9、召集基金份额持有人大会；</w:t>
      </w:r>
    </w:p>
    <w:p w14:paraId="0A687F5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10、保存基金财产管理业务活动的记录、账册、报表和其他相关资料；</w:t>
      </w:r>
    </w:p>
    <w:p w14:paraId="65EA9F7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11、以基金管理人名义，代表基金份额持有人利益行使诉讼权利或者实施其他法律行为；</w:t>
      </w:r>
    </w:p>
    <w:p w14:paraId="74F3CD00" w14:textId="77777777" w:rsidR="00E13C79" w:rsidRPr="0047638B" w:rsidRDefault="007116E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12、中国证监会规定的其他职责。</w:t>
      </w:r>
    </w:p>
    <w:p w14:paraId="480C6B1E"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四</w:t>
      </w:r>
      <w:r w:rsidRPr="0047638B">
        <w:rPr>
          <w:rFonts w:asciiTheme="minorEastAsia" w:eastAsiaTheme="minorEastAsia" w:hAnsiTheme="minorEastAsia"/>
        </w:rPr>
        <w:t>）</w:t>
      </w:r>
      <w:r w:rsidR="00E13C79" w:rsidRPr="0047638B">
        <w:rPr>
          <w:rFonts w:asciiTheme="minorEastAsia" w:eastAsiaTheme="minorEastAsia" w:hAnsiTheme="minorEastAsia"/>
        </w:rPr>
        <w:t>基金管理人的承诺</w:t>
      </w:r>
    </w:p>
    <w:p w14:paraId="1F7629F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本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334372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2、本基金管理人承诺严格遵守《证券法》、《基金法》及有关法律法规，建立健全内部控制制度，采取有效措施，防止下列行为发生：</w:t>
      </w:r>
    </w:p>
    <w:p w14:paraId="5533BD6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（1）将其固有财产或者他人财产混同于基金财产从事证券投资；</w:t>
      </w:r>
    </w:p>
    <w:p w14:paraId="3CF554F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（2）不公平地对待其管理的不同基金财产；</w:t>
      </w:r>
    </w:p>
    <w:p w14:paraId="2ACA0F1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（3）利用基金财产为基金份额持有人以外的第三人谋取利益；</w:t>
      </w:r>
    </w:p>
    <w:p w14:paraId="24B2443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（4）向基金份额持有人违规承诺收益或者承担损失；</w:t>
      </w:r>
    </w:p>
    <w:p w14:paraId="65EEED4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（5）侵占、挪用基金财产；</w:t>
      </w:r>
    </w:p>
    <w:p w14:paraId="1A11C91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（6）泄露因职务便利获取的未公开信息、利用该信息从事或者明示、暗示他人从事相关的交易活动；</w:t>
      </w:r>
    </w:p>
    <w:p w14:paraId="375B1F7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（7）玩忽职守，不按照规定履行职责；</w:t>
      </w:r>
    </w:p>
    <w:p w14:paraId="3DD3CC7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（8）法律、行政法规和中国证监会规定禁止的其他行为。</w:t>
      </w:r>
    </w:p>
    <w:p w14:paraId="0158953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3、本基金管理人承诺加强人员管理，强化职业操守，督促和约束员工遵守国家有关法律法规及行业规范，诚实信用、勤勉尽责，不从事以下活动：</w:t>
      </w:r>
    </w:p>
    <w:p w14:paraId="3E61A64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（1）越权或违规经营；</w:t>
      </w:r>
    </w:p>
    <w:p w14:paraId="4335450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（2）违反《基金合同》或托管协议；</w:t>
      </w:r>
    </w:p>
    <w:p w14:paraId="6DA5917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（3）故意损害基金份额持有人或其他基金相关机构的合法利益；</w:t>
      </w:r>
    </w:p>
    <w:p w14:paraId="03CAEC2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（4）在向中国证监会报送的资料中弄虚作假；</w:t>
      </w:r>
    </w:p>
    <w:p w14:paraId="1AD297A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（5）拒绝、干扰、阻挠或严重影响中国证监会依法监管；</w:t>
      </w:r>
    </w:p>
    <w:p w14:paraId="1C114C7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（6）玩忽职守、滥用职权；</w:t>
      </w:r>
    </w:p>
    <w:p w14:paraId="5EB061A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（7）违反现行有效的有关法律法规、《基金合同》和中国证监会的有关规定，泄漏在任职期间知悉的有关证券、基金的商业秘密，尚未依法公开的基金投资内容、基金投资计划等信息；</w:t>
      </w:r>
    </w:p>
    <w:p w14:paraId="2F9F226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（8）违反证券交易场所业务规则，利用对敲、倒仓等手段操纵市场价格，扰乱市场秩序；</w:t>
      </w:r>
    </w:p>
    <w:p w14:paraId="06F6AD7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（9）贬损同行，以抬高自己；</w:t>
      </w:r>
    </w:p>
    <w:p w14:paraId="406A94D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（10）以不正当手段谋求业务发展；</w:t>
      </w:r>
    </w:p>
    <w:p w14:paraId="53DCBC5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（11）有悖社会公德，损害证券投资基金人员形象；</w:t>
      </w:r>
    </w:p>
    <w:p w14:paraId="563162D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（12）在公开信息披露和广告中故意含有虚假、误导、欺诈成分；</w:t>
      </w:r>
    </w:p>
    <w:p w14:paraId="3FA8BB4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（13）其他法律、行政法规以及中国证监会禁止的行为。</w:t>
      </w:r>
    </w:p>
    <w:p w14:paraId="472553F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4、基金经理承诺</w:t>
      </w:r>
    </w:p>
    <w:p w14:paraId="7E139F1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（1）根据有关法律法规和《基金合同》的规定，本着谨慎的原则为基金份额持有人谋取最大利益；</w:t>
      </w:r>
    </w:p>
    <w:p w14:paraId="51CA5C0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（2）不利用职务之便为自己及其代理人、受雇人或任何第三人谋取利益；</w:t>
      </w:r>
    </w:p>
    <w:p w14:paraId="5B39D80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（3）不违反现行有效的有关法律法规、《基金合同》和中国证监会的有关规定，泄漏在任职期间知悉的有关证券、基金的商业秘密、尚未依法公开的基金投资内容、基金投资计划等信息；</w:t>
      </w:r>
    </w:p>
    <w:p w14:paraId="5522648E" w14:textId="77777777" w:rsidR="00E13C79" w:rsidRPr="0047638B" w:rsidRDefault="007116E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（4）不从事损害基金财产和基金份额持有人利益的证券交易及其他活动。</w:t>
      </w:r>
    </w:p>
    <w:p w14:paraId="237882C4"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五</w:t>
      </w:r>
      <w:r w:rsidRPr="0047638B">
        <w:rPr>
          <w:rFonts w:asciiTheme="minorEastAsia" w:eastAsiaTheme="minorEastAsia" w:hAnsiTheme="minorEastAsia"/>
        </w:rPr>
        <w:t>）</w:t>
      </w:r>
      <w:r w:rsidR="00E13C79" w:rsidRPr="0047638B">
        <w:rPr>
          <w:rFonts w:asciiTheme="minorEastAsia" w:eastAsiaTheme="minorEastAsia" w:hAnsiTheme="minorEastAsia"/>
        </w:rPr>
        <w:t>基金管理人的内部控制制度</w:t>
      </w:r>
    </w:p>
    <w:p w14:paraId="1AFA6EA5"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1473691D"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rPr>
        <w:t>1</w:t>
      </w:r>
      <w:r w:rsidRPr="0047638B">
        <w:rPr>
          <w:rFonts w:asciiTheme="minorEastAsia" w:eastAsiaTheme="minorEastAsia" w:hAnsiTheme="minorEastAsia" w:hint="eastAsia"/>
        </w:rPr>
        <w:t>、公司内部控制的总体目标</w:t>
      </w:r>
    </w:p>
    <w:p w14:paraId="2A9447B7"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1</w:t>
      </w:r>
      <w:r w:rsidRPr="0047638B">
        <w:rPr>
          <w:rFonts w:asciiTheme="minorEastAsia" w:eastAsiaTheme="minorEastAsia" w:hAnsiTheme="minorEastAsia" w:hint="eastAsia"/>
        </w:rPr>
        <w:t>）保证公司经营管理活动的合法合规性；</w:t>
      </w:r>
    </w:p>
    <w:p w14:paraId="15900A94"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2</w:t>
      </w:r>
      <w:r w:rsidRPr="0047638B">
        <w:rPr>
          <w:rFonts w:asciiTheme="minorEastAsia" w:eastAsiaTheme="minorEastAsia" w:hAnsiTheme="minorEastAsia" w:hint="eastAsia"/>
        </w:rPr>
        <w:t>）保证各类基金份额持有人及委托人的合法权益不受侵犯；</w:t>
      </w:r>
    </w:p>
    <w:p w14:paraId="51F29419"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3</w:t>
      </w:r>
      <w:r w:rsidRPr="0047638B">
        <w:rPr>
          <w:rFonts w:asciiTheme="minorEastAsia" w:eastAsiaTheme="minorEastAsia" w:hAnsiTheme="minorEastAsia" w:hint="eastAsia"/>
        </w:rPr>
        <w:t>）防范和化解经营风险，提高经营管理效率，确保业务稳健经营运行和受托资产安全完整，实现公司的持续、健康发展，促进公司实现发展战略；</w:t>
      </w:r>
    </w:p>
    <w:p w14:paraId="62287618"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4</w:t>
      </w:r>
      <w:r w:rsidRPr="0047638B">
        <w:rPr>
          <w:rFonts w:asciiTheme="minorEastAsia" w:eastAsiaTheme="minorEastAsia" w:hAnsiTheme="minorEastAsia" w:hint="eastAsia"/>
        </w:rPr>
        <w:t>）督促公司全体员工恪守职业操守，正直诚信，廉洁自律，勤勉尽责；</w:t>
      </w:r>
    </w:p>
    <w:p w14:paraId="45476FF4"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5</w:t>
      </w:r>
      <w:r w:rsidRPr="0047638B">
        <w:rPr>
          <w:rFonts w:asciiTheme="minorEastAsia" w:eastAsiaTheme="minorEastAsia" w:hAnsiTheme="minorEastAsia" w:hint="eastAsia"/>
        </w:rPr>
        <w:t>）维护公司的声誉，保持公司的良好形象。</w:t>
      </w:r>
    </w:p>
    <w:p w14:paraId="609EB96F"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rPr>
        <w:t>2</w:t>
      </w:r>
      <w:r w:rsidRPr="0047638B">
        <w:rPr>
          <w:rFonts w:asciiTheme="minorEastAsia" w:eastAsiaTheme="minorEastAsia" w:hAnsiTheme="minorEastAsia" w:hint="eastAsia"/>
        </w:rPr>
        <w:t>、公司内部控制遵循的原则</w:t>
      </w:r>
    </w:p>
    <w:p w14:paraId="443CB057" w14:textId="77777777" w:rsidR="00452D8D" w:rsidRPr="0047638B" w:rsidRDefault="00452D8D" w:rsidP="00452D8D">
      <w:pPr>
        <w:spacing w:line="360" w:lineRule="auto"/>
        <w:ind w:firstLine="420"/>
        <w:rPr>
          <w:rFonts w:asciiTheme="minorEastAsia" w:eastAsiaTheme="minorEastAsia" w:hAnsiTheme="minorEastAsia"/>
        </w:rPr>
      </w:pPr>
      <w:bookmarkStart w:id="3" w:name="_Toc332373463"/>
      <w:r w:rsidRPr="0047638B">
        <w:rPr>
          <w:rFonts w:asciiTheme="minorEastAsia" w:eastAsiaTheme="minorEastAsia" w:hAnsiTheme="minorEastAsia" w:hint="eastAsia"/>
        </w:rPr>
        <w:t>（</w:t>
      </w:r>
      <w:r w:rsidRPr="0047638B">
        <w:rPr>
          <w:rFonts w:asciiTheme="minorEastAsia" w:eastAsiaTheme="minorEastAsia" w:hAnsiTheme="minorEastAsia"/>
        </w:rPr>
        <w:t>1</w:t>
      </w:r>
      <w:bookmarkEnd w:id="3"/>
      <w:r w:rsidRPr="0047638B">
        <w:rPr>
          <w:rFonts w:asciiTheme="minorEastAsia" w:eastAsiaTheme="minorEastAsia" w:hAnsiTheme="minorEastAsia" w:hint="eastAsia"/>
        </w:rPr>
        <w:t>）健全性原则。内部控制应当包括公司的各项业务、各个部门或机构和各级人员</w:t>
      </w:r>
      <w:r w:rsidRPr="0047638B">
        <w:rPr>
          <w:rFonts w:asciiTheme="minorEastAsia" w:eastAsiaTheme="minorEastAsia" w:hAnsiTheme="minorEastAsia"/>
        </w:rPr>
        <w:t>,</w:t>
      </w:r>
      <w:r w:rsidRPr="0047638B">
        <w:rPr>
          <w:rFonts w:asciiTheme="minorEastAsia" w:eastAsiaTheme="minorEastAsia" w:hAnsiTheme="minorEastAsia" w:hint="eastAsia"/>
        </w:rPr>
        <w:t>并涵盖到决策、执行、监督、反馈等各个环节。</w:t>
      </w:r>
    </w:p>
    <w:p w14:paraId="6745CB5A"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2</w:t>
      </w:r>
      <w:r w:rsidRPr="0047638B">
        <w:rPr>
          <w:rFonts w:asciiTheme="minorEastAsia" w:eastAsiaTheme="minorEastAsia" w:hAnsiTheme="minorEastAsia" w:hint="eastAsia"/>
        </w:rPr>
        <w:t>）有效性原则。通过科学的内控手段和方法，建立合理的内控程序，维护内控制度的有效执行。</w:t>
      </w:r>
    </w:p>
    <w:p w14:paraId="7B971C0D"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3</w:t>
      </w:r>
      <w:r w:rsidRPr="0047638B">
        <w:rPr>
          <w:rFonts w:asciiTheme="minorEastAsia" w:eastAsiaTheme="minorEastAsia" w:hAnsiTheme="minorEastAsia" w:hint="eastAsia"/>
        </w:rPr>
        <w:t>）独立性原则。公司机构、部门和岗位职责应当保持相对独立，除非法律法规另有规定，公司基金资产、自有资产、其他资产的运作应当分离。</w:t>
      </w:r>
    </w:p>
    <w:p w14:paraId="6F1C0F30"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4</w:t>
      </w:r>
      <w:r w:rsidRPr="0047638B">
        <w:rPr>
          <w:rFonts w:asciiTheme="minorEastAsia" w:eastAsiaTheme="minorEastAsia" w:hAnsiTheme="minorEastAsia" w:hint="eastAsia"/>
        </w:rPr>
        <w:t>）相互制约原则。公司内部部门和岗位的设置应当体现权责分明、相互制衡。</w:t>
      </w:r>
    </w:p>
    <w:p w14:paraId="227F9701"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5</w:t>
      </w:r>
      <w:r w:rsidRPr="0047638B">
        <w:rPr>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14:paraId="13D0D0DD"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rPr>
        <w:t>3</w:t>
      </w:r>
      <w:r w:rsidRPr="0047638B">
        <w:rPr>
          <w:rFonts w:asciiTheme="minorEastAsia" w:eastAsiaTheme="minorEastAsia" w:hAnsiTheme="minorEastAsia" w:hint="eastAsia"/>
        </w:rPr>
        <w:t>、内部控制的制度体系</w:t>
      </w:r>
    </w:p>
    <w:p w14:paraId="4CE97D69" w14:textId="77777777" w:rsidR="00452D8D" w:rsidRPr="0047638B" w:rsidRDefault="00452D8D" w:rsidP="00452D8D">
      <w:pPr>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09C98658" w14:textId="77777777"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lastRenderedPageBreak/>
        <w:t>4、关于授权、研究、投资、交易等方面的控制点</w:t>
      </w:r>
    </w:p>
    <w:p w14:paraId="0E2F50E8" w14:textId="77777777" w:rsidR="006D6B6D" w:rsidRPr="0047638B" w:rsidRDefault="000D0429">
      <w:pPr>
        <w:spacing w:line="360" w:lineRule="auto"/>
        <w:ind w:firstLine="420"/>
        <w:rPr>
          <w:rFonts w:asciiTheme="minorEastAsia" w:eastAsiaTheme="minorEastAsia" w:hAnsiTheme="minorEastAsia"/>
        </w:rPr>
      </w:pPr>
      <w:r w:rsidRPr="0047638B">
        <w:rPr>
          <w:rFonts w:asciiTheme="minorEastAsia" w:eastAsiaTheme="minorEastAsia" w:hAnsiTheme="minorEastAsia"/>
        </w:rPr>
        <w:t>（1）授权制度</w:t>
      </w:r>
    </w:p>
    <w:p w14:paraId="11B61F6C"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14:paraId="12E03AD8"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2</w:t>
      </w:r>
      <w:r w:rsidRPr="0047638B">
        <w:rPr>
          <w:rFonts w:asciiTheme="minorEastAsia" w:eastAsiaTheme="minorEastAsia" w:hAnsiTheme="minorEastAsia" w:hint="eastAsia"/>
          <w:szCs w:val="21"/>
        </w:rPr>
        <w:t>）公司研究业务</w:t>
      </w:r>
    </w:p>
    <w:p w14:paraId="3F3E2452"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4E042BF0"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3</w:t>
      </w:r>
      <w:r w:rsidRPr="0047638B">
        <w:rPr>
          <w:rFonts w:asciiTheme="minorEastAsia" w:eastAsiaTheme="minorEastAsia" w:hAnsiTheme="minorEastAsia" w:hint="eastAsia"/>
          <w:szCs w:val="21"/>
        </w:rPr>
        <w:t>）基金投资业务</w:t>
      </w:r>
    </w:p>
    <w:p w14:paraId="11168157"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14:paraId="276C9058"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4</w:t>
      </w:r>
      <w:r w:rsidRPr="0047638B">
        <w:rPr>
          <w:rFonts w:asciiTheme="minorEastAsia" w:eastAsiaTheme="minorEastAsia" w:hAnsiTheme="minorEastAsia" w:hint="eastAsia"/>
          <w:szCs w:val="21"/>
        </w:rPr>
        <w:t>）交易业务</w:t>
      </w:r>
    </w:p>
    <w:p w14:paraId="0AEA3A1E"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14:paraId="56C44293"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5</w:t>
      </w:r>
      <w:r w:rsidRPr="0047638B">
        <w:rPr>
          <w:rFonts w:asciiTheme="minorEastAsia" w:eastAsiaTheme="minorEastAsia" w:hAnsiTheme="minorEastAsia" w:hint="eastAsia"/>
          <w:szCs w:val="21"/>
        </w:rPr>
        <w:t>）基金会计核算</w:t>
      </w:r>
    </w:p>
    <w:p w14:paraId="423AEBA7"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14:paraId="696F2EDF"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6</w:t>
      </w:r>
      <w:r w:rsidRPr="0047638B">
        <w:rPr>
          <w:rFonts w:asciiTheme="minorEastAsia" w:eastAsiaTheme="minorEastAsia" w:hAnsiTheme="minorEastAsia" w:hint="eastAsia"/>
          <w:szCs w:val="21"/>
        </w:rPr>
        <w:t>）信息披露</w:t>
      </w:r>
    </w:p>
    <w:p w14:paraId="69660C9B"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lastRenderedPageBreak/>
        <w:t>公司建立了完备的信息披露制度，指定了信息披露负责人，并建立了相应的制度流程规范相关信息的收集、组织、审核和发布，努力确保公开披露的信息真实、准确、完整、及时。</w:t>
      </w:r>
    </w:p>
    <w:p w14:paraId="0AFE9038"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7</w:t>
      </w:r>
      <w:r w:rsidRPr="0047638B">
        <w:rPr>
          <w:rFonts w:asciiTheme="minorEastAsia" w:eastAsiaTheme="minorEastAsia" w:hAnsiTheme="minorEastAsia" w:hint="eastAsia"/>
          <w:szCs w:val="21"/>
        </w:rPr>
        <w:t>）监察与合规管理</w:t>
      </w:r>
    </w:p>
    <w:p w14:paraId="62EF7C20"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14:paraId="1879B1EB"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公司设立监察合规管理部门，并保障其独立性。监察合规管理部门按照公司规定和督察长的安排履行监察与合规管理职责。</w:t>
      </w:r>
    </w:p>
    <w:p w14:paraId="0FAB3321"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监察合规管理部门通过定期或不定期检查内部控制制度的执行情况，督促公司和旗下基金的管理运作规范进行。</w:t>
      </w:r>
    </w:p>
    <w:p w14:paraId="35D539A7"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14:paraId="50118C24"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szCs w:val="21"/>
        </w:rPr>
        <w:t>5</w:t>
      </w:r>
      <w:r w:rsidRPr="0047638B">
        <w:rPr>
          <w:rFonts w:asciiTheme="minorEastAsia" w:eastAsiaTheme="minorEastAsia" w:hAnsiTheme="minorEastAsia" w:hint="eastAsia"/>
          <w:szCs w:val="21"/>
        </w:rPr>
        <w:t>、基金管理人关于内部控制制度声明书</w:t>
      </w:r>
    </w:p>
    <w:p w14:paraId="4C3A1E10"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1</w:t>
      </w:r>
      <w:r w:rsidRPr="0047638B">
        <w:rPr>
          <w:rFonts w:asciiTheme="minorEastAsia" w:eastAsiaTheme="minorEastAsia" w:hAnsiTheme="minorEastAsia" w:hint="eastAsia"/>
          <w:szCs w:val="21"/>
        </w:rPr>
        <w:t>）本公司承诺以上关于内部控制制度的披露真实、准确；</w:t>
      </w:r>
    </w:p>
    <w:p w14:paraId="6CA0359C" w14:textId="77777777" w:rsidR="00452D8D" w:rsidRPr="0047638B" w:rsidRDefault="00452D8D" w:rsidP="00452D8D">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2</w:t>
      </w:r>
      <w:r w:rsidRPr="0047638B">
        <w:rPr>
          <w:rFonts w:asciiTheme="minorEastAsia" w:eastAsiaTheme="minorEastAsia" w:hAnsiTheme="minorEastAsia" w:hint="eastAsia"/>
          <w:szCs w:val="21"/>
        </w:rPr>
        <w:t>）本公司承诺根据市场变化和公司业务发展不断完善内部控制制度。</w:t>
      </w:r>
      <w:bookmarkStart w:id="4" w:name="_Toc296526926"/>
      <w:bookmarkStart w:id="5" w:name="_Toc296526927"/>
      <w:bookmarkStart w:id="6" w:name="_Toc296526928"/>
      <w:bookmarkStart w:id="7" w:name="_Toc296526929"/>
      <w:bookmarkStart w:id="8" w:name="_Toc296526931"/>
      <w:bookmarkStart w:id="9" w:name="_Toc296526932"/>
      <w:bookmarkStart w:id="10" w:name="_Toc296526933"/>
      <w:bookmarkStart w:id="11" w:name="_Toc296526934"/>
      <w:bookmarkStart w:id="12" w:name="_Toc296526936"/>
      <w:bookmarkStart w:id="13" w:name="_Toc296526958"/>
      <w:bookmarkStart w:id="14" w:name="_Toc272569765"/>
      <w:bookmarkStart w:id="15" w:name="_Toc272569766"/>
      <w:bookmarkStart w:id="16" w:name="_Toc272569767"/>
      <w:bookmarkStart w:id="17" w:name="_Toc272569768"/>
      <w:bookmarkStart w:id="18" w:name="_Toc272569769"/>
      <w:bookmarkStart w:id="19" w:name="_Toc272569770"/>
      <w:bookmarkStart w:id="20" w:name="_Toc272569771"/>
      <w:bookmarkStart w:id="21" w:name="_Toc272569772"/>
      <w:bookmarkStart w:id="22" w:name="_Toc272569773"/>
      <w:bookmarkStart w:id="23" w:name="_Toc296440126"/>
      <w:bookmarkStart w:id="24" w:name="_Toc296526963"/>
      <w:bookmarkStart w:id="25" w:name="_Toc296526974"/>
      <w:bookmarkStart w:id="26" w:name="_Toc323051000"/>
      <w:bookmarkStart w:id="27" w:name="_Toc308697488"/>
      <w:bookmarkStart w:id="28" w:name="_Toc309286010"/>
      <w:bookmarkStart w:id="29" w:name="_Toc296526989"/>
      <w:bookmarkStart w:id="30" w:name="_Toc323051008"/>
      <w:bookmarkStart w:id="31" w:name="_Toc296526992"/>
      <w:bookmarkStart w:id="32" w:name="_Toc296526993"/>
      <w:bookmarkStart w:id="33" w:name="_Toc277752499"/>
      <w:bookmarkStart w:id="34" w:name="_Toc277786078"/>
      <w:bookmarkStart w:id="35" w:name="_Toc277787599"/>
      <w:bookmarkStart w:id="36" w:name="_Toc277787873"/>
      <w:bookmarkStart w:id="37" w:name="_Toc278409384"/>
      <w:bookmarkStart w:id="38" w:name="_Toc308697497"/>
      <w:bookmarkStart w:id="39" w:name="_Toc309286019"/>
      <w:bookmarkStart w:id="40" w:name="_Toc308697498"/>
      <w:bookmarkStart w:id="41" w:name="_Toc309286020"/>
      <w:bookmarkStart w:id="42" w:name="_Toc308697499"/>
      <w:bookmarkStart w:id="43" w:name="_Toc309286021"/>
      <w:bookmarkStart w:id="44" w:name="_Toc308697500"/>
      <w:bookmarkStart w:id="45" w:name="_Toc309286022"/>
      <w:bookmarkStart w:id="46" w:name="_Toc308697501"/>
      <w:bookmarkStart w:id="47" w:name="_Toc309286023"/>
      <w:bookmarkStart w:id="48" w:name="_Toc308697502"/>
      <w:bookmarkStart w:id="49" w:name="_Toc309286024"/>
      <w:bookmarkStart w:id="50" w:name="_Toc308697503"/>
      <w:bookmarkStart w:id="51" w:name="_Toc309286025"/>
      <w:bookmarkStart w:id="52" w:name="_Toc308697504"/>
      <w:bookmarkStart w:id="53" w:name="_Toc309286026"/>
      <w:bookmarkStart w:id="54" w:name="_Toc308697505"/>
      <w:bookmarkStart w:id="55" w:name="_Toc309286027"/>
      <w:bookmarkStart w:id="56" w:name="_Toc308697506"/>
      <w:bookmarkStart w:id="57" w:name="_Toc309286028"/>
      <w:bookmarkStart w:id="58" w:name="_Toc308697507"/>
      <w:bookmarkStart w:id="59" w:name="_Toc309286029"/>
      <w:bookmarkStart w:id="60" w:name="_Toc308697508"/>
      <w:bookmarkStart w:id="61" w:name="_Toc309286030"/>
      <w:bookmarkStart w:id="62" w:name="_Toc308697509"/>
      <w:bookmarkStart w:id="63" w:name="_Toc309286031"/>
      <w:bookmarkStart w:id="64" w:name="_Toc308697510"/>
      <w:bookmarkStart w:id="65" w:name="_Toc309286032"/>
      <w:bookmarkStart w:id="66" w:name="_Toc308697511"/>
      <w:bookmarkStart w:id="67" w:name="_Toc309286033"/>
      <w:bookmarkStart w:id="68" w:name="_Toc308697512"/>
      <w:bookmarkStart w:id="69" w:name="_Toc309286034"/>
      <w:bookmarkStart w:id="70" w:name="_Toc308697513"/>
      <w:bookmarkStart w:id="71" w:name="_Toc309286035"/>
      <w:bookmarkStart w:id="72" w:name="_Toc277752504"/>
      <w:bookmarkStart w:id="73" w:name="_Toc277786083"/>
      <w:bookmarkStart w:id="74" w:name="_Toc277787604"/>
      <w:bookmarkStart w:id="75" w:name="_Toc277787878"/>
      <w:bookmarkStart w:id="76" w:name="_Toc278409389"/>
      <w:bookmarkStart w:id="77" w:name="_Toc277752505"/>
      <w:bookmarkStart w:id="78" w:name="_Toc277786084"/>
      <w:bookmarkStart w:id="79" w:name="_Toc277787605"/>
      <w:bookmarkStart w:id="80" w:name="_Toc277787879"/>
      <w:bookmarkStart w:id="81" w:name="_Toc278409390"/>
      <w:bookmarkStart w:id="82" w:name="_Toc277752506"/>
      <w:bookmarkStart w:id="83" w:name="_Toc277786085"/>
      <w:bookmarkStart w:id="84" w:name="_Toc277787606"/>
      <w:bookmarkStart w:id="85" w:name="_Toc277787880"/>
      <w:bookmarkStart w:id="86" w:name="_Toc278409391"/>
      <w:bookmarkStart w:id="87" w:name="_Toc277752507"/>
      <w:bookmarkStart w:id="88" w:name="_Toc277786086"/>
      <w:bookmarkStart w:id="89" w:name="_Toc277787607"/>
      <w:bookmarkStart w:id="90" w:name="_Toc277787881"/>
      <w:bookmarkStart w:id="91" w:name="_Toc278409392"/>
      <w:bookmarkStart w:id="92" w:name="_Toc277752508"/>
      <w:bookmarkStart w:id="93" w:name="_Toc277786087"/>
      <w:bookmarkStart w:id="94" w:name="_Toc277787608"/>
      <w:bookmarkStart w:id="95" w:name="_Toc277787882"/>
      <w:bookmarkStart w:id="96" w:name="_Toc278409393"/>
      <w:bookmarkStart w:id="97" w:name="_Toc277752509"/>
      <w:bookmarkStart w:id="98" w:name="_Toc277786088"/>
      <w:bookmarkStart w:id="99" w:name="_Toc277787609"/>
      <w:bookmarkStart w:id="100" w:name="_Toc277787883"/>
      <w:bookmarkStart w:id="101" w:name="_Toc278409394"/>
      <w:bookmarkStart w:id="102" w:name="_Toc308697516"/>
      <w:bookmarkStart w:id="103" w:name="_Toc309286038"/>
      <w:bookmarkStart w:id="104" w:name="_Toc308697517"/>
      <w:bookmarkStart w:id="105" w:name="_Toc309286039"/>
      <w:bookmarkStart w:id="106" w:name="_Toc296527004"/>
      <w:bookmarkStart w:id="107" w:name="_Hlt88827255"/>
      <w:bookmarkStart w:id="108" w:name="_Toc308697541"/>
      <w:bookmarkStart w:id="109" w:name="_Toc309286063"/>
      <w:bookmarkStart w:id="110" w:name="_Toc308697542"/>
      <w:bookmarkStart w:id="111" w:name="_Toc309286064"/>
      <w:bookmarkStart w:id="112" w:name="_Toc308697543"/>
      <w:bookmarkStart w:id="113" w:name="_Toc309286065"/>
      <w:bookmarkStart w:id="114" w:name="_Toc306614238"/>
      <w:bookmarkStart w:id="115" w:name="_Toc310512463"/>
      <w:bookmarkStart w:id="116" w:name="_Toc310512627"/>
      <w:bookmarkStart w:id="117" w:name="_Toc310512780"/>
      <w:bookmarkStart w:id="118" w:name="_Toc310512933"/>
      <w:bookmarkStart w:id="119" w:name="_Toc310513073"/>
      <w:bookmarkStart w:id="120" w:name="_Toc310513212"/>
      <w:bookmarkStart w:id="121" w:name="_Toc310513348"/>
      <w:bookmarkStart w:id="122" w:name="_Toc323051024"/>
      <w:bookmarkStart w:id="123" w:name="_Toc310512464"/>
      <w:bookmarkStart w:id="124" w:name="_Toc310512628"/>
      <w:bookmarkStart w:id="125" w:name="_Toc310512781"/>
      <w:bookmarkStart w:id="126" w:name="_Toc310512934"/>
      <w:bookmarkStart w:id="127" w:name="_Toc310513074"/>
      <w:bookmarkStart w:id="128" w:name="_Toc310513213"/>
      <w:bookmarkStart w:id="129" w:name="_Toc310513349"/>
      <w:bookmarkStart w:id="130" w:name="_Toc323051025"/>
      <w:bookmarkStart w:id="131" w:name="_Toc310512465"/>
      <w:bookmarkStart w:id="132" w:name="_Toc310512629"/>
      <w:bookmarkStart w:id="133" w:name="_Toc310512782"/>
      <w:bookmarkStart w:id="134" w:name="_Toc310512935"/>
      <w:bookmarkStart w:id="135" w:name="_Toc310513075"/>
      <w:bookmarkStart w:id="136" w:name="_Toc310513214"/>
      <w:bookmarkStart w:id="137" w:name="_Toc310513350"/>
      <w:bookmarkStart w:id="138" w:name="_Toc323051026"/>
      <w:bookmarkStart w:id="139" w:name="_Hlt88841837"/>
      <w:bookmarkStart w:id="140" w:name="_Hlt88900062"/>
      <w:bookmarkStart w:id="141" w:name="_Toc308697560"/>
      <w:bookmarkStart w:id="142" w:name="_Toc309286082"/>
      <w:bookmarkStart w:id="143" w:name="_Toc308697561"/>
      <w:bookmarkStart w:id="144" w:name="_Toc309286083"/>
      <w:bookmarkStart w:id="145" w:name="_Toc308697562"/>
      <w:bookmarkStart w:id="146" w:name="_Toc309286084"/>
      <w:bookmarkStart w:id="147" w:name="_Toc44229106"/>
      <w:bookmarkStart w:id="148" w:name="_Toc44229201"/>
      <w:bookmarkStart w:id="149" w:name="_Toc44229107"/>
      <w:bookmarkStart w:id="150" w:name="_Toc44229202"/>
      <w:bookmarkStart w:id="151" w:name="_Toc44229108"/>
      <w:bookmarkStart w:id="152" w:name="_Toc44229203"/>
      <w:bookmarkStart w:id="153" w:name="_Toc44229109"/>
      <w:bookmarkStart w:id="154" w:name="_Toc44229204"/>
      <w:bookmarkStart w:id="155" w:name="_Toc44229110"/>
      <w:bookmarkStart w:id="156" w:name="_Toc44229205"/>
      <w:bookmarkStart w:id="157" w:name="_Toc44229111"/>
      <w:bookmarkStart w:id="158" w:name="_Toc44229206"/>
      <w:bookmarkStart w:id="159" w:name="_Toc44229112"/>
      <w:bookmarkStart w:id="160" w:name="_Toc44229207"/>
      <w:bookmarkStart w:id="161" w:name="_Toc44229113"/>
      <w:bookmarkStart w:id="162" w:name="_Toc44229208"/>
      <w:bookmarkStart w:id="163" w:name="_Toc185222016"/>
      <w:bookmarkStart w:id="164" w:name="_Toc185222488"/>
      <w:bookmarkStart w:id="165" w:name="_Toc185222591"/>
      <w:bookmarkStart w:id="166" w:name="_Toc185222757"/>
      <w:bookmarkStart w:id="167" w:name="_Hlt80958353"/>
      <w:bookmarkStart w:id="168" w:name="_Toc278409426"/>
      <w:bookmarkStart w:id="169" w:name="_Toc323051053"/>
      <w:bookmarkStart w:id="170" w:name="_Toc323051054"/>
      <w:bookmarkStart w:id="171" w:name="_Toc323051055"/>
      <w:bookmarkStart w:id="172" w:name="_Toc308697583"/>
      <w:bookmarkStart w:id="173" w:name="_Toc309286105"/>
      <w:bookmarkStart w:id="174" w:name="_Toc308697584"/>
      <w:bookmarkStart w:id="175" w:name="_Toc309286106"/>
      <w:bookmarkStart w:id="176" w:name="_Toc308697585"/>
      <w:bookmarkStart w:id="177" w:name="_Toc309286107"/>
      <w:bookmarkStart w:id="178" w:name="_Toc308697586"/>
      <w:bookmarkStart w:id="179" w:name="_Toc309286108"/>
      <w:bookmarkStart w:id="180" w:name="_Toc308697587"/>
      <w:bookmarkStart w:id="181" w:name="_Toc309286109"/>
      <w:bookmarkStart w:id="182" w:name="_Toc308697588"/>
      <w:bookmarkStart w:id="183" w:name="_Toc309286110"/>
      <w:bookmarkStart w:id="184" w:name="_Toc308697589"/>
      <w:bookmarkStart w:id="185" w:name="_Toc309286111"/>
      <w:bookmarkStart w:id="186" w:name="_Toc308697590"/>
      <w:bookmarkStart w:id="187" w:name="_Toc309286112"/>
      <w:bookmarkStart w:id="188" w:name="_Toc308697591"/>
      <w:bookmarkStart w:id="189" w:name="_Toc309286113"/>
      <w:bookmarkStart w:id="190" w:name="_Toc308697592"/>
      <w:bookmarkStart w:id="191" w:name="_Toc309286114"/>
      <w:bookmarkStart w:id="192" w:name="_Toc308697593"/>
      <w:bookmarkStart w:id="193" w:name="_Toc309286115"/>
      <w:bookmarkStart w:id="194" w:name="_Toc308697594"/>
      <w:bookmarkStart w:id="195" w:name="_Toc309286116"/>
      <w:bookmarkStart w:id="196" w:name="_Toc308697595"/>
      <w:bookmarkStart w:id="197" w:name="_Toc309286117"/>
      <w:bookmarkStart w:id="198" w:name="_Toc308697596"/>
      <w:bookmarkStart w:id="199" w:name="_Toc309286118"/>
      <w:bookmarkStart w:id="200" w:name="_Toc308697597"/>
      <w:bookmarkStart w:id="201" w:name="_Toc309286119"/>
      <w:bookmarkStart w:id="202" w:name="_Toc308697598"/>
      <w:bookmarkStart w:id="203" w:name="_Toc309286120"/>
      <w:bookmarkStart w:id="204" w:name="_Toc308697599"/>
      <w:bookmarkStart w:id="205" w:name="_Toc309286121"/>
      <w:bookmarkStart w:id="206" w:name="_Toc308697600"/>
      <w:bookmarkStart w:id="207" w:name="_Toc309286122"/>
      <w:bookmarkStart w:id="208" w:name="_Toc308697601"/>
      <w:bookmarkStart w:id="209" w:name="_Toc309286123"/>
      <w:bookmarkStart w:id="210" w:name="_Toc308697602"/>
      <w:bookmarkStart w:id="211" w:name="_Toc309286124"/>
      <w:bookmarkStart w:id="212" w:name="_Toc308697603"/>
      <w:bookmarkStart w:id="213" w:name="_Toc309286125"/>
      <w:bookmarkStart w:id="214" w:name="_Toc308697604"/>
      <w:bookmarkStart w:id="215" w:name="_Toc309286126"/>
      <w:bookmarkStart w:id="216" w:name="_Toc308697605"/>
      <w:bookmarkStart w:id="217" w:name="_Toc309286127"/>
      <w:bookmarkStart w:id="218" w:name="_Toc308697606"/>
      <w:bookmarkStart w:id="219" w:name="_Toc309286128"/>
      <w:bookmarkStart w:id="220" w:name="_Toc308697607"/>
      <w:bookmarkStart w:id="221" w:name="_Toc309286129"/>
      <w:bookmarkStart w:id="222" w:name="_Toc308697608"/>
      <w:bookmarkStart w:id="223" w:name="_Toc309286130"/>
      <w:bookmarkStart w:id="224" w:name="_Toc308697609"/>
      <w:bookmarkStart w:id="225" w:name="_Toc309286131"/>
      <w:bookmarkStart w:id="226" w:name="_Toc308697610"/>
      <w:bookmarkStart w:id="227" w:name="_Toc309286132"/>
      <w:bookmarkStart w:id="228" w:name="_Toc308697611"/>
      <w:bookmarkStart w:id="229" w:name="_Toc309286133"/>
      <w:bookmarkStart w:id="230" w:name="_Toc308697612"/>
      <w:bookmarkStart w:id="231" w:name="_Toc309286134"/>
      <w:bookmarkStart w:id="232" w:name="_Toc308697613"/>
      <w:bookmarkStart w:id="233" w:name="_Toc309286135"/>
      <w:bookmarkStart w:id="234" w:name="_Toc308697614"/>
      <w:bookmarkStart w:id="235" w:name="_Toc309286136"/>
      <w:bookmarkStart w:id="236" w:name="_Toc308697615"/>
      <w:bookmarkStart w:id="237" w:name="_Toc309286137"/>
      <w:bookmarkStart w:id="238" w:name="_Toc308697616"/>
      <w:bookmarkStart w:id="239" w:name="_Toc309286138"/>
      <w:bookmarkStart w:id="240" w:name="_Toc308697617"/>
      <w:bookmarkStart w:id="241" w:name="_Toc309286139"/>
      <w:bookmarkStart w:id="242" w:name="_Toc308697618"/>
      <w:bookmarkStart w:id="243" w:name="_Toc309286140"/>
      <w:bookmarkStart w:id="244" w:name="_Toc308697619"/>
      <w:bookmarkStart w:id="245" w:name="_Toc309286141"/>
      <w:bookmarkStart w:id="246" w:name="_Toc308697620"/>
      <w:bookmarkStart w:id="247" w:name="_Toc309286142"/>
      <w:bookmarkStart w:id="248" w:name="_Toc308697621"/>
      <w:bookmarkStart w:id="249" w:name="_Toc309286143"/>
      <w:bookmarkStart w:id="250" w:name="_Toc308697622"/>
      <w:bookmarkStart w:id="251" w:name="_Toc309286144"/>
      <w:bookmarkStart w:id="252" w:name="_Toc308697623"/>
      <w:bookmarkStart w:id="253" w:name="_Toc309286145"/>
      <w:bookmarkStart w:id="254" w:name="_Toc308697624"/>
      <w:bookmarkStart w:id="255" w:name="_Toc309286146"/>
      <w:bookmarkStart w:id="256" w:name="_Toc308697625"/>
      <w:bookmarkStart w:id="257" w:name="_Toc309286147"/>
      <w:bookmarkStart w:id="258" w:name="_Toc308697626"/>
      <w:bookmarkStart w:id="259" w:name="_Toc309286148"/>
      <w:bookmarkStart w:id="260" w:name="_Toc308697627"/>
      <w:bookmarkStart w:id="261" w:name="_Toc309286149"/>
      <w:bookmarkStart w:id="262" w:name="_Toc308697628"/>
      <w:bookmarkStart w:id="263" w:name="_Toc309286150"/>
      <w:bookmarkStart w:id="264" w:name="_Toc308697629"/>
      <w:bookmarkStart w:id="265" w:name="_Toc309286151"/>
      <w:bookmarkStart w:id="266" w:name="_Toc308697630"/>
      <w:bookmarkStart w:id="267" w:name="_Toc309286152"/>
      <w:bookmarkStart w:id="268" w:name="_Toc308697631"/>
      <w:bookmarkStart w:id="269" w:name="_Toc309286153"/>
      <w:bookmarkStart w:id="270" w:name="_Toc308697632"/>
      <w:bookmarkStart w:id="271" w:name="_Toc309286154"/>
      <w:bookmarkStart w:id="272" w:name="_Toc308697633"/>
      <w:bookmarkStart w:id="273" w:name="_Toc309286155"/>
      <w:bookmarkStart w:id="274" w:name="_Toc308697634"/>
      <w:bookmarkStart w:id="275" w:name="_Toc309286156"/>
      <w:bookmarkStart w:id="276" w:name="_Toc308697635"/>
      <w:bookmarkStart w:id="277" w:name="_Toc309286157"/>
      <w:bookmarkStart w:id="278" w:name="_Toc308697636"/>
      <w:bookmarkStart w:id="279" w:name="_Toc309286158"/>
      <w:bookmarkStart w:id="280" w:name="_Toc308697637"/>
      <w:bookmarkStart w:id="281" w:name="_Toc309286159"/>
      <w:bookmarkStart w:id="282" w:name="_Toc308697638"/>
      <w:bookmarkStart w:id="283" w:name="_Toc309286160"/>
      <w:bookmarkStart w:id="284" w:name="_Toc308697639"/>
      <w:bookmarkStart w:id="285" w:name="_Toc309286161"/>
      <w:bookmarkStart w:id="286" w:name="_Toc308697640"/>
      <w:bookmarkStart w:id="287" w:name="_Toc309286162"/>
      <w:bookmarkStart w:id="288" w:name="_Toc308697641"/>
      <w:bookmarkStart w:id="289" w:name="_Toc309286163"/>
      <w:bookmarkStart w:id="290" w:name="_Toc308697642"/>
      <w:bookmarkStart w:id="291" w:name="_Toc309286164"/>
      <w:bookmarkStart w:id="292" w:name="_Toc308697643"/>
      <w:bookmarkStart w:id="293" w:name="_Toc309286165"/>
      <w:bookmarkStart w:id="294" w:name="_Toc308697644"/>
      <w:bookmarkStart w:id="295" w:name="_Toc309286166"/>
      <w:bookmarkStart w:id="296" w:name="_Toc308697645"/>
      <w:bookmarkStart w:id="297" w:name="_Toc309286167"/>
      <w:bookmarkStart w:id="298" w:name="_Toc308697646"/>
      <w:bookmarkStart w:id="299" w:name="_Toc309286168"/>
      <w:bookmarkStart w:id="300" w:name="_Toc308697647"/>
      <w:bookmarkStart w:id="301" w:name="_Toc309286169"/>
      <w:bookmarkStart w:id="302" w:name="_Toc308697648"/>
      <w:bookmarkStart w:id="303" w:name="_Toc309286170"/>
      <w:bookmarkStart w:id="304" w:name="_Toc308697649"/>
      <w:bookmarkStart w:id="305" w:name="_Toc309286171"/>
      <w:bookmarkStart w:id="306" w:name="_Toc308697650"/>
      <w:bookmarkStart w:id="307" w:name="_Toc309286172"/>
      <w:bookmarkStart w:id="308" w:name="_Toc308697651"/>
      <w:bookmarkStart w:id="309" w:name="_Toc309286173"/>
      <w:bookmarkStart w:id="310" w:name="_Toc308697652"/>
      <w:bookmarkStart w:id="311" w:name="_Toc309286174"/>
      <w:bookmarkStart w:id="312" w:name="_Toc308697653"/>
      <w:bookmarkStart w:id="313" w:name="_Toc309286175"/>
      <w:bookmarkStart w:id="314" w:name="_Toc308697654"/>
      <w:bookmarkStart w:id="315" w:name="_Toc309286176"/>
      <w:bookmarkStart w:id="316" w:name="_Toc308697655"/>
      <w:bookmarkStart w:id="317" w:name="_Toc309286177"/>
      <w:bookmarkStart w:id="318" w:name="_Toc308697656"/>
      <w:bookmarkStart w:id="319" w:name="_Toc309286178"/>
      <w:bookmarkStart w:id="320" w:name="_Toc308697657"/>
      <w:bookmarkStart w:id="321" w:name="_Toc309286179"/>
      <w:bookmarkStart w:id="322" w:name="_Toc308697658"/>
      <w:bookmarkStart w:id="323" w:name="_Toc309286180"/>
      <w:bookmarkStart w:id="324" w:name="_Toc308697659"/>
      <w:bookmarkStart w:id="325" w:name="_Toc309286181"/>
      <w:bookmarkStart w:id="326" w:name="_Toc308697660"/>
      <w:bookmarkStart w:id="327" w:name="_Toc309286182"/>
      <w:bookmarkStart w:id="328" w:name="_Toc308697661"/>
      <w:bookmarkStart w:id="329" w:name="_Toc309286183"/>
      <w:bookmarkStart w:id="330" w:name="_Toc308697662"/>
      <w:bookmarkStart w:id="331" w:name="_Toc309286184"/>
      <w:bookmarkStart w:id="332" w:name="_Toc308697663"/>
      <w:bookmarkStart w:id="333" w:name="_Toc309286185"/>
      <w:bookmarkStart w:id="334" w:name="_Toc308697664"/>
      <w:bookmarkStart w:id="335" w:name="_Toc309286186"/>
      <w:bookmarkStart w:id="336" w:name="_Toc308697665"/>
      <w:bookmarkStart w:id="337" w:name="_Toc309286187"/>
      <w:bookmarkStart w:id="338" w:name="_Toc308697666"/>
      <w:bookmarkStart w:id="339" w:name="_Toc309286188"/>
      <w:bookmarkStart w:id="340" w:name="_Toc308697667"/>
      <w:bookmarkStart w:id="341" w:name="_Toc309286189"/>
      <w:bookmarkStart w:id="342" w:name="_Toc308697668"/>
      <w:bookmarkStart w:id="343" w:name="_Toc309286190"/>
      <w:bookmarkStart w:id="344" w:name="_Toc308697669"/>
      <w:bookmarkStart w:id="345" w:name="_Toc309286191"/>
      <w:bookmarkStart w:id="346" w:name="_Toc308697670"/>
      <w:bookmarkStart w:id="347" w:name="_Toc309286192"/>
      <w:bookmarkStart w:id="348" w:name="_Toc308697671"/>
      <w:bookmarkStart w:id="349" w:name="_Toc309286193"/>
      <w:bookmarkStart w:id="350" w:name="_Toc308697672"/>
      <w:bookmarkStart w:id="351" w:name="_Toc309286194"/>
      <w:bookmarkStart w:id="352" w:name="_Toc308697673"/>
      <w:bookmarkStart w:id="353" w:name="_Toc309286195"/>
      <w:bookmarkStart w:id="354" w:name="_Toc308697674"/>
      <w:bookmarkStart w:id="355" w:name="_Toc309286196"/>
      <w:bookmarkStart w:id="356" w:name="_Toc308697675"/>
      <w:bookmarkStart w:id="357" w:name="_Toc309286197"/>
      <w:bookmarkStart w:id="358" w:name="_Toc308697676"/>
      <w:bookmarkStart w:id="359" w:name="_Toc309286198"/>
      <w:bookmarkStart w:id="360" w:name="_Toc308697677"/>
      <w:bookmarkStart w:id="361" w:name="_Toc309286199"/>
      <w:bookmarkStart w:id="362" w:name="_Toc308697678"/>
      <w:bookmarkStart w:id="363" w:name="_Toc309286200"/>
      <w:bookmarkStart w:id="364" w:name="_Toc308697679"/>
      <w:bookmarkStart w:id="365" w:name="_Toc309286201"/>
      <w:bookmarkStart w:id="366" w:name="_Toc308697680"/>
      <w:bookmarkStart w:id="367" w:name="_Toc309286202"/>
      <w:bookmarkStart w:id="368" w:name="_Toc308697681"/>
      <w:bookmarkStart w:id="369" w:name="_Toc309286203"/>
      <w:bookmarkStart w:id="370" w:name="_Toc308697682"/>
      <w:bookmarkStart w:id="371" w:name="_Toc309286204"/>
      <w:bookmarkStart w:id="372" w:name="_Toc308697683"/>
      <w:bookmarkStart w:id="373" w:name="_Toc309286205"/>
      <w:bookmarkStart w:id="374" w:name="_Toc308697684"/>
      <w:bookmarkStart w:id="375" w:name="_Toc309286206"/>
      <w:bookmarkStart w:id="376" w:name="_Toc308697685"/>
      <w:bookmarkStart w:id="377" w:name="_Toc309286207"/>
      <w:bookmarkStart w:id="378" w:name="_Toc97031319"/>
      <w:bookmarkStart w:id="379" w:name="_Toc97107279"/>
      <w:bookmarkStart w:id="380" w:name="_Toc272569090"/>
      <w:bookmarkStart w:id="381" w:name="_Toc272569242"/>
      <w:bookmarkStart w:id="382" w:name="_Toc272569426"/>
      <w:bookmarkStart w:id="383" w:name="_Toc272569563"/>
      <w:bookmarkStart w:id="384" w:name="_Toc272569699"/>
      <w:bookmarkStart w:id="385" w:name="_Toc272569850"/>
      <w:bookmarkStart w:id="386" w:name="_Toc272570173"/>
      <w:bookmarkStart w:id="387" w:name="_Toc272570307"/>
      <w:bookmarkStart w:id="388" w:name="_Toc272570440"/>
      <w:bookmarkStart w:id="389" w:name="_Toc272570574"/>
      <w:bookmarkStart w:id="390" w:name="_Toc272570707"/>
      <w:bookmarkStart w:id="391" w:name="_Toc272570840"/>
      <w:bookmarkStart w:id="392" w:name="_Toc272569091"/>
      <w:bookmarkStart w:id="393" w:name="_Toc272569243"/>
      <w:bookmarkStart w:id="394" w:name="_Toc272569427"/>
      <w:bookmarkStart w:id="395" w:name="_Toc272569564"/>
      <w:bookmarkStart w:id="396" w:name="_Toc272569700"/>
      <w:bookmarkStart w:id="397" w:name="_Toc272569851"/>
      <w:bookmarkStart w:id="398" w:name="_Toc272570174"/>
      <w:bookmarkStart w:id="399" w:name="_Toc272570308"/>
      <w:bookmarkStart w:id="400" w:name="_Toc272570441"/>
      <w:bookmarkStart w:id="401" w:name="_Toc272570575"/>
      <w:bookmarkStart w:id="402" w:name="_Toc272570708"/>
      <w:bookmarkStart w:id="403" w:name="_Toc272570841"/>
      <w:bookmarkStart w:id="404" w:name="_Toc272569093"/>
      <w:bookmarkStart w:id="405" w:name="_Toc272569245"/>
      <w:bookmarkStart w:id="406" w:name="_Toc272569429"/>
      <w:bookmarkStart w:id="407" w:name="_Toc272569566"/>
      <w:bookmarkStart w:id="408" w:name="_Toc272569702"/>
      <w:bookmarkStart w:id="409" w:name="_Toc272569853"/>
      <w:bookmarkStart w:id="410" w:name="_Toc272570176"/>
      <w:bookmarkStart w:id="411" w:name="_Toc272570310"/>
      <w:bookmarkStart w:id="412" w:name="_Toc272570443"/>
      <w:bookmarkStart w:id="413" w:name="_Toc272570577"/>
      <w:bookmarkStart w:id="414" w:name="_Toc272570710"/>
      <w:bookmarkStart w:id="415" w:name="_Toc272570843"/>
      <w:bookmarkStart w:id="416" w:name="_Toc272569094"/>
      <w:bookmarkStart w:id="417" w:name="_Toc272569246"/>
      <w:bookmarkStart w:id="418" w:name="_Toc272569430"/>
      <w:bookmarkStart w:id="419" w:name="_Toc272569567"/>
      <w:bookmarkStart w:id="420" w:name="_Toc272569703"/>
      <w:bookmarkStart w:id="421" w:name="_Toc272569854"/>
      <w:bookmarkStart w:id="422" w:name="_Toc272570177"/>
      <w:bookmarkStart w:id="423" w:name="_Toc272570311"/>
      <w:bookmarkStart w:id="424" w:name="_Toc272570444"/>
      <w:bookmarkStart w:id="425" w:name="_Toc272570578"/>
      <w:bookmarkStart w:id="426" w:name="_Toc272570711"/>
      <w:bookmarkStart w:id="427" w:name="_Toc272570844"/>
      <w:bookmarkStart w:id="428" w:name="_Toc272569095"/>
      <w:bookmarkStart w:id="429" w:name="_Toc272569247"/>
      <w:bookmarkStart w:id="430" w:name="_Toc272569431"/>
      <w:bookmarkStart w:id="431" w:name="_Toc272569568"/>
      <w:bookmarkStart w:id="432" w:name="_Toc272569704"/>
      <w:bookmarkStart w:id="433" w:name="_Toc272569855"/>
      <w:bookmarkStart w:id="434" w:name="_Toc272570178"/>
      <w:bookmarkStart w:id="435" w:name="_Toc272570312"/>
      <w:bookmarkStart w:id="436" w:name="_Toc272570445"/>
      <w:bookmarkStart w:id="437" w:name="_Toc272570579"/>
      <w:bookmarkStart w:id="438" w:name="_Toc272570712"/>
      <w:bookmarkStart w:id="439" w:name="_Toc272570845"/>
      <w:bookmarkStart w:id="440" w:name="_Toc272569096"/>
      <w:bookmarkStart w:id="441" w:name="_Toc272569248"/>
      <w:bookmarkStart w:id="442" w:name="_Toc272569432"/>
      <w:bookmarkStart w:id="443" w:name="_Toc272569569"/>
      <w:bookmarkStart w:id="444" w:name="_Toc272569705"/>
      <w:bookmarkStart w:id="445" w:name="_Toc272569856"/>
      <w:bookmarkStart w:id="446" w:name="_Toc272570179"/>
      <w:bookmarkStart w:id="447" w:name="_Toc272570313"/>
      <w:bookmarkStart w:id="448" w:name="_Toc272570446"/>
      <w:bookmarkStart w:id="449" w:name="_Toc272570580"/>
      <w:bookmarkStart w:id="450" w:name="_Toc272570713"/>
      <w:bookmarkStart w:id="451" w:name="_Toc272570846"/>
      <w:bookmarkStart w:id="452" w:name="_Toc272569097"/>
      <w:bookmarkStart w:id="453" w:name="_Toc272569249"/>
      <w:bookmarkStart w:id="454" w:name="_Toc272569433"/>
      <w:bookmarkStart w:id="455" w:name="_Toc272569570"/>
      <w:bookmarkStart w:id="456" w:name="_Toc272569706"/>
      <w:bookmarkStart w:id="457" w:name="_Toc272569857"/>
      <w:bookmarkStart w:id="458" w:name="_Toc272570180"/>
      <w:bookmarkStart w:id="459" w:name="_Toc272570314"/>
      <w:bookmarkStart w:id="460" w:name="_Toc272570447"/>
      <w:bookmarkStart w:id="461" w:name="_Toc272570581"/>
      <w:bookmarkStart w:id="462" w:name="_Toc272570714"/>
      <w:bookmarkStart w:id="463" w:name="_Toc272570847"/>
      <w:bookmarkStart w:id="464" w:name="_Toc272569098"/>
      <w:bookmarkStart w:id="465" w:name="_Toc272569250"/>
      <w:bookmarkStart w:id="466" w:name="_Toc272569434"/>
      <w:bookmarkStart w:id="467" w:name="_Toc272569571"/>
      <w:bookmarkStart w:id="468" w:name="_Toc272569707"/>
      <w:bookmarkStart w:id="469" w:name="_Toc272569858"/>
      <w:bookmarkStart w:id="470" w:name="_Toc272570181"/>
      <w:bookmarkStart w:id="471" w:name="_Toc272570315"/>
      <w:bookmarkStart w:id="472" w:name="_Toc272570448"/>
      <w:bookmarkStart w:id="473" w:name="_Toc272570582"/>
      <w:bookmarkStart w:id="474" w:name="_Toc272570715"/>
      <w:bookmarkStart w:id="475" w:name="_Toc272570848"/>
      <w:bookmarkStart w:id="476" w:name="_Toc272569099"/>
      <w:bookmarkStart w:id="477" w:name="_Toc272569251"/>
      <w:bookmarkStart w:id="478" w:name="_Toc272569435"/>
      <w:bookmarkStart w:id="479" w:name="_Toc272569572"/>
      <w:bookmarkStart w:id="480" w:name="_Toc272569708"/>
      <w:bookmarkStart w:id="481" w:name="_Toc272569859"/>
      <w:bookmarkStart w:id="482" w:name="_Toc272570182"/>
      <w:bookmarkStart w:id="483" w:name="_Toc272570316"/>
      <w:bookmarkStart w:id="484" w:name="_Toc272570449"/>
      <w:bookmarkStart w:id="485" w:name="_Toc272570583"/>
      <w:bookmarkStart w:id="486" w:name="_Toc272570716"/>
      <w:bookmarkStart w:id="487" w:name="_Toc272570849"/>
      <w:bookmarkStart w:id="488" w:name="_Toc272569100"/>
      <w:bookmarkStart w:id="489" w:name="_Toc272569252"/>
      <w:bookmarkStart w:id="490" w:name="_Toc272569436"/>
      <w:bookmarkStart w:id="491" w:name="_Toc272569573"/>
      <w:bookmarkStart w:id="492" w:name="_Toc272569709"/>
      <w:bookmarkStart w:id="493" w:name="_Toc272569860"/>
      <w:bookmarkStart w:id="494" w:name="_Toc272570183"/>
      <w:bookmarkStart w:id="495" w:name="_Toc272570317"/>
      <w:bookmarkStart w:id="496" w:name="_Toc272570450"/>
      <w:bookmarkStart w:id="497" w:name="_Toc272570584"/>
      <w:bookmarkStart w:id="498" w:name="_Toc272570717"/>
      <w:bookmarkStart w:id="499" w:name="_Toc272570850"/>
      <w:bookmarkStart w:id="500" w:name="_Toc272569102"/>
      <w:bookmarkStart w:id="501" w:name="_Toc272569254"/>
      <w:bookmarkStart w:id="502" w:name="_Toc272569438"/>
      <w:bookmarkStart w:id="503" w:name="_Toc272569575"/>
      <w:bookmarkStart w:id="504" w:name="_Toc272569711"/>
      <w:bookmarkStart w:id="505" w:name="_Toc272569862"/>
      <w:bookmarkStart w:id="506" w:name="_Toc272570185"/>
      <w:bookmarkStart w:id="507" w:name="_Toc272570319"/>
      <w:bookmarkStart w:id="508" w:name="_Toc272570452"/>
      <w:bookmarkStart w:id="509" w:name="_Toc272570586"/>
      <w:bookmarkStart w:id="510" w:name="_Toc272570719"/>
      <w:bookmarkStart w:id="511" w:name="_Toc272570852"/>
      <w:bookmarkStart w:id="512" w:name="_Toc272569103"/>
      <w:bookmarkStart w:id="513" w:name="_Toc272569255"/>
      <w:bookmarkStart w:id="514" w:name="_Toc272569439"/>
      <w:bookmarkStart w:id="515" w:name="_Toc272569576"/>
      <w:bookmarkStart w:id="516" w:name="_Toc272569712"/>
      <w:bookmarkStart w:id="517" w:name="_Toc272569863"/>
      <w:bookmarkStart w:id="518" w:name="_Toc272570186"/>
      <w:bookmarkStart w:id="519" w:name="_Toc272570320"/>
      <w:bookmarkStart w:id="520" w:name="_Toc272570453"/>
      <w:bookmarkStart w:id="521" w:name="_Toc272570587"/>
      <w:bookmarkStart w:id="522" w:name="_Toc272570720"/>
      <w:bookmarkStart w:id="523" w:name="_Toc272570853"/>
      <w:bookmarkStart w:id="524" w:name="_Toc272569104"/>
      <w:bookmarkStart w:id="525" w:name="_Toc272569256"/>
      <w:bookmarkStart w:id="526" w:name="_Toc272569440"/>
      <w:bookmarkStart w:id="527" w:name="_Toc272569577"/>
      <w:bookmarkStart w:id="528" w:name="_Toc272569713"/>
      <w:bookmarkStart w:id="529" w:name="_Toc272569864"/>
      <w:bookmarkStart w:id="530" w:name="_Toc272570187"/>
      <w:bookmarkStart w:id="531" w:name="_Toc272570321"/>
      <w:bookmarkStart w:id="532" w:name="_Toc272570454"/>
      <w:bookmarkStart w:id="533" w:name="_Toc272570588"/>
      <w:bookmarkStart w:id="534" w:name="_Toc272570721"/>
      <w:bookmarkStart w:id="535" w:name="_Toc272570854"/>
      <w:bookmarkStart w:id="536" w:name="_Toc272569105"/>
      <w:bookmarkStart w:id="537" w:name="_Toc272569257"/>
      <w:bookmarkStart w:id="538" w:name="_Toc272569441"/>
      <w:bookmarkStart w:id="539" w:name="_Toc272569578"/>
      <w:bookmarkStart w:id="540" w:name="_Toc272569714"/>
      <w:bookmarkStart w:id="541" w:name="_Toc272569865"/>
      <w:bookmarkStart w:id="542" w:name="_Toc272570188"/>
      <w:bookmarkStart w:id="543" w:name="_Toc272570322"/>
      <w:bookmarkStart w:id="544" w:name="_Toc272570455"/>
      <w:bookmarkStart w:id="545" w:name="_Toc272570589"/>
      <w:bookmarkStart w:id="546" w:name="_Toc272570722"/>
      <w:bookmarkStart w:id="547" w:name="_Toc272570855"/>
      <w:bookmarkStart w:id="548" w:name="_Toc272569106"/>
      <w:bookmarkStart w:id="549" w:name="_Toc272569258"/>
      <w:bookmarkStart w:id="550" w:name="_Toc272569442"/>
      <w:bookmarkStart w:id="551" w:name="_Toc272569579"/>
      <w:bookmarkStart w:id="552" w:name="_Toc272569715"/>
      <w:bookmarkStart w:id="553" w:name="_Toc272569866"/>
      <w:bookmarkStart w:id="554" w:name="_Toc272570189"/>
      <w:bookmarkStart w:id="555" w:name="_Toc272570323"/>
      <w:bookmarkStart w:id="556" w:name="_Toc272570456"/>
      <w:bookmarkStart w:id="557" w:name="_Toc272570590"/>
      <w:bookmarkStart w:id="558" w:name="_Toc272570723"/>
      <w:bookmarkStart w:id="559" w:name="_Toc272570856"/>
      <w:bookmarkStart w:id="560" w:name="_Toc272569107"/>
      <w:bookmarkStart w:id="561" w:name="_Toc272569259"/>
      <w:bookmarkStart w:id="562" w:name="_Toc272569443"/>
      <w:bookmarkStart w:id="563" w:name="_Toc272569580"/>
      <w:bookmarkStart w:id="564" w:name="_Toc272569716"/>
      <w:bookmarkStart w:id="565" w:name="_Toc272569867"/>
      <w:bookmarkStart w:id="566" w:name="_Toc272570190"/>
      <w:bookmarkStart w:id="567" w:name="_Toc272570324"/>
      <w:bookmarkStart w:id="568" w:name="_Toc272570457"/>
      <w:bookmarkStart w:id="569" w:name="_Toc272570591"/>
      <w:bookmarkStart w:id="570" w:name="_Toc272570724"/>
      <w:bookmarkStart w:id="571" w:name="_Toc272570857"/>
      <w:bookmarkStart w:id="572" w:name="_Toc272569108"/>
      <w:bookmarkStart w:id="573" w:name="_Toc272569260"/>
      <w:bookmarkStart w:id="574" w:name="_Toc272569444"/>
      <w:bookmarkStart w:id="575" w:name="_Toc272569581"/>
      <w:bookmarkStart w:id="576" w:name="_Toc272569717"/>
      <w:bookmarkStart w:id="577" w:name="_Toc272569868"/>
      <w:bookmarkStart w:id="578" w:name="_Toc272570191"/>
      <w:bookmarkStart w:id="579" w:name="_Toc272570325"/>
      <w:bookmarkStart w:id="580" w:name="_Toc272570458"/>
      <w:bookmarkStart w:id="581" w:name="_Toc272570592"/>
      <w:bookmarkStart w:id="582" w:name="_Toc272570725"/>
      <w:bookmarkStart w:id="583" w:name="_Toc272570858"/>
      <w:bookmarkStart w:id="584" w:name="_Toc272569109"/>
      <w:bookmarkStart w:id="585" w:name="_Toc272569261"/>
      <w:bookmarkStart w:id="586" w:name="_Toc272569445"/>
      <w:bookmarkStart w:id="587" w:name="_Toc272569582"/>
      <w:bookmarkStart w:id="588" w:name="_Toc272569718"/>
      <w:bookmarkStart w:id="589" w:name="_Toc272569869"/>
      <w:bookmarkStart w:id="590" w:name="_Toc272570192"/>
      <w:bookmarkStart w:id="591" w:name="_Toc272570326"/>
      <w:bookmarkStart w:id="592" w:name="_Toc272570459"/>
      <w:bookmarkStart w:id="593" w:name="_Toc272570593"/>
      <w:bookmarkStart w:id="594" w:name="_Toc272570726"/>
      <w:bookmarkStart w:id="595" w:name="_Toc272570859"/>
      <w:bookmarkStart w:id="596" w:name="_Toc308697698"/>
      <w:bookmarkStart w:id="597" w:name="_Toc309286220"/>
      <w:bookmarkStart w:id="598" w:name="_Toc308697699"/>
      <w:bookmarkStart w:id="599" w:name="_Toc309286221"/>
      <w:bookmarkStart w:id="600" w:name="_Toc308697700"/>
      <w:bookmarkStart w:id="601" w:name="_Toc309286222"/>
      <w:bookmarkStart w:id="602" w:name="_Toc308697701"/>
      <w:bookmarkStart w:id="603" w:name="_Toc309286223"/>
      <w:bookmarkStart w:id="604" w:name="_Toc308697702"/>
      <w:bookmarkStart w:id="605" w:name="_Toc309286224"/>
      <w:bookmarkStart w:id="606" w:name="_Toc308697703"/>
      <w:bookmarkStart w:id="607" w:name="_Toc309286225"/>
      <w:bookmarkStart w:id="608" w:name="_Toc308697704"/>
      <w:bookmarkStart w:id="609" w:name="_Toc309286226"/>
      <w:bookmarkStart w:id="610" w:name="_Toc308697705"/>
      <w:bookmarkStart w:id="611" w:name="_Toc309286227"/>
      <w:bookmarkStart w:id="612" w:name="_Toc308697706"/>
      <w:bookmarkStart w:id="613" w:name="_Toc309286228"/>
      <w:bookmarkStart w:id="614" w:name="_Toc296440221"/>
      <w:bookmarkStart w:id="615" w:name="_Toc272569113"/>
      <w:bookmarkStart w:id="616" w:name="_Toc272569265"/>
      <w:bookmarkStart w:id="617" w:name="_Toc272569449"/>
      <w:bookmarkStart w:id="618" w:name="_Toc272569586"/>
      <w:bookmarkStart w:id="619" w:name="_Toc272569722"/>
      <w:bookmarkStart w:id="620" w:name="_Toc272569873"/>
      <w:bookmarkStart w:id="621" w:name="_Toc272569114"/>
      <w:bookmarkStart w:id="622" w:name="_Toc272569266"/>
      <w:bookmarkStart w:id="623" w:name="_Toc272569450"/>
      <w:bookmarkStart w:id="624" w:name="_Toc272569587"/>
      <w:bookmarkStart w:id="625" w:name="_Toc272569723"/>
      <w:bookmarkStart w:id="626" w:name="_Toc272569874"/>
      <w:bookmarkStart w:id="627" w:name="_Toc272569115"/>
      <w:bookmarkStart w:id="628" w:name="_Toc272569267"/>
      <w:bookmarkStart w:id="629" w:name="_Toc272569451"/>
      <w:bookmarkStart w:id="630" w:name="_Toc272569588"/>
      <w:bookmarkStart w:id="631" w:name="_Toc272569724"/>
      <w:bookmarkStart w:id="632" w:name="_Toc272569875"/>
      <w:bookmarkStart w:id="633" w:name="_Toc272569116"/>
      <w:bookmarkStart w:id="634" w:name="_Toc272569268"/>
      <w:bookmarkStart w:id="635" w:name="_Toc272569452"/>
      <w:bookmarkStart w:id="636" w:name="_Toc272569589"/>
      <w:bookmarkStart w:id="637" w:name="_Toc272569725"/>
      <w:bookmarkStart w:id="638" w:name="_Toc272569876"/>
      <w:bookmarkStart w:id="639" w:name="_Toc272569117"/>
      <w:bookmarkStart w:id="640" w:name="_Toc272569269"/>
      <w:bookmarkStart w:id="641" w:name="_Toc272569453"/>
      <w:bookmarkStart w:id="642" w:name="_Toc272569590"/>
      <w:bookmarkStart w:id="643" w:name="_Toc272569726"/>
      <w:bookmarkStart w:id="644" w:name="_Toc272569877"/>
      <w:bookmarkStart w:id="645" w:name="_Toc272569118"/>
      <w:bookmarkStart w:id="646" w:name="_Toc272569270"/>
      <w:bookmarkStart w:id="647" w:name="_Toc272569454"/>
      <w:bookmarkStart w:id="648" w:name="_Toc272569591"/>
      <w:bookmarkStart w:id="649" w:name="_Toc272569727"/>
      <w:bookmarkStart w:id="650" w:name="_Toc272569878"/>
      <w:bookmarkStart w:id="651" w:name="_Toc308697714"/>
      <w:bookmarkStart w:id="652" w:name="_Toc309286236"/>
      <w:bookmarkStart w:id="653" w:name="_Hlt133147570"/>
      <w:bookmarkStart w:id="654" w:name="_Hlt133151691"/>
      <w:bookmarkStart w:id="655" w:name="_Hlt73429199"/>
      <w:bookmarkStart w:id="656" w:name="_Toc308697716"/>
      <w:bookmarkStart w:id="657" w:name="_Toc309286238"/>
      <w:bookmarkStart w:id="658" w:name="_Toc308697717"/>
      <w:bookmarkStart w:id="659" w:name="_Toc309286239"/>
      <w:bookmarkStart w:id="660" w:name="_Toc308697718"/>
      <w:bookmarkStart w:id="661" w:name="_Toc309286240"/>
      <w:bookmarkStart w:id="662" w:name="_Toc308697719"/>
      <w:bookmarkStart w:id="663" w:name="_Toc309286241"/>
      <w:bookmarkStart w:id="664" w:name="_Toc308697720"/>
      <w:bookmarkStart w:id="665" w:name="_Toc309286242"/>
      <w:bookmarkStart w:id="666" w:name="_Toc308697721"/>
      <w:bookmarkStart w:id="667" w:name="_Toc309286243"/>
      <w:bookmarkStart w:id="668" w:name="_Toc308697722"/>
      <w:bookmarkStart w:id="669" w:name="_Toc309286244"/>
      <w:bookmarkStart w:id="670" w:name="_Toc308697723"/>
      <w:bookmarkStart w:id="671" w:name="_Toc309286245"/>
      <w:bookmarkStart w:id="672" w:name="_Toc38438275"/>
      <w:bookmarkStart w:id="673" w:name="_Toc38438612"/>
      <w:bookmarkStart w:id="674" w:name="_Toc38438949"/>
      <w:bookmarkStart w:id="675" w:name="_Toc38439286"/>
      <w:bookmarkStart w:id="676" w:name="_Toc38439623"/>
      <w:bookmarkStart w:id="677" w:name="_Toc38439960"/>
      <w:bookmarkStart w:id="678" w:name="_Toc38440297"/>
      <w:bookmarkStart w:id="679" w:name="_Toc38440630"/>
      <w:bookmarkStart w:id="680" w:name="_Toc38440829"/>
      <w:bookmarkStart w:id="681" w:name="_Toc38441161"/>
      <w:bookmarkStart w:id="682" w:name="_Toc38441493"/>
      <w:bookmarkStart w:id="683" w:name="_Toc38441821"/>
      <w:bookmarkStart w:id="684" w:name="_Toc38442153"/>
      <w:bookmarkStart w:id="685" w:name="_Toc38442485"/>
      <w:bookmarkStart w:id="686" w:name="_Toc38442816"/>
      <w:bookmarkStart w:id="687" w:name="_Toc38443147"/>
      <w:bookmarkStart w:id="688" w:name="_Toc38443478"/>
      <w:bookmarkStart w:id="689" w:name="_Toc38443809"/>
      <w:bookmarkStart w:id="690" w:name="_Toc38438277"/>
      <w:bookmarkStart w:id="691" w:name="_Toc38438614"/>
      <w:bookmarkStart w:id="692" w:name="_Toc38438951"/>
      <w:bookmarkStart w:id="693" w:name="_Toc38439288"/>
      <w:bookmarkStart w:id="694" w:name="_Toc38439625"/>
      <w:bookmarkStart w:id="695" w:name="_Toc38439962"/>
      <w:bookmarkStart w:id="696" w:name="_Toc38440299"/>
      <w:bookmarkStart w:id="697" w:name="_Toc38440632"/>
      <w:bookmarkStart w:id="698" w:name="_Toc38440831"/>
      <w:bookmarkStart w:id="699" w:name="_Toc38441163"/>
      <w:bookmarkStart w:id="700" w:name="_Toc38441495"/>
      <w:bookmarkStart w:id="701" w:name="_Toc38441823"/>
      <w:bookmarkStart w:id="702" w:name="_Toc38442155"/>
      <w:bookmarkStart w:id="703" w:name="_Toc38442487"/>
      <w:bookmarkStart w:id="704" w:name="_Toc38442818"/>
      <w:bookmarkStart w:id="705" w:name="_Toc38443149"/>
      <w:bookmarkStart w:id="706" w:name="_Toc38443480"/>
      <w:bookmarkStart w:id="707" w:name="_Toc38443811"/>
      <w:bookmarkStart w:id="708" w:name="_Toc38438278"/>
      <w:bookmarkStart w:id="709" w:name="_Toc38438615"/>
      <w:bookmarkStart w:id="710" w:name="_Toc38438952"/>
      <w:bookmarkStart w:id="711" w:name="_Toc38439289"/>
      <w:bookmarkStart w:id="712" w:name="_Toc38439626"/>
      <w:bookmarkStart w:id="713" w:name="_Toc38439963"/>
      <w:bookmarkStart w:id="714" w:name="_Toc38440300"/>
      <w:bookmarkStart w:id="715" w:name="_Toc38440633"/>
      <w:bookmarkStart w:id="716" w:name="_Toc38440832"/>
      <w:bookmarkStart w:id="717" w:name="_Toc38441164"/>
      <w:bookmarkStart w:id="718" w:name="_Toc38441496"/>
      <w:bookmarkStart w:id="719" w:name="_Toc38441824"/>
      <w:bookmarkStart w:id="720" w:name="_Toc38442156"/>
      <w:bookmarkStart w:id="721" w:name="_Toc38442488"/>
      <w:bookmarkStart w:id="722" w:name="_Toc38442819"/>
      <w:bookmarkStart w:id="723" w:name="_Toc38443150"/>
      <w:bookmarkStart w:id="724" w:name="_Toc38443481"/>
      <w:bookmarkStart w:id="725" w:name="_Toc38443812"/>
      <w:bookmarkStart w:id="726" w:name="_Toc38438279"/>
      <w:bookmarkStart w:id="727" w:name="_Toc38438616"/>
      <w:bookmarkStart w:id="728" w:name="_Toc38438953"/>
      <w:bookmarkStart w:id="729" w:name="_Toc38439290"/>
      <w:bookmarkStart w:id="730" w:name="_Toc38439627"/>
      <w:bookmarkStart w:id="731" w:name="_Toc38439964"/>
      <w:bookmarkStart w:id="732" w:name="_Toc38440301"/>
      <w:bookmarkStart w:id="733" w:name="_Toc38440634"/>
      <w:bookmarkStart w:id="734" w:name="_Toc38440833"/>
      <w:bookmarkStart w:id="735" w:name="_Toc38441165"/>
      <w:bookmarkStart w:id="736" w:name="_Toc38441497"/>
      <w:bookmarkStart w:id="737" w:name="_Toc38441825"/>
      <w:bookmarkStart w:id="738" w:name="_Toc38442157"/>
      <w:bookmarkStart w:id="739" w:name="_Toc38442489"/>
      <w:bookmarkStart w:id="740" w:name="_Toc38442820"/>
      <w:bookmarkStart w:id="741" w:name="_Toc38443151"/>
      <w:bookmarkStart w:id="742" w:name="_Toc38443482"/>
      <w:bookmarkStart w:id="743" w:name="_Toc38443813"/>
      <w:bookmarkStart w:id="744" w:name="_Toc38438280"/>
      <w:bookmarkStart w:id="745" w:name="_Toc38438617"/>
      <w:bookmarkStart w:id="746" w:name="_Toc38438954"/>
      <w:bookmarkStart w:id="747" w:name="_Toc38439291"/>
      <w:bookmarkStart w:id="748" w:name="_Toc38439628"/>
      <w:bookmarkStart w:id="749" w:name="_Toc38439965"/>
      <w:bookmarkStart w:id="750" w:name="_Toc38440302"/>
      <w:bookmarkStart w:id="751" w:name="_Toc38440635"/>
      <w:bookmarkStart w:id="752" w:name="_Toc38440834"/>
      <w:bookmarkStart w:id="753" w:name="_Toc38441166"/>
      <w:bookmarkStart w:id="754" w:name="_Toc38441498"/>
      <w:bookmarkStart w:id="755" w:name="_Toc38441826"/>
      <w:bookmarkStart w:id="756" w:name="_Toc38442158"/>
      <w:bookmarkStart w:id="757" w:name="_Toc38442490"/>
      <w:bookmarkStart w:id="758" w:name="_Toc38442821"/>
      <w:bookmarkStart w:id="759" w:name="_Toc38443152"/>
      <w:bookmarkStart w:id="760" w:name="_Toc38443483"/>
      <w:bookmarkStart w:id="761" w:name="_Toc38443814"/>
      <w:bookmarkStart w:id="762" w:name="_Toc38438281"/>
      <w:bookmarkStart w:id="763" w:name="_Toc38438618"/>
      <w:bookmarkStart w:id="764" w:name="_Toc38438955"/>
      <w:bookmarkStart w:id="765" w:name="_Toc38439292"/>
      <w:bookmarkStart w:id="766" w:name="_Toc38439629"/>
      <w:bookmarkStart w:id="767" w:name="_Toc38439966"/>
      <w:bookmarkStart w:id="768" w:name="_Toc38440303"/>
      <w:bookmarkStart w:id="769" w:name="_Toc38440636"/>
      <w:bookmarkStart w:id="770" w:name="_Toc38440835"/>
      <w:bookmarkStart w:id="771" w:name="_Toc38441167"/>
      <w:bookmarkStart w:id="772" w:name="_Toc38441499"/>
      <w:bookmarkStart w:id="773" w:name="_Toc38441827"/>
      <w:bookmarkStart w:id="774" w:name="_Toc38442159"/>
      <w:bookmarkStart w:id="775" w:name="_Toc38442491"/>
      <w:bookmarkStart w:id="776" w:name="_Toc38442822"/>
      <w:bookmarkStart w:id="777" w:name="_Toc38443153"/>
      <w:bookmarkStart w:id="778" w:name="_Toc38443484"/>
      <w:bookmarkStart w:id="779" w:name="_Toc38443815"/>
      <w:bookmarkStart w:id="780" w:name="_Toc38438282"/>
      <w:bookmarkStart w:id="781" w:name="_Toc38438619"/>
      <w:bookmarkStart w:id="782" w:name="_Toc38438956"/>
      <w:bookmarkStart w:id="783" w:name="_Toc38439293"/>
      <w:bookmarkStart w:id="784" w:name="_Toc38439630"/>
      <w:bookmarkStart w:id="785" w:name="_Toc38439967"/>
      <w:bookmarkStart w:id="786" w:name="_Toc38440304"/>
      <w:bookmarkStart w:id="787" w:name="_Toc38440637"/>
      <w:bookmarkStart w:id="788" w:name="_Toc38440836"/>
      <w:bookmarkStart w:id="789" w:name="_Toc38441168"/>
      <w:bookmarkStart w:id="790" w:name="_Toc38441500"/>
      <w:bookmarkStart w:id="791" w:name="_Toc38441828"/>
      <w:bookmarkStart w:id="792" w:name="_Toc38442160"/>
      <w:bookmarkStart w:id="793" w:name="_Toc38442492"/>
      <w:bookmarkStart w:id="794" w:name="_Toc38442823"/>
      <w:bookmarkStart w:id="795" w:name="_Toc38443154"/>
      <w:bookmarkStart w:id="796" w:name="_Toc38443485"/>
      <w:bookmarkStart w:id="797" w:name="_Toc38443816"/>
      <w:bookmarkStart w:id="798" w:name="_Toc38438283"/>
      <w:bookmarkStart w:id="799" w:name="_Toc38438620"/>
      <w:bookmarkStart w:id="800" w:name="_Toc38438957"/>
      <w:bookmarkStart w:id="801" w:name="_Toc38439294"/>
      <w:bookmarkStart w:id="802" w:name="_Toc38439631"/>
      <w:bookmarkStart w:id="803" w:name="_Toc38439968"/>
      <w:bookmarkStart w:id="804" w:name="_Toc38440305"/>
      <w:bookmarkStart w:id="805" w:name="_Toc38440638"/>
      <w:bookmarkStart w:id="806" w:name="_Toc38440837"/>
      <w:bookmarkStart w:id="807" w:name="_Toc38441169"/>
      <w:bookmarkStart w:id="808" w:name="_Toc38441501"/>
      <w:bookmarkStart w:id="809" w:name="_Toc38441829"/>
      <w:bookmarkStart w:id="810" w:name="_Toc38442161"/>
      <w:bookmarkStart w:id="811" w:name="_Toc38442493"/>
      <w:bookmarkStart w:id="812" w:name="_Toc38442824"/>
      <w:bookmarkStart w:id="813" w:name="_Toc38443155"/>
      <w:bookmarkStart w:id="814" w:name="_Toc38443486"/>
      <w:bookmarkStart w:id="815" w:name="_Toc38443817"/>
      <w:bookmarkStart w:id="816" w:name="_Toc38438284"/>
      <w:bookmarkStart w:id="817" w:name="_Toc38438621"/>
      <w:bookmarkStart w:id="818" w:name="_Toc38438958"/>
      <w:bookmarkStart w:id="819" w:name="_Toc38439295"/>
      <w:bookmarkStart w:id="820" w:name="_Toc38439632"/>
      <w:bookmarkStart w:id="821" w:name="_Toc38439969"/>
      <w:bookmarkStart w:id="822" w:name="_Toc38440306"/>
      <w:bookmarkStart w:id="823" w:name="_Toc38440639"/>
      <w:bookmarkStart w:id="824" w:name="_Toc38440838"/>
      <w:bookmarkStart w:id="825" w:name="_Toc38441170"/>
      <w:bookmarkStart w:id="826" w:name="_Toc38441502"/>
      <w:bookmarkStart w:id="827" w:name="_Toc38441830"/>
      <w:bookmarkStart w:id="828" w:name="_Toc38442162"/>
      <w:bookmarkStart w:id="829" w:name="_Toc38442494"/>
      <w:bookmarkStart w:id="830" w:name="_Toc38442825"/>
      <w:bookmarkStart w:id="831" w:name="_Toc38443156"/>
      <w:bookmarkStart w:id="832" w:name="_Toc38443487"/>
      <w:bookmarkStart w:id="833" w:name="_Toc38443818"/>
      <w:bookmarkStart w:id="834" w:name="_Toc38438285"/>
      <w:bookmarkStart w:id="835" w:name="_Toc38438622"/>
      <w:bookmarkStart w:id="836" w:name="_Toc38438959"/>
      <w:bookmarkStart w:id="837" w:name="_Toc38439296"/>
      <w:bookmarkStart w:id="838" w:name="_Toc38439633"/>
      <w:bookmarkStart w:id="839" w:name="_Toc38439970"/>
      <w:bookmarkStart w:id="840" w:name="_Toc38440307"/>
      <w:bookmarkStart w:id="841" w:name="_Toc38440640"/>
      <w:bookmarkStart w:id="842" w:name="_Toc38440839"/>
      <w:bookmarkStart w:id="843" w:name="_Toc38441171"/>
      <w:bookmarkStart w:id="844" w:name="_Toc38441503"/>
      <w:bookmarkStart w:id="845" w:name="_Toc38441831"/>
      <w:bookmarkStart w:id="846" w:name="_Toc38442163"/>
      <w:bookmarkStart w:id="847" w:name="_Toc38442495"/>
      <w:bookmarkStart w:id="848" w:name="_Toc38442826"/>
      <w:bookmarkStart w:id="849" w:name="_Toc38443157"/>
      <w:bookmarkStart w:id="850" w:name="_Toc38443488"/>
      <w:bookmarkStart w:id="851" w:name="_Toc38443819"/>
      <w:bookmarkStart w:id="852" w:name="_Toc38438286"/>
      <w:bookmarkStart w:id="853" w:name="_Toc38438623"/>
      <w:bookmarkStart w:id="854" w:name="_Toc38438960"/>
      <w:bookmarkStart w:id="855" w:name="_Toc38439297"/>
      <w:bookmarkStart w:id="856" w:name="_Toc38439634"/>
      <w:bookmarkStart w:id="857" w:name="_Toc38439971"/>
      <w:bookmarkStart w:id="858" w:name="_Toc38440308"/>
      <w:bookmarkStart w:id="859" w:name="_Toc38440641"/>
      <w:bookmarkStart w:id="860" w:name="_Toc38440840"/>
      <w:bookmarkStart w:id="861" w:name="_Toc38441172"/>
      <w:bookmarkStart w:id="862" w:name="_Toc38441504"/>
      <w:bookmarkStart w:id="863" w:name="_Toc38441832"/>
      <w:bookmarkStart w:id="864" w:name="_Toc38442164"/>
      <w:bookmarkStart w:id="865" w:name="_Toc38442496"/>
      <w:bookmarkStart w:id="866" w:name="_Toc38442827"/>
      <w:bookmarkStart w:id="867" w:name="_Toc38443158"/>
      <w:bookmarkStart w:id="868" w:name="_Toc38443489"/>
      <w:bookmarkStart w:id="869" w:name="_Toc38443820"/>
      <w:bookmarkStart w:id="870" w:name="_Toc38438287"/>
      <w:bookmarkStart w:id="871" w:name="_Toc38438624"/>
      <w:bookmarkStart w:id="872" w:name="_Toc38438961"/>
      <w:bookmarkStart w:id="873" w:name="_Toc38439298"/>
      <w:bookmarkStart w:id="874" w:name="_Toc38439635"/>
      <w:bookmarkStart w:id="875" w:name="_Toc38439972"/>
      <w:bookmarkStart w:id="876" w:name="_Toc38440309"/>
      <w:bookmarkStart w:id="877" w:name="_Toc38440642"/>
      <w:bookmarkStart w:id="878" w:name="_Toc38440841"/>
      <w:bookmarkStart w:id="879" w:name="_Toc38441173"/>
      <w:bookmarkStart w:id="880" w:name="_Toc38441505"/>
      <w:bookmarkStart w:id="881" w:name="_Toc38441833"/>
      <w:bookmarkStart w:id="882" w:name="_Toc38442165"/>
      <w:bookmarkStart w:id="883" w:name="_Toc38442497"/>
      <w:bookmarkStart w:id="884" w:name="_Toc38442828"/>
      <w:bookmarkStart w:id="885" w:name="_Toc38443159"/>
      <w:bookmarkStart w:id="886" w:name="_Toc38443490"/>
      <w:bookmarkStart w:id="887" w:name="_Toc38443821"/>
      <w:bookmarkStart w:id="888" w:name="_Toc38438288"/>
      <w:bookmarkStart w:id="889" w:name="_Toc38438625"/>
      <w:bookmarkStart w:id="890" w:name="_Toc38438962"/>
      <w:bookmarkStart w:id="891" w:name="_Toc38439299"/>
      <w:bookmarkStart w:id="892" w:name="_Toc38439636"/>
      <w:bookmarkStart w:id="893" w:name="_Toc38439973"/>
      <w:bookmarkStart w:id="894" w:name="_Toc38440310"/>
      <w:bookmarkStart w:id="895" w:name="_Toc38440643"/>
      <w:bookmarkStart w:id="896" w:name="_Toc38440842"/>
      <w:bookmarkStart w:id="897" w:name="_Toc38441174"/>
      <w:bookmarkStart w:id="898" w:name="_Toc38441506"/>
      <w:bookmarkStart w:id="899" w:name="_Toc38441834"/>
      <w:bookmarkStart w:id="900" w:name="_Toc38442166"/>
      <w:bookmarkStart w:id="901" w:name="_Toc38442498"/>
      <w:bookmarkStart w:id="902" w:name="_Toc38442829"/>
      <w:bookmarkStart w:id="903" w:name="_Toc38443160"/>
      <w:bookmarkStart w:id="904" w:name="_Toc38443491"/>
      <w:bookmarkStart w:id="905" w:name="_Toc38443822"/>
      <w:bookmarkStart w:id="906" w:name="_Toc38438289"/>
      <w:bookmarkStart w:id="907" w:name="_Toc38438626"/>
      <w:bookmarkStart w:id="908" w:name="_Toc38438963"/>
      <w:bookmarkStart w:id="909" w:name="_Toc38439300"/>
      <w:bookmarkStart w:id="910" w:name="_Toc38439637"/>
      <w:bookmarkStart w:id="911" w:name="_Toc38439974"/>
      <w:bookmarkStart w:id="912" w:name="_Toc38440311"/>
      <w:bookmarkStart w:id="913" w:name="_Toc38440644"/>
      <w:bookmarkStart w:id="914" w:name="_Toc38440843"/>
      <w:bookmarkStart w:id="915" w:name="_Toc38441175"/>
      <w:bookmarkStart w:id="916" w:name="_Toc38441507"/>
      <w:bookmarkStart w:id="917" w:name="_Toc38441835"/>
      <w:bookmarkStart w:id="918" w:name="_Toc38442167"/>
      <w:bookmarkStart w:id="919" w:name="_Toc38442499"/>
      <w:bookmarkStart w:id="920" w:name="_Toc38442830"/>
      <w:bookmarkStart w:id="921" w:name="_Toc38443161"/>
      <w:bookmarkStart w:id="922" w:name="_Toc38443492"/>
      <w:bookmarkStart w:id="923" w:name="_Toc38443823"/>
      <w:bookmarkStart w:id="924" w:name="_Toc38438290"/>
      <w:bookmarkStart w:id="925" w:name="_Toc38438627"/>
      <w:bookmarkStart w:id="926" w:name="_Toc38438964"/>
      <w:bookmarkStart w:id="927" w:name="_Toc38439301"/>
      <w:bookmarkStart w:id="928" w:name="_Toc38439638"/>
      <w:bookmarkStart w:id="929" w:name="_Toc38439975"/>
      <w:bookmarkStart w:id="930" w:name="_Toc38440312"/>
      <w:bookmarkStart w:id="931" w:name="_Toc38440645"/>
      <w:bookmarkStart w:id="932" w:name="_Toc38440844"/>
      <w:bookmarkStart w:id="933" w:name="_Toc38441176"/>
      <w:bookmarkStart w:id="934" w:name="_Toc38441508"/>
      <w:bookmarkStart w:id="935" w:name="_Toc38441836"/>
      <w:bookmarkStart w:id="936" w:name="_Toc38442168"/>
      <w:bookmarkStart w:id="937" w:name="_Toc38442500"/>
      <w:bookmarkStart w:id="938" w:name="_Toc38442831"/>
      <w:bookmarkStart w:id="939" w:name="_Toc38443162"/>
      <w:bookmarkStart w:id="940" w:name="_Toc38443493"/>
      <w:bookmarkStart w:id="941" w:name="_Toc38443824"/>
      <w:bookmarkStart w:id="942" w:name="_Toc38438291"/>
      <w:bookmarkStart w:id="943" w:name="_Toc38438628"/>
      <w:bookmarkStart w:id="944" w:name="_Toc38438965"/>
      <w:bookmarkStart w:id="945" w:name="_Toc38439302"/>
      <w:bookmarkStart w:id="946" w:name="_Toc38439639"/>
      <w:bookmarkStart w:id="947" w:name="_Toc38439976"/>
      <w:bookmarkStart w:id="948" w:name="_Toc38440313"/>
      <w:bookmarkStart w:id="949" w:name="_Toc38440646"/>
      <w:bookmarkStart w:id="950" w:name="_Toc38440845"/>
      <w:bookmarkStart w:id="951" w:name="_Toc38441177"/>
      <w:bookmarkStart w:id="952" w:name="_Toc38441509"/>
      <w:bookmarkStart w:id="953" w:name="_Toc38441837"/>
      <w:bookmarkStart w:id="954" w:name="_Toc38442169"/>
      <w:bookmarkStart w:id="955" w:name="_Toc38442501"/>
      <w:bookmarkStart w:id="956" w:name="_Toc38442832"/>
      <w:bookmarkStart w:id="957" w:name="_Toc38443163"/>
      <w:bookmarkStart w:id="958" w:name="_Toc38443494"/>
      <w:bookmarkStart w:id="959" w:name="_Toc38443825"/>
      <w:bookmarkStart w:id="960" w:name="_Toc38438292"/>
      <w:bookmarkStart w:id="961" w:name="_Toc38438629"/>
      <w:bookmarkStart w:id="962" w:name="_Toc38438966"/>
      <w:bookmarkStart w:id="963" w:name="_Toc38439303"/>
      <w:bookmarkStart w:id="964" w:name="_Toc38439640"/>
      <w:bookmarkStart w:id="965" w:name="_Toc38439977"/>
      <w:bookmarkStart w:id="966" w:name="_Toc38440314"/>
      <w:bookmarkStart w:id="967" w:name="_Toc38440647"/>
      <w:bookmarkStart w:id="968" w:name="_Toc38440846"/>
      <w:bookmarkStart w:id="969" w:name="_Toc38441178"/>
      <w:bookmarkStart w:id="970" w:name="_Toc38441510"/>
      <w:bookmarkStart w:id="971" w:name="_Toc38441838"/>
      <w:bookmarkStart w:id="972" w:name="_Toc38442170"/>
      <w:bookmarkStart w:id="973" w:name="_Toc38442502"/>
      <w:bookmarkStart w:id="974" w:name="_Toc38442833"/>
      <w:bookmarkStart w:id="975" w:name="_Toc38443164"/>
      <w:bookmarkStart w:id="976" w:name="_Toc38443495"/>
      <w:bookmarkStart w:id="977" w:name="_Toc38443826"/>
      <w:bookmarkStart w:id="978" w:name="_Toc38438293"/>
      <w:bookmarkStart w:id="979" w:name="_Toc38438630"/>
      <w:bookmarkStart w:id="980" w:name="_Toc38438967"/>
      <w:bookmarkStart w:id="981" w:name="_Toc38439304"/>
      <w:bookmarkStart w:id="982" w:name="_Toc38439641"/>
      <w:bookmarkStart w:id="983" w:name="_Toc38439978"/>
      <w:bookmarkStart w:id="984" w:name="_Toc38440315"/>
      <w:bookmarkStart w:id="985" w:name="_Toc38440648"/>
      <w:bookmarkStart w:id="986" w:name="_Toc38440847"/>
      <w:bookmarkStart w:id="987" w:name="_Toc38441179"/>
      <w:bookmarkStart w:id="988" w:name="_Toc38441511"/>
      <w:bookmarkStart w:id="989" w:name="_Toc38441839"/>
      <w:bookmarkStart w:id="990" w:name="_Toc38442171"/>
      <w:bookmarkStart w:id="991" w:name="_Toc38442503"/>
      <w:bookmarkStart w:id="992" w:name="_Toc38442834"/>
      <w:bookmarkStart w:id="993" w:name="_Toc38443165"/>
      <w:bookmarkStart w:id="994" w:name="_Toc38443496"/>
      <w:bookmarkStart w:id="995" w:name="_Toc38443827"/>
      <w:bookmarkStart w:id="996" w:name="_Toc38438296"/>
      <w:bookmarkStart w:id="997" w:name="_Toc38438633"/>
      <w:bookmarkStart w:id="998" w:name="_Toc38438970"/>
      <w:bookmarkStart w:id="999" w:name="_Toc38439307"/>
      <w:bookmarkStart w:id="1000" w:name="_Toc38439644"/>
      <w:bookmarkStart w:id="1001" w:name="_Toc38439981"/>
      <w:bookmarkStart w:id="1002" w:name="_Toc38440318"/>
      <w:bookmarkStart w:id="1003" w:name="_Toc38440651"/>
      <w:bookmarkStart w:id="1004" w:name="_Toc38440850"/>
      <w:bookmarkStart w:id="1005" w:name="_Toc38441182"/>
      <w:bookmarkStart w:id="1006" w:name="_Toc38441514"/>
      <w:bookmarkStart w:id="1007" w:name="_Toc38441842"/>
      <w:bookmarkStart w:id="1008" w:name="_Toc38442174"/>
      <w:bookmarkStart w:id="1009" w:name="_Toc38442506"/>
      <w:bookmarkStart w:id="1010" w:name="_Toc38442837"/>
      <w:bookmarkStart w:id="1011" w:name="_Toc38443168"/>
      <w:bookmarkStart w:id="1012" w:name="_Toc38443499"/>
      <w:bookmarkStart w:id="1013" w:name="_Toc38443830"/>
      <w:bookmarkStart w:id="1014" w:name="_Toc38438297"/>
      <w:bookmarkStart w:id="1015" w:name="_Toc38438634"/>
      <w:bookmarkStart w:id="1016" w:name="_Toc38438971"/>
      <w:bookmarkStart w:id="1017" w:name="_Toc38439308"/>
      <w:bookmarkStart w:id="1018" w:name="_Toc38439645"/>
      <w:bookmarkStart w:id="1019" w:name="_Toc38439982"/>
      <w:bookmarkStart w:id="1020" w:name="_Toc38440319"/>
      <w:bookmarkStart w:id="1021" w:name="_Toc38440652"/>
      <w:bookmarkStart w:id="1022" w:name="_Toc38440851"/>
      <w:bookmarkStart w:id="1023" w:name="_Toc38441183"/>
      <w:bookmarkStart w:id="1024" w:name="_Toc38441515"/>
      <w:bookmarkStart w:id="1025" w:name="_Toc38441843"/>
      <w:bookmarkStart w:id="1026" w:name="_Toc38442175"/>
      <w:bookmarkStart w:id="1027" w:name="_Toc38442507"/>
      <w:bookmarkStart w:id="1028" w:name="_Toc38442838"/>
      <w:bookmarkStart w:id="1029" w:name="_Toc38443169"/>
      <w:bookmarkStart w:id="1030" w:name="_Toc38443500"/>
      <w:bookmarkStart w:id="1031" w:name="_Toc38443831"/>
      <w:bookmarkStart w:id="1032" w:name="_Toc38438298"/>
      <w:bookmarkStart w:id="1033" w:name="_Toc38438635"/>
      <w:bookmarkStart w:id="1034" w:name="_Toc38438972"/>
      <w:bookmarkStart w:id="1035" w:name="_Toc38439309"/>
      <w:bookmarkStart w:id="1036" w:name="_Toc38439646"/>
      <w:bookmarkStart w:id="1037" w:name="_Toc38439983"/>
      <w:bookmarkStart w:id="1038" w:name="_Toc38440320"/>
      <w:bookmarkStart w:id="1039" w:name="_Toc38440653"/>
      <w:bookmarkStart w:id="1040" w:name="_Toc38440852"/>
      <w:bookmarkStart w:id="1041" w:name="_Toc38441184"/>
      <w:bookmarkStart w:id="1042" w:name="_Toc38441516"/>
      <w:bookmarkStart w:id="1043" w:name="_Toc38441844"/>
      <w:bookmarkStart w:id="1044" w:name="_Toc38442176"/>
      <w:bookmarkStart w:id="1045" w:name="_Toc38442508"/>
      <w:bookmarkStart w:id="1046" w:name="_Toc38442839"/>
      <w:bookmarkStart w:id="1047" w:name="_Toc38443170"/>
      <w:bookmarkStart w:id="1048" w:name="_Toc38443501"/>
      <w:bookmarkStart w:id="1049" w:name="_Toc38443832"/>
      <w:bookmarkStart w:id="1050" w:name="_Toc38438299"/>
      <w:bookmarkStart w:id="1051" w:name="_Toc38438636"/>
      <w:bookmarkStart w:id="1052" w:name="_Toc38438973"/>
      <w:bookmarkStart w:id="1053" w:name="_Toc38439310"/>
      <w:bookmarkStart w:id="1054" w:name="_Toc38439647"/>
      <w:bookmarkStart w:id="1055" w:name="_Toc38439984"/>
      <w:bookmarkStart w:id="1056" w:name="_Toc38440321"/>
      <w:bookmarkStart w:id="1057" w:name="_Toc38440654"/>
      <w:bookmarkStart w:id="1058" w:name="_Toc38440853"/>
      <w:bookmarkStart w:id="1059" w:name="_Toc38441185"/>
      <w:bookmarkStart w:id="1060" w:name="_Toc38441517"/>
      <w:bookmarkStart w:id="1061" w:name="_Toc38441845"/>
      <w:bookmarkStart w:id="1062" w:name="_Toc38442177"/>
      <w:bookmarkStart w:id="1063" w:name="_Toc38442509"/>
      <w:bookmarkStart w:id="1064" w:name="_Toc38442840"/>
      <w:bookmarkStart w:id="1065" w:name="_Toc38443171"/>
      <w:bookmarkStart w:id="1066" w:name="_Toc38443502"/>
      <w:bookmarkStart w:id="1067" w:name="_Toc38443833"/>
      <w:bookmarkStart w:id="1068" w:name="_Toc38438301"/>
      <w:bookmarkStart w:id="1069" w:name="_Toc38438638"/>
      <w:bookmarkStart w:id="1070" w:name="_Toc38438975"/>
      <w:bookmarkStart w:id="1071" w:name="_Toc38439312"/>
      <w:bookmarkStart w:id="1072" w:name="_Toc38439649"/>
      <w:bookmarkStart w:id="1073" w:name="_Toc38439986"/>
      <w:bookmarkStart w:id="1074" w:name="_Toc38440323"/>
      <w:bookmarkStart w:id="1075" w:name="_Toc38440656"/>
      <w:bookmarkStart w:id="1076" w:name="_Toc38440855"/>
      <w:bookmarkStart w:id="1077" w:name="_Toc38441187"/>
      <w:bookmarkStart w:id="1078" w:name="_Toc38441519"/>
      <w:bookmarkStart w:id="1079" w:name="_Toc38441847"/>
      <w:bookmarkStart w:id="1080" w:name="_Toc38442179"/>
      <w:bookmarkStart w:id="1081" w:name="_Toc38442511"/>
      <w:bookmarkStart w:id="1082" w:name="_Toc38442842"/>
      <w:bookmarkStart w:id="1083" w:name="_Toc38443173"/>
      <w:bookmarkStart w:id="1084" w:name="_Toc38443504"/>
      <w:bookmarkStart w:id="1085" w:name="_Toc38443835"/>
      <w:bookmarkStart w:id="1086" w:name="_Toc38438302"/>
      <w:bookmarkStart w:id="1087" w:name="_Toc38438639"/>
      <w:bookmarkStart w:id="1088" w:name="_Toc38438976"/>
      <w:bookmarkStart w:id="1089" w:name="_Toc38439313"/>
      <w:bookmarkStart w:id="1090" w:name="_Toc38439650"/>
      <w:bookmarkStart w:id="1091" w:name="_Toc38439987"/>
      <w:bookmarkStart w:id="1092" w:name="_Toc38440324"/>
      <w:bookmarkStart w:id="1093" w:name="_Toc38440657"/>
      <w:bookmarkStart w:id="1094" w:name="_Toc38440856"/>
      <w:bookmarkStart w:id="1095" w:name="_Toc38441188"/>
      <w:bookmarkStart w:id="1096" w:name="_Toc38441520"/>
      <w:bookmarkStart w:id="1097" w:name="_Toc38441848"/>
      <w:bookmarkStart w:id="1098" w:name="_Toc38442180"/>
      <w:bookmarkStart w:id="1099" w:name="_Toc38442512"/>
      <w:bookmarkStart w:id="1100" w:name="_Toc38442843"/>
      <w:bookmarkStart w:id="1101" w:name="_Toc38443174"/>
      <w:bookmarkStart w:id="1102" w:name="_Toc38443505"/>
      <w:bookmarkStart w:id="1103" w:name="_Toc38443836"/>
      <w:bookmarkStart w:id="1104" w:name="_Toc38438303"/>
      <w:bookmarkStart w:id="1105" w:name="_Toc38438640"/>
      <w:bookmarkStart w:id="1106" w:name="_Toc38438977"/>
      <w:bookmarkStart w:id="1107" w:name="_Toc38439314"/>
      <w:bookmarkStart w:id="1108" w:name="_Toc38439651"/>
      <w:bookmarkStart w:id="1109" w:name="_Toc38439988"/>
      <w:bookmarkStart w:id="1110" w:name="_Toc38440325"/>
      <w:bookmarkStart w:id="1111" w:name="_Toc38440658"/>
      <w:bookmarkStart w:id="1112" w:name="_Toc38440857"/>
      <w:bookmarkStart w:id="1113" w:name="_Toc38441189"/>
      <w:bookmarkStart w:id="1114" w:name="_Toc38441521"/>
      <w:bookmarkStart w:id="1115" w:name="_Toc38441849"/>
      <w:bookmarkStart w:id="1116" w:name="_Toc38442181"/>
      <w:bookmarkStart w:id="1117" w:name="_Toc38442513"/>
      <w:bookmarkStart w:id="1118" w:name="_Toc38442844"/>
      <w:bookmarkStart w:id="1119" w:name="_Toc38443175"/>
      <w:bookmarkStart w:id="1120" w:name="_Toc38443506"/>
      <w:bookmarkStart w:id="1121" w:name="_Toc38443837"/>
      <w:bookmarkStart w:id="1122" w:name="_Toc38438304"/>
      <w:bookmarkStart w:id="1123" w:name="_Toc38438641"/>
      <w:bookmarkStart w:id="1124" w:name="_Toc38438978"/>
      <w:bookmarkStart w:id="1125" w:name="_Toc38439315"/>
      <w:bookmarkStart w:id="1126" w:name="_Toc38439652"/>
      <w:bookmarkStart w:id="1127" w:name="_Toc38439989"/>
      <w:bookmarkStart w:id="1128" w:name="_Toc38440326"/>
      <w:bookmarkStart w:id="1129" w:name="_Toc38440659"/>
      <w:bookmarkStart w:id="1130" w:name="_Toc38440858"/>
      <w:bookmarkStart w:id="1131" w:name="_Toc38441190"/>
      <w:bookmarkStart w:id="1132" w:name="_Toc38441522"/>
      <w:bookmarkStart w:id="1133" w:name="_Toc38441850"/>
      <w:bookmarkStart w:id="1134" w:name="_Toc38442182"/>
      <w:bookmarkStart w:id="1135" w:name="_Toc38442514"/>
      <w:bookmarkStart w:id="1136" w:name="_Toc38442845"/>
      <w:bookmarkStart w:id="1137" w:name="_Toc38443176"/>
      <w:bookmarkStart w:id="1138" w:name="_Toc38443507"/>
      <w:bookmarkStart w:id="1139" w:name="_Toc38443838"/>
      <w:bookmarkStart w:id="1140" w:name="_Toc38438305"/>
      <w:bookmarkStart w:id="1141" w:name="_Toc38438642"/>
      <w:bookmarkStart w:id="1142" w:name="_Toc38438979"/>
      <w:bookmarkStart w:id="1143" w:name="_Toc38439316"/>
      <w:bookmarkStart w:id="1144" w:name="_Toc38439653"/>
      <w:bookmarkStart w:id="1145" w:name="_Toc38439990"/>
      <w:bookmarkStart w:id="1146" w:name="_Toc38440327"/>
      <w:bookmarkStart w:id="1147" w:name="_Toc38440660"/>
      <w:bookmarkStart w:id="1148" w:name="_Toc38440859"/>
      <w:bookmarkStart w:id="1149" w:name="_Toc38441191"/>
      <w:bookmarkStart w:id="1150" w:name="_Toc38441523"/>
      <w:bookmarkStart w:id="1151" w:name="_Toc38441851"/>
      <w:bookmarkStart w:id="1152" w:name="_Toc38442183"/>
      <w:bookmarkStart w:id="1153" w:name="_Toc38442515"/>
      <w:bookmarkStart w:id="1154" w:name="_Toc38442846"/>
      <w:bookmarkStart w:id="1155" w:name="_Toc38443177"/>
      <w:bookmarkStart w:id="1156" w:name="_Toc38443508"/>
      <w:bookmarkStart w:id="1157" w:name="_Toc38443839"/>
      <w:bookmarkStart w:id="1158" w:name="_Toc38438306"/>
      <w:bookmarkStart w:id="1159" w:name="_Toc38438643"/>
      <w:bookmarkStart w:id="1160" w:name="_Toc38438980"/>
      <w:bookmarkStart w:id="1161" w:name="_Toc38439317"/>
      <w:bookmarkStart w:id="1162" w:name="_Toc38439654"/>
      <w:bookmarkStart w:id="1163" w:name="_Toc38439991"/>
      <w:bookmarkStart w:id="1164" w:name="_Toc38440328"/>
      <w:bookmarkStart w:id="1165" w:name="_Toc38440661"/>
      <w:bookmarkStart w:id="1166" w:name="_Toc38440860"/>
      <w:bookmarkStart w:id="1167" w:name="_Toc38441192"/>
      <w:bookmarkStart w:id="1168" w:name="_Toc38441524"/>
      <w:bookmarkStart w:id="1169" w:name="_Toc38441852"/>
      <w:bookmarkStart w:id="1170" w:name="_Toc38442184"/>
      <w:bookmarkStart w:id="1171" w:name="_Toc38442516"/>
      <w:bookmarkStart w:id="1172" w:name="_Toc38442847"/>
      <w:bookmarkStart w:id="1173" w:name="_Toc38443178"/>
      <w:bookmarkStart w:id="1174" w:name="_Toc38443509"/>
      <w:bookmarkStart w:id="1175" w:name="_Toc38443840"/>
      <w:bookmarkStart w:id="1176" w:name="_Toc38438310"/>
      <w:bookmarkStart w:id="1177" w:name="_Toc38438647"/>
      <w:bookmarkStart w:id="1178" w:name="_Toc38438984"/>
      <w:bookmarkStart w:id="1179" w:name="_Toc38439321"/>
      <w:bookmarkStart w:id="1180" w:name="_Toc38439658"/>
      <w:bookmarkStart w:id="1181" w:name="_Toc38439995"/>
      <w:bookmarkStart w:id="1182" w:name="_Toc38440332"/>
      <w:bookmarkStart w:id="1183" w:name="_Toc38440665"/>
      <w:bookmarkStart w:id="1184" w:name="_Toc38440864"/>
      <w:bookmarkStart w:id="1185" w:name="_Toc38441196"/>
      <w:bookmarkStart w:id="1186" w:name="_Toc38441528"/>
      <w:bookmarkStart w:id="1187" w:name="_Toc38441856"/>
      <w:bookmarkStart w:id="1188" w:name="_Toc38442188"/>
      <w:bookmarkStart w:id="1189" w:name="_Toc38442520"/>
      <w:bookmarkStart w:id="1190" w:name="_Toc38442851"/>
      <w:bookmarkStart w:id="1191" w:name="_Toc38443182"/>
      <w:bookmarkStart w:id="1192" w:name="_Toc38443513"/>
      <w:bookmarkStart w:id="1193" w:name="_Toc38443844"/>
      <w:bookmarkStart w:id="1194" w:name="_Toc38438311"/>
      <w:bookmarkStart w:id="1195" w:name="_Toc38438648"/>
      <w:bookmarkStart w:id="1196" w:name="_Toc38438985"/>
      <w:bookmarkStart w:id="1197" w:name="_Toc38439322"/>
      <w:bookmarkStart w:id="1198" w:name="_Toc38439659"/>
      <w:bookmarkStart w:id="1199" w:name="_Toc38439996"/>
      <w:bookmarkStart w:id="1200" w:name="_Toc38440333"/>
      <w:bookmarkStart w:id="1201" w:name="_Toc38440666"/>
      <w:bookmarkStart w:id="1202" w:name="_Toc38440865"/>
      <w:bookmarkStart w:id="1203" w:name="_Toc38441197"/>
      <w:bookmarkStart w:id="1204" w:name="_Toc38441529"/>
      <w:bookmarkStart w:id="1205" w:name="_Toc38441857"/>
      <w:bookmarkStart w:id="1206" w:name="_Toc38442189"/>
      <w:bookmarkStart w:id="1207" w:name="_Toc38442521"/>
      <w:bookmarkStart w:id="1208" w:name="_Toc38442852"/>
      <w:bookmarkStart w:id="1209" w:name="_Toc38443183"/>
      <w:bookmarkStart w:id="1210" w:name="_Toc38443514"/>
      <w:bookmarkStart w:id="1211" w:name="_Toc38443845"/>
      <w:bookmarkStart w:id="1212" w:name="_Toc38438312"/>
      <w:bookmarkStart w:id="1213" w:name="_Toc38438649"/>
      <w:bookmarkStart w:id="1214" w:name="_Toc38438986"/>
      <w:bookmarkStart w:id="1215" w:name="_Toc38439323"/>
      <w:bookmarkStart w:id="1216" w:name="_Toc38439660"/>
      <w:bookmarkStart w:id="1217" w:name="_Toc38439997"/>
      <w:bookmarkStart w:id="1218" w:name="_Toc38440334"/>
      <w:bookmarkStart w:id="1219" w:name="_Toc38440667"/>
      <w:bookmarkStart w:id="1220" w:name="_Toc38440866"/>
      <w:bookmarkStart w:id="1221" w:name="_Toc38441198"/>
      <w:bookmarkStart w:id="1222" w:name="_Toc38441530"/>
      <w:bookmarkStart w:id="1223" w:name="_Toc38441858"/>
      <w:bookmarkStart w:id="1224" w:name="_Toc38442190"/>
      <w:bookmarkStart w:id="1225" w:name="_Toc38442522"/>
      <w:bookmarkStart w:id="1226" w:name="_Toc38442853"/>
      <w:bookmarkStart w:id="1227" w:name="_Toc38443184"/>
      <w:bookmarkStart w:id="1228" w:name="_Toc38443515"/>
      <w:bookmarkStart w:id="1229" w:name="_Toc38443846"/>
      <w:bookmarkStart w:id="1230" w:name="_Toc38438313"/>
      <w:bookmarkStart w:id="1231" w:name="_Toc38438650"/>
      <w:bookmarkStart w:id="1232" w:name="_Toc38438987"/>
      <w:bookmarkStart w:id="1233" w:name="_Toc38439324"/>
      <w:bookmarkStart w:id="1234" w:name="_Toc38439661"/>
      <w:bookmarkStart w:id="1235" w:name="_Toc38439998"/>
      <w:bookmarkStart w:id="1236" w:name="_Toc38440335"/>
      <w:bookmarkStart w:id="1237" w:name="_Toc38440668"/>
      <w:bookmarkStart w:id="1238" w:name="_Toc38440867"/>
      <w:bookmarkStart w:id="1239" w:name="_Toc38441199"/>
      <w:bookmarkStart w:id="1240" w:name="_Toc38441531"/>
      <w:bookmarkStart w:id="1241" w:name="_Toc38441859"/>
      <w:bookmarkStart w:id="1242" w:name="_Toc38442191"/>
      <w:bookmarkStart w:id="1243" w:name="_Toc38442523"/>
      <w:bookmarkStart w:id="1244" w:name="_Toc38442854"/>
      <w:bookmarkStart w:id="1245" w:name="_Toc38443185"/>
      <w:bookmarkStart w:id="1246" w:name="_Toc38443516"/>
      <w:bookmarkStart w:id="1247" w:name="_Toc38443847"/>
      <w:bookmarkStart w:id="1248" w:name="_Toc38438314"/>
      <w:bookmarkStart w:id="1249" w:name="_Toc38438651"/>
      <w:bookmarkStart w:id="1250" w:name="_Toc38438988"/>
      <w:bookmarkStart w:id="1251" w:name="_Toc38439325"/>
      <w:bookmarkStart w:id="1252" w:name="_Toc38439662"/>
      <w:bookmarkStart w:id="1253" w:name="_Toc38439999"/>
      <w:bookmarkStart w:id="1254" w:name="_Toc38440336"/>
      <w:bookmarkStart w:id="1255" w:name="_Toc38440669"/>
      <w:bookmarkStart w:id="1256" w:name="_Toc38440868"/>
      <w:bookmarkStart w:id="1257" w:name="_Toc38441200"/>
      <w:bookmarkStart w:id="1258" w:name="_Toc38441532"/>
      <w:bookmarkStart w:id="1259" w:name="_Toc38441860"/>
      <w:bookmarkStart w:id="1260" w:name="_Toc38442192"/>
      <w:bookmarkStart w:id="1261" w:name="_Toc38442524"/>
      <w:bookmarkStart w:id="1262" w:name="_Toc38442855"/>
      <w:bookmarkStart w:id="1263" w:name="_Toc38443186"/>
      <w:bookmarkStart w:id="1264" w:name="_Toc38443517"/>
      <w:bookmarkStart w:id="1265" w:name="_Toc38443848"/>
      <w:bookmarkStart w:id="1266" w:name="_Toc38438315"/>
      <w:bookmarkStart w:id="1267" w:name="_Toc38438652"/>
      <w:bookmarkStart w:id="1268" w:name="_Toc38438989"/>
      <w:bookmarkStart w:id="1269" w:name="_Toc38439326"/>
      <w:bookmarkStart w:id="1270" w:name="_Toc38439663"/>
      <w:bookmarkStart w:id="1271" w:name="_Toc38440000"/>
      <w:bookmarkStart w:id="1272" w:name="_Toc38440337"/>
      <w:bookmarkStart w:id="1273" w:name="_Toc38440670"/>
      <w:bookmarkStart w:id="1274" w:name="_Toc38440869"/>
      <w:bookmarkStart w:id="1275" w:name="_Toc38441201"/>
      <w:bookmarkStart w:id="1276" w:name="_Toc38441533"/>
      <w:bookmarkStart w:id="1277" w:name="_Toc38441861"/>
      <w:bookmarkStart w:id="1278" w:name="_Toc38442193"/>
      <w:bookmarkStart w:id="1279" w:name="_Toc38442525"/>
      <w:bookmarkStart w:id="1280" w:name="_Toc38442856"/>
      <w:bookmarkStart w:id="1281" w:name="_Toc38443187"/>
      <w:bookmarkStart w:id="1282" w:name="_Toc38443518"/>
      <w:bookmarkStart w:id="1283" w:name="_Toc38443849"/>
      <w:bookmarkStart w:id="1284" w:name="_Toc38438316"/>
      <w:bookmarkStart w:id="1285" w:name="_Toc38438653"/>
      <w:bookmarkStart w:id="1286" w:name="_Toc38438990"/>
      <w:bookmarkStart w:id="1287" w:name="_Toc38439327"/>
      <w:bookmarkStart w:id="1288" w:name="_Toc38439664"/>
      <w:bookmarkStart w:id="1289" w:name="_Toc38440001"/>
      <w:bookmarkStart w:id="1290" w:name="_Toc38440338"/>
      <w:bookmarkStart w:id="1291" w:name="_Toc38440671"/>
      <w:bookmarkStart w:id="1292" w:name="_Toc38440870"/>
      <w:bookmarkStart w:id="1293" w:name="_Toc38441202"/>
      <w:bookmarkStart w:id="1294" w:name="_Toc38441534"/>
      <w:bookmarkStart w:id="1295" w:name="_Toc38441862"/>
      <w:bookmarkStart w:id="1296" w:name="_Toc38442194"/>
      <w:bookmarkStart w:id="1297" w:name="_Toc38442526"/>
      <w:bookmarkStart w:id="1298" w:name="_Toc38442857"/>
      <w:bookmarkStart w:id="1299" w:name="_Toc38443188"/>
      <w:bookmarkStart w:id="1300" w:name="_Toc38443519"/>
      <w:bookmarkStart w:id="1301" w:name="_Toc38443850"/>
      <w:bookmarkStart w:id="1302" w:name="_Toc38438317"/>
      <w:bookmarkStart w:id="1303" w:name="_Toc38438654"/>
      <w:bookmarkStart w:id="1304" w:name="_Toc38438991"/>
      <w:bookmarkStart w:id="1305" w:name="_Toc38439328"/>
      <w:bookmarkStart w:id="1306" w:name="_Toc38439665"/>
      <w:bookmarkStart w:id="1307" w:name="_Toc38440002"/>
      <w:bookmarkStart w:id="1308" w:name="_Toc38440339"/>
      <w:bookmarkStart w:id="1309" w:name="_Toc38440672"/>
      <w:bookmarkStart w:id="1310" w:name="_Toc38440871"/>
      <w:bookmarkStart w:id="1311" w:name="_Toc38441203"/>
      <w:bookmarkStart w:id="1312" w:name="_Toc38441535"/>
      <w:bookmarkStart w:id="1313" w:name="_Toc38441863"/>
      <w:bookmarkStart w:id="1314" w:name="_Toc38442195"/>
      <w:bookmarkStart w:id="1315" w:name="_Toc38442527"/>
      <w:bookmarkStart w:id="1316" w:name="_Toc38442858"/>
      <w:bookmarkStart w:id="1317" w:name="_Toc38443189"/>
      <w:bookmarkStart w:id="1318" w:name="_Toc38443520"/>
      <w:bookmarkStart w:id="1319" w:name="_Toc38443851"/>
      <w:bookmarkStart w:id="1320" w:name="_Toc38438318"/>
      <w:bookmarkStart w:id="1321" w:name="_Toc38438655"/>
      <w:bookmarkStart w:id="1322" w:name="_Toc38438992"/>
      <w:bookmarkStart w:id="1323" w:name="_Toc38439329"/>
      <w:bookmarkStart w:id="1324" w:name="_Toc38439666"/>
      <w:bookmarkStart w:id="1325" w:name="_Toc38440003"/>
      <w:bookmarkStart w:id="1326" w:name="_Toc38440340"/>
      <w:bookmarkStart w:id="1327" w:name="_Toc38440673"/>
      <w:bookmarkStart w:id="1328" w:name="_Toc38440872"/>
      <w:bookmarkStart w:id="1329" w:name="_Toc38441204"/>
      <w:bookmarkStart w:id="1330" w:name="_Toc38441536"/>
      <w:bookmarkStart w:id="1331" w:name="_Toc38441864"/>
      <w:bookmarkStart w:id="1332" w:name="_Toc38442196"/>
      <w:bookmarkStart w:id="1333" w:name="_Toc38442528"/>
      <w:bookmarkStart w:id="1334" w:name="_Toc38442859"/>
      <w:bookmarkStart w:id="1335" w:name="_Toc38443190"/>
      <w:bookmarkStart w:id="1336" w:name="_Toc38443521"/>
      <w:bookmarkStart w:id="1337" w:name="_Toc38443852"/>
      <w:bookmarkStart w:id="1338" w:name="_Toc38438319"/>
      <w:bookmarkStart w:id="1339" w:name="_Toc38438656"/>
      <w:bookmarkStart w:id="1340" w:name="_Toc38438993"/>
      <w:bookmarkStart w:id="1341" w:name="_Toc38439330"/>
      <w:bookmarkStart w:id="1342" w:name="_Toc38439667"/>
      <w:bookmarkStart w:id="1343" w:name="_Toc38440004"/>
      <w:bookmarkStart w:id="1344" w:name="_Toc38440341"/>
      <w:bookmarkStart w:id="1345" w:name="_Toc38440674"/>
      <w:bookmarkStart w:id="1346" w:name="_Toc38440873"/>
      <w:bookmarkStart w:id="1347" w:name="_Toc38441205"/>
      <w:bookmarkStart w:id="1348" w:name="_Toc38441537"/>
      <w:bookmarkStart w:id="1349" w:name="_Toc38441865"/>
      <w:bookmarkStart w:id="1350" w:name="_Toc38442197"/>
      <w:bookmarkStart w:id="1351" w:name="_Toc38442529"/>
      <w:bookmarkStart w:id="1352" w:name="_Toc38442860"/>
      <w:bookmarkStart w:id="1353" w:name="_Toc38443191"/>
      <w:bookmarkStart w:id="1354" w:name="_Toc38443522"/>
      <w:bookmarkStart w:id="1355" w:name="_Toc38443853"/>
      <w:bookmarkStart w:id="1356" w:name="_Toc38438320"/>
      <w:bookmarkStart w:id="1357" w:name="_Toc38438657"/>
      <w:bookmarkStart w:id="1358" w:name="_Toc38438994"/>
      <w:bookmarkStart w:id="1359" w:name="_Toc38439331"/>
      <w:bookmarkStart w:id="1360" w:name="_Toc38439668"/>
      <w:bookmarkStart w:id="1361" w:name="_Toc38440005"/>
      <w:bookmarkStart w:id="1362" w:name="_Toc38440342"/>
      <w:bookmarkStart w:id="1363" w:name="_Toc38440675"/>
      <w:bookmarkStart w:id="1364" w:name="_Toc38440874"/>
      <w:bookmarkStart w:id="1365" w:name="_Toc38441206"/>
      <w:bookmarkStart w:id="1366" w:name="_Toc38441538"/>
      <w:bookmarkStart w:id="1367" w:name="_Toc38441866"/>
      <w:bookmarkStart w:id="1368" w:name="_Toc38442198"/>
      <w:bookmarkStart w:id="1369" w:name="_Toc38442530"/>
      <w:bookmarkStart w:id="1370" w:name="_Toc38442861"/>
      <w:bookmarkStart w:id="1371" w:name="_Toc38443192"/>
      <w:bookmarkStart w:id="1372" w:name="_Toc38443523"/>
      <w:bookmarkStart w:id="1373" w:name="_Toc38443854"/>
      <w:bookmarkStart w:id="1374" w:name="_Toc38438321"/>
      <w:bookmarkStart w:id="1375" w:name="_Toc38438658"/>
      <w:bookmarkStart w:id="1376" w:name="_Toc38438995"/>
      <w:bookmarkStart w:id="1377" w:name="_Toc38439332"/>
      <w:bookmarkStart w:id="1378" w:name="_Toc38439669"/>
      <w:bookmarkStart w:id="1379" w:name="_Toc38440006"/>
      <w:bookmarkStart w:id="1380" w:name="_Toc38440343"/>
      <w:bookmarkStart w:id="1381" w:name="_Toc38440676"/>
      <w:bookmarkStart w:id="1382" w:name="_Toc38440875"/>
      <w:bookmarkStart w:id="1383" w:name="_Toc38441207"/>
      <w:bookmarkStart w:id="1384" w:name="_Toc38441539"/>
      <w:bookmarkStart w:id="1385" w:name="_Toc38441867"/>
      <w:bookmarkStart w:id="1386" w:name="_Toc38442199"/>
      <w:bookmarkStart w:id="1387" w:name="_Toc38442531"/>
      <w:bookmarkStart w:id="1388" w:name="_Toc38442862"/>
      <w:bookmarkStart w:id="1389" w:name="_Toc38443193"/>
      <w:bookmarkStart w:id="1390" w:name="_Toc38443524"/>
      <w:bookmarkStart w:id="1391" w:name="_Toc38443855"/>
      <w:bookmarkStart w:id="1392" w:name="_Toc38438322"/>
      <w:bookmarkStart w:id="1393" w:name="_Toc38438659"/>
      <w:bookmarkStart w:id="1394" w:name="_Toc38438996"/>
      <w:bookmarkStart w:id="1395" w:name="_Toc38439333"/>
      <w:bookmarkStart w:id="1396" w:name="_Toc38439670"/>
      <w:bookmarkStart w:id="1397" w:name="_Toc38440007"/>
      <w:bookmarkStart w:id="1398" w:name="_Toc38440344"/>
      <w:bookmarkStart w:id="1399" w:name="_Toc38440677"/>
      <w:bookmarkStart w:id="1400" w:name="_Toc38440876"/>
      <w:bookmarkStart w:id="1401" w:name="_Toc38441208"/>
      <w:bookmarkStart w:id="1402" w:name="_Toc38441540"/>
      <w:bookmarkStart w:id="1403" w:name="_Toc38441868"/>
      <w:bookmarkStart w:id="1404" w:name="_Toc38442200"/>
      <w:bookmarkStart w:id="1405" w:name="_Toc38442532"/>
      <w:bookmarkStart w:id="1406" w:name="_Toc38442863"/>
      <w:bookmarkStart w:id="1407" w:name="_Toc38443194"/>
      <w:bookmarkStart w:id="1408" w:name="_Toc38443525"/>
      <w:bookmarkStart w:id="1409" w:name="_Toc38443856"/>
      <w:bookmarkStart w:id="1410" w:name="_Toc38438323"/>
      <w:bookmarkStart w:id="1411" w:name="_Toc38438660"/>
      <w:bookmarkStart w:id="1412" w:name="_Toc38438997"/>
      <w:bookmarkStart w:id="1413" w:name="_Toc38439334"/>
      <w:bookmarkStart w:id="1414" w:name="_Toc38439671"/>
      <w:bookmarkStart w:id="1415" w:name="_Toc38440008"/>
      <w:bookmarkStart w:id="1416" w:name="_Toc38440345"/>
      <w:bookmarkStart w:id="1417" w:name="_Toc38440678"/>
      <w:bookmarkStart w:id="1418" w:name="_Toc38440877"/>
      <w:bookmarkStart w:id="1419" w:name="_Toc38441209"/>
      <w:bookmarkStart w:id="1420" w:name="_Toc38441541"/>
      <w:bookmarkStart w:id="1421" w:name="_Toc38441869"/>
      <w:bookmarkStart w:id="1422" w:name="_Toc38442201"/>
      <w:bookmarkStart w:id="1423" w:name="_Toc38442533"/>
      <w:bookmarkStart w:id="1424" w:name="_Toc38442864"/>
      <w:bookmarkStart w:id="1425" w:name="_Toc38443195"/>
      <w:bookmarkStart w:id="1426" w:name="_Toc38443526"/>
      <w:bookmarkStart w:id="1427" w:name="_Toc38443857"/>
      <w:bookmarkStart w:id="1428" w:name="_Toc38438324"/>
      <w:bookmarkStart w:id="1429" w:name="_Toc38438661"/>
      <w:bookmarkStart w:id="1430" w:name="_Toc38438998"/>
      <w:bookmarkStart w:id="1431" w:name="_Toc38439335"/>
      <w:bookmarkStart w:id="1432" w:name="_Toc38439672"/>
      <w:bookmarkStart w:id="1433" w:name="_Toc38440009"/>
      <w:bookmarkStart w:id="1434" w:name="_Toc38440346"/>
      <w:bookmarkStart w:id="1435" w:name="_Toc38440679"/>
      <w:bookmarkStart w:id="1436" w:name="_Toc38440878"/>
      <w:bookmarkStart w:id="1437" w:name="_Toc38441210"/>
      <w:bookmarkStart w:id="1438" w:name="_Toc38441542"/>
      <w:bookmarkStart w:id="1439" w:name="_Toc38441870"/>
      <w:bookmarkStart w:id="1440" w:name="_Toc38442202"/>
      <w:bookmarkStart w:id="1441" w:name="_Toc38442534"/>
      <w:bookmarkStart w:id="1442" w:name="_Toc38442865"/>
      <w:bookmarkStart w:id="1443" w:name="_Toc38443196"/>
      <w:bookmarkStart w:id="1444" w:name="_Toc38443527"/>
      <w:bookmarkStart w:id="1445" w:name="_Toc38443858"/>
      <w:bookmarkStart w:id="1446" w:name="_Toc38438325"/>
      <w:bookmarkStart w:id="1447" w:name="_Toc38438662"/>
      <w:bookmarkStart w:id="1448" w:name="_Toc38438999"/>
      <w:bookmarkStart w:id="1449" w:name="_Toc38439336"/>
      <w:bookmarkStart w:id="1450" w:name="_Toc38439673"/>
      <w:bookmarkStart w:id="1451" w:name="_Toc38440010"/>
      <w:bookmarkStart w:id="1452" w:name="_Toc38440347"/>
      <w:bookmarkStart w:id="1453" w:name="_Toc38440879"/>
      <w:bookmarkStart w:id="1454" w:name="_Toc38441211"/>
      <w:bookmarkStart w:id="1455" w:name="_Toc38441543"/>
      <w:bookmarkStart w:id="1456" w:name="_Toc38441871"/>
      <w:bookmarkStart w:id="1457" w:name="_Toc38442203"/>
      <w:bookmarkStart w:id="1458" w:name="_Toc38442535"/>
      <w:bookmarkStart w:id="1459" w:name="_Toc38442866"/>
      <w:bookmarkStart w:id="1460" w:name="_Toc38443197"/>
      <w:bookmarkStart w:id="1461" w:name="_Toc38443528"/>
      <w:bookmarkStart w:id="1462" w:name="_Toc38443859"/>
      <w:bookmarkStart w:id="1463" w:name="_Toc38438326"/>
      <w:bookmarkStart w:id="1464" w:name="_Toc38438663"/>
      <w:bookmarkStart w:id="1465" w:name="_Toc38439000"/>
      <w:bookmarkStart w:id="1466" w:name="_Toc38439337"/>
      <w:bookmarkStart w:id="1467" w:name="_Toc38439674"/>
      <w:bookmarkStart w:id="1468" w:name="_Toc38440011"/>
      <w:bookmarkStart w:id="1469" w:name="_Toc38440348"/>
      <w:bookmarkStart w:id="1470" w:name="_Toc38440880"/>
      <w:bookmarkStart w:id="1471" w:name="_Toc38441212"/>
      <w:bookmarkStart w:id="1472" w:name="_Toc38441544"/>
      <w:bookmarkStart w:id="1473" w:name="_Toc38441872"/>
      <w:bookmarkStart w:id="1474" w:name="_Toc38442204"/>
      <w:bookmarkStart w:id="1475" w:name="_Toc38442536"/>
      <w:bookmarkStart w:id="1476" w:name="_Toc38442867"/>
      <w:bookmarkStart w:id="1477" w:name="_Toc38443198"/>
      <w:bookmarkStart w:id="1478" w:name="_Toc38443529"/>
      <w:bookmarkStart w:id="1479" w:name="_Toc38443860"/>
      <w:bookmarkStart w:id="1480" w:name="_Toc38438327"/>
      <w:bookmarkStart w:id="1481" w:name="_Toc38438664"/>
      <w:bookmarkStart w:id="1482" w:name="_Toc38439001"/>
      <w:bookmarkStart w:id="1483" w:name="_Toc38439338"/>
      <w:bookmarkStart w:id="1484" w:name="_Toc38439675"/>
      <w:bookmarkStart w:id="1485" w:name="_Toc38440012"/>
      <w:bookmarkStart w:id="1486" w:name="_Toc38440349"/>
      <w:bookmarkStart w:id="1487" w:name="_Toc38440881"/>
      <w:bookmarkStart w:id="1488" w:name="_Toc38441213"/>
      <w:bookmarkStart w:id="1489" w:name="_Toc38441545"/>
      <w:bookmarkStart w:id="1490" w:name="_Toc38441873"/>
      <w:bookmarkStart w:id="1491" w:name="_Toc38442205"/>
      <w:bookmarkStart w:id="1492" w:name="_Toc38442537"/>
      <w:bookmarkStart w:id="1493" w:name="_Toc38442868"/>
      <w:bookmarkStart w:id="1494" w:name="_Toc38443199"/>
      <w:bookmarkStart w:id="1495" w:name="_Toc38443530"/>
      <w:bookmarkStart w:id="1496" w:name="_Toc38443861"/>
      <w:bookmarkStart w:id="1497" w:name="_Toc38438328"/>
      <w:bookmarkStart w:id="1498" w:name="_Toc38438665"/>
      <w:bookmarkStart w:id="1499" w:name="_Toc38439002"/>
      <w:bookmarkStart w:id="1500" w:name="_Toc38439339"/>
      <w:bookmarkStart w:id="1501" w:name="_Toc38439676"/>
      <w:bookmarkStart w:id="1502" w:name="_Toc38440013"/>
      <w:bookmarkStart w:id="1503" w:name="_Toc38440350"/>
      <w:bookmarkStart w:id="1504" w:name="_Toc38440882"/>
      <w:bookmarkStart w:id="1505" w:name="_Toc38441214"/>
      <w:bookmarkStart w:id="1506" w:name="_Toc38441546"/>
      <w:bookmarkStart w:id="1507" w:name="_Toc38441874"/>
      <w:bookmarkStart w:id="1508" w:name="_Toc38442206"/>
      <w:bookmarkStart w:id="1509" w:name="_Toc38442538"/>
      <w:bookmarkStart w:id="1510" w:name="_Toc38442869"/>
      <w:bookmarkStart w:id="1511" w:name="_Toc38443200"/>
      <w:bookmarkStart w:id="1512" w:name="_Toc38443531"/>
      <w:bookmarkStart w:id="1513" w:name="_Toc38443862"/>
      <w:bookmarkStart w:id="1514" w:name="_Toc38438329"/>
      <w:bookmarkStart w:id="1515" w:name="_Toc38438666"/>
      <w:bookmarkStart w:id="1516" w:name="_Toc38439003"/>
      <w:bookmarkStart w:id="1517" w:name="_Toc38439340"/>
      <w:bookmarkStart w:id="1518" w:name="_Toc38439677"/>
      <w:bookmarkStart w:id="1519" w:name="_Toc38440014"/>
      <w:bookmarkStart w:id="1520" w:name="_Toc38440351"/>
      <w:bookmarkStart w:id="1521" w:name="_Toc38440883"/>
      <w:bookmarkStart w:id="1522" w:name="_Toc38441215"/>
      <w:bookmarkStart w:id="1523" w:name="_Toc38441547"/>
      <w:bookmarkStart w:id="1524" w:name="_Toc38441875"/>
      <w:bookmarkStart w:id="1525" w:name="_Toc38442207"/>
      <w:bookmarkStart w:id="1526" w:name="_Toc38442539"/>
      <w:bookmarkStart w:id="1527" w:name="_Toc38442870"/>
      <w:bookmarkStart w:id="1528" w:name="_Toc38443201"/>
      <w:bookmarkStart w:id="1529" w:name="_Toc38443532"/>
      <w:bookmarkStart w:id="1530" w:name="_Toc38443863"/>
      <w:bookmarkStart w:id="1531" w:name="_Toc38438330"/>
      <w:bookmarkStart w:id="1532" w:name="_Toc38438667"/>
      <w:bookmarkStart w:id="1533" w:name="_Toc38439004"/>
      <w:bookmarkStart w:id="1534" w:name="_Toc38439341"/>
      <w:bookmarkStart w:id="1535" w:name="_Toc38439678"/>
      <w:bookmarkStart w:id="1536" w:name="_Toc38440015"/>
      <w:bookmarkStart w:id="1537" w:name="_Toc38440352"/>
      <w:bookmarkStart w:id="1538" w:name="_Toc38440884"/>
      <w:bookmarkStart w:id="1539" w:name="_Toc38441216"/>
      <w:bookmarkStart w:id="1540" w:name="_Toc38441548"/>
      <w:bookmarkStart w:id="1541" w:name="_Toc38441876"/>
      <w:bookmarkStart w:id="1542" w:name="_Toc38442208"/>
      <w:bookmarkStart w:id="1543" w:name="_Toc38442540"/>
      <w:bookmarkStart w:id="1544" w:name="_Toc38442871"/>
      <w:bookmarkStart w:id="1545" w:name="_Toc38443202"/>
      <w:bookmarkStart w:id="1546" w:name="_Toc38443533"/>
      <w:bookmarkStart w:id="1547" w:name="_Toc38443864"/>
      <w:bookmarkStart w:id="1548" w:name="_Toc38438331"/>
      <w:bookmarkStart w:id="1549" w:name="_Toc38438668"/>
      <w:bookmarkStart w:id="1550" w:name="_Toc38439005"/>
      <w:bookmarkStart w:id="1551" w:name="_Toc38439342"/>
      <w:bookmarkStart w:id="1552" w:name="_Toc38439679"/>
      <w:bookmarkStart w:id="1553" w:name="_Toc38440016"/>
      <w:bookmarkStart w:id="1554" w:name="_Toc38440353"/>
      <w:bookmarkStart w:id="1555" w:name="_Toc38440885"/>
      <w:bookmarkStart w:id="1556" w:name="_Toc38441217"/>
      <w:bookmarkStart w:id="1557" w:name="_Toc38441549"/>
      <w:bookmarkStart w:id="1558" w:name="_Toc38441877"/>
      <w:bookmarkStart w:id="1559" w:name="_Toc38442209"/>
      <w:bookmarkStart w:id="1560" w:name="_Toc38442541"/>
      <w:bookmarkStart w:id="1561" w:name="_Toc38442872"/>
      <w:bookmarkStart w:id="1562" w:name="_Toc38443203"/>
      <w:bookmarkStart w:id="1563" w:name="_Toc38443534"/>
      <w:bookmarkStart w:id="1564" w:name="_Toc38443865"/>
      <w:bookmarkStart w:id="1565" w:name="_Toc38438332"/>
      <w:bookmarkStart w:id="1566" w:name="_Toc38438669"/>
      <w:bookmarkStart w:id="1567" w:name="_Toc38439006"/>
      <w:bookmarkStart w:id="1568" w:name="_Toc38439343"/>
      <w:bookmarkStart w:id="1569" w:name="_Toc38439680"/>
      <w:bookmarkStart w:id="1570" w:name="_Toc38440017"/>
      <w:bookmarkStart w:id="1571" w:name="_Toc38440354"/>
      <w:bookmarkStart w:id="1572" w:name="_Toc38440886"/>
      <w:bookmarkStart w:id="1573" w:name="_Toc38441218"/>
      <w:bookmarkStart w:id="1574" w:name="_Toc38441550"/>
      <w:bookmarkStart w:id="1575" w:name="_Toc38441878"/>
      <w:bookmarkStart w:id="1576" w:name="_Toc38442210"/>
      <w:bookmarkStart w:id="1577" w:name="_Toc38442542"/>
      <w:bookmarkStart w:id="1578" w:name="_Toc38442873"/>
      <w:bookmarkStart w:id="1579" w:name="_Toc38443204"/>
      <w:bookmarkStart w:id="1580" w:name="_Toc38443535"/>
      <w:bookmarkStart w:id="1581" w:name="_Toc38443866"/>
      <w:bookmarkStart w:id="1582" w:name="_Toc38438333"/>
      <w:bookmarkStart w:id="1583" w:name="_Toc38438670"/>
      <w:bookmarkStart w:id="1584" w:name="_Toc38439007"/>
      <w:bookmarkStart w:id="1585" w:name="_Toc38439344"/>
      <w:bookmarkStart w:id="1586" w:name="_Toc38439681"/>
      <w:bookmarkStart w:id="1587" w:name="_Toc38440018"/>
      <w:bookmarkStart w:id="1588" w:name="_Toc38440355"/>
      <w:bookmarkStart w:id="1589" w:name="_Toc38440887"/>
      <w:bookmarkStart w:id="1590" w:name="_Toc38441219"/>
      <w:bookmarkStart w:id="1591" w:name="_Toc38441551"/>
      <w:bookmarkStart w:id="1592" w:name="_Toc38441879"/>
      <w:bookmarkStart w:id="1593" w:name="_Toc38442211"/>
      <w:bookmarkStart w:id="1594" w:name="_Toc38442543"/>
      <w:bookmarkStart w:id="1595" w:name="_Toc38442874"/>
      <w:bookmarkStart w:id="1596" w:name="_Toc38443205"/>
      <w:bookmarkStart w:id="1597" w:name="_Toc38443536"/>
      <w:bookmarkStart w:id="1598" w:name="_Toc38443867"/>
      <w:bookmarkStart w:id="1599" w:name="_Toc38438334"/>
      <w:bookmarkStart w:id="1600" w:name="_Toc38438671"/>
      <w:bookmarkStart w:id="1601" w:name="_Toc38439008"/>
      <w:bookmarkStart w:id="1602" w:name="_Toc38439345"/>
      <w:bookmarkStart w:id="1603" w:name="_Toc38439682"/>
      <w:bookmarkStart w:id="1604" w:name="_Toc38440019"/>
      <w:bookmarkStart w:id="1605" w:name="_Toc38440356"/>
      <w:bookmarkStart w:id="1606" w:name="_Toc38440888"/>
      <w:bookmarkStart w:id="1607" w:name="_Toc38441220"/>
      <w:bookmarkStart w:id="1608" w:name="_Toc38441552"/>
      <w:bookmarkStart w:id="1609" w:name="_Toc38441880"/>
      <w:bookmarkStart w:id="1610" w:name="_Toc38442212"/>
      <w:bookmarkStart w:id="1611" w:name="_Toc38442544"/>
      <w:bookmarkStart w:id="1612" w:name="_Toc38442875"/>
      <w:bookmarkStart w:id="1613" w:name="_Toc38443206"/>
      <w:bookmarkStart w:id="1614" w:name="_Toc38443537"/>
      <w:bookmarkStart w:id="1615" w:name="_Toc38443868"/>
      <w:bookmarkStart w:id="1616" w:name="_Toc38438335"/>
      <w:bookmarkStart w:id="1617" w:name="_Toc38438672"/>
      <w:bookmarkStart w:id="1618" w:name="_Toc38439009"/>
      <w:bookmarkStart w:id="1619" w:name="_Toc38439346"/>
      <w:bookmarkStart w:id="1620" w:name="_Toc38439683"/>
      <w:bookmarkStart w:id="1621" w:name="_Toc38440020"/>
      <w:bookmarkStart w:id="1622" w:name="_Toc38440357"/>
      <w:bookmarkStart w:id="1623" w:name="_Toc38440889"/>
      <w:bookmarkStart w:id="1624" w:name="_Toc38441221"/>
      <w:bookmarkStart w:id="1625" w:name="_Toc38441553"/>
      <w:bookmarkStart w:id="1626" w:name="_Toc38441881"/>
      <w:bookmarkStart w:id="1627" w:name="_Toc38442213"/>
      <w:bookmarkStart w:id="1628" w:name="_Toc38442545"/>
      <w:bookmarkStart w:id="1629" w:name="_Toc38442876"/>
      <w:bookmarkStart w:id="1630" w:name="_Toc38443207"/>
      <w:bookmarkStart w:id="1631" w:name="_Toc38443538"/>
      <w:bookmarkStart w:id="1632" w:name="_Toc38443869"/>
      <w:bookmarkStart w:id="1633" w:name="_Toc38438336"/>
      <w:bookmarkStart w:id="1634" w:name="_Toc38438673"/>
      <w:bookmarkStart w:id="1635" w:name="_Toc38439010"/>
      <w:bookmarkStart w:id="1636" w:name="_Toc38439347"/>
      <w:bookmarkStart w:id="1637" w:name="_Toc38439684"/>
      <w:bookmarkStart w:id="1638" w:name="_Toc38440021"/>
      <w:bookmarkStart w:id="1639" w:name="_Toc38440358"/>
      <w:bookmarkStart w:id="1640" w:name="_Toc38440890"/>
      <w:bookmarkStart w:id="1641" w:name="_Toc38441222"/>
      <w:bookmarkStart w:id="1642" w:name="_Toc38441554"/>
      <w:bookmarkStart w:id="1643" w:name="_Toc38441882"/>
      <w:bookmarkStart w:id="1644" w:name="_Toc38442214"/>
      <w:bookmarkStart w:id="1645" w:name="_Toc38442546"/>
      <w:bookmarkStart w:id="1646" w:name="_Toc38442877"/>
      <w:bookmarkStart w:id="1647" w:name="_Toc38443208"/>
      <w:bookmarkStart w:id="1648" w:name="_Toc38443539"/>
      <w:bookmarkStart w:id="1649" w:name="_Toc38443870"/>
      <w:bookmarkStart w:id="1650" w:name="_Toc38438337"/>
      <w:bookmarkStart w:id="1651" w:name="_Toc38438674"/>
      <w:bookmarkStart w:id="1652" w:name="_Toc38439011"/>
      <w:bookmarkStart w:id="1653" w:name="_Toc38439348"/>
      <w:bookmarkStart w:id="1654" w:name="_Toc38439685"/>
      <w:bookmarkStart w:id="1655" w:name="_Toc38440022"/>
      <w:bookmarkStart w:id="1656" w:name="_Toc38440359"/>
      <w:bookmarkStart w:id="1657" w:name="_Toc38440891"/>
      <w:bookmarkStart w:id="1658" w:name="_Toc38441223"/>
      <w:bookmarkStart w:id="1659" w:name="_Toc38441555"/>
      <w:bookmarkStart w:id="1660" w:name="_Toc38441883"/>
      <w:bookmarkStart w:id="1661" w:name="_Toc38442215"/>
      <w:bookmarkStart w:id="1662" w:name="_Toc38442547"/>
      <w:bookmarkStart w:id="1663" w:name="_Toc38442878"/>
      <w:bookmarkStart w:id="1664" w:name="_Toc38443209"/>
      <w:bookmarkStart w:id="1665" w:name="_Toc38443540"/>
      <w:bookmarkStart w:id="1666" w:name="_Toc38443871"/>
      <w:bookmarkStart w:id="1667" w:name="_Toc38438338"/>
      <w:bookmarkStart w:id="1668" w:name="_Toc38438675"/>
      <w:bookmarkStart w:id="1669" w:name="_Toc38439012"/>
      <w:bookmarkStart w:id="1670" w:name="_Toc38439349"/>
      <w:bookmarkStart w:id="1671" w:name="_Toc38439686"/>
      <w:bookmarkStart w:id="1672" w:name="_Toc38440023"/>
      <w:bookmarkStart w:id="1673" w:name="_Toc38440360"/>
      <w:bookmarkStart w:id="1674" w:name="_Toc38440892"/>
      <w:bookmarkStart w:id="1675" w:name="_Toc38441224"/>
      <w:bookmarkStart w:id="1676" w:name="_Toc38441556"/>
      <w:bookmarkStart w:id="1677" w:name="_Toc38441884"/>
      <w:bookmarkStart w:id="1678" w:name="_Toc38442216"/>
      <w:bookmarkStart w:id="1679" w:name="_Toc38442548"/>
      <w:bookmarkStart w:id="1680" w:name="_Toc38442879"/>
      <w:bookmarkStart w:id="1681" w:name="_Toc38443210"/>
      <w:bookmarkStart w:id="1682" w:name="_Toc38443541"/>
      <w:bookmarkStart w:id="1683" w:name="_Toc38443872"/>
      <w:bookmarkStart w:id="1684" w:name="_Toc38438339"/>
      <w:bookmarkStart w:id="1685" w:name="_Toc38438676"/>
      <w:bookmarkStart w:id="1686" w:name="_Toc38439013"/>
      <w:bookmarkStart w:id="1687" w:name="_Toc38439350"/>
      <w:bookmarkStart w:id="1688" w:name="_Toc38439687"/>
      <w:bookmarkStart w:id="1689" w:name="_Toc38440024"/>
      <w:bookmarkStart w:id="1690" w:name="_Toc38440361"/>
      <w:bookmarkStart w:id="1691" w:name="_Toc38440893"/>
      <w:bookmarkStart w:id="1692" w:name="_Toc38441225"/>
      <w:bookmarkStart w:id="1693" w:name="_Toc38441557"/>
      <w:bookmarkStart w:id="1694" w:name="_Toc38441885"/>
      <w:bookmarkStart w:id="1695" w:name="_Toc38442217"/>
      <w:bookmarkStart w:id="1696" w:name="_Toc38442549"/>
      <w:bookmarkStart w:id="1697" w:name="_Toc38442880"/>
      <w:bookmarkStart w:id="1698" w:name="_Toc38443211"/>
      <w:bookmarkStart w:id="1699" w:name="_Toc38443542"/>
      <w:bookmarkStart w:id="1700" w:name="_Toc38443873"/>
      <w:bookmarkStart w:id="1701" w:name="_Toc38438340"/>
      <w:bookmarkStart w:id="1702" w:name="_Toc38438677"/>
      <w:bookmarkStart w:id="1703" w:name="_Toc38439014"/>
      <w:bookmarkStart w:id="1704" w:name="_Toc38439351"/>
      <w:bookmarkStart w:id="1705" w:name="_Toc38439688"/>
      <w:bookmarkStart w:id="1706" w:name="_Toc38440025"/>
      <w:bookmarkStart w:id="1707" w:name="_Toc38440362"/>
      <w:bookmarkStart w:id="1708" w:name="_Toc38440894"/>
      <w:bookmarkStart w:id="1709" w:name="_Toc38441226"/>
      <w:bookmarkStart w:id="1710" w:name="_Toc38441558"/>
      <w:bookmarkStart w:id="1711" w:name="_Toc38441886"/>
      <w:bookmarkStart w:id="1712" w:name="_Toc38442218"/>
      <w:bookmarkStart w:id="1713" w:name="_Toc38442550"/>
      <w:bookmarkStart w:id="1714" w:name="_Toc38442881"/>
      <w:bookmarkStart w:id="1715" w:name="_Toc38443212"/>
      <w:bookmarkStart w:id="1716" w:name="_Toc38443543"/>
      <w:bookmarkStart w:id="1717" w:name="_Toc38443874"/>
      <w:bookmarkStart w:id="1718" w:name="_Toc38438341"/>
      <w:bookmarkStart w:id="1719" w:name="_Toc38438678"/>
      <w:bookmarkStart w:id="1720" w:name="_Toc38439015"/>
      <w:bookmarkStart w:id="1721" w:name="_Toc38439352"/>
      <w:bookmarkStart w:id="1722" w:name="_Toc38439689"/>
      <w:bookmarkStart w:id="1723" w:name="_Toc38440026"/>
      <w:bookmarkStart w:id="1724" w:name="_Toc38440363"/>
      <w:bookmarkStart w:id="1725" w:name="_Toc38440895"/>
      <w:bookmarkStart w:id="1726" w:name="_Toc38441227"/>
      <w:bookmarkStart w:id="1727" w:name="_Toc38441559"/>
      <w:bookmarkStart w:id="1728" w:name="_Toc38441887"/>
      <w:bookmarkStart w:id="1729" w:name="_Toc38442219"/>
      <w:bookmarkStart w:id="1730" w:name="_Toc38442551"/>
      <w:bookmarkStart w:id="1731" w:name="_Toc38442882"/>
      <w:bookmarkStart w:id="1732" w:name="_Toc38443213"/>
      <w:bookmarkStart w:id="1733" w:name="_Toc38443544"/>
      <w:bookmarkStart w:id="1734" w:name="_Toc38443875"/>
      <w:bookmarkStart w:id="1735" w:name="_Toc38438342"/>
      <w:bookmarkStart w:id="1736" w:name="_Toc38438679"/>
      <w:bookmarkStart w:id="1737" w:name="_Toc38439016"/>
      <w:bookmarkStart w:id="1738" w:name="_Toc38439353"/>
      <w:bookmarkStart w:id="1739" w:name="_Toc38439690"/>
      <w:bookmarkStart w:id="1740" w:name="_Toc38440027"/>
      <w:bookmarkStart w:id="1741" w:name="_Toc38440364"/>
      <w:bookmarkStart w:id="1742" w:name="_Toc38440896"/>
      <w:bookmarkStart w:id="1743" w:name="_Toc38441228"/>
      <w:bookmarkStart w:id="1744" w:name="_Toc38441560"/>
      <w:bookmarkStart w:id="1745" w:name="_Toc38441888"/>
      <w:bookmarkStart w:id="1746" w:name="_Toc38442220"/>
      <w:bookmarkStart w:id="1747" w:name="_Toc38442552"/>
      <w:bookmarkStart w:id="1748" w:name="_Toc38442883"/>
      <w:bookmarkStart w:id="1749" w:name="_Toc38443214"/>
      <w:bookmarkStart w:id="1750" w:name="_Toc38443545"/>
      <w:bookmarkStart w:id="1751" w:name="_Toc38443876"/>
      <w:bookmarkStart w:id="1752" w:name="_Toc38438343"/>
      <w:bookmarkStart w:id="1753" w:name="_Toc38438680"/>
      <w:bookmarkStart w:id="1754" w:name="_Toc38439017"/>
      <w:bookmarkStart w:id="1755" w:name="_Toc38439354"/>
      <w:bookmarkStart w:id="1756" w:name="_Toc38439691"/>
      <w:bookmarkStart w:id="1757" w:name="_Toc38440028"/>
      <w:bookmarkStart w:id="1758" w:name="_Toc38440365"/>
      <w:bookmarkStart w:id="1759" w:name="_Toc38440897"/>
      <w:bookmarkStart w:id="1760" w:name="_Toc38441229"/>
      <w:bookmarkStart w:id="1761" w:name="_Toc38441561"/>
      <w:bookmarkStart w:id="1762" w:name="_Toc38441889"/>
      <w:bookmarkStart w:id="1763" w:name="_Toc38442221"/>
      <w:bookmarkStart w:id="1764" w:name="_Toc38442553"/>
      <w:bookmarkStart w:id="1765" w:name="_Toc38442884"/>
      <w:bookmarkStart w:id="1766" w:name="_Toc38443215"/>
      <w:bookmarkStart w:id="1767" w:name="_Toc38443546"/>
      <w:bookmarkStart w:id="1768" w:name="_Toc38443877"/>
      <w:bookmarkStart w:id="1769" w:name="_Toc38438350"/>
      <w:bookmarkStart w:id="1770" w:name="_Toc38438687"/>
      <w:bookmarkStart w:id="1771" w:name="_Toc38439024"/>
      <w:bookmarkStart w:id="1772" w:name="_Toc38439361"/>
      <w:bookmarkStart w:id="1773" w:name="_Toc38439698"/>
      <w:bookmarkStart w:id="1774" w:name="_Toc38440035"/>
      <w:bookmarkStart w:id="1775" w:name="_Toc38440372"/>
      <w:bookmarkStart w:id="1776" w:name="_Toc38440904"/>
      <w:bookmarkStart w:id="1777" w:name="_Toc38441236"/>
      <w:bookmarkStart w:id="1778" w:name="_Toc38441568"/>
      <w:bookmarkStart w:id="1779" w:name="_Toc38441896"/>
      <w:bookmarkStart w:id="1780" w:name="_Toc38442228"/>
      <w:bookmarkStart w:id="1781" w:name="_Toc38442560"/>
      <w:bookmarkStart w:id="1782" w:name="_Toc38442891"/>
      <w:bookmarkStart w:id="1783" w:name="_Toc38443222"/>
      <w:bookmarkStart w:id="1784" w:name="_Toc38443553"/>
      <w:bookmarkStart w:id="1785" w:name="_Toc38443883"/>
      <w:bookmarkStart w:id="1786" w:name="_Toc38438351"/>
      <w:bookmarkStart w:id="1787" w:name="_Toc38438688"/>
      <w:bookmarkStart w:id="1788" w:name="_Toc38439025"/>
      <w:bookmarkStart w:id="1789" w:name="_Toc38439362"/>
      <w:bookmarkStart w:id="1790" w:name="_Toc38439699"/>
      <w:bookmarkStart w:id="1791" w:name="_Toc38440036"/>
      <w:bookmarkStart w:id="1792" w:name="_Toc38440373"/>
      <w:bookmarkStart w:id="1793" w:name="_Toc38440905"/>
      <w:bookmarkStart w:id="1794" w:name="_Toc38441237"/>
      <w:bookmarkStart w:id="1795" w:name="_Toc38441569"/>
      <w:bookmarkStart w:id="1796" w:name="_Toc38441897"/>
      <w:bookmarkStart w:id="1797" w:name="_Toc38442229"/>
      <w:bookmarkStart w:id="1798" w:name="_Toc38442561"/>
      <w:bookmarkStart w:id="1799" w:name="_Toc38442892"/>
      <w:bookmarkStart w:id="1800" w:name="_Toc38443223"/>
      <w:bookmarkStart w:id="1801" w:name="_Toc38443554"/>
      <w:bookmarkStart w:id="1802" w:name="_Toc38443884"/>
      <w:bookmarkStart w:id="1803" w:name="_Toc38438352"/>
      <w:bookmarkStart w:id="1804" w:name="_Toc38438689"/>
      <w:bookmarkStart w:id="1805" w:name="_Toc38439026"/>
      <w:bookmarkStart w:id="1806" w:name="_Toc38439363"/>
      <w:bookmarkStart w:id="1807" w:name="_Toc38439700"/>
      <w:bookmarkStart w:id="1808" w:name="_Toc38440037"/>
      <w:bookmarkStart w:id="1809" w:name="_Toc38440374"/>
      <w:bookmarkStart w:id="1810" w:name="_Toc38440906"/>
      <w:bookmarkStart w:id="1811" w:name="_Toc38441238"/>
      <w:bookmarkStart w:id="1812" w:name="_Toc38441570"/>
      <w:bookmarkStart w:id="1813" w:name="_Toc38441898"/>
      <w:bookmarkStart w:id="1814" w:name="_Toc38442230"/>
      <w:bookmarkStart w:id="1815" w:name="_Toc38442562"/>
      <w:bookmarkStart w:id="1816" w:name="_Toc38442893"/>
      <w:bookmarkStart w:id="1817" w:name="_Toc38443224"/>
      <w:bookmarkStart w:id="1818" w:name="_Toc38443555"/>
      <w:bookmarkStart w:id="1819" w:name="_Toc38443885"/>
      <w:bookmarkStart w:id="1820" w:name="_Toc38438353"/>
      <w:bookmarkStart w:id="1821" w:name="_Toc38438690"/>
      <w:bookmarkStart w:id="1822" w:name="_Toc38439027"/>
      <w:bookmarkStart w:id="1823" w:name="_Toc38439364"/>
      <w:bookmarkStart w:id="1824" w:name="_Toc38439701"/>
      <w:bookmarkStart w:id="1825" w:name="_Toc38440038"/>
      <w:bookmarkStart w:id="1826" w:name="_Toc38440375"/>
      <w:bookmarkStart w:id="1827" w:name="_Toc38440907"/>
      <w:bookmarkStart w:id="1828" w:name="_Toc38441239"/>
      <w:bookmarkStart w:id="1829" w:name="_Toc38441571"/>
      <w:bookmarkStart w:id="1830" w:name="_Toc38441899"/>
      <w:bookmarkStart w:id="1831" w:name="_Toc38442231"/>
      <w:bookmarkStart w:id="1832" w:name="_Toc38442563"/>
      <w:bookmarkStart w:id="1833" w:name="_Toc38442894"/>
      <w:bookmarkStart w:id="1834" w:name="_Toc38443225"/>
      <w:bookmarkStart w:id="1835" w:name="_Toc38443556"/>
      <w:bookmarkStart w:id="1836" w:name="_Toc38443886"/>
      <w:bookmarkStart w:id="1837" w:name="_Toc38438354"/>
      <w:bookmarkStart w:id="1838" w:name="_Toc38438691"/>
      <w:bookmarkStart w:id="1839" w:name="_Toc38439028"/>
      <w:bookmarkStart w:id="1840" w:name="_Toc38439365"/>
      <w:bookmarkStart w:id="1841" w:name="_Toc38439702"/>
      <w:bookmarkStart w:id="1842" w:name="_Toc38440039"/>
      <w:bookmarkStart w:id="1843" w:name="_Toc38440376"/>
      <w:bookmarkStart w:id="1844" w:name="_Toc38440908"/>
      <w:bookmarkStart w:id="1845" w:name="_Toc38441240"/>
      <w:bookmarkStart w:id="1846" w:name="_Toc38441572"/>
      <w:bookmarkStart w:id="1847" w:name="_Toc38441900"/>
      <w:bookmarkStart w:id="1848" w:name="_Toc38442232"/>
      <w:bookmarkStart w:id="1849" w:name="_Toc38442564"/>
      <w:bookmarkStart w:id="1850" w:name="_Toc38442895"/>
      <w:bookmarkStart w:id="1851" w:name="_Toc38443226"/>
      <w:bookmarkStart w:id="1852" w:name="_Toc38443557"/>
      <w:bookmarkStart w:id="1853" w:name="_Toc38443887"/>
      <w:bookmarkStart w:id="1854" w:name="_Toc38438355"/>
      <w:bookmarkStart w:id="1855" w:name="_Toc38438692"/>
      <w:bookmarkStart w:id="1856" w:name="_Toc38439029"/>
      <w:bookmarkStart w:id="1857" w:name="_Toc38439366"/>
      <w:bookmarkStart w:id="1858" w:name="_Toc38439703"/>
      <w:bookmarkStart w:id="1859" w:name="_Toc38440040"/>
      <w:bookmarkStart w:id="1860" w:name="_Toc38440377"/>
      <w:bookmarkStart w:id="1861" w:name="_Toc38440909"/>
      <w:bookmarkStart w:id="1862" w:name="_Toc38441241"/>
      <w:bookmarkStart w:id="1863" w:name="_Toc38441573"/>
      <w:bookmarkStart w:id="1864" w:name="_Toc38441901"/>
      <w:bookmarkStart w:id="1865" w:name="_Toc38442233"/>
      <w:bookmarkStart w:id="1866" w:name="_Toc38442565"/>
      <w:bookmarkStart w:id="1867" w:name="_Toc38442896"/>
      <w:bookmarkStart w:id="1868" w:name="_Toc38443227"/>
      <w:bookmarkStart w:id="1869" w:name="_Toc38443558"/>
      <w:bookmarkStart w:id="1870" w:name="_Toc38443888"/>
      <w:bookmarkStart w:id="1871" w:name="_Toc38438356"/>
      <w:bookmarkStart w:id="1872" w:name="_Toc38438693"/>
      <w:bookmarkStart w:id="1873" w:name="_Toc38439030"/>
      <w:bookmarkStart w:id="1874" w:name="_Toc38439367"/>
      <w:bookmarkStart w:id="1875" w:name="_Toc38439704"/>
      <w:bookmarkStart w:id="1876" w:name="_Toc38440041"/>
      <w:bookmarkStart w:id="1877" w:name="_Toc38440378"/>
      <w:bookmarkStart w:id="1878" w:name="_Toc38440910"/>
      <w:bookmarkStart w:id="1879" w:name="_Toc38441242"/>
      <w:bookmarkStart w:id="1880" w:name="_Toc38441574"/>
      <w:bookmarkStart w:id="1881" w:name="_Toc38441902"/>
      <w:bookmarkStart w:id="1882" w:name="_Toc38442234"/>
      <w:bookmarkStart w:id="1883" w:name="_Toc38442566"/>
      <w:bookmarkStart w:id="1884" w:name="_Toc38442897"/>
      <w:bookmarkStart w:id="1885" w:name="_Toc38443228"/>
      <w:bookmarkStart w:id="1886" w:name="_Toc38443559"/>
      <w:bookmarkStart w:id="1887" w:name="_Toc38443889"/>
      <w:bookmarkStart w:id="1888" w:name="_Toc38438357"/>
      <w:bookmarkStart w:id="1889" w:name="_Toc38438694"/>
      <w:bookmarkStart w:id="1890" w:name="_Toc38439031"/>
      <w:bookmarkStart w:id="1891" w:name="_Toc38439368"/>
      <w:bookmarkStart w:id="1892" w:name="_Toc38439705"/>
      <w:bookmarkStart w:id="1893" w:name="_Toc38440042"/>
      <w:bookmarkStart w:id="1894" w:name="_Toc38440379"/>
      <w:bookmarkStart w:id="1895" w:name="_Toc38440911"/>
      <w:bookmarkStart w:id="1896" w:name="_Toc38441243"/>
      <w:bookmarkStart w:id="1897" w:name="_Toc38441575"/>
      <w:bookmarkStart w:id="1898" w:name="_Toc38441903"/>
      <w:bookmarkStart w:id="1899" w:name="_Toc38442235"/>
      <w:bookmarkStart w:id="1900" w:name="_Toc38442567"/>
      <w:bookmarkStart w:id="1901" w:name="_Toc38442898"/>
      <w:bookmarkStart w:id="1902" w:name="_Toc38443229"/>
      <w:bookmarkStart w:id="1903" w:name="_Toc38443560"/>
      <w:bookmarkStart w:id="1904" w:name="_Toc38443890"/>
      <w:bookmarkStart w:id="1905" w:name="_Toc38438358"/>
      <w:bookmarkStart w:id="1906" w:name="_Toc38438695"/>
      <w:bookmarkStart w:id="1907" w:name="_Toc38439032"/>
      <w:bookmarkStart w:id="1908" w:name="_Toc38439369"/>
      <w:bookmarkStart w:id="1909" w:name="_Toc38439706"/>
      <w:bookmarkStart w:id="1910" w:name="_Toc38440043"/>
      <w:bookmarkStart w:id="1911" w:name="_Toc38440380"/>
      <w:bookmarkStart w:id="1912" w:name="_Toc38440912"/>
      <w:bookmarkStart w:id="1913" w:name="_Toc38441244"/>
      <w:bookmarkStart w:id="1914" w:name="_Toc38441576"/>
      <w:bookmarkStart w:id="1915" w:name="_Toc38441904"/>
      <w:bookmarkStart w:id="1916" w:name="_Toc38442236"/>
      <w:bookmarkStart w:id="1917" w:name="_Toc38442568"/>
      <w:bookmarkStart w:id="1918" w:name="_Toc38442899"/>
      <w:bookmarkStart w:id="1919" w:name="_Toc38443230"/>
      <w:bookmarkStart w:id="1920" w:name="_Toc38443561"/>
      <w:bookmarkStart w:id="1921" w:name="_Toc38443891"/>
      <w:bookmarkStart w:id="1922" w:name="_Toc38438359"/>
      <w:bookmarkStart w:id="1923" w:name="_Toc38438696"/>
      <w:bookmarkStart w:id="1924" w:name="_Toc38439033"/>
      <w:bookmarkStart w:id="1925" w:name="_Toc38439370"/>
      <w:bookmarkStart w:id="1926" w:name="_Toc38439707"/>
      <w:bookmarkStart w:id="1927" w:name="_Toc38440044"/>
      <w:bookmarkStart w:id="1928" w:name="_Toc38440381"/>
      <w:bookmarkStart w:id="1929" w:name="_Toc38440913"/>
      <w:bookmarkStart w:id="1930" w:name="_Toc38441245"/>
      <w:bookmarkStart w:id="1931" w:name="_Toc38441577"/>
      <w:bookmarkStart w:id="1932" w:name="_Toc38441905"/>
      <w:bookmarkStart w:id="1933" w:name="_Toc38442237"/>
      <w:bookmarkStart w:id="1934" w:name="_Toc38442569"/>
      <w:bookmarkStart w:id="1935" w:name="_Toc38442900"/>
      <w:bookmarkStart w:id="1936" w:name="_Toc38443231"/>
      <w:bookmarkStart w:id="1937" w:name="_Toc38443562"/>
      <w:bookmarkStart w:id="1938" w:name="_Toc38443892"/>
      <w:bookmarkStart w:id="1939" w:name="_Toc38438360"/>
      <w:bookmarkStart w:id="1940" w:name="_Toc38438697"/>
      <w:bookmarkStart w:id="1941" w:name="_Toc38439034"/>
      <w:bookmarkStart w:id="1942" w:name="_Toc38439371"/>
      <w:bookmarkStart w:id="1943" w:name="_Toc38439708"/>
      <w:bookmarkStart w:id="1944" w:name="_Toc38440045"/>
      <w:bookmarkStart w:id="1945" w:name="_Toc38440382"/>
      <w:bookmarkStart w:id="1946" w:name="_Toc38440914"/>
      <w:bookmarkStart w:id="1947" w:name="_Toc38441246"/>
      <w:bookmarkStart w:id="1948" w:name="_Toc38441578"/>
      <w:bookmarkStart w:id="1949" w:name="_Toc38441906"/>
      <w:bookmarkStart w:id="1950" w:name="_Toc38442238"/>
      <w:bookmarkStart w:id="1951" w:name="_Toc38442570"/>
      <w:bookmarkStart w:id="1952" w:name="_Toc38442901"/>
      <w:bookmarkStart w:id="1953" w:name="_Toc38443232"/>
      <w:bookmarkStart w:id="1954" w:name="_Toc38443563"/>
      <w:bookmarkStart w:id="1955" w:name="_Toc38443893"/>
      <w:bookmarkStart w:id="1956" w:name="_Toc38438361"/>
      <w:bookmarkStart w:id="1957" w:name="_Toc38438698"/>
      <w:bookmarkStart w:id="1958" w:name="_Toc38439035"/>
      <w:bookmarkStart w:id="1959" w:name="_Toc38439372"/>
      <w:bookmarkStart w:id="1960" w:name="_Toc38439709"/>
      <w:bookmarkStart w:id="1961" w:name="_Toc38440046"/>
      <w:bookmarkStart w:id="1962" w:name="_Toc38440383"/>
      <w:bookmarkStart w:id="1963" w:name="_Toc38440915"/>
      <w:bookmarkStart w:id="1964" w:name="_Toc38441247"/>
      <w:bookmarkStart w:id="1965" w:name="_Toc38441579"/>
      <w:bookmarkStart w:id="1966" w:name="_Toc38441907"/>
      <w:bookmarkStart w:id="1967" w:name="_Toc38442239"/>
      <w:bookmarkStart w:id="1968" w:name="_Toc38442571"/>
      <w:bookmarkStart w:id="1969" w:name="_Toc38442902"/>
      <w:bookmarkStart w:id="1970" w:name="_Toc38443233"/>
      <w:bookmarkStart w:id="1971" w:name="_Toc38443564"/>
      <w:bookmarkStart w:id="1972" w:name="_Toc38443894"/>
      <w:bookmarkStart w:id="1973" w:name="_Toc38438362"/>
      <w:bookmarkStart w:id="1974" w:name="_Toc38438699"/>
      <w:bookmarkStart w:id="1975" w:name="_Toc38439036"/>
      <w:bookmarkStart w:id="1976" w:name="_Toc38439373"/>
      <w:bookmarkStart w:id="1977" w:name="_Toc38439710"/>
      <w:bookmarkStart w:id="1978" w:name="_Toc38440047"/>
      <w:bookmarkStart w:id="1979" w:name="_Toc38440384"/>
      <w:bookmarkStart w:id="1980" w:name="_Toc38440916"/>
      <w:bookmarkStart w:id="1981" w:name="_Toc38441248"/>
      <w:bookmarkStart w:id="1982" w:name="_Toc38441580"/>
      <w:bookmarkStart w:id="1983" w:name="_Toc38441908"/>
      <w:bookmarkStart w:id="1984" w:name="_Toc38442240"/>
      <w:bookmarkStart w:id="1985" w:name="_Toc38442572"/>
      <w:bookmarkStart w:id="1986" w:name="_Toc38442903"/>
      <w:bookmarkStart w:id="1987" w:name="_Toc38443234"/>
      <w:bookmarkStart w:id="1988" w:name="_Toc38443565"/>
      <w:bookmarkStart w:id="1989" w:name="_Toc38443895"/>
      <w:bookmarkStart w:id="1990" w:name="_Toc38438363"/>
      <w:bookmarkStart w:id="1991" w:name="_Toc38438700"/>
      <w:bookmarkStart w:id="1992" w:name="_Toc38439037"/>
      <w:bookmarkStart w:id="1993" w:name="_Toc38439374"/>
      <w:bookmarkStart w:id="1994" w:name="_Toc38439711"/>
      <w:bookmarkStart w:id="1995" w:name="_Toc38440048"/>
      <w:bookmarkStart w:id="1996" w:name="_Toc38440385"/>
      <w:bookmarkStart w:id="1997" w:name="_Toc38440917"/>
      <w:bookmarkStart w:id="1998" w:name="_Toc38441249"/>
      <w:bookmarkStart w:id="1999" w:name="_Toc38441581"/>
      <w:bookmarkStart w:id="2000" w:name="_Toc38441909"/>
      <w:bookmarkStart w:id="2001" w:name="_Toc38442241"/>
      <w:bookmarkStart w:id="2002" w:name="_Toc38442573"/>
      <w:bookmarkStart w:id="2003" w:name="_Toc38442904"/>
      <w:bookmarkStart w:id="2004" w:name="_Toc38443235"/>
      <w:bookmarkStart w:id="2005" w:name="_Toc38443566"/>
      <w:bookmarkStart w:id="2006" w:name="_Toc38443896"/>
      <w:bookmarkStart w:id="2007" w:name="_Toc38438364"/>
      <w:bookmarkStart w:id="2008" w:name="_Toc38438701"/>
      <w:bookmarkStart w:id="2009" w:name="_Toc38439038"/>
      <w:bookmarkStart w:id="2010" w:name="_Toc38439375"/>
      <w:bookmarkStart w:id="2011" w:name="_Toc38439712"/>
      <w:bookmarkStart w:id="2012" w:name="_Toc38440049"/>
      <w:bookmarkStart w:id="2013" w:name="_Toc38440386"/>
      <w:bookmarkStart w:id="2014" w:name="_Toc38440918"/>
      <w:bookmarkStart w:id="2015" w:name="_Toc38441250"/>
      <w:bookmarkStart w:id="2016" w:name="_Toc38441582"/>
      <w:bookmarkStart w:id="2017" w:name="_Toc38441910"/>
      <w:bookmarkStart w:id="2018" w:name="_Toc38442242"/>
      <w:bookmarkStart w:id="2019" w:name="_Toc38442574"/>
      <w:bookmarkStart w:id="2020" w:name="_Toc38442905"/>
      <w:bookmarkStart w:id="2021" w:name="_Toc38443236"/>
      <w:bookmarkStart w:id="2022" w:name="_Toc38443567"/>
      <w:bookmarkStart w:id="2023" w:name="_Toc38443897"/>
      <w:bookmarkStart w:id="2024" w:name="_Toc38438365"/>
      <w:bookmarkStart w:id="2025" w:name="_Toc38438702"/>
      <w:bookmarkStart w:id="2026" w:name="_Toc38439039"/>
      <w:bookmarkStart w:id="2027" w:name="_Toc38439376"/>
      <w:bookmarkStart w:id="2028" w:name="_Toc38439713"/>
      <w:bookmarkStart w:id="2029" w:name="_Toc38440050"/>
      <w:bookmarkStart w:id="2030" w:name="_Toc38440387"/>
      <w:bookmarkStart w:id="2031" w:name="_Toc38440919"/>
      <w:bookmarkStart w:id="2032" w:name="_Toc38441251"/>
      <w:bookmarkStart w:id="2033" w:name="_Toc38441583"/>
      <w:bookmarkStart w:id="2034" w:name="_Toc38441911"/>
      <w:bookmarkStart w:id="2035" w:name="_Toc38442243"/>
      <w:bookmarkStart w:id="2036" w:name="_Toc38442575"/>
      <w:bookmarkStart w:id="2037" w:name="_Toc38442906"/>
      <w:bookmarkStart w:id="2038" w:name="_Toc38443237"/>
      <w:bookmarkStart w:id="2039" w:name="_Toc38443568"/>
      <w:bookmarkStart w:id="2040" w:name="_Toc38443898"/>
      <w:bookmarkStart w:id="2041" w:name="_Toc38438366"/>
      <w:bookmarkStart w:id="2042" w:name="_Toc38438703"/>
      <w:bookmarkStart w:id="2043" w:name="_Toc38439040"/>
      <w:bookmarkStart w:id="2044" w:name="_Toc38439377"/>
      <w:bookmarkStart w:id="2045" w:name="_Toc38439714"/>
      <w:bookmarkStart w:id="2046" w:name="_Toc38440051"/>
      <w:bookmarkStart w:id="2047" w:name="_Toc38440388"/>
      <w:bookmarkStart w:id="2048" w:name="_Toc38440920"/>
      <w:bookmarkStart w:id="2049" w:name="_Toc38441252"/>
      <w:bookmarkStart w:id="2050" w:name="_Toc38441584"/>
      <w:bookmarkStart w:id="2051" w:name="_Toc38441912"/>
      <w:bookmarkStart w:id="2052" w:name="_Toc38442244"/>
      <w:bookmarkStart w:id="2053" w:name="_Toc38442576"/>
      <w:bookmarkStart w:id="2054" w:name="_Toc38442907"/>
      <w:bookmarkStart w:id="2055" w:name="_Toc38443238"/>
      <w:bookmarkStart w:id="2056" w:name="_Toc38443569"/>
      <w:bookmarkStart w:id="2057" w:name="_Toc38443899"/>
      <w:bookmarkStart w:id="2058" w:name="_Toc38438367"/>
      <w:bookmarkStart w:id="2059" w:name="_Toc38438704"/>
      <w:bookmarkStart w:id="2060" w:name="_Toc38439041"/>
      <w:bookmarkStart w:id="2061" w:name="_Toc38439378"/>
      <w:bookmarkStart w:id="2062" w:name="_Toc38439715"/>
      <w:bookmarkStart w:id="2063" w:name="_Toc38440052"/>
      <w:bookmarkStart w:id="2064" w:name="_Toc38440389"/>
      <w:bookmarkStart w:id="2065" w:name="_Toc38440921"/>
      <w:bookmarkStart w:id="2066" w:name="_Toc38441253"/>
      <w:bookmarkStart w:id="2067" w:name="_Toc38441585"/>
      <w:bookmarkStart w:id="2068" w:name="_Toc38441913"/>
      <w:bookmarkStart w:id="2069" w:name="_Toc38442245"/>
      <w:bookmarkStart w:id="2070" w:name="_Toc38442577"/>
      <w:bookmarkStart w:id="2071" w:name="_Toc38442908"/>
      <w:bookmarkStart w:id="2072" w:name="_Toc38443239"/>
      <w:bookmarkStart w:id="2073" w:name="_Toc38443570"/>
      <w:bookmarkStart w:id="2074" w:name="_Toc38443900"/>
      <w:bookmarkStart w:id="2075" w:name="_Toc38438368"/>
      <w:bookmarkStart w:id="2076" w:name="_Toc38438705"/>
      <w:bookmarkStart w:id="2077" w:name="_Toc38439042"/>
      <w:bookmarkStart w:id="2078" w:name="_Toc38439379"/>
      <w:bookmarkStart w:id="2079" w:name="_Toc38439716"/>
      <w:bookmarkStart w:id="2080" w:name="_Toc38440053"/>
      <w:bookmarkStart w:id="2081" w:name="_Toc38440390"/>
      <w:bookmarkStart w:id="2082" w:name="_Toc38440922"/>
      <w:bookmarkStart w:id="2083" w:name="_Toc38441254"/>
      <w:bookmarkStart w:id="2084" w:name="_Toc38441586"/>
      <w:bookmarkStart w:id="2085" w:name="_Toc38441914"/>
      <w:bookmarkStart w:id="2086" w:name="_Toc38442246"/>
      <w:bookmarkStart w:id="2087" w:name="_Toc38442578"/>
      <w:bookmarkStart w:id="2088" w:name="_Toc38442909"/>
      <w:bookmarkStart w:id="2089" w:name="_Toc38443240"/>
      <w:bookmarkStart w:id="2090" w:name="_Toc38443571"/>
      <w:bookmarkStart w:id="2091" w:name="_Toc38443901"/>
      <w:bookmarkStart w:id="2092" w:name="_Toc38438369"/>
      <w:bookmarkStart w:id="2093" w:name="_Toc38438706"/>
      <w:bookmarkStart w:id="2094" w:name="_Toc38439043"/>
      <w:bookmarkStart w:id="2095" w:name="_Toc38439380"/>
      <w:bookmarkStart w:id="2096" w:name="_Toc38439717"/>
      <w:bookmarkStart w:id="2097" w:name="_Toc38440054"/>
      <w:bookmarkStart w:id="2098" w:name="_Toc38440391"/>
      <w:bookmarkStart w:id="2099" w:name="_Toc38440923"/>
      <w:bookmarkStart w:id="2100" w:name="_Toc38441255"/>
      <w:bookmarkStart w:id="2101" w:name="_Toc38441587"/>
      <w:bookmarkStart w:id="2102" w:name="_Toc38441915"/>
      <w:bookmarkStart w:id="2103" w:name="_Toc38442247"/>
      <w:bookmarkStart w:id="2104" w:name="_Toc38442579"/>
      <w:bookmarkStart w:id="2105" w:name="_Toc38442910"/>
      <w:bookmarkStart w:id="2106" w:name="_Toc38443241"/>
      <w:bookmarkStart w:id="2107" w:name="_Toc38443572"/>
      <w:bookmarkStart w:id="2108" w:name="_Toc38443902"/>
      <w:bookmarkStart w:id="2109" w:name="_Toc38438371"/>
      <w:bookmarkStart w:id="2110" w:name="_Toc38438708"/>
      <w:bookmarkStart w:id="2111" w:name="_Toc38439045"/>
      <w:bookmarkStart w:id="2112" w:name="_Toc38439382"/>
      <w:bookmarkStart w:id="2113" w:name="_Toc38439719"/>
      <w:bookmarkStart w:id="2114" w:name="_Toc38440056"/>
      <w:bookmarkStart w:id="2115" w:name="_Toc38440393"/>
      <w:bookmarkStart w:id="2116" w:name="_Toc38440925"/>
      <w:bookmarkStart w:id="2117" w:name="_Toc38441257"/>
      <w:bookmarkStart w:id="2118" w:name="_Toc38441589"/>
      <w:bookmarkStart w:id="2119" w:name="_Toc38441917"/>
      <w:bookmarkStart w:id="2120" w:name="_Toc38442249"/>
      <w:bookmarkStart w:id="2121" w:name="_Toc38442581"/>
      <w:bookmarkStart w:id="2122" w:name="_Toc38442912"/>
      <w:bookmarkStart w:id="2123" w:name="_Toc38443243"/>
      <w:bookmarkStart w:id="2124" w:name="_Toc38443574"/>
      <w:bookmarkStart w:id="2125" w:name="_Toc38443904"/>
      <w:bookmarkStart w:id="2126" w:name="_Toc38438372"/>
      <w:bookmarkStart w:id="2127" w:name="_Toc38438709"/>
      <w:bookmarkStart w:id="2128" w:name="_Toc38439046"/>
      <w:bookmarkStart w:id="2129" w:name="_Toc38439383"/>
      <w:bookmarkStart w:id="2130" w:name="_Toc38439720"/>
      <w:bookmarkStart w:id="2131" w:name="_Toc38440057"/>
      <w:bookmarkStart w:id="2132" w:name="_Toc38440394"/>
      <w:bookmarkStart w:id="2133" w:name="_Toc38440926"/>
      <w:bookmarkStart w:id="2134" w:name="_Toc38441258"/>
      <w:bookmarkStart w:id="2135" w:name="_Toc38441590"/>
      <w:bookmarkStart w:id="2136" w:name="_Toc38441918"/>
      <w:bookmarkStart w:id="2137" w:name="_Toc38442250"/>
      <w:bookmarkStart w:id="2138" w:name="_Toc38442582"/>
      <w:bookmarkStart w:id="2139" w:name="_Toc38442913"/>
      <w:bookmarkStart w:id="2140" w:name="_Toc38443244"/>
      <w:bookmarkStart w:id="2141" w:name="_Toc38443575"/>
      <w:bookmarkStart w:id="2142" w:name="_Toc38443905"/>
      <w:bookmarkStart w:id="2143" w:name="_Toc38438373"/>
      <w:bookmarkStart w:id="2144" w:name="_Toc38438710"/>
      <w:bookmarkStart w:id="2145" w:name="_Toc38439047"/>
      <w:bookmarkStart w:id="2146" w:name="_Toc38439384"/>
      <w:bookmarkStart w:id="2147" w:name="_Toc38439721"/>
      <w:bookmarkStart w:id="2148" w:name="_Toc38440058"/>
      <w:bookmarkStart w:id="2149" w:name="_Toc38440395"/>
      <w:bookmarkStart w:id="2150" w:name="_Toc38440927"/>
      <w:bookmarkStart w:id="2151" w:name="_Toc38441259"/>
      <w:bookmarkStart w:id="2152" w:name="_Toc38441591"/>
      <w:bookmarkStart w:id="2153" w:name="_Toc38441919"/>
      <w:bookmarkStart w:id="2154" w:name="_Toc38442251"/>
      <w:bookmarkStart w:id="2155" w:name="_Toc38442583"/>
      <w:bookmarkStart w:id="2156" w:name="_Toc38442914"/>
      <w:bookmarkStart w:id="2157" w:name="_Toc38443245"/>
      <w:bookmarkStart w:id="2158" w:name="_Toc38443576"/>
      <w:bookmarkStart w:id="2159" w:name="_Toc38443906"/>
      <w:bookmarkStart w:id="2160" w:name="_Toc38438374"/>
      <w:bookmarkStart w:id="2161" w:name="_Toc38438711"/>
      <w:bookmarkStart w:id="2162" w:name="_Toc38439048"/>
      <w:bookmarkStart w:id="2163" w:name="_Toc38439385"/>
      <w:bookmarkStart w:id="2164" w:name="_Toc38439722"/>
      <w:bookmarkStart w:id="2165" w:name="_Toc38440059"/>
      <w:bookmarkStart w:id="2166" w:name="_Toc38440396"/>
      <w:bookmarkStart w:id="2167" w:name="_Toc38440928"/>
      <w:bookmarkStart w:id="2168" w:name="_Toc38441260"/>
      <w:bookmarkStart w:id="2169" w:name="_Toc38441592"/>
      <w:bookmarkStart w:id="2170" w:name="_Toc38441920"/>
      <w:bookmarkStart w:id="2171" w:name="_Toc38442252"/>
      <w:bookmarkStart w:id="2172" w:name="_Toc38442584"/>
      <w:bookmarkStart w:id="2173" w:name="_Toc38442915"/>
      <w:bookmarkStart w:id="2174" w:name="_Toc38443246"/>
      <w:bookmarkStart w:id="2175" w:name="_Toc38443577"/>
      <w:bookmarkStart w:id="2176" w:name="_Toc38443907"/>
      <w:bookmarkStart w:id="2177" w:name="_Toc38438375"/>
      <w:bookmarkStart w:id="2178" w:name="_Toc38438712"/>
      <w:bookmarkStart w:id="2179" w:name="_Toc38439049"/>
      <w:bookmarkStart w:id="2180" w:name="_Toc38439386"/>
      <w:bookmarkStart w:id="2181" w:name="_Toc38439723"/>
      <w:bookmarkStart w:id="2182" w:name="_Toc38440060"/>
      <w:bookmarkStart w:id="2183" w:name="_Toc38440397"/>
      <w:bookmarkStart w:id="2184" w:name="_Toc38440929"/>
      <w:bookmarkStart w:id="2185" w:name="_Toc38441261"/>
      <w:bookmarkStart w:id="2186" w:name="_Toc38441593"/>
      <w:bookmarkStart w:id="2187" w:name="_Toc38441921"/>
      <w:bookmarkStart w:id="2188" w:name="_Toc38442253"/>
      <w:bookmarkStart w:id="2189" w:name="_Toc38442585"/>
      <w:bookmarkStart w:id="2190" w:name="_Toc38442916"/>
      <w:bookmarkStart w:id="2191" w:name="_Toc38443247"/>
      <w:bookmarkStart w:id="2192" w:name="_Toc38443578"/>
      <w:bookmarkStart w:id="2193" w:name="_Toc38443908"/>
      <w:bookmarkStart w:id="2194" w:name="_Toc38438376"/>
      <w:bookmarkStart w:id="2195" w:name="_Toc38438713"/>
      <w:bookmarkStart w:id="2196" w:name="_Toc38439050"/>
      <w:bookmarkStart w:id="2197" w:name="_Toc38439387"/>
      <w:bookmarkStart w:id="2198" w:name="_Toc38439724"/>
      <w:bookmarkStart w:id="2199" w:name="_Toc38440061"/>
      <w:bookmarkStart w:id="2200" w:name="_Toc38440398"/>
      <w:bookmarkStart w:id="2201" w:name="_Toc38440930"/>
      <w:bookmarkStart w:id="2202" w:name="_Toc38441262"/>
      <w:bookmarkStart w:id="2203" w:name="_Toc38441594"/>
      <w:bookmarkStart w:id="2204" w:name="_Toc38441922"/>
      <w:bookmarkStart w:id="2205" w:name="_Toc38442254"/>
      <w:bookmarkStart w:id="2206" w:name="_Toc38442586"/>
      <w:bookmarkStart w:id="2207" w:name="_Toc38442917"/>
      <w:bookmarkStart w:id="2208" w:name="_Toc38443248"/>
      <w:bookmarkStart w:id="2209" w:name="_Toc38443579"/>
      <w:bookmarkStart w:id="2210" w:name="_Toc38443909"/>
      <w:bookmarkStart w:id="2211" w:name="_Toc38438377"/>
      <w:bookmarkStart w:id="2212" w:name="_Toc38438714"/>
      <w:bookmarkStart w:id="2213" w:name="_Toc38439051"/>
      <w:bookmarkStart w:id="2214" w:name="_Toc38439388"/>
      <w:bookmarkStart w:id="2215" w:name="_Toc38439725"/>
      <w:bookmarkStart w:id="2216" w:name="_Toc38440062"/>
      <w:bookmarkStart w:id="2217" w:name="_Toc38440399"/>
      <w:bookmarkStart w:id="2218" w:name="_Toc38440931"/>
      <w:bookmarkStart w:id="2219" w:name="_Toc38441263"/>
      <w:bookmarkStart w:id="2220" w:name="_Toc38441595"/>
      <w:bookmarkStart w:id="2221" w:name="_Toc38441923"/>
      <w:bookmarkStart w:id="2222" w:name="_Toc38442255"/>
      <w:bookmarkStart w:id="2223" w:name="_Toc38442587"/>
      <w:bookmarkStart w:id="2224" w:name="_Toc38442918"/>
      <w:bookmarkStart w:id="2225" w:name="_Toc38443249"/>
      <w:bookmarkStart w:id="2226" w:name="_Toc38443580"/>
      <w:bookmarkStart w:id="2227" w:name="_Toc38443910"/>
      <w:bookmarkStart w:id="2228" w:name="_Toc38438378"/>
      <w:bookmarkStart w:id="2229" w:name="_Toc38438715"/>
      <w:bookmarkStart w:id="2230" w:name="_Toc38439052"/>
      <w:bookmarkStart w:id="2231" w:name="_Toc38439389"/>
      <w:bookmarkStart w:id="2232" w:name="_Toc38439726"/>
      <w:bookmarkStart w:id="2233" w:name="_Toc38440063"/>
      <w:bookmarkStart w:id="2234" w:name="_Toc38440400"/>
      <w:bookmarkStart w:id="2235" w:name="_Toc38440932"/>
      <w:bookmarkStart w:id="2236" w:name="_Toc38441264"/>
      <w:bookmarkStart w:id="2237" w:name="_Toc38441596"/>
      <w:bookmarkStart w:id="2238" w:name="_Toc38441924"/>
      <w:bookmarkStart w:id="2239" w:name="_Toc38442256"/>
      <w:bookmarkStart w:id="2240" w:name="_Toc38442588"/>
      <w:bookmarkStart w:id="2241" w:name="_Toc38442919"/>
      <w:bookmarkStart w:id="2242" w:name="_Toc38443250"/>
      <w:bookmarkStart w:id="2243" w:name="_Toc38443581"/>
      <w:bookmarkStart w:id="2244" w:name="_Toc38443911"/>
      <w:bookmarkStart w:id="2245" w:name="_Toc38438379"/>
      <w:bookmarkStart w:id="2246" w:name="_Toc38438716"/>
      <w:bookmarkStart w:id="2247" w:name="_Toc38439053"/>
      <w:bookmarkStart w:id="2248" w:name="_Toc38439390"/>
      <w:bookmarkStart w:id="2249" w:name="_Toc38439727"/>
      <w:bookmarkStart w:id="2250" w:name="_Toc38440064"/>
      <w:bookmarkStart w:id="2251" w:name="_Toc38440401"/>
      <w:bookmarkStart w:id="2252" w:name="_Toc38440933"/>
      <w:bookmarkStart w:id="2253" w:name="_Toc38441265"/>
      <w:bookmarkStart w:id="2254" w:name="_Toc38441597"/>
      <w:bookmarkStart w:id="2255" w:name="_Toc38441925"/>
      <w:bookmarkStart w:id="2256" w:name="_Toc38442257"/>
      <w:bookmarkStart w:id="2257" w:name="_Toc38442589"/>
      <w:bookmarkStart w:id="2258" w:name="_Toc38442920"/>
      <w:bookmarkStart w:id="2259" w:name="_Toc38443251"/>
      <w:bookmarkStart w:id="2260" w:name="_Toc38443582"/>
      <w:bookmarkStart w:id="2261" w:name="_Toc38443912"/>
      <w:bookmarkStart w:id="2262" w:name="_Toc38438380"/>
      <w:bookmarkStart w:id="2263" w:name="_Toc38438717"/>
      <w:bookmarkStart w:id="2264" w:name="_Toc38439054"/>
      <w:bookmarkStart w:id="2265" w:name="_Toc38439391"/>
      <w:bookmarkStart w:id="2266" w:name="_Toc38439728"/>
      <w:bookmarkStart w:id="2267" w:name="_Toc38440065"/>
      <w:bookmarkStart w:id="2268" w:name="_Toc38440402"/>
      <w:bookmarkStart w:id="2269" w:name="_Toc38440934"/>
      <w:bookmarkStart w:id="2270" w:name="_Toc38441266"/>
      <w:bookmarkStart w:id="2271" w:name="_Toc38441598"/>
      <w:bookmarkStart w:id="2272" w:name="_Toc38441926"/>
      <w:bookmarkStart w:id="2273" w:name="_Toc38442258"/>
      <w:bookmarkStart w:id="2274" w:name="_Toc38442590"/>
      <w:bookmarkStart w:id="2275" w:name="_Toc38442921"/>
      <w:bookmarkStart w:id="2276" w:name="_Toc38443252"/>
      <w:bookmarkStart w:id="2277" w:name="_Toc38443583"/>
      <w:bookmarkStart w:id="2278" w:name="_Toc38443913"/>
      <w:bookmarkStart w:id="2279" w:name="_Toc38438381"/>
      <w:bookmarkStart w:id="2280" w:name="_Toc38438718"/>
      <w:bookmarkStart w:id="2281" w:name="_Toc38439055"/>
      <w:bookmarkStart w:id="2282" w:name="_Toc38439392"/>
      <w:bookmarkStart w:id="2283" w:name="_Toc38439729"/>
      <w:bookmarkStart w:id="2284" w:name="_Toc38440066"/>
      <w:bookmarkStart w:id="2285" w:name="_Toc38440403"/>
      <w:bookmarkStart w:id="2286" w:name="_Toc38440935"/>
      <w:bookmarkStart w:id="2287" w:name="_Toc38441267"/>
      <w:bookmarkStart w:id="2288" w:name="_Toc38441599"/>
      <w:bookmarkStart w:id="2289" w:name="_Toc38441927"/>
      <w:bookmarkStart w:id="2290" w:name="_Toc38442259"/>
      <w:bookmarkStart w:id="2291" w:name="_Toc38442591"/>
      <w:bookmarkStart w:id="2292" w:name="_Toc38442922"/>
      <w:bookmarkStart w:id="2293" w:name="_Toc38443253"/>
      <w:bookmarkStart w:id="2294" w:name="_Toc38443584"/>
      <w:bookmarkStart w:id="2295" w:name="_Toc38443914"/>
      <w:bookmarkStart w:id="2296" w:name="_Toc38438382"/>
      <w:bookmarkStart w:id="2297" w:name="_Toc38438719"/>
      <w:bookmarkStart w:id="2298" w:name="_Toc38439056"/>
      <w:bookmarkStart w:id="2299" w:name="_Toc38439393"/>
      <w:bookmarkStart w:id="2300" w:name="_Toc38439730"/>
      <w:bookmarkStart w:id="2301" w:name="_Toc38440067"/>
      <w:bookmarkStart w:id="2302" w:name="_Toc38440404"/>
      <w:bookmarkStart w:id="2303" w:name="_Toc38440936"/>
      <w:bookmarkStart w:id="2304" w:name="_Toc38441268"/>
      <w:bookmarkStart w:id="2305" w:name="_Toc38441600"/>
      <w:bookmarkStart w:id="2306" w:name="_Toc38441928"/>
      <w:bookmarkStart w:id="2307" w:name="_Toc38442260"/>
      <w:bookmarkStart w:id="2308" w:name="_Toc38442592"/>
      <w:bookmarkStart w:id="2309" w:name="_Toc38442923"/>
      <w:bookmarkStart w:id="2310" w:name="_Toc38443254"/>
      <w:bookmarkStart w:id="2311" w:name="_Toc38443585"/>
      <w:bookmarkStart w:id="2312" w:name="_Toc38443915"/>
      <w:bookmarkStart w:id="2313" w:name="_Toc38438383"/>
      <w:bookmarkStart w:id="2314" w:name="_Toc38438720"/>
      <w:bookmarkStart w:id="2315" w:name="_Toc38439057"/>
      <w:bookmarkStart w:id="2316" w:name="_Toc38439394"/>
      <w:bookmarkStart w:id="2317" w:name="_Toc38439731"/>
      <w:bookmarkStart w:id="2318" w:name="_Toc38440068"/>
      <w:bookmarkStart w:id="2319" w:name="_Toc38440405"/>
      <w:bookmarkStart w:id="2320" w:name="_Toc38440937"/>
      <w:bookmarkStart w:id="2321" w:name="_Toc38441269"/>
      <w:bookmarkStart w:id="2322" w:name="_Toc38441601"/>
      <w:bookmarkStart w:id="2323" w:name="_Toc38441929"/>
      <w:bookmarkStart w:id="2324" w:name="_Toc38442261"/>
      <w:bookmarkStart w:id="2325" w:name="_Toc38442593"/>
      <w:bookmarkStart w:id="2326" w:name="_Toc38442924"/>
      <w:bookmarkStart w:id="2327" w:name="_Toc38443255"/>
      <w:bookmarkStart w:id="2328" w:name="_Toc38443586"/>
      <w:bookmarkStart w:id="2329" w:name="_Toc38443916"/>
      <w:bookmarkStart w:id="2330" w:name="_Toc38438384"/>
      <w:bookmarkStart w:id="2331" w:name="_Toc38438721"/>
      <w:bookmarkStart w:id="2332" w:name="_Toc38439058"/>
      <w:bookmarkStart w:id="2333" w:name="_Toc38439395"/>
      <w:bookmarkStart w:id="2334" w:name="_Toc38439732"/>
      <w:bookmarkStart w:id="2335" w:name="_Toc38440069"/>
      <w:bookmarkStart w:id="2336" w:name="_Toc38440406"/>
      <w:bookmarkStart w:id="2337" w:name="_Toc38440938"/>
      <w:bookmarkStart w:id="2338" w:name="_Toc38441270"/>
      <w:bookmarkStart w:id="2339" w:name="_Toc38441602"/>
      <w:bookmarkStart w:id="2340" w:name="_Toc38441930"/>
      <w:bookmarkStart w:id="2341" w:name="_Toc38442262"/>
      <w:bookmarkStart w:id="2342" w:name="_Toc38442594"/>
      <w:bookmarkStart w:id="2343" w:name="_Toc38442925"/>
      <w:bookmarkStart w:id="2344" w:name="_Toc38443256"/>
      <w:bookmarkStart w:id="2345" w:name="_Toc38443587"/>
      <w:bookmarkStart w:id="2346" w:name="_Toc38443917"/>
      <w:bookmarkStart w:id="2347" w:name="_Toc38438385"/>
      <w:bookmarkStart w:id="2348" w:name="_Toc38438722"/>
      <w:bookmarkStart w:id="2349" w:name="_Toc38439059"/>
      <w:bookmarkStart w:id="2350" w:name="_Toc38439396"/>
      <w:bookmarkStart w:id="2351" w:name="_Toc38439733"/>
      <w:bookmarkStart w:id="2352" w:name="_Toc38440070"/>
      <w:bookmarkStart w:id="2353" w:name="_Toc38440407"/>
      <w:bookmarkStart w:id="2354" w:name="_Toc38440939"/>
      <w:bookmarkStart w:id="2355" w:name="_Toc38441271"/>
      <w:bookmarkStart w:id="2356" w:name="_Toc38441603"/>
      <w:bookmarkStart w:id="2357" w:name="_Toc38441931"/>
      <w:bookmarkStart w:id="2358" w:name="_Toc38442263"/>
      <w:bookmarkStart w:id="2359" w:name="_Toc38442595"/>
      <w:bookmarkStart w:id="2360" w:name="_Toc38442926"/>
      <w:bookmarkStart w:id="2361" w:name="_Toc38443257"/>
      <w:bookmarkStart w:id="2362" w:name="_Toc38443588"/>
      <w:bookmarkStart w:id="2363" w:name="_Toc38443918"/>
      <w:bookmarkStart w:id="2364" w:name="_Toc38438386"/>
      <w:bookmarkStart w:id="2365" w:name="_Toc38438723"/>
      <w:bookmarkStart w:id="2366" w:name="_Toc38439060"/>
      <w:bookmarkStart w:id="2367" w:name="_Toc38439397"/>
      <w:bookmarkStart w:id="2368" w:name="_Toc38439734"/>
      <w:bookmarkStart w:id="2369" w:name="_Toc38440071"/>
      <w:bookmarkStart w:id="2370" w:name="_Toc38440408"/>
      <w:bookmarkStart w:id="2371" w:name="_Toc38440940"/>
      <w:bookmarkStart w:id="2372" w:name="_Toc38441272"/>
      <w:bookmarkStart w:id="2373" w:name="_Toc38441604"/>
      <w:bookmarkStart w:id="2374" w:name="_Toc38441932"/>
      <w:bookmarkStart w:id="2375" w:name="_Toc38442264"/>
      <w:bookmarkStart w:id="2376" w:name="_Toc38442596"/>
      <w:bookmarkStart w:id="2377" w:name="_Toc38442927"/>
      <w:bookmarkStart w:id="2378" w:name="_Toc38443258"/>
      <w:bookmarkStart w:id="2379" w:name="_Toc38443589"/>
      <w:bookmarkStart w:id="2380" w:name="_Toc38443919"/>
      <w:bookmarkStart w:id="2381" w:name="_Toc38438387"/>
      <w:bookmarkStart w:id="2382" w:name="_Toc38438724"/>
      <w:bookmarkStart w:id="2383" w:name="_Toc38439061"/>
      <w:bookmarkStart w:id="2384" w:name="_Toc38439398"/>
      <w:bookmarkStart w:id="2385" w:name="_Toc38439735"/>
      <w:bookmarkStart w:id="2386" w:name="_Toc38440072"/>
      <w:bookmarkStart w:id="2387" w:name="_Toc38440409"/>
      <w:bookmarkStart w:id="2388" w:name="_Toc38440941"/>
      <w:bookmarkStart w:id="2389" w:name="_Toc38441273"/>
      <w:bookmarkStart w:id="2390" w:name="_Toc38441605"/>
      <w:bookmarkStart w:id="2391" w:name="_Toc38441933"/>
      <w:bookmarkStart w:id="2392" w:name="_Toc38442265"/>
      <w:bookmarkStart w:id="2393" w:name="_Toc38442597"/>
      <w:bookmarkStart w:id="2394" w:name="_Toc38442928"/>
      <w:bookmarkStart w:id="2395" w:name="_Toc38443259"/>
      <w:bookmarkStart w:id="2396" w:name="_Toc38443590"/>
      <w:bookmarkStart w:id="2397" w:name="_Toc38443920"/>
      <w:bookmarkStart w:id="2398" w:name="_Toc38438388"/>
      <w:bookmarkStart w:id="2399" w:name="_Toc38438725"/>
      <w:bookmarkStart w:id="2400" w:name="_Toc38439062"/>
      <w:bookmarkStart w:id="2401" w:name="_Toc38439399"/>
      <w:bookmarkStart w:id="2402" w:name="_Toc38439736"/>
      <w:bookmarkStart w:id="2403" w:name="_Toc38440073"/>
      <w:bookmarkStart w:id="2404" w:name="_Toc38440410"/>
      <w:bookmarkStart w:id="2405" w:name="_Toc38440942"/>
      <w:bookmarkStart w:id="2406" w:name="_Toc38441274"/>
      <w:bookmarkStart w:id="2407" w:name="_Toc38441606"/>
      <w:bookmarkStart w:id="2408" w:name="_Toc38441934"/>
      <w:bookmarkStart w:id="2409" w:name="_Toc38442266"/>
      <w:bookmarkStart w:id="2410" w:name="_Toc38442598"/>
      <w:bookmarkStart w:id="2411" w:name="_Toc38442929"/>
      <w:bookmarkStart w:id="2412" w:name="_Toc38443260"/>
      <w:bookmarkStart w:id="2413" w:name="_Toc38443591"/>
      <w:bookmarkStart w:id="2414" w:name="_Toc38443921"/>
      <w:bookmarkStart w:id="2415" w:name="_Toc38438389"/>
      <w:bookmarkStart w:id="2416" w:name="_Toc38438726"/>
      <w:bookmarkStart w:id="2417" w:name="_Toc38439063"/>
      <w:bookmarkStart w:id="2418" w:name="_Toc38439400"/>
      <w:bookmarkStart w:id="2419" w:name="_Toc38439737"/>
      <w:bookmarkStart w:id="2420" w:name="_Toc38440074"/>
      <w:bookmarkStart w:id="2421" w:name="_Toc38440411"/>
      <w:bookmarkStart w:id="2422" w:name="_Toc38440943"/>
      <w:bookmarkStart w:id="2423" w:name="_Toc38441275"/>
      <w:bookmarkStart w:id="2424" w:name="_Toc38441607"/>
      <w:bookmarkStart w:id="2425" w:name="_Toc38441935"/>
      <w:bookmarkStart w:id="2426" w:name="_Toc38442267"/>
      <w:bookmarkStart w:id="2427" w:name="_Toc38442599"/>
      <w:bookmarkStart w:id="2428" w:name="_Toc38442930"/>
      <w:bookmarkStart w:id="2429" w:name="_Toc38443261"/>
      <w:bookmarkStart w:id="2430" w:name="_Toc38443592"/>
      <w:bookmarkStart w:id="2431" w:name="_Toc38443922"/>
      <w:bookmarkStart w:id="2432" w:name="_Toc38438390"/>
      <w:bookmarkStart w:id="2433" w:name="_Toc38438727"/>
      <w:bookmarkStart w:id="2434" w:name="_Toc38439064"/>
      <w:bookmarkStart w:id="2435" w:name="_Toc38439401"/>
      <w:bookmarkStart w:id="2436" w:name="_Toc38439738"/>
      <w:bookmarkStart w:id="2437" w:name="_Toc38440075"/>
      <w:bookmarkStart w:id="2438" w:name="_Toc38440412"/>
      <w:bookmarkStart w:id="2439" w:name="_Toc38440944"/>
      <w:bookmarkStart w:id="2440" w:name="_Toc38441276"/>
      <w:bookmarkStart w:id="2441" w:name="_Toc38441608"/>
      <w:bookmarkStart w:id="2442" w:name="_Toc38441936"/>
      <w:bookmarkStart w:id="2443" w:name="_Toc38442268"/>
      <w:bookmarkStart w:id="2444" w:name="_Toc38442600"/>
      <w:bookmarkStart w:id="2445" w:name="_Toc38442931"/>
      <w:bookmarkStart w:id="2446" w:name="_Toc38443262"/>
      <w:bookmarkStart w:id="2447" w:name="_Toc38443593"/>
      <w:bookmarkStart w:id="2448" w:name="_Toc38443923"/>
      <w:bookmarkStart w:id="2449" w:name="_Toc38438391"/>
      <w:bookmarkStart w:id="2450" w:name="_Toc38438728"/>
      <w:bookmarkStart w:id="2451" w:name="_Toc38439065"/>
      <w:bookmarkStart w:id="2452" w:name="_Toc38439402"/>
      <w:bookmarkStart w:id="2453" w:name="_Toc38439739"/>
      <w:bookmarkStart w:id="2454" w:name="_Toc38440076"/>
      <w:bookmarkStart w:id="2455" w:name="_Toc38440413"/>
      <w:bookmarkStart w:id="2456" w:name="_Toc38440945"/>
      <w:bookmarkStart w:id="2457" w:name="_Toc38441277"/>
      <w:bookmarkStart w:id="2458" w:name="_Toc38441609"/>
      <w:bookmarkStart w:id="2459" w:name="_Toc38441937"/>
      <w:bookmarkStart w:id="2460" w:name="_Toc38442269"/>
      <w:bookmarkStart w:id="2461" w:name="_Toc38442601"/>
      <w:bookmarkStart w:id="2462" w:name="_Toc38442932"/>
      <w:bookmarkStart w:id="2463" w:name="_Toc38443263"/>
      <w:bookmarkStart w:id="2464" w:name="_Toc38443594"/>
      <w:bookmarkStart w:id="2465" w:name="_Toc38443924"/>
      <w:bookmarkStart w:id="2466" w:name="_Toc38438392"/>
      <w:bookmarkStart w:id="2467" w:name="_Toc38438729"/>
      <w:bookmarkStart w:id="2468" w:name="_Toc38439066"/>
      <w:bookmarkStart w:id="2469" w:name="_Toc38439403"/>
      <w:bookmarkStart w:id="2470" w:name="_Toc38439740"/>
      <w:bookmarkStart w:id="2471" w:name="_Toc38440077"/>
      <w:bookmarkStart w:id="2472" w:name="_Toc38440414"/>
      <w:bookmarkStart w:id="2473" w:name="_Toc38440946"/>
      <w:bookmarkStart w:id="2474" w:name="_Toc38441278"/>
      <w:bookmarkStart w:id="2475" w:name="_Toc38441610"/>
      <w:bookmarkStart w:id="2476" w:name="_Toc38441938"/>
      <w:bookmarkStart w:id="2477" w:name="_Toc38442270"/>
      <w:bookmarkStart w:id="2478" w:name="_Toc38442602"/>
      <w:bookmarkStart w:id="2479" w:name="_Toc38442933"/>
      <w:bookmarkStart w:id="2480" w:name="_Toc38443264"/>
      <w:bookmarkStart w:id="2481" w:name="_Toc38443595"/>
      <w:bookmarkStart w:id="2482" w:name="_Toc38443925"/>
      <w:bookmarkStart w:id="2483" w:name="_Toc38438393"/>
      <w:bookmarkStart w:id="2484" w:name="_Toc38438730"/>
      <w:bookmarkStart w:id="2485" w:name="_Toc38439067"/>
      <w:bookmarkStart w:id="2486" w:name="_Toc38439404"/>
      <w:bookmarkStart w:id="2487" w:name="_Toc38439741"/>
      <w:bookmarkStart w:id="2488" w:name="_Toc38440078"/>
      <w:bookmarkStart w:id="2489" w:name="_Toc38440415"/>
      <w:bookmarkStart w:id="2490" w:name="_Toc38440947"/>
      <w:bookmarkStart w:id="2491" w:name="_Toc38441279"/>
      <w:bookmarkStart w:id="2492" w:name="_Toc38441611"/>
      <w:bookmarkStart w:id="2493" w:name="_Toc38441939"/>
      <w:bookmarkStart w:id="2494" w:name="_Toc38442271"/>
      <w:bookmarkStart w:id="2495" w:name="_Toc38442603"/>
      <w:bookmarkStart w:id="2496" w:name="_Toc38442934"/>
      <w:bookmarkStart w:id="2497" w:name="_Toc38443265"/>
      <w:bookmarkStart w:id="2498" w:name="_Toc38443596"/>
      <w:bookmarkStart w:id="2499" w:name="_Toc38443926"/>
      <w:bookmarkStart w:id="2500" w:name="_Toc38438394"/>
      <w:bookmarkStart w:id="2501" w:name="_Toc38438731"/>
      <w:bookmarkStart w:id="2502" w:name="_Toc38439068"/>
      <w:bookmarkStart w:id="2503" w:name="_Toc38439405"/>
      <w:bookmarkStart w:id="2504" w:name="_Toc38439742"/>
      <w:bookmarkStart w:id="2505" w:name="_Toc38440079"/>
      <w:bookmarkStart w:id="2506" w:name="_Toc38440416"/>
      <w:bookmarkStart w:id="2507" w:name="_Toc38440948"/>
      <w:bookmarkStart w:id="2508" w:name="_Toc38441280"/>
      <w:bookmarkStart w:id="2509" w:name="_Toc38441612"/>
      <w:bookmarkStart w:id="2510" w:name="_Toc38441940"/>
      <w:bookmarkStart w:id="2511" w:name="_Toc38442272"/>
      <w:bookmarkStart w:id="2512" w:name="_Toc38442604"/>
      <w:bookmarkStart w:id="2513" w:name="_Toc38442935"/>
      <w:bookmarkStart w:id="2514" w:name="_Toc38443266"/>
      <w:bookmarkStart w:id="2515" w:name="_Toc38443597"/>
      <w:bookmarkStart w:id="2516" w:name="_Toc38443927"/>
      <w:bookmarkStart w:id="2517" w:name="_Toc38438395"/>
      <w:bookmarkStart w:id="2518" w:name="_Toc38438732"/>
      <w:bookmarkStart w:id="2519" w:name="_Toc38439069"/>
      <w:bookmarkStart w:id="2520" w:name="_Toc38439406"/>
      <w:bookmarkStart w:id="2521" w:name="_Toc38439743"/>
      <w:bookmarkStart w:id="2522" w:name="_Toc38440080"/>
      <w:bookmarkStart w:id="2523" w:name="_Toc38440417"/>
      <w:bookmarkStart w:id="2524" w:name="_Toc38440949"/>
      <w:bookmarkStart w:id="2525" w:name="_Toc38441281"/>
      <w:bookmarkStart w:id="2526" w:name="_Toc38441613"/>
      <w:bookmarkStart w:id="2527" w:name="_Toc38441941"/>
      <w:bookmarkStart w:id="2528" w:name="_Toc38442273"/>
      <w:bookmarkStart w:id="2529" w:name="_Toc38442605"/>
      <w:bookmarkStart w:id="2530" w:name="_Toc38442936"/>
      <w:bookmarkStart w:id="2531" w:name="_Toc38443267"/>
      <w:bookmarkStart w:id="2532" w:name="_Toc38443598"/>
      <w:bookmarkStart w:id="2533" w:name="_Toc38443928"/>
      <w:bookmarkStart w:id="2534" w:name="_Toc38438396"/>
      <w:bookmarkStart w:id="2535" w:name="_Toc38438733"/>
      <w:bookmarkStart w:id="2536" w:name="_Toc38439070"/>
      <w:bookmarkStart w:id="2537" w:name="_Toc38439407"/>
      <w:bookmarkStart w:id="2538" w:name="_Toc38439744"/>
      <w:bookmarkStart w:id="2539" w:name="_Toc38440081"/>
      <w:bookmarkStart w:id="2540" w:name="_Toc38440418"/>
      <w:bookmarkStart w:id="2541" w:name="_Toc38440950"/>
      <w:bookmarkStart w:id="2542" w:name="_Toc38441282"/>
      <w:bookmarkStart w:id="2543" w:name="_Toc38441614"/>
      <w:bookmarkStart w:id="2544" w:name="_Toc38441942"/>
      <w:bookmarkStart w:id="2545" w:name="_Toc38442274"/>
      <w:bookmarkStart w:id="2546" w:name="_Toc38442606"/>
      <w:bookmarkStart w:id="2547" w:name="_Toc38442937"/>
      <w:bookmarkStart w:id="2548" w:name="_Toc38443268"/>
      <w:bookmarkStart w:id="2549" w:name="_Toc38443599"/>
      <w:bookmarkStart w:id="2550" w:name="_Toc38443929"/>
      <w:bookmarkStart w:id="2551" w:name="_Toc38438397"/>
      <w:bookmarkStart w:id="2552" w:name="_Toc38438734"/>
      <w:bookmarkStart w:id="2553" w:name="_Toc38439071"/>
      <w:bookmarkStart w:id="2554" w:name="_Toc38439408"/>
      <w:bookmarkStart w:id="2555" w:name="_Toc38439745"/>
      <w:bookmarkStart w:id="2556" w:name="_Toc38440082"/>
      <w:bookmarkStart w:id="2557" w:name="_Toc38440419"/>
      <w:bookmarkStart w:id="2558" w:name="_Toc38440951"/>
      <w:bookmarkStart w:id="2559" w:name="_Toc38441283"/>
      <w:bookmarkStart w:id="2560" w:name="_Toc38441615"/>
      <w:bookmarkStart w:id="2561" w:name="_Toc38441943"/>
      <w:bookmarkStart w:id="2562" w:name="_Toc38442275"/>
      <w:bookmarkStart w:id="2563" w:name="_Toc38442607"/>
      <w:bookmarkStart w:id="2564" w:name="_Toc38442938"/>
      <w:bookmarkStart w:id="2565" w:name="_Toc38443269"/>
      <w:bookmarkStart w:id="2566" w:name="_Toc38443600"/>
      <w:bookmarkStart w:id="2567" w:name="_Toc38443930"/>
      <w:bookmarkStart w:id="2568" w:name="_Toc38438398"/>
      <w:bookmarkStart w:id="2569" w:name="_Toc38438735"/>
      <w:bookmarkStart w:id="2570" w:name="_Toc38439072"/>
      <w:bookmarkStart w:id="2571" w:name="_Toc38439409"/>
      <w:bookmarkStart w:id="2572" w:name="_Toc38439746"/>
      <w:bookmarkStart w:id="2573" w:name="_Toc38440083"/>
      <w:bookmarkStart w:id="2574" w:name="_Toc38440420"/>
      <w:bookmarkStart w:id="2575" w:name="_Toc38440952"/>
      <w:bookmarkStart w:id="2576" w:name="_Toc38441284"/>
      <w:bookmarkStart w:id="2577" w:name="_Toc38441616"/>
      <w:bookmarkStart w:id="2578" w:name="_Toc38441944"/>
      <w:bookmarkStart w:id="2579" w:name="_Toc38442276"/>
      <w:bookmarkStart w:id="2580" w:name="_Toc38442608"/>
      <w:bookmarkStart w:id="2581" w:name="_Toc38442939"/>
      <w:bookmarkStart w:id="2582" w:name="_Toc38443270"/>
      <w:bookmarkStart w:id="2583" w:name="_Toc38443601"/>
      <w:bookmarkStart w:id="2584" w:name="_Toc38443931"/>
      <w:bookmarkStart w:id="2585" w:name="_Toc38438400"/>
      <w:bookmarkStart w:id="2586" w:name="_Toc38438737"/>
      <w:bookmarkStart w:id="2587" w:name="_Toc38439074"/>
      <w:bookmarkStart w:id="2588" w:name="_Toc38439411"/>
      <w:bookmarkStart w:id="2589" w:name="_Toc38439748"/>
      <w:bookmarkStart w:id="2590" w:name="_Toc38440085"/>
      <w:bookmarkStart w:id="2591" w:name="_Toc38440422"/>
      <w:bookmarkStart w:id="2592" w:name="_Toc38440954"/>
      <w:bookmarkStart w:id="2593" w:name="_Toc38441286"/>
      <w:bookmarkStart w:id="2594" w:name="_Toc38441618"/>
      <w:bookmarkStart w:id="2595" w:name="_Toc38441946"/>
      <w:bookmarkStart w:id="2596" w:name="_Toc38442278"/>
      <w:bookmarkStart w:id="2597" w:name="_Toc38442610"/>
      <w:bookmarkStart w:id="2598" w:name="_Toc38442941"/>
      <w:bookmarkStart w:id="2599" w:name="_Toc38443272"/>
      <w:bookmarkStart w:id="2600" w:name="_Toc38443603"/>
      <w:bookmarkStart w:id="2601" w:name="_Toc38443933"/>
      <w:bookmarkStart w:id="2602" w:name="_Toc38438401"/>
      <w:bookmarkStart w:id="2603" w:name="_Toc38438738"/>
      <w:bookmarkStart w:id="2604" w:name="_Toc38439075"/>
      <w:bookmarkStart w:id="2605" w:name="_Toc38439412"/>
      <w:bookmarkStart w:id="2606" w:name="_Toc38439749"/>
      <w:bookmarkStart w:id="2607" w:name="_Toc38440086"/>
      <w:bookmarkStart w:id="2608" w:name="_Toc38440423"/>
      <w:bookmarkStart w:id="2609" w:name="_Toc38440955"/>
      <w:bookmarkStart w:id="2610" w:name="_Toc38441287"/>
      <w:bookmarkStart w:id="2611" w:name="_Toc38441619"/>
      <w:bookmarkStart w:id="2612" w:name="_Toc38441947"/>
      <w:bookmarkStart w:id="2613" w:name="_Toc38442279"/>
      <w:bookmarkStart w:id="2614" w:name="_Toc38442611"/>
      <w:bookmarkStart w:id="2615" w:name="_Toc38442942"/>
      <w:bookmarkStart w:id="2616" w:name="_Toc38443273"/>
      <w:bookmarkStart w:id="2617" w:name="_Toc38443604"/>
      <w:bookmarkStart w:id="2618" w:name="_Toc38443934"/>
      <w:bookmarkStart w:id="2619" w:name="_Toc38438402"/>
      <w:bookmarkStart w:id="2620" w:name="_Toc38438739"/>
      <w:bookmarkStart w:id="2621" w:name="_Toc38439076"/>
      <w:bookmarkStart w:id="2622" w:name="_Toc38439413"/>
      <w:bookmarkStart w:id="2623" w:name="_Toc38439750"/>
      <w:bookmarkStart w:id="2624" w:name="_Toc38440087"/>
      <w:bookmarkStart w:id="2625" w:name="_Toc38440424"/>
      <w:bookmarkStart w:id="2626" w:name="_Toc38440956"/>
      <w:bookmarkStart w:id="2627" w:name="_Toc38441288"/>
      <w:bookmarkStart w:id="2628" w:name="_Toc38441620"/>
      <w:bookmarkStart w:id="2629" w:name="_Toc38441948"/>
      <w:bookmarkStart w:id="2630" w:name="_Toc38442280"/>
      <w:bookmarkStart w:id="2631" w:name="_Toc38442612"/>
      <w:bookmarkStart w:id="2632" w:name="_Toc38442943"/>
      <w:bookmarkStart w:id="2633" w:name="_Toc38443274"/>
      <w:bookmarkStart w:id="2634" w:name="_Toc38443605"/>
      <w:bookmarkStart w:id="2635" w:name="_Toc38443935"/>
      <w:bookmarkStart w:id="2636" w:name="_Toc38438404"/>
      <w:bookmarkStart w:id="2637" w:name="_Toc38438741"/>
      <w:bookmarkStart w:id="2638" w:name="_Toc38439078"/>
      <w:bookmarkStart w:id="2639" w:name="_Toc38439415"/>
      <w:bookmarkStart w:id="2640" w:name="_Toc38439752"/>
      <w:bookmarkStart w:id="2641" w:name="_Toc38440089"/>
      <w:bookmarkStart w:id="2642" w:name="_Toc38440426"/>
      <w:bookmarkStart w:id="2643" w:name="_Toc38440958"/>
      <w:bookmarkStart w:id="2644" w:name="_Toc38441290"/>
      <w:bookmarkStart w:id="2645" w:name="_Toc38441622"/>
      <w:bookmarkStart w:id="2646" w:name="_Toc38441950"/>
      <w:bookmarkStart w:id="2647" w:name="_Toc38442282"/>
      <w:bookmarkStart w:id="2648" w:name="_Toc38442614"/>
      <w:bookmarkStart w:id="2649" w:name="_Toc38442945"/>
      <w:bookmarkStart w:id="2650" w:name="_Toc38443276"/>
      <w:bookmarkStart w:id="2651" w:name="_Toc38443607"/>
      <w:bookmarkStart w:id="2652" w:name="_Toc38443937"/>
      <w:bookmarkStart w:id="2653" w:name="_Toc38438405"/>
      <w:bookmarkStart w:id="2654" w:name="_Toc38438742"/>
      <w:bookmarkStart w:id="2655" w:name="_Toc38439079"/>
      <w:bookmarkStart w:id="2656" w:name="_Toc38439416"/>
      <w:bookmarkStart w:id="2657" w:name="_Toc38439753"/>
      <w:bookmarkStart w:id="2658" w:name="_Toc38440090"/>
      <w:bookmarkStart w:id="2659" w:name="_Toc38440427"/>
      <w:bookmarkStart w:id="2660" w:name="_Toc38440959"/>
      <w:bookmarkStart w:id="2661" w:name="_Toc38441291"/>
      <w:bookmarkStart w:id="2662" w:name="_Toc38441623"/>
      <w:bookmarkStart w:id="2663" w:name="_Toc38441951"/>
      <w:bookmarkStart w:id="2664" w:name="_Toc38442283"/>
      <w:bookmarkStart w:id="2665" w:name="_Toc38442615"/>
      <w:bookmarkStart w:id="2666" w:name="_Toc38442946"/>
      <w:bookmarkStart w:id="2667" w:name="_Toc38443277"/>
      <w:bookmarkStart w:id="2668" w:name="_Toc38443608"/>
      <w:bookmarkStart w:id="2669" w:name="_Toc38443938"/>
      <w:bookmarkStart w:id="2670" w:name="_Toc38438406"/>
      <w:bookmarkStart w:id="2671" w:name="_Toc38438743"/>
      <w:bookmarkStart w:id="2672" w:name="_Toc38439080"/>
      <w:bookmarkStart w:id="2673" w:name="_Toc38439417"/>
      <w:bookmarkStart w:id="2674" w:name="_Toc38439754"/>
      <w:bookmarkStart w:id="2675" w:name="_Toc38440091"/>
      <w:bookmarkStart w:id="2676" w:name="_Toc38440428"/>
      <w:bookmarkStart w:id="2677" w:name="_Toc38440960"/>
      <w:bookmarkStart w:id="2678" w:name="_Toc38441292"/>
      <w:bookmarkStart w:id="2679" w:name="_Toc38441624"/>
      <w:bookmarkStart w:id="2680" w:name="_Toc38441952"/>
      <w:bookmarkStart w:id="2681" w:name="_Toc38442284"/>
      <w:bookmarkStart w:id="2682" w:name="_Toc38442616"/>
      <w:bookmarkStart w:id="2683" w:name="_Toc38442947"/>
      <w:bookmarkStart w:id="2684" w:name="_Toc38443278"/>
      <w:bookmarkStart w:id="2685" w:name="_Toc38443609"/>
      <w:bookmarkStart w:id="2686" w:name="_Toc38443939"/>
      <w:bookmarkStart w:id="2687" w:name="_Toc38438407"/>
      <w:bookmarkStart w:id="2688" w:name="_Toc38438744"/>
      <w:bookmarkStart w:id="2689" w:name="_Toc38439081"/>
      <w:bookmarkStart w:id="2690" w:name="_Toc38439418"/>
      <w:bookmarkStart w:id="2691" w:name="_Toc38439755"/>
      <w:bookmarkStart w:id="2692" w:name="_Toc38440092"/>
      <w:bookmarkStart w:id="2693" w:name="_Toc38440429"/>
      <w:bookmarkStart w:id="2694" w:name="_Toc38440961"/>
      <w:bookmarkStart w:id="2695" w:name="_Toc38441293"/>
      <w:bookmarkStart w:id="2696" w:name="_Toc38441625"/>
      <w:bookmarkStart w:id="2697" w:name="_Toc38441953"/>
      <w:bookmarkStart w:id="2698" w:name="_Toc38442285"/>
      <w:bookmarkStart w:id="2699" w:name="_Toc38442617"/>
      <w:bookmarkStart w:id="2700" w:name="_Toc38442948"/>
      <w:bookmarkStart w:id="2701" w:name="_Toc38443279"/>
      <w:bookmarkStart w:id="2702" w:name="_Toc38443610"/>
      <w:bookmarkStart w:id="2703" w:name="_Toc38443940"/>
      <w:bookmarkStart w:id="2704" w:name="_Toc38438408"/>
      <w:bookmarkStart w:id="2705" w:name="_Toc38438745"/>
      <w:bookmarkStart w:id="2706" w:name="_Toc38439082"/>
      <w:bookmarkStart w:id="2707" w:name="_Toc38439419"/>
      <w:bookmarkStart w:id="2708" w:name="_Toc38439756"/>
      <w:bookmarkStart w:id="2709" w:name="_Toc38440093"/>
      <w:bookmarkStart w:id="2710" w:name="_Toc38440430"/>
      <w:bookmarkStart w:id="2711" w:name="_Toc38440962"/>
      <w:bookmarkStart w:id="2712" w:name="_Toc38441294"/>
      <w:bookmarkStart w:id="2713" w:name="_Toc38441626"/>
      <w:bookmarkStart w:id="2714" w:name="_Toc38441954"/>
      <w:bookmarkStart w:id="2715" w:name="_Toc38442286"/>
      <w:bookmarkStart w:id="2716" w:name="_Toc38442618"/>
      <w:bookmarkStart w:id="2717" w:name="_Toc38442949"/>
      <w:bookmarkStart w:id="2718" w:name="_Toc38443280"/>
      <w:bookmarkStart w:id="2719" w:name="_Toc38443611"/>
      <w:bookmarkStart w:id="2720" w:name="_Toc38443941"/>
      <w:bookmarkStart w:id="2721" w:name="_Toc38438409"/>
      <w:bookmarkStart w:id="2722" w:name="_Toc38438746"/>
      <w:bookmarkStart w:id="2723" w:name="_Toc38439083"/>
      <w:bookmarkStart w:id="2724" w:name="_Toc38439420"/>
      <w:bookmarkStart w:id="2725" w:name="_Toc38439757"/>
      <w:bookmarkStart w:id="2726" w:name="_Toc38440094"/>
      <w:bookmarkStart w:id="2727" w:name="_Toc38440431"/>
      <w:bookmarkStart w:id="2728" w:name="_Toc38440963"/>
      <w:bookmarkStart w:id="2729" w:name="_Toc38441295"/>
      <w:bookmarkStart w:id="2730" w:name="_Toc38441627"/>
      <w:bookmarkStart w:id="2731" w:name="_Toc38441955"/>
      <w:bookmarkStart w:id="2732" w:name="_Toc38442287"/>
      <w:bookmarkStart w:id="2733" w:name="_Toc38442619"/>
      <w:bookmarkStart w:id="2734" w:name="_Toc38442950"/>
      <w:bookmarkStart w:id="2735" w:name="_Toc38443281"/>
      <w:bookmarkStart w:id="2736" w:name="_Toc38443612"/>
      <w:bookmarkStart w:id="2737" w:name="_Toc38443942"/>
      <w:bookmarkStart w:id="2738" w:name="_Toc38438410"/>
      <w:bookmarkStart w:id="2739" w:name="_Toc38438747"/>
      <w:bookmarkStart w:id="2740" w:name="_Toc38439084"/>
      <w:bookmarkStart w:id="2741" w:name="_Toc38439421"/>
      <w:bookmarkStart w:id="2742" w:name="_Toc38439758"/>
      <w:bookmarkStart w:id="2743" w:name="_Toc38440095"/>
      <w:bookmarkStart w:id="2744" w:name="_Toc38440432"/>
      <w:bookmarkStart w:id="2745" w:name="_Toc38440964"/>
      <w:bookmarkStart w:id="2746" w:name="_Toc38441296"/>
      <w:bookmarkStart w:id="2747" w:name="_Toc38441628"/>
      <w:bookmarkStart w:id="2748" w:name="_Toc38441956"/>
      <w:bookmarkStart w:id="2749" w:name="_Toc38442288"/>
      <w:bookmarkStart w:id="2750" w:name="_Toc38442620"/>
      <w:bookmarkStart w:id="2751" w:name="_Toc38442951"/>
      <w:bookmarkStart w:id="2752" w:name="_Toc38443282"/>
      <w:bookmarkStart w:id="2753" w:name="_Toc38443613"/>
      <w:bookmarkStart w:id="2754" w:name="_Toc38443943"/>
      <w:bookmarkStart w:id="2755" w:name="_Toc38438411"/>
      <w:bookmarkStart w:id="2756" w:name="_Toc38438748"/>
      <w:bookmarkStart w:id="2757" w:name="_Toc38439085"/>
      <w:bookmarkStart w:id="2758" w:name="_Toc38439422"/>
      <w:bookmarkStart w:id="2759" w:name="_Toc38439759"/>
      <w:bookmarkStart w:id="2760" w:name="_Toc38440096"/>
      <w:bookmarkStart w:id="2761" w:name="_Toc38440433"/>
      <w:bookmarkStart w:id="2762" w:name="_Toc38440965"/>
      <w:bookmarkStart w:id="2763" w:name="_Toc38441297"/>
      <w:bookmarkStart w:id="2764" w:name="_Toc38441629"/>
      <w:bookmarkStart w:id="2765" w:name="_Toc38441957"/>
      <w:bookmarkStart w:id="2766" w:name="_Toc38442289"/>
      <w:bookmarkStart w:id="2767" w:name="_Toc38442621"/>
      <w:bookmarkStart w:id="2768" w:name="_Toc38442952"/>
      <w:bookmarkStart w:id="2769" w:name="_Toc38443283"/>
      <w:bookmarkStart w:id="2770" w:name="_Toc38443614"/>
      <w:bookmarkStart w:id="2771" w:name="_Toc38443944"/>
      <w:bookmarkStart w:id="2772" w:name="_Toc38438412"/>
      <w:bookmarkStart w:id="2773" w:name="_Toc38438749"/>
      <w:bookmarkStart w:id="2774" w:name="_Toc38439086"/>
      <w:bookmarkStart w:id="2775" w:name="_Toc38439423"/>
      <w:bookmarkStart w:id="2776" w:name="_Toc38439760"/>
      <w:bookmarkStart w:id="2777" w:name="_Toc38440097"/>
      <w:bookmarkStart w:id="2778" w:name="_Toc38440434"/>
      <w:bookmarkStart w:id="2779" w:name="_Toc38440966"/>
      <w:bookmarkStart w:id="2780" w:name="_Toc38441298"/>
      <w:bookmarkStart w:id="2781" w:name="_Toc38441630"/>
      <w:bookmarkStart w:id="2782" w:name="_Toc38441958"/>
      <w:bookmarkStart w:id="2783" w:name="_Toc38442290"/>
      <w:bookmarkStart w:id="2784" w:name="_Toc38442622"/>
      <w:bookmarkStart w:id="2785" w:name="_Toc38442953"/>
      <w:bookmarkStart w:id="2786" w:name="_Toc38443284"/>
      <w:bookmarkStart w:id="2787" w:name="_Toc38443615"/>
      <w:bookmarkStart w:id="2788" w:name="_Toc38443945"/>
      <w:bookmarkStart w:id="2789" w:name="_Toc38438413"/>
      <w:bookmarkStart w:id="2790" w:name="_Toc38438750"/>
      <w:bookmarkStart w:id="2791" w:name="_Toc38439087"/>
      <w:bookmarkStart w:id="2792" w:name="_Toc38439424"/>
      <w:bookmarkStart w:id="2793" w:name="_Toc38439761"/>
      <w:bookmarkStart w:id="2794" w:name="_Toc38440098"/>
      <w:bookmarkStart w:id="2795" w:name="_Toc38440435"/>
      <w:bookmarkStart w:id="2796" w:name="_Toc38440967"/>
      <w:bookmarkStart w:id="2797" w:name="_Toc38441299"/>
      <w:bookmarkStart w:id="2798" w:name="_Toc38441631"/>
      <w:bookmarkStart w:id="2799" w:name="_Toc38441959"/>
      <w:bookmarkStart w:id="2800" w:name="_Toc38442291"/>
      <w:bookmarkStart w:id="2801" w:name="_Toc38442623"/>
      <w:bookmarkStart w:id="2802" w:name="_Toc38442954"/>
      <w:bookmarkStart w:id="2803" w:name="_Toc38443285"/>
      <w:bookmarkStart w:id="2804" w:name="_Toc38443616"/>
      <w:bookmarkStart w:id="2805" w:name="_Toc38443946"/>
      <w:bookmarkStart w:id="2806" w:name="_Toc38438414"/>
      <w:bookmarkStart w:id="2807" w:name="_Toc38438751"/>
      <w:bookmarkStart w:id="2808" w:name="_Toc38439088"/>
      <w:bookmarkStart w:id="2809" w:name="_Toc38439425"/>
      <w:bookmarkStart w:id="2810" w:name="_Toc38439762"/>
      <w:bookmarkStart w:id="2811" w:name="_Toc38440099"/>
      <w:bookmarkStart w:id="2812" w:name="_Toc38440436"/>
      <w:bookmarkStart w:id="2813" w:name="_Toc38440968"/>
      <w:bookmarkStart w:id="2814" w:name="_Toc38441300"/>
      <w:bookmarkStart w:id="2815" w:name="_Toc38441632"/>
      <w:bookmarkStart w:id="2816" w:name="_Toc38441960"/>
      <w:bookmarkStart w:id="2817" w:name="_Toc38442292"/>
      <w:bookmarkStart w:id="2818" w:name="_Toc38442624"/>
      <w:bookmarkStart w:id="2819" w:name="_Toc38442955"/>
      <w:bookmarkStart w:id="2820" w:name="_Toc38443286"/>
      <w:bookmarkStart w:id="2821" w:name="_Toc38443617"/>
      <w:bookmarkStart w:id="2822" w:name="_Toc38443947"/>
      <w:bookmarkStart w:id="2823" w:name="_Toc38438415"/>
      <w:bookmarkStart w:id="2824" w:name="_Toc38438752"/>
      <w:bookmarkStart w:id="2825" w:name="_Toc38439089"/>
      <w:bookmarkStart w:id="2826" w:name="_Toc38439426"/>
      <w:bookmarkStart w:id="2827" w:name="_Toc38439763"/>
      <w:bookmarkStart w:id="2828" w:name="_Toc38440100"/>
      <w:bookmarkStart w:id="2829" w:name="_Toc38440437"/>
      <w:bookmarkStart w:id="2830" w:name="_Toc38440969"/>
      <w:bookmarkStart w:id="2831" w:name="_Toc38441301"/>
      <w:bookmarkStart w:id="2832" w:name="_Toc38441633"/>
      <w:bookmarkStart w:id="2833" w:name="_Toc38441961"/>
      <w:bookmarkStart w:id="2834" w:name="_Toc38442293"/>
      <w:bookmarkStart w:id="2835" w:name="_Toc38442625"/>
      <w:bookmarkStart w:id="2836" w:name="_Toc38442956"/>
      <w:bookmarkStart w:id="2837" w:name="_Toc38443287"/>
      <w:bookmarkStart w:id="2838" w:name="_Toc38443618"/>
      <w:bookmarkStart w:id="2839" w:name="_Toc38443948"/>
      <w:bookmarkStart w:id="2840" w:name="_Toc38438416"/>
      <w:bookmarkStart w:id="2841" w:name="_Toc38438753"/>
      <w:bookmarkStart w:id="2842" w:name="_Toc38439090"/>
      <w:bookmarkStart w:id="2843" w:name="_Toc38439427"/>
      <w:bookmarkStart w:id="2844" w:name="_Toc38439764"/>
      <w:bookmarkStart w:id="2845" w:name="_Toc38440101"/>
      <w:bookmarkStart w:id="2846" w:name="_Toc38440438"/>
      <w:bookmarkStart w:id="2847" w:name="_Toc38440970"/>
      <w:bookmarkStart w:id="2848" w:name="_Toc38441302"/>
      <w:bookmarkStart w:id="2849" w:name="_Toc38441634"/>
      <w:bookmarkStart w:id="2850" w:name="_Toc38441962"/>
      <w:bookmarkStart w:id="2851" w:name="_Toc38442294"/>
      <w:bookmarkStart w:id="2852" w:name="_Toc38442626"/>
      <w:bookmarkStart w:id="2853" w:name="_Toc38442957"/>
      <w:bookmarkStart w:id="2854" w:name="_Toc38443288"/>
      <w:bookmarkStart w:id="2855" w:name="_Toc38443619"/>
      <w:bookmarkStart w:id="2856" w:name="_Toc38443949"/>
      <w:bookmarkStart w:id="2857" w:name="_Toc38438417"/>
      <w:bookmarkStart w:id="2858" w:name="_Toc38438754"/>
      <w:bookmarkStart w:id="2859" w:name="_Toc38439091"/>
      <w:bookmarkStart w:id="2860" w:name="_Toc38439428"/>
      <w:bookmarkStart w:id="2861" w:name="_Toc38439765"/>
      <w:bookmarkStart w:id="2862" w:name="_Toc38440102"/>
      <w:bookmarkStart w:id="2863" w:name="_Toc38440439"/>
      <w:bookmarkStart w:id="2864" w:name="_Toc38440971"/>
      <w:bookmarkStart w:id="2865" w:name="_Toc38441303"/>
      <w:bookmarkStart w:id="2866" w:name="_Toc38441635"/>
      <w:bookmarkStart w:id="2867" w:name="_Toc38441963"/>
      <w:bookmarkStart w:id="2868" w:name="_Toc38442295"/>
      <w:bookmarkStart w:id="2869" w:name="_Toc38442627"/>
      <w:bookmarkStart w:id="2870" w:name="_Toc38442958"/>
      <w:bookmarkStart w:id="2871" w:name="_Toc38443289"/>
      <w:bookmarkStart w:id="2872" w:name="_Toc38443620"/>
      <w:bookmarkStart w:id="2873" w:name="_Toc38443950"/>
      <w:bookmarkStart w:id="2874" w:name="_Toc38438418"/>
      <w:bookmarkStart w:id="2875" w:name="_Toc38438755"/>
      <w:bookmarkStart w:id="2876" w:name="_Toc38439092"/>
      <w:bookmarkStart w:id="2877" w:name="_Toc38439429"/>
      <w:bookmarkStart w:id="2878" w:name="_Toc38439766"/>
      <w:bookmarkStart w:id="2879" w:name="_Toc38440103"/>
      <w:bookmarkStart w:id="2880" w:name="_Toc38440440"/>
      <w:bookmarkStart w:id="2881" w:name="_Toc38440972"/>
      <w:bookmarkStart w:id="2882" w:name="_Toc38441304"/>
      <w:bookmarkStart w:id="2883" w:name="_Toc38441636"/>
      <w:bookmarkStart w:id="2884" w:name="_Toc38441964"/>
      <w:bookmarkStart w:id="2885" w:name="_Toc38442296"/>
      <w:bookmarkStart w:id="2886" w:name="_Toc38442628"/>
      <w:bookmarkStart w:id="2887" w:name="_Toc38442959"/>
      <w:bookmarkStart w:id="2888" w:name="_Toc38443290"/>
      <w:bookmarkStart w:id="2889" w:name="_Toc38443621"/>
      <w:bookmarkStart w:id="2890" w:name="_Toc38443951"/>
      <w:bookmarkStart w:id="2891" w:name="_Toc38438419"/>
      <w:bookmarkStart w:id="2892" w:name="_Toc38438756"/>
      <w:bookmarkStart w:id="2893" w:name="_Toc38439093"/>
      <w:bookmarkStart w:id="2894" w:name="_Toc38439430"/>
      <w:bookmarkStart w:id="2895" w:name="_Toc38439767"/>
      <w:bookmarkStart w:id="2896" w:name="_Toc38440104"/>
      <w:bookmarkStart w:id="2897" w:name="_Toc38440441"/>
      <w:bookmarkStart w:id="2898" w:name="_Toc38440973"/>
      <w:bookmarkStart w:id="2899" w:name="_Toc38441305"/>
      <w:bookmarkStart w:id="2900" w:name="_Toc38441637"/>
      <w:bookmarkStart w:id="2901" w:name="_Toc38441965"/>
      <w:bookmarkStart w:id="2902" w:name="_Toc38442297"/>
      <w:bookmarkStart w:id="2903" w:name="_Toc38442629"/>
      <w:bookmarkStart w:id="2904" w:name="_Toc38442960"/>
      <w:bookmarkStart w:id="2905" w:name="_Toc38443291"/>
      <w:bookmarkStart w:id="2906" w:name="_Toc38443622"/>
      <w:bookmarkStart w:id="2907" w:name="_Toc38443952"/>
      <w:bookmarkStart w:id="2908" w:name="_Toc38438420"/>
      <w:bookmarkStart w:id="2909" w:name="_Toc38438757"/>
      <w:bookmarkStart w:id="2910" w:name="_Toc38439094"/>
      <w:bookmarkStart w:id="2911" w:name="_Toc38439431"/>
      <w:bookmarkStart w:id="2912" w:name="_Toc38439768"/>
      <w:bookmarkStart w:id="2913" w:name="_Toc38440105"/>
      <w:bookmarkStart w:id="2914" w:name="_Toc38440442"/>
      <w:bookmarkStart w:id="2915" w:name="_Toc38440974"/>
      <w:bookmarkStart w:id="2916" w:name="_Toc38441306"/>
      <w:bookmarkStart w:id="2917" w:name="_Toc38441638"/>
      <w:bookmarkStart w:id="2918" w:name="_Toc38441966"/>
      <w:bookmarkStart w:id="2919" w:name="_Toc38442298"/>
      <w:bookmarkStart w:id="2920" w:name="_Toc38442630"/>
      <w:bookmarkStart w:id="2921" w:name="_Toc38442961"/>
      <w:bookmarkStart w:id="2922" w:name="_Toc38443292"/>
      <w:bookmarkStart w:id="2923" w:name="_Toc38443623"/>
      <w:bookmarkStart w:id="2924" w:name="_Toc38443953"/>
      <w:bookmarkStart w:id="2925" w:name="_Toc38438421"/>
      <w:bookmarkStart w:id="2926" w:name="_Toc38438758"/>
      <w:bookmarkStart w:id="2927" w:name="_Toc38439095"/>
      <w:bookmarkStart w:id="2928" w:name="_Toc38439432"/>
      <w:bookmarkStart w:id="2929" w:name="_Toc38439769"/>
      <w:bookmarkStart w:id="2930" w:name="_Toc38440106"/>
      <w:bookmarkStart w:id="2931" w:name="_Toc38440443"/>
      <w:bookmarkStart w:id="2932" w:name="_Toc38440975"/>
      <w:bookmarkStart w:id="2933" w:name="_Toc38441307"/>
      <w:bookmarkStart w:id="2934" w:name="_Toc38441639"/>
      <w:bookmarkStart w:id="2935" w:name="_Toc38441967"/>
      <w:bookmarkStart w:id="2936" w:name="_Toc38442299"/>
      <w:bookmarkStart w:id="2937" w:name="_Toc38442631"/>
      <w:bookmarkStart w:id="2938" w:name="_Toc38442962"/>
      <w:bookmarkStart w:id="2939" w:name="_Toc38443293"/>
      <w:bookmarkStart w:id="2940" w:name="_Toc38443624"/>
      <w:bookmarkStart w:id="2941" w:name="_Toc38443954"/>
      <w:bookmarkStart w:id="2942" w:name="_Toc38438422"/>
      <w:bookmarkStart w:id="2943" w:name="_Toc38438759"/>
      <w:bookmarkStart w:id="2944" w:name="_Toc38439096"/>
      <w:bookmarkStart w:id="2945" w:name="_Toc38439433"/>
      <w:bookmarkStart w:id="2946" w:name="_Toc38439770"/>
      <w:bookmarkStart w:id="2947" w:name="_Toc38440107"/>
      <w:bookmarkStart w:id="2948" w:name="_Toc38440444"/>
      <w:bookmarkStart w:id="2949" w:name="_Toc38440976"/>
      <w:bookmarkStart w:id="2950" w:name="_Toc38441308"/>
      <w:bookmarkStart w:id="2951" w:name="_Toc38441640"/>
      <w:bookmarkStart w:id="2952" w:name="_Toc38441968"/>
      <w:bookmarkStart w:id="2953" w:name="_Toc38442300"/>
      <w:bookmarkStart w:id="2954" w:name="_Toc38442632"/>
      <w:bookmarkStart w:id="2955" w:name="_Toc38442963"/>
      <w:bookmarkStart w:id="2956" w:name="_Toc38443294"/>
      <w:bookmarkStart w:id="2957" w:name="_Toc38443625"/>
      <w:bookmarkStart w:id="2958" w:name="_Toc38443955"/>
      <w:bookmarkStart w:id="2959" w:name="_Toc38438423"/>
      <w:bookmarkStart w:id="2960" w:name="_Toc38438760"/>
      <w:bookmarkStart w:id="2961" w:name="_Toc38439097"/>
      <w:bookmarkStart w:id="2962" w:name="_Toc38439434"/>
      <w:bookmarkStart w:id="2963" w:name="_Toc38439771"/>
      <w:bookmarkStart w:id="2964" w:name="_Toc38440108"/>
      <w:bookmarkStart w:id="2965" w:name="_Toc38440445"/>
      <w:bookmarkStart w:id="2966" w:name="_Toc38440977"/>
      <w:bookmarkStart w:id="2967" w:name="_Toc38441309"/>
      <w:bookmarkStart w:id="2968" w:name="_Toc38441641"/>
      <w:bookmarkStart w:id="2969" w:name="_Toc38441969"/>
      <w:bookmarkStart w:id="2970" w:name="_Toc38442301"/>
      <w:bookmarkStart w:id="2971" w:name="_Toc38442633"/>
      <w:bookmarkStart w:id="2972" w:name="_Toc38442964"/>
      <w:bookmarkStart w:id="2973" w:name="_Toc38443295"/>
      <w:bookmarkStart w:id="2974" w:name="_Toc38443626"/>
      <w:bookmarkStart w:id="2975" w:name="_Toc38443956"/>
      <w:bookmarkStart w:id="2976" w:name="_Toc38438424"/>
      <w:bookmarkStart w:id="2977" w:name="_Toc38438761"/>
      <w:bookmarkStart w:id="2978" w:name="_Toc38439098"/>
      <w:bookmarkStart w:id="2979" w:name="_Toc38439435"/>
      <w:bookmarkStart w:id="2980" w:name="_Toc38439772"/>
      <w:bookmarkStart w:id="2981" w:name="_Toc38440109"/>
      <w:bookmarkStart w:id="2982" w:name="_Toc38440446"/>
      <w:bookmarkStart w:id="2983" w:name="_Toc38440978"/>
      <w:bookmarkStart w:id="2984" w:name="_Toc38441310"/>
      <w:bookmarkStart w:id="2985" w:name="_Toc38441642"/>
      <w:bookmarkStart w:id="2986" w:name="_Toc38441970"/>
      <w:bookmarkStart w:id="2987" w:name="_Toc38442302"/>
      <w:bookmarkStart w:id="2988" w:name="_Toc38442634"/>
      <w:bookmarkStart w:id="2989" w:name="_Toc38442965"/>
      <w:bookmarkStart w:id="2990" w:name="_Toc38443296"/>
      <w:bookmarkStart w:id="2991" w:name="_Toc38443627"/>
      <w:bookmarkStart w:id="2992" w:name="_Toc38443957"/>
      <w:bookmarkStart w:id="2993" w:name="_Toc38438425"/>
      <w:bookmarkStart w:id="2994" w:name="_Toc38438762"/>
      <w:bookmarkStart w:id="2995" w:name="_Toc38439099"/>
      <w:bookmarkStart w:id="2996" w:name="_Toc38439436"/>
      <w:bookmarkStart w:id="2997" w:name="_Toc38439773"/>
      <w:bookmarkStart w:id="2998" w:name="_Toc38440110"/>
      <w:bookmarkStart w:id="2999" w:name="_Toc38440447"/>
      <w:bookmarkStart w:id="3000" w:name="_Toc38440979"/>
      <w:bookmarkStart w:id="3001" w:name="_Toc38441311"/>
      <w:bookmarkStart w:id="3002" w:name="_Toc38441643"/>
      <w:bookmarkStart w:id="3003" w:name="_Toc38441971"/>
      <w:bookmarkStart w:id="3004" w:name="_Toc38442303"/>
      <w:bookmarkStart w:id="3005" w:name="_Toc38442635"/>
      <w:bookmarkStart w:id="3006" w:name="_Toc38442966"/>
      <w:bookmarkStart w:id="3007" w:name="_Toc38443297"/>
      <w:bookmarkStart w:id="3008" w:name="_Toc38443628"/>
      <w:bookmarkStart w:id="3009" w:name="_Toc38443958"/>
      <w:bookmarkStart w:id="3010" w:name="_Toc38438426"/>
      <w:bookmarkStart w:id="3011" w:name="_Toc38438763"/>
      <w:bookmarkStart w:id="3012" w:name="_Toc38439100"/>
      <w:bookmarkStart w:id="3013" w:name="_Toc38439437"/>
      <w:bookmarkStart w:id="3014" w:name="_Toc38439774"/>
      <w:bookmarkStart w:id="3015" w:name="_Toc38440111"/>
      <w:bookmarkStart w:id="3016" w:name="_Toc38440448"/>
      <w:bookmarkStart w:id="3017" w:name="_Toc38440980"/>
      <w:bookmarkStart w:id="3018" w:name="_Toc38441312"/>
      <w:bookmarkStart w:id="3019" w:name="_Toc38441644"/>
      <w:bookmarkStart w:id="3020" w:name="_Toc38441972"/>
      <w:bookmarkStart w:id="3021" w:name="_Toc38442304"/>
      <w:bookmarkStart w:id="3022" w:name="_Toc38442636"/>
      <w:bookmarkStart w:id="3023" w:name="_Toc38442967"/>
      <w:bookmarkStart w:id="3024" w:name="_Toc38443298"/>
      <w:bookmarkStart w:id="3025" w:name="_Toc38443629"/>
      <w:bookmarkStart w:id="3026" w:name="_Toc38443959"/>
      <w:bookmarkStart w:id="3027" w:name="_Toc38438427"/>
      <w:bookmarkStart w:id="3028" w:name="_Toc38438764"/>
      <w:bookmarkStart w:id="3029" w:name="_Toc38439101"/>
      <w:bookmarkStart w:id="3030" w:name="_Toc38439438"/>
      <w:bookmarkStart w:id="3031" w:name="_Toc38439775"/>
      <w:bookmarkStart w:id="3032" w:name="_Toc38440112"/>
      <w:bookmarkStart w:id="3033" w:name="_Toc38440449"/>
      <w:bookmarkStart w:id="3034" w:name="_Toc38440981"/>
      <w:bookmarkStart w:id="3035" w:name="_Toc38441313"/>
      <w:bookmarkStart w:id="3036" w:name="_Toc38441645"/>
      <w:bookmarkStart w:id="3037" w:name="_Toc38441973"/>
      <w:bookmarkStart w:id="3038" w:name="_Toc38442305"/>
      <w:bookmarkStart w:id="3039" w:name="_Toc38442637"/>
      <w:bookmarkStart w:id="3040" w:name="_Toc38442968"/>
      <w:bookmarkStart w:id="3041" w:name="_Toc38443299"/>
      <w:bookmarkStart w:id="3042" w:name="_Toc38443630"/>
      <w:bookmarkStart w:id="3043" w:name="_Toc38443960"/>
      <w:bookmarkStart w:id="3044" w:name="_Toc38438428"/>
      <w:bookmarkStart w:id="3045" w:name="_Toc38438765"/>
      <w:bookmarkStart w:id="3046" w:name="_Toc38439102"/>
      <w:bookmarkStart w:id="3047" w:name="_Toc38439439"/>
      <w:bookmarkStart w:id="3048" w:name="_Toc38439776"/>
      <w:bookmarkStart w:id="3049" w:name="_Toc38440113"/>
      <w:bookmarkStart w:id="3050" w:name="_Toc38440450"/>
      <w:bookmarkStart w:id="3051" w:name="_Toc38440982"/>
      <w:bookmarkStart w:id="3052" w:name="_Toc38441314"/>
      <w:bookmarkStart w:id="3053" w:name="_Toc38441646"/>
      <w:bookmarkStart w:id="3054" w:name="_Toc38441974"/>
      <w:bookmarkStart w:id="3055" w:name="_Toc38442306"/>
      <w:bookmarkStart w:id="3056" w:name="_Toc38442638"/>
      <w:bookmarkStart w:id="3057" w:name="_Toc38442969"/>
      <w:bookmarkStart w:id="3058" w:name="_Toc38443300"/>
      <w:bookmarkStart w:id="3059" w:name="_Toc38443631"/>
      <w:bookmarkStart w:id="3060" w:name="_Toc38443961"/>
      <w:bookmarkStart w:id="3061" w:name="_Toc38438429"/>
      <w:bookmarkStart w:id="3062" w:name="_Toc38438766"/>
      <w:bookmarkStart w:id="3063" w:name="_Toc38439103"/>
      <w:bookmarkStart w:id="3064" w:name="_Toc38439440"/>
      <w:bookmarkStart w:id="3065" w:name="_Toc38439777"/>
      <w:bookmarkStart w:id="3066" w:name="_Toc38440114"/>
      <w:bookmarkStart w:id="3067" w:name="_Toc38440451"/>
      <w:bookmarkStart w:id="3068" w:name="_Toc38440983"/>
      <w:bookmarkStart w:id="3069" w:name="_Toc38441315"/>
      <w:bookmarkStart w:id="3070" w:name="_Toc38441647"/>
      <w:bookmarkStart w:id="3071" w:name="_Toc38441975"/>
      <w:bookmarkStart w:id="3072" w:name="_Toc38442307"/>
      <w:bookmarkStart w:id="3073" w:name="_Toc38442639"/>
      <w:bookmarkStart w:id="3074" w:name="_Toc38442970"/>
      <w:bookmarkStart w:id="3075" w:name="_Toc38443301"/>
      <w:bookmarkStart w:id="3076" w:name="_Toc38443632"/>
      <w:bookmarkStart w:id="3077" w:name="_Toc38443962"/>
      <w:bookmarkStart w:id="3078" w:name="_Toc38438430"/>
      <w:bookmarkStart w:id="3079" w:name="_Toc38438767"/>
      <w:bookmarkStart w:id="3080" w:name="_Toc38439104"/>
      <w:bookmarkStart w:id="3081" w:name="_Toc38439441"/>
      <w:bookmarkStart w:id="3082" w:name="_Toc38439778"/>
      <w:bookmarkStart w:id="3083" w:name="_Toc38440115"/>
      <w:bookmarkStart w:id="3084" w:name="_Toc38440452"/>
      <w:bookmarkStart w:id="3085" w:name="_Toc38440984"/>
      <w:bookmarkStart w:id="3086" w:name="_Toc38441316"/>
      <w:bookmarkStart w:id="3087" w:name="_Toc38441648"/>
      <w:bookmarkStart w:id="3088" w:name="_Toc38441976"/>
      <w:bookmarkStart w:id="3089" w:name="_Toc38442308"/>
      <w:bookmarkStart w:id="3090" w:name="_Toc38442640"/>
      <w:bookmarkStart w:id="3091" w:name="_Toc38442971"/>
      <w:bookmarkStart w:id="3092" w:name="_Toc38443302"/>
      <w:bookmarkStart w:id="3093" w:name="_Toc38443633"/>
      <w:bookmarkStart w:id="3094" w:name="_Toc38443963"/>
      <w:bookmarkStart w:id="3095" w:name="_Toc38438431"/>
      <w:bookmarkStart w:id="3096" w:name="_Toc38438768"/>
      <w:bookmarkStart w:id="3097" w:name="_Toc38439105"/>
      <w:bookmarkStart w:id="3098" w:name="_Toc38439442"/>
      <w:bookmarkStart w:id="3099" w:name="_Toc38439779"/>
      <w:bookmarkStart w:id="3100" w:name="_Toc38440116"/>
      <w:bookmarkStart w:id="3101" w:name="_Toc38440453"/>
      <w:bookmarkStart w:id="3102" w:name="_Toc38440985"/>
      <w:bookmarkStart w:id="3103" w:name="_Toc38441317"/>
      <w:bookmarkStart w:id="3104" w:name="_Toc38441649"/>
      <w:bookmarkStart w:id="3105" w:name="_Toc38441977"/>
      <w:bookmarkStart w:id="3106" w:name="_Toc38442309"/>
      <w:bookmarkStart w:id="3107" w:name="_Toc38442641"/>
      <w:bookmarkStart w:id="3108" w:name="_Toc38442972"/>
      <w:bookmarkStart w:id="3109" w:name="_Toc38443303"/>
      <w:bookmarkStart w:id="3110" w:name="_Toc38443634"/>
      <w:bookmarkStart w:id="3111" w:name="_Toc38443964"/>
      <w:bookmarkStart w:id="3112" w:name="_Toc38438432"/>
      <w:bookmarkStart w:id="3113" w:name="_Toc38438769"/>
      <w:bookmarkStart w:id="3114" w:name="_Toc38439106"/>
      <w:bookmarkStart w:id="3115" w:name="_Toc38439443"/>
      <w:bookmarkStart w:id="3116" w:name="_Toc38439780"/>
      <w:bookmarkStart w:id="3117" w:name="_Toc38440117"/>
      <w:bookmarkStart w:id="3118" w:name="_Toc38440454"/>
      <w:bookmarkStart w:id="3119" w:name="_Toc38440986"/>
      <w:bookmarkStart w:id="3120" w:name="_Toc38441318"/>
      <w:bookmarkStart w:id="3121" w:name="_Toc38441650"/>
      <w:bookmarkStart w:id="3122" w:name="_Toc38441978"/>
      <w:bookmarkStart w:id="3123" w:name="_Toc38442310"/>
      <w:bookmarkStart w:id="3124" w:name="_Toc38442642"/>
      <w:bookmarkStart w:id="3125" w:name="_Toc38442973"/>
      <w:bookmarkStart w:id="3126" w:name="_Toc38443304"/>
      <w:bookmarkStart w:id="3127" w:name="_Toc38443635"/>
      <w:bookmarkStart w:id="3128" w:name="_Toc38443965"/>
      <w:bookmarkStart w:id="3129" w:name="_Toc38438433"/>
      <w:bookmarkStart w:id="3130" w:name="_Toc38438770"/>
      <w:bookmarkStart w:id="3131" w:name="_Toc38439107"/>
      <w:bookmarkStart w:id="3132" w:name="_Toc38439444"/>
      <w:bookmarkStart w:id="3133" w:name="_Toc38439781"/>
      <w:bookmarkStart w:id="3134" w:name="_Toc38440118"/>
      <w:bookmarkStart w:id="3135" w:name="_Toc38440455"/>
      <w:bookmarkStart w:id="3136" w:name="_Toc38440987"/>
      <w:bookmarkStart w:id="3137" w:name="_Toc38441319"/>
      <w:bookmarkStart w:id="3138" w:name="_Toc38441651"/>
      <w:bookmarkStart w:id="3139" w:name="_Toc38441979"/>
      <w:bookmarkStart w:id="3140" w:name="_Toc38442311"/>
      <w:bookmarkStart w:id="3141" w:name="_Toc38442643"/>
      <w:bookmarkStart w:id="3142" w:name="_Toc38442974"/>
      <w:bookmarkStart w:id="3143" w:name="_Toc38443305"/>
      <w:bookmarkStart w:id="3144" w:name="_Toc38443636"/>
      <w:bookmarkStart w:id="3145" w:name="_Toc38443966"/>
      <w:bookmarkStart w:id="3146" w:name="_Toc38438434"/>
      <w:bookmarkStart w:id="3147" w:name="_Toc38438771"/>
      <w:bookmarkStart w:id="3148" w:name="_Toc38439108"/>
      <w:bookmarkStart w:id="3149" w:name="_Toc38439445"/>
      <w:bookmarkStart w:id="3150" w:name="_Toc38439782"/>
      <w:bookmarkStart w:id="3151" w:name="_Toc38440119"/>
      <w:bookmarkStart w:id="3152" w:name="_Toc38440456"/>
      <w:bookmarkStart w:id="3153" w:name="_Toc38440988"/>
      <w:bookmarkStart w:id="3154" w:name="_Toc38441320"/>
      <w:bookmarkStart w:id="3155" w:name="_Toc38441652"/>
      <w:bookmarkStart w:id="3156" w:name="_Toc38441980"/>
      <w:bookmarkStart w:id="3157" w:name="_Toc38442312"/>
      <w:bookmarkStart w:id="3158" w:name="_Toc38442644"/>
      <w:bookmarkStart w:id="3159" w:name="_Toc38442975"/>
      <w:bookmarkStart w:id="3160" w:name="_Toc38443306"/>
      <w:bookmarkStart w:id="3161" w:name="_Toc38443637"/>
      <w:bookmarkStart w:id="3162" w:name="_Toc38443967"/>
      <w:bookmarkStart w:id="3163" w:name="_Toc38438435"/>
      <w:bookmarkStart w:id="3164" w:name="_Toc38438772"/>
      <w:bookmarkStart w:id="3165" w:name="_Toc38439109"/>
      <w:bookmarkStart w:id="3166" w:name="_Toc38439446"/>
      <w:bookmarkStart w:id="3167" w:name="_Toc38439783"/>
      <w:bookmarkStart w:id="3168" w:name="_Toc38440120"/>
      <w:bookmarkStart w:id="3169" w:name="_Toc38440457"/>
      <w:bookmarkStart w:id="3170" w:name="_Toc38440989"/>
      <w:bookmarkStart w:id="3171" w:name="_Toc38441321"/>
      <w:bookmarkStart w:id="3172" w:name="_Toc38441653"/>
      <w:bookmarkStart w:id="3173" w:name="_Toc38441981"/>
      <w:bookmarkStart w:id="3174" w:name="_Toc38442313"/>
      <w:bookmarkStart w:id="3175" w:name="_Toc38442645"/>
      <w:bookmarkStart w:id="3176" w:name="_Toc38442976"/>
      <w:bookmarkStart w:id="3177" w:name="_Toc38443307"/>
      <w:bookmarkStart w:id="3178" w:name="_Toc38443638"/>
      <w:bookmarkStart w:id="3179" w:name="_Toc38443968"/>
      <w:bookmarkStart w:id="3180" w:name="_Toc38438436"/>
      <w:bookmarkStart w:id="3181" w:name="_Toc38438773"/>
      <w:bookmarkStart w:id="3182" w:name="_Toc38439110"/>
      <w:bookmarkStart w:id="3183" w:name="_Toc38439447"/>
      <w:bookmarkStart w:id="3184" w:name="_Toc38439784"/>
      <w:bookmarkStart w:id="3185" w:name="_Toc38440121"/>
      <w:bookmarkStart w:id="3186" w:name="_Toc38440458"/>
      <w:bookmarkStart w:id="3187" w:name="_Toc38440990"/>
      <w:bookmarkStart w:id="3188" w:name="_Toc38441322"/>
      <w:bookmarkStart w:id="3189" w:name="_Toc38441654"/>
      <w:bookmarkStart w:id="3190" w:name="_Toc38441982"/>
      <w:bookmarkStart w:id="3191" w:name="_Toc38442314"/>
      <w:bookmarkStart w:id="3192" w:name="_Toc38442646"/>
      <w:bookmarkStart w:id="3193" w:name="_Toc38442977"/>
      <w:bookmarkStart w:id="3194" w:name="_Toc38443308"/>
      <w:bookmarkStart w:id="3195" w:name="_Toc38443639"/>
      <w:bookmarkStart w:id="3196" w:name="_Toc38443969"/>
      <w:bookmarkStart w:id="3197" w:name="_Toc38438437"/>
      <w:bookmarkStart w:id="3198" w:name="_Toc38438774"/>
      <w:bookmarkStart w:id="3199" w:name="_Toc38439111"/>
      <w:bookmarkStart w:id="3200" w:name="_Toc38439448"/>
      <w:bookmarkStart w:id="3201" w:name="_Toc38439785"/>
      <w:bookmarkStart w:id="3202" w:name="_Toc38440122"/>
      <w:bookmarkStart w:id="3203" w:name="_Toc38440459"/>
      <w:bookmarkStart w:id="3204" w:name="_Toc38440991"/>
      <w:bookmarkStart w:id="3205" w:name="_Toc38441323"/>
      <w:bookmarkStart w:id="3206" w:name="_Toc38441655"/>
      <w:bookmarkStart w:id="3207" w:name="_Toc38441983"/>
      <w:bookmarkStart w:id="3208" w:name="_Toc38442315"/>
      <w:bookmarkStart w:id="3209" w:name="_Toc38442647"/>
      <w:bookmarkStart w:id="3210" w:name="_Toc38442978"/>
      <w:bookmarkStart w:id="3211" w:name="_Toc38443309"/>
      <w:bookmarkStart w:id="3212" w:name="_Toc38443640"/>
      <w:bookmarkStart w:id="3213" w:name="_Toc38443970"/>
      <w:bookmarkStart w:id="3214" w:name="_Toc38438438"/>
      <w:bookmarkStart w:id="3215" w:name="_Toc38438775"/>
      <w:bookmarkStart w:id="3216" w:name="_Toc38439112"/>
      <w:bookmarkStart w:id="3217" w:name="_Toc38439449"/>
      <w:bookmarkStart w:id="3218" w:name="_Toc38439786"/>
      <w:bookmarkStart w:id="3219" w:name="_Toc38440123"/>
      <w:bookmarkStart w:id="3220" w:name="_Toc38440460"/>
      <w:bookmarkStart w:id="3221" w:name="_Toc38440992"/>
      <w:bookmarkStart w:id="3222" w:name="_Toc38441324"/>
      <w:bookmarkStart w:id="3223" w:name="_Toc38441656"/>
      <w:bookmarkStart w:id="3224" w:name="_Toc38441984"/>
      <w:bookmarkStart w:id="3225" w:name="_Toc38442316"/>
      <w:bookmarkStart w:id="3226" w:name="_Toc38442648"/>
      <w:bookmarkStart w:id="3227" w:name="_Toc38442979"/>
      <w:bookmarkStart w:id="3228" w:name="_Toc38443310"/>
      <w:bookmarkStart w:id="3229" w:name="_Toc38443641"/>
      <w:bookmarkStart w:id="3230" w:name="_Toc38443971"/>
      <w:bookmarkStart w:id="3231" w:name="_Toc38438439"/>
      <w:bookmarkStart w:id="3232" w:name="_Toc38438776"/>
      <w:bookmarkStart w:id="3233" w:name="_Toc38439113"/>
      <w:bookmarkStart w:id="3234" w:name="_Toc38439450"/>
      <w:bookmarkStart w:id="3235" w:name="_Toc38439787"/>
      <w:bookmarkStart w:id="3236" w:name="_Toc38440124"/>
      <w:bookmarkStart w:id="3237" w:name="_Toc38440461"/>
      <w:bookmarkStart w:id="3238" w:name="_Toc38440993"/>
      <w:bookmarkStart w:id="3239" w:name="_Toc38441325"/>
      <w:bookmarkStart w:id="3240" w:name="_Toc38441657"/>
      <w:bookmarkStart w:id="3241" w:name="_Toc38441985"/>
      <w:bookmarkStart w:id="3242" w:name="_Toc38442317"/>
      <w:bookmarkStart w:id="3243" w:name="_Toc38442649"/>
      <w:bookmarkStart w:id="3244" w:name="_Toc38442980"/>
      <w:bookmarkStart w:id="3245" w:name="_Toc38443311"/>
      <w:bookmarkStart w:id="3246" w:name="_Toc38443642"/>
      <w:bookmarkStart w:id="3247" w:name="_Toc38443972"/>
      <w:bookmarkStart w:id="3248" w:name="_Toc38438440"/>
      <w:bookmarkStart w:id="3249" w:name="_Toc38438777"/>
      <w:bookmarkStart w:id="3250" w:name="_Toc38439114"/>
      <w:bookmarkStart w:id="3251" w:name="_Toc38439451"/>
      <w:bookmarkStart w:id="3252" w:name="_Toc38439788"/>
      <w:bookmarkStart w:id="3253" w:name="_Toc38440125"/>
      <w:bookmarkStart w:id="3254" w:name="_Toc38440462"/>
      <w:bookmarkStart w:id="3255" w:name="_Toc38440994"/>
      <w:bookmarkStart w:id="3256" w:name="_Toc38441326"/>
      <w:bookmarkStart w:id="3257" w:name="_Toc38441658"/>
      <w:bookmarkStart w:id="3258" w:name="_Toc38441986"/>
      <w:bookmarkStart w:id="3259" w:name="_Toc38442318"/>
      <w:bookmarkStart w:id="3260" w:name="_Toc38442650"/>
      <w:bookmarkStart w:id="3261" w:name="_Toc38442981"/>
      <w:bookmarkStart w:id="3262" w:name="_Toc38443312"/>
      <w:bookmarkStart w:id="3263" w:name="_Toc38443643"/>
      <w:bookmarkStart w:id="3264" w:name="_Toc38443973"/>
      <w:bookmarkStart w:id="3265" w:name="_Toc38438441"/>
      <w:bookmarkStart w:id="3266" w:name="_Toc38438778"/>
      <w:bookmarkStart w:id="3267" w:name="_Toc38439115"/>
      <w:bookmarkStart w:id="3268" w:name="_Toc38439452"/>
      <w:bookmarkStart w:id="3269" w:name="_Toc38439789"/>
      <w:bookmarkStart w:id="3270" w:name="_Toc38440126"/>
      <w:bookmarkStart w:id="3271" w:name="_Toc38440463"/>
      <w:bookmarkStart w:id="3272" w:name="_Toc38440995"/>
      <w:bookmarkStart w:id="3273" w:name="_Toc38441327"/>
      <w:bookmarkStart w:id="3274" w:name="_Toc38441659"/>
      <w:bookmarkStart w:id="3275" w:name="_Toc38441987"/>
      <w:bookmarkStart w:id="3276" w:name="_Toc38442319"/>
      <w:bookmarkStart w:id="3277" w:name="_Toc38442651"/>
      <w:bookmarkStart w:id="3278" w:name="_Toc38442982"/>
      <w:bookmarkStart w:id="3279" w:name="_Toc38443313"/>
      <w:bookmarkStart w:id="3280" w:name="_Toc38443644"/>
      <w:bookmarkStart w:id="3281" w:name="_Toc38443974"/>
      <w:bookmarkStart w:id="3282" w:name="_Toc38438442"/>
      <w:bookmarkStart w:id="3283" w:name="_Toc38438779"/>
      <w:bookmarkStart w:id="3284" w:name="_Toc38439116"/>
      <w:bookmarkStart w:id="3285" w:name="_Toc38439453"/>
      <w:bookmarkStart w:id="3286" w:name="_Toc38439790"/>
      <w:bookmarkStart w:id="3287" w:name="_Toc38440127"/>
      <w:bookmarkStart w:id="3288" w:name="_Toc38440464"/>
      <w:bookmarkStart w:id="3289" w:name="_Toc38440996"/>
      <w:bookmarkStart w:id="3290" w:name="_Toc38441328"/>
      <w:bookmarkStart w:id="3291" w:name="_Toc38441660"/>
      <w:bookmarkStart w:id="3292" w:name="_Toc38441988"/>
      <w:bookmarkStart w:id="3293" w:name="_Toc38442320"/>
      <w:bookmarkStart w:id="3294" w:name="_Toc38442652"/>
      <w:bookmarkStart w:id="3295" w:name="_Toc38442983"/>
      <w:bookmarkStart w:id="3296" w:name="_Toc38443314"/>
      <w:bookmarkStart w:id="3297" w:name="_Toc38443645"/>
      <w:bookmarkStart w:id="3298" w:name="_Toc38443975"/>
      <w:bookmarkStart w:id="3299" w:name="_Toc38438443"/>
      <w:bookmarkStart w:id="3300" w:name="_Toc38438780"/>
      <w:bookmarkStart w:id="3301" w:name="_Toc38439117"/>
      <w:bookmarkStart w:id="3302" w:name="_Toc38439454"/>
      <w:bookmarkStart w:id="3303" w:name="_Toc38439791"/>
      <w:bookmarkStart w:id="3304" w:name="_Toc38440128"/>
      <w:bookmarkStart w:id="3305" w:name="_Toc38440465"/>
      <w:bookmarkStart w:id="3306" w:name="_Toc38440997"/>
      <w:bookmarkStart w:id="3307" w:name="_Toc38441329"/>
      <w:bookmarkStart w:id="3308" w:name="_Toc38441661"/>
      <w:bookmarkStart w:id="3309" w:name="_Toc38441989"/>
      <w:bookmarkStart w:id="3310" w:name="_Toc38442321"/>
      <w:bookmarkStart w:id="3311" w:name="_Toc38442653"/>
      <w:bookmarkStart w:id="3312" w:name="_Toc38442984"/>
      <w:bookmarkStart w:id="3313" w:name="_Toc38443315"/>
      <w:bookmarkStart w:id="3314" w:name="_Toc38443646"/>
      <w:bookmarkStart w:id="3315" w:name="_Toc38443976"/>
      <w:bookmarkStart w:id="3316" w:name="_Toc38438444"/>
      <w:bookmarkStart w:id="3317" w:name="_Toc38438781"/>
      <w:bookmarkStart w:id="3318" w:name="_Toc38439118"/>
      <w:bookmarkStart w:id="3319" w:name="_Toc38439455"/>
      <w:bookmarkStart w:id="3320" w:name="_Toc38439792"/>
      <w:bookmarkStart w:id="3321" w:name="_Toc38440129"/>
      <w:bookmarkStart w:id="3322" w:name="_Toc38440466"/>
      <w:bookmarkStart w:id="3323" w:name="_Toc38440998"/>
      <w:bookmarkStart w:id="3324" w:name="_Toc38441330"/>
      <w:bookmarkStart w:id="3325" w:name="_Toc38441662"/>
      <w:bookmarkStart w:id="3326" w:name="_Toc38441990"/>
      <w:bookmarkStart w:id="3327" w:name="_Toc38442322"/>
      <w:bookmarkStart w:id="3328" w:name="_Toc38442654"/>
      <w:bookmarkStart w:id="3329" w:name="_Toc38442985"/>
      <w:bookmarkStart w:id="3330" w:name="_Toc38443316"/>
      <w:bookmarkStart w:id="3331" w:name="_Toc38443647"/>
      <w:bookmarkStart w:id="3332" w:name="_Toc38443977"/>
      <w:bookmarkStart w:id="3333" w:name="_Toc38438445"/>
      <w:bookmarkStart w:id="3334" w:name="_Toc38438782"/>
      <w:bookmarkStart w:id="3335" w:name="_Toc38439119"/>
      <w:bookmarkStart w:id="3336" w:name="_Toc38439456"/>
      <w:bookmarkStart w:id="3337" w:name="_Toc38439793"/>
      <w:bookmarkStart w:id="3338" w:name="_Toc38440130"/>
      <w:bookmarkStart w:id="3339" w:name="_Toc38440467"/>
      <w:bookmarkStart w:id="3340" w:name="_Toc38440999"/>
      <w:bookmarkStart w:id="3341" w:name="_Toc38441331"/>
      <w:bookmarkStart w:id="3342" w:name="_Toc38441663"/>
      <w:bookmarkStart w:id="3343" w:name="_Toc38441991"/>
      <w:bookmarkStart w:id="3344" w:name="_Toc38442323"/>
      <w:bookmarkStart w:id="3345" w:name="_Toc38442655"/>
      <w:bookmarkStart w:id="3346" w:name="_Toc38442986"/>
      <w:bookmarkStart w:id="3347" w:name="_Toc38443317"/>
      <w:bookmarkStart w:id="3348" w:name="_Toc38443648"/>
      <w:bookmarkStart w:id="3349" w:name="_Toc38443978"/>
      <w:bookmarkStart w:id="3350" w:name="_Toc38438446"/>
      <w:bookmarkStart w:id="3351" w:name="_Toc38438783"/>
      <w:bookmarkStart w:id="3352" w:name="_Toc38439120"/>
      <w:bookmarkStart w:id="3353" w:name="_Toc38439457"/>
      <w:bookmarkStart w:id="3354" w:name="_Toc38439794"/>
      <w:bookmarkStart w:id="3355" w:name="_Toc38440131"/>
      <w:bookmarkStart w:id="3356" w:name="_Toc38440468"/>
      <w:bookmarkStart w:id="3357" w:name="_Toc38441000"/>
      <w:bookmarkStart w:id="3358" w:name="_Toc38441332"/>
      <w:bookmarkStart w:id="3359" w:name="_Toc38441664"/>
      <w:bookmarkStart w:id="3360" w:name="_Toc38441992"/>
      <w:bookmarkStart w:id="3361" w:name="_Toc38442324"/>
      <w:bookmarkStart w:id="3362" w:name="_Toc38442656"/>
      <w:bookmarkStart w:id="3363" w:name="_Toc38442987"/>
      <w:bookmarkStart w:id="3364" w:name="_Toc38443318"/>
      <w:bookmarkStart w:id="3365" w:name="_Toc38443649"/>
      <w:bookmarkStart w:id="3366" w:name="_Toc38443979"/>
      <w:bookmarkStart w:id="3367" w:name="_Toc38438447"/>
      <w:bookmarkStart w:id="3368" w:name="_Toc38438784"/>
      <w:bookmarkStart w:id="3369" w:name="_Toc38439121"/>
      <w:bookmarkStart w:id="3370" w:name="_Toc38439458"/>
      <w:bookmarkStart w:id="3371" w:name="_Toc38439795"/>
      <w:bookmarkStart w:id="3372" w:name="_Toc38440132"/>
      <w:bookmarkStart w:id="3373" w:name="_Toc38440469"/>
      <w:bookmarkStart w:id="3374" w:name="_Toc38441001"/>
      <w:bookmarkStart w:id="3375" w:name="_Toc38441333"/>
      <w:bookmarkStart w:id="3376" w:name="_Toc38441665"/>
      <w:bookmarkStart w:id="3377" w:name="_Toc38441993"/>
      <w:bookmarkStart w:id="3378" w:name="_Toc38442325"/>
      <w:bookmarkStart w:id="3379" w:name="_Toc38442657"/>
      <w:bookmarkStart w:id="3380" w:name="_Toc38442988"/>
      <w:bookmarkStart w:id="3381" w:name="_Toc38443319"/>
      <w:bookmarkStart w:id="3382" w:name="_Toc38443650"/>
      <w:bookmarkStart w:id="3383" w:name="_Toc38443980"/>
      <w:bookmarkStart w:id="3384" w:name="_Toc38438448"/>
      <w:bookmarkStart w:id="3385" w:name="_Toc38438785"/>
      <w:bookmarkStart w:id="3386" w:name="_Toc38439122"/>
      <w:bookmarkStart w:id="3387" w:name="_Toc38439459"/>
      <w:bookmarkStart w:id="3388" w:name="_Toc38439796"/>
      <w:bookmarkStart w:id="3389" w:name="_Toc38440133"/>
      <w:bookmarkStart w:id="3390" w:name="_Toc38440470"/>
      <w:bookmarkStart w:id="3391" w:name="_Toc38441002"/>
      <w:bookmarkStart w:id="3392" w:name="_Toc38441334"/>
      <w:bookmarkStart w:id="3393" w:name="_Toc38441666"/>
      <w:bookmarkStart w:id="3394" w:name="_Toc38441994"/>
      <w:bookmarkStart w:id="3395" w:name="_Toc38442326"/>
      <w:bookmarkStart w:id="3396" w:name="_Toc38442658"/>
      <w:bookmarkStart w:id="3397" w:name="_Toc38442989"/>
      <w:bookmarkStart w:id="3398" w:name="_Toc38443320"/>
      <w:bookmarkStart w:id="3399" w:name="_Toc38443651"/>
      <w:bookmarkStart w:id="3400" w:name="_Toc38443981"/>
      <w:bookmarkStart w:id="3401" w:name="_Toc38438449"/>
      <w:bookmarkStart w:id="3402" w:name="_Toc38438786"/>
      <w:bookmarkStart w:id="3403" w:name="_Toc38439123"/>
      <w:bookmarkStart w:id="3404" w:name="_Toc38439460"/>
      <w:bookmarkStart w:id="3405" w:name="_Toc38439797"/>
      <w:bookmarkStart w:id="3406" w:name="_Toc38440134"/>
      <w:bookmarkStart w:id="3407" w:name="_Toc38440471"/>
      <w:bookmarkStart w:id="3408" w:name="_Toc38441003"/>
      <w:bookmarkStart w:id="3409" w:name="_Toc38441335"/>
      <w:bookmarkStart w:id="3410" w:name="_Toc38441667"/>
      <w:bookmarkStart w:id="3411" w:name="_Toc38441995"/>
      <w:bookmarkStart w:id="3412" w:name="_Toc38442327"/>
      <w:bookmarkStart w:id="3413" w:name="_Toc38442659"/>
      <w:bookmarkStart w:id="3414" w:name="_Toc38442990"/>
      <w:bookmarkStart w:id="3415" w:name="_Toc38443321"/>
      <w:bookmarkStart w:id="3416" w:name="_Toc38443652"/>
      <w:bookmarkStart w:id="3417" w:name="_Toc38443982"/>
      <w:bookmarkStart w:id="3418" w:name="_Toc38438450"/>
      <w:bookmarkStart w:id="3419" w:name="_Toc38438787"/>
      <w:bookmarkStart w:id="3420" w:name="_Toc38439124"/>
      <w:bookmarkStart w:id="3421" w:name="_Toc38439461"/>
      <w:bookmarkStart w:id="3422" w:name="_Toc38439798"/>
      <w:bookmarkStart w:id="3423" w:name="_Toc38440135"/>
      <w:bookmarkStart w:id="3424" w:name="_Toc38440472"/>
      <w:bookmarkStart w:id="3425" w:name="_Toc38441004"/>
      <w:bookmarkStart w:id="3426" w:name="_Toc38441336"/>
      <w:bookmarkStart w:id="3427" w:name="_Toc38441668"/>
      <w:bookmarkStart w:id="3428" w:name="_Toc38441996"/>
      <w:bookmarkStart w:id="3429" w:name="_Toc38442328"/>
      <w:bookmarkStart w:id="3430" w:name="_Toc38442660"/>
      <w:bookmarkStart w:id="3431" w:name="_Toc38442991"/>
      <w:bookmarkStart w:id="3432" w:name="_Toc38443322"/>
      <w:bookmarkStart w:id="3433" w:name="_Toc38443653"/>
      <w:bookmarkStart w:id="3434" w:name="_Toc38443983"/>
      <w:bookmarkStart w:id="3435" w:name="_Toc38438451"/>
      <w:bookmarkStart w:id="3436" w:name="_Toc38438788"/>
      <w:bookmarkStart w:id="3437" w:name="_Toc38439125"/>
      <w:bookmarkStart w:id="3438" w:name="_Toc38439462"/>
      <w:bookmarkStart w:id="3439" w:name="_Toc38439799"/>
      <w:bookmarkStart w:id="3440" w:name="_Toc38440136"/>
      <w:bookmarkStart w:id="3441" w:name="_Toc38440473"/>
      <w:bookmarkStart w:id="3442" w:name="_Toc38441005"/>
      <w:bookmarkStart w:id="3443" w:name="_Toc38441337"/>
      <w:bookmarkStart w:id="3444" w:name="_Toc38441669"/>
      <w:bookmarkStart w:id="3445" w:name="_Toc38441997"/>
      <w:bookmarkStart w:id="3446" w:name="_Toc38442329"/>
      <w:bookmarkStart w:id="3447" w:name="_Toc38442661"/>
      <w:bookmarkStart w:id="3448" w:name="_Toc38442992"/>
      <w:bookmarkStart w:id="3449" w:name="_Toc38443323"/>
      <w:bookmarkStart w:id="3450" w:name="_Toc38443654"/>
      <w:bookmarkStart w:id="3451" w:name="_Toc38443984"/>
      <w:bookmarkStart w:id="3452" w:name="_Toc38438452"/>
      <w:bookmarkStart w:id="3453" w:name="_Toc38438789"/>
      <w:bookmarkStart w:id="3454" w:name="_Toc38439126"/>
      <w:bookmarkStart w:id="3455" w:name="_Toc38439463"/>
      <w:bookmarkStart w:id="3456" w:name="_Toc38439800"/>
      <w:bookmarkStart w:id="3457" w:name="_Toc38440137"/>
      <w:bookmarkStart w:id="3458" w:name="_Toc38440474"/>
      <w:bookmarkStart w:id="3459" w:name="_Toc38441006"/>
      <w:bookmarkStart w:id="3460" w:name="_Toc38441338"/>
      <w:bookmarkStart w:id="3461" w:name="_Toc38441670"/>
      <w:bookmarkStart w:id="3462" w:name="_Toc38441998"/>
      <w:bookmarkStart w:id="3463" w:name="_Toc38442330"/>
      <w:bookmarkStart w:id="3464" w:name="_Toc38442662"/>
      <w:bookmarkStart w:id="3465" w:name="_Toc38442993"/>
      <w:bookmarkStart w:id="3466" w:name="_Toc38443324"/>
      <w:bookmarkStart w:id="3467" w:name="_Toc38443655"/>
      <w:bookmarkStart w:id="3468" w:name="_Toc38443985"/>
      <w:bookmarkStart w:id="3469" w:name="_Toc38438453"/>
      <w:bookmarkStart w:id="3470" w:name="_Toc38438790"/>
      <w:bookmarkStart w:id="3471" w:name="_Toc38439127"/>
      <w:bookmarkStart w:id="3472" w:name="_Toc38439464"/>
      <w:bookmarkStart w:id="3473" w:name="_Toc38439801"/>
      <w:bookmarkStart w:id="3474" w:name="_Toc38440138"/>
      <w:bookmarkStart w:id="3475" w:name="_Toc38440475"/>
      <w:bookmarkStart w:id="3476" w:name="_Toc38441007"/>
      <w:bookmarkStart w:id="3477" w:name="_Toc38441339"/>
      <w:bookmarkStart w:id="3478" w:name="_Toc38441671"/>
      <w:bookmarkStart w:id="3479" w:name="_Toc38441999"/>
      <w:bookmarkStart w:id="3480" w:name="_Toc38442331"/>
      <w:bookmarkStart w:id="3481" w:name="_Toc38442663"/>
      <w:bookmarkStart w:id="3482" w:name="_Toc38442994"/>
      <w:bookmarkStart w:id="3483" w:name="_Toc38443325"/>
      <w:bookmarkStart w:id="3484" w:name="_Toc38443656"/>
      <w:bookmarkStart w:id="3485" w:name="_Toc38443986"/>
      <w:bookmarkStart w:id="3486" w:name="_Toc38438454"/>
      <w:bookmarkStart w:id="3487" w:name="_Toc38438791"/>
      <w:bookmarkStart w:id="3488" w:name="_Toc38439128"/>
      <w:bookmarkStart w:id="3489" w:name="_Toc38439465"/>
      <w:bookmarkStart w:id="3490" w:name="_Toc38439802"/>
      <w:bookmarkStart w:id="3491" w:name="_Toc38440139"/>
      <w:bookmarkStart w:id="3492" w:name="_Toc38440476"/>
      <w:bookmarkStart w:id="3493" w:name="_Toc38441008"/>
      <w:bookmarkStart w:id="3494" w:name="_Toc38441340"/>
      <w:bookmarkStart w:id="3495" w:name="_Toc38441672"/>
      <w:bookmarkStart w:id="3496" w:name="_Toc38442000"/>
      <w:bookmarkStart w:id="3497" w:name="_Toc38442332"/>
      <w:bookmarkStart w:id="3498" w:name="_Toc38442664"/>
      <w:bookmarkStart w:id="3499" w:name="_Toc38442995"/>
      <w:bookmarkStart w:id="3500" w:name="_Toc38443326"/>
      <w:bookmarkStart w:id="3501" w:name="_Toc38443657"/>
      <w:bookmarkStart w:id="3502" w:name="_Toc38443987"/>
      <w:bookmarkStart w:id="3503" w:name="_Toc38438455"/>
      <w:bookmarkStart w:id="3504" w:name="_Toc38438792"/>
      <w:bookmarkStart w:id="3505" w:name="_Toc38439129"/>
      <w:bookmarkStart w:id="3506" w:name="_Toc38439466"/>
      <w:bookmarkStart w:id="3507" w:name="_Toc38439803"/>
      <w:bookmarkStart w:id="3508" w:name="_Toc38440140"/>
      <w:bookmarkStart w:id="3509" w:name="_Toc38440477"/>
      <w:bookmarkStart w:id="3510" w:name="_Toc38441009"/>
      <w:bookmarkStart w:id="3511" w:name="_Toc38441341"/>
      <w:bookmarkStart w:id="3512" w:name="_Toc38441673"/>
      <w:bookmarkStart w:id="3513" w:name="_Toc38442001"/>
      <w:bookmarkStart w:id="3514" w:name="_Toc38442333"/>
      <w:bookmarkStart w:id="3515" w:name="_Toc38442665"/>
      <w:bookmarkStart w:id="3516" w:name="_Toc38442996"/>
      <w:bookmarkStart w:id="3517" w:name="_Toc38443327"/>
      <w:bookmarkStart w:id="3518" w:name="_Toc38443658"/>
      <w:bookmarkStart w:id="3519" w:name="_Toc38443988"/>
      <w:bookmarkStart w:id="3520" w:name="_Toc38438456"/>
      <w:bookmarkStart w:id="3521" w:name="_Toc38438793"/>
      <w:bookmarkStart w:id="3522" w:name="_Toc38439130"/>
      <w:bookmarkStart w:id="3523" w:name="_Toc38439467"/>
      <w:bookmarkStart w:id="3524" w:name="_Toc38439804"/>
      <w:bookmarkStart w:id="3525" w:name="_Toc38440141"/>
      <w:bookmarkStart w:id="3526" w:name="_Toc38440478"/>
      <w:bookmarkStart w:id="3527" w:name="_Toc38441010"/>
      <w:bookmarkStart w:id="3528" w:name="_Toc38441342"/>
      <w:bookmarkStart w:id="3529" w:name="_Toc38441674"/>
      <w:bookmarkStart w:id="3530" w:name="_Toc38442002"/>
      <w:bookmarkStart w:id="3531" w:name="_Toc38442334"/>
      <w:bookmarkStart w:id="3532" w:name="_Toc38442666"/>
      <w:bookmarkStart w:id="3533" w:name="_Toc38442997"/>
      <w:bookmarkStart w:id="3534" w:name="_Toc38443328"/>
      <w:bookmarkStart w:id="3535" w:name="_Toc38443659"/>
      <w:bookmarkStart w:id="3536" w:name="_Toc38443989"/>
      <w:bookmarkStart w:id="3537" w:name="_Toc38438457"/>
      <w:bookmarkStart w:id="3538" w:name="_Toc38438794"/>
      <w:bookmarkStart w:id="3539" w:name="_Toc38439131"/>
      <w:bookmarkStart w:id="3540" w:name="_Toc38439468"/>
      <w:bookmarkStart w:id="3541" w:name="_Toc38439805"/>
      <w:bookmarkStart w:id="3542" w:name="_Toc38440142"/>
      <w:bookmarkStart w:id="3543" w:name="_Toc38440479"/>
      <w:bookmarkStart w:id="3544" w:name="_Toc38441011"/>
      <w:bookmarkStart w:id="3545" w:name="_Toc38441343"/>
      <w:bookmarkStart w:id="3546" w:name="_Toc38441675"/>
      <w:bookmarkStart w:id="3547" w:name="_Toc38442003"/>
      <w:bookmarkStart w:id="3548" w:name="_Toc38442335"/>
      <w:bookmarkStart w:id="3549" w:name="_Toc38442667"/>
      <w:bookmarkStart w:id="3550" w:name="_Toc38442998"/>
      <w:bookmarkStart w:id="3551" w:name="_Toc38443329"/>
      <w:bookmarkStart w:id="3552" w:name="_Toc38443660"/>
      <w:bookmarkStart w:id="3553" w:name="_Toc38443990"/>
      <w:bookmarkStart w:id="3554" w:name="_Toc38438458"/>
      <w:bookmarkStart w:id="3555" w:name="_Toc38438795"/>
      <w:bookmarkStart w:id="3556" w:name="_Toc38439132"/>
      <w:bookmarkStart w:id="3557" w:name="_Toc38439469"/>
      <w:bookmarkStart w:id="3558" w:name="_Toc38439806"/>
      <w:bookmarkStart w:id="3559" w:name="_Toc38440143"/>
      <w:bookmarkStart w:id="3560" w:name="_Toc38440480"/>
      <w:bookmarkStart w:id="3561" w:name="_Toc38441012"/>
      <w:bookmarkStart w:id="3562" w:name="_Toc38441344"/>
      <w:bookmarkStart w:id="3563" w:name="_Toc38441676"/>
      <w:bookmarkStart w:id="3564" w:name="_Toc38442004"/>
      <w:bookmarkStart w:id="3565" w:name="_Toc38442336"/>
      <w:bookmarkStart w:id="3566" w:name="_Toc38442668"/>
      <w:bookmarkStart w:id="3567" w:name="_Toc38442999"/>
      <w:bookmarkStart w:id="3568" w:name="_Toc38443330"/>
      <w:bookmarkStart w:id="3569" w:name="_Toc38443661"/>
      <w:bookmarkStart w:id="3570" w:name="_Toc3844399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p>
    <w:p w14:paraId="3F06BBFD" w14:textId="5542F19A" w:rsidR="00CE69CE" w:rsidRPr="0047638B" w:rsidRDefault="00CE69CE" w:rsidP="00680735">
      <w:pPr>
        <w:pStyle w:val="11"/>
        <w:snapToGrid w:val="0"/>
        <w:spacing w:beforeLines="0" w:afterLines="0" w:line="360" w:lineRule="auto"/>
        <w:ind w:firstLine="600"/>
        <w:rPr>
          <w:rFonts w:asciiTheme="minorEastAsia" w:eastAsiaTheme="minorEastAsia" w:hAnsiTheme="minorEastAsia"/>
        </w:rPr>
      </w:pPr>
      <w:bookmarkStart w:id="3571" w:name="_Toc77779991"/>
      <w:r w:rsidRPr="0047638B">
        <w:rPr>
          <w:rFonts w:asciiTheme="minorEastAsia" w:eastAsiaTheme="minorEastAsia" w:hAnsiTheme="minorEastAsia"/>
          <w:b w:val="0"/>
          <w:sz w:val="30"/>
        </w:rPr>
        <w:lastRenderedPageBreak/>
        <w:t>四、基金托管人</w:t>
      </w:r>
      <w:bookmarkEnd w:id="3571"/>
    </w:p>
    <w:p w14:paraId="0066A3EC"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（一）基金托管人情况</w:t>
      </w:r>
    </w:p>
    <w:p w14:paraId="7CAB3207"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1、基本情况</w:t>
      </w:r>
    </w:p>
    <w:p w14:paraId="4EAB3792"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名称：中国建设银行股份有限公司(简称：中国建设银行)</w:t>
      </w:r>
    </w:p>
    <w:p w14:paraId="197FBC06"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住所：北京市西城区金融大街25号</w:t>
      </w:r>
    </w:p>
    <w:p w14:paraId="545CFFCE"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办公地址：北京市西城区闹市口大街1号院1号楼</w:t>
      </w:r>
    </w:p>
    <w:p w14:paraId="0ECE6292"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法定代表人：田国立</w:t>
      </w:r>
    </w:p>
    <w:p w14:paraId="1EA841A0"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成立时间：2004年09月17日</w:t>
      </w:r>
    </w:p>
    <w:p w14:paraId="37EA4EA6"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组织形式：股份有限公司</w:t>
      </w:r>
    </w:p>
    <w:p w14:paraId="32D800A2"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注册资本：贰仟伍佰亿壹仟零玖拾柒万柒仟肆佰捌拾陆元整</w:t>
      </w:r>
    </w:p>
    <w:p w14:paraId="239D27E3"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存续期间：持续经营</w:t>
      </w:r>
    </w:p>
    <w:p w14:paraId="5F0FEB8E"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基金托管资格批文及文号：中国证监会证监基字[1998]12号</w:t>
      </w:r>
    </w:p>
    <w:p w14:paraId="00CC9A5B"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联系人：周海新</w:t>
      </w:r>
    </w:p>
    <w:p w14:paraId="327089BB" w14:textId="220CCF50"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联系电话：(021)6063 7111</w:t>
      </w:r>
    </w:p>
    <w:p w14:paraId="226098DC"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2、主要人员情况</w:t>
      </w:r>
    </w:p>
    <w:p w14:paraId="53760DD6" w14:textId="5C37803E"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72FDB151"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3、基金托管业务经营情况</w:t>
      </w:r>
    </w:p>
    <w:p w14:paraId="09886F48" w14:textId="214DEEA5"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w:t>
      </w:r>
      <w:r w:rsidRPr="0047638B">
        <w:rPr>
          <w:rFonts w:asciiTheme="minorEastAsia" w:eastAsiaTheme="minorEastAsia" w:hAnsiTheme="minorEastAsia" w:hint="eastAsia"/>
          <w:szCs w:val="21"/>
        </w:rPr>
        <w:lastRenderedPageBreak/>
        <w:t>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务科技实施奖”。</w:t>
      </w:r>
    </w:p>
    <w:p w14:paraId="5221E490"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（二）基金托管人的内部控制制度</w:t>
      </w:r>
    </w:p>
    <w:p w14:paraId="794A461F"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1、内部控制目标</w:t>
      </w:r>
    </w:p>
    <w:p w14:paraId="3170FCFD" w14:textId="4BB17907"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r w:rsidR="00541F27" w:rsidRPr="0047638B">
        <w:rPr>
          <w:rFonts w:asciiTheme="minorEastAsia" w:eastAsiaTheme="minorEastAsia" w:hAnsiTheme="minorEastAsia" w:hint="eastAsia"/>
          <w:szCs w:val="24"/>
        </w:rPr>
        <w:t>。</w:t>
      </w:r>
    </w:p>
    <w:p w14:paraId="56A634C6"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2、内部控制组织结构</w:t>
      </w:r>
    </w:p>
    <w:p w14:paraId="414378FB" w14:textId="727CDD1A"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r w:rsidR="00541F27" w:rsidRPr="0047638B">
        <w:rPr>
          <w:rFonts w:asciiTheme="minorEastAsia" w:eastAsiaTheme="minorEastAsia" w:hAnsiTheme="minorEastAsia" w:hint="eastAsia"/>
          <w:szCs w:val="24"/>
        </w:rPr>
        <w:t>。</w:t>
      </w:r>
    </w:p>
    <w:p w14:paraId="548501FC"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3、内部控制制度及措施</w:t>
      </w:r>
    </w:p>
    <w:p w14:paraId="0DAA015C" w14:textId="6845AA61"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00541F27" w:rsidRPr="0047638B">
        <w:rPr>
          <w:rFonts w:asciiTheme="minorEastAsia" w:eastAsiaTheme="minorEastAsia" w:hAnsiTheme="minorEastAsia" w:hint="eastAsia"/>
          <w:szCs w:val="24"/>
        </w:rPr>
        <w:t>。</w:t>
      </w:r>
    </w:p>
    <w:p w14:paraId="4E02CD9C"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（三）基金托管人对基金管理人运作基金进行监督的方法和程序</w:t>
      </w:r>
    </w:p>
    <w:p w14:paraId="5C96B36F"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1、监督方法</w:t>
      </w:r>
    </w:p>
    <w:p w14:paraId="1C6E9A65" w14:textId="28819B16"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r w:rsidR="00541F27" w:rsidRPr="0047638B">
        <w:rPr>
          <w:rFonts w:asciiTheme="minorEastAsia" w:eastAsiaTheme="minorEastAsia" w:hAnsiTheme="minorEastAsia" w:hint="eastAsia"/>
          <w:szCs w:val="24"/>
        </w:rPr>
        <w:t>。</w:t>
      </w:r>
    </w:p>
    <w:p w14:paraId="5A25CBD6" w14:textId="77777777" w:rsidR="00541F27" w:rsidRPr="0047638B" w:rsidRDefault="00541F27"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2、监督流程</w:t>
      </w:r>
    </w:p>
    <w:p w14:paraId="7709C4F4"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CD5BA47" w14:textId="77777777" w:rsidR="0034094F" w:rsidRPr="0047638B" w:rsidRDefault="0034094F" w:rsidP="0034094F">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（2）收到基金管理人的划款指令后，对指令要素等内容进行核查。</w:t>
      </w:r>
    </w:p>
    <w:p w14:paraId="41AF7B03" w14:textId="61CDA1B9" w:rsidR="00541F27" w:rsidRPr="0047638B" w:rsidRDefault="0034094F" w:rsidP="00541F2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r w:rsidR="00541F27" w:rsidRPr="0047638B">
        <w:rPr>
          <w:rFonts w:asciiTheme="minorEastAsia" w:eastAsiaTheme="minorEastAsia" w:hAnsiTheme="minorEastAsia" w:hint="eastAsia"/>
          <w:szCs w:val="24"/>
        </w:rPr>
        <w:t>。</w:t>
      </w:r>
    </w:p>
    <w:p w14:paraId="040EEC6C" w14:textId="77777777" w:rsidR="00651837" w:rsidRPr="0047638B" w:rsidRDefault="00651837">
      <w:pPr>
        <w:widowControl/>
        <w:jc w:val="left"/>
        <w:rPr>
          <w:rFonts w:asciiTheme="minorEastAsia" w:eastAsiaTheme="minorEastAsia" w:hAnsiTheme="minorEastAsia"/>
          <w:szCs w:val="21"/>
        </w:rPr>
      </w:pPr>
      <w:r w:rsidRPr="0047638B">
        <w:rPr>
          <w:rFonts w:asciiTheme="minorEastAsia" w:eastAsiaTheme="minorEastAsia" w:hAnsiTheme="minorEastAsia"/>
          <w:szCs w:val="21"/>
        </w:rPr>
        <w:br w:type="page"/>
      </w:r>
    </w:p>
    <w:p w14:paraId="4B90A5E7" w14:textId="77777777" w:rsidR="00541F27" w:rsidRPr="0047638B" w:rsidRDefault="00541F27" w:rsidP="00541F27">
      <w:pPr>
        <w:spacing w:line="360" w:lineRule="auto"/>
        <w:ind w:firstLineChars="200" w:firstLine="420"/>
        <w:rPr>
          <w:rFonts w:asciiTheme="minorEastAsia" w:eastAsiaTheme="minorEastAsia" w:hAnsiTheme="minorEastAsia"/>
          <w:szCs w:val="21"/>
        </w:rPr>
      </w:pPr>
    </w:p>
    <w:p w14:paraId="07397161" w14:textId="77777777" w:rsidR="00E002CD" w:rsidRPr="0047638B" w:rsidRDefault="00E002CD" w:rsidP="00B9266B">
      <w:pPr>
        <w:pStyle w:val="11"/>
        <w:pageBreakBefore w:val="0"/>
        <w:snapToGrid w:val="0"/>
        <w:spacing w:beforeLines="0" w:afterLines="0" w:line="360" w:lineRule="auto"/>
        <w:ind w:firstLine="600"/>
        <w:rPr>
          <w:rFonts w:asciiTheme="minorEastAsia" w:eastAsiaTheme="minorEastAsia" w:hAnsiTheme="minorEastAsia"/>
          <w:b w:val="0"/>
          <w:sz w:val="30"/>
        </w:rPr>
      </w:pPr>
      <w:bookmarkStart w:id="3572" w:name="_Toc77779992"/>
      <w:r w:rsidRPr="0047638B">
        <w:rPr>
          <w:rFonts w:asciiTheme="minorEastAsia" w:eastAsiaTheme="minorEastAsia" w:hAnsiTheme="minorEastAsia"/>
          <w:b w:val="0"/>
          <w:sz w:val="30"/>
        </w:rPr>
        <w:t>五、相关服务机构</w:t>
      </w:r>
      <w:bookmarkEnd w:id="3572"/>
    </w:p>
    <w:p w14:paraId="41BF3D47" w14:textId="77777777" w:rsidR="00E002CD" w:rsidRPr="0047638B" w:rsidRDefault="00E002CD"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（一）基金份额</w:t>
      </w:r>
      <w:r w:rsidR="000E2730" w:rsidRPr="0047638B">
        <w:rPr>
          <w:rFonts w:asciiTheme="minorEastAsia" w:eastAsiaTheme="minorEastAsia" w:hAnsiTheme="minorEastAsia"/>
        </w:rPr>
        <w:t>销售</w:t>
      </w:r>
      <w:r w:rsidRPr="0047638B">
        <w:rPr>
          <w:rFonts w:asciiTheme="minorEastAsia" w:eastAsiaTheme="minorEastAsia" w:hAnsiTheme="minorEastAsia"/>
        </w:rPr>
        <w:t>机构</w:t>
      </w:r>
    </w:p>
    <w:p w14:paraId="609E989E" w14:textId="77777777" w:rsidR="00E002CD" w:rsidRPr="0047638B" w:rsidRDefault="006A5DB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E002CD" w:rsidRPr="0047638B">
        <w:rPr>
          <w:rFonts w:asciiTheme="minorEastAsia" w:eastAsiaTheme="minorEastAsia" w:hAnsiTheme="minorEastAsia"/>
          <w:szCs w:val="24"/>
        </w:rPr>
        <w:t>场外销售机构</w:t>
      </w:r>
    </w:p>
    <w:p w14:paraId="3F51DEB5"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）直销机构：易方达基金管理有限公司</w:t>
      </w:r>
    </w:p>
    <w:p w14:paraId="42D9A284"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w:t>
      </w:r>
      <w:r w:rsidR="002F4B14" w:rsidRPr="0047638B">
        <w:rPr>
          <w:rFonts w:asciiTheme="minorEastAsia" w:eastAsiaTheme="minorEastAsia" w:hAnsiTheme="minorEastAsia" w:hint="eastAsia"/>
          <w:szCs w:val="24"/>
        </w:rPr>
        <w:t>广东省珠海市横琴新区宝华路6号105室－42891（集中办公区）</w:t>
      </w:r>
    </w:p>
    <w:p w14:paraId="323C76D9"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办公地址：广州市天河区珠江新城珠江东路</w:t>
      </w:r>
      <w:r w:rsidRPr="0047638B">
        <w:rPr>
          <w:rFonts w:asciiTheme="minorEastAsia" w:eastAsiaTheme="minorEastAsia" w:hAnsiTheme="minorEastAsia"/>
          <w:szCs w:val="24"/>
        </w:rPr>
        <w:t>30</w:t>
      </w:r>
      <w:r w:rsidRPr="0047638B">
        <w:rPr>
          <w:rFonts w:asciiTheme="minorEastAsia" w:eastAsiaTheme="minorEastAsia" w:hAnsiTheme="minorEastAsia" w:hint="eastAsia"/>
          <w:szCs w:val="24"/>
        </w:rPr>
        <w:t>号广州银行大厦</w:t>
      </w:r>
      <w:r w:rsidRPr="0047638B">
        <w:rPr>
          <w:rFonts w:asciiTheme="minorEastAsia" w:eastAsiaTheme="minorEastAsia" w:hAnsiTheme="minorEastAsia"/>
          <w:szCs w:val="24"/>
        </w:rPr>
        <w:t>40-43</w:t>
      </w:r>
      <w:r w:rsidRPr="0047638B">
        <w:rPr>
          <w:rFonts w:asciiTheme="minorEastAsia" w:eastAsiaTheme="minorEastAsia" w:hAnsiTheme="minorEastAsia" w:hint="eastAsia"/>
          <w:szCs w:val="24"/>
        </w:rPr>
        <w:t>楼</w:t>
      </w:r>
    </w:p>
    <w:p w14:paraId="54A834F4"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法定代表人：刘晓艳</w:t>
      </w:r>
    </w:p>
    <w:p w14:paraId="5404517A"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电话：</w:t>
      </w:r>
      <w:r w:rsidRPr="0047638B">
        <w:rPr>
          <w:rFonts w:asciiTheme="minorEastAsia" w:eastAsiaTheme="minorEastAsia" w:hAnsiTheme="minorEastAsia"/>
          <w:szCs w:val="24"/>
        </w:rPr>
        <w:t>020-85102506</w:t>
      </w:r>
    </w:p>
    <w:p w14:paraId="44B6912F"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w:t>
      </w:r>
      <w:r w:rsidRPr="0047638B">
        <w:rPr>
          <w:rFonts w:asciiTheme="minorEastAsia" w:eastAsiaTheme="minorEastAsia" w:hAnsiTheme="minorEastAsia"/>
          <w:szCs w:val="24"/>
        </w:rPr>
        <w:t>4008818099</w:t>
      </w:r>
    </w:p>
    <w:p w14:paraId="2AEC8614"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w:t>
      </w:r>
      <w:r w:rsidR="00651837" w:rsidRPr="0047638B">
        <w:rPr>
          <w:rFonts w:asciiTheme="minorEastAsia" w:eastAsiaTheme="minorEastAsia" w:hAnsiTheme="minorEastAsia" w:hint="eastAsia"/>
        </w:rPr>
        <w:t>王峰</w:t>
      </w:r>
    </w:p>
    <w:p w14:paraId="4EE0641D" w14:textId="77777777" w:rsidR="00F02785" w:rsidRPr="0047638B" w:rsidRDefault="00F02785" w:rsidP="00F0278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t>
      </w:r>
      <w:r w:rsidRPr="0047638B">
        <w:rPr>
          <w:rFonts w:asciiTheme="minorEastAsia" w:eastAsiaTheme="minorEastAsia" w:hAnsiTheme="minorEastAsia"/>
          <w:szCs w:val="24"/>
        </w:rPr>
        <w:t>www.efunds.com.cn</w:t>
      </w:r>
    </w:p>
    <w:p w14:paraId="116D84E1"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直销机构网点信息</w:t>
      </w:r>
      <w:r w:rsidR="00C82E68" w:rsidRPr="0047638B">
        <w:rPr>
          <w:rFonts w:asciiTheme="minorEastAsia" w:eastAsiaTheme="minorEastAsia" w:hAnsiTheme="minorEastAsia"/>
          <w:szCs w:val="24"/>
        </w:rPr>
        <w:t>：</w:t>
      </w:r>
    </w:p>
    <w:p w14:paraId="318F652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1）易方达基金管理有限公司广州直销中心</w:t>
      </w:r>
    </w:p>
    <w:p w14:paraId="6527A86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办公地址：广州市天河区珠江新城珠江东路30号广州银行大厦40楼</w:t>
      </w:r>
    </w:p>
    <w:p w14:paraId="3D75976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电话：020-85102506</w:t>
      </w:r>
    </w:p>
    <w:p w14:paraId="633ECFB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传真：4008818099</w:t>
      </w:r>
    </w:p>
    <w:p w14:paraId="7BB2A1B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w:t>
      </w:r>
      <w:r w:rsidR="00651837" w:rsidRPr="0047638B">
        <w:rPr>
          <w:rFonts w:asciiTheme="minorEastAsia" w:eastAsiaTheme="minorEastAsia" w:hAnsiTheme="minorEastAsia" w:hint="eastAsia"/>
        </w:rPr>
        <w:t>王峰</w:t>
      </w:r>
    </w:p>
    <w:p w14:paraId="0EF4248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2）易方达基金管理有限公司北京直销中心</w:t>
      </w:r>
    </w:p>
    <w:p w14:paraId="472A50E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办公地址：</w:t>
      </w:r>
      <w:r w:rsidR="002C6B3B" w:rsidRPr="0047638B">
        <w:rPr>
          <w:rFonts w:asciiTheme="minorEastAsia" w:eastAsiaTheme="minorEastAsia" w:hAnsiTheme="minorEastAsia"/>
          <w:szCs w:val="24"/>
        </w:rPr>
        <w:t>北京市西城区武定侯街2号泰康国际大厦18层</w:t>
      </w:r>
    </w:p>
    <w:p w14:paraId="3D6E32B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电话：010-63213377</w:t>
      </w:r>
    </w:p>
    <w:p w14:paraId="479C61E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传真：4008818099</w:t>
      </w:r>
    </w:p>
    <w:p w14:paraId="5565E44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联系人：刘蕾</w:t>
      </w:r>
    </w:p>
    <w:p w14:paraId="40F3DC4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3）易方达基金管理有限公司上海直销中心</w:t>
      </w:r>
    </w:p>
    <w:p w14:paraId="6655564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办公地址：上海市浦东新区世纪大道88号金茂大厦46楼</w:t>
      </w:r>
    </w:p>
    <w:p w14:paraId="72DB78C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电话：021-50476668</w:t>
      </w:r>
    </w:p>
    <w:p w14:paraId="68B5FAE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传真：4008818099</w:t>
      </w:r>
    </w:p>
    <w:p w14:paraId="286682C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w:t>
      </w:r>
      <w:r w:rsidR="008C619A" w:rsidRPr="0047638B">
        <w:rPr>
          <w:rFonts w:asciiTheme="minorEastAsia" w:eastAsiaTheme="minorEastAsia" w:hAnsiTheme="minorEastAsia" w:hint="eastAsia"/>
          <w:szCs w:val="24"/>
        </w:rPr>
        <w:t>王程</w:t>
      </w:r>
    </w:p>
    <w:p w14:paraId="7FB2C0A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4）易方达基金管理有限公司网上交易系统</w:t>
      </w:r>
    </w:p>
    <w:p w14:paraId="07951299" w14:textId="77777777" w:rsidR="003104D0" w:rsidRPr="0047638B" w:rsidRDefault="003104D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网址：www.efunds.com.cn</w:t>
      </w:r>
    </w:p>
    <w:p w14:paraId="7CF721EA"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（2）场外非直销销售机构</w:t>
      </w:r>
    </w:p>
    <w:p w14:paraId="7B38FC1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1)中国建设银行</w:t>
      </w:r>
    </w:p>
    <w:p w14:paraId="542C51E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注册地址:北京市西城区金融大街25号</w:t>
      </w:r>
    </w:p>
    <w:p w14:paraId="434DF5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办公地址:北京市西城区闹市口大街1号院1号楼</w:t>
      </w:r>
    </w:p>
    <w:p w14:paraId="20DED4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法定代表人:田国立</w:t>
      </w:r>
    </w:p>
    <w:p w14:paraId="1F88B7C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联系人:王未雨</w:t>
      </w:r>
    </w:p>
    <w:p w14:paraId="5AFE7CF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客户服务电话:95533</w:t>
      </w:r>
    </w:p>
    <w:p w14:paraId="700D1A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网址:www.ccb.com</w:t>
      </w:r>
    </w:p>
    <w:p w14:paraId="41C702E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2)中国民生银行</w:t>
      </w:r>
    </w:p>
    <w:p w14:paraId="0AC612E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注册地址:北京市西城区复兴门内大街2号</w:t>
      </w:r>
    </w:p>
    <w:p w14:paraId="6BD1203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办公地址:北京市西城区复兴门内大街2号</w:t>
      </w:r>
    </w:p>
    <w:p w14:paraId="50CD72B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法定代表人:高迎欣</w:t>
      </w:r>
    </w:p>
    <w:p w14:paraId="74B77C4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联系人:徐野</w:t>
      </w:r>
    </w:p>
    <w:p w14:paraId="3E276B7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客户服务电话:95568</w:t>
      </w:r>
    </w:p>
    <w:p w14:paraId="095171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网址:www.cmbc.com.cn</w:t>
      </w:r>
    </w:p>
    <w:p w14:paraId="1481852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3)中国邮政储蓄银行</w:t>
      </w:r>
    </w:p>
    <w:p w14:paraId="47DD3A0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注册地址:北京市西城区金融大街3号</w:t>
      </w:r>
    </w:p>
    <w:p w14:paraId="0D08D04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办公地址:北京市西城区金融大街3号</w:t>
      </w:r>
    </w:p>
    <w:p w14:paraId="262A04B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法定代表人:张金良</w:t>
      </w:r>
    </w:p>
    <w:p w14:paraId="35029AD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联系人:王硕</w:t>
      </w:r>
    </w:p>
    <w:p w14:paraId="3FFA3DA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客户服务电话:95580</w:t>
      </w:r>
    </w:p>
    <w:p w14:paraId="7E1D42C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传真:010-68858057</w:t>
      </w:r>
    </w:p>
    <w:p w14:paraId="4397D53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网址:www.psbc.com</w:t>
      </w:r>
    </w:p>
    <w:p w14:paraId="32DA66E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4)东莞银行</w:t>
      </w:r>
    </w:p>
    <w:p w14:paraId="7FA9BAC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注册地址:东莞市莞城区体育路21号</w:t>
      </w:r>
    </w:p>
    <w:p w14:paraId="2D6F337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办公地址:东莞市莞城区体育路21号东莞银行大厦</w:t>
      </w:r>
    </w:p>
    <w:p w14:paraId="1E17427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法定代表人:卢国锋</w:t>
      </w:r>
    </w:p>
    <w:p w14:paraId="7D5D92F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联系人:朱杰霞</w:t>
      </w:r>
    </w:p>
    <w:p w14:paraId="09DBEF5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联系电话:0769-22865177</w:t>
      </w:r>
    </w:p>
    <w:p w14:paraId="557A90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客户服务电话:956033</w:t>
      </w:r>
    </w:p>
    <w:p w14:paraId="5A000D0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网址:www.dongguanbank.cn</w:t>
      </w:r>
    </w:p>
    <w:p w14:paraId="4EFFD0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5)杭州银行</w:t>
      </w:r>
    </w:p>
    <w:p w14:paraId="46EBE97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注册地址:浙江省杭州市下城区庆春路46号</w:t>
      </w:r>
    </w:p>
    <w:p w14:paraId="636894C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办公地址:杭州市下城区庆春路46号杭州银行大厦</w:t>
      </w:r>
    </w:p>
    <w:p w14:paraId="3E21987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法定代表人:陈震山</w:t>
      </w:r>
    </w:p>
    <w:p w14:paraId="29E33A8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联系人:蒋梦君</w:t>
      </w:r>
    </w:p>
    <w:p w14:paraId="0D499F2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联系电话:0571-85120718</w:t>
      </w:r>
    </w:p>
    <w:p w14:paraId="5C6B0E3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客户服务电话:95398</w:t>
      </w:r>
    </w:p>
    <w:p w14:paraId="120CD0D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传真:0571-85106576</w:t>
      </w:r>
    </w:p>
    <w:p w14:paraId="10B4637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网址:www.hzbank.com.cn</w:t>
      </w:r>
    </w:p>
    <w:p w14:paraId="73583E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6)河北银行</w:t>
      </w:r>
    </w:p>
    <w:p w14:paraId="1B6065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注册地址:石家庄市平安北大街28号</w:t>
      </w:r>
    </w:p>
    <w:p w14:paraId="5C122C4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办公地址:石家庄市平安北大街28号</w:t>
      </w:r>
    </w:p>
    <w:p w14:paraId="403A216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法定代表人:乔志强</w:t>
      </w:r>
    </w:p>
    <w:p w14:paraId="11200BF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联系人:李博</w:t>
      </w:r>
    </w:p>
    <w:p w14:paraId="1577C84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联系电话:0311-88627587</w:t>
      </w:r>
    </w:p>
    <w:p w14:paraId="2F4AA1C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客户服务电话:400-612-9999</w:t>
      </w:r>
    </w:p>
    <w:p w14:paraId="5D2C6D2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传真:0311-67806407</w:t>
      </w:r>
    </w:p>
    <w:p w14:paraId="0C63B38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网址:www.hebbank.com</w:t>
      </w:r>
    </w:p>
    <w:p w14:paraId="67EA22E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7)宁波银行</w:t>
      </w:r>
    </w:p>
    <w:p w14:paraId="1C498C8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注册地址:浙江省宁波市鄞州区宁东路345号</w:t>
      </w:r>
    </w:p>
    <w:p w14:paraId="4CA0C8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办公地址:浙江省宁波市鄞州区宁东路345号</w:t>
      </w:r>
    </w:p>
    <w:p w14:paraId="4F3E453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法定代表人:陆华裕</w:t>
      </w:r>
    </w:p>
    <w:p w14:paraId="22F2690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联系人:陈佳瑜</w:t>
      </w:r>
    </w:p>
    <w:p w14:paraId="48B4432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客户服务电话:95574</w:t>
      </w:r>
    </w:p>
    <w:p w14:paraId="4680200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网址:www.nbcb.com.cn</w:t>
      </w:r>
    </w:p>
    <w:p w14:paraId="3C5A957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8)泉州银行</w:t>
      </w:r>
    </w:p>
    <w:p w14:paraId="7A251B5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注册地址:泉州市丰泽区泉泰路266号</w:t>
      </w:r>
    </w:p>
    <w:p w14:paraId="7C97F23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办公地址:泉州市丰泽区泉泰路266号</w:t>
      </w:r>
    </w:p>
    <w:p w14:paraId="6C34E93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法定代表人:傅子能</w:t>
      </w:r>
    </w:p>
    <w:p w14:paraId="44E317A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联系人:董培姗</w:t>
      </w:r>
    </w:p>
    <w:p w14:paraId="571033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联系电话:0595-22551071</w:t>
      </w:r>
    </w:p>
    <w:p w14:paraId="2384109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客户服务电话:400-88-96312</w:t>
      </w:r>
    </w:p>
    <w:p w14:paraId="1C7DE6B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传真:0595-22578871</w:t>
      </w:r>
    </w:p>
    <w:p w14:paraId="2508131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网址:http://www.qzccbank.com</w:t>
      </w:r>
    </w:p>
    <w:p w14:paraId="41D0CCF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9)东莞农村商业银行</w:t>
      </w:r>
    </w:p>
    <w:p w14:paraId="0255073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注册地址:广东省东莞市东城区鸿福东路2号</w:t>
      </w:r>
    </w:p>
    <w:p w14:paraId="1303764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办公地址:广东省东莞市东城区鸿福东路2号东莞农商银行大厦</w:t>
      </w:r>
    </w:p>
    <w:p w14:paraId="06DCF70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法定代表人:王耀球</w:t>
      </w:r>
    </w:p>
    <w:p w14:paraId="65FCCC3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联系人:钟燕珊</w:t>
      </w:r>
    </w:p>
    <w:p w14:paraId="2E330E3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客户服务电话:0769-961122</w:t>
      </w:r>
    </w:p>
    <w:p w14:paraId="77B4D1E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网址:www.drcbank.com</w:t>
      </w:r>
    </w:p>
    <w:p w14:paraId="6EE4A1A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10)江南农村商业银行</w:t>
      </w:r>
    </w:p>
    <w:p w14:paraId="541A08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注册地址:常州市和平中路413号</w:t>
      </w:r>
    </w:p>
    <w:p w14:paraId="05D7A7D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办公地址:常州市和平中路413号</w:t>
      </w:r>
    </w:p>
    <w:p w14:paraId="3D4F3D2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法定代表人:陆向阳</w:t>
      </w:r>
    </w:p>
    <w:p w14:paraId="23E9A45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联系人:李仙</w:t>
      </w:r>
    </w:p>
    <w:p w14:paraId="55514BC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联系电话:0519-80585939</w:t>
      </w:r>
    </w:p>
    <w:p w14:paraId="2AD6074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客户服务电话:0519-96005</w:t>
      </w:r>
    </w:p>
    <w:p w14:paraId="6FE15E9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传真:0519-89995170</w:t>
      </w:r>
    </w:p>
    <w:p w14:paraId="33F7C5F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网址:http://www.jnbank.com.cn</w:t>
      </w:r>
    </w:p>
    <w:p w14:paraId="4372643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11)上海农村商业银行</w:t>
      </w:r>
    </w:p>
    <w:p w14:paraId="167BFA9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注册地址:上海市黄浦区中山东二路70号</w:t>
      </w:r>
    </w:p>
    <w:p w14:paraId="2D48129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办公地址:上海市黄浦区中山东二路70号上海农商银行大厦</w:t>
      </w:r>
    </w:p>
    <w:p w14:paraId="40FE387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法定代表人:徐力</w:t>
      </w:r>
    </w:p>
    <w:p w14:paraId="73C938F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联系人:童彤</w:t>
      </w:r>
    </w:p>
    <w:p w14:paraId="099B791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联系电话:021-61899999</w:t>
      </w:r>
    </w:p>
    <w:p w14:paraId="2C80DF3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客户服务电话:021-962999、 4006962999</w:t>
      </w:r>
    </w:p>
    <w:p w14:paraId="66FF15F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网址:www.srcb.com</w:t>
      </w:r>
    </w:p>
    <w:p w14:paraId="62FB9E2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12)安信证券</w:t>
      </w:r>
    </w:p>
    <w:p w14:paraId="69EEC85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注册地址:深圳市福田区金田路4018号安联大厦35层、28层A02单元</w:t>
      </w:r>
    </w:p>
    <w:p w14:paraId="08893FE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办公地址:深圳市福田区金田路4018号安联大厦35层、28层A02单元      深圳市福田区深南大道2008号中国凤凰大厦1栋9层</w:t>
      </w:r>
    </w:p>
    <w:p w14:paraId="14642EA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法定代表人:黄炎勋</w:t>
      </w:r>
    </w:p>
    <w:p w14:paraId="625F3C1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联系人:陈剑虹</w:t>
      </w:r>
    </w:p>
    <w:p w14:paraId="7A916D1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联系电话:0755-82825551</w:t>
      </w:r>
    </w:p>
    <w:p w14:paraId="3812D54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客户服务电话:95517</w:t>
      </w:r>
    </w:p>
    <w:p w14:paraId="458E1C5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传真:0755-82558355</w:t>
      </w:r>
    </w:p>
    <w:p w14:paraId="77E19A2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网址:www.essence.com.cn</w:t>
      </w:r>
    </w:p>
    <w:p w14:paraId="24E4C47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13)渤海证券</w:t>
      </w:r>
    </w:p>
    <w:p w14:paraId="7752809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注册地址:天津市经济技术开发区第二大街42号写字楼101室</w:t>
      </w:r>
    </w:p>
    <w:p w14:paraId="331B2B5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办公地址:天津市南开区宾水西道8号</w:t>
      </w:r>
    </w:p>
    <w:p w14:paraId="345B962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法定代表人:安志勇</w:t>
      </w:r>
    </w:p>
    <w:p w14:paraId="389D452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联系人:王星</w:t>
      </w:r>
    </w:p>
    <w:p w14:paraId="0473500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联系电话:022-28451922</w:t>
      </w:r>
    </w:p>
    <w:p w14:paraId="56D1C20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客户服务电话:400-651-5988</w:t>
      </w:r>
    </w:p>
    <w:p w14:paraId="480C99A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传真:022-28451892</w:t>
      </w:r>
    </w:p>
    <w:p w14:paraId="2670383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网址:www.ewww.com.cn</w:t>
      </w:r>
    </w:p>
    <w:p w14:paraId="3A2A9D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14)长城证券</w:t>
      </w:r>
    </w:p>
    <w:p w14:paraId="0FF3D3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注册地址:深圳市福田区福田街道金田路2026号能源大厦南塔楼10-19层</w:t>
      </w:r>
    </w:p>
    <w:p w14:paraId="1810562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办公地址:深圳市福田区福田街道金田路2026号能源大厦南塔楼10-19层长城证券</w:t>
      </w:r>
    </w:p>
    <w:p w14:paraId="45C50BD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法定代表人:张巍</w:t>
      </w:r>
    </w:p>
    <w:p w14:paraId="3364783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联系人:梁浩</w:t>
      </w:r>
    </w:p>
    <w:p w14:paraId="3063F3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联系电话:0755-83530715</w:t>
      </w:r>
    </w:p>
    <w:p w14:paraId="057C823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客户服务电话:400-6666-888或95514</w:t>
      </w:r>
    </w:p>
    <w:p w14:paraId="149C57B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传真:0755-83515567</w:t>
      </w:r>
    </w:p>
    <w:p w14:paraId="4CDECCB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网址:www.cgws.com</w:t>
      </w:r>
    </w:p>
    <w:p w14:paraId="1A61821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15)长江证券</w:t>
      </w:r>
    </w:p>
    <w:p w14:paraId="29C9A4B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注册地址:湖北省武汉市新华路特8号</w:t>
      </w:r>
    </w:p>
    <w:p w14:paraId="37C10F4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办公地址:湖北省武汉市新华路特8号</w:t>
      </w:r>
    </w:p>
    <w:p w14:paraId="0474920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法定代表人:李新华</w:t>
      </w:r>
    </w:p>
    <w:p w14:paraId="0712F1F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联系人:奚博宇</w:t>
      </w:r>
    </w:p>
    <w:p w14:paraId="7CD90E8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联系电话:027-65799999</w:t>
      </w:r>
    </w:p>
    <w:p w14:paraId="2E10538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客户服务电话:95579或4008-888-999</w:t>
      </w:r>
    </w:p>
    <w:p w14:paraId="436111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传真:027-85481900</w:t>
      </w:r>
    </w:p>
    <w:p w14:paraId="7DF9673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网址:www.95579.com</w:t>
      </w:r>
    </w:p>
    <w:p w14:paraId="63F8C88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16)川财证券</w:t>
      </w:r>
    </w:p>
    <w:p w14:paraId="5A32858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注册地址:中国（四川）自由贸易试验区成都高新区交子大道177号中海国际中心B座17楼</w:t>
      </w:r>
    </w:p>
    <w:p w14:paraId="5F39E17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办公地址:四川省成都高新区交子大道177号中海国际中心B座17楼</w:t>
      </w:r>
    </w:p>
    <w:p w14:paraId="4A8A6B8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法定代表人:金树成</w:t>
      </w:r>
    </w:p>
    <w:p w14:paraId="3B4B7B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联系人:匡婷</w:t>
      </w:r>
    </w:p>
    <w:p w14:paraId="59BB67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联系电话:028-86583053</w:t>
      </w:r>
    </w:p>
    <w:p w14:paraId="0579B1A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客户服务电话:028-962708</w:t>
      </w:r>
    </w:p>
    <w:p w14:paraId="28A237F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网址:www.cczq.com</w:t>
      </w:r>
    </w:p>
    <w:p w14:paraId="72495A0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17)大通证券</w:t>
      </w:r>
    </w:p>
    <w:p w14:paraId="030F252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注册地址:辽宁省大连市沙河口区会展路129号大连国际金融中心A座-大连期货大厦38、39层</w:t>
      </w:r>
    </w:p>
    <w:p w14:paraId="7710C04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办公地址:辽宁省大连市沙河口区会展路129号大连国际金融中心A座-大连期货大厦38、39层</w:t>
      </w:r>
    </w:p>
    <w:p w14:paraId="58AC3FD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法定代表人:赵玺</w:t>
      </w:r>
    </w:p>
    <w:p w14:paraId="631A6E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联系人:谢立军</w:t>
      </w:r>
    </w:p>
    <w:p w14:paraId="0812E79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联系电话:0411-39991807</w:t>
      </w:r>
    </w:p>
    <w:p w14:paraId="584A475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客户服务电话:4008-169-169</w:t>
      </w:r>
    </w:p>
    <w:p w14:paraId="349EDD9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传真:0411-39673214</w:t>
      </w:r>
    </w:p>
    <w:p w14:paraId="4DA8E58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网址:www.daton.com.cn</w:t>
      </w:r>
    </w:p>
    <w:p w14:paraId="6379E11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18)大同证券</w:t>
      </w:r>
    </w:p>
    <w:p w14:paraId="55BD8EB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注册地址:山西省大同市城区迎宾街15号桐城中央21层</w:t>
      </w:r>
    </w:p>
    <w:p w14:paraId="6418EE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办公地址:山西省太原市小店区长治路111号山西世贸中心A座F12、F13</w:t>
      </w:r>
    </w:p>
    <w:p w14:paraId="2B7DC84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法定代表人:董祥</w:t>
      </w:r>
    </w:p>
    <w:p w14:paraId="1379C2E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联系人:薛津</w:t>
      </w:r>
    </w:p>
    <w:p w14:paraId="41371A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联系电话:0351-4130322</w:t>
      </w:r>
    </w:p>
    <w:p w14:paraId="79EFEB9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客户服务电话:4007121212</w:t>
      </w:r>
    </w:p>
    <w:p w14:paraId="042D21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传真:0351-7219891</w:t>
      </w:r>
    </w:p>
    <w:p w14:paraId="5266118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网址:www.dtsbc.com.cn</w:t>
      </w:r>
    </w:p>
    <w:p w14:paraId="30BC387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19)第一创业证券</w:t>
      </w:r>
    </w:p>
    <w:p w14:paraId="3FCF432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注册地址:深圳市福田区福华一路115号投行大厦20楼</w:t>
      </w:r>
    </w:p>
    <w:p w14:paraId="0D50677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办公地址:深圳市福田区福华一路115号投行大厦20楼</w:t>
      </w:r>
    </w:p>
    <w:p w14:paraId="609F205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法定代表人:刘学民</w:t>
      </w:r>
    </w:p>
    <w:p w14:paraId="53A7B19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联系人:单晶</w:t>
      </w:r>
    </w:p>
    <w:p w14:paraId="6354085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联系电话:0755-23838750</w:t>
      </w:r>
    </w:p>
    <w:p w14:paraId="29D053A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客户服务电话:95358</w:t>
      </w:r>
    </w:p>
    <w:p w14:paraId="382554E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网址:www.firstcapital.com.cn</w:t>
      </w:r>
    </w:p>
    <w:p w14:paraId="0B360C3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20)东海证券</w:t>
      </w:r>
    </w:p>
    <w:p w14:paraId="337F509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注册地址:江苏省常州市延陵西路23号投资广场18层</w:t>
      </w:r>
    </w:p>
    <w:p w14:paraId="36440DB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办公地址:上海市浦东新区东方路1928号东海证券大厦</w:t>
      </w:r>
    </w:p>
    <w:p w14:paraId="6BD01E2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法定代表人:钱俊文</w:t>
      </w:r>
    </w:p>
    <w:p w14:paraId="2A214F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联系人:王一彦</w:t>
      </w:r>
    </w:p>
    <w:p w14:paraId="5AEFF3D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联系电话:021-20333333</w:t>
      </w:r>
    </w:p>
    <w:p w14:paraId="426B502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客户服务电话:95531、400-8888-588</w:t>
      </w:r>
    </w:p>
    <w:p w14:paraId="29EE02F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传真:021-50498825</w:t>
      </w:r>
    </w:p>
    <w:p w14:paraId="2AF3A22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网址:www.longone.com.cn</w:t>
      </w:r>
    </w:p>
    <w:p w14:paraId="5FA1954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21)东吴证券</w:t>
      </w:r>
    </w:p>
    <w:p w14:paraId="54E7B0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注册地址:苏州工业园区星阳街5号</w:t>
      </w:r>
    </w:p>
    <w:p w14:paraId="576E396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办公地址:苏州工业园区星阳街5号</w:t>
      </w:r>
    </w:p>
    <w:p w14:paraId="3A9C956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法定代表人:范力</w:t>
      </w:r>
    </w:p>
    <w:p w14:paraId="241D909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联系人:陆晓</w:t>
      </w:r>
    </w:p>
    <w:p w14:paraId="1D403BA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联系电话:0512-62938521</w:t>
      </w:r>
    </w:p>
    <w:p w14:paraId="443D773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客户服务电话:95330</w:t>
      </w:r>
    </w:p>
    <w:p w14:paraId="05137B5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传真:0512-65588021</w:t>
      </w:r>
    </w:p>
    <w:p w14:paraId="57702DF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网址:www.dwzq.com.cn</w:t>
      </w:r>
    </w:p>
    <w:p w14:paraId="05A1649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22)东莞证券</w:t>
      </w:r>
    </w:p>
    <w:p w14:paraId="1B9D67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注册地址:东莞市莞城区可园南路一号</w:t>
      </w:r>
    </w:p>
    <w:p w14:paraId="00948CC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办公地址:东莞市莞城区可园南路1号金源中心30楼</w:t>
      </w:r>
    </w:p>
    <w:p w14:paraId="5DE93DC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法定代表人:陈照星</w:t>
      </w:r>
    </w:p>
    <w:p w14:paraId="57F4D25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联系人:李荣</w:t>
      </w:r>
    </w:p>
    <w:p w14:paraId="6635417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联系电话:0769-22115712</w:t>
      </w:r>
    </w:p>
    <w:p w14:paraId="241E77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客户服务电话:95328</w:t>
      </w:r>
    </w:p>
    <w:p w14:paraId="3FD4DBA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传真:0769-22115712</w:t>
      </w:r>
    </w:p>
    <w:p w14:paraId="63FCA05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网址:www.dgzq.com.cn</w:t>
      </w:r>
    </w:p>
    <w:p w14:paraId="6D9F11C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23)光大证券</w:t>
      </w:r>
    </w:p>
    <w:p w14:paraId="0A7ABF2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注册地址:上海市静安区新闸路1508号</w:t>
      </w:r>
    </w:p>
    <w:p w14:paraId="220472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办公地址:上海市静安区新闸路1508号</w:t>
      </w:r>
    </w:p>
    <w:p w14:paraId="1F98DEC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法定代表人:刘秋明</w:t>
      </w:r>
    </w:p>
    <w:p w14:paraId="46A741A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联系人:郁疆</w:t>
      </w:r>
    </w:p>
    <w:p w14:paraId="198E507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联系电话:021-22169999</w:t>
      </w:r>
    </w:p>
    <w:p w14:paraId="03B223A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客户服务电话:95525</w:t>
      </w:r>
    </w:p>
    <w:p w14:paraId="640D79A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网址:www.ebscn.com</w:t>
      </w:r>
    </w:p>
    <w:p w14:paraId="7400F54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24)广发证券</w:t>
      </w:r>
    </w:p>
    <w:p w14:paraId="63CE771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注册地址:广东省广州市黄埔区中新广州知识城腾飞一街2号618室</w:t>
      </w:r>
    </w:p>
    <w:p w14:paraId="02BA8BB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办公地址:广州市天河区马场路26号广发证券大厦</w:t>
      </w:r>
    </w:p>
    <w:p w14:paraId="498F8CD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法定代表人:孙树明</w:t>
      </w:r>
    </w:p>
    <w:p w14:paraId="231B74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联系人:黄岚</w:t>
      </w:r>
    </w:p>
    <w:p w14:paraId="6F409E1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客户服务电话:95575或02095575</w:t>
      </w:r>
    </w:p>
    <w:p w14:paraId="1CFDEA7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网址:www.gf.com.cn</w:t>
      </w:r>
    </w:p>
    <w:p w14:paraId="5418B8D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25)国都证券</w:t>
      </w:r>
    </w:p>
    <w:p w14:paraId="5378C3C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注册地址:北京市东城区东直门南大街3号国华投资大厦9层10层</w:t>
      </w:r>
    </w:p>
    <w:p w14:paraId="5AFAE2A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办公地址:北京市东城区东直门南大街3号国华投资大厦9层10层</w:t>
      </w:r>
    </w:p>
    <w:p w14:paraId="65D5560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法定代表人:翁振杰</w:t>
      </w:r>
    </w:p>
    <w:p w14:paraId="44529AC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联系人:黄静</w:t>
      </w:r>
    </w:p>
    <w:p w14:paraId="300848F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联系电话:010-84183333</w:t>
      </w:r>
    </w:p>
    <w:p w14:paraId="48E303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客户服务电话:400-818-8118</w:t>
      </w:r>
    </w:p>
    <w:p w14:paraId="47F981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传真:010-84183311-3122</w:t>
      </w:r>
    </w:p>
    <w:p w14:paraId="49F8AB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网址:www.guodu.com</w:t>
      </w:r>
    </w:p>
    <w:p w14:paraId="63E08BE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26)国金证券</w:t>
      </w:r>
    </w:p>
    <w:p w14:paraId="386429D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注册地址:成都市青羊区东城根上街95号</w:t>
      </w:r>
    </w:p>
    <w:p w14:paraId="75A6A9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办公地址:成都市青羊区东城根上街95号成证大厦</w:t>
      </w:r>
    </w:p>
    <w:p w14:paraId="15D29EA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法定代表人:冉云</w:t>
      </w:r>
    </w:p>
    <w:p w14:paraId="4C1C47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联系人:杜晶、黎建平</w:t>
      </w:r>
    </w:p>
    <w:p w14:paraId="73F9729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联系电话:028-86690057</w:t>
      </w:r>
    </w:p>
    <w:p w14:paraId="43AE86B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客户服务电话:95310</w:t>
      </w:r>
    </w:p>
    <w:p w14:paraId="1971FAD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传真:028-86690126</w:t>
      </w:r>
    </w:p>
    <w:p w14:paraId="44AFAE1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网址:www.gjzq.com.cn</w:t>
      </w:r>
    </w:p>
    <w:p w14:paraId="22B7835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27)国泰君安证券</w:t>
      </w:r>
    </w:p>
    <w:p w14:paraId="7536CD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注册地址:中国（上海）自由贸易试验区商城路618号</w:t>
      </w:r>
    </w:p>
    <w:p w14:paraId="528948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办公地址:上海市静安区南京西路768号国泰君安大厦</w:t>
      </w:r>
    </w:p>
    <w:p w14:paraId="77BE0E8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法定代表人:贺青</w:t>
      </w:r>
    </w:p>
    <w:p w14:paraId="5140E1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联系人:芮敏祺</w:t>
      </w:r>
    </w:p>
    <w:p w14:paraId="4122961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客户服务电话:95521</w:t>
      </w:r>
    </w:p>
    <w:p w14:paraId="66E4C16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传真:021-38670666</w:t>
      </w:r>
    </w:p>
    <w:p w14:paraId="70DD60F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网址:www.gtja.com</w:t>
      </w:r>
    </w:p>
    <w:p w14:paraId="77DDD2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28)国信证券</w:t>
      </w:r>
    </w:p>
    <w:p w14:paraId="13F196D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注册地址:深圳市罗湖区红岭中路1012号国信证券大厦十六层至二十六层</w:t>
      </w:r>
    </w:p>
    <w:p w14:paraId="363511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办公地址:深圳市罗湖区红岭中路1012号国信证券大厦十六层至二十六层</w:t>
      </w:r>
    </w:p>
    <w:p w14:paraId="2CEA291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法定代表人:何如</w:t>
      </w:r>
    </w:p>
    <w:p w14:paraId="2E37FEF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联系人:李颖</w:t>
      </w:r>
    </w:p>
    <w:p w14:paraId="353C79B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联系电话:0755-82130833</w:t>
      </w:r>
    </w:p>
    <w:p w14:paraId="6C15EEE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客户服务电话:95536</w:t>
      </w:r>
    </w:p>
    <w:p w14:paraId="207A8E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传真:0755-82133952</w:t>
      </w:r>
    </w:p>
    <w:p w14:paraId="18B4C1E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网址:www.guosen.com.cn</w:t>
      </w:r>
    </w:p>
    <w:p w14:paraId="6980A51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29)海通证券</w:t>
      </w:r>
    </w:p>
    <w:p w14:paraId="074B720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注册地址:上海市广东路689号</w:t>
      </w:r>
    </w:p>
    <w:p w14:paraId="746323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办公地址:上海市广东路689号</w:t>
      </w:r>
    </w:p>
    <w:p w14:paraId="1A5F847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法定代表人:周杰</w:t>
      </w:r>
    </w:p>
    <w:p w14:paraId="5D68E17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联系人:金芸、李笑鸣</w:t>
      </w:r>
    </w:p>
    <w:p w14:paraId="1B9E096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联系电话:021-23219000</w:t>
      </w:r>
    </w:p>
    <w:p w14:paraId="18DB0A8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客户服务电话:95553</w:t>
      </w:r>
    </w:p>
    <w:p w14:paraId="262FEF0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传真:021-23219100</w:t>
      </w:r>
    </w:p>
    <w:p w14:paraId="17F0CCE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网址:www.htsec.com</w:t>
      </w:r>
    </w:p>
    <w:p w14:paraId="0BF1CE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30)华安证券</w:t>
      </w:r>
    </w:p>
    <w:p w14:paraId="568905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注册地址:安徽省合肥市政务文化新区天鹅湖路198号</w:t>
      </w:r>
    </w:p>
    <w:p w14:paraId="61B3AA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办公地址:安徽省合肥市政务文化新区天鹅湖路198号</w:t>
      </w:r>
    </w:p>
    <w:p w14:paraId="44A3FD2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法定代表人:章宏韬</w:t>
      </w:r>
    </w:p>
    <w:p w14:paraId="6233B80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联系人:范超</w:t>
      </w:r>
    </w:p>
    <w:p w14:paraId="7526DB5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联系电话:0551-65161821</w:t>
      </w:r>
    </w:p>
    <w:p w14:paraId="6EB9CF2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客户服务电话:95318</w:t>
      </w:r>
    </w:p>
    <w:p w14:paraId="694C111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传真:0551-65161825</w:t>
      </w:r>
    </w:p>
    <w:p w14:paraId="26393D3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网址:www.hazq.com</w:t>
      </w:r>
    </w:p>
    <w:p w14:paraId="7CEDF28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31)华宝证券</w:t>
      </w:r>
    </w:p>
    <w:p w14:paraId="4F7DB11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注册地址:中国（上海）自由贸易试验区世纪大道100号57层</w:t>
      </w:r>
    </w:p>
    <w:p w14:paraId="24003C1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办公地址:中国（上海）自由贸易试验区世纪大道100号57层</w:t>
      </w:r>
    </w:p>
    <w:p w14:paraId="380E0BA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法定代表人:刘加海</w:t>
      </w:r>
    </w:p>
    <w:p w14:paraId="0DE2FD7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联系人:刘闻川</w:t>
      </w:r>
    </w:p>
    <w:p w14:paraId="5821626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联系电话:021-20515385</w:t>
      </w:r>
    </w:p>
    <w:p w14:paraId="13C872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客户服务电话:400-820-9898</w:t>
      </w:r>
    </w:p>
    <w:p w14:paraId="0BE5AEE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传真:021-20515593</w:t>
      </w:r>
    </w:p>
    <w:p w14:paraId="05736D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网址:www.cnhbstock.com</w:t>
      </w:r>
    </w:p>
    <w:p w14:paraId="384CAB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32)华福证券</w:t>
      </w:r>
    </w:p>
    <w:p w14:paraId="7055C95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注册地址:福建省福州市鼓楼区鼓屏路27号1#楼3层、4层、5层</w:t>
      </w:r>
    </w:p>
    <w:p w14:paraId="261A43A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办公地址:上海市浦东新区陆家嘴环路1088号招行上海大厦18层、19层、29层</w:t>
      </w:r>
    </w:p>
    <w:p w14:paraId="58A171B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法定代表人:黄金琳</w:t>
      </w:r>
    </w:p>
    <w:p w14:paraId="44939D5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联系人:王虹</w:t>
      </w:r>
    </w:p>
    <w:p w14:paraId="6E071C9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联系电话:021-20655183</w:t>
      </w:r>
    </w:p>
    <w:p w14:paraId="21E0C9D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客户服务电话:95547</w:t>
      </w:r>
    </w:p>
    <w:p w14:paraId="47ABEFA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传真:021-20655196</w:t>
      </w:r>
    </w:p>
    <w:p w14:paraId="2A16D75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网址:www.hfzq.com.cn</w:t>
      </w:r>
    </w:p>
    <w:p w14:paraId="49507C2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33)华龙证券</w:t>
      </w:r>
    </w:p>
    <w:p w14:paraId="2FB8941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注册地址:兰州市城关区东岗西路638号兰州财富中心21楼</w:t>
      </w:r>
    </w:p>
    <w:p w14:paraId="571592E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办公地址:兰州市城关区东岗西路638号兰州财富中心</w:t>
      </w:r>
    </w:p>
    <w:p w14:paraId="71B1F8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法定代表人:陈牧原</w:t>
      </w:r>
    </w:p>
    <w:p w14:paraId="538694F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联系人:范坤</w:t>
      </w:r>
    </w:p>
    <w:p w14:paraId="6D0CC9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联系电话:0931-4890208</w:t>
      </w:r>
    </w:p>
    <w:p w14:paraId="1E9FE4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客户服务电话:95368、400-689-8888</w:t>
      </w:r>
    </w:p>
    <w:p w14:paraId="770B199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传真:0931-4890628</w:t>
      </w:r>
    </w:p>
    <w:p w14:paraId="7FE28B1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网址:www.hlzq.com</w:t>
      </w:r>
    </w:p>
    <w:p w14:paraId="30FE5F9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34)华泰证券</w:t>
      </w:r>
    </w:p>
    <w:p w14:paraId="29A648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注册地址:南京市江东中路228号</w:t>
      </w:r>
    </w:p>
    <w:p w14:paraId="6B3CE60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办公地址:南京市建邺区江东中路228号华泰证券广场</w:t>
      </w:r>
    </w:p>
    <w:p w14:paraId="1A50CA4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法定代表人:张伟</w:t>
      </w:r>
    </w:p>
    <w:p w14:paraId="286D8AE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联系人:庞晓芸</w:t>
      </w:r>
    </w:p>
    <w:p w14:paraId="0D7733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联系电话:0755-82492193</w:t>
      </w:r>
    </w:p>
    <w:p w14:paraId="310E4F2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客户服务电话:95597</w:t>
      </w:r>
    </w:p>
    <w:p w14:paraId="0CFE594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传真:025-83387523</w:t>
      </w:r>
    </w:p>
    <w:p w14:paraId="14B43D7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网址:www.htsc.com.cn</w:t>
      </w:r>
    </w:p>
    <w:p w14:paraId="61A76A1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35)华西证券</w:t>
      </w:r>
    </w:p>
    <w:p w14:paraId="6E9E602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注册地址:四川省成都市高新区天府二街198号</w:t>
      </w:r>
    </w:p>
    <w:p w14:paraId="4CDBA9E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办公地址:四川省成都市高新区天府二街198号华西证券大厦</w:t>
      </w:r>
    </w:p>
    <w:p w14:paraId="22121F4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法定代表人:杨炯洋</w:t>
      </w:r>
    </w:p>
    <w:p w14:paraId="2C475D4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联系人:张彬</w:t>
      </w:r>
    </w:p>
    <w:p w14:paraId="48D36A1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联系电话:010-58124967</w:t>
      </w:r>
    </w:p>
    <w:p w14:paraId="719A4F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客户服务电话:95584</w:t>
      </w:r>
    </w:p>
    <w:p w14:paraId="47E6A6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传真:028-86150040</w:t>
      </w:r>
    </w:p>
    <w:p w14:paraId="7697E19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网址:www.hx168.com.cn</w:t>
      </w:r>
    </w:p>
    <w:p w14:paraId="3BB6A03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36)华鑫证券</w:t>
      </w:r>
    </w:p>
    <w:p w14:paraId="682D651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注册地址:深圳市福田区莲花街道福中社区深南大道2008号中国凤凰大厦1栋20C-1房</w:t>
      </w:r>
    </w:p>
    <w:p w14:paraId="308B76D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办公地址:上海市徐汇区宛平南路8号</w:t>
      </w:r>
    </w:p>
    <w:p w14:paraId="715B40B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法定代表人:俞洋</w:t>
      </w:r>
    </w:p>
    <w:p w14:paraId="54CE9D2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联系人:刘熠</w:t>
      </w:r>
    </w:p>
    <w:p w14:paraId="1570820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联系电话:021-54967656</w:t>
      </w:r>
    </w:p>
    <w:p w14:paraId="1838B5E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客户服务电话:95323（全国）、400-109-9918（全国）、029-68918888（西安）</w:t>
      </w:r>
    </w:p>
    <w:p w14:paraId="52A7790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传真:021- 54967293</w:t>
      </w:r>
    </w:p>
    <w:p w14:paraId="7DDB8D2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网址:www.cfsc.com.cn</w:t>
      </w:r>
    </w:p>
    <w:p w14:paraId="6AC43D6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37)金元证券</w:t>
      </w:r>
    </w:p>
    <w:p w14:paraId="0573B5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注册地址:海口市南宝路36号证券大厦4楼</w:t>
      </w:r>
    </w:p>
    <w:p w14:paraId="430465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办公地址:深圳市深南大道4001号时代金融中心大厦17楼</w:t>
      </w:r>
    </w:p>
    <w:p w14:paraId="1ABB801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法定代表人:王作义</w:t>
      </w:r>
    </w:p>
    <w:p w14:paraId="262DF1C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联系人:刘萍</w:t>
      </w:r>
    </w:p>
    <w:p w14:paraId="4BA26AE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联系电话:0755-83025693</w:t>
      </w:r>
    </w:p>
    <w:p w14:paraId="30EC6F3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客户服务电话:95372</w:t>
      </w:r>
    </w:p>
    <w:p w14:paraId="79748E5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传真:0755-83025625</w:t>
      </w:r>
    </w:p>
    <w:p w14:paraId="078674C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网址:www.jyzq.cn</w:t>
      </w:r>
    </w:p>
    <w:p w14:paraId="4C39EA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38)九州证券</w:t>
      </w:r>
    </w:p>
    <w:p w14:paraId="64E2468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注册地址:青海省西宁市南川工业园区创业路108号</w:t>
      </w:r>
    </w:p>
    <w:p w14:paraId="57B8DCC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办公地址:北京市朝阳区安立路30号仰山公园东一门2号楼</w:t>
      </w:r>
    </w:p>
    <w:p w14:paraId="69FB4E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法定代表人:魏先锋</w:t>
      </w:r>
    </w:p>
    <w:p w14:paraId="6902871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联系人:张晓黎</w:t>
      </w:r>
    </w:p>
    <w:p w14:paraId="21064D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联系电话:010-57672186</w:t>
      </w:r>
    </w:p>
    <w:p w14:paraId="09D1A20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客户服务电话:95305</w:t>
      </w:r>
    </w:p>
    <w:p w14:paraId="4A40B7F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网址:www.jzsec.com</w:t>
      </w:r>
    </w:p>
    <w:p w14:paraId="2FDE29A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39)联储证券</w:t>
      </w:r>
    </w:p>
    <w:p w14:paraId="78F13BA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注册地址:广东省深圳市福田区福田街道岗厦社区深南大道南侧金地中心大厦9楼</w:t>
      </w:r>
    </w:p>
    <w:p w14:paraId="598AF1F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办公地址:上海市浦东新区陆家嘴环路1366号富士康大厦9、10层</w:t>
      </w:r>
    </w:p>
    <w:p w14:paraId="4270E79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法定代表人:吕春卫</w:t>
      </w:r>
    </w:p>
    <w:p w14:paraId="007196C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联系人:祝博文</w:t>
      </w:r>
    </w:p>
    <w:p w14:paraId="20B1FAA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联系电话:010-86499794</w:t>
      </w:r>
    </w:p>
    <w:p w14:paraId="66E8BE0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客户服务电话:400-620-6868</w:t>
      </w:r>
    </w:p>
    <w:p w14:paraId="09CE886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网址:www.lczq.com</w:t>
      </w:r>
    </w:p>
    <w:p w14:paraId="535339E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40)南京证券</w:t>
      </w:r>
    </w:p>
    <w:p w14:paraId="3AE0F0A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注册地址:南京市江东中路389号</w:t>
      </w:r>
    </w:p>
    <w:p w14:paraId="627D87D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办公地址:南京市江东中路389号</w:t>
      </w:r>
    </w:p>
    <w:p w14:paraId="04D22E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法定代表人:李剑锋</w:t>
      </w:r>
    </w:p>
    <w:p w14:paraId="0E5D68C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联系人:王万君</w:t>
      </w:r>
    </w:p>
    <w:p w14:paraId="3089312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联系电话:025-58519523</w:t>
      </w:r>
    </w:p>
    <w:p w14:paraId="1A2F41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客户服务电话:95386</w:t>
      </w:r>
    </w:p>
    <w:p w14:paraId="21F60B5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传真:025-83369725</w:t>
      </w:r>
    </w:p>
    <w:p w14:paraId="771CFA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网址:www.njzq.com.cn</w:t>
      </w:r>
    </w:p>
    <w:p w14:paraId="2DD5B09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41)平安证券</w:t>
      </w:r>
    </w:p>
    <w:p w14:paraId="79E3CA3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注册地址:深圳市福田区福田街道益田路5023号平安金融中心B座第22-25层</w:t>
      </w:r>
    </w:p>
    <w:p w14:paraId="32D0D55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办公地址:深圳市福田区金田路4036号荣超大厦16-20层</w:t>
      </w:r>
    </w:p>
    <w:p w14:paraId="1095BAD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法定代表人:何之江</w:t>
      </w:r>
    </w:p>
    <w:p w14:paraId="5B2D4E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联系人:周驰</w:t>
      </w:r>
    </w:p>
    <w:p w14:paraId="7432FF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联系电话:021-38643230</w:t>
      </w:r>
    </w:p>
    <w:p w14:paraId="6385A23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客户服务电话:95511-8</w:t>
      </w:r>
    </w:p>
    <w:p w14:paraId="18AC48C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传真:021-58991896</w:t>
      </w:r>
    </w:p>
    <w:p w14:paraId="2470FAB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网址:stock.pingan.com</w:t>
      </w:r>
    </w:p>
    <w:p w14:paraId="1D4F4B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42)山西证券</w:t>
      </w:r>
    </w:p>
    <w:p w14:paraId="060D3B4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注册地址:太原市府西街69号山西国际贸易中心东塔楼</w:t>
      </w:r>
    </w:p>
    <w:p w14:paraId="44A748B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办公地址:太原市府西街69号山西国际贸易中心东塔楼</w:t>
      </w:r>
    </w:p>
    <w:p w14:paraId="609C6F7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法定代表人:侯巍</w:t>
      </w:r>
    </w:p>
    <w:p w14:paraId="6C6DE94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联系人:谢武兵</w:t>
      </w:r>
    </w:p>
    <w:p w14:paraId="4F9BEF1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联系电话:0351-8686721</w:t>
      </w:r>
    </w:p>
    <w:p w14:paraId="2C30F19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客户服务电话:95573或400-666-1618</w:t>
      </w:r>
    </w:p>
    <w:p w14:paraId="6CB127B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传真:0351-8686619</w:t>
      </w:r>
    </w:p>
    <w:p w14:paraId="634C721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网址:www.i618.com.cn</w:t>
      </w:r>
    </w:p>
    <w:p w14:paraId="06C2A1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43)上海证券</w:t>
      </w:r>
    </w:p>
    <w:p w14:paraId="73A8188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注册地址:上海市黄浦区四川中路213号7楼</w:t>
      </w:r>
    </w:p>
    <w:p w14:paraId="12C1D97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办公地址:上海市四川中路213号久事商务大厦7楼</w:t>
      </w:r>
    </w:p>
    <w:p w14:paraId="31C0B61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法定代表人:李俊杰</w:t>
      </w:r>
    </w:p>
    <w:p w14:paraId="4917A1D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联系人:邵珍珍</w:t>
      </w:r>
    </w:p>
    <w:p w14:paraId="2AA7D7F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联系电话:021-53686888</w:t>
      </w:r>
    </w:p>
    <w:p w14:paraId="041527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客户服务电话:4008-918-918</w:t>
      </w:r>
    </w:p>
    <w:p w14:paraId="3A9559E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传真:021-53686100-7008，021-53686200-7008</w:t>
      </w:r>
    </w:p>
    <w:p w14:paraId="0EA6072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网址:https://www.shzq.com/</w:t>
      </w:r>
    </w:p>
    <w:p w14:paraId="126DF52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44)申万宏源西部证券</w:t>
      </w:r>
    </w:p>
    <w:p w14:paraId="1F63C98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注册地址:新疆乌鲁木齐市高新区（新市区）北京南路358号大成国际大厦20楼2005室</w:t>
      </w:r>
    </w:p>
    <w:p w14:paraId="5236A4B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办公地址:新疆乌鲁木齐市高新区（新市区）北京南路358号大成国际大厦20楼2005室</w:t>
      </w:r>
    </w:p>
    <w:p w14:paraId="15590F0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法定代表人:王献军</w:t>
      </w:r>
    </w:p>
    <w:p w14:paraId="14A2CC5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联系人:王怀春</w:t>
      </w:r>
    </w:p>
    <w:p w14:paraId="44854F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联系电话:0991-2307105</w:t>
      </w:r>
    </w:p>
    <w:p w14:paraId="4956991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客户服务电话:4008-000-562</w:t>
      </w:r>
    </w:p>
    <w:p w14:paraId="1A3C218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传真:010-88085195</w:t>
      </w:r>
    </w:p>
    <w:p w14:paraId="0FE03D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网址:www.hysec.com</w:t>
      </w:r>
    </w:p>
    <w:p w14:paraId="28AD973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45)申万宏源证券</w:t>
      </w:r>
    </w:p>
    <w:p w14:paraId="268ECFC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注册地址:上海市徐汇区长乐路989号45层</w:t>
      </w:r>
    </w:p>
    <w:p w14:paraId="4FC4F07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办公地址:上海市徐汇区长乐路989号世纪商贸广场45层</w:t>
      </w:r>
    </w:p>
    <w:p w14:paraId="514AA8E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法定代表人:杨玉成</w:t>
      </w:r>
    </w:p>
    <w:p w14:paraId="383F6AC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联系人:胡馨文</w:t>
      </w:r>
    </w:p>
    <w:p w14:paraId="73F1517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联系电话:021-33388252</w:t>
      </w:r>
    </w:p>
    <w:p w14:paraId="0BCEA93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客户服务电话:95523、4008895523</w:t>
      </w:r>
    </w:p>
    <w:p w14:paraId="123E169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传真:021-33388224</w:t>
      </w:r>
    </w:p>
    <w:p w14:paraId="72F6865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网址:www.swhysc.com</w:t>
      </w:r>
    </w:p>
    <w:p w14:paraId="768D64E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46)西部证券</w:t>
      </w:r>
    </w:p>
    <w:p w14:paraId="2964673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注册地址:陕西省西安市新城区东新街319号8幢10000室</w:t>
      </w:r>
    </w:p>
    <w:p w14:paraId="0BD810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办公地址:陕西省西安市新城区东新街319号8幢10000室</w:t>
      </w:r>
    </w:p>
    <w:p w14:paraId="7B0888C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法定代表人:徐朝晖</w:t>
      </w:r>
    </w:p>
    <w:p w14:paraId="1174C02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联系人:张吉安</w:t>
      </w:r>
    </w:p>
    <w:p w14:paraId="46FD052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联系电话:029-87211668</w:t>
      </w:r>
    </w:p>
    <w:p w14:paraId="73BC0A6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客户服务电话:95582</w:t>
      </w:r>
    </w:p>
    <w:p w14:paraId="0FE7EBB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传真:029-87211478</w:t>
      </w:r>
    </w:p>
    <w:p w14:paraId="4F4A53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网址:www.westsecu.com</w:t>
      </w:r>
    </w:p>
    <w:p w14:paraId="718358E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47)西南证券</w:t>
      </w:r>
    </w:p>
    <w:p w14:paraId="56F6AEF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注册地址:重庆市江北区桥北苑8号</w:t>
      </w:r>
    </w:p>
    <w:p w14:paraId="50A44A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办公地址:重庆市江北区桥北苑8号西南证券大厦</w:t>
      </w:r>
    </w:p>
    <w:p w14:paraId="49BA81C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法定代表人:廖庆轩</w:t>
      </w:r>
    </w:p>
    <w:p w14:paraId="1311CF6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联系人:周青</w:t>
      </w:r>
    </w:p>
    <w:p w14:paraId="2D4EF5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联系电话:023-63786633</w:t>
      </w:r>
    </w:p>
    <w:p w14:paraId="4935500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客户服务电话:4008096096或95355</w:t>
      </w:r>
    </w:p>
    <w:p w14:paraId="1D4B577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传真:023-63786212</w:t>
      </w:r>
    </w:p>
    <w:p w14:paraId="6E67119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网址:www.swsc.com.cn</w:t>
      </w:r>
    </w:p>
    <w:p w14:paraId="031A07B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48)新时代证券</w:t>
      </w:r>
    </w:p>
    <w:p w14:paraId="18A71D7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注册地址:北京市海淀区北三环西路99号院1号楼15层1501</w:t>
      </w:r>
    </w:p>
    <w:p w14:paraId="5E2185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办公地址:北京市海淀区北三环西路99号院1号楼15层1501</w:t>
      </w:r>
    </w:p>
    <w:p w14:paraId="46FAC82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法定代表人:林雯</w:t>
      </w:r>
    </w:p>
    <w:p w14:paraId="1DDE288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联系人:廖晓</w:t>
      </w:r>
    </w:p>
    <w:p w14:paraId="6EC4EBF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联系电话:010-83561321</w:t>
      </w:r>
    </w:p>
    <w:p w14:paraId="139DAD1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客户服务电话:95399</w:t>
      </w:r>
    </w:p>
    <w:p w14:paraId="2306FC8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网址:www.xsdzq.cn</w:t>
      </w:r>
    </w:p>
    <w:p w14:paraId="5E130D2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49)信达证券</w:t>
      </w:r>
    </w:p>
    <w:p w14:paraId="1BEC74E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注册地址:北京市西城区闹市口大街9号院1号楼</w:t>
      </w:r>
    </w:p>
    <w:p w14:paraId="594D6C5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办公地址:北京市西城区闹市口大街9号院1号楼</w:t>
      </w:r>
    </w:p>
    <w:p w14:paraId="0A41A50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法定代表人:祝瑞敏</w:t>
      </w:r>
    </w:p>
    <w:p w14:paraId="13643D6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联系人:王薇安</w:t>
      </w:r>
    </w:p>
    <w:p w14:paraId="0794860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联系电话:010-83252170</w:t>
      </w:r>
    </w:p>
    <w:p w14:paraId="67E6FD8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客户服务电话:95321</w:t>
      </w:r>
    </w:p>
    <w:p w14:paraId="23982FD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传真:010-63080978</w:t>
      </w:r>
    </w:p>
    <w:p w14:paraId="206FBC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网址:www.cindasc.com</w:t>
      </w:r>
    </w:p>
    <w:p w14:paraId="799C3DF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50)兴业证券</w:t>
      </w:r>
    </w:p>
    <w:p w14:paraId="7A0333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注册地址:福州市湖东路268号</w:t>
      </w:r>
    </w:p>
    <w:p w14:paraId="67D7F99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办公地址:上海浦东新区长柳路36号兴业证券大厦20楼</w:t>
      </w:r>
    </w:p>
    <w:p w14:paraId="638FFE5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法定代表人:杨华辉</w:t>
      </w:r>
    </w:p>
    <w:p w14:paraId="261CFE3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联系人:乔琳雪</w:t>
      </w:r>
    </w:p>
    <w:p w14:paraId="415136B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联系电话:021-38565547</w:t>
      </w:r>
    </w:p>
    <w:p w14:paraId="63AC967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客户服务电话:95562</w:t>
      </w:r>
    </w:p>
    <w:p w14:paraId="6F1555D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网址:www.xyzq.com.cn</w:t>
      </w:r>
    </w:p>
    <w:p w14:paraId="208A96D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51)银河证券</w:t>
      </w:r>
    </w:p>
    <w:p w14:paraId="7FCA3EA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注册地址:北京市西城区金融大街35号2-6层</w:t>
      </w:r>
    </w:p>
    <w:p w14:paraId="0CD35B0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办公地址:北京市西城区金融大街35号国际企业大厦C座</w:t>
      </w:r>
    </w:p>
    <w:p w14:paraId="2356D50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法定代表人:陈共炎</w:t>
      </w:r>
    </w:p>
    <w:p w14:paraId="553873E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联系人:辛国政</w:t>
      </w:r>
    </w:p>
    <w:p w14:paraId="71C3E58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联系电话:010-83574507</w:t>
      </w:r>
    </w:p>
    <w:p w14:paraId="034A0A4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客户服务电话:4008-888-888或95551</w:t>
      </w:r>
    </w:p>
    <w:p w14:paraId="4A78CDC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网址:www.chinastock.com.cn</w:t>
      </w:r>
    </w:p>
    <w:p w14:paraId="177C68C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52)粤开证券</w:t>
      </w:r>
    </w:p>
    <w:p w14:paraId="1ACB637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注册地址:惠州市江北东江三路55号广播电视新闻中心西面一层大堂和三、四层</w:t>
      </w:r>
    </w:p>
    <w:p w14:paraId="07B3C4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办公地址:广东省广州市黄埔区科学大道60号开发区金控中心21-23层</w:t>
      </w:r>
    </w:p>
    <w:p w14:paraId="168B9D7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法定代表人:严亦斌</w:t>
      </w:r>
    </w:p>
    <w:p w14:paraId="0523FE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联系人:彭莲</w:t>
      </w:r>
    </w:p>
    <w:p w14:paraId="50E35CA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联系电话:0755-83331195</w:t>
      </w:r>
    </w:p>
    <w:p w14:paraId="3D675F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客户服务电话:95564</w:t>
      </w:r>
    </w:p>
    <w:p w14:paraId="41D88D7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网址:http://www.ykzq.com</w:t>
      </w:r>
    </w:p>
    <w:p w14:paraId="2BB91F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53)招商证券</w:t>
      </w:r>
    </w:p>
    <w:p w14:paraId="77E7F38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注册地址:深圳市福田区福田街道福华一路111号</w:t>
      </w:r>
    </w:p>
    <w:p w14:paraId="1875A34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办公地址:深圳市福田区福田街道福华一路111号</w:t>
      </w:r>
    </w:p>
    <w:p w14:paraId="7404FD8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法定代表人:霍达</w:t>
      </w:r>
    </w:p>
    <w:p w14:paraId="7E7E389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联系人:黄婵君</w:t>
      </w:r>
    </w:p>
    <w:p w14:paraId="4B4E0D7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联系电话:0755-82943666</w:t>
      </w:r>
    </w:p>
    <w:p w14:paraId="0C6663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客户服务电话:95565、400-8888-111</w:t>
      </w:r>
    </w:p>
    <w:p w14:paraId="4EF18E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传真:0755-82943636</w:t>
      </w:r>
    </w:p>
    <w:p w14:paraId="23FF71F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网址:www.newone.com.cn</w:t>
      </w:r>
    </w:p>
    <w:p w14:paraId="19C2D18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54)中金财富</w:t>
      </w:r>
    </w:p>
    <w:p w14:paraId="61EC79C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注册地址:深圳市福田区益田路与福中路交界处荣超商务中心A栋第18-21层及第04层01.02.03.05.11.12.13.15.16.18.19.20.21.22.23单元</w:t>
      </w:r>
    </w:p>
    <w:p w14:paraId="4809F7A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办公地址:深圳福田区益田路6003号荣超商务中心A座4层、18-21层</w:t>
      </w:r>
    </w:p>
    <w:p w14:paraId="416DB7E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法定代表人:高涛</w:t>
      </w:r>
    </w:p>
    <w:p w14:paraId="2933E4C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联系人:万玉琳</w:t>
      </w:r>
    </w:p>
    <w:p w14:paraId="46DD001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联系电话:0755-82026907</w:t>
      </w:r>
    </w:p>
    <w:p w14:paraId="275A0D2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客户服务电话:95532</w:t>
      </w:r>
    </w:p>
    <w:p w14:paraId="44B6BED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网址:https://www.ciccwm.com</w:t>
      </w:r>
    </w:p>
    <w:p w14:paraId="31C3669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55)中金公司</w:t>
      </w:r>
    </w:p>
    <w:p w14:paraId="304382B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注册地址:北京市朝阳区建国门外大街1号国贸大厦2座27层及28层</w:t>
      </w:r>
    </w:p>
    <w:p w14:paraId="28F9F0A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办公地址:北京市朝阳区建国门外大街甲6号SK大厦38层</w:t>
      </w:r>
    </w:p>
    <w:p w14:paraId="1793336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法定代表人:沈如军</w:t>
      </w:r>
    </w:p>
    <w:p w14:paraId="0526E6D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联系人:杨涵宇</w:t>
      </w:r>
    </w:p>
    <w:p w14:paraId="4073388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联系电话:010-65051166</w:t>
      </w:r>
    </w:p>
    <w:p w14:paraId="1F4B514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客户服务电话:4009101166</w:t>
      </w:r>
    </w:p>
    <w:p w14:paraId="2779F54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网址:www.cicc.com.cn</w:t>
      </w:r>
    </w:p>
    <w:p w14:paraId="0CC3482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56)中山证券</w:t>
      </w:r>
    </w:p>
    <w:p w14:paraId="3AB41C8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注册地址:深圳市南山区粤海街道蔚蓝海岸社区创业路1777号海信南方大厦21、22层</w:t>
      </w:r>
    </w:p>
    <w:p w14:paraId="2AB7DD8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办公地址:深圳市南山区创业路1777号海信南方大厦21、22层</w:t>
      </w:r>
    </w:p>
    <w:p w14:paraId="6ABB815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法定代表人:吴小静</w:t>
      </w:r>
    </w:p>
    <w:p w14:paraId="365E41B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联系人:罗艺琳</w:t>
      </w:r>
    </w:p>
    <w:p w14:paraId="590B27F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联系电话:0755-82943755</w:t>
      </w:r>
    </w:p>
    <w:p w14:paraId="1C0A55C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客户服务电话:95329</w:t>
      </w:r>
    </w:p>
    <w:p w14:paraId="53897B9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传真:0755-82960582</w:t>
      </w:r>
    </w:p>
    <w:p w14:paraId="5C57814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网址:www.zszq.com</w:t>
      </w:r>
    </w:p>
    <w:p w14:paraId="2407AC2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57)中泰证券</w:t>
      </w:r>
    </w:p>
    <w:p w14:paraId="55643DD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注册地址:济南市市中区经七路86号</w:t>
      </w:r>
    </w:p>
    <w:p w14:paraId="01A4591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办公地址:山东省济南市经七路86号</w:t>
      </w:r>
    </w:p>
    <w:p w14:paraId="18FB6D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法定代表人:李峰</w:t>
      </w:r>
    </w:p>
    <w:p w14:paraId="009FCC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联系人:许曼华</w:t>
      </w:r>
    </w:p>
    <w:p w14:paraId="0D723AB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联系电话:021-20315290</w:t>
      </w:r>
    </w:p>
    <w:p w14:paraId="7242664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客户服务电话:95538</w:t>
      </w:r>
    </w:p>
    <w:p w14:paraId="785A10B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传真:0531-68889095</w:t>
      </w:r>
    </w:p>
    <w:p w14:paraId="32416BB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网址:www.zts.com.cn</w:t>
      </w:r>
    </w:p>
    <w:p w14:paraId="12CD4C5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58)中信建投证券</w:t>
      </w:r>
    </w:p>
    <w:p w14:paraId="68F602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注册地址:北京市朝阳区安立路66号4号楼</w:t>
      </w:r>
    </w:p>
    <w:p w14:paraId="40DD80E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办公地址:北京市朝阳门内大街188号</w:t>
      </w:r>
    </w:p>
    <w:p w14:paraId="0CA6BAF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法定代表人:王常青</w:t>
      </w:r>
    </w:p>
    <w:p w14:paraId="7360680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联系人:刘芸</w:t>
      </w:r>
    </w:p>
    <w:p w14:paraId="5483D8D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联系电话:010－85130554</w:t>
      </w:r>
    </w:p>
    <w:p w14:paraId="61238E1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客户服务电话:95587或4008-888-108</w:t>
      </w:r>
    </w:p>
    <w:p w14:paraId="2C0F199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网址:http://www.csc108.com/</w:t>
      </w:r>
    </w:p>
    <w:p w14:paraId="5A54AA4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59)中原证券</w:t>
      </w:r>
    </w:p>
    <w:p w14:paraId="7D14BD5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注册地址:郑州市郑东新区商务外环路10号</w:t>
      </w:r>
    </w:p>
    <w:p w14:paraId="1FB03C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办公地址:河南省郑州市郑东新区商务外环路10号中原广发金融大厦19楼</w:t>
      </w:r>
    </w:p>
    <w:p w14:paraId="470ACD4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法定代表人:菅明军</w:t>
      </w:r>
    </w:p>
    <w:p w14:paraId="0472190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联系人:程月艳  李盼盼 党静</w:t>
      </w:r>
    </w:p>
    <w:p w14:paraId="2836DB2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联系电话:0371-69099882</w:t>
      </w:r>
    </w:p>
    <w:p w14:paraId="5B82A7E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客户服务电话:95377</w:t>
      </w:r>
    </w:p>
    <w:p w14:paraId="3E6F69D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传真:0371--65585899</w:t>
      </w:r>
    </w:p>
    <w:p w14:paraId="533BFD5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网址:www.ccnew.com</w:t>
      </w:r>
    </w:p>
    <w:p w14:paraId="3F72370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60)长量基金</w:t>
      </w:r>
    </w:p>
    <w:p w14:paraId="1BB644F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注册地址:上海市浦东新区高翔路526号2幢220室</w:t>
      </w:r>
    </w:p>
    <w:p w14:paraId="3A80726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办公地址:上海市浦东新区东方路1267号陆家嘴金融服务广场二期11层</w:t>
      </w:r>
    </w:p>
    <w:p w14:paraId="6CB1958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法定代表人:张跃伟</w:t>
      </w:r>
    </w:p>
    <w:p w14:paraId="73C18F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联系人:孙娅雯</w:t>
      </w:r>
    </w:p>
    <w:p w14:paraId="63BDCF2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联系电话:021-20691819</w:t>
      </w:r>
    </w:p>
    <w:p w14:paraId="03C1CB5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客户服务电话:400-820-2899</w:t>
      </w:r>
    </w:p>
    <w:p w14:paraId="3CA281D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传真:021-20691861</w:t>
      </w:r>
    </w:p>
    <w:p w14:paraId="415C595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网址:www.erichfund.com</w:t>
      </w:r>
    </w:p>
    <w:p w14:paraId="0EDC53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61)创金启富</w:t>
      </w:r>
    </w:p>
    <w:p w14:paraId="358D2F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注册地址:北京市西城区白纸坊东街2号院6号楼712室</w:t>
      </w:r>
    </w:p>
    <w:p w14:paraId="0468D64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办公地址:北京市西城区白纸坊东街2号院6号楼712室</w:t>
      </w:r>
    </w:p>
    <w:p w14:paraId="44F0603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法定代表人:梁蓉</w:t>
      </w:r>
    </w:p>
    <w:p w14:paraId="54A9023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联系人:魏素清</w:t>
      </w:r>
    </w:p>
    <w:p w14:paraId="72C5D93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联系电话:010-66154828-8047</w:t>
      </w:r>
    </w:p>
    <w:p w14:paraId="2B2AA4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客户服务电话:400-6262-818</w:t>
      </w:r>
    </w:p>
    <w:p w14:paraId="1DE4E38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传真:010-63583991</w:t>
      </w:r>
    </w:p>
    <w:p w14:paraId="70F9E3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网址:www.5irich.com</w:t>
      </w:r>
    </w:p>
    <w:p w14:paraId="3DA9B6D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62)大智慧基金</w:t>
      </w:r>
    </w:p>
    <w:p w14:paraId="32D740E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注册地址:中国（上海）自由贸易试验区杨高南路428号1号楼1102单元</w:t>
      </w:r>
    </w:p>
    <w:p w14:paraId="06E2852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办公地址:中国（上海）自由贸易试验区杨高南路428号1号楼1102单元</w:t>
      </w:r>
    </w:p>
    <w:p w14:paraId="3B1A5CA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法定代表人:申健</w:t>
      </w:r>
    </w:p>
    <w:p w14:paraId="7D61D48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联系人:张蜓</w:t>
      </w:r>
    </w:p>
    <w:p w14:paraId="2D221E2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联系电话:021-20219988-35374</w:t>
      </w:r>
    </w:p>
    <w:p w14:paraId="10EC589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客户服务电话:021-20292031</w:t>
      </w:r>
    </w:p>
    <w:p w14:paraId="560ECA0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传真:021-20219923</w:t>
      </w:r>
    </w:p>
    <w:p w14:paraId="10696B7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网址:https://www.wg.com.cn/</w:t>
      </w:r>
    </w:p>
    <w:p w14:paraId="374BEC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63)蛋卷基金</w:t>
      </w:r>
    </w:p>
    <w:p w14:paraId="76C650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注册地址:北京市朝阳区创远路34号院6号楼15层1501室</w:t>
      </w:r>
    </w:p>
    <w:p w14:paraId="3110D46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办公地址:北京市朝阳区创远路 34 号院融新科技中心 C 座 17 层</w:t>
      </w:r>
    </w:p>
    <w:p w14:paraId="6DB18D6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法定代表人:钟斐斐</w:t>
      </w:r>
    </w:p>
    <w:p w14:paraId="4F8A3F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联系人:侯芳芳</w:t>
      </w:r>
    </w:p>
    <w:p w14:paraId="05C4024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联系电话:010-61840688</w:t>
      </w:r>
    </w:p>
    <w:p w14:paraId="4B973B3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客户服务电话:400-159-9288</w:t>
      </w:r>
    </w:p>
    <w:p w14:paraId="03C6E73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网址:https://danjuanapp.com</w:t>
      </w:r>
    </w:p>
    <w:p w14:paraId="00A14B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64)泛华普益</w:t>
      </w:r>
    </w:p>
    <w:p w14:paraId="46D766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注册地址:四川省成都市成华区建设路9号高地中心1101室</w:t>
      </w:r>
    </w:p>
    <w:p w14:paraId="50899DC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办公地址:成都市金牛区花照壁西顺街399号1栋1单元龙湖西宸天街B座1201号</w:t>
      </w:r>
    </w:p>
    <w:p w14:paraId="4A77F9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法定代表人:于海锋</w:t>
      </w:r>
    </w:p>
    <w:p w14:paraId="77B11AE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联系人:陈丹</w:t>
      </w:r>
    </w:p>
    <w:p w14:paraId="6062530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联系电话:15114053620</w:t>
      </w:r>
    </w:p>
    <w:p w14:paraId="3718337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客户服务电话:400-080-3388</w:t>
      </w:r>
    </w:p>
    <w:p w14:paraId="367A789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网址:www.puyifund.com</w:t>
      </w:r>
    </w:p>
    <w:p w14:paraId="1370894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65)富济基金</w:t>
      </w:r>
    </w:p>
    <w:p w14:paraId="5F4F358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注册地址:深圳市福田区福田街道岗厦社区金田路3088号中洲大厦3203A单元</w:t>
      </w:r>
    </w:p>
    <w:p w14:paraId="7CC5092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办公地址:深圳市福田区福田街道岗厦社区金田路3088号中洲大厦3203A单元</w:t>
      </w:r>
    </w:p>
    <w:p w14:paraId="2DFD153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法定代表人:祝中村</w:t>
      </w:r>
    </w:p>
    <w:p w14:paraId="612345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联系人:曾瑶敏</w:t>
      </w:r>
    </w:p>
    <w:p w14:paraId="212B692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联系电话:0755-83999907</w:t>
      </w:r>
    </w:p>
    <w:p w14:paraId="196CB42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客户服务电话:0755-83999907</w:t>
      </w:r>
    </w:p>
    <w:p w14:paraId="7A476F7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传真:0755-83999926</w:t>
      </w:r>
    </w:p>
    <w:p w14:paraId="218B1BE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网址:www.fujifund.cn</w:t>
      </w:r>
    </w:p>
    <w:p w14:paraId="70B9CB9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66)海银基金</w:t>
      </w:r>
    </w:p>
    <w:p w14:paraId="22C3A6C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注册地址:中国（上海）自由贸易试验区银城中路8号402室</w:t>
      </w:r>
    </w:p>
    <w:p w14:paraId="46E1511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办公地址:上海市浦东新区银城中路8号海银金融中心4楼</w:t>
      </w:r>
    </w:p>
    <w:p w14:paraId="4CF0DF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法定代表人:巩巧丽</w:t>
      </w:r>
    </w:p>
    <w:p w14:paraId="4FC5E23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联系人:李卓楠</w:t>
      </w:r>
    </w:p>
    <w:p w14:paraId="7584E4D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联系电话:021-80134149</w:t>
      </w:r>
    </w:p>
    <w:p w14:paraId="064B420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客户服务电话:400-808-1016</w:t>
      </w:r>
    </w:p>
    <w:p w14:paraId="102FE1A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传真:021-80133413</w:t>
      </w:r>
    </w:p>
    <w:p w14:paraId="17EF98F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网址:www.fundhaiyin.com</w:t>
      </w:r>
    </w:p>
    <w:p w14:paraId="5DCCB79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67)好买基金</w:t>
      </w:r>
    </w:p>
    <w:p w14:paraId="11AAFC1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注册地址:上海市虹口区欧阳路196号26号楼2楼41号</w:t>
      </w:r>
    </w:p>
    <w:p w14:paraId="67968E1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办公地址:上海市浦东南路1118号鄂尔多斯国际大厦903～906室</w:t>
      </w:r>
    </w:p>
    <w:p w14:paraId="15D70DD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法定代表人:杨文斌</w:t>
      </w:r>
    </w:p>
    <w:p w14:paraId="763A84A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联系人:高源</w:t>
      </w:r>
    </w:p>
    <w:p w14:paraId="3E0030E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联系电话:021-36696312</w:t>
      </w:r>
    </w:p>
    <w:p w14:paraId="286091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客户服务电话:400-700-9665</w:t>
      </w:r>
    </w:p>
    <w:p w14:paraId="1BB8642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传真:021-68596919</w:t>
      </w:r>
    </w:p>
    <w:p w14:paraId="0BE63C2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网址:www.ehowbuy.com</w:t>
      </w:r>
    </w:p>
    <w:p w14:paraId="1A9E68C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68)虹点基金</w:t>
      </w:r>
    </w:p>
    <w:p w14:paraId="4A2768F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注册地址:北京市朝阳区东三环北路17号10层1015室</w:t>
      </w:r>
    </w:p>
    <w:p w14:paraId="64F3E76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办公地址:北京市朝阳区东三环北路17号10层1015室</w:t>
      </w:r>
    </w:p>
    <w:p w14:paraId="7C00984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法定代表人:何静</w:t>
      </w:r>
    </w:p>
    <w:p w14:paraId="3DDDE6E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联系人:王重阳</w:t>
      </w:r>
    </w:p>
    <w:p w14:paraId="04F01E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联系电话:010-65951887</w:t>
      </w:r>
    </w:p>
    <w:p w14:paraId="0AC88AB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客户服务电话:400-618-0707</w:t>
      </w:r>
    </w:p>
    <w:p w14:paraId="4A7EF85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网址:www.hongdianfund.com</w:t>
      </w:r>
    </w:p>
    <w:p w14:paraId="0409AAE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69)汇成基金</w:t>
      </w:r>
    </w:p>
    <w:p w14:paraId="01EE011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注册地址:北京市西城区西直门外大街1号院2号楼17层19C13</w:t>
      </w:r>
    </w:p>
    <w:p w14:paraId="22AD7A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办公地址:北京市西城区西直门外大街1号院2号楼19层19C13</w:t>
      </w:r>
    </w:p>
    <w:p w14:paraId="74516AD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法定代表人:王伟刚</w:t>
      </w:r>
    </w:p>
    <w:p w14:paraId="727D2A1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联系人:王骁骁</w:t>
      </w:r>
    </w:p>
    <w:p w14:paraId="46C4F97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联系电话:010-56251471</w:t>
      </w:r>
    </w:p>
    <w:p w14:paraId="0DA42C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客户服务电话:400-619-9059</w:t>
      </w:r>
    </w:p>
    <w:p w14:paraId="6E544F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网址:www.hcfunds.com</w:t>
      </w:r>
    </w:p>
    <w:p w14:paraId="33781ED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70)汇付基金</w:t>
      </w:r>
    </w:p>
    <w:p w14:paraId="22438C3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注册地址:上海市黄浦区黄河路333号201室A区056单元</w:t>
      </w:r>
    </w:p>
    <w:p w14:paraId="14664A8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办公地址:上海市徐汇区宜山路700号普天信息产业园2期C5栋 汇付天下总部大楼</w:t>
      </w:r>
    </w:p>
    <w:p w14:paraId="3347151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法定代表人:金佶</w:t>
      </w:r>
    </w:p>
    <w:p w14:paraId="49019F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联系人:甄宝林</w:t>
      </w:r>
    </w:p>
    <w:p w14:paraId="5E5A54A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联系电话:021-34013996-3011</w:t>
      </w:r>
    </w:p>
    <w:p w14:paraId="4A6E64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客户服务电话:021-34013999</w:t>
      </w:r>
    </w:p>
    <w:p w14:paraId="081580C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传真:021-33323837</w:t>
      </w:r>
    </w:p>
    <w:p w14:paraId="3BF9DAD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网址:www.hotjijin.com</w:t>
      </w:r>
    </w:p>
    <w:p w14:paraId="7B4D125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71)金观诚</w:t>
      </w:r>
    </w:p>
    <w:p w14:paraId="56C5823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注册地址:杭州拱墅区登云路45号金诚集团（锦昌大厦）1幢10楼1001室</w:t>
      </w:r>
    </w:p>
    <w:p w14:paraId="7220BC4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办公地址:杭州拱墅区登云路55号金诚集团（锦昌大厦）</w:t>
      </w:r>
    </w:p>
    <w:p w14:paraId="6CE3391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法定代表人:蒋雪琦</w:t>
      </w:r>
    </w:p>
    <w:p w14:paraId="6412372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联系人:来舒岚</w:t>
      </w:r>
    </w:p>
    <w:p w14:paraId="29DA4FC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联系电话:0571-88337888</w:t>
      </w:r>
    </w:p>
    <w:p w14:paraId="3734184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客户服务电话:4000680058</w:t>
      </w:r>
    </w:p>
    <w:p w14:paraId="64944D7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传真:0571-88337666</w:t>
      </w:r>
    </w:p>
    <w:p w14:paraId="286C706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网址:http://www.jincheng-fund.com/</w:t>
      </w:r>
    </w:p>
    <w:p w14:paraId="6320CC4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72)京东肯特瑞</w:t>
      </w:r>
    </w:p>
    <w:p w14:paraId="7C4A783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注册地址:北京市海淀区西三旗建材城中路12号17号平房157</w:t>
      </w:r>
    </w:p>
    <w:p w14:paraId="4FF3CD4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办公地址:北京市通州区亦庄经济技术开发区科创十一街18号院京东集团总部A座17层</w:t>
      </w:r>
    </w:p>
    <w:p w14:paraId="5717B04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法定代表人:王苏宁</w:t>
      </w:r>
    </w:p>
    <w:p w14:paraId="42D3760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联系人:邢锦超</w:t>
      </w:r>
    </w:p>
    <w:p w14:paraId="4564C92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客户服务电话:95118</w:t>
      </w:r>
    </w:p>
    <w:p w14:paraId="4684F33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网址:kenterui.jd.com</w:t>
      </w:r>
    </w:p>
    <w:p w14:paraId="75738B5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73)久富财富</w:t>
      </w:r>
    </w:p>
    <w:p w14:paraId="6CB4E32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注册地址:上海市浦东新区莱阳路2819号1幢109室</w:t>
      </w:r>
    </w:p>
    <w:p w14:paraId="727ABCC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办公地址:上海市浦东新区民生路1403号上海信息大厦1215室</w:t>
      </w:r>
    </w:p>
    <w:p w14:paraId="69AA3E3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法定代表人:李惠芳</w:t>
      </w:r>
    </w:p>
    <w:p w14:paraId="4321CF4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联系人:李惠芳</w:t>
      </w:r>
    </w:p>
    <w:p w14:paraId="03197D9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客户服务电话:400-102-1813</w:t>
      </w:r>
    </w:p>
    <w:p w14:paraId="03F4809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74)凯石财富</w:t>
      </w:r>
    </w:p>
    <w:p w14:paraId="55F6268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注册地址:上海市黄浦区西藏南路765号602-115室</w:t>
      </w:r>
    </w:p>
    <w:p w14:paraId="5F30FBA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办公地址:上海市黄浦区延安东路1号凯石大厦4楼</w:t>
      </w:r>
    </w:p>
    <w:p w14:paraId="7533E2F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法定代表人:陈继武</w:t>
      </w:r>
    </w:p>
    <w:p w14:paraId="629692F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联系人:冯强</w:t>
      </w:r>
    </w:p>
    <w:p w14:paraId="458FFB6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联系电话:021-63333389</w:t>
      </w:r>
    </w:p>
    <w:p w14:paraId="3FAC355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客户服务电话:4006-433-389</w:t>
      </w:r>
    </w:p>
    <w:p w14:paraId="4C87612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传真:021-63333390</w:t>
      </w:r>
    </w:p>
    <w:p w14:paraId="00A652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网址:www.vstonewealth.com</w:t>
      </w:r>
    </w:p>
    <w:p w14:paraId="07B15FD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75)利得基金</w:t>
      </w:r>
    </w:p>
    <w:p w14:paraId="3AB5C61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注册地址:上海市宝山区蕴川路5475号1033室</w:t>
      </w:r>
    </w:p>
    <w:p w14:paraId="6A7C6A2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办公地址:上海市虹口区东大名路1098号浦江国际金融广场53层</w:t>
      </w:r>
    </w:p>
    <w:p w14:paraId="420158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法定代表人:李兴春</w:t>
      </w:r>
    </w:p>
    <w:p w14:paraId="48BE22A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联系人:陈孜明</w:t>
      </w:r>
    </w:p>
    <w:p w14:paraId="4143C88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联系电话:86-021-50583533</w:t>
      </w:r>
    </w:p>
    <w:p w14:paraId="6071439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客户服务电话:400 032 5885</w:t>
      </w:r>
    </w:p>
    <w:p w14:paraId="743B533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传真:86-21-61101630</w:t>
      </w:r>
    </w:p>
    <w:p w14:paraId="22F56BB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网址:www.leadfund.com.cn</w:t>
      </w:r>
    </w:p>
    <w:p w14:paraId="3C32C8A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76)联泰基金</w:t>
      </w:r>
    </w:p>
    <w:p w14:paraId="0348F28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注册地址:中国（上海）自由贸易试验区富特北路277号3层310室</w:t>
      </w:r>
    </w:p>
    <w:p w14:paraId="208D1DE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办公地址:上海市长宁区福泉北路518号8座3楼</w:t>
      </w:r>
    </w:p>
    <w:p w14:paraId="60C1003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法定代表人:尹彬彬</w:t>
      </w:r>
    </w:p>
    <w:p w14:paraId="6732DC0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联系人:陈东</w:t>
      </w:r>
    </w:p>
    <w:p w14:paraId="2530F24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联系电话:021-52822063</w:t>
      </w:r>
    </w:p>
    <w:p w14:paraId="61CA9A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客户服务电话:400-118-1188</w:t>
      </w:r>
    </w:p>
    <w:p w14:paraId="349245B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传真:021-52975270</w:t>
      </w:r>
    </w:p>
    <w:p w14:paraId="6A8A928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网址:www.66zichan.com</w:t>
      </w:r>
    </w:p>
    <w:p w14:paraId="6124B66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77)陆基金</w:t>
      </w:r>
    </w:p>
    <w:p w14:paraId="5875D04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注册地址:中国（上海）自由贸易试验区陆家嘴环路1333号14楼09单元</w:t>
      </w:r>
    </w:p>
    <w:p w14:paraId="3AC4053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办公地址:中国（上海）自由贸易试验区陆家嘴环路1333号14楼09单元</w:t>
      </w:r>
    </w:p>
    <w:p w14:paraId="0D09E00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法定代表人:王之光</w:t>
      </w:r>
    </w:p>
    <w:p w14:paraId="4EE3875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联系人:宁博宇</w:t>
      </w:r>
    </w:p>
    <w:p w14:paraId="09CAF90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联系电话:021-20665952</w:t>
      </w:r>
    </w:p>
    <w:p w14:paraId="4AC164A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客户服务电话:4008219031</w:t>
      </w:r>
    </w:p>
    <w:p w14:paraId="783E467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传真:021-22066653</w:t>
      </w:r>
    </w:p>
    <w:p w14:paraId="0821EBC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网址:www.lufunds.com</w:t>
      </w:r>
    </w:p>
    <w:p w14:paraId="185EA26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78)蚂蚁基金</w:t>
      </w:r>
    </w:p>
    <w:p w14:paraId="01885DD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注册地址:浙江省杭州市余杭区五常街道文一西路969号3幢5层599室</w:t>
      </w:r>
    </w:p>
    <w:p w14:paraId="678421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办公地址:浙江省杭州市西湖区万塘路18号黄龙时代广场B座6F</w:t>
      </w:r>
    </w:p>
    <w:p w14:paraId="530307C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法定代表人:祖国明</w:t>
      </w:r>
    </w:p>
    <w:p w14:paraId="364F01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联系人:韩爱彬</w:t>
      </w:r>
    </w:p>
    <w:p w14:paraId="0FE8A87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联系电话:0571-26888888</w:t>
      </w:r>
    </w:p>
    <w:p w14:paraId="6B94AFE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客户服务电话:4000-766-123</w:t>
      </w:r>
    </w:p>
    <w:p w14:paraId="422D31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网址:http://www.fund123.cn/</w:t>
      </w:r>
    </w:p>
    <w:p w14:paraId="5AD942F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79)诺亚正行</w:t>
      </w:r>
    </w:p>
    <w:p w14:paraId="5BEB303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注册地址:上海市虹口区飞虹路360弄9号3724室</w:t>
      </w:r>
    </w:p>
    <w:p w14:paraId="68A554B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办公地址:上海市杨浦区长阳路1687号长阳谷2号楼</w:t>
      </w:r>
    </w:p>
    <w:p w14:paraId="29AFED2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法定代表人:汪静波</w:t>
      </w:r>
    </w:p>
    <w:p w14:paraId="5D2A215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联系人:李娟</w:t>
      </w:r>
    </w:p>
    <w:p w14:paraId="344D486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联系电话:021-80358523</w:t>
      </w:r>
    </w:p>
    <w:p w14:paraId="13DFED7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客户服务电话:400-821-5399</w:t>
      </w:r>
    </w:p>
    <w:p w14:paraId="10A6AC3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传真:021-38509777</w:t>
      </w:r>
    </w:p>
    <w:p w14:paraId="652A026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网址:www.noah-fund.com</w:t>
      </w:r>
    </w:p>
    <w:p w14:paraId="17AB721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80)浦领基金</w:t>
      </w:r>
    </w:p>
    <w:p w14:paraId="27442D6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注册地址:北京市朝阳区望京东园四区2号楼10层1001号04室</w:t>
      </w:r>
    </w:p>
    <w:p w14:paraId="7D8D99F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办公地址:北京市朝阳区望京浦项中心A座9层04-08</w:t>
      </w:r>
    </w:p>
    <w:p w14:paraId="3C5937C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法定代表人:聂婉君</w:t>
      </w:r>
    </w:p>
    <w:p w14:paraId="45BDC86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联系人:李艳</w:t>
      </w:r>
    </w:p>
    <w:p w14:paraId="1CBDDB9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联系电话:010-59497361</w:t>
      </w:r>
    </w:p>
    <w:p w14:paraId="3A9E88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客户服务电话:400-012-5899</w:t>
      </w:r>
    </w:p>
    <w:p w14:paraId="6ED5294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传真:010-64788016</w:t>
      </w:r>
    </w:p>
    <w:p w14:paraId="029DF74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网址:www.zscffund.com</w:t>
      </w:r>
    </w:p>
    <w:p w14:paraId="0124B20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81)尚善基金</w:t>
      </w:r>
    </w:p>
    <w:p w14:paraId="77CE1F0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注册地址:浦东新区上丰路977号1幢B座812室</w:t>
      </w:r>
    </w:p>
    <w:p w14:paraId="3988CBF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办公地址:上海市浦东新区碧波路690号4幢201-2A室</w:t>
      </w:r>
    </w:p>
    <w:p w14:paraId="5004AE2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法定代表人:孙晓慧</w:t>
      </w:r>
    </w:p>
    <w:p w14:paraId="5E99BA3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联系人:陆纪青</w:t>
      </w:r>
    </w:p>
    <w:p w14:paraId="4A8A156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联系电话:021-80234888-6813</w:t>
      </w:r>
    </w:p>
    <w:p w14:paraId="2E64754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客户服务电话:400-699-1888</w:t>
      </w:r>
    </w:p>
    <w:p w14:paraId="5EF2E7B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网址:www.998fund.com</w:t>
      </w:r>
    </w:p>
    <w:p w14:paraId="27B17FE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82)天天基金</w:t>
      </w:r>
    </w:p>
    <w:p w14:paraId="5F83870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注册地址:上海市徐汇区龙田路190号2号楼2层</w:t>
      </w:r>
    </w:p>
    <w:p w14:paraId="53DFB2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办公地址:上海市徐汇区宛平南路88号东方财富大厦</w:t>
      </w:r>
    </w:p>
    <w:p w14:paraId="47BF1B8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法定代表人:其实</w:t>
      </w:r>
    </w:p>
    <w:p w14:paraId="0990E73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联系人:屠彦洋</w:t>
      </w:r>
    </w:p>
    <w:p w14:paraId="1702C72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联系电话:021-54509977</w:t>
      </w:r>
    </w:p>
    <w:p w14:paraId="609FEAE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客户服务电话:95021</w:t>
      </w:r>
    </w:p>
    <w:p w14:paraId="72038CC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传真:021-64385308</w:t>
      </w:r>
    </w:p>
    <w:p w14:paraId="0D3CF84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网址:www.1234567.com.cn</w:t>
      </w:r>
    </w:p>
    <w:p w14:paraId="770E706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83)通华财富</w:t>
      </w:r>
    </w:p>
    <w:p w14:paraId="7FFBBFE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注册地址:上海市虹口区同丰路667弄107号201室</w:t>
      </w:r>
    </w:p>
    <w:p w14:paraId="77FD73F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办公地址:上海市浦东新区金沪路55号通华科技大厦2楼</w:t>
      </w:r>
    </w:p>
    <w:p w14:paraId="515647A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法定代表人:沈丹义</w:t>
      </w:r>
    </w:p>
    <w:p w14:paraId="7607E72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联系人:杨涛、庄洁茹</w:t>
      </w:r>
    </w:p>
    <w:p w14:paraId="283B84F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联系电话:021-60810586</w:t>
      </w:r>
    </w:p>
    <w:p w14:paraId="0E68711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客户服务电话:400-101-9301</w:t>
      </w:r>
    </w:p>
    <w:p w14:paraId="57C6464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传真:021-60810695</w:t>
      </w:r>
    </w:p>
    <w:p w14:paraId="6C831F5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网址:www.tonghuafund.com</w:t>
      </w:r>
    </w:p>
    <w:p w14:paraId="7D55DE4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84)同花顺</w:t>
      </w:r>
    </w:p>
    <w:p w14:paraId="623D91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注册地址:浙江省杭州市文二西路1号903室</w:t>
      </w:r>
    </w:p>
    <w:p w14:paraId="6F0891B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办公地址:杭州市余杭区五常街道同顺街18号同花顺大楼4层</w:t>
      </w:r>
    </w:p>
    <w:p w14:paraId="36CC386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法定代表人:吴强</w:t>
      </w:r>
    </w:p>
    <w:p w14:paraId="539DD17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联系人:吴强</w:t>
      </w:r>
    </w:p>
    <w:p w14:paraId="6879A5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联系电话:0571-88911818</w:t>
      </w:r>
    </w:p>
    <w:p w14:paraId="1DD23FC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客户服务电话:952555</w:t>
      </w:r>
    </w:p>
    <w:p w14:paraId="25E5E91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传真:0571-86800423</w:t>
      </w:r>
    </w:p>
    <w:p w14:paraId="002D21B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网址:www.5ifund.com</w:t>
      </w:r>
    </w:p>
    <w:p w14:paraId="5E72CF4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85)万家财富</w:t>
      </w:r>
    </w:p>
    <w:p w14:paraId="7585DAC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注册地址:天津自贸区（中心商务区）迎宾大道1988号滨海浙商大厦公寓2-2413室</w:t>
      </w:r>
    </w:p>
    <w:p w14:paraId="2B27480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办公地址:北京市西城区丰盛胡同28号太平洋保险大厦A座5层</w:t>
      </w:r>
    </w:p>
    <w:p w14:paraId="1D02394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法定代表人:戴晓云</w:t>
      </w:r>
    </w:p>
    <w:p w14:paraId="795C871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联系人:王芳芳</w:t>
      </w:r>
    </w:p>
    <w:p w14:paraId="6DB6D0C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联系电话:010-59013828</w:t>
      </w:r>
    </w:p>
    <w:p w14:paraId="197412E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客户服务电话:010-59013895</w:t>
      </w:r>
    </w:p>
    <w:p w14:paraId="1506BD3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网址:http://www.wanjiawealth.com/</w:t>
      </w:r>
    </w:p>
    <w:p w14:paraId="3E963D9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86)一路财富</w:t>
      </w:r>
    </w:p>
    <w:p w14:paraId="24C512A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注册地址:北京市海淀区宝盛南路1号院20号楼9层101-14</w:t>
      </w:r>
    </w:p>
    <w:p w14:paraId="3768AFB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办公地址:北京市海淀区宝盛南路奥北科技园20号楼国泰大厦9层</w:t>
      </w:r>
    </w:p>
    <w:p w14:paraId="4629B14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法定代表人:吴雪秀</w:t>
      </w:r>
    </w:p>
    <w:p w14:paraId="4883F58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联系人:董宣</w:t>
      </w:r>
    </w:p>
    <w:p w14:paraId="096ED6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联系电话:010-88312877</w:t>
      </w:r>
    </w:p>
    <w:p w14:paraId="7C2D3D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客户服务电话:400-001-1566</w:t>
      </w:r>
    </w:p>
    <w:p w14:paraId="6EAD799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传真:010-88312099</w:t>
      </w:r>
    </w:p>
    <w:p w14:paraId="101ECDF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网址:www.yilucaifu.com</w:t>
      </w:r>
    </w:p>
    <w:p w14:paraId="08CFEEB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87)宜信普泽</w:t>
      </w:r>
    </w:p>
    <w:p w14:paraId="2C05E3F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注册地址:北京市朝阳区光华路7号楼20层20A1、20A2单元</w:t>
      </w:r>
    </w:p>
    <w:p w14:paraId="7907030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办公地址:北京市朝阳区光华路7号楼20层20A1、20A2单元</w:t>
      </w:r>
    </w:p>
    <w:p w14:paraId="1D0CC36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法定代表人:才殿阳</w:t>
      </w:r>
    </w:p>
    <w:p w14:paraId="0DB1B49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联系人:魏晨</w:t>
      </w:r>
    </w:p>
    <w:p w14:paraId="756AD5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联系电话:13260309352</w:t>
      </w:r>
    </w:p>
    <w:p w14:paraId="1E909A3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客户服务电话:400-6099-200</w:t>
      </w:r>
    </w:p>
    <w:p w14:paraId="2C78BE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传真:010-59644044</w:t>
      </w:r>
    </w:p>
    <w:p w14:paraId="2F2ED11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网址:www.yixinfund.com</w:t>
      </w:r>
    </w:p>
    <w:p w14:paraId="32172E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88)盈米基金</w:t>
      </w:r>
    </w:p>
    <w:p w14:paraId="3E6950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注册地址:珠海市横琴新区宝华路6号105室-3491（集中办公区）</w:t>
      </w:r>
    </w:p>
    <w:p w14:paraId="694A7BE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办公地址:广州市海珠区琶洲大道东路1号保利国际广场南塔1201-1203室</w:t>
      </w:r>
    </w:p>
    <w:p w14:paraId="6981588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法定代表人:肖雯</w:t>
      </w:r>
    </w:p>
    <w:p w14:paraId="222E825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联系人:邱湘湘</w:t>
      </w:r>
    </w:p>
    <w:p w14:paraId="6D4C40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联系电话:020-89629099</w:t>
      </w:r>
    </w:p>
    <w:p w14:paraId="216618E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客户服务电话:020-89629066</w:t>
      </w:r>
    </w:p>
    <w:p w14:paraId="64D54A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传真:020-89629011</w:t>
      </w:r>
    </w:p>
    <w:p w14:paraId="6585C3A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网址:www.yingmi.cn</w:t>
      </w:r>
    </w:p>
    <w:p w14:paraId="57B0116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89)云湾基金</w:t>
      </w:r>
    </w:p>
    <w:p w14:paraId="18992CB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注册地址:中国（上海）自由贸易试验区新金桥路27号、明月路1257号1幢1层103-1、103-2办公区</w:t>
      </w:r>
    </w:p>
    <w:p w14:paraId="4754F8B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办公地址:上海市浦东新区新金桥路27号1号楼</w:t>
      </w:r>
    </w:p>
    <w:p w14:paraId="21D7547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法定代表人:冯轶明</w:t>
      </w:r>
    </w:p>
    <w:p w14:paraId="5CCFF8A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联系人:范泽杰</w:t>
      </w:r>
    </w:p>
    <w:p w14:paraId="3181F01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联系电话:021-20530186</w:t>
      </w:r>
    </w:p>
    <w:p w14:paraId="60E44D4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客户服务电话:400-820-1515</w:t>
      </w:r>
    </w:p>
    <w:p w14:paraId="3175ECC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传真:021-20539999</w:t>
      </w:r>
    </w:p>
    <w:p w14:paraId="140A0A9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网址:http://www.zhengtongfunds.com/</w:t>
      </w:r>
    </w:p>
    <w:p w14:paraId="604499A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90)展恒基金</w:t>
      </w:r>
    </w:p>
    <w:p w14:paraId="42C72C8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注册地址:北京市朝阳区安苑路11号西楼6层604、607</w:t>
      </w:r>
    </w:p>
    <w:p w14:paraId="6E040BD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办公地址:北京市朝阳区北四环中路27号盘古大观3205</w:t>
      </w:r>
    </w:p>
    <w:p w14:paraId="2C47E87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法定代表人:闫振杰</w:t>
      </w:r>
    </w:p>
    <w:p w14:paraId="5DACF1B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联系人:武文佳</w:t>
      </w:r>
    </w:p>
    <w:p w14:paraId="4EC2024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联系电话:010-59601399</w:t>
      </w:r>
    </w:p>
    <w:p w14:paraId="03DF116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客户服务电话:400-818-8000</w:t>
      </w:r>
    </w:p>
    <w:p w14:paraId="1FAA5BB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传真:0351-4110714</w:t>
      </w:r>
    </w:p>
    <w:p w14:paraId="658CDB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网址:www.myfund.com</w:t>
      </w:r>
    </w:p>
    <w:p w14:paraId="67C74F0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91)中欧财富</w:t>
      </w:r>
    </w:p>
    <w:p w14:paraId="642EAE4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注册地址:中国（上海）自由贸易试验区陆家嘴环路333号502室</w:t>
      </w:r>
    </w:p>
    <w:p w14:paraId="6DDFEC1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办公地址:上海市虹口区公平路18号8栋嘉昱大厦6层</w:t>
      </w:r>
    </w:p>
    <w:p w14:paraId="427157E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法定代表人:许欣</w:t>
      </w:r>
    </w:p>
    <w:p w14:paraId="1146AE5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联系人:黎静</w:t>
      </w:r>
    </w:p>
    <w:p w14:paraId="5F99E1A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联系电话:021-68609600</w:t>
      </w:r>
    </w:p>
    <w:p w14:paraId="2D73363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客户服务电话:400-700-9700</w:t>
      </w:r>
    </w:p>
    <w:p w14:paraId="37F38E5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网址:www.qiangungun.com</w:t>
      </w:r>
    </w:p>
    <w:p w14:paraId="15A82F1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92)众禄基金</w:t>
      </w:r>
    </w:p>
    <w:p w14:paraId="70245C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注册地址:深圳市罗湖区笋岗街道笋西社区梨园路8号HALO广场一期四层12-13室</w:t>
      </w:r>
    </w:p>
    <w:p w14:paraId="3DF8BDD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办公地址:深圳市罗湖区笋岗街道笋西社区梨园路8号HALO广场一期四层12-13室</w:t>
      </w:r>
    </w:p>
    <w:p w14:paraId="0A97E1C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法定代表人:薛峰</w:t>
      </w:r>
    </w:p>
    <w:p w14:paraId="7FBCA49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联系人:龚江江</w:t>
      </w:r>
    </w:p>
    <w:p w14:paraId="0303424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联系电话:0755-33227950</w:t>
      </w:r>
    </w:p>
    <w:p w14:paraId="2F113B7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客户服务电话:4006-788-887</w:t>
      </w:r>
    </w:p>
    <w:p w14:paraId="4321F54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传真:0755-33227951</w:t>
      </w:r>
    </w:p>
    <w:p w14:paraId="08CBA17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网址:www.zlfund.cn    www.jjmmw.com</w:t>
      </w:r>
    </w:p>
    <w:p w14:paraId="06FE826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93)奕丰金融</w:t>
      </w:r>
    </w:p>
    <w:p w14:paraId="6CDCEB3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注册地址:深圳市前海深港合作区前湾一路1号A栋201室（入驻深圳市前海商务秘书有限公司）</w:t>
      </w:r>
    </w:p>
    <w:p w14:paraId="7238F30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办公地址:深圳市南山区海德三道航天科技广场A座17楼1704室</w:t>
      </w:r>
    </w:p>
    <w:p w14:paraId="0DD1119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法定代表人:TEO WEE HOWE</w:t>
      </w:r>
    </w:p>
    <w:p w14:paraId="289D90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联系人:叶健</w:t>
      </w:r>
    </w:p>
    <w:p w14:paraId="3FBA57A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联系电话:0755-89460507</w:t>
      </w:r>
    </w:p>
    <w:p w14:paraId="6AC1620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客户服务电话:400-684-0500</w:t>
      </w:r>
    </w:p>
    <w:p w14:paraId="17DAA7D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传真:0755-21674453</w:t>
      </w:r>
    </w:p>
    <w:p w14:paraId="3A66DD1F"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网址:www.ifastps.com.cn</w:t>
      </w:r>
    </w:p>
    <w:p w14:paraId="173DB03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94)晟视天下</w:t>
      </w:r>
    </w:p>
    <w:p w14:paraId="349D686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注册地址:北京市怀柔区九渡河镇黄坎村735号03室</w:t>
      </w:r>
    </w:p>
    <w:p w14:paraId="15B9E82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办公地址:北京市朝阳区朝外大街甲六号万通中心D座21层</w:t>
      </w:r>
    </w:p>
    <w:p w14:paraId="180C836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法定代表人:蒋煜</w:t>
      </w:r>
    </w:p>
    <w:p w14:paraId="331AC33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联系人:史俊杰</w:t>
      </w:r>
    </w:p>
    <w:p w14:paraId="24BFED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联系电话:010-58170936</w:t>
      </w:r>
    </w:p>
    <w:p w14:paraId="7217418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客户服务电话:010-58170761</w:t>
      </w:r>
    </w:p>
    <w:p w14:paraId="0139231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传真:010-58170800</w:t>
      </w:r>
    </w:p>
    <w:p w14:paraId="0803335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网址:www.shengshiview.com</w:t>
      </w:r>
    </w:p>
    <w:p w14:paraId="7DD58D9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95)深圳新兰德</w:t>
      </w:r>
    </w:p>
    <w:p w14:paraId="04A597F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注册地址:深圳市福田区福田街道民田路178号华融大厦27层2704</w:t>
      </w:r>
    </w:p>
    <w:p w14:paraId="5FC2855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办公地址:北京市西城区宣武门外大街28号富卓大厦A座16层</w:t>
      </w:r>
    </w:p>
    <w:p w14:paraId="44831CF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法定代表人:洪弘</w:t>
      </w:r>
    </w:p>
    <w:p w14:paraId="74FA59C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联系人:文雯</w:t>
      </w:r>
    </w:p>
    <w:p w14:paraId="4353671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联系电话:010-83363101</w:t>
      </w:r>
    </w:p>
    <w:p w14:paraId="71A7770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客户服务电话:400-166-1188</w:t>
      </w:r>
    </w:p>
    <w:p w14:paraId="408D7FC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传真:010-83363010</w:t>
      </w:r>
    </w:p>
    <w:p w14:paraId="0F6B3562"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网址:http://8.jrj.com.cn</w:t>
      </w:r>
    </w:p>
    <w:p w14:paraId="1EEBA66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96)中证金牛</w:t>
      </w:r>
    </w:p>
    <w:p w14:paraId="515B80E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注册地址:北京市丰台区东管头1号2号楼2-45室</w:t>
      </w:r>
    </w:p>
    <w:p w14:paraId="3E6DF73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办公地址:北京市西城区宣武门外大街甲1号环球财讯中心A座5层</w:t>
      </w:r>
    </w:p>
    <w:p w14:paraId="1BB0C647"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法定代表人:钱昊旻</w:t>
      </w:r>
    </w:p>
    <w:p w14:paraId="67B3637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联系人:沈晨</w:t>
      </w:r>
    </w:p>
    <w:p w14:paraId="67FBA59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联系电话:010-59336544</w:t>
      </w:r>
    </w:p>
    <w:p w14:paraId="3C0D92F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客户服务电话:4008-909-998</w:t>
      </w:r>
    </w:p>
    <w:p w14:paraId="6FCCBFA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网址:www.jnlc.com</w:t>
      </w:r>
    </w:p>
    <w:p w14:paraId="1CE1A8B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97)鑫鼎盛</w:t>
      </w:r>
    </w:p>
    <w:p w14:paraId="18131555"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注册地址:厦门市思明区鹭江道2号厦门第一广场西座1501-1502室</w:t>
      </w:r>
    </w:p>
    <w:p w14:paraId="2F2619F9"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办公地址:厦门市思明区鹭江道2号厦门第一广场西座1501-1502室</w:t>
      </w:r>
    </w:p>
    <w:p w14:paraId="63BF32DB"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法定代表人:陈洪生</w:t>
      </w:r>
    </w:p>
    <w:p w14:paraId="390EEDC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联系人:梁云波</w:t>
      </w:r>
    </w:p>
    <w:p w14:paraId="0CC3B1B3"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联系电话:0592-3122757</w:t>
      </w:r>
    </w:p>
    <w:p w14:paraId="4A84D66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客户服务电话:400-6533-789</w:t>
      </w:r>
    </w:p>
    <w:p w14:paraId="6522E87D"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网址:www.xds.com.cn</w:t>
      </w:r>
    </w:p>
    <w:p w14:paraId="073DFBE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98)弘业期货</w:t>
      </w:r>
    </w:p>
    <w:p w14:paraId="6FF55D0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注册地址:江苏省南京市秦淮区中华路50号</w:t>
      </w:r>
    </w:p>
    <w:p w14:paraId="32FEB168"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办公地址:江苏省南京市秦淮区中华路50号弘业大厦9楼</w:t>
      </w:r>
    </w:p>
    <w:p w14:paraId="6FE8B0EE"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法定代表人:周剑秋</w:t>
      </w:r>
    </w:p>
    <w:p w14:paraId="4CD8859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联系人:张苏怡</w:t>
      </w:r>
    </w:p>
    <w:p w14:paraId="298A81E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联系电话:025-52278981</w:t>
      </w:r>
    </w:p>
    <w:p w14:paraId="41A702D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客户服务电话:400-828-1288</w:t>
      </w:r>
    </w:p>
    <w:p w14:paraId="3F23DBB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网址:www.ftol.com.cn</w:t>
      </w:r>
    </w:p>
    <w:p w14:paraId="5DB13334"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99)中信建投期货</w:t>
      </w:r>
    </w:p>
    <w:p w14:paraId="72063A6A"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注册地址:重庆市渝中区中山三路107号上站大楼平街11-B，名义层11-A，8-B4，9-B、C</w:t>
      </w:r>
    </w:p>
    <w:p w14:paraId="73FBDD41"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办公地址:重庆市渝中区中山三路107号皇冠大厦11楼</w:t>
      </w:r>
    </w:p>
    <w:p w14:paraId="2064046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法定代表人:王广学</w:t>
      </w:r>
    </w:p>
    <w:p w14:paraId="380A55D0"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联系人:刘芸</w:t>
      </w:r>
    </w:p>
    <w:p w14:paraId="7F8AD75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联系电话:023-86769637</w:t>
      </w:r>
    </w:p>
    <w:p w14:paraId="0C740916"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客户服务电话:400-8877-780</w:t>
      </w:r>
    </w:p>
    <w:p w14:paraId="5A8D5ACC" w14:textId="77777777" w:rsidR="00765103" w:rsidRPr="0047638B" w:rsidRDefault="00765103" w:rsidP="0076510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传真:023-86769629</w:t>
      </w:r>
    </w:p>
    <w:p w14:paraId="05CB2A84" w14:textId="77777777" w:rsidR="00765103" w:rsidRPr="0047638B" w:rsidRDefault="00765103"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网址:www.cfc108.com</w:t>
      </w:r>
    </w:p>
    <w:p w14:paraId="118167A3" w14:textId="77777777" w:rsidR="00E002CD" w:rsidRPr="0047638B" w:rsidRDefault="00E002CD"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（二）基金登记结算机构</w:t>
      </w:r>
    </w:p>
    <w:p w14:paraId="6D8E066F" w14:textId="3C6FCD2E" w:rsidR="0060742A" w:rsidRPr="0047638B" w:rsidRDefault="0060742A" w:rsidP="0060742A">
      <w:pPr>
        <w:spacing w:line="360" w:lineRule="auto"/>
        <w:ind w:firstLine="482"/>
        <w:rPr>
          <w:rFonts w:asciiTheme="minorEastAsia" w:eastAsiaTheme="minorEastAsia" w:hAnsiTheme="minorEastAsia"/>
          <w:szCs w:val="21"/>
        </w:rPr>
      </w:pPr>
      <w:r w:rsidRPr="0047638B">
        <w:rPr>
          <w:rFonts w:asciiTheme="minorEastAsia" w:eastAsiaTheme="minorEastAsia" w:hAnsiTheme="minorEastAsia" w:hint="eastAsia"/>
          <w:szCs w:val="21"/>
        </w:rPr>
        <w:t>1、A类基金份额</w:t>
      </w:r>
    </w:p>
    <w:p w14:paraId="2C719BA7"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名称：</w:t>
      </w:r>
      <w:r w:rsidR="00D142A8" w:rsidRPr="0047638B">
        <w:rPr>
          <w:rFonts w:asciiTheme="minorEastAsia" w:eastAsiaTheme="minorEastAsia" w:hAnsiTheme="minorEastAsia"/>
          <w:szCs w:val="24"/>
        </w:rPr>
        <w:t>中国证券登记结算有限责任公司</w:t>
      </w:r>
    </w:p>
    <w:p w14:paraId="1D6D1B6E"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注册地址：</w:t>
      </w:r>
      <w:r w:rsidR="00D142A8" w:rsidRPr="0047638B">
        <w:rPr>
          <w:rFonts w:asciiTheme="minorEastAsia" w:eastAsiaTheme="minorEastAsia" w:hAnsiTheme="minorEastAsia"/>
          <w:szCs w:val="24"/>
        </w:rPr>
        <w:t>北京市西城区太平桥大街17号</w:t>
      </w:r>
    </w:p>
    <w:p w14:paraId="7DC2028E"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办公地址：</w:t>
      </w:r>
      <w:r w:rsidR="00D142A8" w:rsidRPr="0047638B">
        <w:rPr>
          <w:rFonts w:asciiTheme="minorEastAsia" w:eastAsiaTheme="minorEastAsia" w:hAnsiTheme="minorEastAsia"/>
          <w:szCs w:val="24"/>
        </w:rPr>
        <w:t>北京市西城区太平桥大街17号</w:t>
      </w:r>
    </w:p>
    <w:p w14:paraId="16E8F940" w14:textId="049C2B8E"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法定代表人：</w:t>
      </w:r>
      <w:r w:rsidR="00286A14" w:rsidRPr="0047638B">
        <w:rPr>
          <w:rFonts w:asciiTheme="minorEastAsia" w:eastAsiaTheme="minorEastAsia" w:hAnsiTheme="minorEastAsia" w:hint="eastAsia"/>
        </w:rPr>
        <w:t>于文强</w:t>
      </w:r>
    </w:p>
    <w:p w14:paraId="02AEC2E0" w14:textId="77777777" w:rsidR="00351CD1" w:rsidRPr="0047638B" w:rsidRDefault="00C933C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电话：</w:t>
      </w:r>
      <w:r w:rsidR="00D142A8" w:rsidRPr="0047638B">
        <w:rPr>
          <w:rFonts w:asciiTheme="minorEastAsia" w:eastAsiaTheme="minorEastAsia" w:hAnsiTheme="minorEastAsia"/>
          <w:szCs w:val="24"/>
        </w:rPr>
        <w:t>4008058058</w:t>
      </w:r>
    </w:p>
    <w:p w14:paraId="0576CED0" w14:textId="77777777" w:rsidR="00351CD1" w:rsidRPr="0047638B" w:rsidRDefault="00C933C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传真：</w:t>
      </w:r>
      <w:r w:rsidR="00D142A8" w:rsidRPr="0047638B">
        <w:rPr>
          <w:rFonts w:asciiTheme="minorEastAsia" w:eastAsiaTheme="minorEastAsia" w:hAnsiTheme="minorEastAsia"/>
          <w:szCs w:val="24"/>
        </w:rPr>
        <w:t>(010)50938907</w:t>
      </w:r>
    </w:p>
    <w:p w14:paraId="39E8C753" w14:textId="77777777" w:rsidR="00E002CD" w:rsidRPr="0047638B" w:rsidRDefault="00C933C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w:t>
      </w:r>
      <w:r w:rsidR="00D142A8" w:rsidRPr="0047638B">
        <w:rPr>
          <w:rFonts w:asciiTheme="minorEastAsia" w:eastAsiaTheme="minorEastAsia" w:hAnsiTheme="minorEastAsia"/>
          <w:szCs w:val="24"/>
        </w:rPr>
        <w:t>赵亦清</w:t>
      </w:r>
    </w:p>
    <w:p w14:paraId="529CF0EB" w14:textId="45480C8E" w:rsidR="0060742A" w:rsidRPr="0047638B" w:rsidRDefault="0060742A" w:rsidP="0060742A">
      <w:pPr>
        <w:spacing w:line="360" w:lineRule="auto"/>
        <w:ind w:firstLine="482"/>
        <w:rPr>
          <w:rFonts w:asciiTheme="minorEastAsia" w:eastAsiaTheme="minorEastAsia" w:hAnsiTheme="minorEastAsia"/>
          <w:szCs w:val="21"/>
        </w:rPr>
      </w:pPr>
      <w:r w:rsidRPr="0047638B">
        <w:rPr>
          <w:rFonts w:asciiTheme="minorEastAsia" w:eastAsiaTheme="minorEastAsia" w:hAnsiTheme="minorEastAsia" w:hint="eastAsia"/>
          <w:szCs w:val="21"/>
        </w:rPr>
        <w:t>2、C类基金份额</w:t>
      </w:r>
    </w:p>
    <w:p w14:paraId="69D34F5F" w14:textId="77777777" w:rsidR="0060742A" w:rsidRPr="0047638B" w:rsidRDefault="0060742A" w:rsidP="0060742A">
      <w:pPr>
        <w:spacing w:line="360" w:lineRule="auto"/>
        <w:ind w:firstLineChars="200" w:firstLine="420"/>
        <w:rPr>
          <w:rStyle w:val="da"/>
          <w:rFonts w:asciiTheme="minorEastAsia" w:eastAsiaTheme="minorEastAsia" w:hAnsiTheme="minorEastAsia"/>
          <w:szCs w:val="24"/>
        </w:rPr>
      </w:pPr>
      <w:r w:rsidRPr="0047638B">
        <w:rPr>
          <w:rStyle w:val="da"/>
          <w:rFonts w:asciiTheme="minorEastAsia" w:eastAsiaTheme="minorEastAsia" w:hAnsiTheme="minorEastAsia" w:hint="eastAsia"/>
        </w:rPr>
        <w:t>名称：易方达基金管理有限公司</w:t>
      </w:r>
    </w:p>
    <w:p w14:paraId="6A98CDD8" w14:textId="77777777" w:rsidR="0060742A" w:rsidRPr="0047638B" w:rsidRDefault="0060742A" w:rsidP="0060742A">
      <w:pPr>
        <w:spacing w:line="360" w:lineRule="auto"/>
        <w:ind w:firstLineChars="200" w:firstLine="420"/>
        <w:rPr>
          <w:rStyle w:val="da"/>
          <w:rFonts w:asciiTheme="minorEastAsia" w:eastAsiaTheme="minorEastAsia" w:hAnsiTheme="minorEastAsia"/>
        </w:rPr>
      </w:pPr>
      <w:r w:rsidRPr="0047638B">
        <w:rPr>
          <w:rStyle w:val="da"/>
          <w:rFonts w:asciiTheme="minorEastAsia" w:eastAsiaTheme="minorEastAsia" w:hAnsiTheme="minorEastAsia" w:hint="eastAsia"/>
        </w:rPr>
        <w:t>注册地址：广东省珠海市横琴新区宝华路6号105室－42891（集中办公区）</w:t>
      </w:r>
    </w:p>
    <w:p w14:paraId="031DCB9D" w14:textId="77777777" w:rsidR="0060742A" w:rsidRPr="0047638B" w:rsidRDefault="0060742A" w:rsidP="0060742A">
      <w:pPr>
        <w:spacing w:line="360" w:lineRule="auto"/>
        <w:ind w:firstLineChars="200" w:firstLine="420"/>
        <w:rPr>
          <w:rStyle w:val="da"/>
          <w:rFonts w:asciiTheme="minorEastAsia" w:eastAsiaTheme="minorEastAsia" w:hAnsiTheme="minorEastAsia"/>
        </w:rPr>
      </w:pPr>
      <w:r w:rsidRPr="0047638B">
        <w:rPr>
          <w:rStyle w:val="da"/>
          <w:rFonts w:asciiTheme="minorEastAsia" w:eastAsiaTheme="minorEastAsia" w:hAnsiTheme="minorEastAsia" w:hint="eastAsia"/>
        </w:rPr>
        <w:t>办公地址：</w:t>
      </w:r>
      <w:r w:rsidRPr="0047638B">
        <w:rPr>
          <w:rFonts w:asciiTheme="minorEastAsia" w:eastAsiaTheme="minorEastAsia" w:hAnsiTheme="minorEastAsia" w:hint="eastAsia"/>
        </w:rPr>
        <w:t>广州市天河区珠江新城珠江东路30号广州银行大厦40-43楼</w:t>
      </w:r>
    </w:p>
    <w:p w14:paraId="2918E7FB" w14:textId="77777777" w:rsidR="0060742A" w:rsidRPr="0047638B" w:rsidRDefault="0060742A" w:rsidP="0060742A">
      <w:pPr>
        <w:spacing w:line="360" w:lineRule="auto"/>
        <w:ind w:firstLineChars="200" w:firstLine="420"/>
        <w:rPr>
          <w:rStyle w:val="da"/>
          <w:rFonts w:asciiTheme="minorEastAsia" w:eastAsiaTheme="minorEastAsia" w:hAnsiTheme="minorEastAsia"/>
        </w:rPr>
      </w:pPr>
      <w:r w:rsidRPr="0047638B">
        <w:rPr>
          <w:rStyle w:val="da"/>
          <w:rFonts w:asciiTheme="minorEastAsia" w:eastAsiaTheme="minorEastAsia" w:hAnsiTheme="minorEastAsia" w:hint="eastAsia"/>
        </w:rPr>
        <w:t>法定代表人：刘晓艳</w:t>
      </w:r>
    </w:p>
    <w:p w14:paraId="3B884687" w14:textId="77777777" w:rsidR="0060742A" w:rsidRPr="0047638B" w:rsidRDefault="0060742A" w:rsidP="0060742A">
      <w:pPr>
        <w:spacing w:line="360" w:lineRule="auto"/>
        <w:ind w:firstLineChars="200" w:firstLine="420"/>
        <w:rPr>
          <w:rStyle w:val="da"/>
          <w:rFonts w:asciiTheme="minorEastAsia" w:eastAsiaTheme="minorEastAsia" w:hAnsiTheme="minorEastAsia"/>
        </w:rPr>
      </w:pPr>
      <w:r w:rsidRPr="0047638B">
        <w:rPr>
          <w:rStyle w:val="da"/>
          <w:rFonts w:asciiTheme="minorEastAsia" w:eastAsiaTheme="minorEastAsia" w:hAnsiTheme="minorEastAsia" w:hint="eastAsia"/>
        </w:rPr>
        <w:t>电话：4008818088</w:t>
      </w:r>
    </w:p>
    <w:p w14:paraId="76067850" w14:textId="77777777" w:rsidR="0060742A" w:rsidRPr="0047638B" w:rsidRDefault="0060742A" w:rsidP="0060742A">
      <w:pPr>
        <w:spacing w:line="360" w:lineRule="auto"/>
        <w:ind w:firstLineChars="200" w:firstLine="420"/>
        <w:rPr>
          <w:rStyle w:val="da"/>
          <w:rFonts w:asciiTheme="minorEastAsia" w:eastAsiaTheme="minorEastAsia" w:hAnsiTheme="minorEastAsia"/>
        </w:rPr>
      </w:pPr>
      <w:r w:rsidRPr="0047638B">
        <w:rPr>
          <w:rStyle w:val="da"/>
          <w:rFonts w:asciiTheme="minorEastAsia" w:eastAsiaTheme="minorEastAsia" w:hAnsiTheme="minorEastAsia" w:hint="eastAsia"/>
        </w:rPr>
        <w:t>传真：020-38799249</w:t>
      </w:r>
    </w:p>
    <w:p w14:paraId="71429C01" w14:textId="77777777" w:rsidR="0060742A" w:rsidRPr="0047638B" w:rsidRDefault="0060742A" w:rsidP="0060742A">
      <w:pPr>
        <w:spacing w:line="360" w:lineRule="auto"/>
        <w:ind w:firstLineChars="200" w:firstLine="420"/>
        <w:rPr>
          <w:rStyle w:val="da"/>
          <w:rFonts w:asciiTheme="minorEastAsia" w:eastAsiaTheme="minorEastAsia" w:hAnsiTheme="minorEastAsia"/>
        </w:rPr>
      </w:pPr>
      <w:r w:rsidRPr="0047638B">
        <w:rPr>
          <w:rStyle w:val="da"/>
          <w:rFonts w:asciiTheme="minorEastAsia" w:eastAsiaTheme="minorEastAsia" w:hAnsiTheme="minorEastAsia" w:hint="eastAsia"/>
        </w:rPr>
        <w:t>联系人：余贤高</w:t>
      </w:r>
    </w:p>
    <w:p w14:paraId="323389BE" w14:textId="77777777" w:rsidR="00E002CD" w:rsidRPr="0047638B" w:rsidRDefault="00E002CD"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（三）出具法律意见书的律师事务所</w:t>
      </w:r>
    </w:p>
    <w:p w14:paraId="7E381D54" w14:textId="77777777" w:rsidR="0034094F" w:rsidRPr="0047638B" w:rsidRDefault="0034094F" w:rsidP="0034094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律师事务所：广东金桥百信律师事务所</w:t>
      </w:r>
    </w:p>
    <w:p w14:paraId="49CA2184" w14:textId="77777777" w:rsidR="0034094F" w:rsidRPr="0047638B" w:rsidRDefault="0034094F" w:rsidP="0034094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地址：广州市珠江新城珠江东路16号高德置地冬广场G座24楼</w:t>
      </w:r>
    </w:p>
    <w:p w14:paraId="6A74A47C" w14:textId="77777777" w:rsidR="0034094F" w:rsidRPr="0047638B" w:rsidRDefault="0034094F" w:rsidP="0034094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负责人：聂卫国</w:t>
      </w:r>
    </w:p>
    <w:p w14:paraId="17D71998" w14:textId="77777777" w:rsidR="0034094F" w:rsidRPr="0047638B" w:rsidRDefault="0034094F" w:rsidP="0034094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电话：020-83338668</w:t>
      </w:r>
    </w:p>
    <w:p w14:paraId="31FD88F4" w14:textId="77777777" w:rsidR="0034094F" w:rsidRPr="0047638B" w:rsidRDefault="0034094F" w:rsidP="0034094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传真：020-83338088</w:t>
      </w:r>
    </w:p>
    <w:p w14:paraId="667BBCF9" w14:textId="617F2425" w:rsidR="0034094F" w:rsidRPr="0047638B" w:rsidRDefault="0034094F" w:rsidP="0034094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经办律师：石向阳、</w:t>
      </w:r>
      <w:r w:rsidR="00EA4F75" w:rsidRPr="0047638B">
        <w:rPr>
          <w:rFonts w:asciiTheme="minorEastAsia" w:eastAsiaTheme="minorEastAsia" w:hAnsiTheme="minorEastAsia" w:hint="eastAsia"/>
          <w:szCs w:val="24"/>
        </w:rPr>
        <w:t>徐桐桐</w:t>
      </w:r>
    </w:p>
    <w:p w14:paraId="41F98991" w14:textId="6CBD5D14" w:rsidR="00E002CD" w:rsidRPr="0047638B" w:rsidRDefault="003409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联系人：石向阳</w:t>
      </w:r>
    </w:p>
    <w:p w14:paraId="1D1F4BCE" w14:textId="77777777" w:rsidR="00E002CD" w:rsidRPr="0047638B" w:rsidRDefault="00E002CD"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（四）审计基金财产的会计师事务所</w:t>
      </w:r>
    </w:p>
    <w:p w14:paraId="54ABE64A"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本基金的法定验资机构</w:t>
      </w:r>
      <w:r w:rsidR="00745AF0" w:rsidRPr="0047638B">
        <w:rPr>
          <w:rFonts w:asciiTheme="minorEastAsia" w:eastAsiaTheme="minorEastAsia" w:hAnsiTheme="minorEastAsia" w:hint="eastAsia"/>
          <w:szCs w:val="24"/>
        </w:rPr>
        <w:t>为</w:t>
      </w:r>
      <w:r w:rsidR="00745AF0" w:rsidRPr="0047638B">
        <w:rPr>
          <w:rFonts w:asciiTheme="minorEastAsia" w:eastAsiaTheme="minorEastAsia" w:hAnsiTheme="minorEastAsia"/>
          <w:szCs w:val="24"/>
        </w:rPr>
        <w:t>安永华明会计师事务所（特殊普通合伙）</w:t>
      </w:r>
    </w:p>
    <w:p w14:paraId="61AE9785"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会计师事务所：</w:t>
      </w:r>
      <w:r w:rsidR="00D142A8" w:rsidRPr="0047638B">
        <w:rPr>
          <w:rFonts w:asciiTheme="minorEastAsia" w:eastAsiaTheme="minorEastAsia" w:hAnsiTheme="minorEastAsia"/>
          <w:szCs w:val="24"/>
        </w:rPr>
        <w:t>安永华明会计师事务所（特殊普通合伙）</w:t>
      </w:r>
    </w:p>
    <w:p w14:paraId="01F7C613"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主要经营场所：</w:t>
      </w:r>
      <w:r w:rsidR="00D142A8" w:rsidRPr="0047638B">
        <w:rPr>
          <w:rFonts w:asciiTheme="minorEastAsia" w:eastAsiaTheme="minorEastAsia" w:hAnsiTheme="minorEastAsia"/>
          <w:szCs w:val="24"/>
        </w:rPr>
        <w:t>北京市东城区东长安街1号东方广场安永大楼17层01-12室</w:t>
      </w:r>
    </w:p>
    <w:p w14:paraId="19768AF1" w14:textId="77FDDCE6"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执行事务合伙人：</w:t>
      </w:r>
      <w:r w:rsidR="00D142A8" w:rsidRPr="0047638B">
        <w:rPr>
          <w:rFonts w:asciiTheme="minorEastAsia" w:eastAsiaTheme="minorEastAsia" w:hAnsiTheme="minorEastAsia"/>
          <w:szCs w:val="24"/>
        </w:rPr>
        <w:t>NgAlbertKongPing吴港平</w:t>
      </w:r>
    </w:p>
    <w:p w14:paraId="73BCF054"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电话：</w:t>
      </w:r>
      <w:r w:rsidR="00D142A8" w:rsidRPr="0047638B">
        <w:rPr>
          <w:rFonts w:asciiTheme="minorEastAsia" w:eastAsiaTheme="minorEastAsia" w:hAnsiTheme="minorEastAsia"/>
          <w:szCs w:val="24"/>
        </w:rPr>
        <w:t>010-58153000</w:t>
      </w:r>
    </w:p>
    <w:p w14:paraId="325CC0E0" w14:textId="77777777"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传真：</w:t>
      </w:r>
      <w:r w:rsidR="00D142A8" w:rsidRPr="0047638B">
        <w:rPr>
          <w:rFonts w:asciiTheme="minorEastAsia" w:eastAsiaTheme="minorEastAsia" w:hAnsiTheme="minorEastAsia"/>
          <w:szCs w:val="24"/>
        </w:rPr>
        <w:t>010-85188298</w:t>
      </w:r>
    </w:p>
    <w:p w14:paraId="2B601CAE" w14:textId="611057FE"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经办注册会计师：</w:t>
      </w:r>
      <w:r w:rsidR="00D142A8" w:rsidRPr="0047638B">
        <w:rPr>
          <w:rFonts w:asciiTheme="minorEastAsia" w:eastAsiaTheme="minorEastAsia" w:hAnsiTheme="minorEastAsia"/>
          <w:szCs w:val="24"/>
        </w:rPr>
        <w:t>昌华、熊姝英</w:t>
      </w:r>
    </w:p>
    <w:p w14:paraId="213907BE" w14:textId="4B0C8F9A" w:rsidR="00E002CD" w:rsidRPr="0047638B" w:rsidRDefault="00E002C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w:t>
      </w:r>
      <w:r w:rsidR="00D142A8" w:rsidRPr="0047638B">
        <w:rPr>
          <w:rFonts w:asciiTheme="minorEastAsia" w:eastAsiaTheme="minorEastAsia" w:hAnsiTheme="minorEastAsia"/>
          <w:szCs w:val="24"/>
        </w:rPr>
        <w:t>许建辉</w:t>
      </w:r>
    </w:p>
    <w:p w14:paraId="23EAD745" w14:textId="77777777" w:rsidR="003E5660" w:rsidRPr="0047638B" w:rsidRDefault="003E566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本基金的年度财务报表及其他规定事项的审计机构</w:t>
      </w:r>
      <w:r w:rsidR="00FC3CFB" w:rsidRPr="0047638B">
        <w:rPr>
          <w:rFonts w:asciiTheme="minorEastAsia" w:eastAsiaTheme="minorEastAsia" w:hAnsiTheme="minorEastAsia"/>
          <w:szCs w:val="24"/>
        </w:rPr>
        <w:t>为普华永道中天会计师事务所(特殊普通合伙)</w:t>
      </w:r>
    </w:p>
    <w:p w14:paraId="03514457" w14:textId="77777777"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会计师事务所：</w:t>
      </w:r>
      <w:r w:rsidR="00D142A8" w:rsidRPr="0047638B">
        <w:rPr>
          <w:rFonts w:asciiTheme="minorEastAsia" w:eastAsiaTheme="minorEastAsia" w:hAnsiTheme="minorEastAsia"/>
          <w:szCs w:val="24"/>
        </w:rPr>
        <w:t>普华永道中天会计师事务所(特殊普通合伙)</w:t>
      </w:r>
    </w:p>
    <w:p w14:paraId="5FB78203" w14:textId="77777777"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住所：</w:t>
      </w:r>
      <w:r w:rsidR="00D142A8" w:rsidRPr="0047638B">
        <w:rPr>
          <w:rFonts w:asciiTheme="minorEastAsia" w:eastAsiaTheme="minorEastAsia" w:hAnsiTheme="minorEastAsia"/>
          <w:szCs w:val="24"/>
        </w:rPr>
        <w:t>上海市湖滨路202号普华永道中心11楼</w:t>
      </w:r>
    </w:p>
    <w:p w14:paraId="1E03A714" w14:textId="77777777"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办公地址：</w:t>
      </w:r>
      <w:r w:rsidR="00D142A8" w:rsidRPr="0047638B">
        <w:rPr>
          <w:rFonts w:asciiTheme="minorEastAsia" w:eastAsiaTheme="minorEastAsia" w:hAnsiTheme="minorEastAsia"/>
          <w:szCs w:val="24"/>
        </w:rPr>
        <w:t>上海市湖滨路202号普华永道中心11楼</w:t>
      </w:r>
    </w:p>
    <w:p w14:paraId="0D2D69A9" w14:textId="77777777"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首席合伙人：</w:t>
      </w:r>
      <w:r w:rsidR="00D142A8" w:rsidRPr="0047638B">
        <w:rPr>
          <w:rFonts w:asciiTheme="minorEastAsia" w:eastAsiaTheme="minorEastAsia" w:hAnsiTheme="minorEastAsia"/>
          <w:szCs w:val="24"/>
        </w:rPr>
        <w:t>李丹</w:t>
      </w:r>
    </w:p>
    <w:p w14:paraId="223B1F22" w14:textId="77777777"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电话：</w:t>
      </w:r>
      <w:r w:rsidR="00D142A8" w:rsidRPr="0047638B">
        <w:rPr>
          <w:rFonts w:asciiTheme="minorEastAsia" w:eastAsiaTheme="minorEastAsia" w:hAnsiTheme="minorEastAsia"/>
          <w:szCs w:val="24"/>
        </w:rPr>
        <w:t>（021）23238888</w:t>
      </w:r>
    </w:p>
    <w:p w14:paraId="512631AB" w14:textId="77777777"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传真：</w:t>
      </w:r>
      <w:r w:rsidR="00D142A8" w:rsidRPr="0047638B">
        <w:rPr>
          <w:rFonts w:asciiTheme="minorEastAsia" w:eastAsiaTheme="minorEastAsia" w:hAnsiTheme="minorEastAsia"/>
          <w:szCs w:val="24"/>
        </w:rPr>
        <w:t>（021）23238800</w:t>
      </w:r>
    </w:p>
    <w:p w14:paraId="414C508D" w14:textId="37A8BAAF" w:rsidR="00013F4F"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经办注册会计师：</w:t>
      </w:r>
      <w:r w:rsidR="002C6B3B" w:rsidRPr="0047638B">
        <w:rPr>
          <w:rFonts w:asciiTheme="minorEastAsia" w:eastAsiaTheme="minorEastAsia" w:hAnsiTheme="minorEastAsia"/>
          <w:szCs w:val="24"/>
        </w:rPr>
        <w:t>陈熹、</w:t>
      </w:r>
      <w:r w:rsidR="00302393" w:rsidRPr="0047638B">
        <w:rPr>
          <w:rFonts w:asciiTheme="minorEastAsia" w:eastAsiaTheme="minorEastAsia" w:hAnsiTheme="minorEastAsia" w:hint="eastAsia"/>
          <w:szCs w:val="24"/>
        </w:rPr>
        <w:t>陈轶杰</w:t>
      </w:r>
    </w:p>
    <w:p w14:paraId="27BB0C7D" w14:textId="31A825D6" w:rsidR="002F757C" w:rsidRPr="0047638B" w:rsidRDefault="00013F4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联系人：</w:t>
      </w:r>
      <w:r w:rsidR="00D142A8" w:rsidRPr="0047638B">
        <w:rPr>
          <w:rFonts w:asciiTheme="minorEastAsia" w:eastAsiaTheme="minorEastAsia" w:hAnsiTheme="minorEastAsia"/>
          <w:szCs w:val="24"/>
        </w:rPr>
        <w:t>周祎</w:t>
      </w:r>
    </w:p>
    <w:p w14:paraId="5D552544" w14:textId="79FF7E61" w:rsidR="002F757C" w:rsidRPr="0047638B" w:rsidRDefault="002F757C" w:rsidP="00626F76">
      <w:pPr>
        <w:widowControl/>
        <w:jc w:val="left"/>
        <w:rPr>
          <w:rFonts w:asciiTheme="minorEastAsia" w:eastAsiaTheme="minorEastAsia" w:hAnsiTheme="minorEastAsia"/>
          <w:szCs w:val="24"/>
        </w:rPr>
      </w:pPr>
      <w:r w:rsidRPr="0047638B">
        <w:rPr>
          <w:rFonts w:asciiTheme="minorEastAsia" w:eastAsiaTheme="minorEastAsia" w:hAnsiTheme="minorEastAsia"/>
          <w:szCs w:val="24"/>
        </w:rPr>
        <w:br w:type="page"/>
      </w:r>
    </w:p>
    <w:p w14:paraId="26838E0D" w14:textId="77777777" w:rsidR="002F757C" w:rsidRPr="0047638B" w:rsidRDefault="002F757C" w:rsidP="002F757C">
      <w:pPr>
        <w:pStyle w:val="11"/>
        <w:pageBreakBefore w:val="0"/>
        <w:snapToGrid w:val="0"/>
        <w:spacing w:beforeLines="0" w:afterLines="0" w:line="360" w:lineRule="auto"/>
        <w:ind w:firstLine="600"/>
        <w:rPr>
          <w:rFonts w:asciiTheme="minorEastAsia" w:eastAsiaTheme="minorEastAsia" w:hAnsiTheme="minorEastAsia"/>
          <w:b w:val="0"/>
          <w:bCs/>
          <w:sz w:val="30"/>
        </w:rPr>
      </w:pPr>
      <w:bookmarkStart w:id="3573" w:name="_Toc45115058"/>
      <w:bookmarkStart w:id="3574" w:name="_Toc77779993"/>
      <w:r w:rsidRPr="0047638B">
        <w:rPr>
          <w:rFonts w:asciiTheme="minorEastAsia" w:eastAsiaTheme="minorEastAsia" w:hAnsiTheme="minorEastAsia" w:hint="eastAsia"/>
          <w:b w:val="0"/>
          <w:sz w:val="30"/>
        </w:rPr>
        <w:lastRenderedPageBreak/>
        <w:t>六、基金份额的分类</w:t>
      </w:r>
      <w:bookmarkEnd w:id="3573"/>
      <w:bookmarkEnd w:id="3574"/>
    </w:p>
    <w:p w14:paraId="1FED553A" w14:textId="77777777" w:rsidR="002F757C" w:rsidRPr="0047638B" w:rsidRDefault="002F757C" w:rsidP="002F757C">
      <w:pPr>
        <w:tabs>
          <w:tab w:val="left" w:pos="420"/>
        </w:tabs>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一、基金份额类别</w:t>
      </w:r>
    </w:p>
    <w:p w14:paraId="6EEB5700" w14:textId="77777777" w:rsidR="002F757C" w:rsidRPr="0047638B" w:rsidRDefault="002F757C" w:rsidP="002F757C">
      <w:pPr>
        <w:tabs>
          <w:tab w:val="left" w:pos="420"/>
        </w:tabs>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本基金将基金份额分为不同的类别。在投资人申购基金时收取申购费用，并不再从本类别基金资产中计提销售服务费的基金份额，称为A类基金份额；从本类基金资产中计提销售服务费，并不收取申购费用的基金份额，称为C类基金份额。</w:t>
      </w:r>
    </w:p>
    <w:p w14:paraId="55759F66" w14:textId="77777777" w:rsidR="002F757C" w:rsidRPr="0047638B" w:rsidRDefault="002F757C" w:rsidP="002F757C">
      <w:pPr>
        <w:tabs>
          <w:tab w:val="left" w:pos="420"/>
        </w:tabs>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每类基金份额的具体规定详见下表：</w:t>
      </w:r>
    </w:p>
    <w:tbl>
      <w:tblPr>
        <w:tblpPr w:leftFromText="180" w:rightFromText="180" w:vertAnchor="text" w:horzAnchor="margin" w:tblpXSpec="center" w:tblpY="1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260"/>
      </w:tblGrid>
      <w:tr w:rsidR="0047638B" w:rsidRPr="0047638B" w14:paraId="0DC55D05"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1C70E466"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份额类别</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F6D673"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bCs/>
                <w:kern w:val="0"/>
                <w:szCs w:val="21"/>
              </w:rPr>
              <w:t>A</w:t>
            </w:r>
            <w:r w:rsidRPr="0047638B">
              <w:rPr>
                <w:rFonts w:asciiTheme="minorEastAsia" w:eastAsiaTheme="minorEastAsia" w:hAnsiTheme="minorEastAsia" w:hint="eastAsia"/>
                <w:bCs/>
                <w:kern w:val="0"/>
                <w:szCs w:val="21"/>
              </w:rPr>
              <w:t>类基金份额</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8DD8DC" w14:textId="77777777" w:rsidR="002F757C" w:rsidRPr="0047638B" w:rsidRDefault="002F757C" w:rsidP="002F757C">
            <w:pPr>
              <w:autoSpaceDE w:val="0"/>
              <w:autoSpaceDN w:val="0"/>
              <w:adjustRightInd w:val="0"/>
              <w:snapToGrid w:val="0"/>
              <w:jc w:val="center"/>
              <w:rPr>
                <w:rFonts w:asciiTheme="minorEastAsia" w:eastAsiaTheme="minorEastAsia" w:hAnsiTheme="minorEastAsia"/>
                <w:bCs/>
                <w:kern w:val="0"/>
                <w:szCs w:val="21"/>
              </w:rPr>
            </w:pPr>
            <w:r w:rsidRPr="0047638B">
              <w:rPr>
                <w:rFonts w:asciiTheme="minorEastAsia" w:eastAsiaTheme="minorEastAsia" w:hAnsiTheme="minorEastAsia"/>
                <w:bCs/>
                <w:kern w:val="0"/>
                <w:szCs w:val="21"/>
              </w:rPr>
              <w:t>C</w:t>
            </w:r>
            <w:r w:rsidRPr="0047638B">
              <w:rPr>
                <w:rFonts w:asciiTheme="minorEastAsia" w:eastAsiaTheme="minorEastAsia" w:hAnsiTheme="minorEastAsia" w:hint="eastAsia"/>
                <w:bCs/>
                <w:kern w:val="0"/>
                <w:szCs w:val="21"/>
              </w:rPr>
              <w:t>类基金份额</w:t>
            </w:r>
          </w:p>
        </w:tc>
      </w:tr>
      <w:tr w:rsidR="0047638B" w:rsidRPr="0047638B" w14:paraId="486B31BB"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678E4E46"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申购费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5DBBE1"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收取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BFD8884"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不收取</w:t>
            </w:r>
          </w:p>
        </w:tc>
      </w:tr>
      <w:tr w:rsidR="0047638B" w:rsidRPr="0047638B" w14:paraId="4468621A"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535F9D7D"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首次申购最低金额</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2993FD"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元（直销中心为</w:t>
            </w:r>
            <w:r w:rsidRPr="0047638B">
              <w:rPr>
                <w:rFonts w:asciiTheme="minorEastAsia" w:eastAsiaTheme="minorEastAsia" w:hAnsiTheme="minorEastAsia"/>
                <w:kern w:val="0"/>
                <w:szCs w:val="21"/>
              </w:rPr>
              <w:t>50,000</w:t>
            </w:r>
            <w:r w:rsidRPr="0047638B">
              <w:rPr>
                <w:rFonts w:asciiTheme="minorEastAsia" w:eastAsiaTheme="minorEastAsia" w:hAnsiTheme="minorEastAsia" w:hint="eastAsia"/>
                <w:kern w:val="0"/>
                <w:szCs w:val="21"/>
              </w:rPr>
              <w:t>元）</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1F00A3"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元（直销中心为</w:t>
            </w:r>
            <w:r w:rsidRPr="0047638B">
              <w:rPr>
                <w:rFonts w:asciiTheme="minorEastAsia" w:eastAsiaTheme="minorEastAsia" w:hAnsiTheme="minorEastAsia"/>
                <w:kern w:val="0"/>
                <w:szCs w:val="21"/>
              </w:rPr>
              <w:t>50,000</w:t>
            </w:r>
            <w:r w:rsidRPr="0047638B">
              <w:rPr>
                <w:rFonts w:asciiTheme="minorEastAsia" w:eastAsiaTheme="minorEastAsia" w:hAnsiTheme="minorEastAsia" w:hint="eastAsia"/>
                <w:kern w:val="0"/>
                <w:szCs w:val="21"/>
              </w:rPr>
              <w:t>元）</w:t>
            </w:r>
          </w:p>
        </w:tc>
      </w:tr>
      <w:tr w:rsidR="0047638B" w:rsidRPr="0047638B" w14:paraId="7FA26713"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73886711"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追加申购最低金额</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E6FF65"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元（直销中心为</w:t>
            </w:r>
            <w:r w:rsidRPr="0047638B">
              <w:rPr>
                <w:rFonts w:asciiTheme="minorEastAsia" w:eastAsiaTheme="minorEastAsia" w:hAnsiTheme="minorEastAsia"/>
                <w:kern w:val="0"/>
                <w:szCs w:val="21"/>
              </w:rPr>
              <w:t>1000</w:t>
            </w:r>
            <w:r w:rsidRPr="0047638B">
              <w:rPr>
                <w:rFonts w:asciiTheme="minorEastAsia" w:eastAsiaTheme="minorEastAsia" w:hAnsiTheme="minorEastAsia" w:hint="eastAsia"/>
                <w:kern w:val="0"/>
                <w:szCs w:val="21"/>
              </w:rPr>
              <w:t>元）</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E0A83A"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元（直销中心为</w:t>
            </w:r>
            <w:r w:rsidRPr="0047638B">
              <w:rPr>
                <w:rFonts w:asciiTheme="minorEastAsia" w:eastAsiaTheme="minorEastAsia" w:hAnsiTheme="minorEastAsia"/>
                <w:kern w:val="0"/>
                <w:szCs w:val="21"/>
              </w:rPr>
              <w:t>1000</w:t>
            </w:r>
            <w:r w:rsidRPr="0047638B">
              <w:rPr>
                <w:rFonts w:asciiTheme="minorEastAsia" w:eastAsiaTheme="minorEastAsia" w:hAnsiTheme="minorEastAsia" w:hint="eastAsia"/>
                <w:kern w:val="0"/>
                <w:szCs w:val="21"/>
              </w:rPr>
              <w:t>元）</w:t>
            </w:r>
          </w:p>
        </w:tc>
      </w:tr>
      <w:tr w:rsidR="0047638B" w:rsidRPr="0047638B" w14:paraId="7FAED37D"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145931FA"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单笔赎回最低份额</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DF07C8"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33A53D4"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份</w:t>
            </w:r>
          </w:p>
        </w:tc>
      </w:tr>
      <w:tr w:rsidR="0047638B" w:rsidRPr="0047638B" w14:paraId="16DAF086"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70F45CB1"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hint="eastAsia"/>
                <w:kern w:val="0"/>
                <w:szCs w:val="21"/>
              </w:rPr>
              <w:t>基金交易账户最低基金份额余额</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94DCEC"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EEC35DC" w14:textId="77777777" w:rsidR="002F757C" w:rsidRPr="0047638B" w:rsidRDefault="002F757C" w:rsidP="002F757C">
            <w:pPr>
              <w:autoSpaceDE w:val="0"/>
              <w:autoSpaceDN w:val="0"/>
              <w:adjustRightInd w:val="0"/>
              <w:snapToGrid w:val="0"/>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w:t>
            </w:r>
            <w:r w:rsidRPr="0047638B">
              <w:rPr>
                <w:rFonts w:asciiTheme="minorEastAsia" w:eastAsiaTheme="minorEastAsia" w:hAnsiTheme="minorEastAsia" w:hint="eastAsia"/>
                <w:kern w:val="0"/>
                <w:szCs w:val="21"/>
              </w:rPr>
              <w:t>份</w:t>
            </w:r>
          </w:p>
        </w:tc>
      </w:tr>
      <w:tr w:rsidR="0047638B" w:rsidRPr="0047638B" w14:paraId="1A7A9D58" w14:textId="77777777" w:rsidTr="002F757C">
        <w:trPr>
          <w:trHeight w:hRule="exact" w:val="454"/>
        </w:trPr>
        <w:tc>
          <w:tcPr>
            <w:tcW w:w="3227" w:type="dxa"/>
            <w:tcBorders>
              <w:top w:val="single" w:sz="4" w:space="0" w:color="auto"/>
              <w:left w:val="single" w:sz="4" w:space="0" w:color="auto"/>
              <w:bottom w:val="single" w:sz="4" w:space="0" w:color="auto"/>
              <w:right w:val="single" w:sz="4" w:space="0" w:color="auto"/>
            </w:tcBorders>
            <w:vAlign w:val="center"/>
            <w:hideMark/>
          </w:tcPr>
          <w:p w14:paraId="6849EF9D" w14:textId="77777777" w:rsidR="002F757C" w:rsidRPr="0047638B" w:rsidRDefault="002F757C" w:rsidP="002F757C">
            <w:pPr>
              <w:autoSpaceDE w:val="0"/>
              <w:autoSpaceDN w:val="0"/>
              <w:adjustRightInd w:val="0"/>
              <w:snapToGrid w:val="0"/>
              <w:jc w:val="center"/>
              <w:rPr>
                <w:rFonts w:asciiTheme="minorEastAsia" w:eastAsiaTheme="minorEastAsia" w:hAnsiTheme="minorEastAsia"/>
                <w:bCs/>
                <w:szCs w:val="20"/>
              </w:rPr>
            </w:pPr>
            <w:r w:rsidRPr="0047638B">
              <w:rPr>
                <w:rFonts w:asciiTheme="minorEastAsia" w:eastAsiaTheme="minorEastAsia" w:hAnsiTheme="minorEastAsia" w:hint="eastAsia"/>
                <w:bCs/>
                <w:szCs w:val="20"/>
              </w:rPr>
              <w:t>销售服务费（年费率）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7A36F1" w14:textId="77777777" w:rsidR="002F757C" w:rsidRPr="0047638B" w:rsidRDefault="002F757C" w:rsidP="002F757C">
            <w:pPr>
              <w:autoSpaceDE w:val="0"/>
              <w:autoSpaceDN w:val="0"/>
              <w:adjustRightInd w:val="0"/>
              <w:snapToGrid w:val="0"/>
              <w:jc w:val="center"/>
              <w:rPr>
                <w:rFonts w:asciiTheme="minorEastAsia" w:eastAsiaTheme="minorEastAsia" w:hAnsiTheme="minorEastAsia"/>
                <w:bCs/>
                <w:szCs w:val="20"/>
              </w:rPr>
            </w:pPr>
            <w:r w:rsidRPr="0047638B">
              <w:rPr>
                <w:rFonts w:asciiTheme="minorEastAsia" w:eastAsiaTheme="minorEastAsia" w:hAnsiTheme="minorEastAsia" w:hint="eastAsia"/>
                <w:bCs/>
                <w:szCs w:val="20"/>
              </w:rPr>
              <w:t>无</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9AC4BF" w14:textId="72805FB6" w:rsidR="002F757C" w:rsidRPr="0047638B" w:rsidRDefault="002F757C" w:rsidP="00D425DC">
            <w:pPr>
              <w:autoSpaceDE w:val="0"/>
              <w:autoSpaceDN w:val="0"/>
              <w:adjustRightInd w:val="0"/>
              <w:snapToGrid w:val="0"/>
              <w:jc w:val="center"/>
              <w:rPr>
                <w:rFonts w:asciiTheme="minorEastAsia" w:eastAsiaTheme="minorEastAsia" w:hAnsiTheme="minorEastAsia"/>
                <w:bCs/>
                <w:szCs w:val="20"/>
              </w:rPr>
            </w:pPr>
            <w:r w:rsidRPr="0047638B">
              <w:rPr>
                <w:rFonts w:asciiTheme="minorEastAsia" w:eastAsiaTheme="minorEastAsia" w:hAnsiTheme="minorEastAsia"/>
                <w:bCs/>
                <w:szCs w:val="20"/>
              </w:rPr>
              <w:t>0.</w:t>
            </w:r>
            <w:r w:rsidR="00BA0194" w:rsidRPr="0047638B">
              <w:rPr>
                <w:rFonts w:asciiTheme="minorEastAsia" w:eastAsiaTheme="minorEastAsia" w:hAnsiTheme="minorEastAsia"/>
                <w:bCs/>
                <w:szCs w:val="20"/>
              </w:rPr>
              <w:t>4</w:t>
            </w:r>
            <w:r w:rsidRPr="0047638B">
              <w:rPr>
                <w:rFonts w:asciiTheme="minorEastAsia" w:eastAsiaTheme="minorEastAsia" w:hAnsiTheme="minorEastAsia"/>
                <w:bCs/>
                <w:szCs w:val="20"/>
              </w:rPr>
              <w:t>%</w:t>
            </w:r>
          </w:p>
        </w:tc>
      </w:tr>
    </w:tbl>
    <w:p w14:paraId="6CF2F728" w14:textId="77777777" w:rsidR="002F757C" w:rsidRPr="0047638B" w:rsidRDefault="002F757C" w:rsidP="002F757C">
      <w:pPr>
        <w:tabs>
          <w:tab w:val="left" w:pos="420"/>
        </w:tabs>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注：本基金不同份额类别的最低申购限额、交易级差、适用费率及销售渠道等有所差异，并可能不时发生调整，敬请投资者予以关注。</w:t>
      </w:r>
    </w:p>
    <w:p w14:paraId="4000B098" w14:textId="77777777" w:rsidR="002F757C" w:rsidRPr="0047638B" w:rsidRDefault="002F757C" w:rsidP="002F757C">
      <w:pPr>
        <w:tabs>
          <w:tab w:val="left" w:pos="420"/>
        </w:tabs>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本基金两类基金份额分别设置代码，分别公布基金份额净值和基金份额累计净值。</w:t>
      </w:r>
    </w:p>
    <w:p w14:paraId="758382D2" w14:textId="77777777" w:rsidR="002F757C" w:rsidRPr="0047638B" w:rsidRDefault="002F757C" w:rsidP="002F757C">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二、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1E9ABF43" w14:textId="77777777" w:rsidR="00013F4F" w:rsidRPr="0047638B" w:rsidRDefault="00013F4F" w:rsidP="009E3E6E">
      <w:pPr>
        <w:spacing w:line="360" w:lineRule="auto"/>
        <w:ind w:firstLineChars="200" w:firstLine="420"/>
        <w:rPr>
          <w:rFonts w:asciiTheme="minorEastAsia" w:eastAsiaTheme="minorEastAsia" w:hAnsiTheme="minorEastAsia"/>
          <w:szCs w:val="24"/>
        </w:rPr>
      </w:pPr>
    </w:p>
    <w:p w14:paraId="4DDAD407" w14:textId="204F1EDA" w:rsidR="00E13C79" w:rsidRPr="0047638B" w:rsidRDefault="002F757C" w:rsidP="00E95A80">
      <w:pPr>
        <w:pStyle w:val="11"/>
        <w:snapToGrid w:val="0"/>
        <w:spacing w:beforeLines="0" w:afterLines="0" w:line="360" w:lineRule="auto"/>
        <w:ind w:firstLine="600"/>
        <w:rPr>
          <w:rFonts w:asciiTheme="minorEastAsia" w:eastAsiaTheme="minorEastAsia" w:hAnsiTheme="minorEastAsia"/>
        </w:rPr>
      </w:pPr>
      <w:bookmarkStart w:id="3575" w:name="_Toc77779994"/>
      <w:r w:rsidRPr="0047638B">
        <w:rPr>
          <w:rFonts w:asciiTheme="minorEastAsia" w:eastAsiaTheme="minorEastAsia" w:hAnsiTheme="minorEastAsia"/>
          <w:b w:val="0"/>
          <w:sz w:val="30"/>
        </w:rPr>
        <w:lastRenderedPageBreak/>
        <w:t>七</w:t>
      </w:r>
      <w:r w:rsidR="009D5497" w:rsidRPr="0047638B">
        <w:rPr>
          <w:rFonts w:asciiTheme="minorEastAsia" w:eastAsiaTheme="minorEastAsia" w:hAnsiTheme="minorEastAsia"/>
          <w:b w:val="0"/>
          <w:sz w:val="30"/>
        </w:rPr>
        <w:t>、</w:t>
      </w:r>
      <w:r w:rsidR="00103DFC" w:rsidRPr="0047638B">
        <w:rPr>
          <w:rFonts w:asciiTheme="minorEastAsia" w:eastAsiaTheme="minorEastAsia" w:hAnsiTheme="minorEastAsia" w:hint="eastAsia"/>
        </w:rPr>
        <w:t>基金的历史沿革</w:t>
      </w:r>
      <w:bookmarkEnd w:id="3575"/>
    </w:p>
    <w:p w14:paraId="3E8AE342" w14:textId="4AF8AA1C" w:rsidR="00103DFC" w:rsidRPr="0047638B" w:rsidRDefault="00103DFC" w:rsidP="00103DF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 xml:space="preserve">易方达中证全指证券公司指数证券投资基金（LOF）由易方达证券公司指数分级证券投资基金终止分级运作并变更而来。 </w:t>
      </w:r>
    </w:p>
    <w:p w14:paraId="713D3842" w14:textId="77777777" w:rsidR="00103DFC" w:rsidRPr="0047638B" w:rsidRDefault="00103DFC" w:rsidP="00103DFC">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易方达证券公司指数分级证券投资基金依据《基金法》于2015年4月21日获中国证监会证监许可［2015］670号文准予募集。易方达证券公司指数分级证券投资基金基金管理人为易方达基金管理有限公司，基金托管人为中国建设银行股份有限公司。基金管理人于2015年7月8日获得中国证监会书面确认，易方达证券公司指数分级证券投资基金基金合同生效。</w:t>
      </w:r>
    </w:p>
    <w:p w14:paraId="54A441A6" w14:textId="77777777" w:rsidR="00E13C79" w:rsidRPr="0047638B" w:rsidRDefault="00103DFC" w:rsidP="00103DFC">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rPr>
        <w:t>根据《易方达证券公司指数分级证券投资基金基金合同》约定，易方达证券公司指数分级证券投资基金应根据《关于规范金融机构资产管理业务的指导意见》等法律法规规定终止易方达证券公司</w:t>
      </w:r>
      <w:r w:rsidR="00EA4F75" w:rsidRPr="0047638B">
        <w:rPr>
          <w:rFonts w:asciiTheme="minorEastAsia" w:eastAsiaTheme="minorEastAsia" w:hAnsiTheme="minorEastAsia" w:hint="eastAsia"/>
        </w:rPr>
        <w:t>分级</w:t>
      </w:r>
      <w:r w:rsidRPr="0047638B">
        <w:rPr>
          <w:rFonts w:asciiTheme="minorEastAsia" w:eastAsiaTheme="minorEastAsia" w:hAnsiTheme="minorEastAsia" w:hint="eastAsia"/>
        </w:rPr>
        <w:t>A类份额与易方达证券公司</w:t>
      </w:r>
      <w:r w:rsidR="00EA4F75" w:rsidRPr="0047638B">
        <w:rPr>
          <w:rFonts w:asciiTheme="minorEastAsia" w:eastAsiaTheme="minorEastAsia" w:hAnsiTheme="minorEastAsia" w:hint="eastAsia"/>
        </w:rPr>
        <w:t>分级</w:t>
      </w:r>
      <w:r w:rsidRPr="0047638B">
        <w:rPr>
          <w:rFonts w:asciiTheme="minorEastAsia" w:eastAsiaTheme="minorEastAsia" w:hAnsiTheme="minorEastAsia" w:hint="eastAsia"/>
        </w:rPr>
        <w:t>B类份额的运作，无需召开基金份额持有人大会。据此，基金管理人已于2020年12月2日在规定媒介发布《易方达基金管理有限公司关于易方达证券公司指数分级证券投资基金之易方达证券公司</w:t>
      </w:r>
      <w:r w:rsidR="00EA4F75" w:rsidRPr="0047638B">
        <w:rPr>
          <w:rFonts w:asciiTheme="minorEastAsia" w:eastAsiaTheme="minorEastAsia" w:hAnsiTheme="minorEastAsia" w:hint="eastAsia"/>
        </w:rPr>
        <w:t>分级</w:t>
      </w:r>
      <w:r w:rsidRPr="0047638B">
        <w:rPr>
          <w:rFonts w:asciiTheme="minorEastAsia" w:eastAsiaTheme="minorEastAsia" w:hAnsiTheme="minorEastAsia" w:hint="eastAsia"/>
        </w:rPr>
        <w:t>A类份额和易方达证券公司</w:t>
      </w:r>
      <w:r w:rsidR="00EA4F75" w:rsidRPr="0047638B">
        <w:rPr>
          <w:rFonts w:asciiTheme="minorEastAsia" w:eastAsiaTheme="minorEastAsia" w:hAnsiTheme="minorEastAsia" w:hint="eastAsia"/>
        </w:rPr>
        <w:t>分级</w:t>
      </w:r>
      <w:r w:rsidRPr="0047638B">
        <w:rPr>
          <w:rFonts w:asciiTheme="minorEastAsia" w:eastAsiaTheme="minorEastAsia" w:hAnsiTheme="minorEastAsia" w:hint="eastAsia"/>
        </w:rPr>
        <w:t>B类份额终止运作、终止上市并修改基金合同的公告》，向上海证券交易所申请易方达证券公司</w:t>
      </w:r>
      <w:r w:rsidR="00EA4F75" w:rsidRPr="0047638B">
        <w:rPr>
          <w:rFonts w:asciiTheme="minorEastAsia" w:eastAsiaTheme="minorEastAsia" w:hAnsiTheme="minorEastAsia" w:hint="eastAsia"/>
        </w:rPr>
        <w:t>分级</w:t>
      </w:r>
      <w:r w:rsidRPr="0047638B">
        <w:rPr>
          <w:rFonts w:asciiTheme="minorEastAsia" w:eastAsiaTheme="minorEastAsia" w:hAnsiTheme="minorEastAsia" w:hint="eastAsia"/>
        </w:rPr>
        <w:t>A类份额与易方达证券公司</w:t>
      </w:r>
      <w:r w:rsidR="00EA4F75" w:rsidRPr="0047638B">
        <w:rPr>
          <w:rFonts w:asciiTheme="minorEastAsia" w:eastAsiaTheme="minorEastAsia" w:hAnsiTheme="minorEastAsia" w:hint="eastAsia"/>
        </w:rPr>
        <w:t>分级</w:t>
      </w:r>
      <w:r w:rsidRPr="0047638B">
        <w:rPr>
          <w:rFonts w:asciiTheme="minorEastAsia" w:eastAsiaTheme="minorEastAsia" w:hAnsiTheme="minorEastAsia" w:hint="eastAsia"/>
        </w:rPr>
        <w:t>B类份额退市，并以2020年12月31日为基金份额折算基准日进行基金份额折算，《易方达中证全指证券公司指数证券投资基金（LOF）基金合同》于2021年1月1日正式生效，《易方达证券公司指数分级证券投资基金基金合同》同时失效。</w:t>
      </w:r>
    </w:p>
    <w:p w14:paraId="65931403" w14:textId="45FF89FD" w:rsidR="00B0751F" w:rsidRPr="0047638B" w:rsidRDefault="00B0751F" w:rsidP="00E95A80">
      <w:pPr>
        <w:spacing w:line="360" w:lineRule="auto"/>
        <w:ind w:firstLineChars="200" w:firstLine="420"/>
        <w:rPr>
          <w:rStyle w:val="da"/>
          <w:rFonts w:asciiTheme="minorEastAsia" w:eastAsiaTheme="minorEastAsia" w:hAnsiTheme="minorEastAsia"/>
          <w:szCs w:val="21"/>
        </w:rPr>
      </w:pPr>
      <w:r w:rsidRPr="0047638B">
        <w:rPr>
          <w:rStyle w:val="da"/>
          <w:rFonts w:asciiTheme="minorEastAsia" w:eastAsiaTheme="minorEastAsia" w:hAnsiTheme="minorEastAsia"/>
          <w:szCs w:val="21"/>
        </w:rPr>
        <w:br w:type="page"/>
      </w:r>
    </w:p>
    <w:p w14:paraId="56739E91" w14:textId="03DD65AB" w:rsidR="00E13C79" w:rsidRPr="0047638B" w:rsidRDefault="002F757C" w:rsidP="00365038">
      <w:pPr>
        <w:pStyle w:val="11"/>
        <w:snapToGrid w:val="0"/>
        <w:spacing w:beforeLines="0" w:afterLines="0" w:line="360" w:lineRule="auto"/>
        <w:ind w:firstLine="600"/>
        <w:rPr>
          <w:rFonts w:asciiTheme="minorEastAsia" w:eastAsiaTheme="minorEastAsia" w:hAnsiTheme="minorEastAsia"/>
          <w:b w:val="0"/>
          <w:sz w:val="30"/>
        </w:rPr>
      </w:pPr>
      <w:bookmarkStart w:id="3576" w:name="_Toc77779995"/>
      <w:r w:rsidRPr="0047638B">
        <w:rPr>
          <w:rFonts w:asciiTheme="minorEastAsia" w:eastAsiaTheme="minorEastAsia" w:hAnsiTheme="minorEastAsia" w:hint="eastAsia"/>
          <w:b w:val="0"/>
          <w:sz w:val="30"/>
        </w:rPr>
        <w:lastRenderedPageBreak/>
        <w:t>八</w:t>
      </w:r>
      <w:r w:rsidR="009D5497"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基金的</w:t>
      </w:r>
      <w:r w:rsidR="00103DFC" w:rsidRPr="0047638B">
        <w:rPr>
          <w:rFonts w:asciiTheme="minorEastAsia" w:eastAsiaTheme="minorEastAsia" w:hAnsiTheme="minorEastAsia" w:hint="eastAsia"/>
          <w:b w:val="0"/>
          <w:sz w:val="30"/>
        </w:rPr>
        <w:t>存续</w:t>
      </w:r>
      <w:bookmarkEnd w:id="3576"/>
    </w:p>
    <w:p w14:paraId="4F168029" w14:textId="77777777"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终止《基金合同》、转换运作方式或与其他基金合并等，并召开基金份额持有人大会进行表决。</w:t>
      </w:r>
    </w:p>
    <w:p w14:paraId="2D3F7A50" w14:textId="77777777" w:rsidR="00E13C79" w:rsidRPr="0047638B" w:rsidRDefault="00B0751F"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法律法规或《基金合同》另有规定时，从其规定。</w:t>
      </w:r>
      <w:r w:rsidR="00167F64" w:rsidRPr="0047638B">
        <w:rPr>
          <w:rFonts w:asciiTheme="minorEastAsia" w:eastAsiaTheme="minorEastAsia" w:hAnsiTheme="minorEastAsia"/>
        </w:rPr>
        <w:br w:type="page"/>
      </w:r>
    </w:p>
    <w:p w14:paraId="77442B99" w14:textId="6F4DB531" w:rsidR="00E13C79" w:rsidRPr="0047638B" w:rsidRDefault="002F757C" w:rsidP="00365038">
      <w:pPr>
        <w:pStyle w:val="11"/>
        <w:snapToGrid w:val="0"/>
        <w:spacing w:beforeLines="0" w:afterLines="0" w:line="360" w:lineRule="auto"/>
        <w:ind w:firstLine="600"/>
        <w:rPr>
          <w:rFonts w:asciiTheme="minorEastAsia" w:eastAsiaTheme="minorEastAsia" w:hAnsiTheme="minorEastAsia"/>
          <w:b w:val="0"/>
          <w:sz w:val="30"/>
        </w:rPr>
      </w:pPr>
      <w:bookmarkStart w:id="3577" w:name="_Toc77779996"/>
      <w:r w:rsidRPr="0047638B">
        <w:rPr>
          <w:rFonts w:asciiTheme="minorEastAsia" w:eastAsiaTheme="minorEastAsia" w:hAnsiTheme="minorEastAsia" w:hint="eastAsia"/>
          <w:b w:val="0"/>
          <w:sz w:val="30"/>
        </w:rPr>
        <w:lastRenderedPageBreak/>
        <w:t>九</w:t>
      </w:r>
      <w:r w:rsidR="009D5497"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基金份额的上市交易</w:t>
      </w:r>
      <w:bookmarkEnd w:id="3577"/>
    </w:p>
    <w:p w14:paraId="0D4972F0"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E13C79" w:rsidRPr="0047638B">
        <w:rPr>
          <w:rFonts w:asciiTheme="minorEastAsia" w:eastAsiaTheme="minorEastAsia" w:hAnsiTheme="minorEastAsia"/>
        </w:rPr>
        <w:t>基金份额</w:t>
      </w:r>
      <w:r w:rsidR="00E308B7" w:rsidRPr="0047638B">
        <w:rPr>
          <w:rFonts w:asciiTheme="minorEastAsia" w:eastAsiaTheme="minorEastAsia" w:hAnsiTheme="minorEastAsia"/>
        </w:rPr>
        <w:t>的</w:t>
      </w:r>
      <w:r w:rsidR="00E13C79" w:rsidRPr="0047638B">
        <w:rPr>
          <w:rFonts w:asciiTheme="minorEastAsia" w:eastAsiaTheme="minorEastAsia" w:hAnsiTheme="minorEastAsia"/>
        </w:rPr>
        <w:t>上市</w:t>
      </w:r>
    </w:p>
    <w:p w14:paraId="55CB1975" w14:textId="19F9B226" w:rsidR="006A7862" w:rsidRPr="0047638B" w:rsidRDefault="00103DF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根据有关规定，由易方达证券公司指数分级证券投资基金终止分级运作并变更而来的易方达中证全指证券公司指数证券投资基金（LOF）</w:t>
      </w:r>
      <w:r w:rsidR="002F757C" w:rsidRPr="0047638B">
        <w:rPr>
          <w:rFonts w:asciiTheme="minorEastAsia" w:eastAsiaTheme="minorEastAsia" w:hAnsiTheme="minorEastAsia" w:hint="eastAsia"/>
          <w:szCs w:val="24"/>
        </w:rPr>
        <w:t>A类基金份额</w:t>
      </w:r>
      <w:r w:rsidRPr="0047638B">
        <w:rPr>
          <w:rFonts w:asciiTheme="minorEastAsia" w:eastAsiaTheme="minorEastAsia" w:hAnsiTheme="minorEastAsia" w:hint="eastAsia"/>
          <w:szCs w:val="24"/>
        </w:rPr>
        <w:t>自2021年1月5日起</w:t>
      </w:r>
      <w:r w:rsidR="00EA4F75" w:rsidRPr="0047638B">
        <w:rPr>
          <w:rFonts w:asciiTheme="minorEastAsia" w:eastAsiaTheme="minorEastAsia" w:hAnsiTheme="minorEastAsia" w:hint="eastAsia"/>
          <w:szCs w:val="24"/>
        </w:rPr>
        <w:t>恢复</w:t>
      </w:r>
      <w:r w:rsidRPr="0047638B">
        <w:rPr>
          <w:rFonts w:asciiTheme="minorEastAsia" w:eastAsiaTheme="minorEastAsia" w:hAnsiTheme="minorEastAsia" w:hint="eastAsia"/>
          <w:szCs w:val="24"/>
        </w:rPr>
        <w:t>上市交易。（基金二级市场交易简称和交易代码：场内简称：</w:t>
      </w:r>
      <w:r w:rsidR="00D92B1D" w:rsidRPr="0047638B">
        <w:rPr>
          <w:rFonts w:asciiTheme="minorEastAsia" w:eastAsiaTheme="minorEastAsia" w:hAnsiTheme="minorEastAsia" w:hint="eastAsia"/>
          <w:szCs w:val="24"/>
        </w:rPr>
        <w:t>证券LOF</w:t>
      </w:r>
      <w:r w:rsidRPr="0047638B">
        <w:rPr>
          <w:rFonts w:asciiTheme="minorEastAsia" w:eastAsiaTheme="minorEastAsia" w:hAnsiTheme="minorEastAsia" w:hint="eastAsia"/>
          <w:szCs w:val="24"/>
        </w:rPr>
        <w:t>，扩位简称：</w:t>
      </w:r>
      <w:r w:rsidR="00D92B1D" w:rsidRPr="0047638B">
        <w:rPr>
          <w:rFonts w:asciiTheme="minorEastAsia" w:eastAsiaTheme="minorEastAsia" w:hAnsiTheme="minorEastAsia" w:hint="eastAsia"/>
          <w:szCs w:val="24"/>
        </w:rPr>
        <w:t>证券LOF</w:t>
      </w:r>
      <w:r w:rsidRPr="0047638B">
        <w:rPr>
          <w:rFonts w:asciiTheme="minorEastAsia" w:eastAsiaTheme="minorEastAsia" w:hAnsiTheme="minorEastAsia" w:hint="eastAsia"/>
          <w:szCs w:val="24"/>
        </w:rPr>
        <w:t>，交易代码：5020</w:t>
      </w:r>
      <w:r w:rsidRPr="0047638B">
        <w:rPr>
          <w:rFonts w:asciiTheme="minorEastAsia" w:eastAsiaTheme="minorEastAsia" w:hAnsiTheme="minorEastAsia"/>
          <w:szCs w:val="24"/>
        </w:rPr>
        <w:t>10</w:t>
      </w:r>
      <w:r w:rsidRPr="0047638B">
        <w:rPr>
          <w:rFonts w:asciiTheme="minorEastAsia" w:eastAsiaTheme="minorEastAsia" w:hAnsiTheme="minorEastAsia" w:hint="eastAsia"/>
          <w:szCs w:val="24"/>
        </w:rPr>
        <w:t>）</w:t>
      </w:r>
      <w:r w:rsidR="006A7862" w:rsidRPr="0047638B">
        <w:rPr>
          <w:rFonts w:asciiTheme="minorEastAsia" w:eastAsiaTheme="minorEastAsia" w:hAnsiTheme="minorEastAsia"/>
          <w:szCs w:val="24"/>
        </w:rPr>
        <w:t>。</w:t>
      </w:r>
    </w:p>
    <w:p w14:paraId="6B9C8727" w14:textId="77777777" w:rsidR="003E1DE9" w:rsidRPr="0047638B" w:rsidRDefault="003E1DE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（二）上市交易的规则</w:t>
      </w:r>
    </w:p>
    <w:p w14:paraId="6EF9C15A" w14:textId="65A8DFC5" w:rsidR="003E1DE9" w:rsidRPr="0047638B" w:rsidRDefault="003E1DE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w:t>
      </w:r>
      <w:r w:rsidR="002F757C"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基金份额在上海证券交易所的上市交易需遵循《上海证券交易所证券投资基金上市规则》、《上海证券交易所交易规则》和《上海证券交易所开放式基金业务管理办法》等有关规定。</w:t>
      </w:r>
    </w:p>
    <w:p w14:paraId="7E7B7FF8" w14:textId="77777777" w:rsidR="003E1DE9" w:rsidRPr="0047638B" w:rsidRDefault="003E1DE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（三）上市交易的费用</w:t>
      </w:r>
    </w:p>
    <w:p w14:paraId="62E94B0C" w14:textId="776A9B27" w:rsidR="003E1DE9" w:rsidRPr="0047638B" w:rsidRDefault="002F757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A类</w:t>
      </w:r>
      <w:r w:rsidR="003E1DE9" w:rsidRPr="0047638B">
        <w:rPr>
          <w:rFonts w:asciiTheme="minorEastAsia" w:eastAsiaTheme="minorEastAsia" w:hAnsiTheme="minorEastAsia"/>
          <w:szCs w:val="24"/>
        </w:rPr>
        <w:t>基金份额上市交易的费用按照上海证券交易所有关规定办理。</w:t>
      </w:r>
    </w:p>
    <w:p w14:paraId="2AF0F23D" w14:textId="77777777" w:rsidR="003E1DE9" w:rsidRPr="0047638B" w:rsidRDefault="003E1DE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（四）上市交易的停复牌、暂停上市、恢复上市和终止上市</w:t>
      </w:r>
    </w:p>
    <w:p w14:paraId="7889D0B1" w14:textId="11F2F0E0" w:rsidR="003E1DE9" w:rsidRPr="0047638B" w:rsidRDefault="002F757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A类基金份额</w:t>
      </w:r>
      <w:r w:rsidR="003E1DE9" w:rsidRPr="0047638B">
        <w:rPr>
          <w:rFonts w:asciiTheme="minorEastAsia" w:eastAsiaTheme="minorEastAsia" w:hAnsiTheme="minorEastAsia"/>
          <w:szCs w:val="24"/>
        </w:rPr>
        <w:t>的停复牌、暂停上市、恢复上市和终止上市等事项按照《基金法》和上海证券交易所的相关规定执行。具体情况见基金管理人届时相关公告。</w:t>
      </w:r>
    </w:p>
    <w:p w14:paraId="5A1821E4" w14:textId="77777777" w:rsidR="003E1DE9" w:rsidRPr="0047638B" w:rsidRDefault="003E1DE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（五）其他</w:t>
      </w:r>
    </w:p>
    <w:p w14:paraId="6AD910F3" w14:textId="77777777"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1、相关法律法规、《业务规则》、中国证监会及上海证券交易所对基金上市交易的规则等相关规定内容进行调整的，《基金合同》可相应予以修改，此事项无须召开基金份额持有人大会审议。</w:t>
      </w:r>
    </w:p>
    <w:p w14:paraId="246C346A" w14:textId="77777777"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2、若上海证券交易所、中国证券登记结算有限责任公司增加了基金上市交易的新功能，本基金可以增加相应功能，无需召开基金份额持有人大会审议。</w:t>
      </w:r>
    </w:p>
    <w:p w14:paraId="66237CFB" w14:textId="77777777" w:rsidR="00E13C79" w:rsidRPr="0047638B" w:rsidRDefault="00524923"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3、在不违反法律法规及不损害基金份额持有人利益的前提下，本基金可以申请在包括境外交易所在内的其他交易场所上市交易，且无需召开基金份额持有人大会审议。</w:t>
      </w:r>
      <w:r w:rsidR="00AF5FAB" w:rsidRPr="0047638B">
        <w:rPr>
          <w:rFonts w:asciiTheme="minorEastAsia" w:eastAsiaTheme="minorEastAsia" w:hAnsiTheme="minorEastAsia"/>
        </w:rPr>
        <w:br w:type="page"/>
      </w:r>
    </w:p>
    <w:p w14:paraId="7A7E850B" w14:textId="300F8230" w:rsidR="00E13C79" w:rsidRPr="0047638B" w:rsidRDefault="002F757C" w:rsidP="00365038">
      <w:pPr>
        <w:pStyle w:val="11"/>
        <w:snapToGrid w:val="0"/>
        <w:spacing w:beforeLines="0" w:afterLines="0" w:line="360" w:lineRule="auto"/>
        <w:ind w:firstLine="600"/>
        <w:rPr>
          <w:rFonts w:asciiTheme="minorEastAsia" w:eastAsiaTheme="minorEastAsia" w:hAnsiTheme="minorEastAsia"/>
          <w:b w:val="0"/>
          <w:sz w:val="30"/>
        </w:rPr>
      </w:pPr>
      <w:bookmarkStart w:id="3578" w:name="_Toc77779997"/>
      <w:r w:rsidRPr="0047638B">
        <w:rPr>
          <w:rFonts w:asciiTheme="minorEastAsia" w:eastAsiaTheme="minorEastAsia" w:hAnsiTheme="minorEastAsia" w:hint="eastAsia"/>
          <w:b w:val="0"/>
          <w:sz w:val="30"/>
        </w:rPr>
        <w:lastRenderedPageBreak/>
        <w:t>十</w:t>
      </w:r>
      <w:r w:rsidR="009D5497" w:rsidRPr="0047638B">
        <w:rPr>
          <w:rFonts w:asciiTheme="minorEastAsia" w:eastAsiaTheme="minorEastAsia" w:hAnsiTheme="minorEastAsia"/>
          <w:b w:val="0"/>
          <w:sz w:val="30"/>
        </w:rPr>
        <w:t>、</w:t>
      </w:r>
      <w:r w:rsidR="00FA1CAD" w:rsidRPr="0047638B">
        <w:rPr>
          <w:rFonts w:asciiTheme="minorEastAsia" w:eastAsiaTheme="minorEastAsia" w:hAnsiTheme="minorEastAsia"/>
          <w:b w:val="0"/>
          <w:sz w:val="30"/>
        </w:rPr>
        <w:t>基金</w:t>
      </w:r>
      <w:r w:rsidR="00E13C79" w:rsidRPr="0047638B">
        <w:rPr>
          <w:rFonts w:asciiTheme="minorEastAsia" w:eastAsiaTheme="minorEastAsia" w:hAnsiTheme="minorEastAsia"/>
          <w:b w:val="0"/>
          <w:sz w:val="30"/>
        </w:rPr>
        <w:t>份额的申购</w:t>
      </w:r>
      <w:r w:rsidR="00B14B4C" w:rsidRPr="0047638B">
        <w:rPr>
          <w:rFonts w:asciiTheme="minorEastAsia" w:eastAsiaTheme="minorEastAsia" w:hAnsiTheme="minorEastAsia"/>
          <w:b w:val="0"/>
          <w:sz w:val="30"/>
        </w:rPr>
        <w:t>与</w:t>
      </w:r>
      <w:r w:rsidR="00E13C79" w:rsidRPr="0047638B">
        <w:rPr>
          <w:rFonts w:asciiTheme="minorEastAsia" w:eastAsiaTheme="minorEastAsia" w:hAnsiTheme="minorEastAsia"/>
          <w:b w:val="0"/>
          <w:sz w:val="30"/>
        </w:rPr>
        <w:t>赎回</w:t>
      </w:r>
      <w:bookmarkEnd w:id="3578"/>
    </w:p>
    <w:p w14:paraId="62C2EB5C" w14:textId="6DF62D07" w:rsidR="00063301" w:rsidRPr="0047638B" w:rsidRDefault="002F757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投资者可通过场外和场内两种方式申购与赎回</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类基金份额；通过场外方式申购与赎回</w:t>
      </w:r>
      <w:r w:rsidRPr="0047638B">
        <w:rPr>
          <w:rFonts w:asciiTheme="minorEastAsia" w:eastAsiaTheme="minorEastAsia" w:hAnsiTheme="minorEastAsia"/>
          <w:szCs w:val="24"/>
        </w:rPr>
        <w:t>C</w:t>
      </w:r>
      <w:r w:rsidRPr="0047638B">
        <w:rPr>
          <w:rFonts w:asciiTheme="minorEastAsia" w:eastAsiaTheme="minorEastAsia" w:hAnsiTheme="minorEastAsia" w:hint="eastAsia"/>
          <w:szCs w:val="24"/>
        </w:rPr>
        <w:t>类基金份额</w:t>
      </w:r>
      <w:r w:rsidR="00A079AD" w:rsidRPr="0047638B">
        <w:rPr>
          <w:rFonts w:asciiTheme="minorEastAsia" w:eastAsiaTheme="minorEastAsia" w:hAnsiTheme="minorEastAsia"/>
          <w:szCs w:val="24"/>
        </w:rPr>
        <w:t>。</w:t>
      </w:r>
    </w:p>
    <w:p w14:paraId="6ACC05B5"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E13C79" w:rsidRPr="0047638B">
        <w:rPr>
          <w:rFonts w:asciiTheme="minorEastAsia" w:eastAsiaTheme="minorEastAsia" w:hAnsiTheme="minorEastAsia"/>
        </w:rPr>
        <w:t>基金投资者范围</w:t>
      </w:r>
    </w:p>
    <w:p w14:paraId="3003D010" w14:textId="77777777" w:rsidR="00E13C79"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个人投资者、机构投资者、合格境外机构投资者以及法律法规或中国证监会允许购买证券投资基金的其他投资者。</w:t>
      </w:r>
    </w:p>
    <w:p w14:paraId="1D51D174" w14:textId="7D98A36D"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w:t>
      </w:r>
      <w:r w:rsidR="00E13C79" w:rsidRPr="0047638B">
        <w:rPr>
          <w:rFonts w:asciiTheme="minorEastAsia" w:eastAsiaTheme="minorEastAsia" w:hAnsiTheme="minorEastAsia"/>
        </w:rPr>
        <w:t>申购</w:t>
      </w:r>
      <w:r w:rsidR="00B14B4C" w:rsidRPr="0047638B">
        <w:rPr>
          <w:rFonts w:asciiTheme="minorEastAsia" w:eastAsiaTheme="minorEastAsia" w:hAnsiTheme="minorEastAsia"/>
        </w:rPr>
        <w:t>和</w:t>
      </w:r>
      <w:r w:rsidR="00E13C79" w:rsidRPr="0047638B">
        <w:rPr>
          <w:rFonts w:asciiTheme="minorEastAsia" w:eastAsiaTheme="minorEastAsia" w:hAnsiTheme="minorEastAsia"/>
        </w:rPr>
        <w:t>赎回场所</w:t>
      </w:r>
    </w:p>
    <w:p w14:paraId="66DD083C" w14:textId="38923260"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本基金的申购与赎回将通过销售机构进行。其中，场外</w:t>
      </w:r>
      <w:r w:rsidR="002B2886"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份额的申购和赎回场所为基金管理人的直销网点及场外非直销销售机构的销售网点；场内</w:t>
      </w:r>
      <w:r w:rsidR="002B2886"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份额的申购和赎回场所为具有基金销售业务资格，且经上海证券交易所及其指定的登记结算机构认可的会员单位。</w:t>
      </w:r>
    </w:p>
    <w:p w14:paraId="4891CF5F" w14:textId="77777777" w:rsidR="00897135"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具体的销售机构将由基金管理人在《招募说明书》或其他相关公告中列明。基金管理人可根据情况变更或增减销售机构，</w:t>
      </w:r>
      <w:r w:rsidR="00E80CE3" w:rsidRPr="0047638B">
        <w:rPr>
          <w:rFonts w:asciiTheme="minorEastAsia" w:eastAsiaTheme="minorEastAsia" w:hAnsiTheme="minorEastAsia" w:hint="eastAsia"/>
          <w:szCs w:val="24"/>
        </w:rPr>
        <w:t>并在基金管理人网站公示</w:t>
      </w:r>
      <w:r w:rsidRPr="0047638B">
        <w:rPr>
          <w:rFonts w:asciiTheme="minorEastAsia" w:eastAsiaTheme="minorEastAsia" w:hAnsiTheme="minorEastAsia"/>
          <w:szCs w:val="24"/>
        </w:rPr>
        <w:t>。投资者应当在销售机构办理基金销售业务的营业场所或按销售机构提供的其他方式办理基金份额的申购与赎回。</w:t>
      </w:r>
    </w:p>
    <w:p w14:paraId="1CCD46BB"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w:t>
      </w:r>
      <w:r w:rsidR="00B14B4C" w:rsidRPr="0047638B">
        <w:rPr>
          <w:rFonts w:asciiTheme="minorEastAsia" w:eastAsiaTheme="minorEastAsia" w:hAnsiTheme="minorEastAsia"/>
        </w:rPr>
        <w:t>申购和赎回的开放日及时间</w:t>
      </w:r>
    </w:p>
    <w:p w14:paraId="0A1F37E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1、开放日及开放时间</w:t>
      </w:r>
    </w:p>
    <w:p w14:paraId="6AB01C5D" w14:textId="5BA370FA"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投资者在开放日办理</w:t>
      </w:r>
      <w:r w:rsidR="002B2886"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的申购和赎回，具体办理时间为上海证券交易所、深圳证券交易所的正常交易日的交易时间，但基金管理人根据法律法规、中国证监会的要求或《基金合同》的规定公告暂停申购、赎回时除外。开放日的具体业务办理时间在《招募说明书》中载明或另行公告。</w:t>
      </w:r>
    </w:p>
    <w:p w14:paraId="013D0344" w14:textId="28321A70"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若出现新的证券交易市场、证券交易所交易时间变更、其他特殊情况或根据业务需要，基金管理人有权视情况对前述开放日及开放时间进行相应的调整，但应在实施日前依照《信息披露办法》的有关规定在</w:t>
      </w:r>
      <w:r w:rsidR="002B2886" w:rsidRPr="0047638B">
        <w:rPr>
          <w:rFonts w:asciiTheme="minorEastAsia" w:eastAsiaTheme="minorEastAsia" w:hAnsiTheme="minorEastAsia" w:hint="eastAsia"/>
          <w:bCs/>
          <w:szCs w:val="21"/>
        </w:rPr>
        <w:t>规定媒介</w:t>
      </w:r>
      <w:r w:rsidRPr="0047638B">
        <w:rPr>
          <w:rFonts w:asciiTheme="minorEastAsia" w:eastAsiaTheme="minorEastAsia" w:hAnsiTheme="minorEastAsia"/>
          <w:szCs w:val="24"/>
        </w:rPr>
        <w:t>上公告。</w:t>
      </w:r>
    </w:p>
    <w:p w14:paraId="1CB2F54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2、申购、赎回开始日及业务办理时间</w:t>
      </w:r>
    </w:p>
    <w:p w14:paraId="1877CF9A" w14:textId="5125E230" w:rsidR="00DD18D9" w:rsidRPr="0047638B" w:rsidRDefault="002B2886">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w:t>
      </w:r>
      <w:r w:rsidR="00900340" w:rsidRPr="0047638B">
        <w:rPr>
          <w:rFonts w:asciiTheme="minorEastAsia" w:eastAsiaTheme="minorEastAsia" w:hAnsiTheme="minorEastAsia" w:hint="eastAsia"/>
          <w:szCs w:val="24"/>
        </w:rPr>
        <w:t>A类份额</w:t>
      </w:r>
      <w:r w:rsidRPr="0047638B">
        <w:rPr>
          <w:rFonts w:asciiTheme="minorEastAsia" w:eastAsiaTheme="minorEastAsia" w:hAnsiTheme="minorEastAsia" w:hint="eastAsia"/>
          <w:szCs w:val="24"/>
        </w:rPr>
        <w:t>由易方达证券公司指数分级证券投资基金终止分级运作并变更而来，自2021年1月5日起</w:t>
      </w:r>
      <w:r w:rsidR="003F16AC" w:rsidRPr="0047638B">
        <w:rPr>
          <w:rFonts w:asciiTheme="minorEastAsia" w:eastAsiaTheme="minorEastAsia" w:hAnsiTheme="minorEastAsia" w:hint="eastAsia"/>
          <w:szCs w:val="24"/>
        </w:rPr>
        <w:t>恢复</w:t>
      </w:r>
      <w:r w:rsidRPr="0047638B">
        <w:rPr>
          <w:rFonts w:asciiTheme="minorEastAsia" w:eastAsiaTheme="minorEastAsia" w:hAnsiTheme="minorEastAsia" w:hint="eastAsia"/>
          <w:szCs w:val="24"/>
        </w:rPr>
        <w:t>办理日常申购和赎回业务</w:t>
      </w:r>
      <w:r w:rsidR="00FA7476" w:rsidRPr="0047638B">
        <w:rPr>
          <w:rFonts w:asciiTheme="minorEastAsia" w:eastAsiaTheme="minorEastAsia" w:hAnsiTheme="minorEastAsia" w:hint="eastAsia"/>
          <w:szCs w:val="24"/>
        </w:rPr>
        <w:t>，</w:t>
      </w:r>
      <w:r w:rsidR="00FA7476" w:rsidRPr="0047638B">
        <w:rPr>
          <w:rFonts w:asciiTheme="minorEastAsia" w:eastAsiaTheme="minorEastAsia" w:hAnsiTheme="minorEastAsia" w:hint="eastAsia"/>
        </w:rPr>
        <w:t>本基金</w:t>
      </w:r>
      <w:r w:rsidR="00FA7476" w:rsidRPr="0047638B">
        <w:rPr>
          <w:rFonts w:asciiTheme="minorEastAsia" w:eastAsiaTheme="minorEastAsia" w:hAnsiTheme="minorEastAsia" w:hint="eastAsia"/>
          <w:szCs w:val="24"/>
        </w:rPr>
        <w:t>C类份额</w:t>
      </w:r>
      <w:r w:rsidR="00FA7476" w:rsidRPr="0047638B">
        <w:rPr>
          <w:rFonts w:asciiTheme="minorEastAsia" w:eastAsiaTheme="minorEastAsia" w:hAnsiTheme="minorEastAsia" w:hint="eastAsia"/>
        </w:rPr>
        <w:t>已于</w:t>
      </w:r>
      <w:r w:rsidR="00FA7476" w:rsidRPr="0047638B">
        <w:rPr>
          <w:rFonts w:asciiTheme="minorEastAsia" w:eastAsiaTheme="minorEastAsia" w:hAnsiTheme="minorEastAsia"/>
        </w:rPr>
        <w:t>2021</w:t>
      </w:r>
      <w:r w:rsidR="00FA7476" w:rsidRPr="0047638B">
        <w:rPr>
          <w:rFonts w:asciiTheme="minorEastAsia" w:eastAsiaTheme="minorEastAsia" w:hAnsiTheme="minorEastAsia" w:hint="eastAsia"/>
        </w:rPr>
        <w:t>年</w:t>
      </w:r>
      <w:r w:rsidR="00FA7476" w:rsidRPr="0047638B">
        <w:rPr>
          <w:rFonts w:asciiTheme="minorEastAsia" w:eastAsiaTheme="minorEastAsia" w:hAnsiTheme="minorEastAsia"/>
        </w:rPr>
        <w:t>7</w:t>
      </w:r>
      <w:r w:rsidR="00FA7476" w:rsidRPr="0047638B">
        <w:rPr>
          <w:rFonts w:asciiTheme="minorEastAsia" w:eastAsiaTheme="minorEastAsia" w:hAnsiTheme="minorEastAsia" w:hint="eastAsia"/>
        </w:rPr>
        <w:t>月</w:t>
      </w:r>
      <w:r w:rsidR="00FA7476" w:rsidRPr="0047638B">
        <w:rPr>
          <w:rFonts w:asciiTheme="minorEastAsia" w:eastAsiaTheme="minorEastAsia" w:hAnsiTheme="minorEastAsia"/>
        </w:rPr>
        <w:t>19</w:t>
      </w:r>
      <w:r w:rsidR="00FA7476" w:rsidRPr="0047638B">
        <w:rPr>
          <w:rFonts w:asciiTheme="minorEastAsia" w:eastAsiaTheme="minorEastAsia" w:hAnsiTheme="minorEastAsia" w:hint="eastAsia"/>
        </w:rPr>
        <w:t>日开始办理日常申购和赎回业务</w:t>
      </w:r>
      <w:r w:rsidRPr="0047638B">
        <w:rPr>
          <w:rFonts w:asciiTheme="minorEastAsia" w:eastAsiaTheme="minorEastAsia" w:hAnsiTheme="minorEastAsia" w:hint="eastAsia"/>
          <w:szCs w:val="24"/>
        </w:rPr>
        <w:t>。</w:t>
      </w:r>
    </w:p>
    <w:p w14:paraId="47641821" w14:textId="79456029" w:rsidR="00E13C79"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基金管理人不得在《基金合同》约定之外的日期或者时间办理</w:t>
      </w:r>
      <w:r w:rsidR="002B2886" w:rsidRPr="0047638B">
        <w:rPr>
          <w:rFonts w:asciiTheme="minorEastAsia" w:eastAsiaTheme="minorEastAsia" w:hAnsiTheme="minorEastAsia" w:hint="eastAsia"/>
          <w:szCs w:val="24"/>
        </w:rPr>
        <w:t>基金</w:t>
      </w:r>
      <w:r w:rsidRPr="0047638B">
        <w:rPr>
          <w:rFonts w:asciiTheme="minorEastAsia" w:eastAsiaTheme="minorEastAsia" w:hAnsiTheme="minorEastAsia"/>
          <w:szCs w:val="24"/>
        </w:rPr>
        <w:t>份额的申购或者赎回或者转换。投资者在《基金合同》约定之外的日期和时间提出申购、赎回或转换申请且登记结算机构确认接受的，其基金份额申购、赎回价格为下一开放日</w:t>
      </w:r>
      <w:r w:rsidR="002F757C" w:rsidRPr="0047638B">
        <w:rPr>
          <w:rFonts w:asciiTheme="minorEastAsia" w:eastAsiaTheme="minorEastAsia" w:hAnsiTheme="minorEastAsia"/>
          <w:szCs w:val="24"/>
        </w:rPr>
        <w:t>该类</w:t>
      </w:r>
      <w:r w:rsidRPr="0047638B">
        <w:rPr>
          <w:rFonts w:asciiTheme="minorEastAsia" w:eastAsiaTheme="minorEastAsia" w:hAnsiTheme="minorEastAsia"/>
          <w:szCs w:val="24"/>
        </w:rPr>
        <w:t>基金份额申购、赎回的</w:t>
      </w:r>
      <w:r w:rsidRPr="0047638B">
        <w:rPr>
          <w:rFonts w:asciiTheme="minorEastAsia" w:eastAsiaTheme="minorEastAsia" w:hAnsiTheme="minorEastAsia"/>
          <w:szCs w:val="24"/>
        </w:rPr>
        <w:lastRenderedPageBreak/>
        <w:t>价格。</w:t>
      </w:r>
    </w:p>
    <w:p w14:paraId="65FE8FA0"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w:t>
      </w:r>
      <w:r w:rsidR="00E13C79" w:rsidRPr="0047638B">
        <w:rPr>
          <w:rFonts w:asciiTheme="minorEastAsia" w:eastAsiaTheme="minorEastAsia" w:hAnsiTheme="minorEastAsia"/>
        </w:rPr>
        <w:t>申购与赎回的原则</w:t>
      </w:r>
    </w:p>
    <w:p w14:paraId="71D8E95A" w14:textId="715280AD"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1、“未知价”原则，即申购、赎回价格以申请当日收市后计算的</w:t>
      </w:r>
      <w:r w:rsidR="00B11574" w:rsidRPr="0047638B">
        <w:rPr>
          <w:rFonts w:asciiTheme="minorEastAsia" w:eastAsiaTheme="minorEastAsia" w:hAnsiTheme="minorEastAsia"/>
          <w:szCs w:val="24"/>
        </w:rPr>
        <w:t>各类</w:t>
      </w:r>
      <w:r w:rsidR="002B2886" w:rsidRPr="0047638B">
        <w:rPr>
          <w:rFonts w:asciiTheme="minorEastAsia" w:eastAsiaTheme="minorEastAsia" w:hAnsiTheme="minorEastAsia" w:hint="eastAsia"/>
          <w:szCs w:val="24"/>
        </w:rPr>
        <w:t>基金</w:t>
      </w:r>
      <w:r w:rsidRPr="0047638B">
        <w:rPr>
          <w:rFonts w:asciiTheme="minorEastAsia" w:eastAsiaTheme="minorEastAsia" w:hAnsiTheme="minorEastAsia"/>
          <w:szCs w:val="24"/>
        </w:rPr>
        <w:t>份额的基金份额净值为基准进行计算</w:t>
      </w:r>
      <w:r w:rsidR="002F757C" w:rsidRPr="0047638B">
        <w:rPr>
          <w:rFonts w:asciiTheme="minorEastAsia" w:eastAsiaTheme="minorEastAsia" w:hAnsiTheme="minorEastAsia" w:hint="eastAsia"/>
          <w:szCs w:val="24"/>
        </w:rPr>
        <w:t>，其中C类基金份额首笔申购当日的申购价格为当日A类基金份额的基金份额净值</w:t>
      </w:r>
      <w:r w:rsidRPr="0047638B">
        <w:rPr>
          <w:rFonts w:asciiTheme="minorEastAsia" w:eastAsiaTheme="minorEastAsia" w:hAnsiTheme="minorEastAsia"/>
          <w:szCs w:val="24"/>
        </w:rPr>
        <w:t>；</w:t>
      </w:r>
    </w:p>
    <w:p w14:paraId="297D280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2、“金额申购、份额赎回”原则，即申购以金额申请，赎回以份额申请；</w:t>
      </w:r>
    </w:p>
    <w:p w14:paraId="4175FBB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3、当日的申购与赎回申请可以在基金管理人规定的时间以内撤销；</w:t>
      </w:r>
    </w:p>
    <w:p w14:paraId="6645C35D" w14:textId="0095034A"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4、基金份额持有人赎回</w:t>
      </w:r>
      <w:r w:rsidR="002B2886"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份额时，除指定赎回外，遵循“先进先出”原则，即登记确认日期在先的基金份额先赎回，登记确认日期在后的基金份额后赎回，以确定所使用的赎回费率；</w:t>
      </w:r>
    </w:p>
    <w:p w14:paraId="1D64AF9D" w14:textId="6FABE76D"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5、投资者申购、赎回</w:t>
      </w:r>
      <w:r w:rsidR="002B2886"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份额时，需遵守上海证券交易所和登记结算机构的相关《业务规则》。若相关法律法规、中国证监会、上海证券交易所或登记结算机构对申购、赎回业务等规则有新的规定，按新规定执行。</w:t>
      </w:r>
    </w:p>
    <w:p w14:paraId="3AB1D1EF" w14:textId="30DA2D9F" w:rsidR="00956988"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基金管理人可根据基金运作的实际情况依法对上述原则进行调整。基金管理人必须在新规则开始实施前依照《信息披露办法》的有关规定在</w:t>
      </w:r>
      <w:r w:rsidR="002B2886" w:rsidRPr="0047638B">
        <w:rPr>
          <w:rFonts w:asciiTheme="minorEastAsia" w:eastAsiaTheme="minorEastAsia" w:hAnsiTheme="minorEastAsia" w:hint="eastAsia"/>
          <w:szCs w:val="24"/>
        </w:rPr>
        <w:t>规定</w:t>
      </w:r>
      <w:r w:rsidRPr="0047638B">
        <w:rPr>
          <w:rFonts w:asciiTheme="minorEastAsia" w:eastAsiaTheme="minorEastAsia" w:hAnsiTheme="minorEastAsia"/>
          <w:szCs w:val="24"/>
        </w:rPr>
        <w:t>媒介上公告。</w:t>
      </w:r>
    </w:p>
    <w:p w14:paraId="52CF84A1"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（五）</w:t>
      </w:r>
      <w:r w:rsidR="00E13C79" w:rsidRPr="0047638B">
        <w:rPr>
          <w:rFonts w:asciiTheme="minorEastAsia" w:eastAsiaTheme="minorEastAsia" w:hAnsiTheme="minorEastAsia"/>
        </w:rPr>
        <w:t>申购与赎回的程序</w:t>
      </w:r>
    </w:p>
    <w:p w14:paraId="7E20074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1、申购和赎回的申请方式</w:t>
      </w:r>
    </w:p>
    <w:p w14:paraId="2DC4132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投资者必须根据销售机构规定的程序，在开放日的具体业务办理时间内提出申购或赎回的申请。</w:t>
      </w:r>
    </w:p>
    <w:p w14:paraId="561E6E7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2、申购和赎回的款项支付</w:t>
      </w:r>
    </w:p>
    <w:p w14:paraId="6881B6A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投资者申购基金份额时，必须全额交付申购款项，投资者交付申购款项，申购成立；登记结算机构确认基金份额时，申购生效。</w:t>
      </w:r>
    </w:p>
    <w:p w14:paraId="53483D0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份额持有人递交赎回申请，赎回成立；登记结算机构确认赎回时，赎回生效。基金份额持有人赎回申请成功后，基金管理人自接受基金份额持有人赎回申请之日（T日）起7个工作日内（T＋7日，包括该日）支付赎回款项，但中国证监会另有规定的除外。在发生巨额赎回或《基金合同》载明的其他暂停赎回或延缓支付赎回款项的情形时，款项的支付办法参照《基金合同》有关条款处理。</w:t>
      </w:r>
    </w:p>
    <w:p w14:paraId="155AA0D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3、申购和赎回申请的确认</w:t>
      </w:r>
    </w:p>
    <w:p w14:paraId="50D8594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基金管理人应以交易时间结束前受理有效申购和赎回申请的当天作为申购或赎回申请日(T日)，在正常情况下，本基金登记结算机构在T+1日内对该交易的有效性进行确认。T</w:t>
      </w:r>
      <w:r w:rsidRPr="0047638B">
        <w:rPr>
          <w:rFonts w:asciiTheme="minorEastAsia" w:eastAsiaTheme="minorEastAsia" w:hAnsiTheme="minorEastAsia"/>
          <w:szCs w:val="24"/>
        </w:rPr>
        <w:lastRenderedPageBreak/>
        <w:t>日提交的有效申请，投资者应及时向销售机构或以销售机构规定的其他方式查询申请的确认情况。若申购不成功，则申购款项本金退还给投资者。</w:t>
      </w:r>
    </w:p>
    <w:p w14:paraId="16E4D899" w14:textId="77777777" w:rsidR="00E13C79"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销售机构对申购、赎回申请的受理并不代表该申请一定成功，而仅代表销售机构确实接收到申购、赎回申请。申购、赎回的确认以登记结算机构的确认结果为准。对于申购申请及申购份额的确认情况，投资者应及时查询并妥善行使合法权利。在法律法规允许的范围内，基金管理人可根据业务规则，对上述业务办理时间进行调整并公告。</w:t>
      </w:r>
    </w:p>
    <w:p w14:paraId="64563215"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（六）</w:t>
      </w:r>
      <w:r w:rsidR="00E13C79" w:rsidRPr="0047638B">
        <w:rPr>
          <w:rFonts w:asciiTheme="minorEastAsia" w:eastAsiaTheme="minorEastAsia" w:hAnsiTheme="minorEastAsia"/>
        </w:rPr>
        <w:t>申购与赎回的数额限制</w:t>
      </w:r>
    </w:p>
    <w:p w14:paraId="59CC3AED" w14:textId="77777777" w:rsidR="005E24B0" w:rsidRPr="0047638B" w:rsidRDefault="005E24B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1、申购金额的限制</w:t>
      </w:r>
    </w:p>
    <w:p w14:paraId="0AFD7423" w14:textId="19B21725"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投资者办理本基金场外申购</w:t>
      </w:r>
      <w:r w:rsidR="009C37B3" w:rsidRPr="0047638B">
        <w:rPr>
          <w:rFonts w:asciiTheme="minorEastAsia" w:eastAsiaTheme="minorEastAsia" w:hAnsiTheme="minorEastAsia"/>
        </w:rPr>
        <w:t>A</w:t>
      </w:r>
      <w:r w:rsidR="009C37B3" w:rsidRPr="0047638B">
        <w:rPr>
          <w:rFonts w:asciiTheme="minorEastAsia" w:eastAsiaTheme="minorEastAsia" w:hAnsiTheme="minorEastAsia" w:hint="eastAsia"/>
        </w:rPr>
        <w:t>类基金份额、</w:t>
      </w:r>
      <w:r w:rsidR="009C37B3" w:rsidRPr="0047638B">
        <w:rPr>
          <w:rFonts w:asciiTheme="minorEastAsia" w:eastAsiaTheme="minorEastAsia" w:hAnsiTheme="minorEastAsia"/>
        </w:rPr>
        <w:t>C</w:t>
      </w:r>
      <w:r w:rsidR="009C37B3" w:rsidRPr="0047638B">
        <w:rPr>
          <w:rFonts w:asciiTheme="minorEastAsia" w:eastAsiaTheme="minorEastAsia" w:hAnsiTheme="minorEastAsia" w:hint="eastAsia"/>
        </w:rPr>
        <w:t>类基金份额</w:t>
      </w:r>
      <w:r w:rsidRPr="0047638B">
        <w:rPr>
          <w:rFonts w:asciiTheme="minorEastAsia" w:eastAsiaTheme="minorEastAsia" w:hAnsiTheme="minorEastAsia"/>
          <w:szCs w:val="24"/>
        </w:rPr>
        <w:t>时，通过场外非直销销售机构或本公司网上</w:t>
      </w:r>
      <w:r w:rsidR="00FD28B7" w:rsidRPr="0047638B">
        <w:rPr>
          <w:rFonts w:asciiTheme="minorEastAsia" w:eastAsiaTheme="minorEastAsia" w:hAnsiTheme="minorEastAsia"/>
          <w:szCs w:val="24"/>
        </w:rPr>
        <w:t>直销</w:t>
      </w:r>
      <w:r w:rsidRPr="0047638B">
        <w:rPr>
          <w:rFonts w:asciiTheme="minorEastAsia" w:eastAsiaTheme="minorEastAsia" w:hAnsiTheme="minorEastAsia"/>
          <w:szCs w:val="24"/>
        </w:rPr>
        <w:t>系统首次申购的单笔最低金额为1元人民币，追加申购单笔最低金额为1元人民币；通过本公司直销中心首次申购的单笔最低金额为50,000元人民币，追加申购单笔最低金额为1,000元人民币。</w:t>
      </w:r>
      <w:r w:rsidR="002B2886" w:rsidRPr="0047638B">
        <w:rPr>
          <w:rFonts w:asciiTheme="minorEastAsia" w:eastAsiaTheme="minorEastAsia" w:hAnsiTheme="minorEastAsia"/>
          <w:szCs w:val="21"/>
        </w:rPr>
        <w:t>投资人通过本基金场内销售机构申购</w:t>
      </w:r>
      <w:r w:rsidR="009C37B3" w:rsidRPr="0047638B">
        <w:rPr>
          <w:rFonts w:asciiTheme="minorEastAsia" w:eastAsiaTheme="minorEastAsia" w:hAnsiTheme="minorEastAsia"/>
          <w:szCs w:val="21"/>
        </w:rPr>
        <w:t>A</w:t>
      </w:r>
      <w:r w:rsidR="009C37B3" w:rsidRPr="0047638B">
        <w:rPr>
          <w:rFonts w:asciiTheme="minorEastAsia" w:eastAsiaTheme="minorEastAsia" w:hAnsiTheme="minorEastAsia" w:hint="eastAsia"/>
          <w:szCs w:val="21"/>
        </w:rPr>
        <w:t>类</w:t>
      </w:r>
      <w:r w:rsidR="002B2886" w:rsidRPr="0047638B">
        <w:rPr>
          <w:rFonts w:asciiTheme="minorEastAsia" w:eastAsiaTheme="minorEastAsia" w:hAnsiTheme="minorEastAsia" w:hint="eastAsia"/>
          <w:szCs w:val="21"/>
        </w:rPr>
        <w:t>基金份额</w:t>
      </w:r>
      <w:r w:rsidR="002B2886" w:rsidRPr="0047638B">
        <w:rPr>
          <w:rFonts w:asciiTheme="minorEastAsia" w:eastAsiaTheme="minorEastAsia" w:hAnsiTheme="minorEastAsia"/>
          <w:szCs w:val="21"/>
        </w:rPr>
        <w:t>时，每笔申购金额最低为1</w:t>
      </w:r>
      <w:r w:rsidR="00D755DF" w:rsidRPr="0047638B">
        <w:rPr>
          <w:rFonts w:asciiTheme="minorEastAsia" w:eastAsiaTheme="minorEastAsia" w:hAnsiTheme="minorEastAsia" w:hint="eastAsia"/>
          <w:szCs w:val="21"/>
        </w:rPr>
        <w:t>,</w:t>
      </w:r>
      <w:r w:rsidR="00D755DF" w:rsidRPr="0047638B">
        <w:rPr>
          <w:rFonts w:asciiTheme="minorEastAsia" w:eastAsiaTheme="minorEastAsia" w:hAnsiTheme="minorEastAsia"/>
          <w:szCs w:val="21"/>
        </w:rPr>
        <w:t>000</w:t>
      </w:r>
      <w:r w:rsidR="002B2886" w:rsidRPr="0047638B">
        <w:rPr>
          <w:rFonts w:asciiTheme="minorEastAsia" w:eastAsiaTheme="minorEastAsia" w:hAnsiTheme="minorEastAsia"/>
          <w:szCs w:val="21"/>
        </w:rPr>
        <w:t>元，同时申购金额必须是整数金额。</w:t>
      </w:r>
      <w:r w:rsidRPr="0047638B">
        <w:rPr>
          <w:rFonts w:asciiTheme="minorEastAsia" w:eastAsiaTheme="minorEastAsia" w:hAnsiTheme="minorEastAsia"/>
          <w:szCs w:val="24"/>
        </w:rPr>
        <w:t>在符合法律法规规定的前提下，各销售机构对最低申购限额及交易级差有其他规定的，需同时遵循该销售机构的相关规定。（以上金额均含申购费）。</w:t>
      </w:r>
    </w:p>
    <w:p w14:paraId="385D149E" w14:textId="348674CF" w:rsidR="005E24B0" w:rsidRPr="0047638B" w:rsidRDefault="005E24B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投资者可多次申购，对单个投资者累计持有份额不设上限限制。</w:t>
      </w:r>
      <w:r w:rsidR="00FA14DC" w:rsidRPr="0047638B">
        <w:rPr>
          <w:rFonts w:asciiTheme="minorEastAsia" w:eastAsiaTheme="minorEastAsia" w:hAnsiTheme="minorEastAsia" w:hint="eastAsia"/>
          <w:szCs w:val="24"/>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r w:rsidRPr="0047638B">
        <w:rPr>
          <w:rFonts w:asciiTheme="minorEastAsia" w:eastAsiaTheme="minorEastAsia" w:hAnsiTheme="minorEastAsia"/>
          <w:szCs w:val="24"/>
        </w:rPr>
        <w:t>法律法规、中国证监会另有规定的除外。</w:t>
      </w:r>
    </w:p>
    <w:p w14:paraId="65ECCA30" w14:textId="77777777" w:rsidR="005E24B0" w:rsidRPr="0047638B" w:rsidRDefault="005E24B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2、赎回份额的限制</w:t>
      </w:r>
    </w:p>
    <w:p w14:paraId="481576A4" w14:textId="04213F13"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基金份额持有人办理场外赎回</w:t>
      </w:r>
      <w:r w:rsidR="009C37B3" w:rsidRPr="0047638B">
        <w:rPr>
          <w:rFonts w:asciiTheme="minorEastAsia" w:eastAsiaTheme="minorEastAsia" w:hAnsiTheme="minorEastAsia"/>
        </w:rPr>
        <w:t>A</w:t>
      </w:r>
      <w:r w:rsidR="009C37B3" w:rsidRPr="0047638B">
        <w:rPr>
          <w:rFonts w:asciiTheme="minorEastAsia" w:eastAsiaTheme="minorEastAsia" w:hAnsiTheme="minorEastAsia" w:hint="eastAsia"/>
        </w:rPr>
        <w:t>类基金份额、</w:t>
      </w:r>
      <w:r w:rsidR="009C37B3" w:rsidRPr="0047638B">
        <w:rPr>
          <w:rFonts w:asciiTheme="minorEastAsia" w:eastAsiaTheme="minorEastAsia" w:hAnsiTheme="minorEastAsia"/>
        </w:rPr>
        <w:t>C</w:t>
      </w:r>
      <w:r w:rsidR="009C37B3" w:rsidRPr="0047638B">
        <w:rPr>
          <w:rFonts w:asciiTheme="minorEastAsia" w:eastAsiaTheme="minorEastAsia" w:hAnsiTheme="minorEastAsia" w:hint="eastAsia"/>
        </w:rPr>
        <w:t>类基金份额</w:t>
      </w:r>
      <w:r w:rsidRPr="0047638B">
        <w:rPr>
          <w:rFonts w:asciiTheme="minorEastAsia" w:eastAsiaTheme="minorEastAsia" w:hAnsiTheme="minorEastAsia"/>
          <w:szCs w:val="24"/>
        </w:rPr>
        <w:t>时，每笔赎回申请的最低份额为1份基金份额</w:t>
      </w:r>
      <w:r w:rsidR="009C37B3" w:rsidRPr="0047638B">
        <w:rPr>
          <w:rFonts w:asciiTheme="minorEastAsia" w:eastAsiaTheme="minorEastAsia" w:hAnsiTheme="minorEastAsia" w:hint="eastAsia"/>
          <w:szCs w:val="24"/>
        </w:rPr>
        <w:t>（如该账户在该销售机构托管的该类基金份额余额不足</w:t>
      </w:r>
      <w:r w:rsidR="009C37B3" w:rsidRPr="0047638B">
        <w:rPr>
          <w:rFonts w:asciiTheme="minorEastAsia" w:eastAsiaTheme="minorEastAsia" w:hAnsiTheme="minorEastAsia"/>
          <w:szCs w:val="24"/>
        </w:rPr>
        <w:t>1份，则必须一次性赎回或转出该类基金全部份额）</w:t>
      </w:r>
      <w:r w:rsidRPr="0047638B">
        <w:rPr>
          <w:rFonts w:asciiTheme="minorEastAsia" w:eastAsiaTheme="minorEastAsia" w:hAnsiTheme="minorEastAsia"/>
          <w:szCs w:val="24"/>
        </w:rPr>
        <w:t>；基金份额持有人办理场内</w:t>
      </w:r>
      <w:r w:rsidR="009C37B3" w:rsidRPr="0047638B">
        <w:rPr>
          <w:rFonts w:asciiTheme="minorEastAsia" w:eastAsiaTheme="minorEastAsia" w:hAnsiTheme="minorEastAsia"/>
        </w:rPr>
        <w:t>A</w:t>
      </w:r>
      <w:r w:rsidR="009C37B3" w:rsidRPr="0047638B">
        <w:rPr>
          <w:rFonts w:asciiTheme="minorEastAsia" w:eastAsiaTheme="minorEastAsia" w:hAnsiTheme="minorEastAsia" w:hint="eastAsia"/>
        </w:rPr>
        <w:t>类基金份额</w:t>
      </w:r>
      <w:r w:rsidRPr="0047638B">
        <w:rPr>
          <w:rFonts w:asciiTheme="minorEastAsia" w:eastAsiaTheme="minorEastAsia" w:hAnsiTheme="minorEastAsia"/>
          <w:szCs w:val="24"/>
        </w:rPr>
        <w:t>赎回时，每笔赎回申请的最低份额为1份基金份额，同时赎回份额必须是整数份额。</w:t>
      </w:r>
    </w:p>
    <w:p w14:paraId="7A755E4C" w14:textId="182A459B" w:rsidR="005E24B0" w:rsidRPr="0047638B" w:rsidRDefault="005E24B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基金份额持有人可将其全部或部分基金份额赎回，但某笔交易类业务（如赎回、基金转换、转托管等）导致单个交易账户的</w:t>
      </w:r>
      <w:r w:rsidR="009C37B3" w:rsidRPr="0047638B">
        <w:rPr>
          <w:rFonts w:asciiTheme="minorEastAsia" w:eastAsiaTheme="minorEastAsia" w:hAnsiTheme="minorEastAsia" w:hint="eastAsia"/>
        </w:rPr>
        <w:t>该类</w:t>
      </w:r>
      <w:r w:rsidRPr="0047638B">
        <w:rPr>
          <w:rFonts w:asciiTheme="minorEastAsia" w:eastAsiaTheme="minorEastAsia" w:hAnsiTheme="minorEastAsia"/>
          <w:szCs w:val="24"/>
        </w:rPr>
        <w:t>基金份额余额少于1份时，</w:t>
      </w:r>
      <w:r w:rsidR="009578BB" w:rsidRPr="0047638B">
        <w:rPr>
          <w:rFonts w:asciiTheme="minorEastAsia" w:eastAsiaTheme="minorEastAsia" w:hAnsiTheme="minorEastAsia" w:hint="eastAsia"/>
        </w:rPr>
        <w:t>基金管理人有权将基金份额持有人在该销售机构托管的该类基金剩余份额一次性全部赎回。</w:t>
      </w:r>
      <w:r w:rsidR="000F5349" w:rsidRPr="0047638B">
        <w:rPr>
          <w:rFonts w:asciiTheme="minorEastAsia" w:eastAsiaTheme="minorEastAsia" w:hAnsiTheme="minorEastAsia" w:hint="eastAsia"/>
          <w:szCs w:val="24"/>
        </w:rPr>
        <w:t>在符合法律法规规定的</w:t>
      </w:r>
      <w:r w:rsidR="000F5349" w:rsidRPr="0047638B">
        <w:rPr>
          <w:rFonts w:asciiTheme="minorEastAsia" w:eastAsiaTheme="minorEastAsia" w:hAnsiTheme="minorEastAsia" w:hint="eastAsia"/>
          <w:szCs w:val="24"/>
        </w:rPr>
        <w:lastRenderedPageBreak/>
        <w:t>前提下，各销售机构对赎回份额限制有其他规定的，需同时遵循该销售机构的相关规定。</w:t>
      </w:r>
    </w:p>
    <w:p w14:paraId="03AF78F5" w14:textId="77777777" w:rsidR="00E13C79" w:rsidRPr="0047638B" w:rsidRDefault="005E24B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3、基金管理人可以规定单个投资者累计持有的基金份额</w:t>
      </w:r>
      <w:r w:rsidR="00411BE7" w:rsidRPr="0047638B">
        <w:rPr>
          <w:rFonts w:asciiTheme="minorEastAsia" w:eastAsiaTheme="minorEastAsia" w:hAnsiTheme="minorEastAsia" w:hint="eastAsia"/>
          <w:bCs/>
          <w:szCs w:val="21"/>
        </w:rPr>
        <w:t>上限、单日或单笔</w:t>
      </w:r>
      <w:r w:rsidRPr="0047638B">
        <w:rPr>
          <w:rFonts w:asciiTheme="minorEastAsia" w:eastAsiaTheme="minorEastAsia" w:hAnsiTheme="minorEastAsia"/>
          <w:szCs w:val="24"/>
        </w:rPr>
        <w:t>申购金额</w:t>
      </w:r>
      <w:r w:rsidR="00411BE7" w:rsidRPr="0047638B">
        <w:rPr>
          <w:rFonts w:asciiTheme="minorEastAsia" w:eastAsiaTheme="minorEastAsia" w:hAnsiTheme="minorEastAsia" w:hint="eastAsia"/>
          <w:szCs w:val="24"/>
        </w:rPr>
        <w:t>上限</w:t>
      </w:r>
      <w:r w:rsidRPr="0047638B">
        <w:rPr>
          <w:rFonts w:asciiTheme="minorEastAsia" w:eastAsiaTheme="minorEastAsia" w:hAnsiTheme="minorEastAsia"/>
          <w:szCs w:val="24"/>
        </w:rPr>
        <w:t>，具体规定请参见《招募说明书》或相关公告。</w:t>
      </w:r>
    </w:p>
    <w:p w14:paraId="7DBFFF7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4、基金管理人有权规定本基金的总规模限额</w:t>
      </w:r>
      <w:r w:rsidR="00411BE7" w:rsidRPr="0047638B">
        <w:rPr>
          <w:rFonts w:asciiTheme="minorEastAsia" w:eastAsiaTheme="minorEastAsia" w:hAnsiTheme="minorEastAsia" w:hint="eastAsia"/>
          <w:bCs/>
          <w:szCs w:val="21"/>
        </w:rPr>
        <w:t>，以及单日申购金额上限和净申购比例上限</w:t>
      </w:r>
      <w:r w:rsidRPr="0047638B">
        <w:rPr>
          <w:rFonts w:asciiTheme="minorEastAsia" w:eastAsiaTheme="minorEastAsia" w:hAnsiTheme="minorEastAsia"/>
          <w:szCs w:val="24"/>
        </w:rPr>
        <w:t>，具体规定请参见《招募说明书》或相关公告。</w:t>
      </w:r>
    </w:p>
    <w:p w14:paraId="49B8FF87" w14:textId="77777777" w:rsidR="00411BE7" w:rsidRPr="0047638B" w:rsidRDefault="00411BE7" w:rsidP="00411BE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5、对于可能导致单一投资者持有基金份额的比例达到或者超过50%，或者变相规避50%集中度的情形，基金管理人有权按照相关法律法规采取控制措施。</w:t>
      </w:r>
    </w:p>
    <w:p w14:paraId="592FC2F8" w14:textId="77777777" w:rsidR="00411BE7" w:rsidRPr="0047638B" w:rsidRDefault="00411BE7" w:rsidP="00411BE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85797A3" w14:textId="0B2B59BC" w:rsidR="00DD18D9" w:rsidRPr="0047638B" w:rsidRDefault="00411BE7" w:rsidP="00411BE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w:t>
      </w:r>
      <w:r w:rsidR="00561038" w:rsidRPr="0047638B">
        <w:rPr>
          <w:rFonts w:asciiTheme="minorEastAsia" w:eastAsiaTheme="minorEastAsia" w:hAnsiTheme="minorEastAsia"/>
          <w:szCs w:val="24"/>
        </w:rPr>
        <w:t>、基金管理人可根据市场情况，在法律法规允许的情况下，调整上述规定申购金额和赎回份额的数量限制</w:t>
      </w:r>
      <w:r w:rsidRPr="0047638B">
        <w:rPr>
          <w:rFonts w:asciiTheme="minorEastAsia" w:eastAsiaTheme="minorEastAsia" w:hAnsiTheme="minorEastAsia" w:hint="eastAsia"/>
          <w:szCs w:val="24"/>
        </w:rPr>
        <w:t>，或者新增基金规模控制措施</w:t>
      </w:r>
      <w:r w:rsidR="00561038" w:rsidRPr="0047638B">
        <w:rPr>
          <w:rFonts w:asciiTheme="minorEastAsia" w:eastAsiaTheme="minorEastAsia" w:hAnsiTheme="minorEastAsia"/>
          <w:szCs w:val="24"/>
        </w:rPr>
        <w:t>。基金管理人必须在调整生效前依照《信息披露办法》的有关规定在</w:t>
      </w:r>
      <w:r w:rsidR="002B2886" w:rsidRPr="0047638B">
        <w:rPr>
          <w:rFonts w:asciiTheme="minorEastAsia" w:eastAsiaTheme="minorEastAsia" w:hAnsiTheme="minorEastAsia" w:hint="eastAsia"/>
          <w:szCs w:val="24"/>
        </w:rPr>
        <w:t>规定</w:t>
      </w:r>
      <w:r w:rsidR="00561038" w:rsidRPr="0047638B">
        <w:rPr>
          <w:rFonts w:asciiTheme="minorEastAsia" w:eastAsiaTheme="minorEastAsia" w:hAnsiTheme="minorEastAsia"/>
          <w:szCs w:val="24"/>
        </w:rPr>
        <w:t>媒介上公告。</w:t>
      </w:r>
    </w:p>
    <w:p w14:paraId="7360FF22"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（七）</w:t>
      </w:r>
      <w:r w:rsidR="00E13C79" w:rsidRPr="0047638B">
        <w:rPr>
          <w:rFonts w:asciiTheme="minorEastAsia" w:eastAsiaTheme="minorEastAsia" w:hAnsiTheme="minorEastAsia"/>
        </w:rPr>
        <w:t>申购、赎回的费率</w:t>
      </w:r>
    </w:p>
    <w:p w14:paraId="5B6EACB3" w14:textId="77777777" w:rsidR="002F757C" w:rsidRPr="0047638B" w:rsidRDefault="002F757C" w:rsidP="002F757C">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1"/>
        </w:rPr>
        <w:t>1</w:t>
      </w:r>
      <w:r w:rsidRPr="0047638B">
        <w:rPr>
          <w:rFonts w:asciiTheme="minorEastAsia" w:eastAsiaTheme="minorEastAsia" w:hAnsiTheme="minorEastAsia" w:hint="eastAsia"/>
          <w:szCs w:val="21"/>
        </w:rPr>
        <w:t>、本基金的基金份额分为</w:t>
      </w:r>
      <w:r w:rsidRPr="0047638B">
        <w:rPr>
          <w:rFonts w:asciiTheme="minorEastAsia" w:eastAsiaTheme="minorEastAsia" w:hAnsiTheme="minorEastAsia"/>
          <w:szCs w:val="21"/>
        </w:rPr>
        <w:t>A</w:t>
      </w:r>
      <w:r w:rsidRPr="0047638B">
        <w:rPr>
          <w:rFonts w:asciiTheme="minorEastAsia" w:eastAsiaTheme="minorEastAsia" w:hAnsiTheme="minorEastAsia" w:hint="eastAsia"/>
          <w:szCs w:val="21"/>
        </w:rPr>
        <w:t>类基金份额和</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类基金份额两类。其中：</w:t>
      </w:r>
    </w:p>
    <w:p w14:paraId="3FE442CB" w14:textId="77777777" w:rsidR="002F757C" w:rsidRPr="0047638B" w:rsidRDefault="002F757C" w:rsidP="002F757C">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szCs w:val="21"/>
        </w:rPr>
        <w:t>A</w:t>
      </w:r>
      <w:r w:rsidRPr="0047638B">
        <w:rPr>
          <w:rFonts w:asciiTheme="minorEastAsia" w:eastAsiaTheme="minorEastAsia" w:hAnsiTheme="minorEastAsia" w:hint="eastAsia"/>
          <w:szCs w:val="21"/>
        </w:rPr>
        <w:t>类基金份额收取申购费用，并不再从本类别基金资产中计提销售服务费；</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类基金份额从本类别基金资产中计提销售服务费、不收取申购费用。</w:t>
      </w:r>
    </w:p>
    <w:p w14:paraId="32E33193" w14:textId="77777777" w:rsidR="002F757C" w:rsidRPr="0047638B" w:rsidRDefault="002F757C" w:rsidP="002F757C">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bCs/>
          <w:szCs w:val="21"/>
        </w:rPr>
        <w:t>本基金</w:t>
      </w:r>
      <w:r w:rsidRPr="0047638B">
        <w:rPr>
          <w:rFonts w:asciiTheme="minorEastAsia" w:eastAsiaTheme="minorEastAsia" w:hAnsiTheme="minorEastAsia"/>
          <w:bCs/>
          <w:szCs w:val="21"/>
        </w:rPr>
        <w:t>A</w:t>
      </w:r>
      <w:r w:rsidRPr="0047638B">
        <w:rPr>
          <w:rFonts w:asciiTheme="minorEastAsia" w:eastAsiaTheme="minorEastAsia" w:hAnsiTheme="minorEastAsia" w:hint="eastAsia"/>
          <w:bCs/>
          <w:szCs w:val="21"/>
        </w:rPr>
        <w:t>类基金份额的申购费用由申购基金份额的投资人承担</w:t>
      </w:r>
      <w:r w:rsidRPr="0047638B">
        <w:rPr>
          <w:rFonts w:asciiTheme="minorEastAsia" w:eastAsiaTheme="minorEastAsia" w:hAnsiTheme="minorEastAsia" w:hint="eastAsia"/>
          <w:szCs w:val="21"/>
        </w:rPr>
        <w:t>，不列入基金财产，主要用于本基金的市场推广、销售、注册登记等各项费用。本基金赎回费用由基金赎回人承担，对持续持有期少于</w:t>
      </w:r>
      <w:r w:rsidRPr="0047638B">
        <w:rPr>
          <w:rFonts w:asciiTheme="minorEastAsia" w:eastAsiaTheme="minorEastAsia" w:hAnsiTheme="minorEastAsia"/>
          <w:szCs w:val="21"/>
        </w:rPr>
        <w:t>7</w:t>
      </w:r>
      <w:r w:rsidRPr="0047638B">
        <w:rPr>
          <w:rFonts w:asciiTheme="minorEastAsia" w:eastAsiaTheme="minorEastAsia" w:hAnsiTheme="minorEastAsia" w:hint="eastAsia"/>
          <w:szCs w:val="21"/>
        </w:rPr>
        <w:t>日的投资者收取不低于</w:t>
      </w:r>
      <w:r w:rsidRPr="0047638B">
        <w:rPr>
          <w:rFonts w:asciiTheme="minorEastAsia" w:eastAsiaTheme="minorEastAsia" w:hAnsiTheme="minorEastAsia"/>
          <w:szCs w:val="21"/>
        </w:rPr>
        <w:t>1.5%</w:t>
      </w:r>
      <w:r w:rsidRPr="0047638B">
        <w:rPr>
          <w:rFonts w:asciiTheme="minorEastAsia" w:eastAsiaTheme="minorEastAsia" w:hAnsiTheme="minorEastAsia" w:hint="eastAsia"/>
          <w:szCs w:val="21"/>
        </w:rPr>
        <w:t>的赎回费，并将上述赎回费全额计入基金财产。</w:t>
      </w:r>
    </w:p>
    <w:p w14:paraId="6B28C105" w14:textId="28BCF9B1" w:rsidR="00E13C79" w:rsidRPr="0047638B" w:rsidRDefault="002F757C"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982A42" w:rsidRPr="0047638B">
        <w:rPr>
          <w:rFonts w:asciiTheme="minorEastAsia" w:eastAsiaTheme="minorEastAsia" w:hAnsiTheme="minorEastAsia"/>
          <w:szCs w:val="24"/>
        </w:rPr>
        <w:t>、</w:t>
      </w:r>
      <w:r w:rsidR="00E13C79" w:rsidRPr="0047638B">
        <w:rPr>
          <w:rFonts w:asciiTheme="minorEastAsia" w:eastAsiaTheme="minorEastAsia" w:hAnsiTheme="minorEastAsia"/>
          <w:szCs w:val="24"/>
        </w:rPr>
        <w:t>申购费率</w:t>
      </w:r>
    </w:p>
    <w:p w14:paraId="1581DED2" w14:textId="46CEC5A0" w:rsidR="00982A42"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本基金对通过基金管理人直销中心</w:t>
      </w:r>
      <w:r w:rsidR="002F757C" w:rsidRPr="0047638B">
        <w:rPr>
          <w:rFonts w:asciiTheme="minorEastAsia" w:eastAsiaTheme="minorEastAsia" w:hAnsiTheme="minorEastAsia"/>
          <w:szCs w:val="24"/>
        </w:rPr>
        <w:t>场外</w:t>
      </w:r>
      <w:r w:rsidRPr="0047638B">
        <w:rPr>
          <w:rFonts w:asciiTheme="minorEastAsia" w:eastAsiaTheme="minorEastAsia" w:hAnsiTheme="minorEastAsia"/>
          <w:szCs w:val="24"/>
        </w:rPr>
        <w:t>申购</w:t>
      </w:r>
      <w:r w:rsidR="002F757C" w:rsidRPr="0047638B">
        <w:rPr>
          <w:rStyle w:val="da"/>
          <w:rFonts w:asciiTheme="minorEastAsia" w:eastAsiaTheme="minorEastAsia" w:hAnsiTheme="minorEastAsia"/>
        </w:rPr>
        <w:t>A类基金份额</w:t>
      </w:r>
      <w:r w:rsidRPr="0047638B">
        <w:rPr>
          <w:rFonts w:asciiTheme="minorEastAsia" w:eastAsiaTheme="minorEastAsia" w:hAnsiTheme="minorEastAsia"/>
          <w:szCs w:val="24"/>
        </w:rPr>
        <w:t>的特定投资群体与除此之外的其他投资者实施差别的申购费率，对通过</w:t>
      </w:r>
      <w:r w:rsidR="000F5349" w:rsidRPr="0047638B">
        <w:rPr>
          <w:rFonts w:asciiTheme="minorEastAsia" w:eastAsiaTheme="minorEastAsia" w:hAnsiTheme="minorEastAsia" w:hint="eastAsia"/>
          <w:szCs w:val="24"/>
        </w:rPr>
        <w:t>本</w:t>
      </w:r>
      <w:r w:rsidR="000F5349" w:rsidRPr="0047638B">
        <w:rPr>
          <w:rFonts w:asciiTheme="minorEastAsia" w:eastAsiaTheme="minorEastAsia" w:hAnsiTheme="minorEastAsia"/>
          <w:szCs w:val="24"/>
        </w:rPr>
        <w:t>公司</w:t>
      </w:r>
      <w:r w:rsidRPr="0047638B">
        <w:rPr>
          <w:rFonts w:asciiTheme="minorEastAsia" w:eastAsiaTheme="minorEastAsia" w:hAnsiTheme="minorEastAsia"/>
          <w:szCs w:val="24"/>
        </w:rPr>
        <w:t>直销中心</w:t>
      </w:r>
      <w:r w:rsidR="002F757C" w:rsidRPr="0047638B">
        <w:rPr>
          <w:rFonts w:asciiTheme="minorEastAsia" w:eastAsiaTheme="minorEastAsia" w:hAnsiTheme="minorEastAsia"/>
          <w:szCs w:val="24"/>
        </w:rPr>
        <w:t>场外</w:t>
      </w:r>
      <w:r w:rsidRPr="0047638B">
        <w:rPr>
          <w:rFonts w:asciiTheme="minorEastAsia" w:eastAsiaTheme="minorEastAsia" w:hAnsiTheme="minorEastAsia"/>
          <w:szCs w:val="24"/>
        </w:rPr>
        <w:t>申购</w:t>
      </w:r>
      <w:r w:rsidR="002F757C" w:rsidRPr="0047638B">
        <w:rPr>
          <w:rStyle w:val="da"/>
          <w:rFonts w:asciiTheme="minorEastAsia" w:eastAsiaTheme="minorEastAsia" w:hAnsiTheme="minorEastAsia"/>
        </w:rPr>
        <w:t>A类基金份额</w:t>
      </w:r>
      <w:r w:rsidRPr="0047638B">
        <w:rPr>
          <w:rFonts w:asciiTheme="minorEastAsia" w:eastAsiaTheme="minorEastAsia" w:hAnsiTheme="minorEastAsia"/>
          <w:szCs w:val="24"/>
        </w:rPr>
        <w:t>的特定投资群体实施特定申购费率。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24DD776" w14:textId="6A034CFB" w:rsidR="001B1CFD" w:rsidRPr="0047638B" w:rsidRDefault="0081349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（1）场外</w:t>
      </w:r>
      <w:r w:rsidR="00A521AE" w:rsidRPr="0047638B">
        <w:rPr>
          <w:rFonts w:asciiTheme="minorEastAsia" w:eastAsiaTheme="minorEastAsia" w:hAnsiTheme="minorEastAsia"/>
          <w:szCs w:val="24"/>
        </w:rPr>
        <w:t>A类</w:t>
      </w:r>
      <w:r w:rsidR="00FD1973"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份额的申购费率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135"/>
        <w:gridCol w:w="2897"/>
      </w:tblGrid>
      <w:tr w:rsidR="0047638B" w:rsidRPr="0047638B" w14:paraId="46C3DB06" w14:textId="77777777" w:rsidTr="00911A8C">
        <w:trPr>
          <w:trHeight w:val="283"/>
        </w:trPr>
        <w:tc>
          <w:tcPr>
            <w:tcW w:w="1367" w:type="pct"/>
            <w:vAlign w:val="center"/>
          </w:tcPr>
          <w:p w14:paraId="6000ADFC" w14:textId="77777777" w:rsidR="004517D2" w:rsidRPr="0047638B" w:rsidRDefault="004517D2"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lastRenderedPageBreak/>
              <w:t>申购金额（元）</w:t>
            </w:r>
          </w:p>
        </w:tc>
        <w:tc>
          <w:tcPr>
            <w:tcW w:w="1888" w:type="pct"/>
            <w:vAlign w:val="center"/>
          </w:tcPr>
          <w:p w14:paraId="151F8CB8" w14:textId="77777777" w:rsidR="004517D2" w:rsidRPr="0047638B" w:rsidRDefault="004517D2"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t>特定申购费率（特定投资群体）</w:t>
            </w:r>
          </w:p>
        </w:tc>
        <w:tc>
          <w:tcPr>
            <w:tcW w:w="1745" w:type="pct"/>
            <w:vAlign w:val="center"/>
          </w:tcPr>
          <w:p w14:paraId="76661F18" w14:textId="77777777" w:rsidR="004517D2" w:rsidRPr="0047638B" w:rsidRDefault="004517D2"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t>申购费率（其他投资者）</w:t>
            </w:r>
          </w:p>
        </w:tc>
      </w:tr>
      <w:tr w:rsidR="0047638B" w:rsidRPr="0047638B" w14:paraId="7AF90624" w14:textId="77777777">
        <w:tc>
          <w:tcPr>
            <w:tcW w:w="0" w:type="auto"/>
            <w:vAlign w:val="center"/>
          </w:tcPr>
          <w:p w14:paraId="62B64008"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M＜100万</w:t>
            </w:r>
          </w:p>
        </w:tc>
        <w:tc>
          <w:tcPr>
            <w:tcW w:w="0" w:type="auto"/>
            <w:vAlign w:val="center"/>
          </w:tcPr>
          <w:p w14:paraId="04C35E5B"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0.10%</w:t>
            </w:r>
          </w:p>
        </w:tc>
        <w:tc>
          <w:tcPr>
            <w:tcW w:w="0" w:type="auto"/>
            <w:vAlign w:val="center"/>
          </w:tcPr>
          <w:p w14:paraId="56078EAA"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1.0%</w:t>
            </w:r>
          </w:p>
        </w:tc>
      </w:tr>
      <w:tr w:rsidR="0047638B" w:rsidRPr="0047638B" w14:paraId="4ECE8516" w14:textId="77777777">
        <w:tc>
          <w:tcPr>
            <w:tcW w:w="0" w:type="auto"/>
            <w:vAlign w:val="center"/>
          </w:tcPr>
          <w:p w14:paraId="3E6D92FB"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100万≤M＜200万</w:t>
            </w:r>
          </w:p>
        </w:tc>
        <w:tc>
          <w:tcPr>
            <w:tcW w:w="0" w:type="auto"/>
            <w:vAlign w:val="center"/>
          </w:tcPr>
          <w:p w14:paraId="0CAC836C"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0.06%</w:t>
            </w:r>
          </w:p>
        </w:tc>
        <w:tc>
          <w:tcPr>
            <w:tcW w:w="0" w:type="auto"/>
            <w:vAlign w:val="center"/>
          </w:tcPr>
          <w:p w14:paraId="513A90B6"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0.6%</w:t>
            </w:r>
          </w:p>
        </w:tc>
      </w:tr>
      <w:tr w:rsidR="0047638B" w:rsidRPr="0047638B" w14:paraId="443686C6" w14:textId="77777777">
        <w:tc>
          <w:tcPr>
            <w:tcW w:w="0" w:type="auto"/>
            <w:vAlign w:val="center"/>
          </w:tcPr>
          <w:p w14:paraId="63D47734"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200万≤M＜500万</w:t>
            </w:r>
          </w:p>
        </w:tc>
        <w:tc>
          <w:tcPr>
            <w:tcW w:w="0" w:type="auto"/>
            <w:vAlign w:val="center"/>
          </w:tcPr>
          <w:p w14:paraId="68EDFA67"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0.03%</w:t>
            </w:r>
          </w:p>
        </w:tc>
        <w:tc>
          <w:tcPr>
            <w:tcW w:w="0" w:type="auto"/>
            <w:vAlign w:val="center"/>
          </w:tcPr>
          <w:p w14:paraId="0CAC2C92" w14:textId="77777777" w:rsidR="00DD18D9" w:rsidRPr="0047638B" w:rsidRDefault="00561038">
            <w:pPr>
              <w:jc w:val="center"/>
              <w:rPr>
                <w:rFonts w:asciiTheme="minorEastAsia" w:eastAsiaTheme="minorEastAsia" w:hAnsiTheme="minorEastAsia"/>
              </w:rPr>
            </w:pPr>
            <w:r w:rsidRPr="0047638B">
              <w:rPr>
                <w:rFonts w:asciiTheme="minorEastAsia" w:eastAsiaTheme="minorEastAsia" w:hAnsiTheme="minorEastAsia"/>
              </w:rPr>
              <w:t>0.3%</w:t>
            </w:r>
          </w:p>
        </w:tc>
      </w:tr>
      <w:tr w:rsidR="0047638B" w:rsidRPr="0047638B" w14:paraId="6C3073E4" w14:textId="77777777" w:rsidTr="00AC5AD0">
        <w:tc>
          <w:tcPr>
            <w:tcW w:w="0" w:type="auto"/>
            <w:vAlign w:val="center"/>
          </w:tcPr>
          <w:p w14:paraId="7ADD3A6F" w14:textId="77777777" w:rsidR="00AD09A3" w:rsidRPr="0047638B" w:rsidRDefault="00AD09A3">
            <w:pPr>
              <w:jc w:val="center"/>
              <w:rPr>
                <w:rFonts w:asciiTheme="minorEastAsia" w:eastAsiaTheme="minorEastAsia" w:hAnsiTheme="minorEastAsia"/>
              </w:rPr>
            </w:pPr>
            <w:r w:rsidRPr="0047638B">
              <w:rPr>
                <w:rFonts w:asciiTheme="minorEastAsia" w:eastAsiaTheme="minorEastAsia" w:hAnsiTheme="minorEastAsia"/>
              </w:rPr>
              <w:t>M≥500万</w:t>
            </w:r>
          </w:p>
        </w:tc>
        <w:tc>
          <w:tcPr>
            <w:tcW w:w="0" w:type="auto"/>
            <w:gridSpan w:val="2"/>
            <w:vAlign w:val="center"/>
          </w:tcPr>
          <w:p w14:paraId="1417B2BB" w14:textId="77777777" w:rsidR="00AD09A3" w:rsidRPr="0047638B" w:rsidRDefault="00AD09A3">
            <w:pPr>
              <w:jc w:val="center"/>
              <w:rPr>
                <w:rFonts w:asciiTheme="minorEastAsia" w:eastAsiaTheme="minorEastAsia" w:hAnsiTheme="minorEastAsia"/>
              </w:rPr>
            </w:pPr>
            <w:r w:rsidRPr="0047638B">
              <w:rPr>
                <w:rFonts w:asciiTheme="minorEastAsia" w:eastAsiaTheme="minorEastAsia" w:hAnsiTheme="minorEastAsia"/>
              </w:rPr>
              <w:t>按笔固定收取1,000元/笔</w:t>
            </w:r>
          </w:p>
        </w:tc>
      </w:tr>
    </w:tbl>
    <w:p w14:paraId="19DAE85E" w14:textId="10696033" w:rsidR="005A7675" w:rsidRPr="0047638B" w:rsidRDefault="005A767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注：特定申购费率仅适用于通过基金管理人直销中心、以场外方式申购</w:t>
      </w:r>
      <w:r w:rsidR="00A521AE" w:rsidRPr="0047638B">
        <w:rPr>
          <w:rFonts w:asciiTheme="minorEastAsia" w:eastAsiaTheme="minorEastAsia" w:hAnsiTheme="minorEastAsia" w:hint="eastAsia"/>
          <w:szCs w:val="24"/>
        </w:rPr>
        <w:t>A类基金份额</w:t>
      </w:r>
      <w:r w:rsidRPr="0047638B">
        <w:rPr>
          <w:rFonts w:asciiTheme="minorEastAsia" w:eastAsiaTheme="minorEastAsia" w:hAnsiTheme="minorEastAsia" w:hint="eastAsia"/>
          <w:szCs w:val="24"/>
        </w:rPr>
        <w:t>的特定投资群体。</w:t>
      </w:r>
    </w:p>
    <w:p w14:paraId="7E111F68" w14:textId="5E7F0085" w:rsidR="00A04D25" w:rsidRPr="0047638B" w:rsidRDefault="00A04D2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1545EF" w:rsidRPr="0047638B">
        <w:rPr>
          <w:rFonts w:asciiTheme="minorEastAsia" w:eastAsiaTheme="minorEastAsia" w:hAnsiTheme="minorEastAsia"/>
          <w:szCs w:val="24"/>
        </w:rPr>
        <w:t>场内</w:t>
      </w:r>
      <w:r w:rsidR="00A521AE" w:rsidRPr="0047638B">
        <w:rPr>
          <w:rFonts w:asciiTheme="minorEastAsia" w:eastAsiaTheme="minorEastAsia" w:hAnsiTheme="minorEastAsia"/>
          <w:szCs w:val="24"/>
        </w:rPr>
        <w:t>A类</w:t>
      </w:r>
      <w:r w:rsidR="00FD1973" w:rsidRPr="0047638B">
        <w:rPr>
          <w:rFonts w:asciiTheme="minorEastAsia" w:eastAsiaTheme="minorEastAsia" w:hAnsiTheme="minorEastAsia" w:hint="eastAsia"/>
          <w:szCs w:val="24"/>
        </w:rPr>
        <w:t>基金</w:t>
      </w:r>
      <w:r w:rsidR="001545EF" w:rsidRPr="0047638B">
        <w:rPr>
          <w:rFonts w:asciiTheme="minorEastAsia" w:eastAsiaTheme="minorEastAsia" w:hAnsiTheme="minorEastAsia"/>
          <w:szCs w:val="24"/>
        </w:rPr>
        <w:t>份额的申购费率为0。</w:t>
      </w:r>
    </w:p>
    <w:p w14:paraId="3520E8A2" w14:textId="77777777" w:rsidR="00A521AE" w:rsidRPr="0047638B" w:rsidRDefault="00A04D25"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w:t>
      </w:r>
      <w:r w:rsidR="001545EF" w:rsidRPr="0047638B">
        <w:rPr>
          <w:rFonts w:asciiTheme="minorEastAsia" w:eastAsiaTheme="minorEastAsia" w:hAnsiTheme="minorEastAsia" w:hint="eastAsia"/>
          <w:szCs w:val="24"/>
        </w:rPr>
        <w:t>在申购费按金额分档的情况下，如果投资者多次申购，申购费适用单笔申购金额所对应的费率。</w:t>
      </w:r>
    </w:p>
    <w:p w14:paraId="71EEE100" w14:textId="4A896D1C" w:rsidR="004517D2"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w:t>
      </w:r>
      <w:r w:rsidRPr="0047638B">
        <w:rPr>
          <w:rFonts w:asciiTheme="minorEastAsia" w:eastAsiaTheme="minorEastAsia" w:hAnsiTheme="minorEastAsia" w:hint="eastAsia"/>
          <w:szCs w:val="21"/>
        </w:rPr>
        <w:t>本基金C类基金份额不收取申购费用。</w:t>
      </w:r>
    </w:p>
    <w:p w14:paraId="743A9F87" w14:textId="74C3BF7C" w:rsidR="004517D2" w:rsidRPr="0047638B" w:rsidRDefault="00FA7476"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w:t>
      </w:r>
      <w:r w:rsidR="00982A42" w:rsidRPr="0047638B">
        <w:rPr>
          <w:rFonts w:asciiTheme="minorEastAsia" w:eastAsiaTheme="minorEastAsia" w:hAnsiTheme="minorEastAsia"/>
          <w:szCs w:val="24"/>
        </w:rPr>
        <w:t>、</w:t>
      </w:r>
      <w:r w:rsidR="004517D2" w:rsidRPr="0047638B">
        <w:rPr>
          <w:rFonts w:asciiTheme="minorEastAsia" w:eastAsiaTheme="minorEastAsia" w:hAnsiTheme="minorEastAsia"/>
          <w:szCs w:val="24"/>
        </w:rPr>
        <w:t>赎回费用</w:t>
      </w:r>
    </w:p>
    <w:p w14:paraId="08F5FFCE"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（1）A类基金份额的</w:t>
      </w:r>
      <w:r w:rsidRPr="0047638B">
        <w:rPr>
          <w:rFonts w:asciiTheme="minorEastAsia" w:eastAsiaTheme="minorEastAsia" w:hAnsiTheme="minorEastAsia" w:hint="eastAsia"/>
          <w:szCs w:val="24"/>
        </w:rPr>
        <w:t>赎回费率</w:t>
      </w:r>
    </w:p>
    <w:p w14:paraId="0806F8DB" w14:textId="6DDAFDF7" w:rsidR="00E13C79" w:rsidRPr="0047638B" w:rsidRDefault="00C51A3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场外</w:t>
      </w:r>
      <w:r w:rsidR="00A521AE" w:rsidRPr="0047638B">
        <w:rPr>
          <w:rFonts w:asciiTheme="minorEastAsia" w:eastAsiaTheme="minorEastAsia" w:hAnsiTheme="minorEastAsia" w:hint="eastAsia"/>
          <w:szCs w:val="24"/>
        </w:rPr>
        <w:t>A类</w:t>
      </w:r>
      <w:r w:rsidR="00FD1973" w:rsidRPr="0047638B">
        <w:rPr>
          <w:rFonts w:asciiTheme="minorEastAsia" w:eastAsiaTheme="minorEastAsia" w:hAnsiTheme="minorEastAsia" w:hint="eastAsia"/>
          <w:szCs w:val="24"/>
        </w:rPr>
        <w:t>基金</w:t>
      </w:r>
      <w:r w:rsidRPr="0047638B">
        <w:rPr>
          <w:rFonts w:asciiTheme="minorEastAsia" w:eastAsiaTheme="minorEastAsia" w:hAnsiTheme="minorEastAsia" w:hint="eastAsia"/>
          <w:szCs w:val="24"/>
        </w:rPr>
        <w:t>份额的赎回费率与场内</w:t>
      </w:r>
      <w:r w:rsidR="00A521AE" w:rsidRPr="0047638B">
        <w:rPr>
          <w:rFonts w:asciiTheme="minorEastAsia" w:eastAsiaTheme="minorEastAsia" w:hAnsiTheme="minorEastAsia" w:hint="eastAsia"/>
          <w:szCs w:val="24"/>
        </w:rPr>
        <w:t>A类</w:t>
      </w:r>
      <w:r w:rsidR="00FD1973" w:rsidRPr="0047638B">
        <w:rPr>
          <w:rFonts w:asciiTheme="minorEastAsia" w:eastAsiaTheme="minorEastAsia" w:hAnsiTheme="minorEastAsia" w:hint="eastAsia"/>
          <w:szCs w:val="24"/>
        </w:rPr>
        <w:t>基金</w:t>
      </w:r>
      <w:r w:rsidRPr="0047638B">
        <w:rPr>
          <w:rFonts w:asciiTheme="minorEastAsia" w:eastAsiaTheme="minorEastAsia" w:hAnsiTheme="minorEastAsia" w:hint="eastAsia"/>
          <w:szCs w:val="24"/>
        </w:rPr>
        <w:t>份额的赎回费率相同，具体如下：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4825"/>
      </w:tblGrid>
      <w:tr w:rsidR="0047638B" w:rsidRPr="0047638B" w14:paraId="77AE461E" w14:textId="77777777" w:rsidTr="005638E4">
        <w:trPr>
          <w:trHeight w:val="283"/>
        </w:trPr>
        <w:tc>
          <w:tcPr>
            <w:tcW w:w="2094" w:type="pct"/>
            <w:vAlign w:val="center"/>
          </w:tcPr>
          <w:p w14:paraId="0E8591F3" w14:textId="77777777" w:rsidR="00A10762" w:rsidRPr="0047638B" w:rsidRDefault="00A10762"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t>持有期限（天）</w:t>
            </w:r>
          </w:p>
        </w:tc>
        <w:tc>
          <w:tcPr>
            <w:tcW w:w="2906" w:type="pct"/>
            <w:vAlign w:val="center"/>
          </w:tcPr>
          <w:p w14:paraId="353CC715" w14:textId="77777777" w:rsidR="00A10762" w:rsidRPr="0047638B" w:rsidRDefault="00A10762" w:rsidP="006C2189">
            <w:pPr>
              <w:snapToGrid w:val="0"/>
              <w:spacing w:line="360" w:lineRule="auto"/>
              <w:jc w:val="center"/>
              <w:rPr>
                <w:rFonts w:asciiTheme="minorEastAsia" w:eastAsiaTheme="minorEastAsia" w:hAnsiTheme="minorEastAsia"/>
                <w:b/>
              </w:rPr>
            </w:pPr>
            <w:r w:rsidRPr="0047638B">
              <w:rPr>
                <w:rFonts w:asciiTheme="minorEastAsia" w:eastAsiaTheme="minorEastAsia" w:hAnsiTheme="minorEastAsia"/>
                <w:b/>
              </w:rPr>
              <w:t>赎回费率</w:t>
            </w:r>
          </w:p>
        </w:tc>
      </w:tr>
      <w:tr w:rsidR="0047638B" w:rsidRPr="0047638B" w14:paraId="18604443" w14:textId="77777777" w:rsidTr="00CD4785">
        <w:tc>
          <w:tcPr>
            <w:tcW w:w="0" w:type="auto"/>
          </w:tcPr>
          <w:p w14:paraId="73C4F6C3"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hint="eastAsia"/>
              </w:rPr>
              <w:t>0-6</w:t>
            </w:r>
          </w:p>
        </w:tc>
        <w:tc>
          <w:tcPr>
            <w:tcW w:w="0" w:type="auto"/>
          </w:tcPr>
          <w:p w14:paraId="663B9F6F"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hint="eastAsia"/>
              </w:rPr>
              <w:t>1.50%</w:t>
            </w:r>
          </w:p>
        </w:tc>
      </w:tr>
      <w:tr w:rsidR="0047638B" w:rsidRPr="0047638B" w14:paraId="694A9535" w14:textId="77777777">
        <w:tc>
          <w:tcPr>
            <w:tcW w:w="0" w:type="auto"/>
            <w:vAlign w:val="center"/>
          </w:tcPr>
          <w:p w14:paraId="40277723"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hint="eastAsia"/>
              </w:rPr>
              <w:t>7</w:t>
            </w:r>
            <w:r w:rsidRPr="0047638B">
              <w:rPr>
                <w:rFonts w:asciiTheme="minorEastAsia" w:eastAsiaTheme="minorEastAsia" w:hAnsiTheme="minorEastAsia"/>
              </w:rPr>
              <w:t>-364</w:t>
            </w:r>
          </w:p>
        </w:tc>
        <w:tc>
          <w:tcPr>
            <w:tcW w:w="0" w:type="auto"/>
            <w:vAlign w:val="center"/>
          </w:tcPr>
          <w:p w14:paraId="4512476A"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rPr>
              <w:t>0.50%</w:t>
            </w:r>
          </w:p>
        </w:tc>
      </w:tr>
      <w:tr w:rsidR="0047638B" w:rsidRPr="0047638B" w14:paraId="3AE05E00" w14:textId="77777777">
        <w:tc>
          <w:tcPr>
            <w:tcW w:w="0" w:type="auto"/>
            <w:vAlign w:val="center"/>
          </w:tcPr>
          <w:p w14:paraId="6D4AFB13"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rPr>
              <w:t>365-729</w:t>
            </w:r>
          </w:p>
        </w:tc>
        <w:tc>
          <w:tcPr>
            <w:tcW w:w="0" w:type="auto"/>
            <w:vAlign w:val="center"/>
          </w:tcPr>
          <w:p w14:paraId="708F0C86"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rPr>
              <w:t>0.25%</w:t>
            </w:r>
          </w:p>
        </w:tc>
      </w:tr>
      <w:tr w:rsidR="0047638B" w:rsidRPr="0047638B" w14:paraId="262D76CF" w14:textId="77777777">
        <w:tc>
          <w:tcPr>
            <w:tcW w:w="0" w:type="auto"/>
            <w:vAlign w:val="center"/>
          </w:tcPr>
          <w:p w14:paraId="4C830070"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rPr>
              <w:t>730及以上</w:t>
            </w:r>
          </w:p>
        </w:tc>
        <w:tc>
          <w:tcPr>
            <w:tcW w:w="0" w:type="auto"/>
            <w:vAlign w:val="center"/>
          </w:tcPr>
          <w:p w14:paraId="58B4ABBE" w14:textId="77777777" w:rsidR="00411BE7" w:rsidRPr="0047638B" w:rsidRDefault="00411BE7" w:rsidP="00411BE7">
            <w:pPr>
              <w:jc w:val="center"/>
              <w:rPr>
                <w:rFonts w:asciiTheme="minorEastAsia" w:eastAsiaTheme="minorEastAsia" w:hAnsiTheme="minorEastAsia"/>
              </w:rPr>
            </w:pPr>
            <w:r w:rsidRPr="0047638B">
              <w:rPr>
                <w:rFonts w:asciiTheme="minorEastAsia" w:eastAsiaTheme="minorEastAsia" w:hAnsiTheme="minorEastAsia"/>
              </w:rPr>
              <w:t>0.00%</w:t>
            </w:r>
          </w:p>
        </w:tc>
      </w:tr>
    </w:tbl>
    <w:p w14:paraId="14E8904C"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szCs w:val="24"/>
        </w:rPr>
        <w:t>（2）</w:t>
      </w:r>
      <w:r w:rsidRPr="0047638B">
        <w:rPr>
          <w:rFonts w:asciiTheme="minorEastAsia" w:eastAsiaTheme="minorEastAsia" w:hAnsiTheme="minorEastAsia" w:hint="eastAsia"/>
          <w:szCs w:val="21"/>
        </w:rPr>
        <w:t>本基金</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47638B" w:rsidRPr="0047638B" w14:paraId="198380E2" w14:textId="77777777" w:rsidTr="00900340">
        <w:trPr>
          <w:jc w:val="center"/>
        </w:trPr>
        <w:tc>
          <w:tcPr>
            <w:tcW w:w="3870" w:type="dxa"/>
            <w:tcBorders>
              <w:top w:val="single" w:sz="4" w:space="0" w:color="auto"/>
              <w:left w:val="single" w:sz="4" w:space="0" w:color="auto"/>
              <w:bottom w:val="single" w:sz="4" w:space="0" w:color="auto"/>
              <w:right w:val="single" w:sz="4" w:space="0" w:color="auto"/>
            </w:tcBorders>
            <w:vAlign w:val="center"/>
            <w:hideMark/>
          </w:tcPr>
          <w:p w14:paraId="38F48150" w14:textId="77777777" w:rsidR="00A521AE" w:rsidRPr="0047638B" w:rsidRDefault="00A521AE" w:rsidP="00900340">
            <w:pPr>
              <w:widowControl/>
              <w:spacing w:line="360" w:lineRule="auto"/>
              <w:jc w:val="center"/>
              <w:rPr>
                <w:rFonts w:asciiTheme="minorEastAsia" w:eastAsiaTheme="minorEastAsia" w:hAnsiTheme="minorEastAsia"/>
                <w:kern w:val="0"/>
                <w:szCs w:val="21"/>
              </w:rPr>
            </w:pPr>
            <w:r w:rsidRPr="0047638B">
              <w:rPr>
                <w:rFonts w:asciiTheme="minorEastAsia" w:eastAsiaTheme="minorEastAsia" w:hAnsiTheme="minorEastAsia"/>
                <w:b/>
              </w:rPr>
              <w:t>持有期限（天）</w:t>
            </w:r>
          </w:p>
        </w:tc>
        <w:tc>
          <w:tcPr>
            <w:tcW w:w="3798" w:type="dxa"/>
            <w:tcBorders>
              <w:top w:val="single" w:sz="4" w:space="0" w:color="auto"/>
              <w:left w:val="single" w:sz="4" w:space="0" w:color="auto"/>
              <w:bottom w:val="single" w:sz="4" w:space="0" w:color="auto"/>
              <w:right w:val="single" w:sz="4" w:space="0" w:color="auto"/>
            </w:tcBorders>
            <w:vAlign w:val="center"/>
            <w:hideMark/>
          </w:tcPr>
          <w:p w14:paraId="17119B67" w14:textId="77777777" w:rsidR="00A521AE" w:rsidRPr="0047638B" w:rsidRDefault="00A521AE" w:rsidP="00900340">
            <w:pPr>
              <w:widowControl/>
              <w:spacing w:line="360" w:lineRule="auto"/>
              <w:jc w:val="center"/>
              <w:rPr>
                <w:rFonts w:asciiTheme="minorEastAsia" w:eastAsiaTheme="minorEastAsia" w:hAnsiTheme="minorEastAsia"/>
                <w:kern w:val="0"/>
                <w:szCs w:val="21"/>
              </w:rPr>
            </w:pPr>
            <w:r w:rsidRPr="0047638B">
              <w:rPr>
                <w:rFonts w:asciiTheme="minorEastAsia" w:eastAsiaTheme="minorEastAsia" w:hAnsiTheme="minorEastAsia"/>
                <w:b/>
              </w:rPr>
              <w:t>赎回费率</w:t>
            </w:r>
          </w:p>
        </w:tc>
      </w:tr>
      <w:tr w:rsidR="0047638B" w:rsidRPr="0047638B" w14:paraId="361705A1" w14:textId="77777777" w:rsidTr="00900340">
        <w:trPr>
          <w:jc w:val="center"/>
        </w:trPr>
        <w:tc>
          <w:tcPr>
            <w:tcW w:w="3870" w:type="dxa"/>
            <w:tcBorders>
              <w:top w:val="single" w:sz="4" w:space="0" w:color="auto"/>
              <w:left w:val="single" w:sz="4" w:space="0" w:color="auto"/>
              <w:bottom w:val="single" w:sz="4" w:space="0" w:color="auto"/>
              <w:right w:val="single" w:sz="4" w:space="0" w:color="auto"/>
            </w:tcBorders>
            <w:hideMark/>
          </w:tcPr>
          <w:p w14:paraId="64F415FF" w14:textId="77777777" w:rsidR="00A521AE" w:rsidRPr="0047638B" w:rsidRDefault="00A521AE" w:rsidP="00900340">
            <w:pPr>
              <w:widowControl/>
              <w:spacing w:line="360" w:lineRule="auto"/>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0-6</w:t>
            </w:r>
          </w:p>
        </w:tc>
        <w:tc>
          <w:tcPr>
            <w:tcW w:w="3798" w:type="dxa"/>
            <w:tcBorders>
              <w:top w:val="single" w:sz="4" w:space="0" w:color="auto"/>
              <w:left w:val="single" w:sz="4" w:space="0" w:color="auto"/>
              <w:bottom w:val="single" w:sz="4" w:space="0" w:color="auto"/>
              <w:right w:val="single" w:sz="4" w:space="0" w:color="auto"/>
            </w:tcBorders>
            <w:hideMark/>
          </w:tcPr>
          <w:p w14:paraId="02FCC4D0" w14:textId="77777777" w:rsidR="00A521AE" w:rsidRPr="0047638B" w:rsidRDefault="00A521AE" w:rsidP="00900340">
            <w:pPr>
              <w:widowControl/>
              <w:spacing w:line="360" w:lineRule="auto"/>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1.50%</w:t>
            </w:r>
          </w:p>
        </w:tc>
      </w:tr>
      <w:tr w:rsidR="0047638B" w:rsidRPr="0047638B" w14:paraId="49D4CECC" w14:textId="77777777" w:rsidTr="00900340">
        <w:trPr>
          <w:jc w:val="center"/>
        </w:trPr>
        <w:tc>
          <w:tcPr>
            <w:tcW w:w="3870" w:type="dxa"/>
            <w:tcBorders>
              <w:top w:val="single" w:sz="4" w:space="0" w:color="auto"/>
              <w:left w:val="single" w:sz="4" w:space="0" w:color="auto"/>
              <w:bottom w:val="single" w:sz="4" w:space="0" w:color="auto"/>
              <w:right w:val="single" w:sz="4" w:space="0" w:color="auto"/>
            </w:tcBorders>
            <w:hideMark/>
          </w:tcPr>
          <w:p w14:paraId="2C3FAF75" w14:textId="77777777" w:rsidR="00A521AE" w:rsidRPr="0047638B" w:rsidRDefault="00A521AE" w:rsidP="00900340">
            <w:pPr>
              <w:widowControl/>
              <w:spacing w:line="360" w:lineRule="auto"/>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7</w:t>
            </w:r>
            <w:r w:rsidRPr="0047638B">
              <w:rPr>
                <w:rFonts w:asciiTheme="minorEastAsia" w:eastAsiaTheme="minorEastAsia" w:hAnsiTheme="minorEastAsia" w:hint="eastAsia"/>
                <w:kern w:val="0"/>
                <w:szCs w:val="21"/>
              </w:rPr>
              <w:t>及以上</w:t>
            </w:r>
          </w:p>
        </w:tc>
        <w:tc>
          <w:tcPr>
            <w:tcW w:w="3798" w:type="dxa"/>
            <w:tcBorders>
              <w:top w:val="single" w:sz="4" w:space="0" w:color="auto"/>
              <w:left w:val="single" w:sz="4" w:space="0" w:color="auto"/>
              <w:bottom w:val="single" w:sz="4" w:space="0" w:color="auto"/>
              <w:right w:val="single" w:sz="4" w:space="0" w:color="auto"/>
            </w:tcBorders>
            <w:hideMark/>
          </w:tcPr>
          <w:p w14:paraId="223AEE4D" w14:textId="77777777" w:rsidR="00A521AE" w:rsidRPr="0047638B" w:rsidRDefault="00A521AE" w:rsidP="00900340">
            <w:pPr>
              <w:widowControl/>
              <w:spacing w:line="360" w:lineRule="auto"/>
              <w:jc w:val="center"/>
              <w:rPr>
                <w:rFonts w:asciiTheme="minorEastAsia" w:eastAsiaTheme="minorEastAsia" w:hAnsiTheme="minorEastAsia"/>
                <w:kern w:val="0"/>
                <w:szCs w:val="21"/>
              </w:rPr>
            </w:pPr>
            <w:r w:rsidRPr="0047638B">
              <w:rPr>
                <w:rFonts w:asciiTheme="minorEastAsia" w:eastAsiaTheme="minorEastAsia" w:hAnsiTheme="minorEastAsia"/>
                <w:kern w:val="0"/>
                <w:szCs w:val="21"/>
              </w:rPr>
              <w:t>0.00%</w:t>
            </w:r>
          </w:p>
        </w:tc>
      </w:tr>
    </w:tbl>
    <w:p w14:paraId="3933B46C" w14:textId="1495DD21" w:rsidR="00E13C79" w:rsidRPr="0047638B" w:rsidRDefault="00FA7476"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w:t>
      </w:r>
      <w:r w:rsidR="00803843" w:rsidRPr="0047638B">
        <w:rPr>
          <w:rFonts w:asciiTheme="minorEastAsia" w:eastAsiaTheme="minorEastAsia" w:hAnsiTheme="minorEastAsia"/>
          <w:szCs w:val="24"/>
        </w:rPr>
        <w:t>、</w:t>
      </w:r>
      <w:r w:rsidR="00CD01D1" w:rsidRPr="0047638B">
        <w:rPr>
          <w:rFonts w:asciiTheme="minorEastAsia" w:eastAsiaTheme="minorEastAsia" w:hAnsiTheme="minorEastAsia"/>
          <w:szCs w:val="24"/>
        </w:rPr>
        <w:t>申购费用由基金申购投资者承担，不列入基金财产，主要用于本基金的市场推广、销售、登记结算等各项费用。</w:t>
      </w:r>
    </w:p>
    <w:p w14:paraId="0F9D692E" w14:textId="5450EFD0" w:rsidR="005A6275" w:rsidRPr="0047638B" w:rsidRDefault="00FA7476"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w:t>
      </w:r>
      <w:r w:rsidR="00803843" w:rsidRPr="0047638B">
        <w:rPr>
          <w:rFonts w:asciiTheme="minorEastAsia" w:eastAsiaTheme="minorEastAsia" w:hAnsiTheme="minorEastAsia"/>
          <w:szCs w:val="24"/>
        </w:rPr>
        <w:t>、</w:t>
      </w:r>
      <w:r w:rsidR="005A6275" w:rsidRPr="0047638B">
        <w:rPr>
          <w:rFonts w:asciiTheme="minorEastAsia" w:eastAsiaTheme="minorEastAsia" w:hAnsiTheme="minorEastAsia"/>
          <w:szCs w:val="24"/>
        </w:rPr>
        <w:t>赎回费用由赎回基金份额的基金份额持有人承担，在基金份额持有人赎回基金份额时收取。</w:t>
      </w:r>
      <w:r w:rsidR="00411BE7" w:rsidRPr="0047638B">
        <w:rPr>
          <w:rFonts w:asciiTheme="minorEastAsia" w:eastAsiaTheme="minorEastAsia" w:hAnsiTheme="minorEastAsia" w:hint="eastAsia"/>
          <w:szCs w:val="21"/>
        </w:rPr>
        <w:t>基金管理人对持有期少于7天（不含）的基金份额持有人所收取赎回费全额计入基金财产，对持有期在7天以上（含）的基金份额持有人所收取赎回费用总额的25%计入基金资产</w:t>
      </w:r>
      <w:r w:rsidR="005A6275" w:rsidRPr="0047638B">
        <w:rPr>
          <w:rFonts w:asciiTheme="minorEastAsia" w:eastAsiaTheme="minorEastAsia" w:hAnsiTheme="minorEastAsia"/>
          <w:szCs w:val="24"/>
        </w:rPr>
        <w:t>，其余用于支付登记结算费等其他相关手续费。</w:t>
      </w:r>
    </w:p>
    <w:p w14:paraId="24D8CA4D" w14:textId="400CDA93" w:rsidR="00C51A30" w:rsidRPr="0047638B" w:rsidRDefault="00FA7476"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w:t>
      </w:r>
      <w:r w:rsidR="00C51A30" w:rsidRPr="0047638B">
        <w:rPr>
          <w:rFonts w:asciiTheme="minorEastAsia" w:eastAsiaTheme="minorEastAsia" w:hAnsiTheme="minorEastAsia"/>
          <w:szCs w:val="24"/>
        </w:rPr>
        <w:t>、基金管理人可以在《基金合同》约定的范围内调整费率或收费方式，并最迟应于新的费率或收费方式实施日前依照有关规定在</w:t>
      </w:r>
      <w:r w:rsidR="00FD1973" w:rsidRPr="0047638B">
        <w:rPr>
          <w:rFonts w:asciiTheme="minorEastAsia" w:eastAsiaTheme="minorEastAsia" w:hAnsiTheme="minorEastAsia"/>
          <w:szCs w:val="24"/>
        </w:rPr>
        <w:t>规定媒介</w:t>
      </w:r>
      <w:r w:rsidR="00C51A30" w:rsidRPr="0047638B">
        <w:rPr>
          <w:rFonts w:asciiTheme="minorEastAsia" w:eastAsiaTheme="minorEastAsia" w:hAnsiTheme="minorEastAsia"/>
          <w:szCs w:val="24"/>
        </w:rPr>
        <w:t>上公告。</w:t>
      </w:r>
    </w:p>
    <w:p w14:paraId="2BD5B57B" w14:textId="482A1557" w:rsidR="005A6275" w:rsidRPr="0047638B" w:rsidRDefault="00FA7476"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7</w:t>
      </w:r>
      <w:r w:rsidR="00803843" w:rsidRPr="0047638B">
        <w:rPr>
          <w:rFonts w:asciiTheme="minorEastAsia" w:eastAsiaTheme="minorEastAsia" w:hAnsiTheme="minorEastAsia"/>
          <w:szCs w:val="24"/>
        </w:rPr>
        <w:t>、</w:t>
      </w:r>
      <w:r w:rsidR="005A6275" w:rsidRPr="0047638B">
        <w:rPr>
          <w:rFonts w:asciiTheme="minorEastAsia" w:eastAsiaTheme="minorEastAsia" w:hAnsiTheme="minorEastAsia"/>
          <w:szCs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409FEA6D"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（八）</w:t>
      </w:r>
      <w:r w:rsidR="00E13C79" w:rsidRPr="0047638B">
        <w:rPr>
          <w:rFonts w:asciiTheme="minorEastAsia" w:eastAsiaTheme="minorEastAsia" w:hAnsiTheme="minorEastAsia"/>
        </w:rPr>
        <w:t>申购</w:t>
      </w:r>
      <w:r w:rsidR="00F77EC0" w:rsidRPr="0047638B">
        <w:rPr>
          <w:rFonts w:asciiTheme="minorEastAsia" w:eastAsiaTheme="minorEastAsia" w:hAnsiTheme="minorEastAsia"/>
        </w:rPr>
        <w:t>和</w:t>
      </w:r>
      <w:r w:rsidR="00E13C79" w:rsidRPr="0047638B">
        <w:rPr>
          <w:rFonts w:asciiTheme="minorEastAsia" w:eastAsiaTheme="minorEastAsia" w:hAnsiTheme="minorEastAsia"/>
        </w:rPr>
        <w:t>赎回</w:t>
      </w:r>
      <w:r w:rsidR="00F77EC0" w:rsidRPr="0047638B">
        <w:rPr>
          <w:rFonts w:asciiTheme="minorEastAsia" w:eastAsiaTheme="minorEastAsia" w:hAnsiTheme="minorEastAsia"/>
        </w:rPr>
        <w:t>的数额和价格</w:t>
      </w:r>
    </w:p>
    <w:p w14:paraId="51F14105" w14:textId="7494ED9B" w:rsidR="000B6833" w:rsidRPr="0047638B" w:rsidRDefault="00982A4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A521AE" w:rsidRPr="0047638B">
        <w:rPr>
          <w:rFonts w:asciiTheme="minorEastAsia" w:eastAsiaTheme="minorEastAsia" w:hAnsiTheme="minorEastAsia" w:hint="eastAsia"/>
          <w:szCs w:val="21"/>
        </w:rPr>
        <w:t>本基金分为</w:t>
      </w:r>
      <w:r w:rsidR="00A521AE" w:rsidRPr="0047638B">
        <w:rPr>
          <w:rFonts w:asciiTheme="minorEastAsia" w:eastAsiaTheme="minorEastAsia" w:hAnsiTheme="minorEastAsia"/>
          <w:szCs w:val="21"/>
        </w:rPr>
        <w:t>A</w:t>
      </w:r>
      <w:r w:rsidR="00A521AE" w:rsidRPr="0047638B">
        <w:rPr>
          <w:rFonts w:asciiTheme="minorEastAsia" w:eastAsiaTheme="minorEastAsia" w:hAnsiTheme="minorEastAsia" w:hint="eastAsia"/>
          <w:szCs w:val="21"/>
        </w:rPr>
        <w:t>类和</w:t>
      </w:r>
      <w:r w:rsidR="00A521AE" w:rsidRPr="0047638B">
        <w:rPr>
          <w:rFonts w:asciiTheme="minorEastAsia" w:eastAsiaTheme="minorEastAsia" w:hAnsiTheme="minorEastAsia"/>
          <w:szCs w:val="21"/>
        </w:rPr>
        <w:t>C</w:t>
      </w:r>
      <w:r w:rsidR="00A521AE" w:rsidRPr="0047638B">
        <w:rPr>
          <w:rFonts w:asciiTheme="minorEastAsia" w:eastAsiaTheme="minorEastAsia" w:hAnsiTheme="minorEastAsia" w:hint="eastAsia"/>
          <w:szCs w:val="21"/>
        </w:rPr>
        <w:t>类两类基金份额，两类基金份额单独设置基金代码，分别计算和公告基金份额净值。</w:t>
      </w:r>
      <w:r w:rsidR="001A4D6C" w:rsidRPr="0047638B">
        <w:rPr>
          <w:rFonts w:asciiTheme="minorEastAsia" w:eastAsiaTheme="minorEastAsia" w:hAnsiTheme="minorEastAsia"/>
          <w:szCs w:val="24"/>
        </w:rPr>
        <w:t>基金份额净值的计算，保留到小数点后4位，小数点后第5位四舍五入，由此产生的收益或损失由基金财产承担。T日的基金份额净值在当天收市后计算，并在T+1日内公告。遇特殊情况，基金管理人可以适当延迟计算或公告。</w:t>
      </w:r>
    </w:p>
    <w:p w14:paraId="2F584C76" w14:textId="77777777" w:rsidR="00E13C79" w:rsidRPr="0047638B" w:rsidRDefault="00982A4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E13C79" w:rsidRPr="0047638B">
        <w:rPr>
          <w:rFonts w:asciiTheme="minorEastAsia" w:eastAsiaTheme="minorEastAsia" w:hAnsiTheme="minorEastAsia"/>
          <w:szCs w:val="24"/>
        </w:rPr>
        <w:t>申购份额的计算</w:t>
      </w:r>
    </w:p>
    <w:p w14:paraId="68D3F271"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1</w:t>
      </w:r>
      <w:r w:rsidRPr="0047638B">
        <w:rPr>
          <w:rFonts w:asciiTheme="minorEastAsia" w:eastAsiaTheme="minorEastAsia" w:hAnsiTheme="minorEastAsia" w:hint="eastAsia"/>
          <w:szCs w:val="21"/>
        </w:rPr>
        <w:t>）若投资人选择</w:t>
      </w:r>
      <w:r w:rsidRPr="0047638B">
        <w:rPr>
          <w:rFonts w:asciiTheme="minorEastAsia" w:eastAsiaTheme="minorEastAsia" w:hAnsiTheme="minorEastAsia"/>
          <w:szCs w:val="21"/>
        </w:rPr>
        <w:t>A</w:t>
      </w:r>
      <w:r w:rsidRPr="0047638B">
        <w:rPr>
          <w:rFonts w:asciiTheme="minorEastAsia" w:eastAsiaTheme="minorEastAsia" w:hAnsiTheme="minorEastAsia" w:hint="eastAsia"/>
          <w:szCs w:val="21"/>
        </w:rPr>
        <w:t>类基金份额，则申购份额的计算公式如下：</w:t>
      </w:r>
    </w:p>
    <w:p w14:paraId="697A171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申购金额包括申购费用和净申购金额。登记结算机构根据单次申购的实际确认金额确定每次申购所适用的费率并分别计算。</w:t>
      </w:r>
    </w:p>
    <w:p w14:paraId="0BD3DCF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当申购费用适用比例费率时，申购份额的计算方法如下：</w:t>
      </w:r>
    </w:p>
    <w:p w14:paraId="59D0B7E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净申购金额＝申购金额/（1＋申购费率）</w:t>
      </w:r>
    </w:p>
    <w:p w14:paraId="372B563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申购费用＝申购金额－净申购金额</w:t>
      </w:r>
    </w:p>
    <w:p w14:paraId="1497FC50" w14:textId="6B1B36D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申购份额＝净申购金额/T日</w:t>
      </w:r>
      <w:r w:rsidR="00A521AE"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基金份额净值</w:t>
      </w:r>
    </w:p>
    <w:p w14:paraId="25B74B9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当申购费用为固定金额时，申购份额的计算方法如下：</w:t>
      </w:r>
    </w:p>
    <w:p w14:paraId="03DC11D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申购费用＝固定金额</w:t>
      </w:r>
    </w:p>
    <w:p w14:paraId="2CA41B4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净申购金额=申购金额－申购费用</w:t>
      </w:r>
    </w:p>
    <w:p w14:paraId="2EB6330E" w14:textId="4B275FE1"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申购份额＝净申购金额/T日</w:t>
      </w:r>
      <w:r w:rsidR="00A521AE"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基金份额净值</w:t>
      </w:r>
    </w:p>
    <w:p w14:paraId="1ED15A88" w14:textId="183360CA"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申购费用以四舍五入方式保留到小数点后两位。通过场外方式进行申购</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szCs w:val="24"/>
        </w:rPr>
        <w:t>的，申购份额计算结果按四舍五入方法，保留到小数点后两位，由此误差产生的收益或损失由基金财产承担；通过场内方式进行申购</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szCs w:val="24"/>
        </w:rPr>
        <w:t>的，申购份额计算结果采用截尾法保留至整数位，不足1份部分对应的申购资金将返还给投资者。</w:t>
      </w:r>
    </w:p>
    <w:p w14:paraId="608AE0F5" w14:textId="11817F94"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举例说明：</w:t>
      </w:r>
    </w:p>
    <w:p w14:paraId="4AE4F0C5" w14:textId="3008037E"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某投资者（特定投资群体）场外申购本基金</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szCs w:val="24"/>
        </w:rPr>
        <w:t>100,000元，对应的申购费率为0.1%，假设申购当日</w:t>
      </w:r>
      <w:r w:rsidR="00A521AE"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基金份额净值为1.1100元，则可得到的</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szCs w:val="24"/>
        </w:rPr>
        <w:t>为：</w:t>
      </w:r>
    </w:p>
    <w:p w14:paraId="4BF5804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净申购金额＝100,000/（1+0.1%）＝99,900.10元</w:t>
      </w:r>
    </w:p>
    <w:p w14:paraId="2446B49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申购费用＝100,000－99,900.10＝99.90元</w:t>
      </w:r>
    </w:p>
    <w:p w14:paraId="478A5F9E" w14:textId="6AC66942"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申购份额＝99,900.10／1.1100＝90,000.09份</w:t>
      </w:r>
    </w:p>
    <w:p w14:paraId="2282FFAD" w14:textId="3E7AD17D"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即：该投资者场外申购100,000元</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szCs w:val="24"/>
        </w:rPr>
        <w:t>，</w:t>
      </w:r>
      <w:r w:rsidR="00FD1973" w:rsidRPr="0047638B">
        <w:rPr>
          <w:rFonts w:asciiTheme="minorEastAsia" w:eastAsiaTheme="minorEastAsia" w:hAnsiTheme="minorEastAsia" w:hint="eastAsia"/>
        </w:rPr>
        <w:t>假设申购当日</w:t>
      </w:r>
      <w:r w:rsidR="00A521AE" w:rsidRPr="0047638B">
        <w:rPr>
          <w:rFonts w:asciiTheme="minorEastAsia" w:eastAsiaTheme="minorEastAsia" w:hAnsiTheme="minorEastAsia" w:hint="eastAsia"/>
        </w:rPr>
        <w:t>A类</w:t>
      </w:r>
      <w:r w:rsidR="00FD1973" w:rsidRPr="0047638B">
        <w:rPr>
          <w:rFonts w:asciiTheme="minorEastAsia" w:eastAsiaTheme="minorEastAsia" w:hAnsiTheme="minorEastAsia" w:hint="eastAsia"/>
        </w:rPr>
        <w:t>基金份额净值为1.1100元,</w:t>
      </w:r>
      <w:r w:rsidRPr="0047638B">
        <w:rPr>
          <w:rFonts w:asciiTheme="minorEastAsia" w:eastAsiaTheme="minorEastAsia" w:hAnsiTheme="minorEastAsia"/>
          <w:szCs w:val="24"/>
        </w:rPr>
        <w:t>可得到90,000.09份</w:t>
      </w:r>
      <w:r w:rsidR="00A521AE"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w:t>
      </w:r>
    </w:p>
    <w:p w14:paraId="16974A12" w14:textId="08C384A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举例说明：</w:t>
      </w:r>
    </w:p>
    <w:p w14:paraId="45014D2F" w14:textId="4FC49EC8" w:rsidR="00435290" w:rsidRPr="0047638B" w:rsidRDefault="00435290" w:rsidP="00435290">
      <w:pPr>
        <w:snapToGrid w:val="0"/>
        <w:spacing w:line="360" w:lineRule="auto"/>
        <w:ind w:firstLine="420"/>
        <w:rPr>
          <w:rFonts w:asciiTheme="minorEastAsia" w:eastAsiaTheme="minorEastAsia" w:hAnsiTheme="minorEastAsia"/>
          <w:kern w:val="0"/>
          <w:szCs w:val="21"/>
        </w:rPr>
      </w:pPr>
      <w:r w:rsidRPr="0047638B">
        <w:rPr>
          <w:rFonts w:asciiTheme="minorEastAsia" w:eastAsiaTheme="minorEastAsia" w:hAnsiTheme="minorEastAsia" w:hint="eastAsia"/>
        </w:rPr>
        <w:t>某投资者场内申购本基金</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hint="eastAsia"/>
        </w:rPr>
        <w:t>100,000元，对应的申购费率为0，假设申购当日的</w:t>
      </w:r>
      <w:r w:rsidR="00A521AE" w:rsidRPr="0047638B">
        <w:rPr>
          <w:rFonts w:asciiTheme="minorEastAsia" w:eastAsiaTheme="minorEastAsia" w:hAnsiTheme="minorEastAsia" w:hint="eastAsia"/>
        </w:rPr>
        <w:t>A类</w:t>
      </w:r>
      <w:r w:rsidRPr="0047638B">
        <w:rPr>
          <w:rFonts w:asciiTheme="minorEastAsia" w:eastAsiaTheme="minorEastAsia" w:hAnsiTheme="minorEastAsia" w:hint="eastAsia"/>
        </w:rPr>
        <w:t>基金份额净值为1.1100元，则可得到的</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hint="eastAsia"/>
        </w:rPr>
        <w:t>为：</w:t>
      </w:r>
    </w:p>
    <w:p w14:paraId="5DFAEA33" w14:textId="77777777" w:rsidR="00435290" w:rsidRPr="0047638B" w:rsidRDefault="00435290" w:rsidP="00435290">
      <w:pPr>
        <w:snapToGrid w:val="0"/>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申购份额＝100,000/1.1100=90,090.0</w:t>
      </w:r>
      <w:r w:rsidR="00E24E7C" w:rsidRPr="0047638B">
        <w:rPr>
          <w:rFonts w:asciiTheme="minorEastAsia" w:eastAsiaTheme="minorEastAsia" w:hAnsiTheme="minorEastAsia"/>
        </w:rPr>
        <w:t>9</w:t>
      </w:r>
      <w:r w:rsidRPr="0047638B">
        <w:rPr>
          <w:rFonts w:asciiTheme="minorEastAsia" w:eastAsiaTheme="minorEastAsia" w:hAnsiTheme="minorEastAsia" w:hint="eastAsia"/>
        </w:rPr>
        <w:t>份</w:t>
      </w:r>
    </w:p>
    <w:p w14:paraId="7DF79677" w14:textId="362C06A2" w:rsidR="00435290" w:rsidRPr="0047638B" w:rsidRDefault="00435290" w:rsidP="00435290">
      <w:pPr>
        <w:snapToGrid w:val="0"/>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因场内申购份额计算结果采用截尾法保留至整数份，故投资者申购所得</w:t>
      </w:r>
      <w:r w:rsidR="00A521AE" w:rsidRPr="0047638B">
        <w:rPr>
          <w:rFonts w:asciiTheme="minorEastAsia" w:eastAsiaTheme="minorEastAsia" w:hAnsiTheme="minorEastAsia"/>
          <w:szCs w:val="24"/>
        </w:rPr>
        <w:t>A类基金</w:t>
      </w:r>
      <w:r w:rsidRPr="0047638B">
        <w:rPr>
          <w:rFonts w:asciiTheme="minorEastAsia" w:eastAsiaTheme="minorEastAsia" w:hAnsiTheme="minorEastAsia" w:hint="eastAsia"/>
        </w:rPr>
        <w:t>份额为90,090份，不足1份部分对应的申购资金将返还给投资者。具体计算公式为：</w:t>
      </w:r>
    </w:p>
    <w:p w14:paraId="1E5461AC" w14:textId="77777777" w:rsidR="00435290" w:rsidRPr="0047638B" w:rsidRDefault="00435290" w:rsidP="00435290">
      <w:pPr>
        <w:snapToGrid w:val="0"/>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实际净申购金额＝90,090×1.1100=99,999.9元</w:t>
      </w:r>
    </w:p>
    <w:p w14:paraId="2633C280" w14:textId="77777777" w:rsidR="00435290" w:rsidRPr="0047638B" w:rsidRDefault="00435290" w:rsidP="00435290">
      <w:pPr>
        <w:snapToGrid w:val="0"/>
        <w:spacing w:line="360" w:lineRule="auto"/>
        <w:ind w:firstLine="420"/>
        <w:rPr>
          <w:rFonts w:asciiTheme="minorEastAsia" w:eastAsiaTheme="minorEastAsia" w:hAnsiTheme="minorEastAsia"/>
        </w:rPr>
      </w:pPr>
      <w:r w:rsidRPr="0047638B">
        <w:rPr>
          <w:rFonts w:asciiTheme="minorEastAsia" w:eastAsiaTheme="minorEastAsia" w:hAnsiTheme="minorEastAsia" w:hint="eastAsia"/>
        </w:rPr>
        <w:t>退款金额＝100,000-99,999.9=0.10元</w:t>
      </w:r>
    </w:p>
    <w:p w14:paraId="2AB97920" w14:textId="450C4DA0" w:rsidR="00E13C79" w:rsidRPr="0047638B" w:rsidRDefault="0043529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rPr>
        <w:t>即：该投资者场内申购本基金</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hint="eastAsia"/>
        </w:rPr>
        <w:t>100,000元，假设申购当日的</w:t>
      </w:r>
      <w:r w:rsidR="00A521AE" w:rsidRPr="0047638B">
        <w:rPr>
          <w:rFonts w:asciiTheme="minorEastAsia" w:eastAsiaTheme="minorEastAsia" w:hAnsiTheme="minorEastAsia" w:hint="eastAsia"/>
        </w:rPr>
        <w:t>A类</w:t>
      </w:r>
      <w:r w:rsidRPr="0047638B">
        <w:rPr>
          <w:rFonts w:asciiTheme="minorEastAsia" w:eastAsiaTheme="minorEastAsia" w:hAnsiTheme="minorEastAsia" w:hint="eastAsia"/>
        </w:rPr>
        <w:t>基金份额净值为1.1100元，则其可得到90,090份</w:t>
      </w:r>
      <w:r w:rsidR="00A521AE" w:rsidRPr="0047638B">
        <w:rPr>
          <w:rFonts w:asciiTheme="minorEastAsia" w:eastAsiaTheme="minorEastAsia" w:hAnsiTheme="minorEastAsia"/>
          <w:szCs w:val="24"/>
        </w:rPr>
        <w:t>A类基金份额</w:t>
      </w:r>
      <w:r w:rsidRPr="0047638B">
        <w:rPr>
          <w:rFonts w:asciiTheme="minorEastAsia" w:eastAsiaTheme="minorEastAsia" w:hAnsiTheme="minorEastAsia" w:hint="eastAsia"/>
        </w:rPr>
        <w:t>，退款0.10元。</w:t>
      </w:r>
    </w:p>
    <w:p w14:paraId="7B061B8C"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2</w:t>
      </w:r>
      <w:r w:rsidRPr="0047638B">
        <w:rPr>
          <w:rFonts w:asciiTheme="minorEastAsia" w:eastAsiaTheme="minorEastAsia" w:hAnsiTheme="minorEastAsia" w:hint="eastAsia"/>
          <w:szCs w:val="21"/>
        </w:rPr>
        <w:t>）若投资人选择</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类基金份额，则申购份额的计算公式如下：</w:t>
      </w:r>
    </w:p>
    <w:p w14:paraId="345BCD82"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申购份额</w:t>
      </w:r>
      <w:r w:rsidRPr="0047638B">
        <w:rPr>
          <w:rFonts w:asciiTheme="minorEastAsia" w:eastAsiaTheme="minorEastAsia" w:hAnsiTheme="minorEastAsia"/>
          <w:szCs w:val="21"/>
        </w:rPr>
        <w:t>=</w:t>
      </w:r>
      <w:r w:rsidRPr="0047638B">
        <w:rPr>
          <w:rFonts w:asciiTheme="minorEastAsia" w:eastAsiaTheme="minorEastAsia" w:hAnsiTheme="minorEastAsia" w:hint="eastAsia"/>
          <w:szCs w:val="21"/>
        </w:rPr>
        <w:t>申购金额</w:t>
      </w:r>
      <w:r w:rsidRPr="0047638B">
        <w:rPr>
          <w:rFonts w:asciiTheme="minorEastAsia" w:eastAsiaTheme="minorEastAsia" w:hAnsiTheme="minorEastAsia"/>
          <w:szCs w:val="21"/>
        </w:rPr>
        <w:t>/ T</w:t>
      </w:r>
      <w:r w:rsidRPr="0047638B">
        <w:rPr>
          <w:rFonts w:asciiTheme="minorEastAsia" w:eastAsiaTheme="minorEastAsia" w:hAnsiTheme="minorEastAsia" w:hint="eastAsia"/>
          <w:szCs w:val="21"/>
        </w:rPr>
        <w:t>日</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类基金份额净值</w:t>
      </w:r>
      <w:r w:rsidRPr="0047638B">
        <w:rPr>
          <w:rFonts w:asciiTheme="minorEastAsia" w:eastAsiaTheme="minorEastAsia" w:hAnsiTheme="minorEastAsia"/>
          <w:szCs w:val="21"/>
        </w:rPr>
        <w:t xml:space="preserve"> </w:t>
      </w:r>
    </w:p>
    <w:p w14:paraId="40E7D39C"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举例说明：</w:t>
      </w:r>
    </w:p>
    <w:p w14:paraId="18ADEA48"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某投资人投资</w:t>
      </w:r>
      <w:r w:rsidRPr="0047638B">
        <w:rPr>
          <w:rFonts w:asciiTheme="minorEastAsia" w:eastAsiaTheme="minorEastAsia" w:hAnsiTheme="minorEastAsia"/>
          <w:szCs w:val="21"/>
        </w:rPr>
        <w:t>100,000</w:t>
      </w:r>
      <w:r w:rsidRPr="0047638B">
        <w:rPr>
          <w:rFonts w:asciiTheme="minorEastAsia" w:eastAsiaTheme="minorEastAsia" w:hAnsiTheme="minorEastAsia" w:hint="eastAsia"/>
          <w:szCs w:val="21"/>
        </w:rPr>
        <w:t>元申购本基金</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类基金份额，假设申购当日</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类基金份额净值为</w:t>
      </w:r>
      <w:r w:rsidRPr="0047638B">
        <w:rPr>
          <w:rFonts w:asciiTheme="minorEastAsia" w:eastAsiaTheme="minorEastAsia" w:hAnsiTheme="minorEastAsia"/>
          <w:szCs w:val="21"/>
        </w:rPr>
        <w:t>1.0400</w:t>
      </w:r>
      <w:r w:rsidRPr="0047638B">
        <w:rPr>
          <w:rFonts w:asciiTheme="minorEastAsia" w:eastAsiaTheme="minorEastAsia" w:hAnsiTheme="minorEastAsia" w:hint="eastAsia"/>
          <w:szCs w:val="21"/>
        </w:rPr>
        <w:t>元，则其可得到的申购份额为：</w:t>
      </w:r>
      <w:r w:rsidRPr="0047638B">
        <w:rPr>
          <w:rFonts w:asciiTheme="minorEastAsia" w:eastAsiaTheme="minorEastAsia" w:hAnsiTheme="minorEastAsia"/>
          <w:szCs w:val="21"/>
        </w:rPr>
        <w:t xml:space="preserve"> </w:t>
      </w:r>
    </w:p>
    <w:p w14:paraId="4BC3B8F0"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申购份额</w:t>
      </w:r>
      <w:r w:rsidRPr="0047638B">
        <w:rPr>
          <w:rFonts w:asciiTheme="minorEastAsia" w:eastAsiaTheme="minorEastAsia" w:hAnsiTheme="minorEastAsia"/>
          <w:szCs w:val="21"/>
        </w:rPr>
        <w:t>=100,000/1.0400=96,153.85</w:t>
      </w:r>
      <w:r w:rsidRPr="0047638B">
        <w:rPr>
          <w:rFonts w:asciiTheme="minorEastAsia" w:eastAsiaTheme="minorEastAsia" w:hAnsiTheme="minorEastAsia" w:hint="eastAsia"/>
          <w:szCs w:val="21"/>
        </w:rPr>
        <w:t>份</w:t>
      </w:r>
    </w:p>
    <w:p w14:paraId="28688530" w14:textId="2E9AA2E2" w:rsidR="00E13C79" w:rsidRPr="0047638B" w:rsidRDefault="000B6833"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w:t>
      </w:r>
      <w:r w:rsidR="00982A42" w:rsidRPr="0047638B">
        <w:rPr>
          <w:rFonts w:asciiTheme="minorEastAsia" w:eastAsiaTheme="minorEastAsia" w:hAnsiTheme="minorEastAsia"/>
          <w:szCs w:val="24"/>
        </w:rPr>
        <w:t>、</w:t>
      </w:r>
      <w:r w:rsidR="00E13C79" w:rsidRPr="0047638B">
        <w:rPr>
          <w:rFonts w:asciiTheme="minorEastAsia" w:eastAsiaTheme="minorEastAsia" w:hAnsiTheme="minorEastAsia"/>
          <w:szCs w:val="24"/>
        </w:rPr>
        <w:t>基金赎回金额的计算</w:t>
      </w:r>
    </w:p>
    <w:p w14:paraId="4CCA3DA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投资者在赎回基金份额时需缴纳一定的赎回费用。计算公式如下：</w:t>
      </w:r>
    </w:p>
    <w:p w14:paraId="05AB365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赎回费＝赎回份额×T日基金份额净值×赎回费率</w:t>
      </w:r>
    </w:p>
    <w:p w14:paraId="14513E5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赎回金额＝赎回份额×T日基金份额净值－赎回费</w:t>
      </w:r>
    </w:p>
    <w:p w14:paraId="0BD15E0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赎回金额单位为元，计算结果按四舍五入方法，保留到小数点后两位，由此产生的收益或损失由基金财产享有或承担。</w:t>
      </w:r>
    </w:p>
    <w:p w14:paraId="7A121FB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举例说明：</w:t>
      </w:r>
    </w:p>
    <w:p w14:paraId="2458A201" w14:textId="0890FAC6"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某投资者持有10,000份</w:t>
      </w:r>
      <w:r w:rsidR="00A521AE" w:rsidRPr="0047638B">
        <w:rPr>
          <w:rFonts w:asciiTheme="minorEastAsia" w:eastAsiaTheme="minorEastAsia" w:hAnsiTheme="minorEastAsia"/>
          <w:szCs w:val="24"/>
        </w:rPr>
        <w:t>A类</w:t>
      </w:r>
      <w:r w:rsidR="00FD1973" w:rsidRPr="0047638B">
        <w:rPr>
          <w:rFonts w:asciiTheme="minorEastAsia" w:eastAsiaTheme="minorEastAsia" w:hAnsiTheme="minorEastAsia" w:hint="eastAsia"/>
        </w:rPr>
        <w:t>基金</w:t>
      </w:r>
      <w:r w:rsidRPr="0047638B">
        <w:rPr>
          <w:rFonts w:asciiTheme="minorEastAsia" w:eastAsiaTheme="minorEastAsia" w:hAnsiTheme="minorEastAsia"/>
          <w:szCs w:val="24"/>
        </w:rPr>
        <w:t>份额365天后（未满730天）决定从场外赎回，对应的赎回费率为0.25%，假设赎回当日的</w:t>
      </w:r>
      <w:r w:rsidR="00A521AE"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基金份额净值是1.1320元，则可得到的净赎回金额为：</w:t>
      </w:r>
    </w:p>
    <w:p w14:paraId="774BBC1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赎回费用=10</w:t>
      </w:r>
      <w:r w:rsidR="00FD1973" w:rsidRPr="0047638B">
        <w:rPr>
          <w:rFonts w:asciiTheme="minorEastAsia" w:eastAsiaTheme="minorEastAsia" w:hAnsiTheme="minorEastAsia"/>
          <w:szCs w:val="24"/>
        </w:rPr>
        <w:t>,</w:t>
      </w:r>
      <w:r w:rsidRPr="0047638B">
        <w:rPr>
          <w:rFonts w:asciiTheme="minorEastAsia" w:eastAsiaTheme="minorEastAsia" w:hAnsiTheme="minorEastAsia"/>
          <w:szCs w:val="24"/>
        </w:rPr>
        <w:t>000×1.1320×0.25%=28.30元</w:t>
      </w:r>
    </w:p>
    <w:p w14:paraId="2F7B428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净赎回金额=10</w:t>
      </w:r>
      <w:r w:rsidR="00FD1973" w:rsidRPr="0047638B">
        <w:rPr>
          <w:rFonts w:asciiTheme="minorEastAsia" w:eastAsiaTheme="minorEastAsia" w:hAnsiTheme="minorEastAsia"/>
          <w:szCs w:val="24"/>
        </w:rPr>
        <w:t>,</w:t>
      </w:r>
      <w:r w:rsidRPr="0047638B">
        <w:rPr>
          <w:rFonts w:asciiTheme="minorEastAsia" w:eastAsiaTheme="minorEastAsia" w:hAnsiTheme="minorEastAsia"/>
          <w:szCs w:val="24"/>
        </w:rPr>
        <w:t>000×1.1320-28.30=11,291.70元</w:t>
      </w:r>
    </w:p>
    <w:p w14:paraId="26B4FBA8" w14:textId="75F12B1A" w:rsidR="00E13C79" w:rsidRPr="0047638B" w:rsidRDefault="00D24BA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即：该投资者持有10,000份</w:t>
      </w:r>
      <w:r w:rsidR="00A521AE" w:rsidRPr="0047638B">
        <w:rPr>
          <w:rFonts w:asciiTheme="minorEastAsia" w:eastAsiaTheme="minorEastAsia" w:hAnsiTheme="minorEastAsia"/>
          <w:szCs w:val="24"/>
        </w:rPr>
        <w:t>A类</w:t>
      </w:r>
      <w:r w:rsidR="00FD1973" w:rsidRPr="0047638B">
        <w:rPr>
          <w:rFonts w:asciiTheme="minorEastAsia" w:eastAsiaTheme="minorEastAsia" w:hAnsiTheme="minorEastAsia" w:hint="eastAsia"/>
        </w:rPr>
        <w:t>基金</w:t>
      </w:r>
      <w:r w:rsidRPr="0047638B">
        <w:rPr>
          <w:rFonts w:asciiTheme="minorEastAsia" w:eastAsiaTheme="minorEastAsia" w:hAnsiTheme="minorEastAsia"/>
          <w:szCs w:val="24"/>
        </w:rPr>
        <w:t>份额365天后（未满730天）从场外赎回，假设赎回当日的</w:t>
      </w:r>
      <w:r w:rsidR="00A521AE" w:rsidRPr="0047638B">
        <w:rPr>
          <w:rFonts w:asciiTheme="minorEastAsia" w:eastAsiaTheme="minorEastAsia" w:hAnsiTheme="minorEastAsia"/>
          <w:szCs w:val="24"/>
        </w:rPr>
        <w:t>A类</w:t>
      </w:r>
      <w:r w:rsidRPr="0047638B">
        <w:rPr>
          <w:rFonts w:asciiTheme="minorEastAsia" w:eastAsiaTheme="minorEastAsia" w:hAnsiTheme="minorEastAsia"/>
          <w:szCs w:val="24"/>
        </w:rPr>
        <w:t>基金份额净值是1.1320元，则可得到的净赎回金额为11,291.70元。</w:t>
      </w:r>
    </w:p>
    <w:p w14:paraId="26A95E6C"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举例说明：</w:t>
      </w:r>
    </w:p>
    <w:p w14:paraId="4A982B67"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某投资人赎回</w:t>
      </w:r>
      <w:r w:rsidRPr="0047638B">
        <w:rPr>
          <w:rFonts w:asciiTheme="minorEastAsia" w:eastAsiaTheme="minorEastAsia" w:hAnsiTheme="minorEastAsia"/>
          <w:szCs w:val="21"/>
        </w:rPr>
        <w:t>10,000</w:t>
      </w:r>
      <w:r w:rsidRPr="0047638B">
        <w:rPr>
          <w:rFonts w:asciiTheme="minorEastAsia" w:eastAsiaTheme="minorEastAsia" w:hAnsiTheme="minorEastAsia" w:hint="eastAsia"/>
          <w:szCs w:val="21"/>
        </w:rPr>
        <w:t>份</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类基金份额，假设该笔份额持有期限为</w:t>
      </w:r>
      <w:r w:rsidRPr="0047638B">
        <w:rPr>
          <w:rFonts w:asciiTheme="minorEastAsia" w:eastAsiaTheme="minorEastAsia" w:hAnsiTheme="minorEastAsia"/>
          <w:szCs w:val="21"/>
        </w:rPr>
        <w:t>3</w:t>
      </w:r>
      <w:r w:rsidRPr="0047638B">
        <w:rPr>
          <w:rFonts w:asciiTheme="minorEastAsia" w:eastAsiaTheme="minorEastAsia" w:hAnsiTheme="minorEastAsia" w:hint="eastAsia"/>
          <w:szCs w:val="21"/>
        </w:rPr>
        <w:t>天，则对应的赎回费率为</w:t>
      </w:r>
      <w:r w:rsidRPr="0047638B">
        <w:rPr>
          <w:rFonts w:asciiTheme="minorEastAsia" w:eastAsiaTheme="minorEastAsia" w:hAnsiTheme="minorEastAsia"/>
          <w:szCs w:val="21"/>
        </w:rPr>
        <w:t>1.50%</w:t>
      </w:r>
      <w:r w:rsidRPr="0047638B">
        <w:rPr>
          <w:rFonts w:asciiTheme="minorEastAsia" w:eastAsiaTheme="minorEastAsia" w:hAnsiTheme="minorEastAsia" w:hint="eastAsia"/>
          <w:szCs w:val="21"/>
        </w:rPr>
        <w:t>，假设赎回当日</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类基金份额净值是</w:t>
      </w:r>
      <w:r w:rsidRPr="0047638B">
        <w:rPr>
          <w:rFonts w:asciiTheme="minorEastAsia" w:eastAsiaTheme="minorEastAsia" w:hAnsiTheme="minorEastAsia"/>
          <w:szCs w:val="21"/>
        </w:rPr>
        <w:t>1.0160</w:t>
      </w:r>
      <w:r w:rsidRPr="0047638B">
        <w:rPr>
          <w:rFonts w:asciiTheme="minorEastAsia" w:eastAsiaTheme="minorEastAsia" w:hAnsiTheme="minorEastAsia" w:hint="eastAsia"/>
          <w:szCs w:val="21"/>
        </w:rPr>
        <w:t>元，则其可得到的赎回金额为：</w:t>
      </w:r>
      <w:r w:rsidRPr="0047638B">
        <w:rPr>
          <w:rFonts w:asciiTheme="minorEastAsia" w:eastAsiaTheme="minorEastAsia" w:hAnsiTheme="minorEastAsia"/>
          <w:szCs w:val="21"/>
        </w:rPr>
        <w:t xml:space="preserve"> </w:t>
      </w:r>
    </w:p>
    <w:p w14:paraId="4AC5E3E9"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赎回费用</w:t>
      </w:r>
      <w:r w:rsidRPr="0047638B">
        <w:rPr>
          <w:rFonts w:asciiTheme="minorEastAsia" w:eastAsiaTheme="minorEastAsia" w:hAnsiTheme="minorEastAsia"/>
          <w:szCs w:val="21"/>
        </w:rPr>
        <w:t xml:space="preserve"> = 10,000×1.0160×1.50% </w:t>
      </w: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152.40</w:t>
      </w:r>
      <w:r w:rsidRPr="0047638B">
        <w:rPr>
          <w:rFonts w:asciiTheme="minorEastAsia" w:eastAsiaTheme="minorEastAsia" w:hAnsiTheme="minorEastAsia" w:hint="eastAsia"/>
          <w:szCs w:val="21"/>
        </w:rPr>
        <w:t>元</w:t>
      </w:r>
    </w:p>
    <w:p w14:paraId="24C54527"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赎回金额</w:t>
      </w:r>
      <w:r w:rsidRPr="0047638B">
        <w:rPr>
          <w:rFonts w:asciiTheme="minorEastAsia" w:eastAsiaTheme="minorEastAsia" w:hAnsiTheme="minorEastAsia"/>
          <w:szCs w:val="21"/>
        </w:rPr>
        <w:t xml:space="preserve"> = 10,000×1.0160-152.40 </w:t>
      </w:r>
      <w:r w:rsidRPr="0047638B">
        <w:rPr>
          <w:rFonts w:asciiTheme="minorEastAsia" w:eastAsiaTheme="minorEastAsia" w:hAnsiTheme="minorEastAsia" w:hint="eastAsia"/>
          <w:szCs w:val="21"/>
        </w:rPr>
        <w:t>＝</w:t>
      </w:r>
      <w:r w:rsidRPr="0047638B">
        <w:rPr>
          <w:rFonts w:asciiTheme="minorEastAsia" w:eastAsiaTheme="minorEastAsia" w:hAnsiTheme="minorEastAsia"/>
          <w:szCs w:val="21"/>
        </w:rPr>
        <w:t>10,007.60</w:t>
      </w:r>
      <w:r w:rsidRPr="0047638B">
        <w:rPr>
          <w:rFonts w:asciiTheme="minorEastAsia" w:eastAsiaTheme="minorEastAsia" w:hAnsiTheme="minorEastAsia" w:hint="eastAsia"/>
          <w:szCs w:val="21"/>
        </w:rPr>
        <w:t>元</w:t>
      </w:r>
      <w:r w:rsidRPr="0047638B">
        <w:rPr>
          <w:rFonts w:asciiTheme="minorEastAsia" w:eastAsiaTheme="minorEastAsia" w:hAnsiTheme="minorEastAsia"/>
          <w:szCs w:val="21"/>
        </w:rPr>
        <w:t xml:space="preserve"> </w:t>
      </w:r>
    </w:p>
    <w:p w14:paraId="309A2921" w14:textId="77777777" w:rsidR="00A521AE" w:rsidRPr="0047638B" w:rsidRDefault="00A521AE" w:rsidP="00A521AE">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即：投资人赎回本基金</w:t>
      </w:r>
      <w:r w:rsidRPr="0047638B">
        <w:rPr>
          <w:rFonts w:asciiTheme="minorEastAsia" w:eastAsiaTheme="minorEastAsia" w:hAnsiTheme="minorEastAsia"/>
          <w:szCs w:val="21"/>
        </w:rPr>
        <w:t>10,000</w:t>
      </w:r>
      <w:r w:rsidRPr="0047638B">
        <w:rPr>
          <w:rFonts w:asciiTheme="minorEastAsia" w:eastAsiaTheme="minorEastAsia" w:hAnsiTheme="minorEastAsia" w:hint="eastAsia"/>
          <w:szCs w:val="21"/>
        </w:rPr>
        <w:t>份</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类基金份额，假设赎回当日</w:t>
      </w:r>
      <w:r w:rsidRPr="0047638B">
        <w:rPr>
          <w:rFonts w:asciiTheme="minorEastAsia" w:eastAsiaTheme="minorEastAsia" w:hAnsiTheme="minorEastAsia"/>
          <w:szCs w:val="21"/>
        </w:rPr>
        <w:t>C</w:t>
      </w:r>
      <w:r w:rsidRPr="0047638B">
        <w:rPr>
          <w:rFonts w:asciiTheme="minorEastAsia" w:eastAsiaTheme="minorEastAsia" w:hAnsiTheme="minorEastAsia" w:hint="eastAsia"/>
          <w:szCs w:val="21"/>
        </w:rPr>
        <w:t>类基金份额净值是</w:t>
      </w:r>
      <w:r w:rsidRPr="0047638B">
        <w:rPr>
          <w:rFonts w:asciiTheme="minorEastAsia" w:eastAsiaTheme="minorEastAsia" w:hAnsiTheme="minorEastAsia"/>
          <w:szCs w:val="21"/>
        </w:rPr>
        <w:t>1.0160</w:t>
      </w:r>
      <w:r w:rsidRPr="0047638B">
        <w:rPr>
          <w:rFonts w:asciiTheme="minorEastAsia" w:eastAsiaTheme="minorEastAsia" w:hAnsiTheme="minorEastAsia" w:hint="eastAsia"/>
          <w:szCs w:val="21"/>
        </w:rPr>
        <w:t>元，则其可得到的赎回金额为</w:t>
      </w:r>
      <w:r w:rsidRPr="0047638B">
        <w:rPr>
          <w:rFonts w:asciiTheme="minorEastAsia" w:eastAsiaTheme="minorEastAsia" w:hAnsiTheme="minorEastAsia"/>
          <w:szCs w:val="21"/>
        </w:rPr>
        <w:t>10,007.60</w:t>
      </w:r>
      <w:r w:rsidRPr="0047638B">
        <w:rPr>
          <w:rFonts w:asciiTheme="minorEastAsia" w:eastAsiaTheme="minorEastAsia" w:hAnsiTheme="minorEastAsia" w:hint="eastAsia"/>
          <w:szCs w:val="21"/>
        </w:rPr>
        <w:t>元。</w:t>
      </w:r>
    </w:p>
    <w:p w14:paraId="08272D1B" w14:textId="2528AF2E" w:rsidR="00E13C79" w:rsidRPr="0047638B" w:rsidRDefault="009D5497" w:rsidP="00A521A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（九）</w:t>
      </w:r>
      <w:r w:rsidR="00E13C79" w:rsidRPr="0047638B">
        <w:rPr>
          <w:rFonts w:asciiTheme="minorEastAsia" w:eastAsiaTheme="minorEastAsia" w:hAnsiTheme="minorEastAsia"/>
        </w:rPr>
        <w:t>申购与赎回的登记结算</w:t>
      </w:r>
    </w:p>
    <w:p w14:paraId="61FA2CD0" w14:textId="73454108"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FD1973" w:rsidRPr="0047638B">
        <w:rPr>
          <w:rFonts w:asciiTheme="minorEastAsia" w:eastAsiaTheme="minorEastAsia" w:hAnsiTheme="minorEastAsia" w:hint="eastAsia"/>
        </w:rPr>
        <w:t>基金</w:t>
      </w:r>
      <w:r w:rsidRPr="0047638B">
        <w:rPr>
          <w:rFonts w:asciiTheme="minorEastAsia" w:eastAsiaTheme="minorEastAsia" w:hAnsiTheme="minorEastAsia"/>
          <w:szCs w:val="24"/>
        </w:rPr>
        <w:t>份额申购与赎回的登记结算业务按照登记结算机构的有关规定办理。正常情况下，投资者T日申购基金成功后，登记结算机构在T＋1日内为投资者登记权益并办理登记结算手续，投资者T＋2日起（含该日）有权赎回该部分基金份额。</w:t>
      </w:r>
    </w:p>
    <w:p w14:paraId="559616C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2、投资者T日赎回成功后，正常情况下，登记结算机构在T＋1日内为投资者扣除权益并办理相应的登记结算手续。</w:t>
      </w:r>
    </w:p>
    <w:p w14:paraId="79F3D93B" w14:textId="42DCB642" w:rsidR="005638E4" w:rsidRPr="0047638B" w:rsidRDefault="005638E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3、登记结算机构可在法律法规允许的范围内，对上述登记结算办理时间进行调整，但不得实质影响投资者的合法权益。基金管理人最迟于开始实施前2个工作日在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上公告。</w:t>
      </w:r>
    </w:p>
    <w:p w14:paraId="1AE19496"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十</w:t>
      </w:r>
      <w:r w:rsidRPr="0047638B">
        <w:rPr>
          <w:rFonts w:asciiTheme="minorEastAsia" w:eastAsiaTheme="minorEastAsia" w:hAnsiTheme="minorEastAsia"/>
        </w:rPr>
        <w:t>）</w:t>
      </w:r>
      <w:r w:rsidR="00E13C79" w:rsidRPr="0047638B">
        <w:rPr>
          <w:rFonts w:asciiTheme="minorEastAsia" w:eastAsiaTheme="minorEastAsia" w:hAnsiTheme="minorEastAsia"/>
        </w:rPr>
        <w:t>拒绝或暂停申购的情形</w:t>
      </w:r>
    </w:p>
    <w:p w14:paraId="5B0E048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发生下列情况时，基金管理人可拒绝或暂停接受投资者的申购申请：</w:t>
      </w:r>
    </w:p>
    <w:p w14:paraId="43D168B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1、因不可抗力导致基金无法正常运作或基金管理人无法接受投资者的申购申请。</w:t>
      </w:r>
    </w:p>
    <w:p w14:paraId="53AA357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2、发生《基金合同》规定的暂停基金资产估值情况时。</w:t>
      </w:r>
    </w:p>
    <w:p w14:paraId="43D267B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3、证券交易场所交易时间非正常停市。</w:t>
      </w:r>
    </w:p>
    <w:p w14:paraId="79E245A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4、接受某笔或某些申购申请将影响或损害现有基金份额持有人利益时。</w:t>
      </w:r>
    </w:p>
    <w:p w14:paraId="7897E86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5、基金资产规模过大，使基金管理人无法找到合适的投资品种，或其他可能对基金业绩产生负面影响，或其他损害现有基金份额持有人利益的情形。</w:t>
      </w:r>
    </w:p>
    <w:p w14:paraId="76BB4FE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6、因本基金的资产组合中的重要部分发生暂停交易或其他重大事件，继续接受申购可能会影响或损害其他基金份额持有人利益时。</w:t>
      </w:r>
    </w:p>
    <w:p w14:paraId="0AF5D38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7、当一笔新的申购申请被确认成功，使本基金总规模超过基金管理人规定的本基金总</w:t>
      </w:r>
      <w:r w:rsidRPr="0047638B">
        <w:rPr>
          <w:rFonts w:asciiTheme="minorEastAsia" w:eastAsiaTheme="minorEastAsia" w:hAnsiTheme="minorEastAsia"/>
          <w:szCs w:val="24"/>
        </w:rPr>
        <w:lastRenderedPageBreak/>
        <w:t>规模上限时；或使本基金</w:t>
      </w:r>
      <w:r w:rsidR="00FC7701" w:rsidRPr="0047638B">
        <w:rPr>
          <w:rFonts w:asciiTheme="minorEastAsia" w:eastAsiaTheme="minorEastAsia" w:hAnsiTheme="minorEastAsia" w:hint="eastAsia"/>
          <w:bCs/>
          <w:szCs w:val="21"/>
        </w:rPr>
        <w:t>单日申购金额或净申购比例</w:t>
      </w:r>
      <w:r w:rsidRPr="0047638B">
        <w:rPr>
          <w:rFonts w:asciiTheme="minorEastAsia" w:eastAsiaTheme="minorEastAsia" w:hAnsiTheme="minorEastAsia"/>
          <w:szCs w:val="24"/>
        </w:rPr>
        <w:t>超过基金管理人规定的当日申购金额</w:t>
      </w:r>
      <w:r w:rsidR="00FC7701" w:rsidRPr="0047638B">
        <w:rPr>
          <w:rFonts w:asciiTheme="minorEastAsia" w:eastAsiaTheme="minorEastAsia" w:hAnsiTheme="minorEastAsia" w:hint="eastAsia"/>
          <w:bCs/>
          <w:szCs w:val="21"/>
        </w:rPr>
        <w:t>或净申购比例</w:t>
      </w:r>
      <w:r w:rsidRPr="0047638B">
        <w:rPr>
          <w:rFonts w:asciiTheme="minorEastAsia" w:eastAsiaTheme="minorEastAsia" w:hAnsiTheme="minorEastAsia"/>
          <w:szCs w:val="24"/>
        </w:rPr>
        <w:t>上限时；或该投资者累计持有的份额超过单个投资者累计持有的份额上限时；或该投资者当日申购金额超过单个投资者</w:t>
      </w:r>
      <w:r w:rsidR="00FC7701" w:rsidRPr="0047638B">
        <w:rPr>
          <w:rFonts w:asciiTheme="minorEastAsia" w:eastAsiaTheme="minorEastAsia" w:hAnsiTheme="minorEastAsia" w:hint="eastAsia"/>
          <w:bCs/>
          <w:szCs w:val="21"/>
        </w:rPr>
        <w:t>单日或单笔</w:t>
      </w:r>
      <w:r w:rsidRPr="0047638B">
        <w:rPr>
          <w:rFonts w:asciiTheme="minorEastAsia" w:eastAsiaTheme="minorEastAsia" w:hAnsiTheme="minorEastAsia"/>
          <w:szCs w:val="24"/>
        </w:rPr>
        <w:t>申购金额上限时。</w:t>
      </w:r>
    </w:p>
    <w:p w14:paraId="13BF82FC" w14:textId="2848E09D"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8、基金管理人、基金托管人、登记结算机构、销售机构、支付结算机构等因异常情况导致基金销售系统、基金销售支付结算系统、基金</w:t>
      </w:r>
      <w:r w:rsidR="00FD1973" w:rsidRPr="0047638B">
        <w:rPr>
          <w:rFonts w:asciiTheme="minorEastAsia" w:eastAsiaTheme="minorEastAsia" w:hAnsiTheme="minorEastAsia" w:hint="eastAsia"/>
          <w:bCs/>
          <w:szCs w:val="21"/>
        </w:rPr>
        <w:t>登记结算系统</w:t>
      </w:r>
      <w:r w:rsidRPr="0047638B">
        <w:rPr>
          <w:rFonts w:asciiTheme="minorEastAsia" w:eastAsiaTheme="minorEastAsia" w:hAnsiTheme="minorEastAsia"/>
          <w:szCs w:val="24"/>
        </w:rPr>
        <w:t>、基金会计系统等无法正常运行。</w:t>
      </w:r>
    </w:p>
    <w:p w14:paraId="5DDC93E9" w14:textId="7716B2F0" w:rsidR="00FC7701" w:rsidRPr="0047638B" w:rsidRDefault="00561038" w:rsidP="00FD197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9、</w:t>
      </w:r>
      <w:r w:rsidR="00FC7701" w:rsidRPr="0047638B">
        <w:rPr>
          <w:rFonts w:asciiTheme="minorEastAsia" w:eastAsiaTheme="minorEastAsia" w:hAnsiTheme="minorEastAsia" w:hint="eastAsia"/>
          <w:szCs w:val="24"/>
        </w:rPr>
        <w:t>基金管理人接受某笔或者某些申购申请有可能导致单一投资者持有基金份额的比例达到或者超过50%，或者变相规避50%集中度的情形时。</w:t>
      </w:r>
    </w:p>
    <w:p w14:paraId="72232842" w14:textId="3CDBAB81" w:rsidR="00FC7701"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w:t>
      </w:r>
      <w:r w:rsidR="00FD1973" w:rsidRPr="0047638B">
        <w:rPr>
          <w:rFonts w:asciiTheme="minorEastAsia" w:eastAsiaTheme="minorEastAsia" w:hAnsiTheme="minorEastAsia" w:hint="eastAsia"/>
          <w:szCs w:val="24"/>
        </w:rPr>
        <w:t>0</w:t>
      </w:r>
      <w:r w:rsidRPr="0047638B">
        <w:rPr>
          <w:rFonts w:asciiTheme="minorEastAsia" w:eastAsiaTheme="minorEastAsia" w:hAnsiTheme="minorEastAsia" w:hint="eastAsia"/>
          <w:szCs w:val="24"/>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49CC6B48" w14:textId="524F59B1" w:rsidR="00DD18D9"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FD1973" w:rsidRPr="0047638B">
        <w:rPr>
          <w:rFonts w:asciiTheme="minorEastAsia" w:eastAsiaTheme="minorEastAsia" w:hAnsiTheme="minorEastAsia"/>
          <w:szCs w:val="24"/>
        </w:rPr>
        <w:t>1</w:t>
      </w:r>
      <w:r w:rsidR="00561038" w:rsidRPr="0047638B">
        <w:rPr>
          <w:rFonts w:asciiTheme="minorEastAsia" w:eastAsiaTheme="minorEastAsia" w:hAnsiTheme="minorEastAsia"/>
          <w:szCs w:val="24"/>
        </w:rPr>
        <w:t>、法律法规规定或中国证监会认定的其他情形。</w:t>
      </w:r>
    </w:p>
    <w:p w14:paraId="423C7403" w14:textId="6BC4A1B5" w:rsidR="005638E4" w:rsidRPr="0047638B" w:rsidRDefault="005638E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发生上述暂停申购情形之一（第4、</w:t>
      </w:r>
      <w:r w:rsidR="00FD1973" w:rsidRPr="0047638B">
        <w:rPr>
          <w:rFonts w:asciiTheme="minorEastAsia" w:eastAsiaTheme="minorEastAsia" w:hAnsiTheme="minorEastAsia" w:hint="eastAsia"/>
          <w:szCs w:val="24"/>
        </w:rPr>
        <w:t>9</w:t>
      </w:r>
      <w:r w:rsidRPr="0047638B">
        <w:rPr>
          <w:rFonts w:asciiTheme="minorEastAsia" w:eastAsiaTheme="minorEastAsia" w:hAnsiTheme="minorEastAsia"/>
          <w:szCs w:val="24"/>
        </w:rPr>
        <w:t>项除外）且基金管理人决定暂停接受申购时，基金管理人应当根据有关规定在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上刊登暂停申购公告。如果投资者的申购申请被拒绝，被拒绝的申购款项本金将退还给投资者。在暂停申购的情况消除时，基金管理人应及时恢复申购业务的办理。</w:t>
      </w:r>
    </w:p>
    <w:p w14:paraId="243B5C2D"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E13C79" w:rsidRPr="0047638B">
        <w:rPr>
          <w:rFonts w:asciiTheme="minorEastAsia" w:eastAsiaTheme="minorEastAsia" w:hAnsiTheme="minorEastAsia"/>
        </w:rPr>
        <w:t>十</w:t>
      </w:r>
      <w:r w:rsidRPr="0047638B">
        <w:rPr>
          <w:rFonts w:asciiTheme="minorEastAsia" w:eastAsiaTheme="minorEastAsia" w:hAnsiTheme="minorEastAsia"/>
        </w:rPr>
        <w:t>一）</w:t>
      </w:r>
      <w:r w:rsidR="00E13C79" w:rsidRPr="0047638B">
        <w:rPr>
          <w:rFonts w:asciiTheme="minorEastAsia" w:eastAsiaTheme="minorEastAsia" w:hAnsiTheme="minorEastAsia"/>
        </w:rPr>
        <w:t>暂停赎回或延缓支付赎回款项的情形</w:t>
      </w:r>
    </w:p>
    <w:p w14:paraId="144BEFF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发生下列情形时，基金管理人可暂停接受投资者的赎回申请或延缓支付赎回款项：</w:t>
      </w:r>
    </w:p>
    <w:p w14:paraId="40415A0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1、因不可抗力导致基金无法正常运作或基金管理人不能支付赎回款项。</w:t>
      </w:r>
    </w:p>
    <w:p w14:paraId="2627981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2、因不可抗力导致基金管理人无法接受投资者的赎回申请。</w:t>
      </w:r>
    </w:p>
    <w:p w14:paraId="580239C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3、发生《基金合同》规定的暂停基金资产估值情况时。</w:t>
      </w:r>
    </w:p>
    <w:p w14:paraId="686FE44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4、证券交易场所交易时间非正常停市。</w:t>
      </w:r>
    </w:p>
    <w:p w14:paraId="279484B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5、连续两个或两个以上开放日发生巨额赎回。</w:t>
      </w:r>
    </w:p>
    <w:p w14:paraId="07B3C73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6、本基金的资产组合中的重要部分发生暂停交易或其他重大事件，继续接受赎回可能会影响或损害基金份额持有人利益时。</w:t>
      </w:r>
    </w:p>
    <w:p w14:paraId="16EEF41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7、继续接受赎回申请将损害现有基金份额持有人利益的情形时，可暂停接受投资者的赎回申请。</w:t>
      </w:r>
    </w:p>
    <w:p w14:paraId="68178932" w14:textId="717C808E"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8、基金管理人、基金托管人、登记结算机构、销售机构、支付结算机构等因异常情况导致基金销售系统、基金销售支付结算系统、基金</w:t>
      </w:r>
      <w:r w:rsidR="00FD1973" w:rsidRPr="0047638B">
        <w:rPr>
          <w:rFonts w:asciiTheme="minorEastAsia" w:eastAsiaTheme="minorEastAsia" w:hAnsiTheme="minorEastAsia" w:hint="eastAsia"/>
          <w:bCs/>
          <w:szCs w:val="21"/>
        </w:rPr>
        <w:t>登记结算系统</w:t>
      </w:r>
      <w:r w:rsidRPr="0047638B">
        <w:rPr>
          <w:rFonts w:asciiTheme="minorEastAsia" w:eastAsiaTheme="minorEastAsia" w:hAnsiTheme="minorEastAsia"/>
          <w:szCs w:val="24"/>
        </w:rPr>
        <w:t>、基金会计系统等无法正常运行。</w:t>
      </w:r>
    </w:p>
    <w:p w14:paraId="4C22B2DE" w14:textId="197E96C3" w:rsidR="00FC7701" w:rsidRPr="0047638B" w:rsidRDefault="00561038" w:rsidP="00FD197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9、</w:t>
      </w:r>
      <w:r w:rsidR="00FC7701" w:rsidRPr="0047638B">
        <w:rPr>
          <w:rFonts w:asciiTheme="minorEastAsia" w:eastAsiaTheme="minorEastAsia" w:hAnsiTheme="minorEastAsia" w:hint="eastAsia"/>
          <w:szCs w:val="24"/>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6A34BAA0" w14:textId="286A727C" w:rsidR="00DD18D9"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FD1973" w:rsidRPr="0047638B">
        <w:rPr>
          <w:rFonts w:asciiTheme="minorEastAsia" w:eastAsiaTheme="minorEastAsia" w:hAnsiTheme="minorEastAsia"/>
          <w:szCs w:val="24"/>
        </w:rPr>
        <w:t>0</w:t>
      </w:r>
      <w:r w:rsidR="00561038" w:rsidRPr="0047638B">
        <w:rPr>
          <w:rFonts w:asciiTheme="minorEastAsia" w:eastAsiaTheme="minorEastAsia" w:hAnsiTheme="minorEastAsia"/>
          <w:szCs w:val="24"/>
        </w:rPr>
        <w:t>、法律法规规定或中国证监会认定的其他情形。</w:t>
      </w:r>
    </w:p>
    <w:p w14:paraId="03E86D03" w14:textId="77777777" w:rsidR="005638E4" w:rsidRPr="0047638B" w:rsidRDefault="005638E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发生上述情形之一且基金管理人决定暂停接受基金份额持有人赎回申请或延缓支付赎回款项时，基金管理人应报中国证监会备案。若出现上述第5项所述情形，按《基金合同》的相关条款处理。基金份额持有人在申请赎回时可事先选择将当日可能未获受理部分予以撤销。在暂停赎回的情况消除时，基金管理人应及时恢复赎回业务的办理。</w:t>
      </w:r>
    </w:p>
    <w:p w14:paraId="06AABA40"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（十二）</w:t>
      </w:r>
      <w:r w:rsidR="009453ED" w:rsidRPr="0047638B">
        <w:rPr>
          <w:rFonts w:asciiTheme="minorEastAsia" w:eastAsiaTheme="minorEastAsia" w:hAnsiTheme="minorEastAsia"/>
        </w:rPr>
        <w:t>巨额赎回的情形及处理方式</w:t>
      </w:r>
    </w:p>
    <w:p w14:paraId="5EB7D88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1、巨额赎回的认定</w:t>
      </w:r>
    </w:p>
    <w:p w14:paraId="4DFAA47C" w14:textId="32CA74E2"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若本基金单个开放日内的</w:t>
      </w:r>
      <w:r w:rsidR="00FD1973" w:rsidRPr="0047638B">
        <w:rPr>
          <w:rFonts w:asciiTheme="minorEastAsia" w:eastAsiaTheme="minorEastAsia" w:hAnsiTheme="minorEastAsia" w:hint="eastAsia"/>
          <w:bCs/>
          <w:szCs w:val="21"/>
        </w:rPr>
        <w:t>基金</w:t>
      </w:r>
      <w:r w:rsidRPr="0047638B">
        <w:rPr>
          <w:rFonts w:asciiTheme="minorEastAsia" w:eastAsiaTheme="minorEastAsia" w:hAnsiTheme="minorEastAsia"/>
          <w:szCs w:val="24"/>
        </w:rPr>
        <w:t>份额净赎回申请(赎回申请份额总数加上基金转换中转出申请份额总数后扣除申购申请份额总数及基金转换中转入申请份额总数后的余额)超过前一开放日的基金总份额的10%，即认为是发生了巨额赎回。</w:t>
      </w:r>
    </w:p>
    <w:p w14:paraId="2385030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2、巨额赎回的处理方式</w:t>
      </w:r>
    </w:p>
    <w:p w14:paraId="40D24FE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当基金出现巨额赎回时，基金管理人可以根据基金当时的资产组合状况决定全额赎回或部分延期赎回。</w:t>
      </w:r>
    </w:p>
    <w:p w14:paraId="5F4F3BE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（1）全额赎回：当基金管理人认为有能力支付投资者的全部赎回申请时，按正常赎回程序执行。</w:t>
      </w:r>
    </w:p>
    <w:p w14:paraId="7DB94270" w14:textId="1DAF9BEE"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521AE" w:rsidRPr="0047638B">
        <w:rPr>
          <w:rFonts w:asciiTheme="minorEastAsia" w:eastAsiaTheme="minorEastAsia" w:hAnsiTheme="minorEastAsia"/>
          <w:szCs w:val="24"/>
        </w:rPr>
        <w:t>该类</w:t>
      </w:r>
      <w:r w:rsidRPr="0047638B">
        <w:rPr>
          <w:rFonts w:asciiTheme="minorEastAsia" w:eastAsiaTheme="minorEastAsia" w:hAnsiTheme="minorEastAsia"/>
          <w:szCs w:val="24"/>
        </w:rPr>
        <w:t>基金份额净值为基础计算赎回金额，以此类推，直到全部赎回为止。如投资者在提交赎回申请时未作明确选择，投资者未能赎回部分作自动延期赎回处理。部分顺延赎回不受单笔赎回最低份额的限制。上海证券交易所、登记结算机构另有规定的，从其规定。</w:t>
      </w:r>
    </w:p>
    <w:p w14:paraId="4736ADC3" w14:textId="77777777" w:rsidR="00FC7701" w:rsidRPr="0047638B" w:rsidRDefault="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若本基金发生巨额赎回且单个基金份额持有人的赎回申请超过上一开放日基金总份额</w:t>
      </w:r>
      <w:r w:rsidRPr="0047638B">
        <w:rPr>
          <w:rFonts w:asciiTheme="minorEastAsia" w:eastAsiaTheme="minorEastAsia" w:hAnsiTheme="minorEastAsia" w:hint="eastAsia"/>
          <w:szCs w:val="24"/>
        </w:rPr>
        <w:lastRenderedPageBreak/>
        <w:t>10%的，基金管理人有权对该单个基金份额持有人超出该比例的赎回申请实施延期办理，对该单个基金份额持有人剩余赎回申请与其他账户赎回申请按前述条款处理。</w:t>
      </w:r>
    </w:p>
    <w:p w14:paraId="17B4DB0C" w14:textId="5D2C4391"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（3）暂停赎回：连续2个开放日以上(含本数)发生巨额赎回，如基金管理人认为有必要，可暂停接受基金的赎回申请；已经接受的赎回申请可以延缓支付赎回款项，但不得超过20个工作日，并应当在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上进行公告。</w:t>
      </w:r>
    </w:p>
    <w:p w14:paraId="1044209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（4）巨额赎回业务的场内处理，按照上海证券交易所及登记结算机构的有关规定办理</w:t>
      </w:r>
    </w:p>
    <w:p w14:paraId="20A33AC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3、巨额赎回的公告</w:t>
      </w:r>
    </w:p>
    <w:p w14:paraId="311238FC" w14:textId="0628F02A" w:rsidR="005638E4" w:rsidRPr="0047638B" w:rsidRDefault="005638E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当发生上述延期赎回并延期办理时，基金管理人应当通过邮寄、传真或者《招募说明书》规定的其他方式在3个交易日内通知基金份额持有人，说明有关处理方法，</w:t>
      </w:r>
      <w:r w:rsidR="00E80CE3" w:rsidRPr="0047638B">
        <w:rPr>
          <w:rFonts w:asciiTheme="minorEastAsia" w:eastAsiaTheme="minorEastAsia" w:hAnsiTheme="minorEastAsia" w:hint="eastAsia"/>
          <w:szCs w:val="24"/>
        </w:rPr>
        <w:t>并在2日内</w:t>
      </w:r>
      <w:r w:rsidRPr="0047638B">
        <w:rPr>
          <w:rFonts w:asciiTheme="minorEastAsia" w:eastAsiaTheme="minorEastAsia" w:hAnsiTheme="minorEastAsia"/>
          <w:szCs w:val="24"/>
        </w:rPr>
        <w:t>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上刊登公告。</w:t>
      </w:r>
    </w:p>
    <w:p w14:paraId="2320F5D6"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（十三）</w:t>
      </w:r>
      <w:r w:rsidR="00E13C79" w:rsidRPr="0047638B">
        <w:rPr>
          <w:rFonts w:asciiTheme="minorEastAsia" w:eastAsiaTheme="minorEastAsia" w:hAnsiTheme="minorEastAsia"/>
        </w:rPr>
        <w:t>暂停申购或赎回的公告和重新开放申购或赎回的公告</w:t>
      </w:r>
    </w:p>
    <w:p w14:paraId="4283E7DC" w14:textId="6B92309B"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1、发生上述暂停申购或赎回情况的，基金管理人应在规定期限内在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上刊登暂停公告。</w:t>
      </w:r>
    </w:p>
    <w:p w14:paraId="5962C9F2" w14:textId="625F90BC" w:rsidR="005638E4" w:rsidRPr="0047638B" w:rsidRDefault="005638E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2、基金管理人可以根据暂停申购或赎回的时间，依照《信息披露办法》的有关规定，最迟于重新开放日在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上刊登重新开放申购或赎回的公告；也可以根据实际情况在暂停公告中明确重新开放申购或赎回的时间，届时不再另行发布重新开放的公告。</w:t>
      </w:r>
    </w:p>
    <w:p w14:paraId="3DEA3FC0" w14:textId="77777777" w:rsidR="00E13C79" w:rsidRPr="0047638B" w:rsidRDefault="009D549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（十四）</w:t>
      </w:r>
      <w:r w:rsidR="00E13C79" w:rsidRPr="0047638B">
        <w:rPr>
          <w:rFonts w:asciiTheme="minorEastAsia" w:eastAsiaTheme="minorEastAsia" w:hAnsiTheme="minorEastAsia"/>
        </w:rPr>
        <w:t>基金转换</w:t>
      </w:r>
    </w:p>
    <w:p w14:paraId="5E9C85BC"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79" w:name="_Toc252976144"/>
      <w:bookmarkStart w:id="3580" w:name="_Toc318444120"/>
      <w:r w:rsidRPr="0047638B">
        <w:rPr>
          <w:rFonts w:asciiTheme="minorEastAsia" w:eastAsiaTheme="minorEastAsia" w:hAnsiTheme="minorEastAsia"/>
          <w:szCs w:val="24"/>
        </w:rPr>
        <w:t>1、基金转换开始日及时间</w:t>
      </w:r>
    </w:p>
    <w:p w14:paraId="35C36719" w14:textId="040ACD58" w:rsidR="00DD18D9" w:rsidRPr="0047638B" w:rsidRDefault="00FD1973">
      <w:pPr>
        <w:spacing w:line="360" w:lineRule="auto"/>
        <w:ind w:firstLineChars="200" w:firstLine="420"/>
        <w:rPr>
          <w:rFonts w:asciiTheme="minorEastAsia" w:eastAsiaTheme="minorEastAsia" w:hAnsiTheme="minorEastAsia"/>
          <w:szCs w:val="24"/>
        </w:rPr>
      </w:pPr>
      <w:r w:rsidRPr="0047638B">
        <w:rPr>
          <w:rStyle w:val="da"/>
          <w:rFonts w:asciiTheme="minorEastAsia" w:eastAsiaTheme="minorEastAsia" w:hAnsiTheme="minorEastAsia" w:hint="eastAsia"/>
          <w:szCs w:val="21"/>
        </w:rPr>
        <w:t>本基金</w:t>
      </w:r>
      <w:r w:rsidR="00287DD8" w:rsidRPr="0047638B">
        <w:rPr>
          <w:rFonts w:asciiTheme="minorEastAsia" w:eastAsiaTheme="minorEastAsia" w:hAnsiTheme="minorEastAsia" w:hint="eastAsia"/>
          <w:szCs w:val="24"/>
        </w:rPr>
        <w:t>A类份额</w:t>
      </w:r>
      <w:r w:rsidRPr="0047638B">
        <w:rPr>
          <w:rStyle w:val="da"/>
          <w:rFonts w:asciiTheme="minorEastAsia" w:eastAsiaTheme="minorEastAsia" w:hAnsiTheme="minorEastAsia" w:hint="eastAsia"/>
          <w:szCs w:val="21"/>
        </w:rPr>
        <w:t>由易方达证券公司指数分级证券投资基金终止分级运作并变更而来，自2021年1月5日起</w:t>
      </w:r>
      <w:r w:rsidR="003F16AC" w:rsidRPr="0047638B">
        <w:rPr>
          <w:rFonts w:asciiTheme="minorEastAsia" w:eastAsiaTheme="minorEastAsia" w:hAnsiTheme="minorEastAsia" w:hint="eastAsia"/>
          <w:szCs w:val="24"/>
        </w:rPr>
        <w:t>恢复</w:t>
      </w:r>
      <w:r w:rsidR="00561038" w:rsidRPr="0047638B">
        <w:rPr>
          <w:rFonts w:asciiTheme="minorEastAsia" w:eastAsiaTheme="minorEastAsia" w:hAnsiTheme="minorEastAsia"/>
          <w:szCs w:val="24"/>
        </w:rPr>
        <w:t>办理本基金</w:t>
      </w:r>
      <w:r w:rsidR="00287DD8" w:rsidRPr="0047638B">
        <w:rPr>
          <w:rFonts w:asciiTheme="minorEastAsia" w:eastAsiaTheme="minorEastAsia" w:hAnsiTheme="minorEastAsia" w:hint="eastAsia"/>
          <w:szCs w:val="24"/>
        </w:rPr>
        <w:t>A类份额</w:t>
      </w:r>
      <w:r w:rsidR="00561038" w:rsidRPr="0047638B">
        <w:rPr>
          <w:rFonts w:asciiTheme="minorEastAsia" w:eastAsiaTheme="minorEastAsia" w:hAnsiTheme="minorEastAsia"/>
          <w:szCs w:val="24"/>
        </w:rPr>
        <w:t>场外份额的转换业务，</w:t>
      </w:r>
      <w:r w:rsidR="00287DD8" w:rsidRPr="0047638B">
        <w:rPr>
          <w:rFonts w:asciiTheme="minorEastAsia" w:eastAsiaTheme="minorEastAsia" w:hAnsiTheme="minorEastAsia" w:hint="eastAsia"/>
        </w:rPr>
        <w:t>本基金</w:t>
      </w:r>
      <w:r w:rsidR="00287DD8" w:rsidRPr="0047638B">
        <w:rPr>
          <w:rFonts w:asciiTheme="minorEastAsia" w:eastAsiaTheme="minorEastAsia" w:hAnsiTheme="minorEastAsia" w:hint="eastAsia"/>
          <w:szCs w:val="24"/>
        </w:rPr>
        <w:t>C类份额</w:t>
      </w:r>
      <w:r w:rsidR="00287DD8" w:rsidRPr="0047638B">
        <w:rPr>
          <w:rFonts w:asciiTheme="minorEastAsia" w:eastAsiaTheme="minorEastAsia" w:hAnsiTheme="minorEastAsia" w:hint="eastAsia"/>
        </w:rPr>
        <w:t>已于</w:t>
      </w:r>
      <w:r w:rsidR="00287DD8" w:rsidRPr="0047638B">
        <w:rPr>
          <w:rFonts w:asciiTheme="minorEastAsia" w:eastAsiaTheme="minorEastAsia" w:hAnsiTheme="minorEastAsia"/>
        </w:rPr>
        <w:t>2021</w:t>
      </w:r>
      <w:r w:rsidR="00287DD8" w:rsidRPr="0047638B">
        <w:rPr>
          <w:rFonts w:asciiTheme="minorEastAsia" w:eastAsiaTheme="minorEastAsia" w:hAnsiTheme="minorEastAsia" w:hint="eastAsia"/>
        </w:rPr>
        <w:t>年</w:t>
      </w:r>
      <w:r w:rsidR="00287DD8" w:rsidRPr="0047638B">
        <w:rPr>
          <w:rFonts w:asciiTheme="minorEastAsia" w:eastAsiaTheme="minorEastAsia" w:hAnsiTheme="minorEastAsia"/>
        </w:rPr>
        <w:t>7</w:t>
      </w:r>
      <w:r w:rsidR="00287DD8" w:rsidRPr="0047638B">
        <w:rPr>
          <w:rFonts w:asciiTheme="minorEastAsia" w:eastAsiaTheme="minorEastAsia" w:hAnsiTheme="minorEastAsia" w:hint="eastAsia"/>
        </w:rPr>
        <w:t>月</w:t>
      </w:r>
      <w:r w:rsidR="00287DD8" w:rsidRPr="0047638B">
        <w:rPr>
          <w:rFonts w:asciiTheme="minorEastAsia" w:eastAsiaTheme="minorEastAsia" w:hAnsiTheme="minorEastAsia"/>
        </w:rPr>
        <w:t>19</w:t>
      </w:r>
      <w:r w:rsidR="00287DD8" w:rsidRPr="0047638B">
        <w:rPr>
          <w:rFonts w:asciiTheme="minorEastAsia" w:eastAsiaTheme="minorEastAsia" w:hAnsiTheme="minorEastAsia" w:hint="eastAsia"/>
        </w:rPr>
        <w:t>日开始办理转换业务</w:t>
      </w:r>
      <w:r w:rsidR="00561038" w:rsidRPr="0047638B">
        <w:rPr>
          <w:rFonts w:asciiTheme="minorEastAsia" w:eastAsiaTheme="minorEastAsia" w:hAnsiTheme="minorEastAsia"/>
          <w:szCs w:val="24"/>
        </w:rPr>
        <w:t>。</w:t>
      </w:r>
    </w:p>
    <w:p w14:paraId="2456EFD8" w14:textId="261089A3"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（1）投资者在开放日办理</w:t>
      </w:r>
      <w:r w:rsidR="00287DD8" w:rsidRPr="0047638B">
        <w:rPr>
          <w:rFonts w:asciiTheme="minorEastAsia" w:eastAsiaTheme="minorEastAsia" w:hAnsiTheme="minorEastAsia" w:hint="eastAsia"/>
          <w:szCs w:val="24"/>
        </w:rPr>
        <w:t>A类份额</w:t>
      </w:r>
      <w:r w:rsidRPr="0047638B">
        <w:rPr>
          <w:rFonts w:asciiTheme="minorEastAsia" w:eastAsiaTheme="minorEastAsia" w:hAnsiTheme="minorEastAsia"/>
          <w:szCs w:val="24"/>
        </w:rPr>
        <w:t>场外份额</w:t>
      </w:r>
      <w:r w:rsidR="00287DD8" w:rsidRPr="0047638B">
        <w:rPr>
          <w:rFonts w:asciiTheme="minorEastAsia" w:eastAsiaTheme="minorEastAsia" w:hAnsiTheme="minorEastAsia"/>
          <w:szCs w:val="24"/>
        </w:rPr>
        <w:t>、</w:t>
      </w:r>
      <w:r w:rsidR="00287DD8" w:rsidRPr="0047638B">
        <w:rPr>
          <w:rFonts w:asciiTheme="minorEastAsia" w:eastAsiaTheme="minorEastAsia" w:hAnsiTheme="minorEastAsia" w:hint="eastAsia"/>
          <w:szCs w:val="24"/>
        </w:rPr>
        <w:t>C类份额</w:t>
      </w:r>
      <w:r w:rsidRPr="0047638B">
        <w:rPr>
          <w:rFonts w:asciiTheme="minorEastAsia" w:eastAsiaTheme="minorEastAsia" w:hAnsiTheme="minorEastAsia"/>
          <w:szCs w:val="24"/>
        </w:rPr>
        <w:t>的转换，具体办理时间为上海证券交易所、深圳证券交易所的正常交易日的交易时间，但基金管理人根据法律法规、中国证监会的要求或《基金合同》的规定公告暂停转换时除外。</w:t>
      </w:r>
    </w:p>
    <w:p w14:paraId="363BE911" w14:textId="5E5EC5EE"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若出现新的证券交易市场、证券交易所交易时间变更、其他特殊情况或根据业务需要，基金管理人有权视情况对前述开放日及开放时间进行相应的调整，但应在实施日前依照《信息披露办法》的有关规定在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上公告。</w:t>
      </w:r>
    </w:p>
    <w:p w14:paraId="33690279" w14:textId="74DC1526"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管理人不得在《基金合同》约定之外的日期或者时间办理场外份额的转换。投资者在《基金合同》约定之外的日期和时间提出转换申请且登记结算机构确认接受的，其基金份额转换价格为下一开放日基金份额转换的价格。</w:t>
      </w:r>
    </w:p>
    <w:p w14:paraId="5E90B8DE"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81" w:name="_Toc252976145"/>
      <w:bookmarkStart w:id="3582" w:name="_Toc318444121"/>
      <w:r w:rsidRPr="0047638B">
        <w:rPr>
          <w:rFonts w:asciiTheme="minorEastAsia" w:eastAsiaTheme="minorEastAsia" w:hAnsiTheme="minorEastAsia"/>
          <w:szCs w:val="24"/>
        </w:rPr>
        <w:lastRenderedPageBreak/>
        <w:t>2、基金转换的原则</w:t>
      </w:r>
      <w:bookmarkEnd w:id="3581"/>
      <w:bookmarkEnd w:id="3582"/>
    </w:p>
    <w:p w14:paraId="7110FF7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p>
    <w:p w14:paraId="3425DB9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（2）基金转换只能在同一销售机构进行。转换的两只基金必须都是该销售机构销售的同一基金管理人管理的、在同一注册登记机构注册登记的基金。</w:t>
      </w:r>
    </w:p>
    <w:p w14:paraId="2B65010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（3）基金转换以份额为单位进行申请。投资者可以发起多次基金转换业务，基金转换费用按每笔申请单独计算。转换费用以人民币元为单位，计算结果按照四舍五入方法，保留小数点后两位。</w:t>
      </w:r>
    </w:p>
    <w:p w14:paraId="5CE60C1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（4）基金转换采取未知价法，即基金的转换价格以转换申请受理当日各转出、转入基金的份额净值为基准进行计算。</w:t>
      </w:r>
    </w:p>
    <w:p w14:paraId="006B9DD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（5）基金转换后，转入的基金份额的持有期将自转入的基金份额被确认之日起重新开始计算。</w:t>
      </w:r>
    </w:p>
    <w:p w14:paraId="3B91EFE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（6）投资者办理基金转换业务时，转出方的基金必须处于可赎回状态，转入方的基金必须处于可申购状态。</w:t>
      </w:r>
    </w:p>
    <w:p w14:paraId="68AD6BB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（7）转换业务遵循“先进先出”的业务规则，即份额注册日期在前的先转换出，份额注册日期在后的后转换出。</w:t>
      </w:r>
    </w:p>
    <w:p w14:paraId="600A98B5" w14:textId="77777777"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（8）转入本基金的份额计算结果保留到小数点后两位，小数点后两位以后的部分四舍五入，由此误差产生的损失由基金财产承担，产生的收益归基金财产所有。</w:t>
      </w:r>
    </w:p>
    <w:p w14:paraId="1191454D"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83" w:name="_Toc252976146"/>
      <w:bookmarkStart w:id="3584" w:name="_Toc318444122"/>
      <w:r w:rsidRPr="0047638B">
        <w:rPr>
          <w:rFonts w:asciiTheme="minorEastAsia" w:eastAsiaTheme="minorEastAsia" w:hAnsiTheme="minorEastAsia"/>
          <w:szCs w:val="24"/>
        </w:rPr>
        <w:t>3、基金转换的程序</w:t>
      </w:r>
      <w:bookmarkEnd w:id="3583"/>
      <w:bookmarkEnd w:id="3584"/>
    </w:p>
    <w:p w14:paraId="0D1C63E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（1）基金转换的申请方式</w:t>
      </w:r>
    </w:p>
    <w:p w14:paraId="15307E7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基金投资者必须根据基金管理人和基金销售机构规定的手续，在开放日的业务办理时间提出转换的申请。</w:t>
      </w:r>
    </w:p>
    <w:p w14:paraId="007058E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提交基金转换申请时，账户中必须有足够可用的转出基金份额余额。</w:t>
      </w:r>
    </w:p>
    <w:p w14:paraId="710F35D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（2）基金转换申请的确认</w:t>
      </w:r>
    </w:p>
    <w:p w14:paraId="6F913B1E" w14:textId="77777777"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应以交易时间结束前受理有效基金转换申请的当天作为基金转换的申请日(T日)，在正常情况下，本基金注册登记机构在T+1日前(含T+1日)对该交易的有效性进行确认。T日提交的有效申请，投资者应在T+2日后(包括该日)到销售网点柜台或以销售机构规定的其他方式查询申请的确认情况。</w:t>
      </w:r>
    </w:p>
    <w:p w14:paraId="3195D454"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85" w:name="_Toc252976147"/>
      <w:bookmarkStart w:id="3586" w:name="_Toc318444123"/>
      <w:r w:rsidRPr="0047638B">
        <w:rPr>
          <w:rFonts w:asciiTheme="minorEastAsia" w:eastAsiaTheme="minorEastAsia" w:hAnsiTheme="minorEastAsia"/>
          <w:szCs w:val="24"/>
        </w:rPr>
        <w:t>4、基金转换的数额限制</w:t>
      </w:r>
      <w:bookmarkEnd w:id="3585"/>
      <w:bookmarkEnd w:id="3586"/>
    </w:p>
    <w:p w14:paraId="5BFF59AE" w14:textId="77777777"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基金份额持有人可将其全部或部分基金份额转换成另一只基金，本基金场外份额单笔转出申请不得少于1份（如该账户在该销售机构托管的该基金场外份额余额不足1份，则必须一次性赎回或转出该基金全部场外份额）；若某笔转换导致投资者在该销售机构托管的该基金场外份额余额不足1份时，基金管理人有权将投资者在该销售机构托管的该基金场外份额剩余份额一次性全部赎回。</w:t>
      </w:r>
    </w:p>
    <w:p w14:paraId="6E2046C5"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87" w:name="_Toc87367293"/>
      <w:bookmarkStart w:id="3588" w:name="_Toc252976148"/>
      <w:bookmarkStart w:id="3589" w:name="_Toc318444124"/>
      <w:r w:rsidRPr="0047638B">
        <w:rPr>
          <w:rFonts w:asciiTheme="minorEastAsia" w:eastAsiaTheme="minorEastAsia" w:hAnsiTheme="minorEastAsia"/>
          <w:szCs w:val="24"/>
        </w:rPr>
        <w:t>5、基金转换费率</w:t>
      </w:r>
      <w:bookmarkEnd w:id="3587"/>
      <w:bookmarkEnd w:id="3588"/>
      <w:bookmarkEnd w:id="3589"/>
    </w:p>
    <w:p w14:paraId="6747D63F" w14:textId="77777777"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基金转换费由基金份额持有人承担，由转出基金赎回费用及基金申购补差费用构成，其中赎回费用按照</w:t>
      </w:r>
      <w:r w:rsidR="00B34182" w:rsidRPr="0047638B">
        <w:rPr>
          <w:rFonts w:asciiTheme="minorEastAsia" w:eastAsiaTheme="minorEastAsia" w:hAnsiTheme="minorEastAsia" w:hint="eastAsia"/>
          <w:szCs w:val="24"/>
        </w:rPr>
        <w:t>各</w:t>
      </w:r>
      <w:r w:rsidR="00B34182" w:rsidRPr="0047638B">
        <w:rPr>
          <w:rFonts w:asciiTheme="minorEastAsia" w:eastAsiaTheme="minorEastAsia" w:hAnsiTheme="minorEastAsia"/>
          <w:szCs w:val="24"/>
        </w:rPr>
        <w:t>基金的</w:t>
      </w:r>
      <w:r w:rsidRPr="0047638B">
        <w:rPr>
          <w:rFonts w:asciiTheme="minorEastAsia" w:eastAsiaTheme="minorEastAsia" w:hAnsiTheme="minorEastAsia"/>
          <w:szCs w:val="24"/>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14:paraId="49F31144" w14:textId="77777777" w:rsidR="00245B2D" w:rsidRPr="0047638B" w:rsidRDefault="00245B2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0CEA4A81"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90" w:name="_Toc252976149"/>
      <w:bookmarkStart w:id="3591" w:name="_Toc318444125"/>
      <w:r w:rsidRPr="0047638B">
        <w:rPr>
          <w:rFonts w:asciiTheme="minorEastAsia" w:eastAsiaTheme="minorEastAsia" w:hAnsiTheme="minorEastAsia"/>
          <w:szCs w:val="24"/>
        </w:rPr>
        <w:t>6、基金转换份额的计算方式</w:t>
      </w:r>
      <w:bookmarkEnd w:id="3590"/>
      <w:bookmarkEnd w:id="3591"/>
    </w:p>
    <w:p w14:paraId="1338E07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A</w:t>
      </w:r>
      <w:proofErr w:type="gramStart"/>
      <w:r w:rsidRPr="0047638B">
        <w:rPr>
          <w:rFonts w:asciiTheme="minorEastAsia" w:eastAsiaTheme="minorEastAsia" w:hAnsiTheme="minorEastAsia"/>
          <w:szCs w:val="24"/>
        </w:rPr>
        <w:t>=[</w:t>
      </w:r>
      <w:proofErr w:type="gramEnd"/>
      <w:r w:rsidRPr="0047638B">
        <w:rPr>
          <w:rFonts w:asciiTheme="minorEastAsia" w:eastAsiaTheme="minorEastAsia" w:hAnsiTheme="minorEastAsia"/>
          <w:szCs w:val="24"/>
        </w:rPr>
        <w:t>B×C×(1-D)/(1+G)+F]/E</w:t>
      </w:r>
    </w:p>
    <w:p w14:paraId="08076E5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H=B×C×D</w:t>
      </w:r>
    </w:p>
    <w:p w14:paraId="20212C9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J</w:t>
      </w:r>
      <w:proofErr w:type="gramStart"/>
      <w:r w:rsidRPr="0047638B">
        <w:rPr>
          <w:rFonts w:asciiTheme="minorEastAsia" w:eastAsiaTheme="minorEastAsia" w:hAnsiTheme="minorEastAsia"/>
          <w:szCs w:val="24"/>
        </w:rPr>
        <w:t>=[</w:t>
      </w:r>
      <w:proofErr w:type="gramEnd"/>
      <w:r w:rsidRPr="0047638B">
        <w:rPr>
          <w:rFonts w:asciiTheme="minorEastAsia" w:eastAsiaTheme="minorEastAsia" w:hAnsiTheme="minorEastAsia"/>
          <w:szCs w:val="24"/>
        </w:rPr>
        <w:t>B×C×(1-D)/(1+G)]×G</w:t>
      </w:r>
    </w:p>
    <w:p w14:paraId="33B96C89" w14:textId="7AC26834"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其中，A为转入的基金份额；B为转出的基金份额；C为转换申请当日转出基金的基金份额净值；D为转出基金的对应赎回费率；E为转换申请当日转入基金的基金份额净值；</w:t>
      </w:r>
      <w:r w:rsidR="0099446F" w:rsidRPr="0047638B">
        <w:rPr>
          <w:rFonts w:asciiTheme="minorEastAsia" w:eastAsiaTheme="minorEastAsia" w:hAnsiTheme="minorEastAsia" w:hint="eastAsia"/>
          <w:szCs w:val="24"/>
        </w:rPr>
        <w:t>F为货币市场基金全部转出时注册登记机构已支付的未付收益</w:t>
      </w:r>
      <w:r w:rsidRPr="0047638B">
        <w:rPr>
          <w:rFonts w:asciiTheme="minorEastAsia" w:eastAsiaTheme="minorEastAsia" w:hAnsiTheme="minorEastAsia"/>
          <w:szCs w:val="24"/>
        </w:rPr>
        <w:t>；G为对应的申购补差费率；H为转出基金赎回费；J为申购补差费。</w:t>
      </w:r>
    </w:p>
    <w:p w14:paraId="6B859404" w14:textId="77777777" w:rsidR="0099446F" w:rsidRPr="0047638B" w:rsidRDefault="0099446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14:paraId="7E8C4BE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说明：</w:t>
      </w:r>
    </w:p>
    <w:p w14:paraId="6748868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（1）基金转换费用由转出基金赎回费用及基金申购补差费用两部分构成。</w:t>
      </w:r>
    </w:p>
    <w:p w14:paraId="645CD582" w14:textId="0F247D24"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（2）转入基金时，从申购费用低的基金向申购费用高的基金转换时，每次收取申购补</w:t>
      </w:r>
      <w:r w:rsidRPr="0047638B">
        <w:rPr>
          <w:rFonts w:asciiTheme="minorEastAsia" w:eastAsiaTheme="minorEastAsia" w:hAnsiTheme="minorEastAsia"/>
          <w:szCs w:val="24"/>
        </w:rPr>
        <w:lastRenderedPageBreak/>
        <w:t>差费用；从申购费用高的基金向申购费用低的基金转换时，不收取申购补差费用</w:t>
      </w:r>
      <w:r w:rsidR="00287DD8" w:rsidRPr="0047638B">
        <w:rPr>
          <w:rFonts w:asciiTheme="minorEastAsia" w:eastAsiaTheme="minorEastAsia" w:hAnsiTheme="minorEastAsia" w:hint="eastAsia"/>
          <w:szCs w:val="24"/>
        </w:rPr>
        <w:t>（注：对通过直销中心申购实施差别申购费率的投资群体基金份额的申购费，以除上述投资群体之外的其他投资者申购费为比较标准）</w:t>
      </w:r>
      <w:r w:rsidRPr="0047638B">
        <w:rPr>
          <w:rFonts w:asciiTheme="minorEastAsia" w:eastAsiaTheme="minorEastAsia" w:hAnsiTheme="minorEastAsia"/>
          <w:szCs w:val="24"/>
        </w:rPr>
        <w:t>。申购补差费用按照转换金额对应的转出基金与转入基金的申购费率差额进行补差，具体收取情况视每次转换时两只基金的申购费率的差异情况而定并见相关公告。</w:t>
      </w:r>
    </w:p>
    <w:p w14:paraId="5877C37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14:paraId="059304B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（4）投资者可以发起多次基金转换业务，基金转换费用按每笔申请单独计算。转换费用以人民币元为单位，计算结果按照四舍五入方法，保留小数点后两位。</w:t>
      </w:r>
    </w:p>
    <w:p w14:paraId="47435272" w14:textId="0CF8C69F" w:rsidR="00287DD8" w:rsidRPr="0047638B" w:rsidRDefault="0056103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例：</w:t>
      </w:r>
      <w:r w:rsidR="00287DD8" w:rsidRPr="0047638B">
        <w:rPr>
          <w:rFonts w:asciiTheme="minorEastAsia" w:eastAsiaTheme="minorEastAsia" w:hAnsiTheme="minorEastAsia" w:hint="eastAsia"/>
          <w:szCs w:val="24"/>
        </w:rPr>
        <w:t>假设某持有人（其他投资者）持有本基金C类基金份额10,000份，持有100天，现欲转换为易方达策略成长二号混合型证券投资基金；假设转出基金T日的基金份额净值为1.1000元，转入基金易方达策略成长二号混合型证券投资基金T日的基金份额净值为1.020元，则转出基金的赎回费率为0%，申购补差费率为2%。转换份额计算如下：</w:t>
      </w:r>
    </w:p>
    <w:p w14:paraId="7CBEB2BB" w14:textId="77777777"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转换金额=转出基金申请份额×转出基金份额净值=10,000×1.1000=11,000.00元</w:t>
      </w:r>
    </w:p>
    <w:p w14:paraId="3ADBAF8A" w14:textId="77777777"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转出基金赎回费=转换金额×转出基金赎回费率=11,000.00×0%=0.00元</w:t>
      </w:r>
    </w:p>
    <w:p w14:paraId="18EA0180" w14:textId="77777777"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申购补差费=（转换金额-转出基金赎回费）×申购补差费率÷（1＋申购补差费率）=（11,000.00-0.00)×2%÷(1+2%)=215.69元</w:t>
      </w:r>
    </w:p>
    <w:p w14:paraId="64484019" w14:textId="77777777"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转换费=转出基金赎回费+申购补差费=0.00+215.69=215.69元</w:t>
      </w:r>
    </w:p>
    <w:p w14:paraId="42CFEC8D" w14:textId="77777777"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转入金额=转换金额-转换费=11,000.00-215.69=10,784.31元</w:t>
      </w:r>
    </w:p>
    <w:p w14:paraId="0E507987" w14:textId="3EE87FE1"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转入份额=转入金额÷转入基金份额净值=10,784.31÷1.020=10,572.85份</w:t>
      </w:r>
    </w:p>
    <w:p w14:paraId="4052ED56" w14:textId="288F34A4" w:rsidR="00287DD8"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注：本基金A类份额开通与以下基金场外份额的转换业务：</w:t>
      </w:r>
      <w:r w:rsidRPr="0047638B">
        <w:rPr>
          <w:rFonts w:asciiTheme="minorEastAsia" w:eastAsiaTheme="minorEastAsia" w:hAnsiTheme="minorEastAsia" w:hint="eastAsia"/>
          <w:szCs w:val="24"/>
        </w:rPr>
        <w:t>易方达上证50指数证券投资基金（LOF）A类份额、易方达中证国有企业改革指数证券投资基金（LOF）A类份额和易方达中证军工指数证券投资基金（LOF）A类份额。</w:t>
      </w:r>
    </w:p>
    <w:p w14:paraId="4867C60C" w14:textId="77777777" w:rsidR="00287DD8" w:rsidRPr="0047638B" w:rsidRDefault="00287DD8" w:rsidP="00287DD8">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hint="eastAsia"/>
          <w:szCs w:val="21"/>
        </w:rPr>
        <w:t>本基金C类基金份额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w:t>
      </w:r>
    </w:p>
    <w:p w14:paraId="783D8EFA" w14:textId="700421CD" w:rsidR="003425FB" w:rsidRPr="0047638B" w:rsidRDefault="00287DD8" w:rsidP="00287DD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1"/>
        </w:rPr>
        <w:t>转入份额的计算结果保留到小数点后两位，小数点后两位以后的部分四舍五入，由此误差产生的损失由基金财产承担，产生的收益归基金财产所有。</w:t>
      </w:r>
    </w:p>
    <w:p w14:paraId="6CA31736"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92" w:name="_Toc252976150"/>
      <w:bookmarkStart w:id="3593" w:name="_Toc318444126"/>
      <w:r w:rsidRPr="0047638B">
        <w:rPr>
          <w:rFonts w:asciiTheme="minorEastAsia" w:eastAsiaTheme="minorEastAsia" w:hAnsiTheme="minorEastAsia"/>
          <w:szCs w:val="24"/>
        </w:rPr>
        <w:lastRenderedPageBreak/>
        <w:t>7、基金转换的注册登记</w:t>
      </w:r>
      <w:bookmarkEnd w:id="3592"/>
      <w:bookmarkEnd w:id="3593"/>
    </w:p>
    <w:p w14:paraId="47BE5F57" w14:textId="77777777"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投资者T日申请基金转换成功后，注册登记机构将在T+1工作日为投资者办理减少转出基金份额、增加转入基金份额的权益登记手续，一般情况下，投资者自T+2工作日起（含该日）有权赎回转入部分的基金份额。</w:t>
      </w:r>
    </w:p>
    <w:p w14:paraId="6D5C55A8"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94" w:name="_Toc252976151"/>
      <w:bookmarkStart w:id="3595" w:name="_Toc318444127"/>
      <w:r w:rsidRPr="0047638B">
        <w:rPr>
          <w:rFonts w:asciiTheme="minorEastAsia" w:eastAsiaTheme="minorEastAsia" w:hAnsiTheme="minorEastAsia"/>
          <w:szCs w:val="24"/>
        </w:rPr>
        <w:t>8、基金转换与巨额赎回</w:t>
      </w:r>
      <w:bookmarkEnd w:id="3594"/>
      <w:bookmarkEnd w:id="3595"/>
    </w:p>
    <w:p w14:paraId="0A4F120F" w14:textId="77777777"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若本基金单个开放日内的基金净赎回申请（赎回申请总数加上基金转换中转出申请份额总数后扣除申购申请总数及基金转换中转入申请份额总数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14:paraId="16747F07" w14:textId="77777777" w:rsidR="003425FB" w:rsidRPr="0047638B" w:rsidRDefault="003425FB" w:rsidP="009E3E6E">
      <w:pPr>
        <w:spacing w:line="360" w:lineRule="auto"/>
        <w:ind w:firstLineChars="200" w:firstLine="420"/>
        <w:rPr>
          <w:rFonts w:asciiTheme="minorEastAsia" w:eastAsiaTheme="minorEastAsia" w:hAnsiTheme="minorEastAsia"/>
          <w:szCs w:val="24"/>
        </w:rPr>
      </w:pPr>
      <w:bookmarkStart w:id="3596" w:name="_Toc252976152"/>
      <w:bookmarkStart w:id="3597" w:name="_Toc318444128"/>
      <w:r w:rsidRPr="0047638B">
        <w:rPr>
          <w:rFonts w:asciiTheme="minorEastAsia" w:eastAsiaTheme="minorEastAsia" w:hAnsiTheme="minorEastAsia"/>
          <w:szCs w:val="24"/>
        </w:rPr>
        <w:t>9、拒绝或暂停基金转换的情形及处理方式</w:t>
      </w:r>
      <w:bookmarkEnd w:id="3596"/>
      <w:bookmarkEnd w:id="3597"/>
    </w:p>
    <w:p w14:paraId="0E39DE2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（1）因不可抗力导致基金无法正常运作或基金管理人无法接受投资者的转换转入申请。</w:t>
      </w:r>
    </w:p>
    <w:p w14:paraId="5D0C30E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（2）发生《基金合同》规定的暂停基金资产估值情况时。</w:t>
      </w:r>
    </w:p>
    <w:p w14:paraId="37BC99E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（3）证券交易场所交易时间非正常停市。</w:t>
      </w:r>
    </w:p>
    <w:p w14:paraId="5969358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（4）接受某笔或某些转换转入申请将影响或损害现有基金份额持有人利益时。</w:t>
      </w:r>
    </w:p>
    <w:p w14:paraId="3436F9C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（5）基金资产规模过大，使基金管理人无法找到合适的投资品种，或其他可能对基金业绩产生负面影响，或其他损害现有基金份额持有人利益的情形。</w:t>
      </w:r>
    </w:p>
    <w:p w14:paraId="3C19CFB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（6）因本基金的资产组合中的重要部分发生暂停交易或其他重大事件，继续接受转换转入可能会影响或损害其他基金份额持有人利益时。</w:t>
      </w:r>
    </w:p>
    <w:p w14:paraId="454279B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（7）当一笔新的转换转入申请被确认成功，使本基金总规模超过基金管理人规定的本基金总规模上限时；或使本基金</w:t>
      </w:r>
      <w:r w:rsidR="00FC7701" w:rsidRPr="0047638B">
        <w:rPr>
          <w:rStyle w:val="da"/>
          <w:rFonts w:asciiTheme="minorEastAsia" w:eastAsiaTheme="minorEastAsia" w:hAnsiTheme="minorEastAsia" w:hint="eastAsia"/>
          <w:szCs w:val="21"/>
        </w:rPr>
        <w:t>单日申购金额或净申购比例</w:t>
      </w:r>
      <w:r w:rsidRPr="0047638B">
        <w:rPr>
          <w:rFonts w:asciiTheme="minorEastAsia" w:eastAsiaTheme="minorEastAsia" w:hAnsiTheme="minorEastAsia"/>
          <w:szCs w:val="24"/>
        </w:rPr>
        <w:t>超过基金管理人规定的当日</w:t>
      </w:r>
      <w:r w:rsidR="00FC7701" w:rsidRPr="0047638B">
        <w:rPr>
          <w:rStyle w:val="da"/>
          <w:rFonts w:asciiTheme="minorEastAsia" w:eastAsiaTheme="minorEastAsia" w:hAnsiTheme="minorEastAsia" w:hint="eastAsia"/>
          <w:szCs w:val="21"/>
        </w:rPr>
        <w:t>申购</w:t>
      </w:r>
      <w:r w:rsidR="00FC7701" w:rsidRPr="0047638B">
        <w:rPr>
          <w:rStyle w:val="da"/>
          <w:rFonts w:asciiTheme="minorEastAsia" w:eastAsiaTheme="minorEastAsia" w:hAnsiTheme="minorEastAsia"/>
          <w:szCs w:val="21"/>
        </w:rPr>
        <w:t>金额</w:t>
      </w:r>
      <w:r w:rsidR="00FC7701" w:rsidRPr="0047638B">
        <w:rPr>
          <w:rStyle w:val="da"/>
          <w:rFonts w:asciiTheme="minorEastAsia" w:eastAsiaTheme="minorEastAsia" w:hAnsiTheme="minorEastAsia" w:hint="eastAsia"/>
          <w:szCs w:val="21"/>
        </w:rPr>
        <w:t>或净申购比例</w:t>
      </w:r>
      <w:r w:rsidRPr="0047638B">
        <w:rPr>
          <w:rFonts w:asciiTheme="minorEastAsia" w:eastAsiaTheme="minorEastAsia" w:hAnsiTheme="minorEastAsia"/>
          <w:szCs w:val="24"/>
        </w:rPr>
        <w:t>上限时；或该投资者累计持有的份额超过单个投资者累计持有的份额上限时；或该投资者当日转换转入金额超过单个投资者</w:t>
      </w:r>
      <w:r w:rsidR="00FC7701" w:rsidRPr="0047638B">
        <w:rPr>
          <w:rStyle w:val="da"/>
          <w:rFonts w:asciiTheme="minorEastAsia" w:eastAsiaTheme="minorEastAsia" w:hAnsiTheme="minorEastAsia" w:hint="eastAsia"/>
          <w:szCs w:val="21"/>
        </w:rPr>
        <w:t>单</w:t>
      </w:r>
      <w:r w:rsidR="00FC7701" w:rsidRPr="0047638B">
        <w:rPr>
          <w:rStyle w:val="da"/>
          <w:rFonts w:asciiTheme="minorEastAsia" w:eastAsiaTheme="minorEastAsia" w:hAnsiTheme="minorEastAsia"/>
          <w:szCs w:val="21"/>
        </w:rPr>
        <w:t>日</w:t>
      </w:r>
      <w:r w:rsidR="00FC7701" w:rsidRPr="0047638B">
        <w:rPr>
          <w:rStyle w:val="da"/>
          <w:rFonts w:asciiTheme="minorEastAsia" w:eastAsiaTheme="minorEastAsia" w:hAnsiTheme="minorEastAsia" w:hint="eastAsia"/>
          <w:szCs w:val="21"/>
        </w:rPr>
        <w:t>或单笔申购</w:t>
      </w:r>
      <w:r w:rsidRPr="0047638B">
        <w:rPr>
          <w:rFonts w:asciiTheme="minorEastAsia" w:eastAsiaTheme="minorEastAsia" w:hAnsiTheme="minorEastAsia"/>
          <w:szCs w:val="24"/>
        </w:rPr>
        <w:t>金额上限时。</w:t>
      </w:r>
    </w:p>
    <w:p w14:paraId="22436FD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（8）基金管理人、基金托管人、登记结算机构、销售机构、支付结算机构等因异常情况导致基金销售系统、基金销售支付结算系统、基金注册登记系统、基金会计系统等无法正常运行。</w:t>
      </w:r>
    </w:p>
    <w:p w14:paraId="102569B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（9）根据《基金合同》约定的基金份额折算方式及相关业务规则，须暂停接受转换申请的。</w:t>
      </w:r>
    </w:p>
    <w:p w14:paraId="06553B3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（10）因不可抗力导致基金无法正常运作或基金管理人不能支付转换转出款项。</w:t>
      </w:r>
    </w:p>
    <w:p w14:paraId="0ECD8D7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（11）因不可抗力导致基金管理人无法接受投资者的转换转出申请。</w:t>
      </w:r>
    </w:p>
    <w:p w14:paraId="7EB9CC7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（12）连续两个或两个以上开放日发生巨额赎回。</w:t>
      </w:r>
    </w:p>
    <w:p w14:paraId="38E5420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（13）本基金的资产组合中的重要部分发生暂停交易或其他重大事件，继续接受转换转出可能会影响或损害基金份额持有人利益时。</w:t>
      </w:r>
    </w:p>
    <w:p w14:paraId="4E22CFE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（14）继续接受转换转出申请将损害现有基金份额持有人利益的情形时，可暂停接受投资者的转换转出申请。</w:t>
      </w:r>
    </w:p>
    <w:p w14:paraId="288E7DBA" w14:textId="77777777" w:rsidR="00FC7701"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（15）基金管理人接受某笔或者某些转换转入申请有可能导致单一投资者持有基金份额的比例达到或者超过50%，或者变相规避50%集中度的情形时。</w:t>
      </w:r>
    </w:p>
    <w:p w14:paraId="7D7A13DF" w14:textId="77777777" w:rsidR="00FC7701"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16）当前一估值日基金资产净值50%以上的资产出现无可参考的活跃市场价格且采用估值技术仍导致公允价值存在重大不确定性时，经与基金托管人协商确认后，基金管理人应当采取暂停接受基金转换申请的措施。</w:t>
      </w:r>
    </w:p>
    <w:p w14:paraId="4F5940E8" w14:textId="77777777" w:rsidR="00DD18D9"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（17）</w:t>
      </w:r>
      <w:r w:rsidR="00561038" w:rsidRPr="0047638B">
        <w:rPr>
          <w:rFonts w:asciiTheme="minorEastAsia" w:eastAsiaTheme="minorEastAsia" w:hAnsiTheme="minorEastAsia"/>
          <w:szCs w:val="24"/>
        </w:rPr>
        <w:t>法律法规规定或中国证监会认定的其他情形。</w:t>
      </w:r>
    </w:p>
    <w:p w14:paraId="2E1BD787" w14:textId="36EEBE51" w:rsidR="003425FB" w:rsidRPr="0047638B" w:rsidRDefault="003425FB"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转换业务的解释权归基金管理人，基金管理人可以根据市场情况在不违背有关法律法规和《基金合同》的规定之前提下调整上述转换的收费方式、费率水平、业务规则及有关限制，但应在调整生效前依照《信息披露办法》的有关规定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上公告。</w:t>
      </w:r>
      <w:bookmarkEnd w:id="3579"/>
      <w:bookmarkEnd w:id="3580"/>
    </w:p>
    <w:p w14:paraId="7D282850" w14:textId="77777777" w:rsidR="00E30401" w:rsidRPr="0047638B" w:rsidRDefault="00E30401"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（十五）基金的转托管</w:t>
      </w:r>
    </w:p>
    <w:p w14:paraId="5D9B04B1"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类基金份额系统内转托管</w:t>
      </w:r>
    </w:p>
    <w:p w14:paraId="1F0FE154"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）基金份额持有人可将其持有的</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类基金份额在登记结算系统内不同销售机构（网点）之间进行系统内转托管或在证券登记系统内不同会员单位之间进行转指定。</w:t>
      </w:r>
    </w:p>
    <w:p w14:paraId="3F4423FD"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类基金份额登记在登记结算系统的基金份额持有人在变更办理基金份额赎回业务的销售机构（网点）时，须办理已持有</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类基金份额的系统内转托管。</w:t>
      </w:r>
    </w:p>
    <w:p w14:paraId="34257DE6"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3</w:t>
      </w: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类基金份额登记在证券登记系统的基金份额持有人在变更办理基金份额上市交易或基金份额场内赎回业务的会员单位时，须办理已持有</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类基金份额转指定。</w:t>
      </w:r>
    </w:p>
    <w:p w14:paraId="1D5BA3FE"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类基金份额跨系统转托管</w:t>
      </w:r>
    </w:p>
    <w:p w14:paraId="5FAF0D08"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）跨系统转托管是指基金份额持有人将持有的</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类基金份额在登记结算系统和证券登记系统之间进行转托管的行为。</w:t>
      </w:r>
    </w:p>
    <w:p w14:paraId="5993C9DD"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A</w:t>
      </w:r>
      <w:r w:rsidRPr="0047638B">
        <w:rPr>
          <w:rFonts w:asciiTheme="minorEastAsia" w:eastAsiaTheme="minorEastAsia" w:hAnsiTheme="minorEastAsia" w:hint="eastAsia"/>
          <w:szCs w:val="24"/>
        </w:rPr>
        <w:t>类基金份额跨系统转托管的具体业务按照上海证券交易所及登记结算机构的相关规定办理。</w:t>
      </w:r>
    </w:p>
    <w:p w14:paraId="15B41AF3"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w:t>
      </w: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C</w:t>
      </w:r>
      <w:r w:rsidRPr="0047638B">
        <w:rPr>
          <w:rFonts w:asciiTheme="minorEastAsia" w:eastAsiaTheme="minorEastAsia" w:hAnsiTheme="minorEastAsia" w:hint="eastAsia"/>
          <w:szCs w:val="24"/>
        </w:rPr>
        <w:t>类基金份额的转托管</w:t>
      </w:r>
      <w:r w:rsidRPr="0047638B">
        <w:rPr>
          <w:rFonts w:asciiTheme="minorEastAsia" w:eastAsiaTheme="minorEastAsia" w:hAnsiTheme="minorEastAsia"/>
          <w:szCs w:val="24"/>
        </w:rPr>
        <w:t xml:space="preserve"> </w:t>
      </w:r>
    </w:p>
    <w:p w14:paraId="397A92D3"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w:t>
      </w:r>
      <w:r w:rsidRPr="0047638B">
        <w:rPr>
          <w:rFonts w:asciiTheme="minorEastAsia" w:eastAsiaTheme="minorEastAsia" w:hAnsiTheme="minorEastAsia"/>
          <w:szCs w:val="24"/>
        </w:rPr>
        <w:t>C</w:t>
      </w:r>
      <w:r w:rsidRPr="0047638B">
        <w:rPr>
          <w:rFonts w:asciiTheme="minorEastAsia" w:eastAsiaTheme="minorEastAsia" w:hAnsiTheme="minorEastAsia" w:hint="eastAsia"/>
          <w:szCs w:val="24"/>
        </w:rPr>
        <w:t>类基金份额持有人可办理已持有基金份额在场外不同销售机构之间的转托管。</w:t>
      </w:r>
    </w:p>
    <w:p w14:paraId="2E5F8B7C"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4</w:t>
      </w:r>
      <w:r w:rsidRPr="0047638B">
        <w:rPr>
          <w:rFonts w:asciiTheme="minorEastAsia" w:eastAsiaTheme="minorEastAsia" w:hAnsiTheme="minorEastAsia" w:hint="eastAsia"/>
          <w:szCs w:val="24"/>
        </w:rPr>
        <w:t>、除非基金管理人另行公告，本基金不支持基金份额持有人将持有的基金份额在中国结算公司的登记结算系统或证券登记系统与易方达基金管理有限公司注册登记系统之间进行转托管。</w:t>
      </w:r>
    </w:p>
    <w:p w14:paraId="26AA8C3C" w14:textId="2877A1DC" w:rsidR="00C30EBD" w:rsidRPr="0047638B" w:rsidRDefault="00A521A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w:t>
      </w:r>
      <w:r w:rsidRPr="0047638B">
        <w:rPr>
          <w:rFonts w:asciiTheme="minorEastAsia" w:eastAsiaTheme="minorEastAsia" w:hAnsiTheme="minorEastAsia" w:hint="eastAsia"/>
          <w:szCs w:val="24"/>
        </w:rPr>
        <w:t>、基金销售机构可以按照相关规定向基金份额持有人收取转托管费。</w:t>
      </w:r>
    </w:p>
    <w:p w14:paraId="77D2A971" w14:textId="77777777" w:rsidR="00E13C79" w:rsidRPr="0047638B" w:rsidRDefault="00F000D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（十六）</w:t>
      </w:r>
      <w:r w:rsidR="00E13C79" w:rsidRPr="0047638B">
        <w:rPr>
          <w:rFonts w:asciiTheme="minorEastAsia" w:eastAsiaTheme="minorEastAsia" w:hAnsiTheme="minorEastAsia"/>
        </w:rPr>
        <w:t>定期定额投资计划</w:t>
      </w:r>
    </w:p>
    <w:p w14:paraId="5ABCACF0" w14:textId="785B6325" w:rsidR="00134024" w:rsidRPr="0047638B" w:rsidRDefault="0087278E" w:rsidP="009E3E6E">
      <w:pPr>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本基金</w:t>
      </w:r>
      <w:r w:rsidR="00134024" w:rsidRPr="0047638B">
        <w:rPr>
          <w:rFonts w:asciiTheme="minorEastAsia" w:eastAsiaTheme="minorEastAsia" w:hAnsiTheme="minorEastAsia" w:hint="eastAsia"/>
          <w:szCs w:val="24"/>
        </w:rPr>
        <w:t>A类份额</w:t>
      </w:r>
      <w:r w:rsidRPr="0047638B">
        <w:rPr>
          <w:rFonts w:asciiTheme="minorEastAsia" w:eastAsiaTheme="minorEastAsia" w:hAnsiTheme="minorEastAsia" w:hint="eastAsia"/>
          <w:bCs/>
          <w:szCs w:val="21"/>
        </w:rPr>
        <w:t>由易方达证券公司指数分级证券投资基金终止分级运作并变更而来，自</w:t>
      </w:r>
      <w:r w:rsidRPr="0047638B">
        <w:rPr>
          <w:rFonts w:asciiTheme="minorEastAsia" w:eastAsiaTheme="minorEastAsia" w:hAnsiTheme="minorEastAsia"/>
          <w:bCs/>
          <w:szCs w:val="21"/>
        </w:rPr>
        <w:t>2021</w:t>
      </w:r>
      <w:r w:rsidRPr="0047638B">
        <w:rPr>
          <w:rFonts w:asciiTheme="minorEastAsia" w:eastAsiaTheme="minorEastAsia" w:hAnsiTheme="minorEastAsia" w:hint="eastAsia"/>
          <w:bCs/>
          <w:szCs w:val="21"/>
        </w:rPr>
        <w:t>年</w:t>
      </w:r>
      <w:r w:rsidRPr="0047638B">
        <w:rPr>
          <w:rFonts w:asciiTheme="minorEastAsia" w:eastAsiaTheme="minorEastAsia" w:hAnsiTheme="minorEastAsia"/>
          <w:bCs/>
          <w:szCs w:val="21"/>
        </w:rPr>
        <w:t>1月5日</w:t>
      </w:r>
      <w:r w:rsidRPr="0047638B">
        <w:rPr>
          <w:rFonts w:asciiTheme="minorEastAsia" w:eastAsiaTheme="minorEastAsia" w:hAnsiTheme="minorEastAsia" w:hint="eastAsia"/>
          <w:bCs/>
          <w:szCs w:val="21"/>
        </w:rPr>
        <w:t>起</w:t>
      </w:r>
      <w:r w:rsidR="003F16AC" w:rsidRPr="0047638B">
        <w:rPr>
          <w:rFonts w:asciiTheme="minorEastAsia" w:eastAsiaTheme="minorEastAsia" w:hAnsiTheme="minorEastAsia" w:hint="eastAsia"/>
          <w:bCs/>
          <w:szCs w:val="21"/>
        </w:rPr>
        <w:t>恢复</w:t>
      </w:r>
      <w:r w:rsidRPr="0047638B">
        <w:rPr>
          <w:rFonts w:asciiTheme="minorEastAsia" w:eastAsiaTheme="minorEastAsia" w:hAnsiTheme="minorEastAsia" w:hint="eastAsia"/>
          <w:bCs/>
          <w:szCs w:val="21"/>
        </w:rPr>
        <w:t>办理定期定额投资业务</w:t>
      </w:r>
      <w:r w:rsidR="00134024" w:rsidRPr="0047638B">
        <w:rPr>
          <w:rFonts w:asciiTheme="minorEastAsia" w:eastAsiaTheme="minorEastAsia" w:hAnsiTheme="minorEastAsia" w:hint="eastAsia"/>
          <w:bCs/>
          <w:szCs w:val="21"/>
        </w:rPr>
        <w:t>，</w:t>
      </w:r>
      <w:r w:rsidR="00134024" w:rsidRPr="0047638B">
        <w:rPr>
          <w:rFonts w:asciiTheme="minorEastAsia" w:eastAsiaTheme="minorEastAsia" w:hAnsiTheme="minorEastAsia" w:hint="eastAsia"/>
        </w:rPr>
        <w:t>本基金</w:t>
      </w:r>
      <w:r w:rsidR="00134024" w:rsidRPr="0047638B">
        <w:rPr>
          <w:rFonts w:asciiTheme="minorEastAsia" w:eastAsiaTheme="minorEastAsia" w:hAnsiTheme="minorEastAsia" w:hint="eastAsia"/>
          <w:szCs w:val="24"/>
        </w:rPr>
        <w:t>C类份额</w:t>
      </w:r>
      <w:r w:rsidR="00134024" w:rsidRPr="0047638B">
        <w:rPr>
          <w:rFonts w:asciiTheme="minorEastAsia" w:eastAsiaTheme="minorEastAsia" w:hAnsiTheme="minorEastAsia" w:hint="eastAsia"/>
        </w:rPr>
        <w:t>已于</w:t>
      </w:r>
      <w:r w:rsidR="00134024" w:rsidRPr="0047638B">
        <w:rPr>
          <w:rFonts w:asciiTheme="minorEastAsia" w:eastAsiaTheme="minorEastAsia" w:hAnsiTheme="minorEastAsia"/>
        </w:rPr>
        <w:t>2021</w:t>
      </w:r>
      <w:r w:rsidR="00134024" w:rsidRPr="0047638B">
        <w:rPr>
          <w:rFonts w:asciiTheme="minorEastAsia" w:eastAsiaTheme="minorEastAsia" w:hAnsiTheme="minorEastAsia" w:hint="eastAsia"/>
        </w:rPr>
        <w:t>年</w:t>
      </w:r>
      <w:r w:rsidR="00134024" w:rsidRPr="0047638B">
        <w:rPr>
          <w:rFonts w:asciiTheme="minorEastAsia" w:eastAsiaTheme="minorEastAsia" w:hAnsiTheme="minorEastAsia"/>
        </w:rPr>
        <w:t>7</w:t>
      </w:r>
      <w:r w:rsidR="00134024" w:rsidRPr="0047638B">
        <w:rPr>
          <w:rFonts w:asciiTheme="minorEastAsia" w:eastAsiaTheme="minorEastAsia" w:hAnsiTheme="minorEastAsia" w:hint="eastAsia"/>
        </w:rPr>
        <w:t>月</w:t>
      </w:r>
      <w:r w:rsidR="00134024" w:rsidRPr="0047638B">
        <w:rPr>
          <w:rFonts w:asciiTheme="minorEastAsia" w:eastAsiaTheme="minorEastAsia" w:hAnsiTheme="minorEastAsia"/>
        </w:rPr>
        <w:t>19</w:t>
      </w:r>
      <w:r w:rsidR="00134024" w:rsidRPr="0047638B">
        <w:rPr>
          <w:rFonts w:asciiTheme="minorEastAsia" w:eastAsiaTheme="minorEastAsia" w:hAnsiTheme="minorEastAsia" w:hint="eastAsia"/>
        </w:rPr>
        <w:t>日开始办理</w:t>
      </w:r>
      <w:r w:rsidR="00134024" w:rsidRPr="0047638B">
        <w:rPr>
          <w:rFonts w:asciiTheme="minorEastAsia" w:eastAsiaTheme="minorEastAsia" w:hAnsiTheme="minorEastAsia" w:hint="eastAsia"/>
          <w:szCs w:val="24"/>
        </w:rPr>
        <w:t>定期定额投资业务</w:t>
      </w:r>
      <w:r w:rsidRPr="0047638B">
        <w:rPr>
          <w:rFonts w:asciiTheme="minorEastAsia" w:eastAsiaTheme="minorEastAsia" w:hAnsiTheme="minorEastAsia"/>
          <w:bCs/>
          <w:szCs w:val="21"/>
        </w:rPr>
        <w:t>。</w:t>
      </w:r>
    </w:p>
    <w:p w14:paraId="67BB5779" w14:textId="13435D84" w:rsidR="00555FA0" w:rsidRPr="0047638B" w:rsidRDefault="00555FA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投资者在办理定期定额投资计划时可自行约定每期扣款金额，每期扣款金额必须不低于基金管理人在相关公告或更新的招募说明书中所规定的定期定额投资计划最低申购金额。</w:t>
      </w:r>
    </w:p>
    <w:p w14:paraId="1917ADE0" w14:textId="77777777" w:rsidR="00644444" w:rsidRPr="0047638B" w:rsidRDefault="00644444"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（十七）其他</w:t>
      </w:r>
    </w:p>
    <w:p w14:paraId="3C7639F3" w14:textId="77777777" w:rsidR="00E5148D" w:rsidRPr="0047638B" w:rsidRDefault="00220EEC"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基金管理人可在相关法律法规允许、相应技术条件成熟的情况下，开通多币种（包括但不限于美元）的申购、赎回业务，不同币种的申购、赎回价格以受理申请当日的对应币种折算净值为基准计算。多币种的申购、赎回业务细则以基金管理人的相关公告为准。</w:t>
      </w:r>
    </w:p>
    <w:p w14:paraId="1E99F55F" w14:textId="77777777" w:rsidR="00E13C79" w:rsidRPr="0047638B" w:rsidRDefault="00E5148D" w:rsidP="006C2189">
      <w:pPr>
        <w:widowControl/>
        <w:snapToGrid w:val="0"/>
        <w:spacing w:line="360" w:lineRule="auto"/>
        <w:jc w:val="left"/>
        <w:rPr>
          <w:rFonts w:asciiTheme="minorEastAsia" w:eastAsiaTheme="minorEastAsia" w:hAnsiTheme="minorEastAsia"/>
        </w:rPr>
      </w:pPr>
      <w:r w:rsidRPr="0047638B">
        <w:rPr>
          <w:rFonts w:asciiTheme="minorEastAsia" w:eastAsiaTheme="minorEastAsia" w:hAnsiTheme="minorEastAsia"/>
        </w:rPr>
        <w:br w:type="page"/>
      </w:r>
    </w:p>
    <w:p w14:paraId="13670C0A" w14:textId="0B3EA8E9" w:rsidR="00E13C79" w:rsidRPr="0047638B" w:rsidRDefault="00AF7EB5" w:rsidP="00365038">
      <w:pPr>
        <w:pStyle w:val="11"/>
        <w:snapToGrid w:val="0"/>
        <w:spacing w:beforeLines="0" w:afterLines="0" w:line="360" w:lineRule="auto"/>
        <w:ind w:firstLine="600"/>
        <w:rPr>
          <w:rFonts w:asciiTheme="minorEastAsia" w:eastAsiaTheme="minorEastAsia" w:hAnsiTheme="minorEastAsia"/>
          <w:b w:val="0"/>
          <w:sz w:val="30"/>
        </w:rPr>
      </w:pPr>
      <w:bookmarkStart w:id="3598" w:name="_Toc77779998"/>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b w:val="0"/>
          <w:sz w:val="30"/>
        </w:rPr>
        <w:t>一</w:t>
      </w:r>
      <w:r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基金的非交易过户、冻结与质押</w:t>
      </w:r>
      <w:bookmarkEnd w:id="3598"/>
    </w:p>
    <w:p w14:paraId="73459CE4" w14:textId="77777777" w:rsidR="00E13C79" w:rsidRPr="0047638B" w:rsidRDefault="00012AF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E13C79" w:rsidRPr="0047638B">
        <w:rPr>
          <w:rFonts w:asciiTheme="minorEastAsia" w:eastAsiaTheme="minorEastAsia" w:hAnsiTheme="minorEastAsia"/>
        </w:rPr>
        <w:t>基金的非交易过户</w:t>
      </w:r>
    </w:p>
    <w:p w14:paraId="50A0DF0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的非交易过户是指基金登记结算机构受理继承、捐赠和司法强制执行等情形而产生的非交易过户以及登记结算机构认可、符合法律法规的其它非交易过户。无论在上述何种情况下，接受划转的主体必须是依法可以持有本基金基金份额的投资者。</w:t>
      </w:r>
    </w:p>
    <w:p w14:paraId="4699B1E4" w14:textId="77777777" w:rsidR="00E13C79" w:rsidRPr="0047638B" w:rsidRDefault="00FB3A5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114A4C33" w14:textId="77777777" w:rsidR="00E13C79" w:rsidRPr="0047638B" w:rsidRDefault="002705C1"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w:t>
      </w:r>
      <w:r w:rsidR="00E13C79" w:rsidRPr="0047638B">
        <w:rPr>
          <w:rFonts w:asciiTheme="minorEastAsia" w:eastAsiaTheme="minorEastAsia" w:hAnsiTheme="minorEastAsia"/>
        </w:rPr>
        <w:t>基金的冻结和解冻</w:t>
      </w:r>
    </w:p>
    <w:p w14:paraId="6A5A083B" w14:textId="77777777" w:rsidR="00E13C79" w:rsidRPr="0047638B" w:rsidRDefault="00FB3A5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基金登记结算机构只受理国家有权机关依法要求的基金份额的冻结与解冻，以及登记结算机构认可、符合法律法规的其他情况下的冻结与解冻。</w:t>
      </w:r>
    </w:p>
    <w:p w14:paraId="1AFAB91F" w14:textId="77777777" w:rsidR="00024B60" w:rsidRPr="0047638B" w:rsidRDefault="00024B60"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（三）基金份额的质押</w:t>
      </w:r>
    </w:p>
    <w:p w14:paraId="1F9C8D24" w14:textId="7F081AC8" w:rsidR="00AF7EB5" w:rsidRPr="0047638B" w:rsidRDefault="00FB3A5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在条件许可的情况下，基金登记结算机构可依据相关法律法规及其业务规则，办理基金份额质押业务，并可收取一定的手续费。</w:t>
      </w:r>
    </w:p>
    <w:p w14:paraId="78331289" w14:textId="408CB37F" w:rsidR="00944ECD" w:rsidRPr="0047638B" w:rsidRDefault="00944ECD" w:rsidP="00E95A80">
      <w:pPr>
        <w:spacing w:line="360" w:lineRule="auto"/>
        <w:ind w:firstLineChars="200" w:firstLine="420"/>
        <w:rPr>
          <w:rFonts w:asciiTheme="minorEastAsia" w:eastAsiaTheme="minorEastAsia" w:hAnsiTheme="minorEastAsia"/>
        </w:rPr>
      </w:pPr>
    </w:p>
    <w:p w14:paraId="5A5B05C2" w14:textId="77D0C285" w:rsidR="00E13C79" w:rsidRPr="0047638B" w:rsidRDefault="00E13C79" w:rsidP="00365038">
      <w:pPr>
        <w:pStyle w:val="11"/>
        <w:snapToGrid w:val="0"/>
        <w:spacing w:beforeLines="0" w:afterLines="0" w:line="360" w:lineRule="auto"/>
        <w:ind w:firstLine="600"/>
        <w:rPr>
          <w:rFonts w:asciiTheme="minorEastAsia" w:eastAsiaTheme="minorEastAsia" w:hAnsiTheme="minorEastAsia"/>
          <w:b w:val="0"/>
          <w:sz w:val="30"/>
        </w:rPr>
      </w:pPr>
      <w:bookmarkStart w:id="3599" w:name="_Toc77779999"/>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二</w:t>
      </w:r>
      <w:r w:rsidR="00656BAB" w:rsidRPr="0047638B">
        <w:rPr>
          <w:rFonts w:asciiTheme="minorEastAsia" w:eastAsiaTheme="minorEastAsia" w:hAnsiTheme="minorEastAsia"/>
          <w:b w:val="0"/>
          <w:sz w:val="30"/>
        </w:rPr>
        <w:t>、</w:t>
      </w:r>
      <w:r w:rsidRPr="0047638B">
        <w:rPr>
          <w:rFonts w:asciiTheme="minorEastAsia" w:eastAsiaTheme="minorEastAsia" w:hAnsiTheme="minorEastAsia"/>
          <w:b w:val="0"/>
          <w:sz w:val="30"/>
        </w:rPr>
        <w:t>基金份额的登记结算</w:t>
      </w:r>
      <w:bookmarkEnd w:id="3599"/>
    </w:p>
    <w:p w14:paraId="70F8C435"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132104" w:rsidRPr="0047638B">
        <w:rPr>
          <w:rFonts w:asciiTheme="minorEastAsia" w:eastAsiaTheme="minorEastAsia" w:hAnsiTheme="minorEastAsia"/>
        </w:rPr>
        <w:t>基金的份额</w:t>
      </w:r>
      <w:r w:rsidR="00E13C79" w:rsidRPr="0047638B">
        <w:rPr>
          <w:rFonts w:asciiTheme="minorEastAsia" w:eastAsiaTheme="minorEastAsia" w:hAnsiTheme="minorEastAsia"/>
        </w:rPr>
        <w:t>登记结算业务</w:t>
      </w:r>
    </w:p>
    <w:p w14:paraId="128C1234" w14:textId="77777777" w:rsidR="00E13C79" w:rsidRPr="0047638B" w:rsidRDefault="002D4431"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登记业务指本基金登记、存管、过户、清算和结算业务，具体内容包括投资者基金账户的建立和管理、基金份额登记、基金销售业务的确认、清算和结算、代理发放红利、建立并保管基金份额持有人名册和办理非交易过户等。</w:t>
      </w:r>
    </w:p>
    <w:p w14:paraId="22A30C91"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w:t>
      </w:r>
      <w:r w:rsidR="00132104" w:rsidRPr="0047638B">
        <w:rPr>
          <w:rFonts w:asciiTheme="minorEastAsia" w:eastAsiaTheme="minorEastAsia" w:hAnsiTheme="minorEastAsia"/>
        </w:rPr>
        <w:t>基金</w:t>
      </w:r>
      <w:r w:rsidR="00E13C79" w:rsidRPr="0047638B">
        <w:rPr>
          <w:rFonts w:asciiTheme="minorEastAsia" w:eastAsiaTheme="minorEastAsia" w:hAnsiTheme="minorEastAsia"/>
        </w:rPr>
        <w:t>登记结算业务的办理</w:t>
      </w:r>
      <w:r w:rsidR="00132104" w:rsidRPr="0047638B">
        <w:rPr>
          <w:rFonts w:asciiTheme="minorEastAsia" w:eastAsiaTheme="minorEastAsia" w:hAnsiTheme="minorEastAsia"/>
        </w:rPr>
        <w:t>机构</w:t>
      </w:r>
    </w:p>
    <w:p w14:paraId="049C59A0"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的登记结算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D26F5DC"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本基金A类基金份额的登记结算机构为中国证券登记结算有限责任公司，C类基金份额的登记结算机构为易方达基金管理有限公司。基金管理人也可以自行或委托其他机构担任登记结算机构。</w:t>
      </w:r>
    </w:p>
    <w:p w14:paraId="681160CA" w14:textId="79D7BEE6" w:rsidR="00E13C79" w:rsidRPr="0047638B" w:rsidRDefault="00A521A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的基金份额采用分系统登记的原则。场外A类基金份额登记在登记结算系统基金份额持有人开放式基金账户下；场内A类基金份额登记在证券登记系统基金份额持有人上海证券账户下。C类基金份额登记在易方达基金管理有限公司注册登记系统基金账户下。</w:t>
      </w:r>
    </w:p>
    <w:p w14:paraId="7DBB121A"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w:t>
      </w:r>
      <w:r w:rsidR="00E13C79" w:rsidRPr="0047638B">
        <w:rPr>
          <w:rFonts w:asciiTheme="minorEastAsia" w:eastAsiaTheme="minorEastAsia" w:hAnsiTheme="minorEastAsia"/>
        </w:rPr>
        <w:t>基金</w:t>
      </w:r>
      <w:r w:rsidR="003066E5" w:rsidRPr="0047638B">
        <w:rPr>
          <w:rFonts w:asciiTheme="minorEastAsia" w:eastAsiaTheme="minorEastAsia" w:hAnsiTheme="minorEastAsia"/>
        </w:rPr>
        <w:t>登记结算机构</w:t>
      </w:r>
      <w:r w:rsidR="00E13C79" w:rsidRPr="0047638B">
        <w:rPr>
          <w:rFonts w:asciiTheme="minorEastAsia" w:eastAsiaTheme="minorEastAsia" w:hAnsiTheme="minorEastAsia"/>
        </w:rPr>
        <w:t>的权利</w:t>
      </w:r>
    </w:p>
    <w:p w14:paraId="0CB25EC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基金登记结算机构享有以下权利：</w:t>
      </w:r>
    </w:p>
    <w:p w14:paraId="31EB423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1、取得登记费；</w:t>
      </w:r>
    </w:p>
    <w:p w14:paraId="2958728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2、建立和管理投资者基金账户；</w:t>
      </w:r>
    </w:p>
    <w:p w14:paraId="412F700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3、保管基金份额持有人开户资料、交易资料、基金份额持有人名册等；</w:t>
      </w:r>
    </w:p>
    <w:p w14:paraId="53E8959A" w14:textId="3842BF60"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4、在法律法规允许的范围内，制定和调整登记业务相关规则，并依照有关规定于开始实施前在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上公告；</w:t>
      </w:r>
    </w:p>
    <w:p w14:paraId="1CC01A7A" w14:textId="77777777" w:rsidR="00E13C79" w:rsidRPr="0047638B" w:rsidRDefault="002D4431"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5、法律法规及中国证监会规定的和《基金合同》约定的其他权利。</w:t>
      </w:r>
    </w:p>
    <w:p w14:paraId="10C47285"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w:t>
      </w:r>
      <w:r w:rsidR="00E13C79" w:rsidRPr="0047638B">
        <w:rPr>
          <w:rFonts w:asciiTheme="minorEastAsia" w:eastAsiaTheme="minorEastAsia" w:hAnsiTheme="minorEastAsia"/>
        </w:rPr>
        <w:t>基金</w:t>
      </w:r>
      <w:r w:rsidR="003066E5" w:rsidRPr="0047638B">
        <w:rPr>
          <w:rFonts w:asciiTheme="minorEastAsia" w:eastAsiaTheme="minorEastAsia" w:hAnsiTheme="minorEastAsia"/>
        </w:rPr>
        <w:t>登记结算机构</w:t>
      </w:r>
      <w:r w:rsidR="00E13C79" w:rsidRPr="0047638B">
        <w:rPr>
          <w:rFonts w:asciiTheme="minorEastAsia" w:eastAsiaTheme="minorEastAsia" w:hAnsiTheme="minorEastAsia"/>
        </w:rPr>
        <w:t>的义务</w:t>
      </w:r>
    </w:p>
    <w:p w14:paraId="5B6A14A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基金登记结算机构承担以下义务：</w:t>
      </w:r>
    </w:p>
    <w:p w14:paraId="0FA66D2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1、配备足够的专业人员办理本基金份额的登记业务；</w:t>
      </w:r>
    </w:p>
    <w:p w14:paraId="7EB67D5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2、严格按照法律法规及中国证监会规定和《基金合同》规定的条件办理本基金份额的登记业务；</w:t>
      </w:r>
    </w:p>
    <w:p w14:paraId="39F4067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3、妥善保存登记数据，并将基金份额持有人名称、身份信息及基金份额明细等数据备份至中国证监会认定的机构。其保存期限自基金账户销户之日起不得少于20年；</w:t>
      </w:r>
    </w:p>
    <w:p w14:paraId="61A9E21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D548AA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5、按《基金合同》和《招募说明书》及相关业务规则的规定为投资者办理非交易过户业务，并提供其他必要的服务；</w:t>
      </w:r>
    </w:p>
    <w:p w14:paraId="3F57851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6、接受基金管理人的监督；</w:t>
      </w:r>
    </w:p>
    <w:p w14:paraId="1B991F64" w14:textId="77777777" w:rsidR="00E13C79" w:rsidRPr="0047638B" w:rsidRDefault="002D4431"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7、法律法规及中国证监会规定的和《基金合同》约定的其他义务。</w:t>
      </w:r>
      <w:r w:rsidR="00656BAB" w:rsidRPr="0047638B">
        <w:rPr>
          <w:rFonts w:asciiTheme="minorEastAsia" w:eastAsiaTheme="minorEastAsia" w:hAnsiTheme="minorEastAsia"/>
          <w:szCs w:val="24"/>
        </w:rPr>
        <w:br w:type="page"/>
      </w:r>
    </w:p>
    <w:p w14:paraId="5C5611F9" w14:textId="64C387A5" w:rsidR="00236999" w:rsidRPr="0047638B" w:rsidRDefault="0036120C" w:rsidP="00365038">
      <w:pPr>
        <w:pStyle w:val="11"/>
        <w:snapToGrid w:val="0"/>
        <w:spacing w:beforeLines="0" w:afterLines="0" w:line="360" w:lineRule="auto"/>
        <w:ind w:firstLine="600"/>
        <w:rPr>
          <w:rFonts w:asciiTheme="minorEastAsia" w:eastAsiaTheme="minorEastAsia" w:hAnsiTheme="minorEastAsia"/>
          <w:b w:val="0"/>
          <w:sz w:val="30"/>
        </w:rPr>
      </w:pPr>
      <w:bookmarkStart w:id="3600" w:name="_Toc77780000"/>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三</w:t>
      </w:r>
      <w:r w:rsidR="00236999" w:rsidRPr="0047638B">
        <w:rPr>
          <w:rFonts w:asciiTheme="minorEastAsia" w:eastAsiaTheme="minorEastAsia" w:hAnsiTheme="minorEastAsia"/>
          <w:b w:val="0"/>
          <w:sz w:val="30"/>
        </w:rPr>
        <w:t>、基金的投资</w:t>
      </w:r>
      <w:bookmarkEnd w:id="3600"/>
    </w:p>
    <w:p w14:paraId="6CFC64B5"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（一）投资目标</w:t>
      </w:r>
    </w:p>
    <w:p w14:paraId="29B05922" w14:textId="77777777" w:rsidR="00236999" w:rsidRPr="0047638B" w:rsidRDefault="00B606F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紧密跟踪业绩比较基准，追求跟踪偏离度及跟踪误差最小化。</w:t>
      </w:r>
    </w:p>
    <w:p w14:paraId="6D583E0C"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（二）投资范围</w:t>
      </w:r>
    </w:p>
    <w:p w14:paraId="7B47AB22"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的投资范围为具有良好流动性的金融工具，包括国内依法发行上市的股票（包括中小板、创业板及其他经中国证监会核准上市的股票、存托凭证）、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的相关规定）。</w:t>
      </w:r>
    </w:p>
    <w:p w14:paraId="077D38FB"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如法律法规或监管机构以后允许基金投资其他品种，本基金可将其纳入投资范围，其投资原则及投资比例按法律法规或监管机构的相关规定执行。</w:t>
      </w:r>
    </w:p>
    <w:p w14:paraId="69FFB1F3"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本基金将根据法律法规的规定参与转融通证券出借及融资融券业务。</w:t>
      </w:r>
    </w:p>
    <w:p w14:paraId="115A9D08"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基金的投资组合比例为：</w:t>
      </w:r>
    </w:p>
    <w:p w14:paraId="5C470902"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投资于股票的比例不低于基金资产的90%；本基金投资于标的指数成份股和备选成份股的资产不低于非现金基金资产的80%；在扣除股指期货合约需缴纳的交易保证金后，现金或到期日在一年以内的政府债券不低于基金资产净值的5%，现金不包括结算备付金、存出保证金、应收申购款等。</w:t>
      </w:r>
    </w:p>
    <w:p w14:paraId="2E3660AD" w14:textId="0AE9A049" w:rsidR="00236999" w:rsidRPr="0047638B" w:rsidRDefault="00A521A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若法律法规的相关规定发生变更或监管机构允许，本基金管理人可对上述资产配置比例进行调整。</w:t>
      </w:r>
    </w:p>
    <w:p w14:paraId="77278963"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（三）投资策略</w:t>
      </w:r>
    </w:p>
    <w:p w14:paraId="42CE922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1、资产配置策略</w:t>
      </w:r>
    </w:p>
    <w:p w14:paraId="09CAA1E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投资于股票的比例不低于基金资产的90%；本基金投资于标的指数成份股和备选成份股的资产不低于非现金基金资产的80%；在扣除股指期货合约需缴纳的交易保证金后，现金或到期日在一年以内的政府债券不低于基金资产净值的5%。基金管理人将综合考虑市场情况、基金资产的流动性要求及投资比例限制等因素，确定股票、债券等资产的具体配置比例。</w:t>
      </w:r>
    </w:p>
    <w:p w14:paraId="3DB15DA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本基金力争将年化跟踪误差控制在4%以内，日跟踪偏离度绝对值的平均值控制在0.35%以内。</w:t>
      </w:r>
    </w:p>
    <w:p w14:paraId="5861ACF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2、权益类品种投资策略</w:t>
      </w:r>
    </w:p>
    <w:p w14:paraId="3636A5B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（1）股票投资策略</w:t>
      </w:r>
    </w:p>
    <w:p w14:paraId="6980AA6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其他指数投资技术适当调整基金投资组合，以达到紧密跟踪标的指数的目的。特殊情形包括但不限于：</w:t>
      </w:r>
    </w:p>
    <w:p w14:paraId="08164FD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1）法律法规的限制；</w:t>
      </w:r>
    </w:p>
    <w:p w14:paraId="5B00DE5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2）标的指数成份股流动性严重不足；</w:t>
      </w:r>
    </w:p>
    <w:p w14:paraId="4B5D97A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3）标的指数的成份股票长期停牌；</w:t>
      </w:r>
    </w:p>
    <w:p w14:paraId="608FAD6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4）标的指数成份股进行配股或增发；</w:t>
      </w:r>
    </w:p>
    <w:p w14:paraId="02FCD43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5）标的指数成份股派发现金股息；</w:t>
      </w:r>
    </w:p>
    <w:p w14:paraId="3865FC8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6）其他可能严重限制本基金跟踪标的指数的合理原因等。</w:t>
      </w:r>
    </w:p>
    <w:p w14:paraId="3B948F0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（2）股票组合的动态调整</w:t>
      </w:r>
    </w:p>
    <w:p w14:paraId="4D3F9F7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在基金运作过程中，当发生以下情况时，基金管理人可对投资组合进行调整：</w:t>
      </w:r>
    </w:p>
    <w:p w14:paraId="1CD55A3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1）指数编制方法发生变更。基金管理人将评估指数编制方法变更对指数成份股及权重的影响，适时进行投资组合调整；</w:t>
      </w:r>
    </w:p>
    <w:p w14:paraId="3FF3D75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2）指数成份股定期或临时调整。基金管理人将根据指数成份股调整方案，判断指数成份股调整对投资组合的影响，在此基础上确定组合调整策略；</w:t>
      </w:r>
    </w:p>
    <w:p w14:paraId="0898DDC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3）标的指数成份股出现股本变化、增发、配股、派发现金股息等情形。基金管理人将密切关注这些情形对指数的影响，并据此确定相应的投资组合调整策略；</w:t>
      </w:r>
    </w:p>
    <w:p w14:paraId="6B80E57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4）基金发生申购赎回等影响跟踪效果的情形。基金管理人将分析这些情形对跟踪效果的影响，据此对投资组合进行相应调整。</w:t>
      </w:r>
    </w:p>
    <w:p w14:paraId="4AF0260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5）法律法规限制、股票流动性不足、股票停牌等因素导致基金无法根据指数建立组合。基金管理人可根据市场情况，以跟踪误差最小化为原则对投资组合进行调整。</w:t>
      </w:r>
    </w:p>
    <w:p w14:paraId="609A44F4" w14:textId="414F8ED2" w:rsidR="00A521AE" w:rsidRPr="0047638B" w:rsidRDefault="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（3）本基金在综合考虑预期收益、风险、流动性等因素的基础上，根据审慎原则合理参与存托凭证的投资，以更好地跟踪标的指数，追求跟踪偏离度和跟踪误差的最小化。</w:t>
      </w:r>
    </w:p>
    <w:p w14:paraId="79F0AB7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3、金融衍生品的投资策略</w:t>
      </w:r>
    </w:p>
    <w:p w14:paraId="20EFFAC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（1）股指期货投资策略</w:t>
      </w:r>
    </w:p>
    <w:p w14:paraId="3173B33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本基金将根据风险管理的原则，主要选择流动性好、交易活跃的股指期货合约进行交易，以降低股票仓位调整的交易成本，提高投资效率，从而更好地跟踪标的指数，实现投资目标。</w:t>
      </w:r>
    </w:p>
    <w:p w14:paraId="3EAF8E3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（2）权证为本基金辅助性投资工具。权证的投资原则为有利于基金资产增值、控制风</w:t>
      </w:r>
      <w:r w:rsidRPr="0047638B">
        <w:rPr>
          <w:rFonts w:asciiTheme="minorEastAsia" w:eastAsiaTheme="minorEastAsia" w:hAnsiTheme="minorEastAsia"/>
          <w:szCs w:val="24"/>
        </w:rPr>
        <w:lastRenderedPageBreak/>
        <w:t>险、实现保值和锁定收益。</w:t>
      </w:r>
    </w:p>
    <w:p w14:paraId="5028D16B"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4、参与转融通证券出借业务策略</w:t>
      </w:r>
    </w:p>
    <w:p w14:paraId="48F6D781"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14:paraId="40B63D57"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5、融资融券业务策略</w:t>
      </w:r>
    </w:p>
    <w:p w14:paraId="2A5C0567" w14:textId="77777777" w:rsidR="00A521AE"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在条件许可的情况下，基金管理人可在不改变本基金既有投资目标、策略和风险收益特征并在控制风险的前提下，根据相关法律法规，参与融资业务，以提高投资效率及进行风险管理。届时基金参与融资业务的风险控制原则、具体参与比例限制、费用收支、信息披露、估值方法及其他相关事项按照中国证监会的规定及其他相关法律法规的要求执行，无需召开基金份额持有人大会审议。此外，本基金可根据届时有效的法律法规和监管机构的有关规定开展融券业务。</w:t>
      </w:r>
    </w:p>
    <w:p w14:paraId="6FF08FA7" w14:textId="63A926DD" w:rsidR="00DD18D9" w:rsidRPr="0047638B" w:rsidRDefault="00A521AE" w:rsidP="00A521A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w:t>
      </w:r>
      <w:r w:rsidR="00561038" w:rsidRPr="0047638B">
        <w:rPr>
          <w:rFonts w:asciiTheme="minorEastAsia" w:eastAsiaTheme="minorEastAsia" w:hAnsiTheme="minorEastAsia"/>
          <w:szCs w:val="24"/>
        </w:rPr>
        <w:t>其他</w:t>
      </w:r>
    </w:p>
    <w:p w14:paraId="7AC3DD2B" w14:textId="77777777" w:rsidR="00236999" w:rsidRPr="0047638B" w:rsidRDefault="00B606F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未来，随着市场的发展和基金管理运作的需要，基金管理人可以在不改变投资目标的前提下，遵循法律法规的规定，相应调整或更新投资策略，并在招募说明书更新中公告。</w:t>
      </w:r>
    </w:p>
    <w:p w14:paraId="4708C337"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（四）业绩比较基准</w:t>
      </w:r>
    </w:p>
    <w:p w14:paraId="3635F3EA" w14:textId="77777777" w:rsidR="00B606F7" w:rsidRPr="0047638B" w:rsidRDefault="000D2903"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本基金业绩比较基准为：</w:t>
      </w:r>
      <w:r w:rsidR="00B606F7" w:rsidRPr="0047638B">
        <w:rPr>
          <w:rFonts w:asciiTheme="minorEastAsia" w:eastAsiaTheme="minorEastAsia" w:hAnsiTheme="minorEastAsia"/>
          <w:szCs w:val="24"/>
        </w:rPr>
        <w:t>95%×中证全指证券公司指数收益率＋5%×同期银行活期存款利率（税后）</w:t>
      </w:r>
    </w:p>
    <w:p w14:paraId="39702CFB" w14:textId="24CF3AB5" w:rsidR="002D2486" w:rsidRPr="0047638B" w:rsidRDefault="001B19DA" w:rsidP="002D2486">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未来若出现标的指数</w:t>
      </w:r>
      <w:r w:rsidR="00EB5CAD" w:rsidRPr="0047638B">
        <w:rPr>
          <w:rFonts w:asciiTheme="minorEastAsia" w:eastAsiaTheme="minorEastAsia" w:hAnsiTheme="minorEastAsia" w:hint="eastAsia"/>
          <w:szCs w:val="24"/>
        </w:rPr>
        <w:t>不符合法律法规及监管的要求</w:t>
      </w:r>
      <w:r w:rsidRPr="0047638B">
        <w:rPr>
          <w:rFonts w:asciiTheme="minorEastAsia" w:eastAsiaTheme="minorEastAsia" w:hAnsiTheme="minorEastAsia" w:hint="eastAsia"/>
          <w:szCs w:val="24"/>
        </w:rPr>
        <w:t>（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14:paraId="4EDB372B" w14:textId="5F42C4C6" w:rsidR="00236999" w:rsidRPr="0047638B" w:rsidRDefault="002D2486" w:rsidP="002D2486">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自指数编制机构停止标的指数的编制及发布至解决方案确定期间，基金管理人应按照指数编制机构提供的最近一个交易日的指数信息遵循基金份额持有人利益优先原则维持基金投资运作。</w:t>
      </w:r>
    </w:p>
    <w:p w14:paraId="4AE03A52"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（五）风险收益特征</w:t>
      </w:r>
    </w:p>
    <w:p w14:paraId="172A437E" w14:textId="73900AC5" w:rsidR="00236999" w:rsidRPr="0047638B" w:rsidRDefault="0087278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kern w:val="0"/>
          <w:szCs w:val="21"/>
          <w:lang w:bidi="en-US"/>
        </w:rPr>
        <w:t>本基金为股票基金，主要采用完全复制策略跟踪标的指数的表现，其风险收益特征与标的指数相似。长期而言，其风险收益水平高于混合基金、债券基金和货币市场基金。</w:t>
      </w:r>
    </w:p>
    <w:p w14:paraId="4B6BFB3C"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lastRenderedPageBreak/>
        <w:t>（六）投资决策依据及决策程序</w:t>
      </w:r>
    </w:p>
    <w:p w14:paraId="08920B0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1、投资决策依据</w:t>
      </w:r>
    </w:p>
    <w:p w14:paraId="65BF054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(1)法律、法规和《基金合同》的规定；</w:t>
      </w:r>
    </w:p>
    <w:p w14:paraId="6C39816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(2)标的指数的编制方法及其调整公告等；</w:t>
      </w:r>
    </w:p>
    <w:p w14:paraId="752630B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(3)对证券市场发展趋势的研究与判断。</w:t>
      </w:r>
    </w:p>
    <w:p w14:paraId="5528F19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2、投资决策流程</w:t>
      </w:r>
    </w:p>
    <w:p w14:paraId="1ECA195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(1)基金经理制定资产配置计划，按照公司制度提交审议并实施。</w:t>
      </w:r>
    </w:p>
    <w:p w14:paraId="4A3AB10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(2)基金经理依据指数成份股名单及权重，进行投资组合构建。</w:t>
      </w:r>
    </w:p>
    <w:p w14:paraId="48A69A5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(3)基金经理根据标的指数编制方案、标的指数成份股及其权重变化情况、基金申购赎回情况、指数成份股派息情况等，及时调整投资组合，以降低跟踪误差，实现对标的指数的紧密跟踪。</w:t>
      </w:r>
    </w:p>
    <w:p w14:paraId="455BFA7B" w14:textId="1F83C3E3" w:rsidR="002D2486" w:rsidRPr="0047638B" w:rsidRDefault="00561038" w:rsidP="002D2486">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w:t>
      </w:r>
      <w:r w:rsidR="002D2486" w:rsidRPr="0047638B">
        <w:rPr>
          <w:rFonts w:asciiTheme="minorEastAsia" w:eastAsiaTheme="minorEastAsia" w:hAnsiTheme="minorEastAsia" w:hint="eastAsia"/>
          <w:szCs w:val="24"/>
        </w:rPr>
        <w:t>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r w:rsidR="00970292" w:rsidRPr="0047638B">
        <w:rPr>
          <w:rFonts w:asciiTheme="minorEastAsia" w:eastAsiaTheme="minorEastAsia" w:hAnsiTheme="minorEastAsia" w:hint="eastAsia"/>
          <w:szCs w:val="24"/>
        </w:rPr>
        <w:t>。</w:t>
      </w:r>
    </w:p>
    <w:p w14:paraId="3A7B9695" w14:textId="57E28F24" w:rsidR="00DD18D9" w:rsidRPr="0047638B" w:rsidRDefault="002D2486" w:rsidP="002D2486">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w:t>
      </w:r>
      <w:r w:rsidR="00561038" w:rsidRPr="0047638B">
        <w:rPr>
          <w:rFonts w:asciiTheme="minorEastAsia" w:eastAsiaTheme="minorEastAsia" w:hAnsiTheme="minorEastAsia"/>
          <w:szCs w:val="24"/>
        </w:rPr>
        <w:t>投资风险管理部门定期对投资组合的跟踪误差进行量化评估，提供基金经理参考。</w:t>
      </w:r>
    </w:p>
    <w:p w14:paraId="324C9497" w14:textId="1CFE9AC8" w:rsidR="00236999" w:rsidRPr="0047638B" w:rsidRDefault="006D583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w:t>
      </w:r>
      <w:r w:rsidR="002D2486" w:rsidRPr="0047638B">
        <w:rPr>
          <w:rFonts w:asciiTheme="minorEastAsia" w:eastAsiaTheme="minorEastAsia" w:hAnsiTheme="minorEastAsia"/>
          <w:szCs w:val="24"/>
        </w:rPr>
        <w:t>6</w:t>
      </w:r>
      <w:r w:rsidRPr="0047638B">
        <w:rPr>
          <w:rFonts w:asciiTheme="minorEastAsia" w:eastAsiaTheme="minorEastAsia" w:hAnsiTheme="minorEastAsia"/>
          <w:szCs w:val="24"/>
        </w:rPr>
        <w:t>)基金经理参考有关研究报告及投资风险管理部的报告，及时进行投资组合调整。</w:t>
      </w:r>
    </w:p>
    <w:p w14:paraId="3EED431E"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9F6D97" w:rsidRPr="0047638B">
        <w:rPr>
          <w:rFonts w:asciiTheme="minorEastAsia" w:eastAsiaTheme="minorEastAsia" w:hAnsiTheme="minorEastAsia"/>
        </w:rPr>
        <w:t>七</w:t>
      </w:r>
      <w:r w:rsidRPr="0047638B">
        <w:rPr>
          <w:rFonts w:asciiTheme="minorEastAsia" w:eastAsiaTheme="minorEastAsia" w:hAnsiTheme="minorEastAsia"/>
        </w:rPr>
        <w:t>）投资限制与禁止行为</w:t>
      </w:r>
    </w:p>
    <w:p w14:paraId="2F349CB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1、投资限制</w:t>
      </w:r>
    </w:p>
    <w:p w14:paraId="106C982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基金的投资组合应遵循以下限制：</w:t>
      </w:r>
    </w:p>
    <w:p w14:paraId="75A4DBD7"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（1）本基金投资于股票的比例不低于基金资产的90%；本基金投资于标的指数成份股和备选成份股的资产不低于非现金基金资产的80%；</w:t>
      </w:r>
    </w:p>
    <w:p w14:paraId="5092C3B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（2）在扣除股指期货合约需缴纳的交易保证金后，保持不低于基金资产净值5%的现金或者到期日在一年以内的政府债券，现金不包括结算备付金、存出保证金、应收申购款等；</w:t>
      </w:r>
    </w:p>
    <w:p w14:paraId="296AF9A8"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（3）本基金持有的全部权证，其市值不得超过基金资产净值的3％；</w:t>
      </w:r>
    </w:p>
    <w:p w14:paraId="07F8620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（4）基金管理人管理的全部基金持有的同一权证，不得超过该权证的   10％；</w:t>
      </w:r>
    </w:p>
    <w:p w14:paraId="5ED5384D"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（5）本基金在任何交易日买入权证的总金额，不得超过上一交易日基金资产净值的0.5％；</w:t>
      </w:r>
    </w:p>
    <w:p w14:paraId="34DDBDB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（6）本基金投资于同一原始权益人的各类资产支持证券的比例，不得超过基金资产净值的10％；</w:t>
      </w:r>
    </w:p>
    <w:p w14:paraId="39C2C90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（7）本基金持有的全部资产支持证券，其市值不得超过基金资产净值的20％；</w:t>
      </w:r>
    </w:p>
    <w:p w14:paraId="00A5EA7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（8）本基金持有的同一(指同一信用级别)资产支持证券的比例，不得超过该资产支持证券规模的10％；</w:t>
      </w:r>
    </w:p>
    <w:p w14:paraId="78203BBB"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（9）基金管理人管理的全部基金投资于同一原始权益人的各类资产支持证券，不得超过其各类资产支持证券合计规模的10％；</w:t>
      </w:r>
    </w:p>
    <w:p w14:paraId="07A05BBD"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（10）本基金应投资于信用级别评级为BBB以上(含BBB)的资产支持证券。基金持有资产支持证券期间，如果其信用等级下降、不再符合投资标准，应在评级报告发布之日起3个月内予以全部卖出；</w:t>
      </w:r>
    </w:p>
    <w:p w14:paraId="2DEC28C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（11）基金财产参与股票发行申购，本基金所申报的金额不超过本基金的总资产，本基金所申报的股票数量不超过拟发行股票公司本次发行股票的总量；</w:t>
      </w:r>
    </w:p>
    <w:p w14:paraId="57E4CF8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（12）本基金进入全国银行间同业市场进行债券回购的资金余额不得超过基金资产净值的40%，在全国银行间同业市场中的债券回购最长期限为1年，债券回购到期后不展期；</w:t>
      </w:r>
    </w:p>
    <w:p w14:paraId="7FF95BB4"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（13）本基金投资于股指期货，还应遵循如下投资组合限制：</w:t>
      </w:r>
    </w:p>
    <w:p w14:paraId="1C40126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①在任何交易日日终，本基金持有的买入股指期货合约价值不超过基金资产净值的10%，卖出股指期货合约价值不超过基金持有的股票总市值的20%。</w:t>
      </w:r>
    </w:p>
    <w:p w14:paraId="610F101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②在任何交易日日终，本基金持有的买入期货合约价值与有价证券市值之和,不得超过基金资产净值的100%。其中，有价证券指股票、债券（不含到期日在一年以内的政府债券）、权证、资产支持证券、买入返售金融资产（不含质押式回购）等。</w:t>
      </w:r>
    </w:p>
    <w:p w14:paraId="19E973A3"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③本基金所持有的股票市值和买入、卖出股指期货合约价值，合计（轧差计算）应当符合《基金合同》关于股票投资比例的有关约定。</w:t>
      </w:r>
    </w:p>
    <w:p w14:paraId="2C0604EA"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④本基金在任何交易日内交易（不包括平仓）的股指期货合约的成交金额不得超过上一交易日基金资产净值的20%。</w:t>
      </w:r>
    </w:p>
    <w:p w14:paraId="7DF75088"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本基金管理人应当按照中国金融期货交易所的要求向其报告所交易和持有的卖出期货合约情况、交易目的及对应的证券资产情况等。</w:t>
      </w:r>
    </w:p>
    <w:p w14:paraId="13D9753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（14）本基金基金总资产不得超过基金净资产的140%。</w:t>
      </w:r>
    </w:p>
    <w:p w14:paraId="18723937"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（15）本基金参与融资的，每个交易日日终，本基金持有的融资买入股票与其他有价证券市值之和，不得超过基金资产净值的95%；</w:t>
      </w:r>
    </w:p>
    <w:p w14:paraId="7109A6FA"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16）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w:t>
      </w:r>
      <w:r w:rsidRPr="0047638B">
        <w:rPr>
          <w:rFonts w:asciiTheme="minorEastAsia" w:eastAsiaTheme="minorEastAsia" w:hAnsiTheme="minorEastAsia" w:hint="eastAsia"/>
          <w:szCs w:val="24"/>
        </w:rPr>
        <w:lastRenderedPageBreak/>
        <w:t>天，平均剩余期限按照市值加权平均计算；</w:t>
      </w:r>
    </w:p>
    <w:p w14:paraId="1A57C74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17）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3484850C"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（18）本基金与私募类证券资管产品及中国证监会认定的其他主体为交易对手开展逆回购交易的，可接受质押品的资质要求应当与基金合同约定的投资范围保持一致。</w:t>
      </w:r>
    </w:p>
    <w:p w14:paraId="5AF0F52D"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（19）本基金投资存托凭证的比例限制依照境内上市交易的股票执行，与境内上市交易的股票合并计算；</w:t>
      </w:r>
    </w:p>
    <w:p w14:paraId="68FA94B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（20）法律法规及中国证监会规定的和《基金合同》约定的其他投资限制。</w:t>
      </w:r>
    </w:p>
    <w:p w14:paraId="70271FDE"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27FE722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除上述（2）、（10）、（11）、（16）、（17）、（18）以外，因证券及期货市场波动、证券发行人合并、基金规模变动等基金管理人之外的因素致使基金投资比例不符合上述规定投资比例的，基金管理人应当在10个交易日内进行调整，因证券市场波动、上市公司合并、基金规模变动等基金管理人之外的因素致使基金投资不符合第（16）项规定的，基金管理人不得新增出借业务。法律法规或监管部门另有规定的，从其规定。</w:t>
      </w:r>
    </w:p>
    <w:p w14:paraId="73EBBE03" w14:textId="626C56D5" w:rsidR="00DD18D9" w:rsidRPr="0047638B" w:rsidRDefault="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14:paraId="35E5676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2、禁止行为</w:t>
      </w:r>
    </w:p>
    <w:p w14:paraId="3CBC02D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为维护基金份额持有人的合法权益，基金财产不得用于下列投资或者活动：</w:t>
      </w:r>
    </w:p>
    <w:p w14:paraId="13C54BE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（1）承销证券；</w:t>
      </w:r>
    </w:p>
    <w:p w14:paraId="12FD519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（2）违反规定向他人贷款或者提供担保；</w:t>
      </w:r>
    </w:p>
    <w:p w14:paraId="1B3070B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（3）从事承担无限责任的投资；</w:t>
      </w:r>
    </w:p>
    <w:p w14:paraId="2C61DCC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（4）向其基金管理人、基金托管人出资；</w:t>
      </w:r>
    </w:p>
    <w:p w14:paraId="41606BA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（5）从事内幕交易、操纵证券交易价格及其他不正当的证券交易活动；</w:t>
      </w:r>
    </w:p>
    <w:p w14:paraId="2B0ED4F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（6）法律、行政法规和中国证监会规定禁止的其他活动。</w:t>
      </w:r>
    </w:p>
    <w:p w14:paraId="730BCAE9" w14:textId="77777777" w:rsidR="00035877" w:rsidRPr="0047638B" w:rsidRDefault="0003587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3、法律法规或监管部门取消上述组合限制或禁止行为规定，如适用于本基金，则本基金可不受相关限制。法律法规或监管部门对上述组合限制或禁止行为规定进行变更的，本基</w:t>
      </w:r>
      <w:r w:rsidRPr="0047638B">
        <w:rPr>
          <w:rFonts w:asciiTheme="minorEastAsia" w:eastAsiaTheme="minorEastAsia" w:hAnsiTheme="minorEastAsia"/>
          <w:szCs w:val="24"/>
        </w:rPr>
        <w:lastRenderedPageBreak/>
        <w:t>金可以变更后的规定为准。经与基金托管人协商一致，基金管理人可依据法律法规或监管部门规定直接对《基金合同》进行变更，该变更无须召开基金份额持有人大会审议。</w:t>
      </w:r>
    </w:p>
    <w:p w14:paraId="267430AD"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9F6D97" w:rsidRPr="0047638B">
        <w:rPr>
          <w:rFonts w:asciiTheme="minorEastAsia" w:eastAsiaTheme="minorEastAsia" w:hAnsiTheme="minorEastAsia"/>
        </w:rPr>
        <w:t>八</w:t>
      </w:r>
      <w:r w:rsidRPr="0047638B">
        <w:rPr>
          <w:rFonts w:asciiTheme="minorEastAsia" w:eastAsiaTheme="minorEastAsia" w:hAnsiTheme="minorEastAsia"/>
        </w:rPr>
        <w:t>）基金管理人代表基金行使股东和债权人权利的处理原则及方法</w:t>
      </w:r>
    </w:p>
    <w:p w14:paraId="527C233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1、基金管理人按照国家有关规定代表基金独立行使所投资证券权利，保护基金份额持有人的利益；</w:t>
      </w:r>
    </w:p>
    <w:p w14:paraId="7F5F713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2、不谋求对上市公司的控股，不参与所投资上市公司的经营管理；</w:t>
      </w:r>
    </w:p>
    <w:p w14:paraId="0B87E17E" w14:textId="77777777" w:rsidR="00236999" w:rsidRPr="0047638B" w:rsidRDefault="0003587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3、有利于基金财产的安全与增值。</w:t>
      </w:r>
    </w:p>
    <w:p w14:paraId="76E25864"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9F6D97" w:rsidRPr="0047638B">
        <w:rPr>
          <w:rFonts w:asciiTheme="minorEastAsia" w:eastAsiaTheme="minorEastAsia" w:hAnsiTheme="minorEastAsia"/>
        </w:rPr>
        <w:t>九</w:t>
      </w:r>
      <w:r w:rsidRPr="0047638B">
        <w:rPr>
          <w:rFonts w:asciiTheme="minorEastAsia" w:eastAsiaTheme="minorEastAsia" w:hAnsiTheme="minorEastAsia"/>
        </w:rPr>
        <w:t>）基金的融资、融券</w:t>
      </w:r>
    </w:p>
    <w:p w14:paraId="6465E851" w14:textId="77777777" w:rsidR="00236999" w:rsidRPr="0047638B" w:rsidRDefault="0003587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在条件许可的情况下，基金管理人可在不改变本基金既有投资目标、策略和风险收益特征并在控制风险的前提下，根据相关法律法规，参与融资融券业务，以提高投资效率及进行风险管理。届时基金参与融资融券业务的风险控制原则、具体参与比例限制、费用收支、信息披露、估值方法及其他相关事项按照中国证监会的规定及其他相关法律法规的要求执行，无需召开基金份额持有人大会审议。</w:t>
      </w:r>
    </w:p>
    <w:p w14:paraId="348E4C29" w14:textId="77777777" w:rsidR="00236999" w:rsidRPr="0047638B" w:rsidRDefault="00236999"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w:t>
      </w:r>
      <w:r w:rsidR="00F94B64" w:rsidRPr="0047638B">
        <w:rPr>
          <w:rFonts w:asciiTheme="minorEastAsia" w:eastAsiaTheme="minorEastAsia" w:hAnsiTheme="minorEastAsia"/>
        </w:rPr>
        <w:t>其他</w:t>
      </w:r>
    </w:p>
    <w:p w14:paraId="520C877A" w14:textId="77FA18B4" w:rsidR="004F3959" w:rsidRPr="0047638B" w:rsidRDefault="002459B8"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若基金管理人注册并成立追踪标的指数的交易型开放式指数基金（ETF），在不改变本基金投资目标的前提下，经基金管理人与基金托管协商一致，本基金可变更为ETF联接基金，此事项无需基金份额持有人大会审议。</w:t>
      </w:r>
    </w:p>
    <w:p w14:paraId="45B63135" w14:textId="77777777" w:rsidR="00A01694" w:rsidRPr="0047638B" w:rsidRDefault="00A01694"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（十一）</w:t>
      </w:r>
      <w:r w:rsidR="004D4CB6" w:rsidRPr="0047638B">
        <w:rPr>
          <w:rFonts w:asciiTheme="minorEastAsia" w:eastAsiaTheme="minorEastAsia" w:hAnsiTheme="minorEastAsia"/>
        </w:rPr>
        <w:t>基金投资组合报告（未经审计）</w:t>
      </w:r>
    </w:p>
    <w:p w14:paraId="798A889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本基金管理人的董事会及董事保证本报告所载资料不存在虚假记载、误导性陈述或重大遗漏，并对其内容的真实性、准确性和完整性承担个别及连带责任。</w:t>
      </w:r>
    </w:p>
    <w:p w14:paraId="52A69D29" w14:textId="5092BC62"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本基金的托管人中国建设银行股份有限公司根据基金合同的规定，复核了本报告的内容，保证复核内容不存在虚假记载、误导性陈述或者重大遗漏。</w:t>
      </w:r>
    </w:p>
    <w:p w14:paraId="5CE8106C" w14:textId="4D44FAA8" w:rsidR="00A412FA" w:rsidRPr="0047638B" w:rsidRDefault="00541F2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本投资组合报告有关数据的期间为2020年</w:t>
      </w:r>
      <w:r w:rsidR="003D5B22" w:rsidRPr="0047638B">
        <w:rPr>
          <w:rFonts w:asciiTheme="minorEastAsia" w:eastAsiaTheme="minorEastAsia" w:hAnsiTheme="minorEastAsia"/>
          <w:szCs w:val="24"/>
        </w:rPr>
        <w:t>7</w:t>
      </w:r>
      <w:r w:rsidRPr="0047638B">
        <w:rPr>
          <w:rFonts w:asciiTheme="minorEastAsia" w:eastAsiaTheme="minorEastAsia" w:hAnsiTheme="minorEastAsia"/>
          <w:szCs w:val="24"/>
        </w:rPr>
        <w:t>月1日至2020年</w:t>
      </w:r>
      <w:r w:rsidR="00EF1ABD" w:rsidRPr="0047638B">
        <w:rPr>
          <w:rFonts w:asciiTheme="minorEastAsia" w:eastAsiaTheme="minorEastAsia" w:hAnsiTheme="minorEastAsia"/>
          <w:szCs w:val="24"/>
        </w:rPr>
        <w:t>9</w:t>
      </w:r>
      <w:r w:rsidRPr="0047638B">
        <w:rPr>
          <w:rFonts w:asciiTheme="minorEastAsia" w:eastAsiaTheme="minorEastAsia" w:hAnsiTheme="minorEastAsia"/>
          <w:szCs w:val="24"/>
        </w:rPr>
        <w:t>月3</w:t>
      </w:r>
      <w:r w:rsidR="00EF1ABD" w:rsidRPr="0047638B">
        <w:rPr>
          <w:rFonts w:asciiTheme="minorEastAsia" w:eastAsiaTheme="minorEastAsia" w:hAnsiTheme="minorEastAsia"/>
          <w:szCs w:val="24"/>
        </w:rPr>
        <w:t>0</w:t>
      </w:r>
      <w:r w:rsidRPr="0047638B">
        <w:rPr>
          <w:rFonts w:asciiTheme="minorEastAsia" w:eastAsiaTheme="minorEastAsia" w:hAnsiTheme="minorEastAsia"/>
          <w:szCs w:val="24"/>
        </w:rPr>
        <w:t>日</w:t>
      </w:r>
      <w:r w:rsidR="002F4B14" w:rsidRPr="0047638B">
        <w:rPr>
          <w:rFonts w:asciiTheme="minorEastAsia" w:eastAsiaTheme="minorEastAsia" w:hAnsiTheme="minorEastAsia" w:hint="eastAsia"/>
          <w:szCs w:val="24"/>
        </w:rPr>
        <w:t>。</w:t>
      </w:r>
    </w:p>
    <w:p w14:paraId="18F6397F" w14:textId="6A50E921"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
        <w:gridCol w:w="2992"/>
        <w:gridCol w:w="2715"/>
        <w:gridCol w:w="1689"/>
      </w:tblGrid>
      <w:tr w:rsidR="0047638B" w:rsidRPr="0047638B" w14:paraId="2265BB23"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39087077"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hint="eastAsia"/>
              </w:rPr>
              <w:t>序号</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3CF48F8"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hint="eastAsia"/>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2F0D5D"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207643"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hint="eastAsia"/>
              </w:rPr>
              <w:t>占基金总资产的比例（</w:t>
            </w:r>
            <w:r w:rsidRPr="0047638B">
              <w:rPr>
                <w:rFonts w:asciiTheme="minorEastAsia" w:eastAsiaTheme="minorEastAsia" w:hAnsiTheme="minorEastAsia"/>
              </w:rPr>
              <w:t>%</w:t>
            </w:r>
            <w:r w:rsidRPr="0047638B">
              <w:rPr>
                <w:rFonts w:asciiTheme="minorEastAsia" w:eastAsiaTheme="minorEastAsia" w:hAnsiTheme="minorEastAsia" w:hint="eastAsia"/>
              </w:rPr>
              <w:t>）</w:t>
            </w:r>
          </w:p>
        </w:tc>
      </w:tr>
      <w:tr w:rsidR="0047638B" w:rsidRPr="0047638B" w14:paraId="03E1F077"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33C8FC8A"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1</w:t>
            </w:r>
          </w:p>
        </w:tc>
        <w:tc>
          <w:tcPr>
            <w:tcW w:w="3283" w:type="dxa"/>
            <w:tcBorders>
              <w:top w:val="single" w:sz="4" w:space="0" w:color="auto"/>
              <w:left w:val="single" w:sz="4" w:space="0" w:color="auto"/>
              <w:bottom w:val="single" w:sz="4" w:space="0" w:color="auto"/>
              <w:right w:val="single" w:sz="4" w:space="0" w:color="auto"/>
            </w:tcBorders>
            <w:vAlign w:val="center"/>
            <w:hideMark/>
          </w:tcPr>
          <w:p w14:paraId="408D1745"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C2836F"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801,639,756.80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394391"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93.39</w:t>
            </w:r>
          </w:p>
        </w:tc>
      </w:tr>
      <w:tr w:rsidR="0047638B" w:rsidRPr="0047638B" w14:paraId="208D2E09"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0DD2B018" w14:textId="77777777" w:rsidR="00EF1ABD" w:rsidRPr="0047638B" w:rsidRDefault="00EF1ABD" w:rsidP="002F757C">
            <w:pPr>
              <w:spacing w:before="29" w:line="300" w:lineRule="auto"/>
              <w:ind w:left="17"/>
              <w:jc w:val="center"/>
              <w:rPr>
                <w:rFonts w:asciiTheme="minorEastAsia" w:eastAsiaTheme="minorEastAsia" w:hAnsiTheme="minorEastAsia"/>
              </w:rPr>
            </w:pPr>
          </w:p>
        </w:tc>
        <w:tc>
          <w:tcPr>
            <w:tcW w:w="3283" w:type="dxa"/>
            <w:tcBorders>
              <w:top w:val="single" w:sz="4" w:space="0" w:color="auto"/>
              <w:left w:val="single" w:sz="4" w:space="0" w:color="auto"/>
              <w:bottom w:val="single" w:sz="4" w:space="0" w:color="auto"/>
              <w:right w:val="single" w:sz="4" w:space="0" w:color="auto"/>
            </w:tcBorders>
            <w:vAlign w:val="center"/>
            <w:hideMark/>
          </w:tcPr>
          <w:p w14:paraId="66BA384C"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0EA290"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801,639,756.80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7F37D0"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93.39</w:t>
            </w:r>
          </w:p>
        </w:tc>
      </w:tr>
      <w:tr w:rsidR="0047638B" w:rsidRPr="0047638B" w14:paraId="34782262"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632BD254"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2</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330D029"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AE8119"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9B6B82"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1B6F60B7"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7FCBE05D" w14:textId="77777777" w:rsidR="00EF1ABD" w:rsidRPr="0047638B" w:rsidRDefault="00EF1ABD" w:rsidP="002F757C">
            <w:pPr>
              <w:spacing w:before="29" w:line="300" w:lineRule="auto"/>
              <w:ind w:left="17"/>
              <w:jc w:val="center"/>
              <w:rPr>
                <w:rFonts w:asciiTheme="minorEastAsia" w:eastAsiaTheme="minorEastAsia" w:hAnsiTheme="minorEastAsia"/>
              </w:rPr>
            </w:pPr>
          </w:p>
        </w:tc>
        <w:tc>
          <w:tcPr>
            <w:tcW w:w="3283" w:type="dxa"/>
            <w:tcBorders>
              <w:top w:val="single" w:sz="4" w:space="0" w:color="auto"/>
              <w:left w:val="single" w:sz="4" w:space="0" w:color="auto"/>
              <w:bottom w:val="single" w:sz="4" w:space="0" w:color="auto"/>
              <w:right w:val="single" w:sz="4" w:space="0" w:color="auto"/>
            </w:tcBorders>
            <w:vAlign w:val="center"/>
            <w:hideMark/>
          </w:tcPr>
          <w:p w14:paraId="4B6B5D06"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DC9827"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C5FC5D"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342E6849"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1ADE19A9" w14:textId="77777777" w:rsidR="00EF1ABD" w:rsidRPr="0047638B" w:rsidRDefault="00EF1ABD" w:rsidP="002F757C">
            <w:pPr>
              <w:spacing w:before="29" w:line="300" w:lineRule="auto"/>
              <w:ind w:left="17"/>
              <w:jc w:val="center"/>
              <w:rPr>
                <w:rFonts w:asciiTheme="minorEastAsia" w:eastAsiaTheme="minorEastAsia" w:hAnsiTheme="minorEastAsia"/>
              </w:rPr>
            </w:pPr>
          </w:p>
        </w:tc>
        <w:tc>
          <w:tcPr>
            <w:tcW w:w="3283" w:type="dxa"/>
            <w:tcBorders>
              <w:top w:val="single" w:sz="4" w:space="0" w:color="auto"/>
              <w:left w:val="single" w:sz="4" w:space="0" w:color="auto"/>
              <w:bottom w:val="single" w:sz="4" w:space="0" w:color="auto"/>
              <w:right w:val="single" w:sz="4" w:space="0" w:color="auto"/>
            </w:tcBorders>
            <w:vAlign w:val="center"/>
            <w:hideMark/>
          </w:tcPr>
          <w:p w14:paraId="558B1F51" w14:textId="77777777" w:rsidR="00EF1ABD" w:rsidRPr="0047638B" w:rsidRDefault="00EF1ABD" w:rsidP="002F757C">
            <w:pPr>
              <w:autoSpaceDE w:val="0"/>
              <w:autoSpaceDN w:val="0"/>
              <w:adjustRightInd w:val="0"/>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3D45BC"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A918F0"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2C43BE5F"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hideMark/>
          </w:tcPr>
          <w:p w14:paraId="73637BBA"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3</w:t>
            </w:r>
          </w:p>
        </w:tc>
        <w:tc>
          <w:tcPr>
            <w:tcW w:w="3283" w:type="dxa"/>
            <w:tcBorders>
              <w:top w:val="single" w:sz="4" w:space="0" w:color="auto"/>
              <w:left w:val="single" w:sz="4" w:space="0" w:color="auto"/>
              <w:bottom w:val="single" w:sz="4" w:space="0" w:color="auto"/>
              <w:right w:val="single" w:sz="4" w:space="0" w:color="auto"/>
            </w:tcBorders>
            <w:hideMark/>
          </w:tcPr>
          <w:p w14:paraId="4A8E8C26" w14:textId="77777777" w:rsidR="00EF1ABD" w:rsidRPr="0047638B" w:rsidRDefault="00EF1ABD" w:rsidP="002F757C">
            <w:pPr>
              <w:spacing w:before="29" w:line="300" w:lineRule="auto"/>
              <w:ind w:leftChars="50" w:left="105"/>
              <w:rPr>
                <w:rFonts w:asciiTheme="minorEastAsia" w:eastAsiaTheme="minorEastAsia" w:hAnsiTheme="minorEastAsia"/>
              </w:rPr>
            </w:pPr>
            <w:r w:rsidRPr="0047638B">
              <w:rPr>
                <w:rFonts w:asciiTheme="minorEastAsia" w:eastAsiaTheme="minorEastAsia" w:hAnsiTheme="minorEastAsia" w:hint="eastAsia"/>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A37820"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445A29"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68EFEB43"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3DEB1682"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4</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ECB4473"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0DFE11"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D8A99E"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163B0FB2"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57215383"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5</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48DB131"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D36E28"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35C7B3"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742BFBAA"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tcPr>
          <w:p w14:paraId="72D5E831" w14:textId="77777777" w:rsidR="00EF1ABD" w:rsidRPr="0047638B" w:rsidRDefault="00EF1ABD" w:rsidP="002F757C">
            <w:pPr>
              <w:spacing w:before="29" w:line="300" w:lineRule="auto"/>
              <w:ind w:left="17"/>
              <w:jc w:val="center"/>
              <w:rPr>
                <w:rFonts w:asciiTheme="minorEastAsia" w:eastAsiaTheme="minorEastAsia" w:hAnsiTheme="minorEastAsia"/>
              </w:rPr>
            </w:pPr>
          </w:p>
        </w:tc>
        <w:tc>
          <w:tcPr>
            <w:tcW w:w="3283" w:type="dxa"/>
            <w:tcBorders>
              <w:top w:val="single" w:sz="4" w:space="0" w:color="auto"/>
              <w:left w:val="single" w:sz="4" w:space="0" w:color="auto"/>
              <w:bottom w:val="single" w:sz="4" w:space="0" w:color="auto"/>
              <w:right w:val="single" w:sz="4" w:space="0" w:color="auto"/>
            </w:tcBorders>
            <w:vAlign w:val="center"/>
            <w:hideMark/>
          </w:tcPr>
          <w:p w14:paraId="1339996A"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BF237E"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C16426"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58B01357"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56629E52"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6</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060897B" w14:textId="77777777" w:rsidR="00EF1ABD" w:rsidRPr="0047638B" w:rsidRDefault="00EF1ABD" w:rsidP="002F757C">
            <w:pPr>
              <w:spacing w:before="29" w:line="300" w:lineRule="auto"/>
              <w:ind w:left="17"/>
              <w:jc w:val="left"/>
              <w:rPr>
                <w:rFonts w:asciiTheme="minorEastAsia" w:eastAsiaTheme="minorEastAsia" w:hAnsiTheme="minorEastAsia"/>
              </w:rPr>
            </w:pPr>
            <w:r w:rsidRPr="0047638B">
              <w:rPr>
                <w:rFonts w:asciiTheme="minorEastAsia" w:eastAsiaTheme="minorEastAsia" w:hAnsiTheme="minorEastAsia" w:hint="eastAsia"/>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86F76B"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55,315,469.93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CEA580" w14:textId="77777777" w:rsidR="00EF1ABD" w:rsidRPr="0047638B" w:rsidRDefault="00EF1ABD" w:rsidP="002F757C">
            <w:pPr>
              <w:spacing w:before="29" w:line="300" w:lineRule="auto"/>
              <w:ind w:left="17"/>
              <w:jc w:val="right"/>
              <w:rPr>
                <w:rFonts w:asciiTheme="minorEastAsia" w:eastAsiaTheme="minorEastAsia" w:hAnsiTheme="minorEastAsia"/>
              </w:rPr>
            </w:pPr>
            <w:r w:rsidRPr="0047638B">
              <w:rPr>
                <w:rFonts w:asciiTheme="minorEastAsia" w:eastAsiaTheme="minorEastAsia" w:hAnsiTheme="minorEastAsia"/>
              </w:rPr>
              <w:t>6.44</w:t>
            </w:r>
          </w:p>
        </w:tc>
      </w:tr>
      <w:tr w:rsidR="0047638B" w:rsidRPr="0047638B" w14:paraId="4FEEE1C0"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75E2C38C"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7</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774D4FD" w14:textId="77777777" w:rsidR="00EF1ABD" w:rsidRPr="0047638B" w:rsidRDefault="00EF1ABD" w:rsidP="002F757C">
            <w:pPr>
              <w:spacing w:line="300" w:lineRule="auto"/>
              <w:jc w:val="left"/>
              <w:rPr>
                <w:rFonts w:asciiTheme="minorEastAsia" w:eastAsiaTheme="minorEastAsia" w:hAnsiTheme="minorEastAsia"/>
              </w:rPr>
            </w:pPr>
            <w:r w:rsidRPr="0047638B">
              <w:rPr>
                <w:rFonts w:asciiTheme="minorEastAsia" w:eastAsiaTheme="minorEastAsia" w:hAnsiTheme="minorEastAsia" w:hint="eastAsia"/>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1B9C96"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rPr>
              <w:t>1,431,197.06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532CEA"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rPr>
              <w:t>0.17</w:t>
            </w:r>
          </w:p>
        </w:tc>
      </w:tr>
      <w:tr w:rsidR="0047638B" w:rsidRPr="0047638B" w14:paraId="14634244" w14:textId="77777777" w:rsidTr="002F757C">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14:paraId="1A576D4D" w14:textId="77777777" w:rsidR="00EF1ABD" w:rsidRPr="0047638B" w:rsidRDefault="00EF1ABD" w:rsidP="002F757C">
            <w:pPr>
              <w:spacing w:before="29" w:line="300" w:lineRule="auto"/>
              <w:ind w:left="17"/>
              <w:jc w:val="center"/>
              <w:rPr>
                <w:rFonts w:asciiTheme="minorEastAsia" w:eastAsiaTheme="minorEastAsia" w:hAnsiTheme="minorEastAsia"/>
              </w:rPr>
            </w:pPr>
            <w:r w:rsidRPr="0047638B">
              <w:rPr>
                <w:rFonts w:asciiTheme="minorEastAsia" w:eastAsiaTheme="minorEastAsia" w:hAnsiTheme="minorEastAsia"/>
              </w:rPr>
              <w:t>8</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708E1B1" w14:textId="77777777" w:rsidR="00EF1ABD" w:rsidRPr="0047638B" w:rsidRDefault="00EF1ABD" w:rsidP="002F757C">
            <w:pPr>
              <w:spacing w:line="300" w:lineRule="auto"/>
              <w:jc w:val="left"/>
              <w:rPr>
                <w:rFonts w:asciiTheme="minorEastAsia" w:eastAsiaTheme="minorEastAsia" w:hAnsiTheme="minorEastAsia"/>
              </w:rPr>
            </w:pPr>
            <w:r w:rsidRPr="0047638B">
              <w:rPr>
                <w:rFonts w:asciiTheme="minorEastAsia" w:eastAsiaTheme="minorEastAsia" w:hAnsiTheme="minorEastAsia"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C6F80E"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rPr>
              <w:t>858,386,423.79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26DFC4"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rPr>
              <w:t>100.00</w:t>
            </w:r>
          </w:p>
        </w:tc>
      </w:tr>
    </w:tbl>
    <w:p w14:paraId="3EF1D8EF" w14:textId="3D0C789F"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报告期末按行业分类的股票投资组合</w:t>
      </w:r>
    </w:p>
    <w:p w14:paraId="5F1C256F"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1）报告期末按行业分类的境内股票投资组合</w:t>
      </w:r>
    </w:p>
    <w:tbl>
      <w:tblPr>
        <w:tblW w:w="80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3287"/>
        <w:gridCol w:w="2539"/>
        <w:gridCol w:w="1471"/>
      </w:tblGrid>
      <w:tr w:rsidR="0047638B" w:rsidRPr="0047638B" w14:paraId="44308FED" w14:textId="77777777" w:rsidTr="002F757C">
        <w:trPr>
          <w:trHeight w:val="390"/>
        </w:trPr>
        <w:tc>
          <w:tcPr>
            <w:tcW w:w="785" w:type="dxa"/>
            <w:tcBorders>
              <w:top w:val="single" w:sz="4" w:space="0" w:color="000000"/>
              <w:left w:val="single" w:sz="4" w:space="0" w:color="000000"/>
              <w:bottom w:val="single" w:sz="4" w:space="0" w:color="000000"/>
              <w:right w:val="single" w:sz="4" w:space="0" w:color="000000"/>
            </w:tcBorders>
            <w:vAlign w:val="center"/>
            <w:hideMark/>
          </w:tcPr>
          <w:p w14:paraId="55D500A5"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hint="eastAsia"/>
                <w:kern w:val="0"/>
              </w:rPr>
              <w:t>代码</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86944E"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hint="eastAsia"/>
                <w:kern w:val="0"/>
              </w:rPr>
              <w:t>行业类别</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30F4506D"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hint="eastAsia"/>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BE2224"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hint="eastAsia"/>
                <w:kern w:val="0"/>
              </w:rPr>
              <w:t>占基金资产净值比例（％）</w:t>
            </w:r>
          </w:p>
        </w:tc>
      </w:tr>
      <w:tr w:rsidR="0047638B" w:rsidRPr="0047638B" w14:paraId="5970BDCA"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0E5091"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A</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357982"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农、林、牧、渔业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248337DC"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02BF46"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710B7F73"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2DD4A9"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B</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442EE9"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采矿业</w:t>
            </w:r>
          </w:p>
        </w:tc>
        <w:tc>
          <w:tcPr>
            <w:tcW w:w="2852" w:type="dxa"/>
            <w:tcBorders>
              <w:top w:val="single" w:sz="4" w:space="0" w:color="000000"/>
              <w:left w:val="single" w:sz="4" w:space="0" w:color="000000"/>
              <w:bottom w:val="single" w:sz="4" w:space="0" w:color="000000"/>
              <w:right w:val="single" w:sz="4" w:space="0" w:color="000000"/>
            </w:tcBorders>
            <w:vAlign w:val="center"/>
          </w:tcPr>
          <w:p w14:paraId="04C8807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p w14:paraId="1AF5AE60" w14:textId="77777777" w:rsidR="00EF1ABD" w:rsidRPr="0047638B" w:rsidRDefault="00EF1ABD" w:rsidP="002F757C">
            <w:pPr>
              <w:spacing w:line="300" w:lineRule="auto"/>
              <w:jc w:val="right"/>
              <w:rPr>
                <w:rFonts w:asciiTheme="minorEastAsia" w:eastAsiaTheme="minorEastAsia" w:hAnsiTheme="minorEastAsia"/>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2F5B7C"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p w14:paraId="59D5903E" w14:textId="77777777" w:rsidR="00EF1ABD" w:rsidRPr="0047638B" w:rsidRDefault="00EF1ABD" w:rsidP="002F757C">
            <w:pPr>
              <w:spacing w:line="300" w:lineRule="auto"/>
              <w:jc w:val="right"/>
              <w:rPr>
                <w:rFonts w:asciiTheme="minorEastAsia" w:eastAsiaTheme="minorEastAsia" w:hAnsiTheme="minorEastAsia"/>
                <w:kern w:val="0"/>
              </w:rPr>
            </w:pPr>
          </w:p>
        </w:tc>
      </w:tr>
      <w:tr w:rsidR="0047638B" w:rsidRPr="0047638B" w14:paraId="045E0968"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255251"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C</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D3CADC"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制造业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2B1A472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3,511,074.54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29102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0.41</w:t>
            </w:r>
          </w:p>
        </w:tc>
      </w:tr>
      <w:tr w:rsidR="0047638B" w:rsidRPr="0047638B" w14:paraId="7C950CCB"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9B8EB5"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D</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BE8AE0"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电力、热力、燃气及水生产和供应业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00E2740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8A741C"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65647AE3"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18BD0B"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E</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1949CE"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建筑业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1A313297"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13,029.12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6E7AA8"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0.00</w:t>
            </w:r>
          </w:p>
        </w:tc>
      </w:tr>
      <w:tr w:rsidR="0047638B" w:rsidRPr="0047638B" w14:paraId="5F137E58"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CB3A0B"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F</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7EA132"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批发和零售业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31FAD5E7"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11,470.24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ECD77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0.00</w:t>
            </w:r>
          </w:p>
        </w:tc>
      </w:tr>
      <w:tr w:rsidR="0047638B" w:rsidRPr="0047638B" w14:paraId="101BE7F0"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E2EF22"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G</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FC93D0"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交通运输、仓储和邮政业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31BF6FB3"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18,653.36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2CF767"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0.00</w:t>
            </w:r>
          </w:p>
        </w:tc>
      </w:tr>
      <w:tr w:rsidR="0047638B" w:rsidRPr="0047638B" w14:paraId="1A499379"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9D9A89"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H</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3E4406"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住宿和餐饮业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45C4743E"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AC551A"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638A4395"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AB584F"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I</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678FE3"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信息传输、软件和信息技术服务业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3307D25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55,709.13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DAD32"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0.01</w:t>
            </w:r>
          </w:p>
        </w:tc>
      </w:tr>
      <w:tr w:rsidR="0047638B" w:rsidRPr="0047638B" w14:paraId="3306DFBB"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4FA4F6"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J</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78588B"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金融业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5FE9AAE7"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797,691,778.62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4E5B07"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93.90</w:t>
            </w:r>
          </w:p>
        </w:tc>
      </w:tr>
      <w:tr w:rsidR="0047638B" w:rsidRPr="0047638B" w14:paraId="262B90C6"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C1C7A6"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K</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15066C"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房地产业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63A40BEA"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69F011"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52E8E526"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5DB22D"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L</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955AB"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租赁和商务服务业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10A85B90"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CD6002"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654EF50B"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ABB407"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M</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26467D"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科学研究和技术服务业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786AE9FF"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30,161.76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9FCB81"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0.00</w:t>
            </w:r>
          </w:p>
        </w:tc>
      </w:tr>
      <w:tr w:rsidR="0047638B" w:rsidRPr="0047638B" w14:paraId="197BD17B"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1B9764"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N</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8B9C7D"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水利、环境和公共设施管理业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18FF33FD"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262,746.77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7A3CD1"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0.03</w:t>
            </w:r>
          </w:p>
        </w:tc>
      </w:tr>
      <w:tr w:rsidR="0047638B" w:rsidRPr="0047638B" w14:paraId="262F9824"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200DF6"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O</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C46BA2"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居民服务、修理和其他服务业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00621AD2"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AB8C3B"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69429317"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EC63BD"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P</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BB0827"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教育</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07348661"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13F249"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2DBC73B8"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11B884"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Q</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E06DA7"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卫生和社会工作</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40DB875E"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E509F9"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37C439D9"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020A7"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R</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E17318"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文化、体育和娱乐业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0009440D"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45,133.26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846283"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0.01</w:t>
            </w:r>
          </w:p>
        </w:tc>
      </w:tr>
      <w:tr w:rsidR="0047638B" w:rsidRPr="0047638B" w14:paraId="080E60AF"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EBFD7D"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r w:rsidRPr="0047638B">
              <w:rPr>
                <w:rFonts w:asciiTheme="minorEastAsia" w:eastAsiaTheme="minorEastAsia" w:hAnsiTheme="minorEastAsia"/>
                <w:kern w:val="0"/>
              </w:rPr>
              <w: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68A56F"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综合</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069F8B70"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501AF"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5B70FCC9" w14:textId="77777777" w:rsidTr="002F757C">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9FBF57" w14:textId="77777777" w:rsidR="00EF1ABD" w:rsidRPr="0047638B" w:rsidRDefault="00EF1ABD" w:rsidP="002F757C">
            <w:pPr>
              <w:adjustRightInd w:val="0"/>
              <w:snapToGrid w:val="0"/>
              <w:spacing w:line="300" w:lineRule="auto"/>
              <w:jc w:val="center"/>
              <w:rPr>
                <w:rFonts w:asciiTheme="minorEastAsia" w:eastAsiaTheme="minorEastAsia" w:hAnsiTheme="minorEastAsia"/>
                <w:kern w:val="0"/>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7C3510" w14:textId="77777777" w:rsidR="00EF1ABD" w:rsidRPr="0047638B" w:rsidRDefault="00EF1ABD" w:rsidP="002F757C">
            <w:pPr>
              <w:adjustRightInd w:val="0"/>
              <w:snapToGrid w:val="0"/>
              <w:spacing w:line="300" w:lineRule="auto"/>
              <w:rPr>
                <w:rFonts w:asciiTheme="minorEastAsia" w:eastAsiaTheme="minorEastAsia" w:hAnsiTheme="minorEastAsia"/>
                <w:kern w:val="0"/>
              </w:rPr>
            </w:pPr>
            <w:r w:rsidRPr="0047638B">
              <w:rPr>
                <w:rFonts w:asciiTheme="minorEastAsia" w:eastAsiaTheme="minorEastAsia" w:hAnsiTheme="minorEastAsia" w:hint="eastAsia"/>
                <w:kern w:val="0"/>
              </w:rPr>
              <w:t>合计</w:t>
            </w:r>
          </w:p>
        </w:tc>
        <w:tc>
          <w:tcPr>
            <w:tcW w:w="2852" w:type="dxa"/>
            <w:tcBorders>
              <w:top w:val="single" w:sz="4" w:space="0" w:color="000000"/>
              <w:left w:val="single" w:sz="4" w:space="0" w:color="000000"/>
              <w:bottom w:val="single" w:sz="4" w:space="0" w:color="000000"/>
              <w:right w:val="single" w:sz="4" w:space="0" w:color="000000"/>
            </w:tcBorders>
            <w:vAlign w:val="center"/>
            <w:hideMark/>
          </w:tcPr>
          <w:p w14:paraId="310C7317"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801,639,756.80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A80FBF" w14:textId="77777777" w:rsidR="00EF1ABD" w:rsidRPr="0047638B" w:rsidRDefault="00EF1ABD" w:rsidP="002F757C">
            <w:pPr>
              <w:spacing w:line="300" w:lineRule="auto"/>
              <w:jc w:val="right"/>
              <w:rPr>
                <w:rFonts w:asciiTheme="minorEastAsia" w:eastAsiaTheme="minorEastAsia" w:hAnsiTheme="minorEastAsia"/>
                <w:kern w:val="0"/>
              </w:rPr>
            </w:pPr>
            <w:r w:rsidRPr="0047638B">
              <w:rPr>
                <w:rFonts w:asciiTheme="minorEastAsia" w:eastAsiaTheme="minorEastAsia" w:hAnsiTheme="minorEastAsia"/>
                <w:kern w:val="0"/>
              </w:rPr>
              <w:t>94.36</w:t>
            </w:r>
          </w:p>
        </w:tc>
      </w:tr>
    </w:tbl>
    <w:p w14:paraId="189E822A" w14:textId="77777777" w:rsidR="00EF1ABD" w:rsidRPr="0047638B" w:rsidRDefault="00EF1ABD" w:rsidP="00EF068F">
      <w:pPr>
        <w:spacing w:line="360" w:lineRule="auto"/>
        <w:ind w:firstLineChars="200" w:firstLine="420"/>
        <w:rPr>
          <w:rFonts w:asciiTheme="minorEastAsia" w:eastAsiaTheme="minorEastAsia" w:hAnsiTheme="minorEastAsia" w:cs="Arial"/>
          <w:kern w:val="0"/>
        </w:rPr>
      </w:pPr>
      <w:r w:rsidRPr="0047638B">
        <w:rPr>
          <w:rFonts w:asciiTheme="minorEastAsia" w:eastAsiaTheme="minorEastAsia" w:hAnsiTheme="minorEastAsia" w:cs="Arial" w:hint="eastAsia"/>
          <w:kern w:val="0"/>
        </w:rPr>
        <w:t>3、报告期末按公允价值占基金资产净值比例大小排序的前十名股票投资明细</w:t>
      </w:r>
    </w:p>
    <w:tbl>
      <w:tblPr>
        <w:tblW w:w="8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5"/>
        <w:gridCol w:w="1165"/>
        <w:gridCol w:w="1292"/>
        <w:gridCol w:w="1544"/>
        <w:gridCol w:w="1797"/>
        <w:gridCol w:w="1417"/>
      </w:tblGrid>
      <w:tr w:rsidR="0047638B" w:rsidRPr="0047638B" w14:paraId="65BCA638"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13F44241" w14:textId="77777777" w:rsidR="00EF1ABD" w:rsidRPr="0047638B" w:rsidRDefault="00EF1ABD" w:rsidP="002F757C">
            <w:pPr>
              <w:spacing w:before="29" w:line="300" w:lineRule="auto"/>
              <w:ind w:left="17"/>
              <w:jc w:val="center"/>
              <w:rPr>
                <w:rFonts w:asciiTheme="minorEastAsia" w:eastAsiaTheme="minorEastAsia" w:hAnsiTheme="minorEastAsia"/>
                <w:kern w:val="0"/>
              </w:rPr>
            </w:pPr>
            <w:r w:rsidRPr="0047638B">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9E658C" w14:textId="77777777" w:rsidR="00EF1ABD" w:rsidRPr="0047638B" w:rsidRDefault="00EF1ABD" w:rsidP="002F757C">
            <w:pPr>
              <w:spacing w:before="29" w:line="300" w:lineRule="auto"/>
              <w:ind w:left="17"/>
              <w:jc w:val="center"/>
              <w:rPr>
                <w:rFonts w:asciiTheme="minorEastAsia" w:eastAsiaTheme="minorEastAsia" w:hAnsiTheme="minorEastAsia"/>
                <w:kern w:val="0"/>
              </w:rPr>
            </w:pPr>
            <w:r w:rsidRPr="0047638B">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AA6C9A" w14:textId="77777777" w:rsidR="00EF1ABD" w:rsidRPr="0047638B" w:rsidRDefault="00EF1ABD" w:rsidP="002F757C">
            <w:pPr>
              <w:spacing w:before="29" w:line="300" w:lineRule="auto"/>
              <w:ind w:left="17"/>
              <w:jc w:val="center"/>
              <w:rPr>
                <w:rFonts w:asciiTheme="minorEastAsia" w:eastAsiaTheme="minorEastAsia" w:hAnsiTheme="minorEastAsia"/>
                <w:kern w:val="0"/>
              </w:rPr>
            </w:pPr>
            <w:r w:rsidRPr="0047638B">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150106" w14:textId="77777777" w:rsidR="00EF1ABD" w:rsidRPr="0047638B" w:rsidRDefault="00EF1ABD" w:rsidP="002F757C">
            <w:pPr>
              <w:spacing w:before="29" w:line="300" w:lineRule="auto"/>
              <w:ind w:left="17"/>
              <w:jc w:val="center"/>
              <w:rPr>
                <w:rFonts w:asciiTheme="minorEastAsia" w:eastAsiaTheme="minorEastAsia" w:hAnsiTheme="minorEastAsia"/>
                <w:kern w:val="0"/>
              </w:rPr>
            </w:pPr>
            <w:r w:rsidRPr="0047638B">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D51C0C" w14:textId="77777777" w:rsidR="00EF1ABD" w:rsidRPr="0047638B" w:rsidRDefault="00EF1ABD" w:rsidP="002F757C">
            <w:pPr>
              <w:autoSpaceDE w:val="0"/>
              <w:autoSpaceDN w:val="0"/>
              <w:adjustRightInd w:val="0"/>
              <w:spacing w:before="29" w:line="300" w:lineRule="auto"/>
              <w:ind w:left="17"/>
              <w:jc w:val="center"/>
              <w:rPr>
                <w:rFonts w:asciiTheme="minorEastAsia" w:eastAsiaTheme="minorEastAsia" w:hAnsiTheme="minorEastAsia"/>
                <w:kern w:val="0"/>
              </w:rPr>
            </w:pPr>
            <w:r w:rsidRPr="0047638B">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A1BC2B" w14:textId="77777777" w:rsidR="00EF1ABD" w:rsidRPr="0047638B" w:rsidRDefault="00EF1ABD" w:rsidP="002F757C">
            <w:pPr>
              <w:spacing w:before="29" w:line="300" w:lineRule="auto"/>
              <w:ind w:left="17"/>
              <w:jc w:val="center"/>
              <w:rPr>
                <w:rFonts w:asciiTheme="minorEastAsia" w:eastAsiaTheme="minorEastAsia" w:hAnsiTheme="minorEastAsia"/>
                <w:kern w:val="0"/>
              </w:rPr>
            </w:pPr>
            <w:r w:rsidRPr="0047638B">
              <w:rPr>
                <w:rFonts w:asciiTheme="minorEastAsia" w:eastAsiaTheme="minorEastAsia" w:hAnsiTheme="minorEastAsia" w:hint="eastAsia"/>
                <w:kern w:val="0"/>
              </w:rPr>
              <w:t>占基金资产净值比例（％）</w:t>
            </w:r>
          </w:p>
        </w:tc>
      </w:tr>
      <w:tr w:rsidR="0047638B" w:rsidRPr="0047638B" w14:paraId="493615F0"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1141A211"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312FC"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600030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C18DA"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中信证券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C22BB9"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3,902,761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1451D1"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117,199,912.83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939132"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13.80</w:t>
            </w:r>
          </w:p>
        </w:tc>
      </w:tr>
      <w:tr w:rsidR="0047638B" w:rsidRPr="0047638B" w14:paraId="74408E1B"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3AF46BCF"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D8B2F3"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300059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5EA73"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东方财富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0FECE9"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3,226,844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0063C9"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77,411,987.56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00F840"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9.11</w:t>
            </w:r>
          </w:p>
        </w:tc>
      </w:tr>
      <w:tr w:rsidR="0047638B" w:rsidRPr="0047638B" w14:paraId="7C2AECE0"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6B98A05C"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4CE1AE"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600837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7ABE94"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海通证券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EE22F7"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4,521,355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C0001F"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63,977,173.25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D18D6A"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7.53</w:t>
            </w:r>
          </w:p>
        </w:tc>
      </w:tr>
      <w:tr w:rsidR="0047638B" w:rsidRPr="0047638B" w14:paraId="5F2D730B"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15CE579F"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4272F"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601688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0074C"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华泰证券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04C48D"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2,756,508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F53C2D"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56,591,109.24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25400"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6.66</w:t>
            </w:r>
          </w:p>
        </w:tc>
      </w:tr>
      <w:tr w:rsidR="0047638B" w:rsidRPr="0047638B" w14:paraId="7D726247"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6DA34E2D"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B04BE"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601211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1B22F"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国泰君安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4D81A7"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2,111,979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73AF92"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38,522,496.96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234DF3"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4.53</w:t>
            </w:r>
          </w:p>
        </w:tc>
      </w:tr>
      <w:tr w:rsidR="0047638B" w:rsidRPr="0047638B" w14:paraId="74057FC9"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28313980"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77B926"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600999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068B86"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招商证券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23474E"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1,740,921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735AF1"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37,621,302.81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74C710"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4.43</w:t>
            </w:r>
          </w:p>
        </w:tc>
      </w:tr>
      <w:tr w:rsidR="0047638B" w:rsidRPr="0047638B" w14:paraId="6B33673C"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12042D18"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42BAEC"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000166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9DB55"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申万宏源</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301F6D"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4,221,473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326060"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22,416,021.63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84386"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2.64</w:t>
            </w:r>
          </w:p>
        </w:tc>
      </w:tr>
      <w:tr w:rsidR="0047638B" w:rsidRPr="0047638B" w14:paraId="3C21E6C6"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2E0C56DE"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D560C"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000776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AC434"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广发证券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95E16C"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1,386,029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F5C09B"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21,871,537.62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EAC205"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2.57</w:t>
            </w:r>
          </w:p>
        </w:tc>
      </w:tr>
      <w:tr w:rsidR="0047638B" w:rsidRPr="0047638B" w14:paraId="50F067A3"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7B9F132A"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F3F46"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601788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B3492"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光大证券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BCC490"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914,775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CDCE83"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20,079,311.25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78375A"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2.36</w:t>
            </w:r>
          </w:p>
        </w:tc>
      </w:tr>
      <w:tr w:rsidR="0047638B" w:rsidRPr="0047638B" w14:paraId="5B6068F5" w14:textId="77777777" w:rsidTr="002F757C">
        <w:tc>
          <w:tcPr>
            <w:tcW w:w="851" w:type="dxa"/>
            <w:tcBorders>
              <w:top w:val="single" w:sz="4" w:space="0" w:color="auto"/>
              <w:left w:val="single" w:sz="4" w:space="0" w:color="auto"/>
              <w:bottom w:val="single" w:sz="4" w:space="0" w:color="auto"/>
              <w:right w:val="single" w:sz="4" w:space="0" w:color="auto"/>
            </w:tcBorders>
            <w:vAlign w:val="center"/>
            <w:hideMark/>
          </w:tcPr>
          <w:p w14:paraId="31C4C04B"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1BC2F"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kern w:val="0"/>
              </w:rPr>
              <w:t>600958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D4718" w14:textId="77777777" w:rsidR="00EF1ABD" w:rsidRPr="0047638B" w:rsidRDefault="00EF1ABD" w:rsidP="002F757C">
            <w:pPr>
              <w:spacing w:line="300" w:lineRule="auto"/>
              <w:jc w:val="center"/>
              <w:rPr>
                <w:rFonts w:asciiTheme="minorEastAsia" w:eastAsiaTheme="minorEastAsia" w:hAnsiTheme="minorEastAsia"/>
              </w:rPr>
            </w:pPr>
            <w:r w:rsidRPr="0047638B">
              <w:rPr>
                <w:rFonts w:asciiTheme="minorEastAsia" w:eastAsiaTheme="minorEastAsia" w:hAnsiTheme="minorEastAsia" w:hint="eastAsia"/>
                <w:kern w:val="0"/>
              </w:rPr>
              <w:t>东方证券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4D2C66"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1,676,563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AD263C"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18,492,489.89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A0BC31" w14:textId="77777777" w:rsidR="00EF1ABD" w:rsidRPr="0047638B" w:rsidRDefault="00EF1ABD" w:rsidP="002F757C">
            <w:pPr>
              <w:spacing w:line="300" w:lineRule="auto"/>
              <w:jc w:val="right"/>
              <w:rPr>
                <w:rFonts w:asciiTheme="minorEastAsia" w:eastAsiaTheme="minorEastAsia" w:hAnsiTheme="minorEastAsia"/>
              </w:rPr>
            </w:pPr>
            <w:r w:rsidRPr="0047638B">
              <w:rPr>
                <w:rFonts w:asciiTheme="minorEastAsia" w:eastAsiaTheme="minorEastAsia" w:hAnsiTheme="minorEastAsia"/>
                <w:kern w:val="0"/>
              </w:rPr>
              <w:t>2.18</w:t>
            </w:r>
          </w:p>
        </w:tc>
      </w:tr>
    </w:tbl>
    <w:p w14:paraId="1CA771F2" w14:textId="227C393D"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w:t>
      </w:r>
      <w:r w:rsidRPr="0047638B">
        <w:rPr>
          <w:rFonts w:asciiTheme="minorEastAsia" w:eastAsiaTheme="minorEastAsia" w:hAnsiTheme="minorEastAsia" w:hint="eastAsia"/>
          <w:szCs w:val="24"/>
        </w:rPr>
        <w:t>报告期末按债券品种分类的债券投资组合</w:t>
      </w:r>
    </w:p>
    <w:p w14:paraId="5ECB1CD1"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本基金本报告期末未持有债券。</w:t>
      </w:r>
    </w:p>
    <w:p w14:paraId="311D57D7" w14:textId="12ACABF6"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w:t>
      </w:r>
      <w:r w:rsidRPr="0047638B">
        <w:rPr>
          <w:rFonts w:asciiTheme="minorEastAsia" w:eastAsiaTheme="minorEastAsia" w:hAnsiTheme="minorEastAsia" w:hint="eastAsia"/>
          <w:szCs w:val="24"/>
        </w:rPr>
        <w:t>报告期末按公允价值占基金资产净值比例大小排序的前五名债券投资明细</w:t>
      </w:r>
    </w:p>
    <w:p w14:paraId="4DBFABBF"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本基金本报告期末未持有债券。</w:t>
      </w:r>
    </w:p>
    <w:p w14:paraId="4D2C93A8"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6、报告期末按公允价值占基金资产净值比例大小排序的前十名资产支持证券投资明细</w:t>
      </w:r>
    </w:p>
    <w:p w14:paraId="422962A2"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本基金本报告期末未持有资产支持证券。</w:t>
      </w:r>
    </w:p>
    <w:p w14:paraId="48B9A915"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7、报告期末按公允价值占基金资产净值比例大小排序的前五名贵金属投资明细</w:t>
      </w:r>
    </w:p>
    <w:p w14:paraId="1598685E"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本基金本报告期末未持有贵金属。</w:t>
      </w:r>
    </w:p>
    <w:p w14:paraId="12E89A8B"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8、报告期末按公允价值占基金资产净值比例大小排序的前五名权证投资明细</w:t>
      </w:r>
    </w:p>
    <w:p w14:paraId="007D8969"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本基金本报告期末未持有权证。</w:t>
      </w:r>
    </w:p>
    <w:p w14:paraId="6B0D3C7C"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9、报告期末本基金投资的股指期货交易情况说明</w:t>
      </w:r>
    </w:p>
    <w:p w14:paraId="75D65BDA"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本基金本报告期末未投资股指期货。</w:t>
      </w:r>
    </w:p>
    <w:p w14:paraId="3B8EBAD9"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10、报告期末本基金投资的国债期货交易情况说明</w:t>
      </w:r>
    </w:p>
    <w:p w14:paraId="6DA2EC06"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本基金本报告期末未投资国债期货。</w:t>
      </w:r>
    </w:p>
    <w:p w14:paraId="1E45902D"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11、投资组合报告附注</w:t>
      </w:r>
    </w:p>
    <w:p w14:paraId="6DB8DAB2"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1） 2020年2月10日，中国人民银行针对华泰证券股份有限公司如下违法事实：1、</w:t>
      </w:r>
      <w:r w:rsidRPr="0047638B">
        <w:rPr>
          <w:rFonts w:asciiTheme="minorEastAsia" w:eastAsiaTheme="minorEastAsia" w:hAnsiTheme="minorEastAsia"/>
          <w:szCs w:val="24"/>
        </w:rPr>
        <w:lastRenderedPageBreak/>
        <w:t>未按规定履</w:t>
      </w:r>
      <w:r w:rsidRPr="0047638B">
        <w:rPr>
          <w:rFonts w:asciiTheme="minorEastAsia" w:eastAsiaTheme="minorEastAsia" w:hAnsiTheme="minorEastAsia" w:hint="eastAsia"/>
          <w:szCs w:val="24"/>
        </w:rPr>
        <w:t>行客户身份识别义务；</w:t>
      </w:r>
      <w:r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、未按规定报送可疑交易报告；</w:t>
      </w:r>
      <w:r w:rsidRPr="0047638B">
        <w:rPr>
          <w:rFonts w:asciiTheme="minorEastAsia" w:eastAsiaTheme="minorEastAsia" w:hAnsiTheme="minorEastAsia"/>
          <w:szCs w:val="24"/>
        </w:rPr>
        <w:t>3</w:t>
      </w:r>
      <w:r w:rsidRPr="0047638B">
        <w:rPr>
          <w:rFonts w:asciiTheme="minorEastAsia" w:eastAsiaTheme="minorEastAsia" w:hAnsiTheme="minorEastAsia" w:hint="eastAsia"/>
          <w:szCs w:val="24"/>
        </w:rPr>
        <w:t>、与身份不明的客户进行交易，处以责令改正，并处罚款</w:t>
      </w:r>
      <w:r w:rsidRPr="0047638B">
        <w:rPr>
          <w:rFonts w:asciiTheme="minorEastAsia" w:eastAsiaTheme="minorEastAsia" w:hAnsiTheme="minorEastAsia"/>
          <w:szCs w:val="24"/>
        </w:rPr>
        <w:t>1010</w:t>
      </w:r>
      <w:r w:rsidRPr="0047638B">
        <w:rPr>
          <w:rFonts w:asciiTheme="minorEastAsia" w:eastAsiaTheme="minorEastAsia" w:hAnsiTheme="minorEastAsia" w:hint="eastAsia"/>
          <w:szCs w:val="24"/>
        </w:rPr>
        <w:t>万元的行政处罚。</w:t>
      </w:r>
    </w:p>
    <w:p w14:paraId="67AAE263"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2019</w:t>
      </w:r>
      <w:r w:rsidRPr="0047638B">
        <w:rPr>
          <w:rFonts w:asciiTheme="minorEastAsia" w:eastAsiaTheme="minorEastAsia" w:hAnsiTheme="minorEastAsia" w:hint="eastAsia"/>
          <w:szCs w:val="24"/>
        </w:rPr>
        <w:t>年</w:t>
      </w:r>
      <w:r w:rsidRPr="0047638B">
        <w:rPr>
          <w:rFonts w:asciiTheme="minorEastAsia" w:eastAsiaTheme="minorEastAsia" w:hAnsiTheme="minorEastAsia"/>
          <w:szCs w:val="24"/>
        </w:rPr>
        <w:t>11</w:t>
      </w:r>
      <w:r w:rsidRPr="0047638B">
        <w:rPr>
          <w:rFonts w:asciiTheme="minorEastAsia" w:eastAsiaTheme="minorEastAsia" w:hAnsiTheme="minorEastAsia" w:hint="eastAsia"/>
          <w:szCs w:val="24"/>
        </w:rPr>
        <w:t>月</w:t>
      </w:r>
      <w:r w:rsidRPr="0047638B">
        <w:rPr>
          <w:rFonts w:asciiTheme="minorEastAsia" w:eastAsiaTheme="minorEastAsia" w:hAnsiTheme="minorEastAsia"/>
          <w:szCs w:val="24"/>
        </w:rPr>
        <w:t>13</w:t>
      </w:r>
      <w:r w:rsidRPr="0047638B">
        <w:rPr>
          <w:rFonts w:asciiTheme="minorEastAsia" w:eastAsiaTheme="minorEastAsia" w:hAnsiTheme="minorEastAsia" w:hint="eastAsia"/>
          <w:szCs w:val="24"/>
        </w:rPr>
        <w:t>日，中国人民银行兰州市中心支行对招商证券股份有限公司兰州庆阳路证券营业部于</w:t>
      </w:r>
      <w:r w:rsidRPr="0047638B">
        <w:rPr>
          <w:rFonts w:asciiTheme="minorEastAsia" w:eastAsiaTheme="minorEastAsia" w:hAnsiTheme="minorEastAsia"/>
          <w:szCs w:val="24"/>
        </w:rPr>
        <w:t>2018</w:t>
      </w:r>
      <w:r w:rsidRPr="0047638B">
        <w:rPr>
          <w:rFonts w:asciiTheme="minorEastAsia" w:eastAsiaTheme="minorEastAsia" w:hAnsiTheme="minorEastAsia" w:hint="eastAsia"/>
          <w:szCs w:val="24"/>
        </w:rPr>
        <w:t>年</w:t>
      </w: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月</w:t>
      </w:r>
      <w:r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日至</w:t>
      </w:r>
      <w:r w:rsidRPr="0047638B">
        <w:rPr>
          <w:rFonts w:asciiTheme="minorEastAsia" w:eastAsiaTheme="minorEastAsia" w:hAnsiTheme="minorEastAsia"/>
          <w:szCs w:val="24"/>
        </w:rPr>
        <w:t>2019</w:t>
      </w:r>
      <w:r w:rsidRPr="0047638B">
        <w:rPr>
          <w:rFonts w:asciiTheme="minorEastAsia" w:eastAsiaTheme="minorEastAsia" w:hAnsiTheme="minorEastAsia" w:hint="eastAsia"/>
          <w:szCs w:val="24"/>
        </w:rPr>
        <w:t>年</w:t>
      </w:r>
      <w:r w:rsidRPr="0047638B">
        <w:rPr>
          <w:rFonts w:asciiTheme="minorEastAsia" w:eastAsiaTheme="minorEastAsia" w:hAnsiTheme="minorEastAsia"/>
          <w:szCs w:val="24"/>
        </w:rPr>
        <w:t>6</w:t>
      </w:r>
      <w:r w:rsidRPr="0047638B">
        <w:rPr>
          <w:rFonts w:asciiTheme="minorEastAsia" w:eastAsiaTheme="minorEastAsia" w:hAnsiTheme="minorEastAsia" w:hint="eastAsia"/>
          <w:szCs w:val="24"/>
        </w:rPr>
        <w:t>月</w:t>
      </w:r>
      <w:r w:rsidRPr="0047638B">
        <w:rPr>
          <w:rFonts w:asciiTheme="minorEastAsia" w:eastAsiaTheme="minorEastAsia" w:hAnsiTheme="minorEastAsia"/>
          <w:szCs w:val="24"/>
        </w:rPr>
        <w:t>30</w:t>
      </w:r>
      <w:r w:rsidRPr="0047638B">
        <w:rPr>
          <w:rFonts w:asciiTheme="minorEastAsia" w:eastAsiaTheme="minorEastAsia" w:hAnsiTheme="minorEastAsia" w:hint="eastAsia"/>
          <w:szCs w:val="24"/>
        </w:rPr>
        <w:t>日未按照规定履行反洗钱客户身份识别义务的违法违规事实，责令整改并处罚款</w:t>
      </w:r>
      <w:r w:rsidRPr="0047638B">
        <w:rPr>
          <w:rFonts w:asciiTheme="minorEastAsia" w:eastAsiaTheme="minorEastAsia" w:hAnsiTheme="minorEastAsia"/>
          <w:szCs w:val="24"/>
        </w:rPr>
        <w:t>20</w:t>
      </w:r>
      <w:r w:rsidRPr="0047638B">
        <w:rPr>
          <w:rFonts w:asciiTheme="minorEastAsia" w:eastAsiaTheme="minorEastAsia" w:hAnsiTheme="minorEastAsia" w:hint="eastAsia"/>
          <w:szCs w:val="24"/>
        </w:rPr>
        <w:t>万元的行政处罚。</w:t>
      </w:r>
    </w:p>
    <w:p w14:paraId="21BBD665"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2020</w:t>
      </w:r>
      <w:r w:rsidRPr="0047638B">
        <w:rPr>
          <w:rFonts w:asciiTheme="minorEastAsia" w:eastAsiaTheme="minorEastAsia" w:hAnsiTheme="minorEastAsia" w:hint="eastAsia"/>
          <w:szCs w:val="24"/>
        </w:rPr>
        <w:t>年</w:t>
      </w:r>
      <w:r w:rsidRPr="0047638B">
        <w:rPr>
          <w:rFonts w:asciiTheme="minorEastAsia" w:eastAsiaTheme="minorEastAsia" w:hAnsiTheme="minorEastAsia"/>
          <w:szCs w:val="24"/>
        </w:rPr>
        <w:t>4</w:t>
      </w:r>
      <w:r w:rsidRPr="0047638B">
        <w:rPr>
          <w:rFonts w:asciiTheme="minorEastAsia" w:eastAsiaTheme="minorEastAsia" w:hAnsiTheme="minorEastAsia" w:hint="eastAsia"/>
          <w:szCs w:val="24"/>
        </w:rPr>
        <w:t>月</w:t>
      </w:r>
      <w:r w:rsidRPr="0047638B">
        <w:rPr>
          <w:rFonts w:asciiTheme="minorEastAsia" w:eastAsiaTheme="minorEastAsia" w:hAnsiTheme="minorEastAsia"/>
          <w:szCs w:val="24"/>
        </w:rPr>
        <w:t>8</w:t>
      </w:r>
      <w:r w:rsidRPr="0047638B">
        <w:rPr>
          <w:rFonts w:asciiTheme="minorEastAsia" w:eastAsiaTheme="minorEastAsia" w:hAnsiTheme="minorEastAsia" w:hint="eastAsia"/>
          <w:szCs w:val="24"/>
        </w:rPr>
        <w:t>日，中国人民银行长春中心支行对招商证券股份有限公司长春人民大街证券营业部未按照规定履行客户身份识别义务的违法违规事实，责令整改并处罚款</w:t>
      </w:r>
      <w:r w:rsidRPr="0047638B">
        <w:rPr>
          <w:rFonts w:asciiTheme="minorEastAsia" w:eastAsiaTheme="minorEastAsia" w:hAnsiTheme="minorEastAsia"/>
          <w:szCs w:val="24"/>
        </w:rPr>
        <w:t>22</w:t>
      </w:r>
      <w:r w:rsidRPr="0047638B">
        <w:rPr>
          <w:rFonts w:asciiTheme="minorEastAsia" w:eastAsiaTheme="minorEastAsia" w:hAnsiTheme="minorEastAsia" w:hint="eastAsia"/>
          <w:szCs w:val="24"/>
        </w:rPr>
        <w:t>万元的行政处罚。</w:t>
      </w:r>
    </w:p>
    <w:p w14:paraId="3E1C9FC8"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2019</w:t>
      </w:r>
      <w:r w:rsidRPr="0047638B">
        <w:rPr>
          <w:rFonts w:asciiTheme="minorEastAsia" w:eastAsiaTheme="minorEastAsia" w:hAnsiTheme="minorEastAsia" w:hint="eastAsia"/>
          <w:szCs w:val="24"/>
        </w:rPr>
        <w:t>年</w:t>
      </w:r>
      <w:r w:rsidRPr="0047638B">
        <w:rPr>
          <w:rFonts w:asciiTheme="minorEastAsia" w:eastAsiaTheme="minorEastAsia" w:hAnsiTheme="minorEastAsia"/>
          <w:szCs w:val="24"/>
        </w:rPr>
        <w:t>11</w:t>
      </w:r>
      <w:r w:rsidRPr="0047638B">
        <w:rPr>
          <w:rFonts w:asciiTheme="minorEastAsia" w:eastAsiaTheme="minorEastAsia" w:hAnsiTheme="minorEastAsia" w:hint="eastAsia"/>
          <w:szCs w:val="24"/>
        </w:rPr>
        <w:t>月</w:t>
      </w:r>
      <w:r w:rsidRPr="0047638B">
        <w:rPr>
          <w:rFonts w:asciiTheme="minorEastAsia" w:eastAsiaTheme="minorEastAsia" w:hAnsiTheme="minorEastAsia"/>
          <w:szCs w:val="24"/>
        </w:rPr>
        <w:t>12</w:t>
      </w:r>
      <w:r w:rsidRPr="0047638B">
        <w:rPr>
          <w:rFonts w:asciiTheme="minorEastAsia" w:eastAsiaTheme="minorEastAsia" w:hAnsiTheme="minorEastAsia" w:hint="eastAsia"/>
          <w:szCs w:val="24"/>
        </w:rPr>
        <w:t>日，中国人民银行宁波市中心支行对光大证券股份有限公司宁波奉化中山东路证券营业部未按照规定履行客户身份识别义务的违法违规事实，责令整改并处罚款</w:t>
      </w:r>
      <w:r w:rsidRPr="0047638B">
        <w:rPr>
          <w:rFonts w:asciiTheme="minorEastAsia" w:eastAsiaTheme="minorEastAsia" w:hAnsiTheme="minorEastAsia"/>
          <w:szCs w:val="24"/>
        </w:rPr>
        <w:t>20</w:t>
      </w:r>
      <w:r w:rsidRPr="0047638B">
        <w:rPr>
          <w:rFonts w:asciiTheme="minorEastAsia" w:eastAsiaTheme="minorEastAsia" w:hAnsiTheme="minorEastAsia" w:hint="eastAsia"/>
          <w:szCs w:val="24"/>
        </w:rPr>
        <w:t>万元的行政处罚。</w:t>
      </w:r>
    </w:p>
    <w:p w14:paraId="6B2A933F"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为指数型基金，上述股票系标的指数成份股，上述股票的投资决策程序符合公司投资制度的规定。除华泰证券、招商证券、光大证券外，本基金投资的前十名证券的发行主体本期没有出现被监管部门立案调查，或在报告编制日前一年内受到公开谴责、处罚的情形。</w:t>
      </w:r>
    </w:p>
    <w:p w14:paraId="5B5FBEB0"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 xml:space="preserve">2） </w:t>
      </w:r>
      <w:r w:rsidRPr="0047638B">
        <w:rPr>
          <w:rFonts w:asciiTheme="minorEastAsia" w:eastAsiaTheme="minorEastAsia" w:hAnsiTheme="minorEastAsia" w:hint="eastAsia"/>
          <w:szCs w:val="24"/>
        </w:rPr>
        <w:t>本基金投资的前十名股票没有超出基金合同规定的备选股票库。</w:t>
      </w:r>
    </w:p>
    <w:p w14:paraId="032347DF"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3）其他资产构成</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2591"/>
        <w:gridCol w:w="4499"/>
      </w:tblGrid>
      <w:tr w:rsidR="0047638B" w:rsidRPr="0047638B" w14:paraId="3271C550" w14:textId="77777777" w:rsidTr="002F757C">
        <w:tc>
          <w:tcPr>
            <w:tcW w:w="959" w:type="dxa"/>
            <w:tcBorders>
              <w:top w:val="single" w:sz="4" w:space="0" w:color="auto"/>
              <w:left w:val="single" w:sz="4" w:space="0" w:color="auto"/>
              <w:bottom w:val="single" w:sz="4" w:space="0" w:color="auto"/>
              <w:right w:val="single" w:sz="4" w:space="0" w:color="auto"/>
            </w:tcBorders>
            <w:hideMark/>
          </w:tcPr>
          <w:p w14:paraId="7B88F8FF" w14:textId="77777777" w:rsidR="00EF1ABD" w:rsidRPr="0047638B" w:rsidRDefault="00EF1ABD" w:rsidP="002F757C">
            <w:pPr>
              <w:autoSpaceDE w:val="0"/>
              <w:autoSpaceDN w:val="0"/>
              <w:adjustRightInd w:val="0"/>
              <w:spacing w:line="300" w:lineRule="auto"/>
              <w:jc w:val="left"/>
              <w:rPr>
                <w:rFonts w:asciiTheme="minorEastAsia" w:eastAsiaTheme="minorEastAsia" w:hAnsiTheme="minorEastAsia"/>
              </w:rPr>
            </w:pPr>
            <w:r w:rsidRPr="0047638B">
              <w:rPr>
                <w:rFonts w:asciiTheme="minorEastAsia" w:eastAsiaTheme="minorEastAsia" w:hAnsiTheme="minorEastAsia" w:hint="eastAsia"/>
              </w:rPr>
              <w:t>序号</w:t>
            </w:r>
          </w:p>
        </w:tc>
        <w:tc>
          <w:tcPr>
            <w:tcW w:w="2761" w:type="dxa"/>
            <w:tcBorders>
              <w:top w:val="single" w:sz="4" w:space="0" w:color="auto"/>
              <w:left w:val="single" w:sz="4" w:space="0" w:color="auto"/>
              <w:bottom w:val="single" w:sz="4" w:space="0" w:color="auto"/>
              <w:right w:val="single" w:sz="4" w:space="0" w:color="auto"/>
            </w:tcBorders>
            <w:hideMark/>
          </w:tcPr>
          <w:p w14:paraId="50C53750" w14:textId="77777777" w:rsidR="00EF1ABD" w:rsidRPr="0047638B" w:rsidRDefault="00EF1ABD" w:rsidP="002F757C">
            <w:pPr>
              <w:autoSpaceDE w:val="0"/>
              <w:autoSpaceDN w:val="0"/>
              <w:adjustRightInd w:val="0"/>
              <w:spacing w:line="300" w:lineRule="auto"/>
              <w:jc w:val="left"/>
              <w:rPr>
                <w:rFonts w:asciiTheme="minorEastAsia" w:eastAsiaTheme="minorEastAsia" w:hAnsiTheme="minorEastAsia"/>
              </w:rPr>
            </w:pPr>
            <w:r w:rsidRPr="0047638B">
              <w:rPr>
                <w:rFonts w:asciiTheme="minorEastAsia" w:eastAsiaTheme="minorEastAsia" w:hAnsiTheme="minorEastAsia" w:hint="eastAsia"/>
              </w:rPr>
              <w:t>名称</w:t>
            </w:r>
          </w:p>
        </w:tc>
        <w:tc>
          <w:tcPr>
            <w:tcW w:w="4808" w:type="dxa"/>
            <w:tcBorders>
              <w:top w:val="single" w:sz="4" w:space="0" w:color="auto"/>
              <w:left w:val="single" w:sz="4" w:space="0" w:color="auto"/>
              <w:bottom w:val="single" w:sz="4" w:space="0" w:color="auto"/>
              <w:right w:val="single" w:sz="4" w:space="0" w:color="auto"/>
            </w:tcBorders>
            <w:hideMark/>
          </w:tcPr>
          <w:p w14:paraId="38E7DF64" w14:textId="77777777" w:rsidR="00EF1ABD" w:rsidRPr="0047638B" w:rsidRDefault="00EF1ABD" w:rsidP="002F757C">
            <w:pPr>
              <w:autoSpaceDE w:val="0"/>
              <w:autoSpaceDN w:val="0"/>
              <w:adjustRightInd w:val="0"/>
              <w:spacing w:line="300" w:lineRule="auto"/>
              <w:jc w:val="left"/>
              <w:rPr>
                <w:rFonts w:asciiTheme="minorEastAsia" w:eastAsiaTheme="minorEastAsia" w:hAnsiTheme="minorEastAsia"/>
              </w:rPr>
            </w:pPr>
            <w:r w:rsidRPr="0047638B">
              <w:rPr>
                <w:rFonts w:asciiTheme="minorEastAsia" w:eastAsiaTheme="minorEastAsia" w:hAnsiTheme="minorEastAsia" w:hint="eastAsia"/>
              </w:rPr>
              <w:t>金额（元）</w:t>
            </w:r>
          </w:p>
        </w:tc>
      </w:tr>
      <w:tr w:rsidR="0047638B" w:rsidRPr="0047638B" w14:paraId="0407F706"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51AB5A90"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kern w:val="0"/>
              </w:rPr>
            </w:pPr>
            <w:r w:rsidRPr="0047638B">
              <w:rPr>
                <w:rFonts w:asciiTheme="minorEastAsia" w:eastAsiaTheme="minorEastAsia" w:hAnsiTheme="minor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14:paraId="35BE319C"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14:paraId="5C820BB5"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52,511.66</w:t>
            </w:r>
          </w:p>
        </w:tc>
      </w:tr>
      <w:tr w:rsidR="0047638B" w:rsidRPr="0047638B" w14:paraId="33A9C00B"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409C539B"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14:paraId="48404483"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6491424F"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183,355.59</w:t>
            </w:r>
          </w:p>
        </w:tc>
      </w:tr>
      <w:tr w:rsidR="0047638B" w:rsidRPr="0047638B" w14:paraId="06078244"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12393CB1"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14:paraId="38DA0BD9"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14:paraId="20054A7E"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63C31530"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691D30E9"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14:paraId="1FEA3C0E"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14:paraId="780E9DA7"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4,741.94</w:t>
            </w:r>
          </w:p>
        </w:tc>
      </w:tr>
      <w:tr w:rsidR="0047638B" w:rsidRPr="0047638B" w14:paraId="3E8B5870"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4E10C6A7"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14:paraId="74A1C3F0"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7CE6D521"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1,190,587.87</w:t>
            </w:r>
          </w:p>
        </w:tc>
      </w:tr>
      <w:tr w:rsidR="0047638B" w:rsidRPr="0047638B" w14:paraId="28733BBD"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02CC8780"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14:paraId="7B76DF8F"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1A6B7BA5"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143D3772" w14:textId="77777777" w:rsidTr="002F757C">
        <w:tc>
          <w:tcPr>
            <w:tcW w:w="959" w:type="dxa"/>
            <w:tcBorders>
              <w:top w:val="single" w:sz="4" w:space="0" w:color="auto"/>
              <w:left w:val="single" w:sz="4" w:space="0" w:color="auto"/>
              <w:bottom w:val="single" w:sz="4" w:space="0" w:color="auto"/>
              <w:right w:val="single" w:sz="4" w:space="0" w:color="auto"/>
            </w:tcBorders>
            <w:hideMark/>
          </w:tcPr>
          <w:p w14:paraId="67C7907C"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7</w:t>
            </w:r>
          </w:p>
        </w:tc>
        <w:tc>
          <w:tcPr>
            <w:tcW w:w="2761" w:type="dxa"/>
            <w:tcBorders>
              <w:top w:val="single" w:sz="4" w:space="0" w:color="auto"/>
              <w:left w:val="single" w:sz="4" w:space="0" w:color="auto"/>
              <w:bottom w:val="single" w:sz="4" w:space="0" w:color="auto"/>
              <w:right w:val="single" w:sz="4" w:space="0" w:color="auto"/>
            </w:tcBorders>
            <w:hideMark/>
          </w:tcPr>
          <w:p w14:paraId="6DFEC22E" w14:textId="77777777" w:rsidR="00EF1ABD" w:rsidRPr="0047638B" w:rsidRDefault="00EF1ABD" w:rsidP="002F757C">
            <w:pPr>
              <w:autoSpaceDE w:val="0"/>
              <w:autoSpaceDN w:val="0"/>
              <w:adjustRightInd w:val="0"/>
              <w:spacing w:before="29" w:line="300" w:lineRule="auto"/>
              <w:ind w:leftChars="50" w:left="105"/>
              <w:rPr>
                <w:rFonts w:asciiTheme="minorEastAsia" w:eastAsiaTheme="minorEastAsia" w:hAnsiTheme="minorEastAsia"/>
              </w:rPr>
            </w:pPr>
            <w:r w:rsidRPr="0047638B">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14:paraId="616C5672"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rPr>
            </w:pPr>
            <w:r w:rsidRPr="0047638B">
              <w:rPr>
                <w:rFonts w:asciiTheme="minorEastAsia" w:eastAsiaTheme="minorEastAsia" w:hAnsiTheme="minorEastAsia"/>
              </w:rPr>
              <w:t>-</w:t>
            </w:r>
          </w:p>
        </w:tc>
      </w:tr>
      <w:tr w:rsidR="0047638B" w:rsidRPr="0047638B" w14:paraId="298DD1F4"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0B84D6B3"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22D530B"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14:paraId="1FD78173"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w:t>
            </w:r>
          </w:p>
        </w:tc>
      </w:tr>
      <w:tr w:rsidR="0047638B" w:rsidRPr="0047638B" w14:paraId="472A550F" w14:textId="77777777" w:rsidTr="002F757C">
        <w:tc>
          <w:tcPr>
            <w:tcW w:w="959" w:type="dxa"/>
            <w:tcBorders>
              <w:top w:val="single" w:sz="4" w:space="0" w:color="auto"/>
              <w:left w:val="single" w:sz="4" w:space="0" w:color="auto"/>
              <w:bottom w:val="single" w:sz="4" w:space="0" w:color="auto"/>
              <w:right w:val="single" w:sz="4" w:space="0" w:color="auto"/>
            </w:tcBorders>
            <w:vAlign w:val="center"/>
            <w:hideMark/>
          </w:tcPr>
          <w:p w14:paraId="40BC3876" w14:textId="77777777" w:rsidR="00EF1ABD" w:rsidRPr="0047638B" w:rsidRDefault="00EF1ABD" w:rsidP="002F757C">
            <w:pPr>
              <w:autoSpaceDE w:val="0"/>
              <w:autoSpaceDN w:val="0"/>
              <w:adjustRightInd w:val="0"/>
              <w:spacing w:before="29" w:line="300" w:lineRule="auto"/>
              <w:ind w:left="15"/>
              <w:jc w:val="center"/>
              <w:rPr>
                <w:rFonts w:asciiTheme="minorEastAsia" w:eastAsiaTheme="minorEastAsia" w:hAnsiTheme="minorEastAsia"/>
              </w:rPr>
            </w:pPr>
            <w:r w:rsidRPr="0047638B">
              <w:rPr>
                <w:rFonts w:asciiTheme="minorEastAsia" w:eastAsiaTheme="minorEastAsia" w:hAnsiTheme="minor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14:paraId="0FCED0E6" w14:textId="77777777" w:rsidR="00EF1ABD" w:rsidRPr="0047638B" w:rsidRDefault="00EF1ABD" w:rsidP="002F757C">
            <w:pPr>
              <w:autoSpaceDE w:val="0"/>
              <w:autoSpaceDN w:val="0"/>
              <w:adjustRightInd w:val="0"/>
              <w:spacing w:before="29" w:line="300" w:lineRule="auto"/>
              <w:ind w:left="15"/>
              <w:jc w:val="left"/>
              <w:rPr>
                <w:rFonts w:asciiTheme="minorEastAsia" w:eastAsiaTheme="minorEastAsia" w:hAnsiTheme="minorEastAsia"/>
                <w:kern w:val="0"/>
              </w:rPr>
            </w:pPr>
            <w:r w:rsidRPr="0047638B">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14:paraId="0C30CCB8" w14:textId="77777777" w:rsidR="00EF1ABD" w:rsidRPr="0047638B" w:rsidRDefault="00EF1ABD" w:rsidP="002F757C">
            <w:pPr>
              <w:autoSpaceDE w:val="0"/>
              <w:autoSpaceDN w:val="0"/>
              <w:adjustRightInd w:val="0"/>
              <w:spacing w:before="29" w:line="300" w:lineRule="auto"/>
              <w:ind w:left="15"/>
              <w:jc w:val="right"/>
              <w:rPr>
                <w:rFonts w:asciiTheme="minorEastAsia" w:eastAsiaTheme="minorEastAsia" w:hAnsiTheme="minorEastAsia"/>
                <w:kern w:val="0"/>
              </w:rPr>
            </w:pPr>
            <w:r w:rsidRPr="0047638B">
              <w:rPr>
                <w:rFonts w:asciiTheme="minorEastAsia" w:eastAsiaTheme="minorEastAsia" w:hAnsiTheme="minorEastAsia"/>
                <w:kern w:val="0"/>
              </w:rPr>
              <w:t>1,431,197.06</w:t>
            </w:r>
          </w:p>
        </w:tc>
      </w:tr>
    </w:tbl>
    <w:p w14:paraId="3E0DEC5A"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4）报告期末持有的处于转股期的可转换债券明细</w:t>
      </w:r>
    </w:p>
    <w:p w14:paraId="3731129C"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本基金本报告期末未持有处于转股期的可转换债券。</w:t>
      </w:r>
    </w:p>
    <w:p w14:paraId="70A3C34F" w14:textId="77777777" w:rsidR="00EF1ABD" w:rsidRPr="0047638B" w:rsidRDefault="00EF1ABD" w:rsidP="00EF068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5）报告期末前十名股票中存在流通受限情况的说明</w:t>
      </w:r>
    </w:p>
    <w:p w14:paraId="7F725C61" w14:textId="3C34940F" w:rsidR="00541F27" w:rsidRPr="0047638B" w:rsidRDefault="00EF1ABD" w:rsidP="008C619A">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本基金本报告期末前十名股票中不存在流通受限情况。</w:t>
      </w:r>
    </w:p>
    <w:p w14:paraId="2B75D575" w14:textId="714C0E3B" w:rsidR="00EA4010" w:rsidRPr="0047638B" w:rsidRDefault="003E57E1" w:rsidP="0045036B">
      <w:pPr>
        <w:pStyle w:val="11"/>
        <w:snapToGrid w:val="0"/>
        <w:spacing w:beforeLines="0" w:afterLines="0" w:line="360" w:lineRule="auto"/>
        <w:ind w:firstLine="600"/>
        <w:rPr>
          <w:rFonts w:asciiTheme="minorEastAsia" w:eastAsiaTheme="minorEastAsia" w:hAnsiTheme="minorEastAsia"/>
        </w:rPr>
      </w:pPr>
      <w:bookmarkStart w:id="3601" w:name="_Toc77780001"/>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四</w:t>
      </w:r>
      <w:r w:rsidRPr="0047638B">
        <w:rPr>
          <w:rFonts w:asciiTheme="minorEastAsia" w:eastAsiaTheme="minorEastAsia" w:hAnsiTheme="minorEastAsia"/>
          <w:b w:val="0"/>
          <w:sz w:val="30"/>
        </w:rPr>
        <w:t>、基金的业绩</w:t>
      </w:r>
      <w:bookmarkEnd w:id="3601"/>
    </w:p>
    <w:p w14:paraId="628AB016" w14:textId="77777777" w:rsidR="001974C5" w:rsidRPr="0047638B" w:rsidRDefault="001974C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68F79711" w14:textId="6CC1238D" w:rsidR="001974C5" w:rsidRDefault="0087278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rPr>
        <w:t>易方达中证全指证券公司指数证券投资基金（LOF）由易方达证券公司指数分级证券投资基金终止分级运作并变更而来，易方达中证全指证券公司指数证券投资基金（LOF）基金合同生效日为2021年1月1日</w:t>
      </w:r>
      <w:r w:rsidRPr="0047638B">
        <w:rPr>
          <w:rFonts w:asciiTheme="minorEastAsia" w:eastAsiaTheme="minorEastAsia" w:hAnsiTheme="minorEastAsia"/>
        </w:rPr>
        <w:t>。</w:t>
      </w:r>
      <w:r w:rsidRPr="0047638B">
        <w:rPr>
          <w:rFonts w:asciiTheme="minorEastAsia" w:eastAsiaTheme="minorEastAsia" w:hAnsiTheme="minorEastAsia" w:hint="eastAsia"/>
        </w:rPr>
        <w:t>易方达证券公司指数分级证券投资基金</w:t>
      </w:r>
      <w:r w:rsidR="001974C5" w:rsidRPr="0047638B">
        <w:rPr>
          <w:rFonts w:asciiTheme="minorEastAsia" w:eastAsiaTheme="minorEastAsia" w:hAnsiTheme="minorEastAsia"/>
          <w:szCs w:val="24"/>
        </w:rPr>
        <w:t>基金合同生效日为2015年7月8日，</w:t>
      </w:r>
      <w:r w:rsidR="00541F27" w:rsidRPr="0047638B">
        <w:rPr>
          <w:rFonts w:asciiTheme="minorEastAsia" w:eastAsiaTheme="minorEastAsia" w:hAnsiTheme="minorEastAsia"/>
          <w:szCs w:val="24"/>
        </w:rPr>
        <w:t>基金合同生效以来（截至2019年12月31日）的投资业绩及与同期基准的比较如下表所示</w:t>
      </w:r>
      <w:r w:rsidR="001974C5" w:rsidRPr="0047638B">
        <w:rPr>
          <w:rFonts w:asciiTheme="minorEastAsia" w:eastAsiaTheme="minorEastAsia" w:hAnsiTheme="minorEastAsia"/>
          <w:szCs w:val="24"/>
        </w:rPr>
        <w:t>：</w:t>
      </w:r>
    </w:p>
    <w:p w14:paraId="72CCE976" w14:textId="30985D46" w:rsidR="00DD50D6" w:rsidRPr="0047638B" w:rsidRDefault="00DD50D6" w:rsidP="009E3E6E">
      <w:pPr>
        <w:spacing w:line="360" w:lineRule="auto"/>
        <w:ind w:firstLineChars="200" w:firstLine="420"/>
        <w:rPr>
          <w:rFonts w:asciiTheme="minorEastAsia" w:eastAsiaTheme="minorEastAsia" w:hAnsiTheme="minorEastAsia"/>
          <w:szCs w:val="24"/>
        </w:rPr>
      </w:pPr>
      <w:r w:rsidRPr="000D23BC">
        <w:rPr>
          <w:rFonts w:asciiTheme="minorEastAsia" w:eastAsiaTheme="minorEastAsia" w:hAnsiTheme="minorEastAsia"/>
          <w:bCs/>
          <w:szCs w:val="21"/>
        </w:rPr>
        <w:t>1</w:t>
      </w:r>
      <w:r w:rsidRPr="000D23BC">
        <w:rPr>
          <w:rFonts w:asciiTheme="minorEastAsia" w:eastAsiaTheme="minorEastAsia" w:hAnsiTheme="minorEastAsia" w:hint="eastAsia"/>
          <w:bCs/>
          <w:szCs w:val="21"/>
        </w:rPr>
        <w:t>、</w:t>
      </w:r>
      <w:r w:rsidRPr="00DD50D6">
        <w:rPr>
          <w:rFonts w:asciiTheme="minorEastAsia" w:eastAsiaTheme="minorEastAsia" w:hAnsiTheme="minorEastAsia" w:hint="eastAsia"/>
          <w:bCs/>
          <w:szCs w:val="21"/>
        </w:rPr>
        <w:tab/>
        <w:t>易方达中证全指证券公司指数（LOF）A</w:t>
      </w:r>
      <w:r>
        <w:rPr>
          <w:rFonts w:asciiTheme="minorEastAsia" w:eastAsiaTheme="minorEastAsia" w:hAnsiTheme="minorEastAsia" w:hint="eastAsia"/>
          <w:bCs/>
          <w:szCs w:val="21"/>
        </w:rPr>
        <w:t>类</w:t>
      </w:r>
      <w:r w:rsidRPr="000D23BC">
        <w:rPr>
          <w:rFonts w:asciiTheme="minorEastAsia" w:eastAsiaTheme="minorEastAsia" w:hAnsiTheme="minorEastAsia" w:hint="eastAsia"/>
          <w:bCs/>
          <w:szCs w:val="21"/>
        </w:rPr>
        <w:t>基金份额净值增长率与同期业绩比较基准收益率比较</w:t>
      </w:r>
    </w:p>
    <w:tbl>
      <w:tblPr>
        <w:tblW w:w="8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986"/>
        <w:gridCol w:w="1311"/>
        <w:gridCol w:w="1147"/>
        <w:gridCol w:w="1147"/>
        <w:gridCol w:w="1147"/>
        <w:gridCol w:w="1100"/>
      </w:tblGrid>
      <w:tr w:rsidR="0047638B" w:rsidRPr="0047638B" w14:paraId="09FF6395" w14:textId="77777777" w:rsidTr="008C619A">
        <w:trPr>
          <w:trHeight w:val="1858"/>
        </w:trPr>
        <w:tc>
          <w:tcPr>
            <w:tcW w:w="1936" w:type="dxa"/>
            <w:tcBorders>
              <w:top w:val="single" w:sz="4" w:space="0" w:color="auto"/>
              <w:left w:val="single" w:sz="4" w:space="0" w:color="auto"/>
              <w:bottom w:val="single" w:sz="4" w:space="0" w:color="auto"/>
              <w:right w:val="single" w:sz="4" w:space="0" w:color="auto"/>
            </w:tcBorders>
          </w:tcPr>
          <w:p w14:paraId="7D6B4834" w14:textId="77777777" w:rsidR="00594A0B" w:rsidRPr="0047638B" w:rsidRDefault="00594A0B" w:rsidP="00594A0B">
            <w:pPr>
              <w:ind w:firstLineChars="250" w:firstLine="525"/>
              <w:rPr>
                <w:rFonts w:asciiTheme="minorEastAsia" w:eastAsiaTheme="minorEastAsia" w:hAnsiTheme="minorEastAsia"/>
                <w:szCs w:val="21"/>
              </w:rPr>
            </w:pPr>
          </w:p>
          <w:p w14:paraId="17BDFBB6" w14:textId="77777777" w:rsidR="001974C5" w:rsidRPr="0047638B" w:rsidRDefault="001974C5" w:rsidP="00594A0B">
            <w:pPr>
              <w:ind w:firstLineChars="250" w:firstLine="525"/>
              <w:rPr>
                <w:rFonts w:asciiTheme="minorEastAsia" w:eastAsiaTheme="minorEastAsia" w:hAnsiTheme="minorEastAsia"/>
                <w:szCs w:val="21"/>
              </w:rPr>
            </w:pPr>
            <w:r w:rsidRPr="0047638B">
              <w:rPr>
                <w:rFonts w:asciiTheme="minorEastAsia" w:eastAsiaTheme="minorEastAsia" w:hAnsiTheme="minorEastAsia"/>
                <w:szCs w:val="21"/>
              </w:rPr>
              <w:t>阶段</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E6E42AA" w14:textId="77777777" w:rsidR="001974C5" w:rsidRPr="0047638B" w:rsidRDefault="001974C5" w:rsidP="00AB290D">
            <w:pPr>
              <w:rPr>
                <w:rFonts w:asciiTheme="minorEastAsia" w:eastAsiaTheme="minorEastAsia" w:hAnsiTheme="minorEastAsia"/>
                <w:szCs w:val="21"/>
              </w:rPr>
            </w:pPr>
            <w:r w:rsidRPr="0047638B">
              <w:rPr>
                <w:rFonts w:asciiTheme="minorEastAsia" w:eastAsiaTheme="minorEastAsia" w:hAnsiTheme="minorEastAsia"/>
                <w:szCs w:val="21"/>
              </w:rPr>
              <w:t>净值增长率</w:t>
            </w:r>
            <w:r w:rsidR="00877C92" w:rsidRPr="0047638B">
              <w:rPr>
                <w:rFonts w:asciiTheme="minorEastAsia" w:eastAsiaTheme="minorEastAsia" w:hAnsiTheme="minorEastAsia" w:hint="eastAsia"/>
                <w:szCs w:val="21"/>
              </w:rPr>
              <w:t>（</w:t>
            </w:r>
            <w:r w:rsidR="00877C92" w:rsidRPr="0047638B">
              <w:rPr>
                <w:rFonts w:asciiTheme="minorEastAsia" w:eastAsiaTheme="minorEastAsia" w:hAnsiTheme="minorEastAsia"/>
                <w:szCs w:val="21"/>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70073E3" w14:textId="77777777" w:rsidR="001974C5" w:rsidRPr="0047638B" w:rsidRDefault="001974C5" w:rsidP="00AB290D">
            <w:pPr>
              <w:rPr>
                <w:rFonts w:asciiTheme="minorEastAsia" w:eastAsiaTheme="minorEastAsia" w:hAnsiTheme="minorEastAsia"/>
                <w:szCs w:val="21"/>
              </w:rPr>
            </w:pPr>
            <w:r w:rsidRPr="0047638B">
              <w:rPr>
                <w:rFonts w:asciiTheme="minorEastAsia" w:eastAsiaTheme="minorEastAsia" w:hAnsiTheme="minorEastAsia"/>
                <w:szCs w:val="21"/>
              </w:rPr>
              <w:t>净值增长率标准差</w:t>
            </w:r>
            <w:r w:rsidR="00877C92" w:rsidRPr="0047638B">
              <w:rPr>
                <w:rFonts w:asciiTheme="minorEastAsia" w:eastAsiaTheme="minorEastAsia" w:hAnsiTheme="minorEastAsia"/>
                <w:szCs w:val="21"/>
              </w:rPr>
              <w:t>（2）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76A9652" w14:textId="77777777" w:rsidR="001974C5" w:rsidRPr="0047638B" w:rsidRDefault="001974C5" w:rsidP="00AB290D">
            <w:pPr>
              <w:rPr>
                <w:rFonts w:asciiTheme="minorEastAsia" w:eastAsiaTheme="minorEastAsia" w:hAnsiTheme="minorEastAsia"/>
                <w:szCs w:val="21"/>
              </w:rPr>
            </w:pPr>
            <w:r w:rsidRPr="0047638B">
              <w:rPr>
                <w:rFonts w:asciiTheme="minorEastAsia" w:eastAsiaTheme="minorEastAsia" w:hAnsiTheme="minorEastAsia"/>
                <w:szCs w:val="21"/>
              </w:rPr>
              <w:t>业绩比较基准收益率</w:t>
            </w:r>
            <w:r w:rsidR="00877C92" w:rsidRPr="0047638B">
              <w:rPr>
                <w:rFonts w:asciiTheme="minorEastAsia" w:eastAsiaTheme="minorEastAsia" w:hAnsiTheme="minorEastAsia"/>
                <w:szCs w:val="21"/>
              </w:rPr>
              <w:t>（3）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F158CE0" w14:textId="77777777" w:rsidR="001974C5" w:rsidRPr="0047638B" w:rsidRDefault="001974C5" w:rsidP="00AB290D">
            <w:pPr>
              <w:rPr>
                <w:rFonts w:asciiTheme="minorEastAsia" w:eastAsiaTheme="minorEastAsia" w:hAnsiTheme="minorEastAsia"/>
                <w:szCs w:val="21"/>
              </w:rPr>
            </w:pPr>
            <w:r w:rsidRPr="0047638B">
              <w:rPr>
                <w:rFonts w:asciiTheme="minorEastAsia" w:eastAsiaTheme="minorEastAsia" w:hAnsiTheme="minorEastAsia"/>
                <w:szCs w:val="21"/>
              </w:rPr>
              <w:t>业绩比较基准收益率标准差</w:t>
            </w:r>
            <w:r w:rsidR="00877C92" w:rsidRPr="0047638B">
              <w:rPr>
                <w:rFonts w:asciiTheme="minorEastAsia" w:eastAsiaTheme="minorEastAsia" w:hAnsiTheme="minorEastAsia"/>
                <w:szCs w:val="21"/>
              </w:rPr>
              <w:t>（4）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8CA32FC" w14:textId="77777777" w:rsidR="001974C5" w:rsidRPr="0047638B" w:rsidRDefault="00877C92" w:rsidP="00AB290D">
            <w:pPr>
              <w:ind w:firstLineChars="100" w:firstLine="210"/>
              <w:jc w:val="center"/>
              <w:rPr>
                <w:rFonts w:asciiTheme="minorEastAsia" w:eastAsiaTheme="minorEastAsia" w:hAnsiTheme="minorEastAsia"/>
                <w:szCs w:val="21"/>
              </w:rPr>
            </w:pPr>
            <w:r w:rsidRPr="0047638B">
              <w:rPr>
                <w:rFonts w:asciiTheme="minorEastAsia" w:eastAsiaTheme="minorEastAsia" w:hAnsiTheme="minorEastAsia"/>
                <w:szCs w:val="21"/>
              </w:rPr>
              <w:t>（1）-（3）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012BD93" w14:textId="77777777" w:rsidR="001974C5" w:rsidRPr="0047638B" w:rsidRDefault="00877C92" w:rsidP="00877C92">
            <w:pPr>
              <w:jc w:val="center"/>
              <w:rPr>
                <w:rFonts w:asciiTheme="minorEastAsia" w:eastAsiaTheme="minorEastAsia" w:hAnsiTheme="minorEastAsia"/>
                <w:szCs w:val="21"/>
              </w:rPr>
            </w:pPr>
            <w:r w:rsidRPr="0047638B">
              <w:rPr>
                <w:rFonts w:asciiTheme="minorEastAsia" w:eastAsiaTheme="minorEastAsia" w:hAnsiTheme="minorEastAsia"/>
                <w:szCs w:val="21"/>
              </w:rPr>
              <w:t>（2）-（4</w:t>
            </w:r>
            <w:r w:rsidRPr="0047638B">
              <w:rPr>
                <w:rFonts w:asciiTheme="minorEastAsia" w:eastAsiaTheme="minorEastAsia" w:hAnsiTheme="minorEastAsia" w:hint="eastAsia"/>
                <w:szCs w:val="21"/>
              </w:rPr>
              <w:t>）</w:t>
            </w:r>
          </w:p>
        </w:tc>
      </w:tr>
      <w:tr w:rsidR="0047638B" w:rsidRPr="0047638B" w14:paraId="2740A985" w14:textId="77777777" w:rsidTr="008C619A">
        <w:trPr>
          <w:trHeight w:val="1028"/>
        </w:trPr>
        <w:tc>
          <w:tcPr>
            <w:tcW w:w="1936" w:type="dxa"/>
            <w:vAlign w:val="center"/>
          </w:tcPr>
          <w:p w14:paraId="259C00EE" w14:textId="77777777" w:rsidR="00DD18D9" w:rsidRPr="0047638B" w:rsidRDefault="00561038">
            <w:pPr>
              <w:jc w:val="left"/>
              <w:rPr>
                <w:rFonts w:asciiTheme="minorEastAsia" w:eastAsiaTheme="minorEastAsia" w:hAnsiTheme="minorEastAsia"/>
              </w:rPr>
            </w:pPr>
            <w:r w:rsidRPr="0047638B">
              <w:rPr>
                <w:rFonts w:asciiTheme="minorEastAsia" w:eastAsiaTheme="minorEastAsia" w:hAnsiTheme="minorEastAsia"/>
              </w:rPr>
              <w:t>自基金合同生效日至2015年12月31日</w:t>
            </w:r>
          </w:p>
        </w:tc>
        <w:tc>
          <w:tcPr>
            <w:tcW w:w="986" w:type="dxa"/>
            <w:vAlign w:val="center"/>
          </w:tcPr>
          <w:p w14:paraId="6CDC6DF8"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-14.35%</w:t>
            </w:r>
          </w:p>
        </w:tc>
        <w:tc>
          <w:tcPr>
            <w:tcW w:w="1311" w:type="dxa"/>
            <w:vAlign w:val="center"/>
          </w:tcPr>
          <w:p w14:paraId="5F73B62F"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3.31%</w:t>
            </w:r>
          </w:p>
        </w:tc>
        <w:tc>
          <w:tcPr>
            <w:tcW w:w="1147" w:type="dxa"/>
            <w:vAlign w:val="center"/>
          </w:tcPr>
          <w:p w14:paraId="752102E9"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-11.61%</w:t>
            </w:r>
          </w:p>
        </w:tc>
        <w:tc>
          <w:tcPr>
            <w:tcW w:w="1147" w:type="dxa"/>
            <w:vAlign w:val="center"/>
          </w:tcPr>
          <w:p w14:paraId="0E799CAF"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3.86%</w:t>
            </w:r>
          </w:p>
        </w:tc>
        <w:tc>
          <w:tcPr>
            <w:tcW w:w="1147" w:type="dxa"/>
            <w:vAlign w:val="center"/>
          </w:tcPr>
          <w:p w14:paraId="6A7C98BF"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-2.74%</w:t>
            </w:r>
          </w:p>
        </w:tc>
        <w:tc>
          <w:tcPr>
            <w:tcW w:w="1100" w:type="dxa"/>
            <w:vAlign w:val="center"/>
          </w:tcPr>
          <w:p w14:paraId="48FCD9E9"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-0.55%</w:t>
            </w:r>
          </w:p>
        </w:tc>
      </w:tr>
      <w:tr w:rsidR="0047638B" w:rsidRPr="0047638B" w14:paraId="2BF71E6C" w14:textId="77777777" w:rsidTr="008C619A">
        <w:trPr>
          <w:trHeight w:val="1008"/>
        </w:trPr>
        <w:tc>
          <w:tcPr>
            <w:tcW w:w="1936" w:type="dxa"/>
            <w:vAlign w:val="center"/>
          </w:tcPr>
          <w:p w14:paraId="76B4200A" w14:textId="77777777" w:rsidR="00DD18D9" w:rsidRPr="0047638B" w:rsidRDefault="00561038">
            <w:pPr>
              <w:jc w:val="left"/>
              <w:rPr>
                <w:rFonts w:asciiTheme="minorEastAsia" w:eastAsiaTheme="minorEastAsia" w:hAnsiTheme="minorEastAsia"/>
              </w:rPr>
            </w:pPr>
            <w:r w:rsidRPr="0047638B">
              <w:rPr>
                <w:rFonts w:asciiTheme="minorEastAsia" w:eastAsiaTheme="minorEastAsia" w:hAnsiTheme="minorEastAsia"/>
              </w:rPr>
              <w:t>2016年1月1日至2016年12月31日</w:t>
            </w:r>
          </w:p>
        </w:tc>
        <w:tc>
          <w:tcPr>
            <w:tcW w:w="986" w:type="dxa"/>
            <w:vAlign w:val="center"/>
          </w:tcPr>
          <w:p w14:paraId="773E1FD5"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-15.31%</w:t>
            </w:r>
          </w:p>
        </w:tc>
        <w:tc>
          <w:tcPr>
            <w:tcW w:w="1311" w:type="dxa"/>
            <w:vAlign w:val="center"/>
          </w:tcPr>
          <w:p w14:paraId="2558267E"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2.09%</w:t>
            </w:r>
          </w:p>
        </w:tc>
        <w:tc>
          <w:tcPr>
            <w:tcW w:w="1147" w:type="dxa"/>
            <w:vAlign w:val="center"/>
          </w:tcPr>
          <w:p w14:paraId="41C969D8"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-17.66%</w:t>
            </w:r>
          </w:p>
        </w:tc>
        <w:tc>
          <w:tcPr>
            <w:tcW w:w="1147" w:type="dxa"/>
            <w:vAlign w:val="center"/>
          </w:tcPr>
          <w:p w14:paraId="66EE548A"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2.13%</w:t>
            </w:r>
          </w:p>
        </w:tc>
        <w:tc>
          <w:tcPr>
            <w:tcW w:w="1147" w:type="dxa"/>
            <w:vAlign w:val="center"/>
          </w:tcPr>
          <w:p w14:paraId="602E2080"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2.35%</w:t>
            </w:r>
          </w:p>
        </w:tc>
        <w:tc>
          <w:tcPr>
            <w:tcW w:w="1100" w:type="dxa"/>
            <w:vAlign w:val="center"/>
          </w:tcPr>
          <w:p w14:paraId="64A1BDB1" w14:textId="77777777" w:rsidR="00DD18D9" w:rsidRPr="0047638B" w:rsidRDefault="00561038">
            <w:pPr>
              <w:jc w:val="right"/>
              <w:rPr>
                <w:rFonts w:asciiTheme="minorEastAsia" w:eastAsiaTheme="minorEastAsia" w:hAnsiTheme="minorEastAsia"/>
              </w:rPr>
            </w:pPr>
            <w:r w:rsidRPr="0047638B">
              <w:rPr>
                <w:rFonts w:asciiTheme="minorEastAsia" w:eastAsiaTheme="minorEastAsia" w:hAnsiTheme="minorEastAsia"/>
              </w:rPr>
              <w:t>-0.04%</w:t>
            </w:r>
          </w:p>
        </w:tc>
      </w:tr>
      <w:tr w:rsidR="0047638B" w:rsidRPr="0047638B" w14:paraId="14B0D2A7" w14:textId="77777777" w:rsidTr="008C619A">
        <w:trPr>
          <w:trHeight w:val="1028"/>
        </w:trPr>
        <w:tc>
          <w:tcPr>
            <w:tcW w:w="1936" w:type="dxa"/>
            <w:vAlign w:val="center"/>
          </w:tcPr>
          <w:p w14:paraId="4256D706" w14:textId="77777777" w:rsidR="00BC474B" w:rsidRPr="0047638B" w:rsidRDefault="00BC474B" w:rsidP="00BC474B">
            <w:pPr>
              <w:jc w:val="left"/>
              <w:rPr>
                <w:rFonts w:asciiTheme="minorEastAsia" w:eastAsiaTheme="minorEastAsia" w:hAnsiTheme="minorEastAsia"/>
              </w:rPr>
            </w:pPr>
            <w:r w:rsidRPr="0047638B">
              <w:rPr>
                <w:rFonts w:asciiTheme="minorEastAsia" w:eastAsiaTheme="minorEastAsia" w:hAnsiTheme="minorEastAsia"/>
              </w:rPr>
              <w:t>2017年1月1日至2017年12月31日</w:t>
            </w:r>
          </w:p>
        </w:tc>
        <w:tc>
          <w:tcPr>
            <w:tcW w:w="986" w:type="dxa"/>
            <w:vAlign w:val="center"/>
          </w:tcPr>
          <w:p w14:paraId="1883C717" w14:textId="77777777" w:rsidR="00BC474B" w:rsidRPr="0047638B" w:rsidRDefault="00BC474B" w:rsidP="00BC474B">
            <w:pPr>
              <w:jc w:val="right"/>
              <w:rPr>
                <w:rFonts w:asciiTheme="minorEastAsia" w:eastAsiaTheme="minorEastAsia" w:hAnsiTheme="minorEastAsia"/>
              </w:rPr>
            </w:pPr>
            <w:r w:rsidRPr="0047638B">
              <w:rPr>
                <w:rFonts w:asciiTheme="minorEastAsia" w:eastAsiaTheme="minorEastAsia" w:hAnsiTheme="minorEastAsia"/>
              </w:rPr>
              <w:t>-6.64%</w:t>
            </w:r>
          </w:p>
        </w:tc>
        <w:tc>
          <w:tcPr>
            <w:tcW w:w="1311" w:type="dxa"/>
            <w:vAlign w:val="center"/>
          </w:tcPr>
          <w:p w14:paraId="127982E4" w14:textId="77777777" w:rsidR="00BC474B" w:rsidRPr="0047638B" w:rsidRDefault="00BC474B" w:rsidP="00BC474B">
            <w:pPr>
              <w:jc w:val="right"/>
              <w:rPr>
                <w:rFonts w:asciiTheme="minorEastAsia" w:eastAsiaTheme="minorEastAsia" w:hAnsiTheme="minorEastAsia"/>
              </w:rPr>
            </w:pPr>
            <w:r w:rsidRPr="0047638B">
              <w:rPr>
                <w:rFonts w:asciiTheme="minorEastAsia" w:eastAsiaTheme="minorEastAsia" w:hAnsiTheme="minorEastAsia"/>
              </w:rPr>
              <w:t>1.00%</w:t>
            </w:r>
          </w:p>
        </w:tc>
        <w:tc>
          <w:tcPr>
            <w:tcW w:w="1147" w:type="dxa"/>
            <w:vAlign w:val="center"/>
          </w:tcPr>
          <w:p w14:paraId="5A9F2DE2" w14:textId="77777777" w:rsidR="00BC474B" w:rsidRPr="0047638B" w:rsidRDefault="00BC474B" w:rsidP="00BC474B">
            <w:pPr>
              <w:jc w:val="right"/>
              <w:rPr>
                <w:rFonts w:asciiTheme="minorEastAsia" w:eastAsiaTheme="minorEastAsia" w:hAnsiTheme="minorEastAsia"/>
              </w:rPr>
            </w:pPr>
            <w:r w:rsidRPr="0047638B">
              <w:rPr>
                <w:rFonts w:asciiTheme="minorEastAsia" w:eastAsiaTheme="minorEastAsia" w:hAnsiTheme="minorEastAsia"/>
              </w:rPr>
              <w:t>-11.70%</w:t>
            </w:r>
          </w:p>
        </w:tc>
        <w:tc>
          <w:tcPr>
            <w:tcW w:w="1147" w:type="dxa"/>
            <w:vAlign w:val="center"/>
          </w:tcPr>
          <w:p w14:paraId="27B014C4" w14:textId="77777777" w:rsidR="00BC474B" w:rsidRPr="0047638B" w:rsidRDefault="00BC474B" w:rsidP="00BC474B">
            <w:pPr>
              <w:jc w:val="right"/>
              <w:rPr>
                <w:rFonts w:asciiTheme="minorEastAsia" w:eastAsiaTheme="minorEastAsia" w:hAnsiTheme="minorEastAsia"/>
              </w:rPr>
            </w:pPr>
            <w:r w:rsidRPr="0047638B">
              <w:rPr>
                <w:rFonts w:asciiTheme="minorEastAsia" w:eastAsiaTheme="minorEastAsia" w:hAnsiTheme="minorEastAsia"/>
              </w:rPr>
              <w:t>1.02%</w:t>
            </w:r>
          </w:p>
        </w:tc>
        <w:tc>
          <w:tcPr>
            <w:tcW w:w="1147" w:type="dxa"/>
            <w:vAlign w:val="center"/>
          </w:tcPr>
          <w:p w14:paraId="291958A1" w14:textId="77777777" w:rsidR="00BC474B" w:rsidRPr="0047638B" w:rsidRDefault="00BC474B" w:rsidP="00BC474B">
            <w:pPr>
              <w:jc w:val="right"/>
              <w:rPr>
                <w:rFonts w:asciiTheme="minorEastAsia" w:eastAsiaTheme="minorEastAsia" w:hAnsiTheme="minorEastAsia"/>
              </w:rPr>
            </w:pPr>
            <w:r w:rsidRPr="0047638B">
              <w:rPr>
                <w:rFonts w:asciiTheme="minorEastAsia" w:eastAsiaTheme="minorEastAsia" w:hAnsiTheme="minorEastAsia"/>
              </w:rPr>
              <w:t>5.06%</w:t>
            </w:r>
          </w:p>
        </w:tc>
        <w:tc>
          <w:tcPr>
            <w:tcW w:w="1100" w:type="dxa"/>
            <w:vAlign w:val="center"/>
          </w:tcPr>
          <w:p w14:paraId="4C69DF85" w14:textId="77777777" w:rsidR="00BC474B" w:rsidRPr="0047638B" w:rsidRDefault="00BC474B" w:rsidP="00BC474B">
            <w:pPr>
              <w:jc w:val="right"/>
              <w:rPr>
                <w:rFonts w:asciiTheme="minorEastAsia" w:eastAsiaTheme="minorEastAsia" w:hAnsiTheme="minorEastAsia"/>
              </w:rPr>
            </w:pPr>
            <w:r w:rsidRPr="0047638B">
              <w:rPr>
                <w:rFonts w:asciiTheme="minorEastAsia" w:eastAsiaTheme="minorEastAsia" w:hAnsiTheme="minorEastAsia"/>
              </w:rPr>
              <w:t>-0.02%</w:t>
            </w:r>
          </w:p>
        </w:tc>
      </w:tr>
      <w:tr w:rsidR="0047638B" w:rsidRPr="0047638B" w14:paraId="0B68C676" w14:textId="77777777" w:rsidTr="008C619A">
        <w:trPr>
          <w:trHeight w:val="1028"/>
        </w:trPr>
        <w:tc>
          <w:tcPr>
            <w:tcW w:w="1936" w:type="dxa"/>
            <w:vAlign w:val="center"/>
          </w:tcPr>
          <w:p w14:paraId="5E8E0245" w14:textId="77777777" w:rsidR="000438A6" w:rsidRPr="0047638B" w:rsidRDefault="000438A6" w:rsidP="000438A6">
            <w:pPr>
              <w:jc w:val="left"/>
              <w:rPr>
                <w:rFonts w:asciiTheme="minorEastAsia" w:eastAsiaTheme="minorEastAsia" w:hAnsiTheme="minorEastAsia"/>
              </w:rPr>
            </w:pPr>
            <w:r w:rsidRPr="0047638B">
              <w:rPr>
                <w:rFonts w:asciiTheme="minorEastAsia" w:eastAsiaTheme="minorEastAsia" w:hAnsiTheme="minorEastAsia"/>
              </w:rPr>
              <w:t>2018年1月1日至2018年12月31日</w:t>
            </w:r>
          </w:p>
        </w:tc>
        <w:tc>
          <w:tcPr>
            <w:tcW w:w="986" w:type="dxa"/>
            <w:vAlign w:val="center"/>
          </w:tcPr>
          <w:p w14:paraId="08F9F45A" w14:textId="77777777" w:rsidR="000438A6" w:rsidRPr="0047638B" w:rsidRDefault="000438A6" w:rsidP="000438A6">
            <w:pPr>
              <w:jc w:val="right"/>
              <w:rPr>
                <w:rFonts w:asciiTheme="minorEastAsia" w:eastAsiaTheme="minorEastAsia" w:hAnsiTheme="minorEastAsia"/>
              </w:rPr>
            </w:pPr>
            <w:r w:rsidRPr="0047638B">
              <w:rPr>
                <w:rFonts w:asciiTheme="minorEastAsia" w:eastAsiaTheme="minorEastAsia" w:hAnsiTheme="minorEastAsia"/>
              </w:rPr>
              <w:t>-23.24%</w:t>
            </w:r>
          </w:p>
        </w:tc>
        <w:tc>
          <w:tcPr>
            <w:tcW w:w="1311" w:type="dxa"/>
            <w:vAlign w:val="center"/>
          </w:tcPr>
          <w:p w14:paraId="781FC7A8" w14:textId="77777777" w:rsidR="000438A6" w:rsidRPr="0047638B" w:rsidRDefault="000438A6" w:rsidP="000438A6">
            <w:pPr>
              <w:jc w:val="right"/>
              <w:rPr>
                <w:rFonts w:asciiTheme="minorEastAsia" w:eastAsiaTheme="minorEastAsia" w:hAnsiTheme="minorEastAsia"/>
              </w:rPr>
            </w:pPr>
            <w:r w:rsidRPr="0047638B">
              <w:rPr>
                <w:rFonts w:asciiTheme="minorEastAsia" w:eastAsiaTheme="minorEastAsia" w:hAnsiTheme="minorEastAsia"/>
              </w:rPr>
              <w:t>1.79%</w:t>
            </w:r>
          </w:p>
        </w:tc>
        <w:tc>
          <w:tcPr>
            <w:tcW w:w="1147" w:type="dxa"/>
            <w:vAlign w:val="center"/>
          </w:tcPr>
          <w:p w14:paraId="763B6340" w14:textId="77777777" w:rsidR="000438A6" w:rsidRPr="0047638B" w:rsidRDefault="000438A6" w:rsidP="000438A6">
            <w:pPr>
              <w:jc w:val="right"/>
              <w:rPr>
                <w:rFonts w:asciiTheme="minorEastAsia" w:eastAsiaTheme="minorEastAsia" w:hAnsiTheme="minorEastAsia"/>
              </w:rPr>
            </w:pPr>
            <w:r w:rsidRPr="0047638B">
              <w:rPr>
                <w:rFonts w:asciiTheme="minorEastAsia" w:eastAsiaTheme="minorEastAsia" w:hAnsiTheme="minorEastAsia"/>
              </w:rPr>
              <w:t>-24.91%</w:t>
            </w:r>
          </w:p>
        </w:tc>
        <w:tc>
          <w:tcPr>
            <w:tcW w:w="1147" w:type="dxa"/>
            <w:vAlign w:val="center"/>
          </w:tcPr>
          <w:p w14:paraId="5F5B8BC1" w14:textId="77777777" w:rsidR="000438A6" w:rsidRPr="0047638B" w:rsidRDefault="000438A6" w:rsidP="000438A6">
            <w:pPr>
              <w:jc w:val="right"/>
              <w:rPr>
                <w:rFonts w:asciiTheme="minorEastAsia" w:eastAsiaTheme="minorEastAsia" w:hAnsiTheme="minorEastAsia"/>
              </w:rPr>
            </w:pPr>
            <w:r w:rsidRPr="0047638B">
              <w:rPr>
                <w:rFonts w:asciiTheme="minorEastAsia" w:eastAsiaTheme="minorEastAsia" w:hAnsiTheme="minorEastAsia"/>
              </w:rPr>
              <w:t>1.81%</w:t>
            </w:r>
          </w:p>
        </w:tc>
        <w:tc>
          <w:tcPr>
            <w:tcW w:w="1147" w:type="dxa"/>
            <w:vAlign w:val="center"/>
          </w:tcPr>
          <w:p w14:paraId="560D4E8B" w14:textId="77777777" w:rsidR="000438A6" w:rsidRPr="0047638B" w:rsidRDefault="000438A6" w:rsidP="000438A6">
            <w:pPr>
              <w:jc w:val="right"/>
              <w:rPr>
                <w:rFonts w:asciiTheme="minorEastAsia" w:eastAsiaTheme="minorEastAsia" w:hAnsiTheme="minorEastAsia"/>
              </w:rPr>
            </w:pPr>
            <w:r w:rsidRPr="0047638B">
              <w:rPr>
                <w:rFonts w:asciiTheme="minorEastAsia" w:eastAsiaTheme="minorEastAsia" w:hAnsiTheme="minorEastAsia"/>
              </w:rPr>
              <w:t>1.67%</w:t>
            </w:r>
          </w:p>
        </w:tc>
        <w:tc>
          <w:tcPr>
            <w:tcW w:w="1100" w:type="dxa"/>
            <w:vAlign w:val="center"/>
          </w:tcPr>
          <w:p w14:paraId="578B05C2" w14:textId="77777777" w:rsidR="000438A6" w:rsidRPr="0047638B" w:rsidRDefault="000438A6" w:rsidP="000438A6">
            <w:pPr>
              <w:jc w:val="right"/>
              <w:rPr>
                <w:rFonts w:asciiTheme="minorEastAsia" w:eastAsiaTheme="minorEastAsia" w:hAnsiTheme="minorEastAsia"/>
              </w:rPr>
            </w:pPr>
            <w:r w:rsidRPr="0047638B">
              <w:rPr>
                <w:rFonts w:asciiTheme="minorEastAsia" w:eastAsiaTheme="minorEastAsia" w:hAnsiTheme="minorEastAsia"/>
              </w:rPr>
              <w:t>-0.02%</w:t>
            </w:r>
          </w:p>
        </w:tc>
      </w:tr>
      <w:tr w:rsidR="0047638B" w:rsidRPr="0047638B" w14:paraId="2FB09ECD" w14:textId="77777777" w:rsidTr="008C619A">
        <w:trPr>
          <w:trHeight w:val="1028"/>
        </w:trPr>
        <w:tc>
          <w:tcPr>
            <w:tcW w:w="1936" w:type="dxa"/>
            <w:vAlign w:val="center"/>
          </w:tcPr>
          <w:p w14:paraId="4D924E52" w14:textId="77777777" w:rsidR="004F759F" w:rsidRPr="0047638B" w:rsidRDefault="00541F27" w:rsidP="004F759F">
            <w:pPr>
              <w:jc w:val="left"/>
              <w:rPr>
                <w:rFonts w:asciiTheme="minorEastAsia" w:eastAsiaTheme="minorEastAsia" w:hAnsiTheme="minorEastAsia"/>
              </w:rPr>
            </w:pPr>
            <w:r w:rsidRPr="0047638B">
              <w:rPr>
                <w:rFonts w:asciiTheme="minorEastAsia" w:eastAsiaTheme="minorEastAsia" w:hAnsiTheme="minorEastAsia"/>
              </w:rPr>
              <w:t>2019年1月1日至2019年12月31日</w:t>
            </w:r>
          </w:p>
        </w:tc>
        <w:tc>
          <w:tcPr>
            <w:tcW w:w="986" w:type="dxa"/>
            <w:vAlign w:val="center"/>
          </w:tcPr>
          <w:p w14:paraId="00D37523" w14:textId="77777777" w:rsidR="004F759F" w:rsidRPr="0047638B" w:rsidRDefault="00541F27" w:rsidP="00541F27">
            <w:pPr>
              <w:jc w:val="right"/>
              <w:rPr>
                <w:rFonts w:asciiTheme="minorEastAsia" w:eastAsiaTheme="minorEastAsia" w:hAnsiTheme="minorEastAsia"/>
              </w:rPr>
            </w:pPr>
            <w:r w:rsidRPr="0047638B">
              <w:rPr>
                <w:rFonts w:asciiTheme="minorEastAsia" w:eastAsiaTheme="minorEastAsia" w:hAnsiTheme="minorEastAsia"/>
              </w:rPr>
              <w:t>43.70%</w:t>
            </w:r>
          </w:p>
        </w:tc>
        <w:tc>
          <w:tcPr>
            <w:tcW w:w="1311" w:type="dxa"/>
            <w:vAlign w:val="center"/>
          </w:tcPr>
          <w:p w14:paraId="4B416EEB" w14:textId="77777777" w:rsidR="004F759F" w:rsidRPr="0047638B" w:rsidRDefault="00541F27" w:rsidP="00541F27">
            <w:pPr>
              <w:jc w:val="right"/>
              <w:rPr>
                <w:rFonts w:asciiTheme="minorEastAsia" w:eastAsiaTheme="minorEastAsia" w:hAnsiTheme="minorEastAsia"/>
              </w:rPr>
            </w:pPr>
            <w:r w:rsidRPr="0047638B">
              <w:rPr>
                <w:rFonts w:asciiTheme="minorEastAsia" w:eastAsiaTheme="minorEastAsia" w:hAnsiTheme="minorEastAsia"/>
              </w:rPr>
              <w:t>2.11%</w:t>
            </w:r>
          </w:p>
        </w:tc>
        <w:tc>
          <w:tcPr>
            <w:tcW w:w="1147" w:type="dxa"/>
            <w:vAlign w:val="center"/>
          </w:tcPr>
          <w:p w14:paraId="284917D9" w14:textId="77777777" w:rsidR="004F759F" w:rsidRPr="0047638B" w:rsidRDefault="00541F27">
            <w:pPr>
              <w:jc w:val="right"/>
              <w:rPr>
                <w:rFonts w:asciiTheme="minorEastAsia" w:eastAsiaTheme="minorEastAsia" w:hAnsiTheme="minorEastAsia"/>
              </w:rPr>
            </w:pPr>
            <w:r w:rsidRPr="0047638B">
              <w:rPr>
                <w:rFonts w:asciiTheme="minorEastAsia" w:eastAsiaTheme="minorEastAsia" w:hAnsiTheme="minorEastAsia"/>
              </w:rPr>
              <w:t>42.30%</w:t>
            </w:r>
          </w:p>
        </w:tc>
        <w:tc>
          <w:tcPr>
            <w:tcW w:w="1147" w:type="dxa"/>
            <w:vAlign w:val="center"/>
          </w:tcPr>
          <w:p w14:paraId="1724A30C" w14:textId="77777777" w:rsidR="004F759F" w:rsidRPr="0047638B" w:rsidRDefault="00541F27">
            <w:pPr>
              <w:jc w:val="right"/>
              <w:rPr>
                <w:rFonts w:asciiTheme="minorEastAsia" w:eastAsiaTheme="minorEastAsia" w:hAnsiTheme="minorEastAsia"/>
              </w:rPr>
            </w:pPr>
            <w:r w:rsidRPr="0047638B">
              <w:rPr>
                <w:rFonts w:asciiTheme="minorEastAsia" w:eastAsiaTheme="minorEastAsia" w:hAnsiTheme="minorEastAsia"/>
              </w:rPr>
              <w:t>2.12%</w:t>
            </w:r>
          </w:p>
        </w:tc>
        <w:tc>
          <w:tcPr>
            <w:tcW w:w="1147" w:type="dxa"/>
            <w:vAlign w:val="center"/>
          </w:tcPr>
          <w:p w14:paraId="738FB436" w14:textId="77777777" w:rsidR="004F759F" w:rsidRPr="0047638B" w:rsidRDefault="00541F27">
            <w:pPr>
              <w:jc w:val="right"/>
              <w:rPr>
                <w:rFonts w:asciiTheme="minorEastAsia" w:eastAsiaTheme="minorEastAsia" w:hAnsiTheme="minorEastAsia"/>
              </w:rPr>
            </w:pPr>
            <w:r w:rsidRPr="0047638B">
              <w:rPr>
                <w:rFonts w:asciiTheme="minorEastAsia" w:eastAsiaTheme="minorEastAsia" w:hAnsiTheme="minorEastAsia"/>
              </w:rPr>
              <w:t>1.40%</w:t>
            </w:r>
          </w:p>
        </w:tc>
        <w:tc>
          <w:tcPr>
            <w:tcW w:w="1100" w:type="dxa"/>
            <w:vAlign w:val="center"/>
          </w:tcPr>
          <w:p w14:paraId="6B0165F0" w14:textId="77777777" w:rsidR="004F759F" w:rsidRPr="0047638B" w:rsidRDefault="00541F27">
            <w:pPr>
              <w:jc w:val="right"/>
              <w:rPr>
                <w:rFonts w:asciiTheme="minorEastAsia" w:eastAsiaTheme="minorEastAsia" w:hAnsiTheme="minorEastAsia"/>
              </w:rPr>
            </w:pPr>
            <w:r w:rsidRPr="0047638B">
              <w:rPr>
                <w:rFonts w:asciiTheme="minorEastAsia" w:eastAsiaTheme="minorEastAsia" w:hAnsiTheme="minorEastAsia"/>
              </w:rPr>
              <w:t>-0.01%</w:t>
            </w:r>
          </w:p>
        </w:tc>
      </w:tr>
      <w:tr w:rsidR="0047638B" w:rsidRPr="0047638B" w14:paraId="2BE31BE1" w14:textId="77777777" w:rsidTr="008C619A">
        <w:trPr>
          <w:trHeight w:val="1028"/>
        </w:trPr>
        <w:tc>
          <w:tcPr>
            <w:tcW w:w="1936" w:type="dxa"/>
            <w:vAlign w:val="center"/>
          </w:tcPr>
          <w:p w14:paraId="25C8E6A1" w14:textId="77777777" w:rsidR="00541F27" w:rsidRPr="0047638B" w:rsidRDefault="00541F27" w:rsidP="004F759F">
            <w:pPr>
              <w:jc w:val="left"/>
              <w:rPr>
                <w:rFonts w:asciiTheme="minorEastAsia" w:eastAsiaTheme="minorEastAsia" w:hAnsiTheme="minorEastAsia"/>
              </w:rPr>
            </w:pPr>
            <w:r w:rsidRPr="0047638B">
              <w:rPr>
                <w:rFonts w:asciiTheme="minorEastAsia" w:eastAsiaTheme="minorEastAsia" w:hAnsiTheme="minorEastAsia" w:hint="eastAsia"/>
              </w:rPr>
              <w:t>自基金合同生效日至</w:t>
            </w:r>
            <w:r w:rsidRPr="0047638B">
              <w:rPr>
                <w:rFonts w:asciiTheme="minorEastAsia" w:eastAsiaTheme="minorEastAsia" w:hAnsiTheme="minorEastAsia"/>
              </w:rPr>
              <w:t>2019年12月31日</w:t>
            </w:r>
          </w:p>
        </w:tc>
        <w:tc>
          <w:tcPr>
            <w:tcW w:w="986" w:type="dxa"/>
            <w:vAlign w:val="center"/>
          </w:tcPr>
          <w:p w14:paraId="27448542" w14:textId="77777777" w:rsidR="00541F27" w:rsidRPr="0047638B" w:rsidRDefault="00541F27" w:rsidP="00541F27">
            <w:pPr>
              <w:jc w:val="right"/>
              <w:rPr>
                <w:rFonts w:asciiTheme="minorEastAsia" w:eastAsiaTheme="minorEastAsia" w:hAnsiTheme="minorEastAsia"/>
              </w:rPr>
            </w:pPr>
            <w:r w:rsidRPr="0047638B">
              <w:rPr>
                <w:rFonts w:asciiTheme="minorEastAsia" w:eastAsiaTheme="minorEastAsia" w:hAnsiTheme="minorEastAsia"/>
              </w:rPr>
              <w:t>-25.31%</w:t>
            </w:r>
          </w:p>
        </w:tc>
        <w:tc>
          <w:tcPr>
            <w:tcW w:w="1311" w:type="dxa"/>
            <w:vAlign w:val="center"/>
          </w:tcPr>
          <w:p w14:paraId="0AB8F57E" w14:textId="77777777" w:rsidR="00541F27" w:rsidRPr="0047638B" w:rsidRDefault="00541F27">
            <w:pPr>
              <w:jc w:val="right"/>
              <w:rPr>
                <w:rFonts w:asciiTheme="minorEastAsia" w:eastAsiaTheme="minorEastAsia" w:hAnsiTheme="minorEastAsia"/>
              </w:rPr>
            </w:pPr>
            <w:r w:rsidRPr="0047638B">
              <w:rPr>
                <w:rFonts w:asciiTheme="minorEastAsia" w:eastAsiaTheme="minorEastAsia" w:hAnsiTheme="minorEastAsia"/>
              </w:rPr>
              <w:t>2.02%</w:t>
            </w:r>
          </w:p>
        </w:tc>
        <w:tc>
          <w:tcPr>
            <w:tcW w:w="1147" w:type="dxa"/>
            <w:vAlign w:val="center"/>
          </w:tcPr>
          <w:p w14:paraId="74AEA54F" w14:textId="77777777" w:rsidR="00541F27" w:rsidRPr="0047638B" w:rsidRDefault="00541F27">
            <w:pPr>
              <w:jc w:val="right"/>
              <w:rPr>
                <w:rFonts w:asciiTheme="minorEastAsia" w:eastAsiaTheme="minorEastAsia" w:hAnsiTheme="minorEastAsia"/>
              </w:rPr>
            </w:pPr>
            <w:r w:rsidRPr="0047638B">
              <w:rPr>
                <w:rFonts w:asciiTheme="minorEastAsia" w:eastAsiaTheme="minorEastAsia" w:hAnsiTheme="minorEastAsia"/>
              </w:rPr>
              <w:t>-31.33%</w:t>
            </w:r>
          </w:p>
        </w:tc>
        <w:tc>
          <w:tcPr>
            <w:tcW w:w="1147" w:type="dxa"/>
            <w:vAlign w:val="center"/>
          </w:tcPr>
          <w:p w14:paraId="6B08ACED" w14:textId="77777777" w:rsidR="00541F27" w:rsidRPr="0047638B" w:rsidRDefault="00541F27">
            <w:pPr>
              <w:jc w:val="right"/>
              <w:rPr>
                <w:rFonts w:asciiTheme="minorEastAsia" w:eastAsiaTheme="minorEastAsia" w:hAnsiTheme="minorEastAsia"/>
              </w:rPr>
            </w:pPr>
            <w:r w:rsidRPr="0047638B">
              <w:rPr>
                <w:rFonts w:asciiTheme="minorEastAsia" w:eastAsiaTheme="minorEastAsia" w:hAnsiTheme="minorEastAsia"/>
              </w:rPr>
              <w:t>2.14%</w:t>
            </w:r>
          </w:p>
        </w:tc>
        <w:tc>
          <w:tcPr>
            <w:tcW w:w="1147" w:type="dxa"/>
            <w:vAlign w:val="center"/>
          </w:tcPr>
          <w:p w14:paraId="46DEE939" w14:textId="77777777" w:rsidR="00541F27" w:rsidRPr="0047638B" w:rsidRDefault="00541F27">
            <w:pPr>
              <w:jc w:val="right"/>
              <w:rPr>
                <w:rFonts w:asciiTheme="minorEastAsia" w:eastAsiaTheme="minorEastAsia" w:hAnsiTheme="minorEastAsia"/>
              </w:rPr>
            </w:pPr>
            <w:r w:rsidRPr="0047638B">
              <w:rPr>
                <w:rFonts w:asciiTheme="minorEastAsia" w:eastAsiaTheme="minorEastAsia" w:hAnsiTheme="minorEastAsia"/>
              </w:rPr>
              <w:t>6.02%</w:t>
            </w:r>
          </w:p>
        </w:tc>
        <w:tc>
          <w:tcPr>
            <w:tcW w:w="1100" w:type="dxa"/>
            <w:vAlign w:val="center"/>
          </w:tcPr>
          <w:p w14:paraId="70A6038D" w14:textId="77777777" w:rsidR="00541F27" w:rsidRPr="0047638B" w:rsidRDefault="00541F27">
            <w:pPr>
              <w:jc w:val="right"/>
              <w:rPr>
                <w:rFonts w:asciiTheme="minorEastAsia" w:eastAsiaTheme="minorEastAsia" w:hAnsiTheme="minorEastAsia"/>
              </w:rPr>
            </w:pPr>
            <w:r w:rsidRPr="0047638B">
              <w:rPr>
                <w:rFonts w:asciiTheme="minorEastAsia" w:eastAsiaTheme="minorEastAsia" w:hAnsiTheme="minorEastAsia"/>
              </w:rPr>
              <w:t>-0.12%</w:t>
            </w:r>
          </w:p>
        </w:tc>
      </w:tr>
    </w:tbl>
    <w:p w14:paraId="42B150B1" w14:textId="4867C2A4" w:rsidR="00573511" w:rsidRPr="0047638B" w:rsidRDefault="00C21C7C" w:rsidP="006C218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本基金历任基金经理情况：余海燕，管理时间为2015年7月8日至2020年12月31</w:t>
      </w:r>
      <w:r w:rsidRPr="0047638B">
        <w:rPr>
          <w:rFonts w:asciiTheme="minorEastAsia" w:eastAsiaTheme="minorEastAsia" w:hAnsiTheme="minorEastAsia"/>
        </w:rPr>
        <w:lastRenderedPageBreak/>
        <w:t>日。</w:t>
      </w:r>
      <w:r w:rsidRPr="0047638B">
        <w:rPr>
          <w:rFonts w:asciiTheme="minorEastAsia" w:eastAsiaTheme="minorEastAsia" w:hAnsiTheme="minorEastAsia"/>
        </w:rPr>
        <w:br/>
      </w:r>
    </w:p>
    <w:p w14:paraId="27717ADB" w14:textId="77777777" w:rsidR="009117B6" w:rsidRPr="0047638B" w:rsidRDefault="009117B6" w:rsidP="006C2189">
      <w:pPr>
        <w:snapToGrid w:val="0"/>
        <w:spacing w:line="360" w:lineRule="auto"/>
        <w:ind w:firstLineChars="200" w:firstLine="420"/>
        <w:rPr>
          <w:rFonts w:asciiTheme="minorEastAsia" w:eastAsiaTheme="minorEastAsia" w:hAnsiTheme="minorEastAsia"/>
        </w:rPr>
        <w:sectPr w:rsidR="009117B6" w:rsidRPr="0047638B" w:rsidSect="00870C14">
          <w:footerReference w:type="default" r:id="rId11"/>
          <w:pgSz w:w="11906" w:h="16838"/>
          <w:pgMar w:top="1440" w:right="1797" w:bottom="1440" w:left="1797" w:header="851" w:footer="992" w:gutter="0"/>
          <w:pgNumType w:start="1"/>
          <w:cols w:space="425"/>
          <w:docGrid w:type="linesAndChars" w:linePitch="312"/>
        </w:sectPr>
      </w:pPr>
    </w:p>
    <w:p w14:paraId="4782F442" w14:textId="7E8006C9"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02" w:name="_Toc77780002"/>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五</w:t>
      </w:r>
      <w:r w:rsidR="008C7838"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基金的财产</w:t>
      </w:r>
      <w:bookmarkEnd w:id="3602"/>
    </w:p>
    <w:p w14:paraId="05E15382"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E13C79" w:rsidRPr="0047638B">
        <w:rPr>
          <w:rFonts w:asciiTheme="minorEastAsia" w:eastAsiaTheme="minorEastAsia" w:hAnsiTheme="minorEastAsia"/>
        </w:rPr>
        <w:t>基金资产总值</w:t>
      </w:r>
    </w:p>
    <w:p w14:paraId="304D594D" w14:textId="77777777" w:rsidR="00E13C79" w:rsidRPr="0047638B" w:rsidRDefault="001974C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基金资产总值是指购买的各类证券及票据价值、银行存款本息和基金应收的申购基金款以及其他投资所形成的价值总和。</w:t>
      </w:r>
    </w:p>
    <w:p w14:paraId="2267A5DB"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w:t>
      </w:r>
      <w:r w:rsidR="00E13C79" w:rsidRPr="0047638B">
        <w:rPr>
          <w:rFonts w:asciiTheme="minorEastAsia" w:eastAsiaTheme="minorEastAsia" w:hAnsiTheme="minorEastAsia"/>
        </w:rPr>
        <w:t>基金资产净值</w:t>
      </w:r>
    </w:p>
    <w:p w14:paraId="7D5295F3" w14:textId="77777777" w:rsidR="00E13C79" w:rsidRPr="0047638B" w:rsidRDefault="001974C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基金资产净值是指基金资产总值减去基金负债后的价值。</w:t>
      </w:r>
    </w:p>
    <w:p w14:paraId="644F91D9"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w:t>
      </w:r>
      <w:r w:rsidR="00E13C79" w:rsidRPr="0047638B">
        <w:rPr>
          <w:rFonts w:asciiTheme="minorEastAsia" w:eastAsiaTheme="minorEastAsia" w:hAnsiTheme="minorEastAsia"/>
        </w:rPr>
        <w:t>基金财产的账户</w:t>
      </w:r>
    </w:p>
    <w:p w14:paraId="5B9B145D" w14:textId="77777777" w:rsidR="00E13C79" w:rsidRPr="0047638B" w:rsidRDefault="001974C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托管人根据相关法律法规、规范性文件为本基金开立资金账户、证券账户以及投资所需的其他专用账户。开立的基金专用账户与基金管理人、基金托管人、基金销售机构和基金登记结算机构自有的财产账户以及其他基金财产账户相独立。</w:t>
      </w:r>
    </w:p>
    <w:p w14:paraId="67690827" w14:textId="77777777" w:rsidR="00E13C79" w:rsidRPr="0047638B" w:rsidRDefault="00656BA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w:t>
      </w:r>
      <w:r w:rsidR="00E13C79" w:rsidRPr="0047638B">
        <w:rPr>
          <w:rFonts w:asciiTheme="minorEastAsia" w:eastAsiaTheme="minorEastAsia" w:hAnsiTheme="minorEastAsia"/>
        </w:rPr>
        <w:t>基金财产的保管</w:t>
      </w:r>
      <w:r w:rsidR="00132104" w:rsidRPr="0047638B">
        <w:rPr>
          <w:rFonts w:asciiTheme="minorEastAsia" w:eastAsiaTheme="minorEastAsia" w:hAnsiTheme="minorEastAsia"/>
        </w:rPr>
        <w:t>和</w:t>
      </w:r>
      <w:r w:rsidR="00E13C79" w:rsidRPr="0047638B">
        <w:rPr>
          <w:rFonts w:asciiTheme="minorEastAsia" w:eastAsiaTheme="minorEastAsia" w:hAnsiTheme="minorEastAsia"/>
        </w:rPr>
        <w:t>处分</w:t>
      </w:r>
    </w:p>
    <w:p w14:paraId="436AAE3D" w14:textId="77777777"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本基金财产独立于基金管理人、基金托管人和基金销售机构的财产，并由基金托管人保管。基金管理人、基金托管人、基金登记结算机构和基金销售机构以其自有的财产承担其自身的法律责任，其债权人不得对本基金财产行使请求冻结、扣押或其他权利。除依法律法规及中国证监会规定和《基金合同》的规定处分外，基金财产不得被处分。</w:t>
      </w:r>
    </w:p>
    <w:p w14:paraId="6EAB2D7A" w14:textId="77777777" w:rsidR="00944ECD" w:rsidRPr="0047638B" w:rsidRDefault="001974C5"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944ECD" w:rsidRPr="0047638B">
        <w:rPr>
          <w:rFonts w:asciiTheme="minorEastAsia" w:eastAsiaTheme="minorEastAsia" w:hAnsiTheme="minorEastAsia"/>
        </w:rPr>
        <w:br w:type="page"/>
      </w:r>
    </w:p>
    <w:p w14:paraId="37FCA0ED" w14:textId="285EB4CB"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03" w:name="_Toc77780003"/>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六</w:t>
      </w:r>
      <w:r w:rsidR="008C7838"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基金资产估值</w:t>
      </w:r>
      <w:bookmarkEnd w:id="3603"/>
    </w:p>
    <w:p w14:paraId="71B66475" w14:textId="77777777" w:rsidR="00E13C79" w:rsidRPr="0047638B" w:rsidRDefault="005D10BA"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54586E" w:rsidRPr="0047638B">
        <w:rPr>
          <w:rFonts w:asciiTheme="minorEastAsia" w:eastAsiaTheme="minorEastAsia" w:hAnsiTheme="minorEastAsia"/>
        </w:rPr>
        <w:t>一</w:t>
      </w:r>
      <w:r w:rsidRPr="0047638B">
        <w:rPr>
          <w:rFonts w:asciiTheme="minorEastAsia" w:eastAsiaTheme="minorEastAsia" w:hAnsiTheme="minorEastAsia"/>
        </w:rPr>
        <w:t>）</w:t>
      </w:r>
      <w:r w:rsidR="00E13C79" w:rsidRPr="0047638B">
        <w:rPr>
          <w:rFonts w:asciiTheme="minorEastAsia" w:eastAsiaTheme="minorEastAsia" w:hAnsiTheme="minorEastAsia"/>
        </w:rPr>
        <w:t>估值日</w:t>
      </w:r>
    </w:p>
    <w:p w14:paraId="7D38DDD4" w14:textId="77777777" w:rsidR="00E13C79" w:rsidRPr="0047638B" w:rsidRDefault="00C26E2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本基金的估值日为本基金相关的证券交易场所的交易日以及国家法律法规规定需要对外披露基金净值的非交易日。</w:t>
      </w:r>
    </w:p>
    <w:p w14:paraId="09A2FBA4" w14:textId="77777777" w:rsidR="00E13C79" w:rsidRPr="0047638B" w:rsidRDefault="005D10BA"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54586E" w:rsidRPr="0047638B">
        <w:rPr>
          <w:rFonts w:asciiTheme="minorEastAsia" w:eastAsiaTheme="minorEastAsia" w:hAnsiTheme="minorEastAsia"/>
        </w:rPr>
        <w:t>二</w:t>
      </w:r>
      <w:r w:rsidRPr="0047638B">
        <w:rPr>
          <w:rFonts w:asciiTheme="minorEastAsia" w:eastAsiaTheme="minorEastAsia" w:hAnsiTheme="minorEastAsia"/>
        </w:rPr>
        <w:t>）</w:t>
      </w:r>
      <w:r w:rsidR="00E13C79" w:rsidRPr="0047638B">
        <w:rPr>
          <w:rFonts w:asciiTheme="minorEastAsia" w:eastAsiaTheme="minorEastAsia" w:hAnsiTheme="minorEastAsia"/>
        </w:rPr>
        <w:t>估值对象</w:t>
      </w:r>
    </w:p>
    <w:p w14:paraId="4C9C6C2A" w14:textId="77777777" w:rsidR="00E13C79" w:rsidRPr="0047638B" w:rsidRDefault="00C26E2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基金所拥有的股票、债券、衍生工具和银行存款本息、应收款项、其它投资等资产及负债。</w:t>
      </w:r>
    </w:p>
    <w:p w14:paraId="27EE59D5" w14:textId="77777777" w:rsidR="0054586E" w:rsidRPr="0047638B" w:rsidRDefault="0054586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（三）估值方法</w:t>
      </w:r>
    </w:p>
    <w:p w14:paraId="7DF8FA4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本基金所持有的投资品种，按如下原则进行估值：</w:t>
      </w:r>
    </w:p>
    <w:p w14:paraId="2F33504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5E9AA25B"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D53679B"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3、当投资品种不存在活跃市场，采用市场参与者普遍认同，或被以往市场实际交易价格验证的估值技术，确定投资品种的公允价值。</w:t>
      </w:r>
    </w:p>
    <w:p w14:paraId="33BA8A63"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4、在不违背上述公允价值确定原则的前提下，本基金可以采用第三方估值机构提供的相关数据。</w:t>
      </w:r>
    </w:p>
    <w:p w14:paraId="165BD328"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5、本基金参与转融通证券出借业务的，按照相关法律法规和行业协会的相关规定进行估值。</w:t>
      </w:r>
    </w:p>
    <w:p w14:paraId="5BC05B2E"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6、本基金参与融资等业务的，按照相关法律法规和监管部门的规定估值。</w:t>
      </w:r>
    </w:p>
    <w:p w14:paraId="7D76CFA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7、本基金投资存托凭证的估值核算，依照境内上市交易的股票执行。</w:t>
      </w:r>
    </w:p>
    <w:p w14:paraId="5208E84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8、如有充足理由认为按上述方法进行估值不能客观反映其公允价值的，基金管理人可根据具体情况与基金托管人商定后，按最能反映公允价值的价格估值。</w:t>
      </w:r>
    </w:p>
    <w:p w14:paraId="3AC39EAC"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9、存在相关法律法规以及监管部门有相关规范且适用于本基金的，从其规定。</w:t>
      </w:r>
    </w:p>
    <w:p w14:paraId="7DAAECC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0B7FBA4" w14:textId="0A762A25" w:rsidR="0054586E" w:rsidRPr="0047638B" w:rsidRDefault="00674A9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D3D8963" w14:textId="77777777" w:rsidR="0054586E" w:rsidRPr="0047638B" w:rsidRDefault="0054586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F94B64" w:rsidRPr="0047638B">
        <w:rPr>
          <w:rFonts w:asciiTheme="minorEastAsia" w:eastAsiaTheme="minorEastAsia" w:hAnsiTheme="minorEastAsia"/>
        </w:rPr>
        <w:t>四</w:t>
      </w:r>
      <w:r w:rsidRPr="0047638B">
        <w:rPr>
          <w:rFonts w:asciiTheme="minorEastAsia" w:eastAsiaTheme="minorEastAsia" w:hAnsiTheme="minorEastAsia"/>
        </w:rPr>
        <w:t>）估值程序</w:t>
      </w:r>
    </w:p>
    <w:p w14:paraId="59E6DE0F"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1、各类基金份额净值的计算精确到0.0001元，小数点后第5位四舍五入。国家另有规定的，从其规定。</w:t>
      </w:r>
    </w:p>
    <w:p w14:paraId="08E1C68F"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基金管理人每个工作日计算基金资产净值、各类基金份额净值，并按规定公告。</w:t>
      </w:r>
    </w:p>
    <w:p w14:paraId="350E4E30" w14:textId="4DAF7600" w:rsidR="0054586E" w:rsidRPr="0047638B" w:rsidRDefault="00674A9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0DA5F55" w14:textId="77777777" w:rsidR="0054586E" w:rsidRPr="0047638B" w:rsidRDefault="0054586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F94B64" w:rsidRPr="0047638B">
        <w:rPr>
          <w:rFonts w:asciiTheme="minorEastAsia" w:eastAsiaTheme="minorEastAsia" w:hAnsiTheme="minorEastAsia"/>
        </w:rPr>
        <w:t>五</w:t>
      </w:r>
      <w:r w:rsidRPr="0047638B">
        <w:rPr>
          <w:rFonts w:asciiTheme="minorEastAsia" w:eastAsiaTheme="minorEastAsia" w:hAnsiTheme="minorEastAsia"/>
        </w:rPr>
        <w:t>）</w:t>
      </w:r>
      <w:r w:rsidR="00F94B64" w:rsidRPr="0047638B">
        <w:rPr>
          <w:rFonts w:asciiTheme="minorEastAsia" w:eastAsiaTheme="minorEastAsia" w:hAnsiTheme="minorEastAsia"/>
        </w:rPr>
        <w:t>估值错误的处理</w:t>
      </w:r>
    </w:p>
    <w:p w14:paraId="5ACC9C7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基金管理人和基金托管人将采取必要、适当、合理的措施确保基金资产估值的准确性、及时性。当任一类基金份额净值小数点后4位以内(含第4位)发生估值错误时，视为该类基金份额净值错误。</w:t>
      </w:r>
    </w:p>
    <w:p w14:paraId="769BB894"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本《基金合同》的当事人应按照以下约定处理：</w:t>
      </w:r>
    </w:p>
    <w:p w14:paraId="4F04F1D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1、估值错误类型</w:t>
      </w:r>
    </w:p>
    <w:p w14:paraId="0BBD8FB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运作过程中，如果由于基金管理人或基金托管人、或登记结算机构、或销售机构、或投资者自身的过错造成估值错误，导致其他当事人遭受损失的，过错的责任人应当对由于该估值错误遭受损失当事人(“受损方”)的直接损失按下述“估值错误处理原则”给予赔偿，承担赔偿责任。</w:t>
      </w:r>
    </w:p>
    <w:p w14:paraId="023ECFC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上述估值错误的主要类型包括但不限于：资料申报差错、数据传输差错、数据计算差错、系统故障差错、下达指令差错等。</w:t>
      </w:r>
    </w:p>
    <w:p w14:paraId="3EB4A6AE"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2、估值错误处理原则</w:t>
      </w:r>
    </w:p>
    <w:p w14:paraId="336B485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C2138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（2）估值错误的责任方对有关当事人的直接损失负责，不对间接损失负责，并且仅对估值错误的有关直接当事人负责，不对第三方负责。</w:t>
      </w:r>
    </w:p>
    <w:p w14:paraId="7173320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52FB2D"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（4）估值错误调整采用尽量恢复至假设未发生估值错误的正确情形的方式。</w:t>
      </w:r>
    </w:p>
    <w:p w14:paraId="697AD5DF"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3、估值错误处理程序</w:t>
      </w:r>
    </w:p>
    <w:p w14:paraId="286BB4D7"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估值错误被发现后，有关的当事人应当及时进行处理，处理的程序如下：</w:t>
      </w:r>
    </w:p>
    <w:p w14:paraId="4705540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（1）查明估值错误发生的原因，列明所有的当事人，并根据估值错误发生的原因确定估值错误的责任方；</w:t>
      </w:r>
    </w:p>
    <w:p w14:paraId="3274712C"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（2）根据估值错误处理原则或当事人协商的方法对因估值错误造成的损失进行评估；</w:t>
      </w:r>
    </w:p>
    <w:p w14:paraId="3826716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（3）根据估值错误处理原则或当事人协商的方法由估值错误的责任方进行更正和赔偿损失；</w:t>
      </w:r>
    </w:p>
    <w:p w14:paraId="35D9AD7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（4）根据估值错误处理的方法，需要修改基金登记结算机构交易数据的，由基金登记结算机构进行更正，并就估值错误的更正向有关当事人进行确认。</w:t>
      </w:r>
    </w:p>
    <w:p w14:paraId="7AE0DD1C"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4、基金份额净值估值错误处理的方法如下：</w:t>
      </w:r>
    </w:p>
    <w:p w14:paraId="1F8F796E"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（1）基金份额净值计算出现错误时，基金管理人应当立即予以纠正，通报基金托管人，并采取合理的措施防止损失进一步扩大。</w:t>
      </w:r>
    </w:p>
    <w:p w14:paraId="5E3226FC"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任一类基金份额净值估值错误偏差达到该类基金份额净值的0.25%时，基金管理人应当通报基金托管人；任一类基金份额净值估值错误偏差达到该类基金份额净值的0.5%时，基金管理人应当公告，并报中国证监会备案。</w:t>
      </w:r>
    </w:p>
    <w:p w14:paraId="450E69F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（3）基金管理人和基金托管人由于各自技术系统设置而产生的净值计算尾差，由基金管理人和基金托管人协商确定。</w:t>
      </w:r>
    </w:p>
    <w:p w14:paraId="427D8B2E" w14:textId="5FB55187" w:rsidR="0054586E" w:rsidRPr="0047638B" w:rsidRDefault="00674A9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（4）前述内容如法律法规或监管机关另有规定的，从其规定处理。</w:t>
      </w:r>
    </w:p>
    <w:p w14:paraId="655147F7" w14:textId="77777777" w:rsidR="0054586E" w:rsidRPr="0047638B" w:rsidRDefault="0054586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00F94B64" w:rsidRPr="0047638B">
        <w:rPr>
          <w:rFonts w:asciiTheme="minorEastAsia" w:eastAsiaTheme="minorEastAsia" w:hAnsiTheme="minorEastAsia"/>
        </w:rPr>
        <w:t>六</w:t>
      </w:r>
      <w:r w:rsidRPr="0047638B">
        <w:rPr>
          <w:rFonts w:asciiTheme="minorEastAsia" w:eastAsiaTheme="minorEastAsia" w:hAnsiTheme="minorEastAsia"/>
        </w:rPr>
        <w:t>）暂停估值的情形</w:t>
      </w:r>
    </w:p>
    <w:p w14:paraId="1E4696B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1、基金投资所涉及的证券交易市场遇法定节假日或因其他原因暂停营业时；</w:t>
      </w:r>
    </w:p>
    <w:p w14:paraId="150FA84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2、因不可抗力或其他情形致使基金管理人、基金托管人无法准确评估基金资产价值时；</w:t>
      </w:r>
    </w:p>
    <w:p w14:paraId="14B719BD"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3、占基金相当比例的投资品种的估值出现重大转变，基金管理人为保障基金份额持有人的利益决定延迟估值时；</w:t>
      </w:r>
    </w:p>
    <w:p w14:paraId="4F6323C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4、当前一估值日基金资产净值 50%以上的资产出现无可参考的活跃市场价格且采用估值技术仍导致公允价值存在重大不确定性时，经与基金托管人协商一致的；</w:t>
      </w:r>
    </w:p>
    <w:p w14:paraId="4521D089" w14:textId="2FA81151" w:rsidR="00132104" w:rsidRPr="0047638B" w:rsidRDefault="00674A95"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5、中国证监会和《基金合同》认定的其它情形。</w:t>
      </w:r>
    </w:p>
    <w:p w14:paraId="3D49F07C" w14:textId="37ED0F94" w:rsidR="00132104" w:rsidRPr="0047638B" w:rsidRDefault="00132104"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（七）</w:t>
      </w:r>
      <w:r w:rsidR="005B48EB" w:rsidRPr="0047638B">
        <w:rPr>
          <w:rFonts w:asciiTheme="minorEastAsia" w:eastAsiaTheme="minorEastAsia" w:hAnsiTheme="minorEastAsia" w:hint="eastAsia"/>
        </w:rPr>
        <w:t>基金净值的确认</w:t>
      </w:r>
    </w:p>
    <w:p w14:paraId="589BA148" w14:textId="5DAD2A1D" w:rsidR="00132104" w:rsidRPr="0047638B" w:rsidRDefault="00674A9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用于基金信息披露的基金资产净值和各类基金份额净值由基金管理人负责计算，基金托管人负责进行复核。基金管理人应于每个开放日交易结束后计算上述数据并发送给基金托管人。基金托管人对净值计算结果复核确认后发送给基金管理人，由基金管理人按《基金合同》予以公布。</w:t>
      </w:r>
    </w:p>
    <w:p w14:paraId="658737FF" w14:textId="77777777" w:rsidR="00132104" w:rsidRPr="0047638B" w:rsidRDefault="00132104"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（八）特殊情况的处理</w:t>
      </w:r>
    </w:p>
    <w:p w14:paraId="7D8EC2A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1、基金管理人或基金托管人按估值方法的第8、9项进行估值时，所造成的误差不作为基金资产估值错误处理。</w:t>
      </w:r>
    </w:p>
    <w:p w14:paraId="27FBB486" w14:textId="5627BD9F" w:rsidR="00E13C79" w:rsidRPr="0047638B" w:rsidRDefault="00674A95"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szCs w:val="24"/>
        </w:rPr>
        <w:t>2、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sidR="00C26E25" w:rsidRPr="0047638B">
        <w:rPr>
          <w:rFonts w:asciiTheme="minorEastAsia" w:eastAsiaTheme="minorEastAsia" w:hAnsiTheme="minorEastAsia"/>
          <w:szCs w:val="24"/>
        </w:rPr>
        <w:t>。</w:t>
      </w:r>
      <w:r w:rsidR="00944ECD" w:rsidRPr="0047638B">
        <w:rPr>
          <w:rFonts w:asciiTheme="minorEastAsia" w:eastAsiaTheme="minorEastAsia" w:hAnsiTheme="minorEastAsia"/>
        </w:rPr>
        <w:br w:type="page"/>
      </w:r>
    </w:p>
    <w:p w14:paraId="7E4946D4" w14:textId="4DA258B3"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04" w:name="_Toc77780004"/>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七</w:t>
      </w:r>
      <w:r w:rsidR="00E338DF"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基金的收益与分配</w:t>
      </w:r>
      <w:bookmarkEnd w:id="3604"/>
    </w:p>
    <w:p w14:paraId="5C2F1E29"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（一）基金利润的构成</w:t>
      </w:r>
    </w:p>
    <w:p w14:paraId="16A50182"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基金利润指基金利息收入、投资收益、公允价值变动收益和其他收入扣除相关费用后的余额，基金已实现收益指基金利润减去公允价值变动收益后的余额。</w:t>
      </w:r>
    </w:p>
    <w:p w14:paraId="5337A04F"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（二）基金可供分配利润</w:t>
      </w:r>
    </w:p>
    <w:p w14:paraId="180DC680"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基金可供分配利润指截至收益分配基准日基金未分配利润与未分配利润中已实现收益的孰低数。</w:t>
      </w:r>
    </w:p>
    <w:p w14:paraId="6384E122"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（三）基金收益分配原则</w:t>
      </w:r>
    </w:p>
    <w:p w14:paraId="5B46B10E"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1、在符合有关基金分红条件的前提下，基金管理人可以根据实际情况进行收益分配，具体分配方案以公告为准；</w:t>
      </w:r>
    </w:p>
    <w:p w14:paraId="42035B33"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本基金场外份额收益分配方式分两种：现金分红与红利再投资，投资者可选择现金红利或将现金红利自动转为对应类别的基金份额进行再投资，若投资者不选择，本基金场外份额默认的收益分配方式是现金分红。本基金场内份额收益分配方式为现金分红，场内份额具体权益分配程序等有关事项遵循上海证券交易所及中国结算公司的相关规定；</w:t>
      </w:r>
    </w:p>
    <w:p w14:paraId="15CE89B3"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3、本基金各基金份额类别在费用收取上不同，其对应的可分配收益可能有所不同。同一类别的每一基金份额享有同等分配权；</w:t>
      </w:r>
    </w:p>
    <w:p w14:paraId="2F85472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4、法律法规或监管机关另有规定的，从其规定。证券交易所或基金登记结算机构对收益分配另有规定的，从其规定。</w:t>
      </w:r>
    </w:p>
    <w:p w14:paraId="7DFEC4CE" w14:textId="6C0EE845" w:rsidR="00A347C7" w:rsidRPr="0047638B" w:rsidRDefault="00674A95"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基金管理人可在对基金份额持有人利益无实质不利影响的前提下，对上述原则进行修改或调整，而无需召开基金份额持有人大会审议。</w:t>
      </w:r>
    </w:p>
    <w:p w14:paraId="31D0FB70"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（四）收益分配方案</w:t>
      </w:r>
    </w:p>
    <w:p w14:paraId="394AC10B"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基金收益分配方案中应载明截止收益分配基准日的可供分配利润、基金收益分配对象、分配时间、分配数额及比例、分配方式等内容。</w:t>
      </w:r>
    </w:p>
    <w:p w14:paraId="03DC962C"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（五）收益分配方案的确定、公告与实施</w:t>
      </w:r>
    </w:p>
    <w:p w14:paraId="4079BAED"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本基金收益分配方案由基金管理人拟定，并由基金托管人复核，在2日内在规定媒介公告。</w:t>
      </w:r>
    </w:p>
    <w:p w14:paraId="1904DEA2"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法律法规或监管机关另有规定的，从其规定。</w:t>
      </w:r>
    </w:p>
    <w:p w14:paraId="6ADD99BB" w14:textId="77777777" w:rsidR="00A347C7" w:rsidRPr="0047638B" w:rsidRDefault="00A347C7"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（六）基金收益分配中发生的费用</w:t>
      </w:r>
    </w:p>
    <w:p w14:paraId="525F9391" w14:textId="55DD60D6" w:rsidR="00A347C7" w:rsidRPr="0047638B" w:rsidRDefault="00674A95" w:rsidP="00A347C7">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基金收益分配时所发生的银行转账或其他手续费用由投资者自行承担。对于场外份额，</w:t>
      </w:r>
      <w:r w:rsidRPr="0047638B">
        <w:rPr>
          <w:rFonts w:asciiTheme="minorEastAsia" w:eastAsiaTheme="minorEastAsia" w:hAnsiTheme="minorEastAsia" w:hint="eastAsia"/>
          <w:szCs w:val="24"/>
        </w:rPr>
        <w:lastRenderedPageBreak/>
        <w:t>当投资者的现金红利小于一定金额，不足以支付银行转账或其他手续费用时，基金登记结算机构可将基金份额持有人的现金红利自动转为对应类别的基金份额。红利再投资的计算方法，依照《业务规则》执行。对于场内份额，遵循上海证券交易所及中国证券登记结算有限责任公司的相关规定</w:t>
      </w:r>
      <w:r w:rsidR="00A347C7" w:rsidRPr="0047638B">
        <w:rPr>
          <w:rFonts w:asciiTheme="minorEastAsia" w:eastAsiaTheme="minorEastAsia" w:hAnsiTheme="minorEastAsia" w:hint="eastAsia"/>
          <w:szCs w:val="24"/>
        </w:rPr>
        <w:t>。</w:t>
      </w:r>
    </w:p>
    <w:p w14:paraId="37AD0C99" w14:textId="316BD9F5" w:rsidR="00E13C79" w:rsidRPr="0047638B" w:rsidRDefault="00E13C79" w:rsidP="00E95A80">
      <w:pPr>
        <w:spacing w:line="360" w:lineRule="auto"/>
        <w:ind w:firstLineChars="200" w:firstLine="420"/>
        <w:rPr>
          <w:rFonts w:asciiTheme="minorEastAsia" w:eastAsiaTheme="minorEastAsia" w:hAnsiTheme="minorEastAsia"/>
        </w:rPr>
      </w:pPr>
    </w:p>
    <w:p w14:paraId="04C92B25" w14:textId="28D8D3C0" w:rsidR="00CE69CE" w:rsidRPr="0047638B" w:rsidRDefault="003E57E1" w:rsidP="0045036B">
      <w:pPr>
        <w:pStyle w:val="11"/>
        <w:snapToGrid w:val="0"/>
        <w:spacing w:beforeLines="0" w:afterLines="0" w:line="360" w:lineRule="auto"/>
        <w:ind w:firstLine="600"/>
        <w:rPr>
          <w:rFonts w:asciiTheme="minorEastAsia" w:eastAsiaTheme="minorEastAsia" w:hAnsiTheme="minorEastAsia"/>
        </w:rPr>
      </w:pPr>
      <w:bookmarkStart w:id="3605" w:name="_Toc77780005"/>
      <w:r w:rsidRPr="0047638B">
        <w:rPr>
          <w:rFonts w:asciiTheme="minorEastAsia" w:eastAsiaTheme="minorEastAsia" w:hAnsiTheme="minorEastAsia"/>
          <w:b w:val="0"/>
          <w:sz w:val="30"/>
        </w:rPr>
        <w:lastRenderedPageBreak/>
        <w:t>十</w:t>
      </w:r>
      <w:r w:rsidR="002F757C" w:rsidRPr="0047638B">
        <w:rPr>
          <w:rFonts w:asciiTheme="minorEastAsia" w:eastAsiaTheme="minorEastAsia" w:hAnsiTheme="minorEastAsia" w:hint="eastAsia"/>
          <w:b w:val="0"/>
          <w:sz w:val="30"/>
        </w:rPr>
        <w:t>八</w:t>
      </w:r>
      <w:r w:rsidR="00CE69CE" w:rsidRPr="0047638B">
        <w:rPr>
          <w:rFonts w:asciiTheme="minorEastAsia" w:eastAsiaTheme="minorEastAsia" w:hAnsiTheme="minorEastAsia"/>
          <w:b w:val="0"/>
          <w:sz w:val="30"/>
        </w:rPr>
        <w:t>、基金的费用与税收</w:t>
      </w:r>
      <w:bookmarkEnd w:id="3605"/>
    </w:p>
    <w:p w14:paraId="3488CA96" w14:textId="77777777" w:rsidR="0022325E" w:rsidRPr="0047638B" w:rsidRDefault="007E4B37"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w:t>
      </w:r>
      <w:r w:rsidRPr="0047638B">
        <w:rPr>
          <w:rFonts w:asciiTheme="minorEastAsia" w:eastAsiaTheme="minorEastAsia" w:hAnsiTheme="minorEastAsia" w:hint="eastAsia"/>
        </w:rPr>
        <w:t>一</w:t>
      </w:r>
      <w:r w:rsidRPr="0047638B">
        <w:rPr>
          <w:rFonts w:asciiTheme="minorEastAsia" w:eastAsiaTheme="minorEastAsia" w:hAnsiTheme="minorEastAsia"/>
        </w:rPr>
        <w:t>）</w:t>
      </w:r>
      <w:r w:rsidR="0022325E" w:rsidRPr="0047638B">
        <w:rPr>
          <w:rFonts w:asciiTheme="minorEastAsia" w:eastAsiaTheme="minorEastAsia" w:hAnsiTheme="minorEastAsia"/>
        </w:rPr>
        <w:t>基金费用的种类</w:t>
      </w:r>
    </w:p>
    <w:p w14:paraId="77AAF57F"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1、基金管理人的管理费；</w:t>
      </w:r>
    </w:p>
    <w:p w14:paraId="749907C3"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2、基金托管人的托管费；</w:t>
      </w:r>
    </w:p>
    <w:p w14:paraId="2DCBC32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3、销售服务费；</w:t>
      </w:r>
    </w:p>
    <w:p w14:paraId="7D0A2D4B"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4、基金上市初费和年费</w:t>
      </w:r>
    </w:p>
    <w:p w14:paraId="0A7881B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5、《基金合同》生效后与基金相关的信息披露费用；</w:t>
      </w:r>
    </w:p>
    <w:p w14:paraId="4C144F6C"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6、《基金合同》生效后与基金相关的会计师费、律师费、诉讼费和仲裁费；</w:t>
      </w:r>
    </w:p>
    <w:p w14:paraId="4237C03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7、基金份额持有人大会费用；</w:t>
      </w:r>
    </w:p>
    <w:p w14:paraId="6FD50F7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8、基金的证券交易费用；</w:t>
      </w:r>
    </w:p>
    <w:p w14:paraId="5BBEFEC7"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9、基金的银行汇划费用；</w:t>
      </w:r>
    </w:p>
    <w:p w14:paraId="4940FB2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10、标的指数使用许可费；</w:t>
      </w:r>
    </w:p>
    <w:p w14:paraId="5CEEC48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11、证券账户开户费用、账户维护费用；</w:t>
      </w:r>
    </w:p>
    <w:p w14:paraId="22531943" w14:textId="02088D31" w:rsidR="00A01694" w:rsidRPr="0047638B" w:rsidRDefault="00674A9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12、按照国家有关规定和《基金合同》约定，可以在基金财产中列支的其他费用。</w:t>
      </w:r>
    </w:p>
    <w:p w14:paraId="68FCD5BC" w14:textId="77777777" w:rsidR="0022325E" w:rsidRPr="0047638B" w:rsidRDefault="0022325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（二）基金费用计提方法、计提标准和支付方式</w:t>
      </w:r>
    </w:p>
    <w:p w14:paraId="46A0888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1、基金管理人的管理费</w:t>
      </w:r>
    </w:p>
    <w:p w14:paraId="17A381B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本基金的管理费按前一日基金资产净值的1.0%年费率计提。管理费的计算方法如下：</w:t>
      </w:r>
    </w:p>
    <w:p w14:paraId="76B3D99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H＝E×1.0%÷当年天数</w:t>
      </w:r>
    </w:p>
    <w:p w14:paraId="6CAF51B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H为每日应计提的基金管理费</w:t>
      </w:r>
    </w:p>
    <w:p w14:paraId="1CDECDF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E为前一日的基金资产净值</w:t>
      </w:r>
    </w:p>
    <w:p w14:paraId="2A91747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92F033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2、基金托管人的托管费</w:t>
      </w:r>
    </w:p>
    <w:p w14:paraId="0B9ABE4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本基金的托管费按前一日基金资产净值的0.22%的年费率计提。托管费的计算方法如下：</w:t>
      </w:r>
    </w:p>
    <w:p w14:paraId="4A82823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H＝E×0.22%÷当年天数</w:t>
      </w:r>
    </w:p>
    <w:p w14:paraId="0BCA11F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H为每日应计提的基金托管费</w:t>
      </w:r>
    </w:p>
    <w:p w14:paraId="6220A52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E为前一日的基金资产净值</w:t>
      </w:r>
    </w:p>
    <w:p w14:paraId="196C69E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AE5B50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3、销售服务费</w:t>
      </w:r>
    </w:p>
    <w:p w14:paraId="395DC79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本基金A类基金份额不收取销售服务费，C类基金份额的销售服务费年费率为0.4%，按前一日C类基金资产净值的0.4%年费率计提。</w:t>
      </w:r>
    </w:p>
    <w:p w14:paraId="5DBE0E9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销售服务费的计算方法如下：</w:t>
      </w:r>
    </w:p>
    <w:p w14:paraId="5F41CB68"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H＝E×0.4%÷当年天数</w:t>
      </w:r>
    </w:p>
    <w:p w14:paraId="7A2542D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H为C类基金份额每日应计提的销售服务费</w:t>
      </w:r>
    </w:p>
    <w:p w14:paraId="0282788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E为C类基金份额前一日的基金资产净值</w:t>
      </w:r>
    </w:p>
    <w:p w14:paraId="6256393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销售服务费每日计提，逐日累计至每个月月末，按月支付。由基金托管人根据与基金管理人核对一致的财务数据，自动在月初5个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20DCF37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4、标的指数许可使用费</w:t>
      </w:r>
    </w:p>
    <w:p w14:paraId="1CEAF32C" w14:textId="77777777" w:rsidR="00293F92" w:rsidRPr="0047638B" w:rsidRDefault="00293F92" w:rsidP="00293F9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合同》生效后的标的指数许可使用费按照基金管理人与中证指数有限公司签署的指数使用许可协议的约定，从基金财产中向中证指数有限公司支付。标的指数许可使用费按前一日基金资产净值0.02%的年费率计提。具体计算方法如下：</w:t>
      </w:r>
    </w:p>
    <w:p w14:paraId="7C7F9168" w14:textId="77777777" w:rsidR="00293F92" w:rsidRPr="0047638B" w:rsidRDefault="00293F92" w:rsidP="00293F9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H=E×0.02%÷当年天数</w:t>
      </w:r>
    </w:p>
    <w:p w14:paraId="44FA4C5A" w14:textId="77777777" w:rsidR="00293F92" w:rsidRPr="0047638B" w:rsidRDefault="00293F92" w:rsidP="00293F9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H为每日应付的指数使用许可费</w:t>
      </w:r>
    </w:p>
    <w:p w14:paraId="514FDF0D" w14:textId="77777777" w:rsidR="00293F92" w:rsidRPr="0047638B" w:rsidRDefault="00293F92" w:rsidP="00293F9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E为本基金前一日基金资产净值</w:t>
      </w:r>
    </w:p>
    <w:p w14:paraId="57749423" w14:textId="002CE512" w:rsidR="00674A95" w:rsidRPr="0047638B" w:rsidRDefault="00293F92" w:rsidP="00293F9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指数使用费每日计提，逐日累计。标的指数许可使用费的收取下限为每季度人民币伍万元（50,000），计费期间不足一季度的，根据实际天数按比例计算。</w:t>
      </w:r>
    </w:p>
    <w:p w14:paraId="2E63EB3E"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如果指数使用许可费的计算方法或费率发生调整，本基金将采用调整后的方法或费率计算指数使用许可费。基金管理人应及时按照《信息披露管理办法》的规定在规定媒介进行公告，此项调整无须召开基金份额持有人大会审议。</w:t>
      </w:r>
    </w:p>
    <w:p w14:paraId="25A8E4CC" w14:textId="7D8FDDF2" w:rsidR="00CE69CE" w:rsidRPr="0047638B" w:rsidRDefault="00674A95" w:rsidP="00293F9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5、除管理费、托管费、销售服务费和标的指数许可使用费之外的基金费用，根据有关法规及相应协议规定，按费用实际支出金额列入当期费用，由基金托管人从基金财产中支付。</w:t>
      </w:r>
    </w:p>
    <w:p w14:paraId="5B5E1DDB" w14:textId="77777777" w:rsidR="0022325E" w:rsidRPr="0047638B" w:rsidRDefault="0022325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lastRenderedPageBreak/>
        <w:t>（三）不列入基金费用的项目</w:t>
      </w:r>
    </w:p>
    <w:p w14:paraId="44AC39C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下列费用不列入基金费用：</w:t>
      </w:r>
    </w:p>
    <w:p w14:paraId="1E31F56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1、基金管理人和基金托管人因未履行或未完全履行义务导致的费用支出或基金财产的损失；</w:t>
      </w:r>
    </w:p>
    <w:p w14:paraId="7DA0C71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2、基金管理人和基金托管人处理与基金运作无关的事项发生的费用；</w:t>
      </w:r>
    </w:p>
    <w:p w14:paraId="1C02803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3、《基金合同》生效前的相关费用</w:t>
      </w:r>
      <w:r w:rsidR="00A347C7" w:rsidRPr="0047638B">
        <w:rPr>
          <w:rFonts w:asciiTheme="minorEastAsia" w:eastAsiaTheme="minorEastAsia" w:hAnsiTheme="minorEastAsia" w:hint="eastAsia"/>
          <w:bCs/>
          <w:szCs w:val="21"/>
        </w:rPr>
        <w:t>根据《易方达证券公司指数分级证券投资基金基金合同》执行</w:t>
      </w:r>
      <w:r w:rsidRPr="0047638B">
        <w:rPr>
          <w:rFonts w:asciiTheme="minorEastAsia" w:eastAsiaTheme="minorEastAsia" w:hAnsiTheme="minorEastAsia"/>
          <w:szCs w:val="24"/>
        </w:rPr>
        <w:t>；</w:t>
      </w:r>
    </w:p>
    <w:p w14:paraId="26FCB28A" w14:textId="77777777" w:rsidR="00657229" w:rsidRPr="0047638B" w:rsidRDefault="00C26E2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4、其他根据相关法律法规及中国证监会的有关规定不得列入基金费用的项目。</w:t>
      </w:r>
    </w:p>
    <w:p w14:paraId="475A30B3" w14:textId="77777777" w:rsidR="0022325E" w:rsidRPr="0047638B" w:rsidRDefault="0022325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（四）费用调整</w:t>
      </w:r>
    </w:p>
    <w:p w14:paraId="6A0B1153" w14:textId="77777777" w:rsidR="00CE69CE" w:rsidRPr="0047638B" w:rsidRDefault="00C26E25"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基金管理人和基金托管人协商一致后，可按照基金发展情况，并根据法律法规规定和《基金合同》约定调整基金管理费率、基金托管费率等相关费率。</w:t>
      </w:r>
    </w:p>
    <w:p w14:paraId="45A4963D" w14:textId="77777777" w:rsidR="0022325E" w:rsidRPr="0047638B" w:rsidRDefault="0022325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（五）与基金销售有关的费用</w:t>
      </w:r>
    </w:p>
    <w:p w14:paraId="56246A04" w14:textId="7D433196" w:rsidR="00E75142" w:rsidRPr="0047638B" w:rsidRDefault="00E7514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w:t>
      </w:r>
      <w:r w:rsidRPr="0047638B">
        <w:rPr>
          <w:rFonts w:asciiTheme="minorEastAsia" w:eastAsiaTheme="minorEastAsia" w:hAnsiTheme="minorEastAsia"/>
          <w:szCs w:val="24"/>
        </w:rPr>
        <w:t>本基金申购费、赎回费、转换费的费率水平、计算公式、收取方式和使用方式请详见本</w:t>
      </w:r>
      <w:r w:rsidR="00A347C7" w:rsidRPr="0047638B">
        <w:rPr>
          <w:rFonts w:asciiTheme="minorEastAsia" w:eastAsiaTheme="minorEastAsia" w:hAnsiTheme="minorEastAsia"/>
          <w:szCs w:val="24"/>
        </w:rPr>
        <w:t>《</w:t>
      </w:r>
      <w:r w:rsidRPr="0047638B">
        <w:rPr>
          <w:rFonts w:asciiTheme="minorEastAsia" w:eastAsiaTheme="minorEastAsia" w:hAnsiTheme="minorEastAsia"/>
          <w:szCs w:val="24"/>
        </w:rPr>
        <w:t>招募说明书</w:t>
      </w:r>
      <w:r w:rsidR="00A347C7" w:rsidRPr="0047638B">
        <w:rPr>
          <w:rFonts w:asciiTheme="minorEastAsia" w:eastAsiaTheme="minorEastAsia" w:hAnsiTheme="minorEastAsia"/>
          <w:szCs w:val="24"/>
        </w:rPr>
        <w:t>》</w:t>
      </w:r>
      <w:r w:rsidRPr="0047638B">
        <w:rPr>
          <w:rFonts w:asciiTheme="minorEastAsia" w:eastAsiaTheme="minorEastAsia" w:hAnsiTheme="minorEastAsia"/>
          <w:szCs w:val="24"/>
        </w:rPr>
        <w:t>“基金份额的申购与赎回”中的“（七）申购、赎回的费率”、“（八）申购和赎回的数额和价格”和“（十四）基金转换”中的相关规定。</w:t>
      </w:r>
    </w:p>
    <w:p w14:paraId="4E03FCB6" w14:textId="1D25CF92" w:rsidR="00E75142" w:rsidRPr="0047638B" w:rsidRDefault="00E7514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2、投资者通过本公司网上</w:t>
      </w:r>
      <w:r w:rsidR="00FD28B7" w:rsidRPr="0047638B">
        <w:rPr>
          <w:rFonts w:asciiTheme="minorEastAsia" w:eastAsiaTheme="minorEastAsia" w:hAnsiTheme="minorEastAsia"/>
          <w:szCs w:val="24"/>
        </w:rPr>
        <w:t>直销</w:t>
      </w:r>
      <w:r w:rsidRPr="0047638B">
        <w:rPr>
          <w:rFonts w:asciiTheme="minorEastAsia" w:eastAsiaTheme="minorEastAsia" w:hAnsiTheme="minorEastAsia" w:hint="eastAsia"/>
          <w:szCs w:val="24"/>
        </w:rPr>
        <w:t>系统（www.efunds.com.cn）进行申购、赎回和转换的交易费率，请具体参照我公司网站上的相关说明。</w:t>
      </w:r>
    </w:p>
    <w:p w14:paraId="0A02A31E" w14:textId="598954D4" w:rsidR="00E75142" w:rsidRPr="0047638B" w:rsidRDefault="00E7514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w:t>
      </w:r>
      <w:r w:rsidR="00F8417C" w:rsidRPr="0047638B">
        <w:rPr>
          <w:rFonts w:asciiTheme="minorEastAsia" w:eastAsiaTheme="minorEastAsia" w:hAnsiTheme="minorEastAsia" w:hint="eastAsia"/>
          <w:szCs w:val="24"/>
        </w:rPr>
        <w:t>基金管理人可以在基金合同规定的范围内调整上述费率。上述费率如发生变更，基金管理人应按照《信息披露办法》或其他相关规定于新的费率实施前在</w:t>
      </w:r>
      <w:r w:rsidR="00FD1973" w:rsidRPr="0047638B">
        <w:rPr>
          <w:rFonts w:asciiTheme="minorEastAsia" w:eastAsiaTheme="minorEastAsia" w:hAnsiTheme="minorEastAsia" w:hint="eastAsia"/>
          <w:szCs w:val="24"/>
        </w:rPr>
        <w:t>规定媒介</w:t>
      </w:r>
      <w:r w:rsidR="00F8417C" w:rsidRPr="0047638B">
        <w:rPr>
          <w:rFonts w:asciiTheme="minorEastAsia" w:eastAsiaTheme="minorEastAsia" w:hAnsiTheme="minorEastAsia" w:hint="eastAsia"/>
          <w:szCs w:val="24"/>
        </w:rPr>
        <w:t>公告。</w:t>
      </w:r>
    </w:p>
    <w:p w14:paraId="223876F0" w14:textId="77777777" w:rsidR="00E75142" w:rsidRPr="0047638B" w:rsidRDefault="00E75142"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6B37A223" w14:textId="77777777" w:rsidR="0022325E" w:rsidRPr="0047638B" w:rsidRDefault="0022325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（六）基金税收</w:t>
      </w:r>
    </w:p>
    <w:p w14:paraId="50540775" w14:textId="04883704" w:rsidR="00CE69CE" w:rsidRPr="0047638B" w:rsidRDefault="00C26E25"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本基金运作过程中涉及的各纳税主体，其纳税义务按国家税收法律、法规执行。</w:t>
      </w:r>
    </w:p>
    <w:p w14:paraId="67E87165" w14:textId="652F59D0" w:rsidR="00370EA3" w:rsidRPr="0047638B" w:rsidRDefault="00370EA3" w:rsidP="00631652">
      <w:pPr>
        <w:spacing w:line="360" w:lineRule="auto"/>
        <w:ind w:firstLineChars="200" w:firstLine="420"/>
        <w:rPr>
          <w:rFonts w:asciiTheme="minorEastAsia" w:eastAsiaTheme="minorEastAsia" w:hAnsiTheme="minorEastAsia"/>
          <w:szCs w:val="24"/>
        </w:rPr>
      </w:pPr>
    </w:p>
    <w:p w14:paraId="5B530DBA" w14:textId="77777777" w:rsidR="00E13C79" w:rsidRPr="0047638B" w:rsidRDefault="00E13C79" w:rsidP="00A536EA">
      <w:pPr>
        <w:spacing w:line="360" w:lineRule="auto"/>
        <w:ind w:firstLineChars="200" w:firstLine="420"/>
        <w:rPr>
          <w:rFonts w:asciiTheme="minorEastAsia" w:eastAsiaTheme="minorEastAsia" w:hAnsiTheme="minorEastAsia"/>
        </w:rPr>
      </w:pPr>
    </w:p>
    <w:p w14:paraId="1C4270D7" w14:textId="15D24EF7" w:rsidR="00E13C79" w:rsidRPr="0047638B" w:rsidRDefault="00A347C7" w:rsidP="00365038">
      <w:pPr>
        <w:pStyle w:val="11"/>
        <w:snapToGrid w:val="0"/>
        <w:spacing w:beforeLines="0" w:afterLines="0" w:line="360" w:lineRule="auto"/>
        <w:ind w:firstLine="600"/>
        <w:rPr>
          <w:rFonts w:asciiTheme="minorEastAsia" w:eastAsiaTheme="minorEastAsia" w:hAnsiTheme="minorEastAsia"/>
          <w:b w:val="0"/>
          <w:sz w:val="30"/>
        </w:rPr>
      </w:pPr>
      <w:bookmarkStart w:id="3606" w:name="_Toc77780006"/>
      <w:r w:rsidRPr="0047638B">
        <w:rPr>
          <w:rFonts w:asciiTheme="minorEastAsia" w:eastAsiaTheme="minorEastAsia" w:hAnsiTheme="minorEastAsia" w:hint="eastAsia"/>
          <w:b w:val="0"/>
          <w:sz w:val="30"/>
        </w:rPr>
        <w:lastRenderedPageBreak/>
        <w:t>十</w:t>
      </w:r>
      <w:r w:rsidR="002F757C" w:rsidRPr="0047638B">
        <w:rPr>
          <w:rFonts w:asciiTheme="minorEastAsia" w:eastAsiaTheme="minorEastAsia" w:hAnsiTheme="minorEastAsia" w:hint="eastAsia"/>
          <w:b w:val="0"/>
          <w:sz w:val="30"/>
        </w:rPr>
        <w:t>九</w:t>
      </w:r>
      <w:r w:rsidR="00AC4C1B" w:rsidRPr="0047638B">
        <w:rPr>
          <w:rFonts w:asciiTheme="minorEastAsia" w:eastAsiaTheme="minorEastAsia" w:hAnsiTheme="minorEastAsia"/>
          <w:b w:val="0"/>
          <w:sz w:val="30"/>
        </w:rPr>
        <w:t>、</w:t>
      </w:r>
      <w:r w:rsidR="00213FDF" w:rsidRPr="0047638B">
        <w:rPr>
          <w:rFonts w:asciiTheme="minorEastAsia" w:eastAsiaTheme="minorEastAsia" w:hAnsiTheme="minorEastAsia"/>
          <w:b w:val="0"/>
          <w:sz w:val="30"/>
        </w:rPr>
        <w:t>基金的会计和审计</w:t>
      </w:r>
      <w:bookmarkEnd w:id="3606"/>
    </w:p>
    <w:p w14:paraId="3BEF9A88" w14:textId="77777777" w:rsidR="00E13C79" w:rsidRPr="0047638B" w:rsidRDefault="00AC4C1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E13C79" w:rsidRPr="0047638B">
        <w:rPr>
          <w:rFonts w:asciiTheme="minorEastAsia" w:eastAsiaTheme="minorEastAsia" w:hAnsiTheme="minorEastAsia"/>
        </w:rPr>
        <w:t>基金</w:t>
      </w:r>
      <w:r w:rsidR="00213FDF" w:rsidRPr="0047638B">
        <w:rPr>
          <w:rFonts w:asciiTheme="minorEastAsia" w:eastAsiaTheme="minorEastAsia" w:hAnsiTheme="minorEastAsia"/>
        </w:rPr>
        <w:t>的</w:t>
      </w:r>
      <w:r w:rsidR="00E13C79" w:rsidRPr="0047638B">
        <w:rPr>
          <w:rFonts w:asciiTheme="minorEastAsia" w:eastAsiaTheme="minorEastAsia" w:hAnsiTheme="minorEastAsia"/>
        </w:rPr>
        <w:t>会计政策</w:t>
      </w:r>
    </w:p>
    <w:p w14:paraId="7208369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1、基金管理人为本基金的基金会计责任方；</w:t>
      </w:r>
    </w:p>
    <w:p w14:paraId="4023EB65" w14:textId="749D7C35"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2、基金的会计年度为公历年度的1月1日至12月31日；</w:t>
      </w:r>
    </w:p>
    <w:p w14:paraId="3D0A4AB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3、基金核算以人民币为记账本位币，以人民币元为记账单位；</w:t>
      </w:r>
    </w:p>
    <w:p w14:paraId="4EE25F0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4、会计制度执行国家有关会计制度；</w:t>
      </w:r>
    </w:p>
    <w:p w14:paraId="5D652B2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5、本基金独立建账、独立核算；</w:t>
      </w:r>
    </w:p>
    <w:p w14:paraId="0D3517D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6、基金管理人及基金托管人各自保留完整的会计账目、凭证并进行日常的会计核算，按照有关规定编制基金会计报表；</w:t>
      </w:r>
    </w:p>
    <w:p w14:paraId="48E04E13" w14:textId="77777777" w:rsidR="00AC4C1B" w:rsidRPr="0047638B" w:rsidRDefault="00E55FB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7、基金托管人每月与基金管理人就基金的会计核算、报表编制等进行核对并以托管协议约定方式确认。</w:t>
      </w:r>
    </w:p>
    <w:p w14:paraId="602006DE" w14:textId="77777777" w:rsidR="00AC4C1B" w:rsidRPr="0047638B" w:rsidRDefault="00AC4C1B"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（二）基金的</w:t>
      </w:r>
      <w:r w:rsidR="00776B06" w:rsidRPr="0047638B">
        <w:rPr>
          <w:rFonts w:asciiTheme="minorEastAsia" w:eastAsiaTheme="minorEastAsia" w:hAnsiTheme="minorEastAsia"/>
        </w:rPr>
        <w:t>年度</w:t>
      </w:r>
      <w:r w:rsidRPr="0047638B">
        <w:rPr>
          <w:rFonts w:asciiTheme="minorEastAsia" w:eastAsiaTheme="minorEastAsia" w:hAnsiTheme="minorEastAsia"/>
        </w:rPr>
        <w:t>审计</w:t>
      </w:r>
    </w:p>
    <w:p w14:paraId="47B455EE" w14:textId="3816AE0B"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1、基金管理人聘请与基金管理人、基金托管人相互独立的</w:t>
      </w:r>
      <w:r w:rsidR="008D34C9" w:rsidRPr="0047638B">
        <w:rPr>
          <w:rFonts w:asciiTheme="minorEastAsia" w:eastAsiaTheme="minorEastAsia" w:hAnsiTheme="minorEastAsia" w:hint="eastAsia"/>
          <w:bCs/>
          <w:szCs w:val="21"/>
        </w:rPr>
        <w:t>符合《证券法》规定</w:t>
      </w:r>
      <w:r w:rsidRPr="0047638B">
        <w:rPr>
          <w:rFonts w:asciiTheme="minorEastAsia" w:eastAsiaTheme="minorEastAsia" w:hAnsiTheme="minorEastAsia"/>
          <w:szCs w:val="24"/>
        </w:rPr>
        <w:t>的会计师事务所及其注册会计师对本基金的年度财务报表进行审计。</w:t>
      </w:r>
    </w:p>
    <w:p w14:paraId="6C5158C9" w14:textId="77777777" w:rsidR="00DD18D9" w:rsidRPr="0047638B" w:rsidRDefault="00561038">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2、会计师事务所更换经办注册会计师，应事先征得基金管理人同意。</w:t>
      </w:r>
    </w:p>
    <w:p w14:paraId="07C8023F" w14:textId="591FB2FD" w:rsidR="00E13C79" w:rsidRPr="0047638B" w:rsidRDefault="00E55FB7"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3、基金管理人认为有充足理由更换会计师事务所，须通报基金托管人。更换会计师事务所需在2日内在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公告。</w:t>
      </w:r>
      <w:r w:rsidR="003B64E0" w:rsidRPr="0047638B">
        <w:rPr>
          <w:rFonts w:asciiTheme="minorEastAsia" w:eastAsiaTheme="minorEastAsia" w:hAnsiTheme="minorEastAsia"/>
        </w:rPr>
        <w:br w:type="page"/>
      </w:r>
    </w:p>
    <w:p w14:paraId="1F0ADBAB" w14:textId="5039E180" w:rsidR="00E13C79" w:rsidRPr="0047638B" w:rsidRDefault="002F757C" w:rsidP="00365038">
      <w:pPr>
        <w:pStyle w:val="11"/>
        <w:snapToGrid w:val="0"/>
        <w:spacing w:beforeLines="0" w:afterLines="0" w:line="360" w:lineRule="auto"/>
        <w:ind w:firstLine="600"/>
        <w:rPr>
          <w:rFonts w:asciiTheme="minorEastAsia" w:eastAsiaTheme="minorEastAsia" w:hAnsiTheme="minorEastAsia"/>
          <w:b w:val="0"/>
          <w:sz w:val="30"/>
        </w:rPr>
      </w:pPr>
      <w:bookmarkStart w:id="3607" w:name="_Toc77780007"/>
      <w:r w:rsidRPr="0047638B">
        <w:rPr>
          <w:rFonts w:asciiTheme="minorEastAsia" w:eastAsiaTheme="minorEastAsia" w:hAnsiTheme="minorEastAsia"/>
          <w:b w:val="0"/>
          <w:sz w:val="30"/>
        </w:rPr>
        <w:lastRenderedPageBreak/>
        <w:t>二十</w:t>
      </w:r>
      <w:r w:rsidR="003B64E0"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基金的信息披露</w:t>
      </w:r>
      <w:bookmarkEnd w:id="3607"/>
    </w:p>
    <w:p w14:paraId="7E99EC1C"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（一）信息披露的基本要求</w:t>
      </w:r>
    </w:p>
    <w:p w14:paraId="7203E8D4" w14:textId="77777777" w:rsidR="008B04B8" w:rsidRPr="0047638B" w:rsidRDefault="009C2BD8"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本基金的信息披露应符合《基金法》、《运作办法》、《信息披露办法》、《基金合同》及其他有关规定。相关法律法规关于信息披露的披露方式、登载媒介、报备方式等规定发生变化时，本基金从其最新规定。</w:t>
      </w:r>
    </w:p>
    <w:p w14:paraId="1B07F432"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（二）信息披露义务人</w:t>
      </w:r>
    </w:p>
    <w:p w14:paraId="1B2FDA4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本基金信息披露义务人包括基金管理人、基金托管人、召集基金份额持有人大会的基金份额持有人等法律</w:t>
      </w:r>
      <w:r w:rsidR="00E80CE3" w:rsidRPr="0047638B">
        <w:rPr>
          <w:rFonts w:asciiTheme="minorEastAsia" w:eastAsiaTheme="minorEastAsia" w:hAnsiTheme="minorEastAsia" w:hint="eastAsia"/>
          <w:szCs w:val="24"/>
        </w:rPr>
        <w:t>、行政</w:t>
      </w:r>
      <w:r w:rsidRPr="0047638B">
        <w:rPr>
          <w:rFonts w:asciiTheme="minorEastAsia" w:eastAsiaTheme="minorEastAsia" w:hAnsiTheme="minorEastAsia"/>
          <w:szCs w:val="24"/>
        </w:rPr>
        <w:t>法规和中国证监会规定的自然人、法人和</w:t>
      </w:r>
      <w:r w:rsidR="00E80CE3" w:rsidRPr="0047638B">
        <w:rPr>
          <w:rFonts w:asciiTheme="minorEastAsia" w:eastAsiaTheme="minorEastAsia" w:hAnsiTheme="minorEastAsia" w:hint="eastAsia"/>
          <w:szCs w:val="24"/>
        </w:rPr>
        <w:t>非法人</w:t>
      </w:r>
      <w:r w:rsidRPr="0047638B">
        <w:rPr>
          <w:rFonts w:asciiTheme="minorEastAsia" w:eastAsiaTheme="minorEastAsia" w:hAnsiTheme="minorEastAsia"/>
          <w:szCs w:val="24"/>
        </w:rPr>
        <w:t>组织。</w:t>
      </w:r>
    </w:p>
    <w:p w14:paraId="15D5FE3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本基金信息披露义务人</w:t>
      </w:r>
      <w:r w:rsidR="00E80CE3" w:rsidRPr="0047638B">
        <w:rPr>
          <w:rFonts w:asciiTheme="minorEastAsia" w:eastAsiaTheme="minorEastAsia" w:hAnsiTheme="minorEastAsia" w:hint="eastAsia"/>
          <w:szCs w:val="24"/>
        </w:rPr>
        <w:t>以保护基金份额持有人利益为根本出发点，</w:t>
      </w:r>
      <w:r w:rsidRPr="0047638B">
        <w:rPr>
          <w:rFonts w:asciiTheme="minorEastAsia" w:eastAsiaTheme="minorEastAsia" w:hAnsiTheme="minorEastAsia"/>
          <w:szCs w:val="24"/>
        </w:rPr>
        <w:t>按照法律法规和中国证监会的规定披露基金信息，并保证所披露信息的真实性、准确性</w:t>
      </w:r>
      <w:r w:rsidR="00E80CE3"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完整性</w:t>
      </w:r>
      <w:r w:rsidR="00E80CE3" w:rsidRPr="0047638B">
        <w:rPr>
          <w:rFonts w:asciiTheme="minorEastAsia" w:eastAsiaTheme="minorEastAsia" w:hAnsiTheme="minorEastAsia" w:hint="eastAsia"/>
          <w:szCs w:val="24"/>
        </w:rPr>
        <w:t>、及时性、简明性和易得性</w:t>
      </w:r>
      <w:r w:rsidRPr="0047638B">
        <w:rPr>
          <w:rFonts w:asciiTheme="minorEastAsia" w:eastAsiaTheme="minorEastAsia" w:hAnsiTheme="minorEastAsia"/>
          <w:szCs w:val="24"/>
        </w:rPr>
        <w:t>。</w:t>
      </w:r>
    </w:p>
    <w:p w14:paraId="4D8703DC" w14:textId="0AA2D42E" w:rsidR="006217B6" w:rsidRPr="0047638B" w:rsidRDefault="00E55FB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本基金信息披露义务人应当在中国证监会规定时间内，将应予披露的基金信息通过中国证监会</w:t>
      </w:r>
      <w:r w:rsidR="008D34C9" w:rsidRPr="0047638B">
        <w:rPr>
          <w:rFonts w:asciiTheme="minorEastAsia" w:eastAsiaTheme="minorEastAsia" w:hAnsiTheme="minorEastAsia"/>
          <w:szCs w:val="24"/>
        </w:rPr>
        <w:t>规定</w:t>
      </w:r>
      <w:r w:rsidRPr="0047638B">
        <w:rPr>
          <w:rFonts w:asciiTheme="minorEastAsia" w:eastAsiaTheme="minorEastAsia" w:hAnsiTheme="minorEastAsia"/>
          <w:szCs w:val="24"/>
        </w:rPr>
        <w:t>媒介披露，并保证基金投资者能够按照《基金合同》约定的时间和方式查阅或者复制公开披露的信息资料。</w:t>
      </w:r>
    </w:p>
    <w:p w14:paraId="4FABF460"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（三）信息披露义务人公开披露基金信息的禁止行为</w:t>
      </w:r>
    </w:p>
    <w:p w14:paraId="12CADE7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本基金信息披露义务人承诺公开披露的基金信息，不得有下列行为：</w:t>
      </w:r>
    </w:p>
    <w:p w14:paraId="0BC5620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1、虚假记载、误导性陈述或者重大遗漏；</w:t>
      </w:r>
    </w:p>
    <w:p w14:paraId="2E4EAED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2、对证券投资业绩进行预测；</w:t>
      </w:r>
    </w:p>
    <w:p w14:paraId="1B96311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3、违规承诺收益或者承担损失；</w:t>
      </w:r>
    </w:p>
    <w:p w14:paraId="6BE6280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4、诋毁其他基金管理人、基金托管人或者基金销售机构；</w:t>
      </w:r>
    </w:p>
    <w:p w14:paraId="779A8B3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5、登载任何自然人、法人</w:t>
      </w:r>
      <w:r w:rsidR="00E80CE3" w:rsidRPr="0047638B">
        <w:rPr>
          <w:rFonts w:asciiTheme="minorEastAsia" w:eastAsiaTheme="minorEastAsia" w:hAnsiTheme="minorEastAsia"/>
          <w:szCs w:val="24"/>
        </w:rPr>
        <w:t>和</w:t>
      </w:r>
      <w:r w:rsidR="00E80CE3" w:rsidRPr="0047638B">
        <w:rPr>
          <w:rFonts w:asciiTheme="minorEastAsia" w:eastAsiaTheme="minorEastAsia" w:hAnsiTheme="minorEastAsia" w:hint="eastAsia"/>
          <w:szCs w:val="24"/>
        </w:rPr>
        <w:t>非法人</w:t>
      </w:r>
      <w:r w:rsidRPr="0047638B">
        <w:rPr>
          <w:rFonts w:asciiTheme="minorEastAsia" w:eastAsiaTheme="minorEastAsia" w:hAnsiTheme="minorEastAsia"/>
          <w:szCs w:val="24"/>
        </w:rPr>
        <w:t>组织的祝贺性、恭维性或推荐性的文字；</w:t>
      </w:r>
    </w:p>
    <w:p w14:paraId="7EDC257B" w14:textId="77777777" w:rsidR="008B04B8" w:rsidRPr="0047638B" w:rsidRDefault="00E55FB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6、中国证监会禁止的其他行为。</w:t>
      </w:r>
    </w:p>
    <w:p w14:paraId="5E96D1CC"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（四）信息披露文本规范</w:t>
      </w:r>
    </w:p>
    <w:p w14:paraId="5AFB7186"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本基金公开披露的信息应采用中文文本。如同时采用外文文本的，基金信息披露义务人应保证</w:t>
      </w:r>
      <w:r w:rsidR="00E80CE3" w:rsidRPr="0047638B">
        <w:rPr>
          <w:rFonts w:asciiTheme="minorEastAsia" w:eastAsiaTheme="minorEastAsia" w:hAnsiTheme="minorEastAsia" w:hint="eastAsia"/>
          <w:szCs w:val="24"/>
        </w:rPr>
        <w:t>不同</w:t>
      </w:r>
      <w:r w:rsidRPr="0047638B">
        <w:rPr>
          <w:rFonts w:asciiTheme="minorEastAsia" w:eastAsiaTheme="minorEastAsia" w:hAnsiTheme="minorEastAsia"/>
          <w:szCs w:val="24"/>
        </w:rPr>
        <w:t>文本的内容一致。</w:t>
      </w:r>
      <w:r w:rsidR="00E80CE3" w:rsidRPr="0047638B">
        <w:rPr>
          <w:rFonts w:asciiTheme="minorEastAsia" w:eastAsiaTheme="minorEastAsia" w:hAnsiTheme="minorEastAsia" w:hint="eastAsia"/>
          <w:szCs w:val="24"/>
        </w:rPr>
        <w:t>不同</w:t>
      </w:r>
      <w:r w:rsidRPr="0047638B">
        <w:rPr>
          <w:rFonts w:asciiTheme="minorEastAsia" w:eastAsiaTheme="minorEastAsia" w:hAnsiTheme="minorEastAsia"/>
          <w:szCs w:val="24"/>
        </w:rPr>
        <w:t>文本</w:t>
      </w:r>
      <w:r w:rsidR="00E80CE3" w:rsidRPr="0047638B">
        <w:rPr>
          <w:rFonts w:asciiTheme="minorEastAsia" w:eastAsiaTheme="minorEastAsia" w:hAnsiTheme="minorEastAsia" w:hint="eastAsia"/>
          <w:szCs w:val="24"/>
        </w:rPr>
        <w:t>之间</w:t>
      </w:r>
      <w:r w:rsidRPr="0047638B">
        <w:rPr>
          <w:rFonts w:asciiTheme="minorEastAsia" w:eastAsiaTheme="minorEastAsia" w:hAnsiTheme="minorEastAsia"/>
          <w:szCs w:val="24"/>
        </w:rPr>
        <w:t>发生歧义的，以中文文本为准。</w:t>
      </w:r>
    </w:p>
    <w:p w14:paraId="7B3F0987" w14:textId="77777777" w:rsidR="008B04B8" w:rsidRPr="0047638B" w:rsidRDefault="00E55FB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本基金公开披露的信息采用阿拉伯数字；除特别说明外，货币单位为人民币元。</w:t>
      </w:r>
    </w:p>
    <w:p w14:paraId="3C5D76CE"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（五）公开披露的基金信息</w:t>
      </w:r>
    </w:p>
    <w:p w14:paraId="68A392E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公开披露的基金信息包括：</w:t>
      </w:r>
    </w:p>
    <w:p w14:paraId="664882F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1、《招募说明书》、《基金合同》、《托管协议》</w:t>
      </w:r>
      <w:r w:rsidR="00E80CE3" w:rsidRPr="0047638B">
        <w:rPr>
          <w:rFonts w:asciiTheme="minorEastAsia" w:eastAsiaTheme="minorEastAsia" w:hAnsiTheme="minorEastAsia" w:hint="eastAsia"/>
          <w:szCs w:val="24"/>
        </w:rPr>
        <w:t>、基金产品资料概要</w:t>
      </w:r>
    </w:p>
    <w:p w14:paraId="06D5E52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（1）《基金合同》是界定《基金合同》当事人的各项权利、义务关系，明确基金份额持有人大会召开的规则及具体程序，说明基金产品的特性等涉及基金投资者重大利益的事项的法律文件。</w:t>
      </w:r>
    </w:p>
    <w:p w14:paraId="56C5AAD7" w14:textId="1860751E"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（2）基金《招募说明书》应当最大限度地披露影响基金投资者决策的全部事项，说明基金申购和赎回安排、基金投资、基金产品特性、风险揭示、信息披露及基金份额持有人服务等内容。</w:t>
      </w:r>
      <w:r w:rsidR="00E80CE3" w:rsidRPr="0047638B">
        <w:rPr>
          <w:rFonts w:asciiTheme="minorEastAsia" w:eastAsiaTheme="minorEastAsia" w:hAnsiTheme="minorEastAsia" w:hint="eastAsia"/>
          <w:szCs w:val="24"/>
        </w:rPr>
        <w:t>基金合同生效后，基金招募说明书的信息发生重大变更的，基金管理人应当在三个工作日内，更新基金招募说明书并登载在</w:t>
      </w:r>
      <w:r w:rsidR="008D34C9" w:rsidRPr="0047638B">
        <w:rPr>
          <w:rFonts w:asciiTheme="minorEastAsia" w:eastAsiaTheme="minorEastAsia" w:hAnsiTheme="minorEastAsia" w:hint="eastAsia"/>
          <w:szCs w:val="24"/>
        </w:rPr>
        <w:t>规定</w:t>
      </w:r>
      <w:r w:rsidR="00E80CE3" w:rsidRPr="0047638B">
        <w:rPr>
          <w:rFonts w:asciiTheme="minorEastAsia" w:eastAsiaTheme="minorEastAsia" w:hAnsiTheme="minorEastAsia" w:hint="eastAsia"/>
          <w:szCs w:val="24"/>
        </w:rPr>
        <w:t>网站上；基金招募说明书其他信息发生变更的，基金管理人至少每年更新一次。基金终止运作的，基金管理人不再更新基金招募说明书。</w:t>
      </w:r>
    </w:p>
    <w:p w14:paraId="7837DC7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（3）基金托管协议是界定基金托管人和基金管理人在基金财产保管及基金运作监督等活动中的权利、义务关系的法律文件。</w:t>
      </w:r>
    </w:p>
    <w:p w14:paraId="680CC76A" w14:textId="410E55DE" w:rsidR="00DD18D9" w:rsidRPr="0047638B" w:rsidRDefault="00E80CE3" w:rsidP="008A6BA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D34C9" w:rsidRPr="0047638B">
        <w:rPr>
          <w:rFonts w:asciiTheme="minorEastAsia" w:eastAsiaTheme="minorEastAsia" w:hAnsiTheme="minorEastAsia" w:hint="eastAsia"/>
          <w:szCs w:val="24"/>
        </w:rPr>
        <w:t>规定</w:t>
      </w:r>
      <w:r w:rsidRPr="0047638B">
        <w:rPr>
          <w:rFonts w:asciiTheme="minorEastAsia" w:eastAsiaTheme="minorEastAsia" w:hAnsiTheme="minorEastAsia" w:hint="eastAsia"/>
          <w:szCs w:val="24"/>
        </w:rPr>
        <w:t>网站及基金销售机构网站或营业网点；基金产品资料概要其他信息发生变更的，基金管理人至少每年更新一次。基金终止运作的，基金管理人不再更新基金产品资料概要。</w:t>
      </w:r>
    </w:p>
    <w:p w14:paraId="71FF9009" w14:textId="206F9FDE" w:rsidR="00E80CE3" w:rsidRPr="0047638B" w:rsidRDefault="008D34C9"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561038" w:rsidRPr="0047638B">
        <w:rPr>
          <w:rFonts w:asciiTheme="minorEastAsia" w:eastAsiaTheme="minorEastAsia" w:hAnsiTheme="minorEastAsia"/>
          <w:szCs w:val="24"/>
        </w:rPr>
        <w:t>、</w:t>
      </w:r>
      <w:r w:rsidR="00E80CE3" w:rsidRPr="0047638B">
        <w:rPr>
          <w:rFonts w:asciiTheme="minorEastAsia" w:eastAsiaTheme="minorEastAsia" w:hAnsiTheme="minorEastAsia" w:hint="eastAsia"/>
          <w:szCs w:val="24"/>
        </w:rPr>
        <w:t>基金净值信息</w:t>
      </w:r>
    </w:p>
    <w:p w14:paraId="32B58252" w14:textId="2F5A2FCA"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在开始办理基金份额申购或者赎回后，基金管理人应当在不晚于每个开放日的次日，通过规定网站、基金销售机构网站或者营业网点披露开放日的</w:t>
      </w:r>
      <w:r w:rsidR="00674A95" w:rsidRPr="0047638B">
        <w:rPr>
          <w:rFonts w:asciiTheme="minorEastAsia" w:eastAsiaTheme="minorEastAsia" w:hAnsiTheme="minorEastAsia" w:hint="eastAsia"/>
          <w:szCs w:val="24"/>
        </w:rPr>
        <w:t>各类</w:t>
      </w:r>
      <w:r w:rsidRPr="0047638B">
        <w:rPr>
          <w:rFonts w:asciiTheme="minorEastAsia" w:eastAsiaTheme="minorEastAsia" w:hAnsiTheme="minorEastAsia" w:hint="eastAsia"/>
          <w:szCs w:val="24"/>
        </w:rPr>
        <w:t>基金份额净值和基金份额累计净值。</w:t>
      </w:r>
    </w:p>
    <w:p w14:paraId="3E041C60" w14:textId="31E81AEC" w:rsidR="00DD18D9" w:rsidRPr="0047638B" w:rsidRDefault="008D34C9"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基金管理人应当在不晚于半年度和年度最后一日的次日，在规定网站披露半年度和年度最后一日的</w:t>
      </w:r>
      <w:r w:rsidR="00674A95" w:rsidRPr="0047638B">
        <w:rPr>
          <w:rFonts w:asciiTheme="minorEastAsia" w:eastAsiaTheme="minorEastAsia" w:hAnsiTheme="minorEastAsia" w:hint="eastAsia"/>
          <w:szCs w:val="24"/>
        </w:rPr>
        <w:t>各类</w:t>
      </w:r>
      <w:r w:rsidRPr="0047638B">
        <w:rPr>
          <w:rFonts w:asciiTheme="minorEastAsia" w:eastAsiaTheme="minorEastAsia" w:hAnsiTheme="minorEastAsia" w:hint="eastAsia"/>
          <w:szCs w:val="24"/>
        </w:rPr>
        <w:t>基金份额净值和基金份额累计净值。</w:t>
      </w:r>
    </w:p>
    <w:p w14:paraId="3EC15CA7" w14:textId="7FBAA530" w:rsidR="00DD18D9" w:rsidRPr="0047638B" w:rsidRDefault="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w:t>
      </w:r>
      <w:r w:rsidR="00561038" w:rsidRPr="0047638B">
        <w:rPr>
          <w:rFonts w:asciiTheme="minorEastAsia" w:eastAsiaTheme="minorEastAsia" w:hAnsiTheme="minorEastAsia"/>
          <w:szCs w:val="24"/>
        </w:rPr>
        <w:t>、基金份额申购、赎回价格</w:t>
      </w:r>
    </w:p>
    <w:p w14:paraId="1B0C3AF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基金管理人应当在《基金合同》、《招募说明书》等信息披露文件上载明基金份额申购、赎回价格的计算方式及有关申购、赎回费率，并保证投资者能够在基金</w:t>
      </w:r>
      <w:r w:rsidR="00E80CE3" w:rsidRPr="0047638B">
        <w:rPr>
          <w:rFonts w:asciiTheme="minorEastAsia" w:eastAsiaTheme="minorEastAsia" w:hAnsiTheme="minorEastAsia" w:hint="eastAsia"/>
          <w:szCs w:val="24"/>
        </w:rPr>
        <w:t>销售机构网站或营业</w:t>
      </w:r>
      <w:r w:rsidRPr="0047638B">
        <w:rPr>
          <w:rFonts w:asciiTheme="minorEastAsia" w:eastAsiaTheme="minorEastAsia" w:hAnsiTheme="minorEastAsia"/>
          <w:szCs w:val="24"/>
        </w:rPr>
        <w:t>网点查阅或者复制前述信息资料。</w:t>
      </w:r>
    </w:p>
    <w:p w14:paraId="3F3F4729" w14:textId="36602FAE" w:rsidR="00DD18D9" w:rsidRPr="0047638B" w:rsidRDefault="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w:t>
      </w:r>
      <w:r w:rsidR="00561038" w:rsidRPr="0047638B">
        <w:rPr>
          <w:rFonts w:asciiTheme="minorEastAsia" w:eastAsiaTheme="minorEastAsia" w:hAnsiTheme="minorEastAsia"/>
          <w:szCs w:val="24"/>
        </w:rPr>
        <w:t>、基金定期报告，包括基金年度报告、基金</w:t>
      </w:r>
      <w:r w:rsidR="00E80CE3" w:rsidRPr="0047638B">
        <w:rPr>
          <w:rFonts w:asciiTheme="minorEastAsia" w:eastAsiaTheme="minorEastAsia" w:hAnsiTheme="minorEastAsia" w:hint="eastAsia"/>
          <w:szCs w:val="24"/>
        </w:rPr>
        <w:t>中期</w:t>
      </w:r>
      <w:r w:rsidR="00561038" w:rsidRPr="0047638B">
        <w:rPr>
          <w:rFonts w:asciiTheme="minorEastAsia" w:eastAsiaTheme="minorEastAsia" w:hAnsiTheme="minorEastAsia"/>
          <w:szCs w:val="24"/>
        </w:rPr>
        <w:t>报告和基金季度报告</w:t>
      </w:r>
    </w:p>
    <w:p w14:paraId="7999CE87" w14:textId="6A6EF5F9"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基金管理人应当在每年结束之日起三个月内，编制完成基金年度报告，将年度报告登载在</w:t>
      </w:r>
      <w:r w:rsidR="008D34C9" w:rsidRPr="0047638B">
        <w:rPr>
          <w:rFonts w:asciiTheme="minorEastAsia" w:eastAsiaTheme="minorEastAsia" w:hAnsiTheme="minorEastAsia" w:hint="eastAsia"/>
          <w:szCs w:val="24"/>
        </w:rPr>
        <w:t>规定网站</w:t>
      </w:r>
      <w:r w:rsidRPr="0047638B">
        <w:rPr>
          <w:rFonts w:asciiTheme="minorEastAsia" w:eastAsiaTheme="minorEastAsia" w:hAnsiTheme="minorEastAsia" w:hint="eastAsia"/>
          <w:szCs w:val="24"/>
        </w:rPr>
        <w:t>上，并将年度报告提示性公告登载在</w:t>
      </w:r>
      <w:r w:rsidR="008D34C9" w:rsidRPr="0047638B">
        <w:rPr>
          <w:rFonts w:asciiTheme="minorEastAsia" w:eastAsiaTheme="minorEastAsia" w:hAnsiTheme="minorEastAsia" w:hint="eastAsia"/>
          <w:szCs w:val="24"/>
        </w:rPr>
        <w:t>规定报刊</w:t>
      </w:r>
      <w:r w:rsidRPr="0047638B">
        <w:rPr>
          <w:rFonts w:asciiTheme="minorEastAsia" w:eastAsiaTheme="minorEastAsia" w:hAnsiTheme="minorEastAsia" w:hint="eastAsia"/>
          <w:szCs w:val="24"/>
        </w:rPr>
        <w:t>上。基金年度报告中的财务会计报告应当经过</w:t>
      </w:r>
      <w:r w:rsidR="008D34C9" w:rsidRPr="0047638B">
        <w:rPr>
          <w:rFonts w:asciiTheme="minorEastAsia" w:eastAsiaTheme="minorEastAsia" w:hAnsiTheme="minorEastAsia" w:hint="eastAsia"/>
          <w:szCs w:val="24"/>
        </w:rPr>
        <w:t>符合《证券法》规定</w:t>
      </w:r>
      <w:r w:rsidRPr="0047638B">
        <w:rPr>
          <w:rFonts w:asciiTheme="minorEastAsia" w:eastAsiaTheme="minorEastAsia" w:hAnsiTheme="minorEastAsia" w:hint="eastAsia"/>
          <w:szCs w:val="24"/>
        </w:rPr>
        <w:t>的会计师事务所审计。</w:t>
      </w:r>
    </w:p>
    <w:p w14:paraId="1C94FAB2" w14:textId="3966D363"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基金管理人应当在上半年结束之日起两个月内，编制完成基金中期报告，将中期报告登</w:t>
      </w:r>
      <w:r w:rsidRPr="0047638B">
        <w:rPr>
          <w:rFonts w:asciiTheme="minorEastAsia" w:eastAsiaTheme="minorEastAsia" w:hAnsiTheme="minorEastAsia" w:hint="eastAsia"/>
          <w:szCs w:val="24"/>
        </w:rPr>
        <w:lastRenderedPageBreak/>
        <w:t>载在</w:t>
      </w:r>
      <w:r w:rsidR="008D34C9" w:rsidRPr="0047638B">
        <w:rPr>
          <w:rFonts w:asciiTheme="minorEastAsia" w:eastAsiaTheme="minorEastAsia" w:hAnsiTheme="minorEastAsia" w:hint="eastAsia"/>
          <w:szCs w:val="24"/>
        </w:rPr>
        <w:t>规定网站</w:t>
      </w:r>
      <w:r w:rsidRPr="0047638B">
        <w:rPr>
          <w:rFonts w:asciiTheme="minorEastAsia" w:eastAsiaTheme="minorEastAsia" w:hAnsiTheme="minorEastAsia" w:hint="eastAsia"/>
          <w:szCs w:val="24"/>
        </w:rPr>
        <w:t>上，并将中期报告提示性公告登载在</w:t>
      </w:r>
      <w:r w:rsidR="008D34C9" w:rsidRPr="0047638B">
        <w:rPr>
          <w:rFonts w:asciiTheme="minorEastAsia" w:eastAsiaTheme="minorEastAsia" w:hAnsiTheme="minorEastAsia" w:hint="eastAsia"/>
          <w:szCs w:val="24"/>
        </w:rPr>
        <w:t>规定报刊</w:t>
      </w:r>
      <w:r w:rsidRPr="0047638B">
        <w:rPr>
          <w:rFonts w:asciiTheme="minorEastAsia" w:eastAsiaTheme="minorEastAsia" w:hAnsiTheme="minorEastAsia" w:hint="eastAsia"/>
          <w:szCs w:val="24"/>
        </w:rPr>
        <w:t>上。</w:t>
      </w:r>
    </w:p>
    <w:p w14:paraId="1A6236A3" w14:textId="785532E7" w:rsidR="00DD18D9" w:rsidRPr="0047638B" w:rsidRDefault="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基金管理人应当在季度结束之日起15个工作日内，编制完成基金季度报告，将季度报告登载在</w:t>
      </w:r>
      <w:r w:rsidR="008D34C9" w:rsidRPr="0047638B">
        <w:rPr>
          <w:rFonts w:asciiTheme="minorEastAsia" w:eastAsiaTheme="minorEastAsia" w:hAnsiTheme="minorEastAsia" w:hint="eastAsia"/>
          <w:szCs w:val="24"/>
        </w:rPr>
        <w:t>规定网站</w:t>
      </w:r>
      <w:r w:rsidRPr="0047638B">
        <w:rPr>
          <w:rFonts w:asciiTheme="minorEastAsia" w:eastAsiaTheme="minorEastAsia" w:hAnsiTheme="minorEastAsia" w:hint="eastAsia"/>
          <w:szCs w:val="24"/>
        </w:rPr>
        <w:t>上，并将季度报告提示性公告登载在</w:t>
      </w:r>
      <w:r w:rsidR="008D34C9" w:rsidRPr="0047638B">
        <w:rPr>
          <w:rFonts w:asciiTheme="minorEastAsia" w:eastAsiaTheme="minorEastAsia" w:hAnsiTheme="minorEastAsia" w:hint="eastAsia"/>
          <w:szCs w:val="24"/>
        </w:rPr>
        <w:t>规定报刊</w:t>
      </w:r>
      <w:r w:rsidRPr="0047638B">
        <w:rPr>
          <w:rFonts w:asciiTheme="minorEastAsia" w:eastAsiaTheme="minorEastAsia" w:hAnsiTheme="minorEastAsia" w:hint="eastAsia"/>
          <w:szCs w:val="24"/>
        </w:rPr>
        <w:t>上。</w:t>
      </w:r>
    </w:p>
    <w:p w14:paraId="014F5095" w14:textId="77777777" w:rsidR="00FC7701"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报告期内出现单一投资者持有基金份额比例达到或超过20%的情形，基金管理人应当在季度报告、</w:t>
      </w:r>
      <w:r w:rsidR="00E80CE3" w:rsidRPr="0047638B">
        <w:rPr>
          <w:rFonts w:asciiTheme="minorEastAsia" w:eastAsiaTheme="minorEastAsia" w:hAnsiTheme="minorEastAsia" w:hint="eastAsia"/>
          <w:szCs w:val="24"/>
        </w:rPr>
        <w:t>中期</w:t>
      </w:r>
      <w:r w:rsidRPr="0047638B">
        <w:rPr>
          <w:rFonts w:asciiTheme="minorEastAsia" w:eastAsiaTheme="minorEastAsia" w:hAnsiTheme="minorEastAsia" w:hint="eastAsia"/>
          <w:szCs w:val="24"/>
        </w:rPr>
        <w:t>报告、年度报告等定期报告文件中披露该投资者的类别、报告期末持有份额及占比、报告期内持有份额变化情况及产品的特有风险，中国证监会认定的特殊情形除外。</w:t>
      </w:r>
    </w:p>
    <w:p w14:paraId="5AD32278" w14:textId="77777777" w:rsidR="00FC7701" w:rsidRPr="0047638B" w:rsidRDefault="00FC7701"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基金管理人应当在基金年度报告和</w:t>
      </w:r>
      <w:r w:rsidR="00E80CE3" w:rsidRPr="0047638B">
        <w:rPr>
          <w:rFonts w:asciiTheme="minorEastAsia" w:eastAsiaTheme="minorEastAsia" w:hAnsiTheme="minorEastAsia" w:hint="eastAsia"/>
          <w:szCs w:val="24"/>
        </w:rPr>
        <w:t>中期</w:t>
      </w:r>
      <w:r w:rsidRPr="0047638B">
        <w:rPr>
          <w:rFonts w:asciiTheme="minorEastAsia" w:eastAsiaTheme="minorEastAsia" w:hAnsiTheme="minorEastAsia" w:hint="eastAsia"/>
          <w:szCs w:val="24"/>
        </w:rPr>
        <w:t>报告中披露基金组合资产情况及其流动性风险分析等。</w:t>
      </w:r>
    </w:p>
    <w:p w14:paraId="70DE343A" w14:textId="4C010E7D" w:rsidR="00DD18D9" w:rsidRPr="0047638B" w:rsidRDefault="008D34C9"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w:t>
      </w:r>
      <w:r w:rsidR="00561038" w:rsidRPr="0047638B">
        <w:rPr>
          <w:rFonts w:asciiTheme="minorEastAsia" w:eastAsiaTheme="minorEastAsia" w:hAnsiTheme="minorEastAsia"/>
          <w:szCs w:val="24"/>
        </w:rPr>
        <w:t>、临时报告</w:t>
      </w:r>
    </w:p>
    <w:p w14:paraId="17868A30" w14:textId="0F1EE229"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本基金发生重大事件，有关信息披露义务人应当在2日内编制临时报告书，</w:t>
      </w:r>
      <w:r w:rsidR="00E80CE3" w:rsidRPr="0047638B">
        <w:rPr>
          <w:rFonts w:asciiTheme="minorEastAsia" w:eastAsiaTheme="minorEastAsia" w:hAnsiTheme="minorEastAsia" w:hint="eastAsia"/>
          <w:szCs w:val="24"/>
        </w:rPr>
        <w:t>并登载在</w:t>
      </w:r>
      <w:r w:rsidR="008D34C9" w:rsidRPr="0047638B">
        <w:rPr>
          <w:rFonts w:asciiTheme="minorEastAsia" w:eastAsiaTheme="minorEastAsia" w:hAnsiTheme="minorEastAsia" w:hint="eastAsia"/>
          <w:szCs w:val="24"/>
        </w:rPr>
        <w:t>规定报刊</w:t>
      </w:r>
      <w:r w:rsidR="00E80CE3" w:rsidRPr="0047638B">
        <w:rPr>
          <w:rFonts w:asciiTheme="minorEastAsia" w:eastAsiaTheme="minorEastAsia" w:hAnsiTheme="minorEastAsia" w:hint="eastAsia"/>
          <w:szCs w:val="24"/>
        </w:rPr>
        <w:t>和</w:t>
      </w:r>
      <w:r w:rsidR="008D34C9" w:rsidRPr="0047638B">
        <w:rPr>
          <w:rFonts w:asciiTheme="minorEastAsia" w:eastAsiaTheme="minorEastAsia" w:hAnsiTheme="minorEastAsia" w:hint="eastAsia"/>
          <w:szCs w:val="24"/>
        </w:rPr>
        <w:t>规定网站</w:t>
      </w:r>
      <w:r w:rsidR="00E80CE3" w:rsidRPr="0047638B">
        <w:rPr>
          <w:rFonts w:asciiTheme="minorEastAsia" w:eastAsiaTheme="minorEastAsia" w:hAnsiTheme="minorEastAsia" w:hint="eastAsia"/>
          <w:szCs w:val="24"/>
        </w:rPr>
        <w:t>上</w:t>
      </w:r>
      <w:r w:rsidRPr="0047638B">
        <w:rPr>
          <w:rFonts w:asciiTheme="minorEastAsia" w:eastAsiaTheme="minorEastAsia" w:hAnsiTheme="minorEastAsia"/>
          <w:szCs w:val="24"/>
        </w:rPr>
        <w:t>。</w:t>
      </w:r>
    </w:p>
    <w:p w14:paraId="1F70035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前款所称重大事件，是指可能对基金份额持有人权益或者基金份额的价格产生重大影响的下列事件：</w:t>
      </w:r>
    </w:p>
    <w:p w14:paraId="273C16E4" w14:textId="77777777"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（1）基金份额持有人大会的召开及决定的事项；</w:t>
      </w:r>
    </w:p>
    <w:p w14:paraId="4746E1D9" w14:textId="77777777"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（2）基金合同终止、基金清算；</w:t>
      </w:r>
    </w:p>
    <w:p w14:paraId="05532471" w14:textId="77777777"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（3）转换基金运作方式、基金合并；</w:t>
      </w:r>
    </w:p>
    <w:p w14:paraId="61A9B806" w14:textId="3741805C"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（4）更换基金管理人、基金托管人、基金份额登记</w:t>
      </w:r>
      <w:r w:rsidR="008D34C9" w:rsidRPr="0047638B">
        <w:rPr>
          <w:rFonts w:asciiTheme="minorEastAsia" w:eastAsiaTheme="minorEastAsia" w:hAnsiTheme="minorEastAsia" w:hint="eastAsia"/>
          <w:szCs w:val="24"/>
        </w:rPr>
        <w:t>结算</w:t>
      </w:r>
      <w:r w:rsidRPr="0047638B">
        <w:rPr>
          <w:rFonts w:asciiTheme="minorEastAsia" w:eastAsiaTheme="minorEastAsia" w:hAnsiTheme="minorEastAsia" w:hint="eastAsia"/>
          <w:szCs w:val="24"/>
        </w:rPr>
        <w:t>机构，基金改聘会计师事务所；</w:t>
      </w:r>
    </w:p>
    <w:p w14:paraId="4705A821" w14:textId="77777777"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（5）基金管理人委托基金服务机构代为办理基金的份额登记、核算、估值等事项，基金托管人委托基金服务机构代为办理基金的核算、估值、复核等事项；</w:t>
      </w:r>
    </w:p>
    <w:p w14:paraId="3F0FCDAF" w14:textId="77777777"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（6）基金管理人、基金托管人的法定名称、住所发生变更；</w:t>
      </w:r>
    </w:p>
    <w:p w14:paraId="5C52884A" w14:textId="77777777"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（7）基金管理公司变更持有百分之五以上股权的股东、基金管理人的实际控制人变更；</w:t>
      </w:r>
    </w:p>
    <w:p w14:paraId="68444E1D" w14:textId="7ED2CFEF"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szCs w:val="24"/>
        </w:rPr>
        <w:t>8</w:t>
      </w:r>
      <w:r w:rsidRPr="0047638B">
        <w:rPr>
          <w:rFonts w:asciiTheme="minorEastAsia" w:eastAsiaTheme="minorEastAsia" w:hAnsiTheme="minorEastAsia" w:hint="eastAsia"/>
          <w:szCs w:val="24"/>
        </w:rPr>
        <w:t>）基金管理人的高级管理人员、基金经理和基金托管人专门基金托管部门负责人发生变动；</w:t>
      </w:r>
    </w:p>
    <w:p w14:paraId="1F758E85" w14:textId="787FEEBE"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szCs w:val="24"/>
        </w:rPr>
        <w:t>9</w:t>
      </w:r>
      <w:r w:rsidRPr="0047638B">
        <w:rPr>
          <w:rFonts w:asciiTheme="minorEastAsia" w:eastAsiaTheme="minorEastAsia" w:hAnsiTheme="minorEastAsia" w:hint="eastAsia"/>
          <w:szCs w:val="24"/>
        </w:rPr>
        <w:t>）基金管理人的董事在最近12个月内变更超过百分之五十，基金管理人、基金托管人专门基金托管部门的主要业务人员在最近12个月内变动超过百分之三十；</w:t>
      </w:r>
    </w:p>
    <w:p w14:paraId="7BE951F0" w14:textId="5EF6F704"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0</w:t>
      </w:r>
      <w:r w:rsidRPr="0047638B">
        <w:rPr>
          <w:rFonts w:asciiTheme="minorEastAsia" w:eastAsiaTheme="minorEastAsia" w:hAnsiTheme="minorEastAsia" w:hint="eastAsia"/>
          <w:szCs w:val="24"/>
        </w:rPr>
        <w:t>）涉及基金财产、基金管理业务、基金托管业务的诉讼或仲裁；</w:t>
      </w:r>
    </w:p>
    <w:p w14:paraId="40F96B49" w14:textId="436F485E"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B95962D" w14:textId="1F3817EA"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）基金管理人运用基金财产买卖基金管理人、基金托管人及其控股股东、实际控制</w:t>
      </w:r>
      <w:r w:rsidRPr="0047638B">
        <w:rPr>
          <w:rFonts w:asciiTheme="minorEastAsia" w:eastAsiaTheme="minorEastAsia" w:hAnsiTheme="minorEastAsia" w:hint="eastAsia"/>
          <w:szCs w:val="24"/>
        </w:rPr>
        <w:lastRenderedPageBreak/>
        <w:t>人或者与其有重大利害关系的公司发行的证券或者承销期内承销的证券，或者从事其他重大关联交易事项，中国证监会另有规定的情形除外；</w:t>
      </w:r>
    </w:p>
    <w:p w14:paraId="74AF2133" w14:textId="45FA36B6"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3</w:t>
      </w:r>
      <w:r w:rsidRPr="0047638B">
        <w:rPr>
          <w:rFonts w:asciiTheme="minorEastAsia" w:eastAsiaTheme="minorEastAsia" w:hAnsiTheme="minorEastAsia" w:hint="eastAsia"/>
          <w:szCs w:val="24"/>
        </w:rPr>
        <w:t>）基金收益分配事项；</w:t>
      </w:r>
    </w:p>
    <w:p w14:paraId="7D998E18" w14:textId="0E6425D3"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4</w:t>
      </w:r>
      <w:r w:rsidRPr="0047638B">
        <w:rPr>
          <w:rFonts w:asciiTheme="minorEastAsia" w:eastAsiaTheme="minorEastAsia" w:hAnsiTheme="minorEastAsia" w:hint="eastAsia"/>
          <w:szCs w:val="24"/>
        </w:rPr>
        <w:t>）管理费、托管费、申购费、赎回费</w:t>
      </w:r>
      <w:r w:rsidR="00674A95" w:rsidRPr="0047638B">
        <w:rPr>
          <w:rFonts w:asciiTheme="minorEastAsia" w:eastAsiaTheme="minorEastAsia" w:hAnsiTheme="minorEastAsia" w:hint="eastAsia"/>
          <w:szCs w:val="24"/>
        </w:rPr>
        <w:t>、销售服务费</w:t>
      </w:r>
      <w:r w:rsidRPr="0047638B">
        <w:rPr>
          <w:rFonts w:asciiTheme="minorEastAsia" w:eastAsiaTheme="minorEastAsia" w:hAnsiTheme="minorEastAsia" w:hint="eastAsia"/>
          <w:szCs w:val="24"/>
        </w:rPr>
        <w:t>等费用计提标准、计提方式和费率发生变更；</w:t>
      </w:r>
    </w:p>
    <w:p w14:paraId="06ED3691" w14:textId="233D52CD"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5</w:t>
      </w:r>
      <w:r w:rsidRPr="0047638B">
        <w:rPr>
          <w:rFonts w:asciiTheme="minorEastAsia" w:eastAsiaTheme="minorEastAsia" w:hAnsiTheme="minorEastAsia" w:hint="eastAsia"/>
          <w:szCs w:val="24"/>
        </w:rPr>
        <w:t>）</w:t>
      </w:r>
      <w:r w:rsidR="00674A95" w:rsidRPr="0047638B">
        <w:rPr>
          <w:rFonts w:asciiTheme="minorEastAsia" w:eastAsiaTheme="minorEastAsia" w:hAnsiTheme="minorEastAsia" w:hint="eastAsia"/>
          <w:szCs w:val="24"/>
        </w:rPr>
        <w:t>任一类基金份额净值计价错误达该类基金份额净值百分之零点五</w:t>
      </w:r>
      <w:r w:rsidRPr="0047638B">
        <w:rPr>
          <w:rFonts w:asciiTheme="minorEastAsia" w:eastAsiaTheme="minorEastAsia" w:hAnsiTheme="minorEastAsia" w:hint="eastAsia"/>
          <w:szCs w:val="24"/>
        </w:rPr>
        <w:t>；</w:t>
      </w:r>
    </w:p>
    <w:p w14:paraId="5553184A" w14:textId="5E45D7E1"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6</w:t>
      </w:r>
      <w:r w:rsidRPr="0047638B">
        <w:rPr>
          <w:rFonts w:asciiTheme="minorEastAsia" w:eastAsiaTheme="minorEastAsia" w:hAnsiTheme="minorEastAsia" w:hint="eastAsia"/>
          <w:szCs w:val="24"/>
        </w:rPr>
        <w:t>）本基金开始办理申购、赎回；</w:t>
      </w:r>
    </w:p>
    <w:p w14:paraId="6FD7B0E3" w14:textId="3877B352"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7</w:t>
      </w:r>
      <w:r w:rsidRPr="0047638B">
        <w:rPr>
          <w:rFonts w:asciiTheme="minorEastAsia" w:eastAsiaTheme="minorEastAsia" w:hAnsiTheme="minorEastAsia" w:hint="eastAsia"/>
          <w:szCs w:val="24"/>
        </w:rPr>
        <w:t>）本基金暂停接受申购、赎回申请或重新接受申购、赎回申请；</w:t>
      </w:r>
    </w:p>
    <w:p w14:paraId="40A9E4C8" w14:textId="63272FCC"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1</w:t>
      </w:r>
      <w:r w:rsidR="008D34C9" w:rsidRPr="0047638B">
        <w:rPr>
          <w:rFonts w:asciiTheme="minorEastAsia" w:eastAsiaTheme="minorEastAsia" w:hAnsiTheme="minorEastAsia"/>
          <w:szCs w:val="24"/>
        </w:rPr>
        <w:t>8</w:t>
      </w:r>
      <w:r w:rsidRPr="0047638B">
        <w:rPr>
          <w:rFonts w:asciiTheme="minorEastAsia" w:eastAsiaTheme="minorEastAsia" w:hAnsiTheme="minorEastAsia" w:hint="eastAsia"/>
          <w:szCs w:val="24"/>
        </w:rPr>
        <w:t>）基金变更标的指数；</w:t>
      </w:r>
    </w:p>
    <w:p w14:paraId="50BAB149" w14:textId="71618B3C"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szCs w:val="24"/>
        </w:rPr>
        <w:t>19</w:t>
      </w:r>
      <w:r w:rsidRPr="0047638B">
        <w:rPr>
          <w:rFonts w:asciiTheme="minorEastAsia" w:eastAsiaTheme="minorEastAsia" w:hAnsiTheme="minorEastAsia" w:hint="eastAsia"/>
          <w:szCs w:val="24"/>
        </w:rPr>
        <w:t>）基金份额停牌、复牌、暂停上市、恢复上市或终止上市交易；</w:t>
      </w:r>
    </w:p>
    <w:p w14:paraId="25301530" w14:textId="46276CBD"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2</w:t>
      </w:r>
      <w:r w:rsidR="008D34C9" w:rsidRPr="0047638B">
        <w:rPr>
          <w:rFonts w:asciiTheme="minorEastAsia" w:eastAsiaTheme="minorEastAsia" w:hAnsiTheme="minorEastAsia"/>
          <w:szCs w:val="24"/>
        </w:rPr>
        <w:t>0</w:t>
      </w:r>
      <w:r w:rsidRPr="0047638B">
        <w:rPr>
          <w:rFonts w:asciiTheme="minorEastAsia" w:eastAsiaTheme="minorEastAsia" w:hAnsiTheme="minorEastAsia" w:hint="eastAsia"/>
          <w:szCs w:val="24"/>
        </w:rPr>
        <w:t>）调整基金份额类别的设置；</w:t>
      </w:r>
    </w:p>
    <w:p w14:paraId="40A999D8" w14:textId="718376E2"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2</w:t>
      </w:r>
      <w:r w:rsidR="008D34C9" w:rsidRPr="0047638B">
        <w:rPr>
          <w:rFonts w:asciiTheme="minorEastAsia" w:eastAsiaTheme="minorEastAsia" w:hAnsiTheme="minorEastAsia"/>
          <w:szCs w:val="24"/>
        </w:rPr>
        <w:t>1</w:t>
      </w:r>
      <w:r w:rsidRPr="0047638B">
        <w:rPr>
          <w:rFonts w:asciiTheme="minorEastAsia" w:eastAsiaTheme="minorEastAsia" w:hAnsiTheme="minorEastAsia" w:hint="eastAsia"/>
          <w:szCs w:val="24"/>
        </w:rPr>
        <w:t>）基金推出新业务或服务；</w:t>
      </w:r>
    </w:p>
    <w:p w14:paraId="457FD147" w14:textId="5B74AF57" w:rsidR="00DD18D9" w:rsidRPr="0047638B" w:rsidRDefault="00E80CE3" w:rsidP="00FC7701">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8D34C9" w:rsidRPr="0047638B">
        <w:rPr>
          <w:rFonts w:asciiTheme="minorEastAsia" w:eastAsiaTheme="minorEastAsia" w:hAnsiTheme="minorEastAsia" w:hint="eastAsia"/>
          <w:szCs w:val="24"/>
        </w:rPr>
        <w:t>2</w:t>
      </w:r>
      <w:r w:rsidR="008D34C9" w:rsidRPr="0047638B">
        <w:rPr>
          <w:rFonts w:asciiTheme="minorEastAsia" w:eastAsiaTheme="minorEastAsia" w:hAnsiTheme="minorEastAsia"/>
          <w:szCs w:val="24"/>
        </w:rPr>
        <w:t>2</w:t>
      </w:r>
      <w:r w:rsidRPr="0047638B">
        <w:rPr>
          <w:rFonts w:asciiTheme="minorEastAsia" w:eastAsiaTheme="minorEastAsia" w:hAnsiTheme="minorEastAsia" w:hint="eastAsia"/>
          <w:szCs w:val="24"/>
        </w:rPr>
        <w:t>）基金信息披露义务人认为可能对基金份额持有人权益或者基金份额的价格产生重大影响的其他事项或中国证监会规定的其他事项。</w:t>
      </w:r>
    </w:p>
    <w:p w14:paraId="538C7A84" w14:textId="26778488" w:rsidR="00DD18D9" w:rsidRPr="0047638B" w:rsidRDefault="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w:t>
      </w:r>
      <w:r w:rsidR="00561038" w:rsidRPr="0047638B">
        <w:rPr>
          <w:rFonts w:asciiTheme="minorEastAsia" w:eastAsiaTheme="minorEastAsia" w:hAnsiTheme="minorEastAsia"/>
          <w:szCs w:val="24"/>
        </w:rPr>
        <w:t>、澄清公告</w:t>
      </w:r>
    </w:p>
    <w:p w14:paraId="4F44FF1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在基金合同期限内，任何公共</w:t>
      </w:r>
      <w:r w:rsidR="00E80CE3" w:rsidRPr="0047638B">
        <w:rPr>
          <w:rFonts w:asciiTheme="minorEastAsia" w:eastAsiaTheme="minorEastAsia" w:hAnsiTheme="minorEastAsia" w:hint="eastAsia"/>
          <w:szCs w:val="24"/>
        </w:rPr>
        <w:t>媒体</w:t>
      </w:r>
      <w:r w:rsidRPr="0047638B">
        <w:rPr>
          <w:rFonts w:asciiTheme="minorEastAsia" w:eastAsiaTheme="minorEastAsia" w:hAnsiTheme="minorEastAsia"/>
          <w:szCs w:val="24"/>
        </w:rPr>
        <w:t>中出现的或者在市场上流传的消息可能对基金份额价格产生误导性影响或者引起较大波动</w:t>
      </w:r>
      <w:r w:rsidR="00E80CE3" w:rsidRPr="0047638B">
        <w:rPr>
          <w:rFonts w:asciiTheme="minorEastAsia" w:eastAsiaTheme="minorEastAsia" w:hAnsiTheme="minorEastAsia" w:hint="eastAsia"/>
          <w:szCs w:val="24"/>
        </w:rPr>
        <w:t>，以及可能损害基金份额持有人权益</w:t>
      </w:r>
      <w:r w:rsidRPr="0047638B">
        <w:rPr>
          <w:rFonts w:asciiTheme="minorEastAsia" w:eastAsiaTheme="minorEastAsia" w:hAnsiTheme="minorEastAsia"/>
          <w:szCs w:val="24"/>
        </w:rPr>
        <w:t>的，相关信息披露义务人知悉后应当立即对该消息进行公开澄清，并将有关情况立即报告中国证监会</w:t>
      </w:r>
      <w:r w:rsidR="00E80CE3" w:rsidRPr="0047638B">
        <w:rPr>
          <w:rFonts w:asciiTheme="minorEastAsia" w:eastAsiaTheme="minorEastAsia" w:hAnsiTheme="minorEastAsia" w:hint="eastAsia"/>
          <w:szCs w:val="24"/>
        </w:rPr>
        <w:t>、基金上市交易的证券交易所</w:t>
      </w:r>
      <w:r w:rsidRPr="0047638B">
        <w:rPr>
          <w:rFonts w:asciiTheme="minorEastAsia" w:eastAsiaTheme="minorEastAsia" w:hAnsiTheme="minorEastAsia"/>
          <w:szCs w:val="24"/>
        </w:rPr>
        <w:t>。</w:t>
      </w:r>
    </w:p>
    <w:p w14:paraId="24FB90E4" w14:textId="52242CC6" w:rsidR="00E80CE3" w:rsidRPr="0047638B" w:rsidRDefault="008D34C9"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w:t>
      </w:r>
      <w:r w:rsidR="00E80CE3" w:rsidRPr="0047638B">
        <w:rPr>
          <w:rFonts w:asciiTheme="minorEastAsia" w:eastAsiaTheme="minorEastAsia" w:hAnsiTheme="minorEastAsia" w:hint="eastAsia"/>
          <w:szCs w:val="24"/>
        </w:rPr>
        <w:t>、清算报告</w:t>
      </w:r>
    </w:p>
    <w:p w14:paraId="61F24BC0" w14:textId="4F0C81F2" w:rsidR="00E80CE3" w:rsidRPr="0047638B" w:rsidRDefault="00E80CE3"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基金合同终止的，基金管理人应当依法组织基金财产清算小组对基金财产进行清算并作出清算报告。基金财产清算小组应当将清算报告登载在</w:t>
      </w:r>
      <w:r w:rsidR="008D34C9" w:rsidRPr="0047638B">
        <w:rPr>
          <w:rFonts w:asciiTheme="minorEastAsia" w:eastAsiaTheme="minorEastAsia" w:hAnsiTheme="minorEastAsia" w:hint="eastAsia"/>
          <w:szCs w:val="24"/>
        </w:rPr>
        <w:t>规定网站</w:t>
      </w:r>
      <w:r w:rsidRPr="0047638B">
        <w:rPr>
          <w:rFonts w:asciiTheme="minorEastAsia" w:eastAsiaTheme="minorEastAsia" w:hAnsiTheme="minorEastAsia" w:hint="eastAsia"/>
          <w:szCs w:val="24"/>
        </w:rPr>
        <w:t>上，并将清算报告提示性公告登载在</w:t>
      </w:r>
      <w:r w:rsidR="008D34C9" w:rsidRPr="0047638B">
        <w:rPr>
          <w:rFonts w:asciiTheme="minorEastAsia" w:eastAsiaTheme="minorEastAsia" w:hAnsiTheme="minorEastAsia" w:hint="eastAsia"/>
          <w:szCs w:val="24"/>
        </w:rPr>
        <w:t>规定报刊</w:t>
      </w:r>
      <w:r w:rsidRPr="0047638B">
        <w:rPr>
          <w:rFonts w:asciiTheme="minorEastAsia" w:eastAsiaTheme="minorEastAsia" w:hAnsiTheme="minorEastAsia" w:hint="eastAsia"/>
          <w:szCs w:val="24"/>
        </w:rPr>
        <w:t>上。</w:t>
      </w:r>
    </w:p>
    <w:p w14:paraId="2750E52F" w14:textId="538576F4" w:rsidR="00DD18D9" w:rsidRPr="0047638B" w:rsidRDefault="008D34C9" w:rsidP="00E80CE3">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w:t>
      </w:r>
      <w:r w:rsidR="00561038" w:rsidRPr="0047638B">
        <w:rPr>
          <w:rFonts w:asciiTheme="minorEastAsia" w:eastAsiaTheme="minorEastAsia" w:hAnsiTheme="minorEastAsia"/>
          <w:szCs w:val="24"/>
        </w:rPr>
        <w:t>、基金份额持有人大会决议</w:t>
      </w:r>
    </w:p>
    <w:p w14:paraId="65750D2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基金份额持有人大会决定的事项，应当公告并依法报国务院证券监督管理机构备案，并予以公告。</w:t>
      </w:r>
    </w:p>
    <w:p w14:paraId="568632CF" w14:textId="79CD104C" w:rsidR="00DD18D9" w:rsidRPr="0047638B" w:rsidRDefault="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9</w:t>
      </w:r>
      <w:r w:rsidR="00561038" w:rsidRPr="0047638B">
        <w:rPr>
          <w:rFonts w:asciiTheme="minorEastAsia" w:eastAsiaTheme="minorEastAsia" w:hAnsiTheme="minorEastAsia"/>
          <w:szCs w:val="24"/>
        </w:rPr>
        <w:t>、中国证监会规定的其他信息。</w:t>
      </w:r>
    </w:p>
    <w:p w14:paraId="75581E64" w14:textId="77777777" w:rsidR="00E55FB7" w:rsidRPr="0047638B" w:rsidRDefault="00E55FB7"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若本基金投资股指期货，基金管理人应在季度报告、</w:t>
      </w:r>
      <w:r w:rsidR="00E80CE3" w:rsidRPr="0047638B">
        <w:rPr>
          <w:rFonts w:asciiTheme="minorEastAsia" w:eastAsiaTheme="minorEastAsia" w:hAnsiTheme="minorEastAsia" w:hint="eastAsia"/>
          <w:szCs w:val="24"/>
        </w:rPr>
        <w:t>中期</w:t>
      </w:r>
      <w:r w:rsidRPr="0047638B">
        <w:rPr>
          <w:rFonts w:asciiTheme="minorEastAsia" w:eastAsiaTheme="minorEastAsia" w:hAnsiTheme="minorEastAsia"/>
          <w:szCs w:val="24"/>
        </w:rPr>
        <w:t>报告、年度报告等定期报告和《招募说明书》（更新）等文件中披露股指期货交易情况，包括投资政策、持仓情况、损益情况、风险指标等，并充分揭示股指期货交易对基金总体风险的影响以及是否符合既定的投</w:t>
      </w:r>
      <w:r w:rsidRPr="0047638B">
        <w:rPr>
          <w:rFonts w:asciiTheme="minorEastAsia" w:eastAsiaTheme="minorEastAsia" w:hAnsiTheme="minorEastAsia"/>
          <w:szCs w:val="24"/>
        </w:rPr>
        <w:lastRenderedPageBreak/>
        <w:t>资政策和投资目标等。</w:t>
      </w:r>
    </w:p>
    <w:p w14:paraId="154E524F" w14:textId="77777777" w:rsidR="00674A95" w:rsidRPr="0047638B" w:rsidRDefault="00674A95" w:rsidP="00674A95">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若本基金参与转融通证券出借及融资业务，基金管理人将按相关法律法规要求进行披露。</w:t>
      </w:r>
    </w:p>
    <w:p w14:paraId="5092D172"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（六）信息披露事务管理</w:t>
      </w:r>
    </w:p>
    <w:p w14:paraId="2B79EAA4"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基金管理人、基金托管人应当建立健全信息披露管理制度，指定</w:t>
      </w:r>
      <w:r w:rsidR="00AC5AD0" w:rsidRPr="0047638B">
        <w:rPr>
          <w:rFonts w:asciiTheme="minorEastAsia" w:eastAsiaTheme="minorEastAsia" w:hAnsiTheme="minorEastAsia" w:hint="eastAsia"/>
          <w:szCs w:val="24"/>
        </w:rPr>
        <w:t>专门部门及高级管理人员</w:t>
      </w:r>
      <w:r w:rsidRPr="0047638B">
        <w:rPr>
          <w:rFonts w:asciiTheme="minorEastAsia" w:eastAsiaTheme="minorEastAsia" w:hAnsiTheme="minorEastAsia"/>
          <w:szCs w:val="24"/>
        </w:rPr>
        <w:t>负责管理信息披露事务。</w:t>
      </w:r>
    </w:p>
    <w:p w14:paraId="7F2B627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基金信息披露义务人公开披露基金信息，应当符合中国证监会相关基金信息披露内容与格式准则</w:t>
      </w:r>
      <w:r w:rsidR="00AC5AD0" w:rsidRPr="0047638B">
        <w:rPr>
          <w:rFonts w:asciiTheme="minorEastAsia" w:eastAsiaTheme="minorEastAsia" w:hAnsiTheme="minorEastAsia" w:hint="eastAsia"/>
          <w:szCs w:val="24"/>
        </w:rPr>
        <w:t>等法规</w:t>
      </w:r>
      <w:r w:rsidRPr="0047638B">
        <w:rPr>
          <w:rFonts w:asciiTheme="minorEastAsia" w:eastAsiaTheme="minorEastAsia" w:hAnsiTheme="minorEastAsia"/>
          <w:szCs w:val="24"/>
        </w:rPr>
        <w:t>的规定。</w:t>
      </w:r>
    </w:p>
    <w:p w14:paraId="3E6CE3EB" w14:textId="04FDB63E"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基金托管人应当按照相关法律法规、中国证监会的规定和《基金合同》的约定，对基金管理人编制的基金资产净值、</w:t>
      </w:r>
      <w:r w:rsidR="00674A95" w:rsidRPr="0047638B">
        <w:rPr>
          <w:rFonts w:asciiTheme="minorEastAsia" w:eastAsiaTheme="minorEastAsia" w:hAnsiTheme="minorEastAsia"/>
          <w:szCs w:val="24"/>
        </w:rPr>
        <w:t>各类</w:t>
      </w:r>
      <w:r w:rsidRPr="0047638B">
        <w:rPr>
          <w:rFonts w:asciiTheme="minorEastAsia" w:eastAsiaTheme="minorEastAsia" w:hAnsiTheme="minorEastAsia"/>
          <w:szCs w:val="24"/>
        </w:rPr>
        <w:t>基金份额净值、申购赎回价格、基金定期报告</w:t>
      </w:r>
      <w:r w:rsidR="00AC5AD0" w:rsidRPr="0047638B">
        <w:rPr>
          <w:rFonts w:asciiTheme="minorEastAsia" w:eastAsiaTheme="minorEastAsia" w:hAnsiTheme="minorEastAsia" w:hint="eastAsia"/>
          <w:szCs w:val="24"/>
        </w:rPr>
        <w:t>、</w:t>
      </w:r>
      <w:r w:rsidRPr="0047638B">
        <w:rPr>
          <w:rFonts w:asciiTheme="minorEastAsia" w:eastAsiaTheme="minorEastAsia" w:hAnsiTheme="minorEastAsia"/>
          <w:szCs w:val="24"/>
        </w:rPr>
        <w:t>更新的招募说明书</w:t>
      </w:r>
      <w:r w:rsidR="00AC5AD0" w:rsidRPr="0047638B">
        <w:rPr>
          <w:rFonts w:asciiTheme="minorEastAsia" w:eastAsiaTheme="minorEastAsia" w:hAnsiTheme="minorEastAsia" w:hint="eastAsia"/>
          <w:szCs w:val="24"/>
        </w:rPr>
        <w:t>、基金产品资料概要、基金清算报告</w:t>
      </w:r>
      <w:r w:rsidRPr="0047638B">
        <w:rPr>
          <w:rFonts w:asciiTheme="minorEastAsia" w:eastAsiaTheme="minorEastAsia" w:hAnsiTheme="minorEastAsia"/>
          <w:szCs w:val="24"/>
        </w:rPr>
        <w:t>等公开披露的相关基金信息进行复核、审查，并向基金管理人</w:t>
      </w:r>
      <w:r w:rsidR="00AC5AD0" w:rsidRPr="0047638B">
        <w:rPr>
          <w:rFonts w:asciiTheme="minorEastAsia" w:eastAsiaTheme="minorEastAsia" w:hAnsiTheme="minorEastAsia" w:hint="eastAsia"/>
          <w:szCs w:val="24"/>
        </w:rPr>
        <w:t>进行书面或电子</w:t>
      </w:r>
      <w:r w:rsidRPr="0047638B">
        <w:rPr>
          <w:rFonts w:asciiTheme="minorEastAsia" w:eastAsiaTheme="minorEastAsia" w:hAnsiTheme="minorEastAsia"/>
          <w:szCs w:val="24"/>
        </w:rPr>
        <w:t>确认。</w:t>
      </w:r>
    </w:p>
    <w:p w14:paraId="727077DF" w14:textId="79DF0CB7" w:rsidR="00DD18D9" w:rsidRPr="0047638B" w:rsidRDefault="00AC5AD0">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基金管理人、基金托管人应当在</w:t>
      </w:r>
      <w:r w:rsidR="008D34C9" w:rsidRPr="0047638B">
        <w:rPr>
          <w:rFonts w:asciiTheme="minorEastAsia" w:eastAsiaTheme="minorEastAsia" w:hAnsiTheme="minorEastAsia" w:hint="eastAsia"/>
          <w:szCs w:val="24"/>
        </w:rPr>
        <w:t>规定报刊</w:t>
      </w:r>
      <w:r w:rsidRPr="0047638B">
        <w:rPr>
          <w:rFonts w:asciiTheme="minorEastAsia" w:eastAsiaTheme="minorEastAsia" w:hAnsiTheme="minorEastAsia" w:hint="eastAsia"/>
          <w:szCs w:val="24"/>
        </w:rPr>
        <w:t>中选择一家报刊披露本基金信息。基金管理人、基金托管人应当向中国证监会基金电子披露网站报送拟披露的基金信息，并保证相关报送信息的真实、准确、完整、及时。</w:t>
      </w:r>
    </w:p>
    <w:p w14:paraId="5FB3AD7B" w14:textId="495C0D6D"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基金管理人、基金托管人除依法在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上披露信息外，还可以根据需要在其他公共媒介披露信息，但是其他公共媒介不得早于</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披露信息，并且在不同媒介上披露同一信息的内容应当一致。</w:t>
      </w:r>
    </w:p>
    <w:p w14:paraId="0B13311C" w14:textId="77777777" w:rsidR="00D143C2" w:rsidRPr="0047638B" w:rsidRDefault="00AC5AD0"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A4FC873" w14:textId="77777777" w:rsidR="008B04B8" w:rsidRPr="0047638B" w:rsidRDefault="008B04B8"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（七）信息披露文件的存放与查阅</w:t>
      </w:r>
    </w:p>
    <w:p w14:paraId="61C9D657" w14:textId="77777777" w:rsidR="00A837B9" w:rsidRPr="0047638B" w:rsidRDefault="00AC5AD0" w:rsidP="00E95A80">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szCs w:val="24"/>
        </w:rPr>
        <w:t>依法必须披露的信息发布后，基金管理人、基金托管人应当按照相关法律法规规定将信息置备于公司办公场所、基金上市交易的证券交易所，供社会公众查阅、复制</w:t>
      </w:r>
      <w:r w:rsidR="00E55FB7" w:rsidRPr="0047638B">
        <w:rPr>
          <w:rFonts w:asciiTheme="minorEastAsia" w:eastAsiaTheme="minorEastAsia" w:hAnsiTheme="minorEastAsia"/>
          <w:szCs w:val="24"/>
        </w:rPr>
        <w:t>。</w:t>
      </w:r>
    </w:p>
    <w:p w14:paraId="1730BD78" w14:textId="77777777" w:rsidR="00A837B9" w:rsidRPr="0047638B" w:rsidRDefault="00A837B9" w:rsidP="00A837B9">
      <w:pPr>
        <w:snapToGrid w:val="0"/>
        <w:spacing w:line="360" w:lineRule="auto"/>
        <w:ind w:firstLineChars="200" w:firstLine="420"/>
        <w:rPr>
          <w:rFonts w:asciiTheme="minorEastAsia" w:eastAsiaTheme="minorEastAsia" w:hAnsiTheme="minorEastAsia"/>
          <w:bCs/>
        </w:rPr>
        <w:sectPr w:rsidR="00A837B9" w:rsidRPr="0047638B" w:rsidSect="009117B6">
          <w:pgSz w:w="11906" w:h="16838"/>
          <w:pgMar w:top="1440" w:right="1797" w:bottom="1440" w:left="1797" w:header="851" w:footer="992" w:gutter="0"/>
          <w:cols w:space="425"/>
          <w:docGrid w:type="linesAndChars" w:linePitch="312"/>
        </w:sectPr>
      </w:pPr>
    </w:p>
    <w:p w14:paraId="43E173B8" w14:textId="01AE3D41" w:rsidR="0023699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08" w:name="_Toc77780008"/>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一</w:t>
      </w:r>
      <w:r w:rsidR="00236999" w:rsidRPr="0047638B">
        <w:rPr>
          <w:rFonts w:asciiTheme="minorEastAsia" w:eastAsiaTheme="minorEastAsia" w:hAnsiTheme="minorEastAsia"/>
          <w:b w:val="0"/>
          <w:sz w:val="30"/>
        </w:rPr>
        <w:t>、风险揭示</w:t>
      </w:r>
      <w:bookmarkEnd w:id="3608"/>
    </w:p>
    <w:p w14:paraId="0BB50D5F"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一、本基金的特有风险</w:t>
      </w:r>
    </w:p>
    <w:p w14:paraId="3BCEAF95"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1、指数化投资的风险</w:t>
      </w:r>
    </w:p>
    <w:p w14:paraId="0332B835" w14:textId="053AA2DF" w:rsidR="008D34C9" w:rsidRPr="0047638B" w:rsidRDefault="008A6BA1"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本基金投资于股票的比例不低于基金资产的90%；本基金投资于标的指数成份股和备选成份股的资产不低于非现金基金资产的80%</w:t>
      </w:r>
      <w:r w:rsidR="008D34C9" w:rsidRPr="0047638B">
        <w:rPr>
          <w:rFonts w:asciiTheme="minorEastAsia" w:eastAsiaTheme="minorEastAsia" w:hAnsiTheme="minorEastAsia" w:hint="eastAsia"/>
          <w:szCs w:val="24"/>
        </w:rPr>
        <w:t>，业绩表现将会随着标的指数的波动而波动；同时本基金在多数情况下将维持较高的股票仓位，在股票市场下跌的过程中，可能面临基金净值与标的指数同步下跌的风险。</w:t>
      </w:r>
    </w:p>
    <w:p w14:paraId="4BD16AE5"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2、标的指数的风险</w:t>
      </w:r>
    </w:p>
    <w:p w14:paraId="3BFEC26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（1）标的指数回报与股票市场平均回报偏离的风险</w:t>
      </w:r>
    </w:p>
    <w:p w14:paraId="37742FB9"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标的指数并不能代表整个股票市场。标的指数成份股的平均回报率与整个股票市场的平均回报率可能存在偏离。</w:t>
      </w:r>
    </w:p>
    <w:p w14:paraId="7F57AB4A"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（2）标的指数波动的风险</w:t>
      </w:r>
    </w:p>
    <w:p w14:paraId="615322FA"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标的指数成份股的价格可能受到政治因素、经济因素、上市公司经营状况、投资人心理和交易制度等各种因素的影响而波动，导致指数波动，从而使基金收益水平发生变化，产生风险。</w:t>
      </w:r>
    </w:p>
    <w:p w14:paraId="4D71BCA4" w14:textId="7E10040B"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w:t>
      </w:r>
      <w:r w:rsidR="00941C7F" w:rsidRPr="0047638B">
        <w:rPr>
          <w:rFonts w:asciiTheme="minorEastAsia" w:eastAsiaTheme="minorEastAsia" w:hAnsiTheme="minorEastAsia" w:hint="eastAsia"/>
          <w:szCs w:val="24"/>
        </w:rPr>
        <w:t>标的指数成份股行业集中风险</w:t>
      </w:r>
    </w:p>
    <w:p w14:paraId="1F5EC808" w14:textId="70312482" w:rsidR="008D34C9" w:rsidRPr="0047638B" w:rsidRDefault="00941C7F" w:rsidP="00941C7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本基金标的指数成份股主要集中于证券公司行业，须承受因政府政策变化、行业景气度变化等影响证券公司行业的因素所带来的行业风险</w:t>
      </w:r>
      <w:r w:rsidR="008D34C9" w:rsidRPr="0047638B">
        <w:rPr>
          <w:rFonts w:asciiTheme="minorEastAsia" w:eastAsiaTheme="minorEastAsia" w:hAnsiTheme="minorEastAsia" w:hint="eastAsia"/>
          <w:szCs w:val="24"/>
        </w:rPr>
        <w:t>。</w:t>
      </w:r>
    </w:p>
    <w:p w14:paraId="3AF20604" w14:textId="36CBF894" w:rsidR="002430CC" w:rsidRPr="0047638B" w:rsidRDefault="002430CC" w:rsidP="002430CC">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（4）成份股权重较大的风险</w:t>
      </w:r>
    </w:p>
    <w:p w14:paraId="5CD25F51" w14:textId="77777777" w:rsidR="002430CC" w:rsidRPr="0047638B" w:rsidRDefault="002430CC" w:rsidP="002430CC">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根据本基金标的指数编制方案，存在个别成份股权重较大、集中度较高的情况，可能使基金面临较大波动风险或流动性风险。</w:t>
      </w:r>
    </w:p>
    <w:p w14:paraId="122C9654" w14:textId="3586FD22" w:rsidR="008D34C9" w:rsidRPr="0047638B" w:rsidRDefault="008D34C9" w:rsidP="002430CC">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2430CC" w:rsidRPr="0047638B">
        <w:rPr>
          <w:rFonts w:asciiTheme="minorEastAsia" w:eastAsiaTheme="minorEastAsia" w:hAnsiTheme="minorEastAsia" w:hint="eastAsia"/>
          <w:szCs w:val="24"/>
        </w:rPr>
        <w:t>5</w:t>
      </w:r>
      <w:r w:rsidRPr="0047638B">
        <w:rPr>
          <w:rFonts w:asciiTheme="minorEastAsia" w:eastAsiaTheme="minorEastAsia" w:hAnsiTheme="minorEastAsia" w:hint="eastAsia"/>
          <w:szCs w:val="24"/>
        </w:rPr>
        <w:t>）标的指数值计算出错的风险</w:t>
      </w:r>
    </w:p>
    <w:p w14:paraId="538FC99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尽管中证指数公司将采取一切必要措施以确保指数的准确性，但不对此作任何保证，亦不因指数的任何错误对任何人负责。因此，如果标的指数值出现错误，投资人参考指数值进行投资决策，则可能导致损失。</w:t>
      </w:r>
    </w:p>
    <w:p w14:paraId="4E348A3B" w14:textId="16A9DD11"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w:t>
      </w:r>
      <w:r w:rsidR="002430CC" w:rsidRPr="0047638B">
        <w:rPr>
          <w:rFonts w:asciiTheme="minorEastAsia" w:eastAsiaTheme="minorEastAsia" w:hAnsiTheme="minorEastAsia" w:hint="eastAsia"/>
          <w:szCs w:val="24"/>
        </w:rPr>
        <w:t>6</w:t>
      </w:r>
      <w:r w:rsidRPr="0047638B">
        <w:rPr>
          <w:rFonts w:asciiTheme="minorEastAsia" w:eastAsiaTheme="minorEastAsia" w:hAnsiTheme="minorEastAsia" w:hint="eastAsia"/>
          <w:szCs w:val="24"/>
        </w:rPr>
        <w:t>）标的指数变更的风险</w:t>
      </w:r>
    </w:p>
    <w:p w14:paraId="50A7C902"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根据《基金合同》规定，如发生导致标的指数变更的情形，基金管理人可以依据维护投资者合法权益的原则，变更本基金的标的指数。若标的指数发生变更，本基金的投资组合将</w:t>
      </w:r>
      <w:r w:rsidRPr="0047638B">
        <w:rPr>
          <w:rFonts w:asciiTheme="minorEastAsia" w:eastAsiaTheme="minorEastAsia" w:hAnsiTheme="minorEastAsia" w:hint="eastAsia"/>
          <w:szCs w:val="24"/>
        </w:rPr>
        <w:lastRenderedPageBreak/>
        <w:t>相应进行调整。届时本基金的风险收益特征可能发生变化，且投资组合调整可能产生交易成本和机会成本。投资者须承担因标的指数变更而产生的风险与成本。</w:t>
      </w:r>
    </w:p>
    <w:p w14:paraId="4FD727D2"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3、基金投资组合回报与标的指数回报偏离的风险</w:t>
      </w:r>
    </w:p>
    <w:p w14:paraId="0C1F71D1"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以下因素可能使基金投资组合的收益率与标的指数的收益率发生偏离：</w:t>
      </w:r>
    </w:p>
    <w:p w14:paraId="2D5E2031"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（1）标的指数调整成份股或变更编制方法，使本基金在相应的组合调整中产生跟踪偏离度与跟踪误差。</w:t>
      </w:r>
    </w:p>
    <w:p w14:paraId="0F05B34C"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（2）标的指数成份股发生配股、增发等行为导致成份股在标的指数中的权重发生变化，使本基金在相应的组合调整中产生跟踪偏离度和跟踪误差。</w:t>
      </w:r>
    </w:p>
    <w:p w14:paraId="68BC26A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（3）成份股派发现金红利、送配等所获收益导致基金收益率偏离标的指数收益率，从而产生跟踪偏离度和跟踪误差。</w:t>
      </w:r>
    </w:p>
    <w:p w14:paraId="1522B4EC" w14:textId="6E84B0C9"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（4）由于</w:t>
      </w:r>
      <w:r w:rsidR="001B19DA" w:rsidRPr="0047638B">
        <w:rPr>
          <w:rFonts w:asciiTheme="minorEastAsia" w:eastAsiaTheme="minorEastAsia" w:hAnsiTheme="minorEastAsia" w:hint="eastAsia"/>
          <w:szCs w:val="24"/>
        </w:rPr>
        <w:t>成份股摘牌</w:t>
      </w:r>
      <w:r w:rsidRPr="0047638B">
        <w:rPr>
          <w:rFonts w:asciiTheme="minorEastAsia" w:eastAsiaTheme="minorEastAsia" w:hAnsiTheme="minorEastAsia" w:hint="eastAsia"/>
          <w:szCs w:val="24"/>
        </w:rPr>
        <w:t>或流动性差等因素，基金无法及时调整投资组合或承担冲击成本而产生跟踪偏离度和跟踪误差。</w:t>
      </w:r>
    </w:p>
    <w:p w14:paraId="6F8391AE"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（5）基金投资过程中的证券交易成本，以及基金管理费和托管费等，可能导致本基金在跟踪指数时产生收益上的偏离。</w:t>
      </w:r>
    </w:p>
    <w:p w14:paraId="2578B926"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（6）在本基金指数化投资过程中，基金管理人的管理能力，例如跟踪指数的水平、技术手段、买入卖出的时机选择等，都会对本基金的收益产生影响，从而影响本基金对标的指数的跟踪程度。</w:t>
      </w:r>
    </w:p>
    <w:p w14:paraId="2363A0E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（7）基金现金资产的拖累会影响本基金对标的指数的跟踪程度。</w:t>
      </w:r>
    </w:p>
    <w:p w14:paraId="401F827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（8）特殊情况下，如果本基金采取抽样复制技术复制标的指数表现，基金投资组合与标的指数构成的差异可能导致基金收益率与标的指数收益率产生偏离。</w:t>
      </w:r>
    </w:p>
    <w:p w14:paraId="13DC3DC9"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32E9BC63" w14:textId="77777777" w:rsidR="00461624" w:rsidRPr="0047638B" w:rsidRDefault="00203C68" w:rsidP="00642952">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szCs w:val="24"/>
        </w:rPr>
        <w:t>4、</w:t>
      </w:r>
      <w:r w:rsidR="00461624" w:rsidRPr="0047638B">
        <w:rPr>
          <w:rFonts w:asciiTheme="minorEastAsia" w:eastAsiaTheme="minorEastAsia" w:hAnsiTheme="minorEastAsia" w:hint="eastAsia"/>
        </w:rPr>
        <w:t>跟踪误差控制未达约定目标的风险</w:t>
      </w:r>
    </w:p>
    <w:p w14:paraId="154C2C90" w14:textId="4BED03BF" w:rsidR="00642952" w:rsidRPr="0047638B" w:rsidRDefault="00203C68"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本基金力争将年化跟踪误差控制在4%以内，日跟踪偏离度绝对值的平均值控制在0.35%以内</w:t>
      </w:r>
      <w:r w:rsidR="00642952" w:rsidRPr="0047638B">
        <w:rPr>
          <w:rFonts w:asciiTheme="minorEastAsia" w:eastAsiaTheme="minorEastAsia" w:hAnsiTheme="minorEastAsia" w:hint="eastAsia"/>
          <w:szCs w:val="24"/>
        </w:rPr>
        <w:t>，但因标的指数编制规则调整或其他因素可能导致跟踪误差超过上述范围，本基金净值表现与指数价格走势可能发生较大偏离。</w:t>
      </w:r>
    </w:p>
    <w:p w14:paraId="265640A5" w14:textId="77777777"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5、指数编制机构停止服务的风险</w:t>
      </w:r>
    </w:p>
    <w:p w14:paraId="55FAB37C" w14:textId="58D6E2E3"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本基金的标的指数由指数编制机构发布并管理和维护，未来指数编制机构可能由于各种</w:t>
      </w:r>
      <w:r w:rsidRPr="0047638B">
        <w:rPr>
          <w:rFonts w:asciiTheme="minorEastAsia" w:eastAsiaTheme="minorEastAsia" w:hAnsiTheme="minorEastAsia" w:hint="eastAsia"/>
          <w:szCs w:val="24"/>
        </w:rPr>
        <w:lastRenderedPageBreak/>
        <w:t>原因停止对指数的管理和维护，本基金将根据基金合同的约定自该情形发生之日起十个工作日向中国证监会报告并提出解决方案，如更换基金标的指数、</w:t>
      </w:r>
      <w:r w:rsidR="001B19DA" w:rsidRPr="0047638B">
        <w:rPr>
          <w:rFonts w:asciiTheme="minorEastAsia" w:eastAsiaTheme="minorEastAsia" w:hAnsiTheme="minorEastAsia" w:hint="eastAsia"/>
          <w:szCs w:val="24"/>
        </w:rPr>
        <w:t>转换运作方式、</w:t>
      </w:r>
      <w:r w:rsidRPr="0047638B">
        <w:rPr>
          <w:rFonts w:asciiTheme="minorEastAsia" w:eastAsiaTheme="minorEastAsia" w:hAnsiTheme="minorEastAsia" w:hint="eastAsia"/>
          <w:szCs w:val="24"/>
        </w:rPr>
        <w:t>与其他基金合并、或者终止基金合同等，</w:t>
      </w:r>
      <w:r w:rsidR="001B19DA" w:rsidRPr="0047638B">
        <w:rPr>
          <w:rFonts w:asciiTheme="minorEastAsia" w:eastAsiaTheme="minorEastAsia" w:hAnsiTheme="minorEastAsia" w:hint="eastAsia"/>
          <w:szCs w:val="24"/>
        </w:rPr>
        <w:t>并在6个月内召集基金份额持有人大会进行表决。</w:t>
      </w:r>
      <w:r w:rsidRPr="0047638B">
        <w:rPr>
          <w:rFonts w:asciiTheme="minorEastAsia" w:eastAsiaTheme="minorEastAsia" w:hAnsiTheme="minorEastAsia" w:hint="eastAsia"/>
          <w:szCs w:val="24"/>
        </w:rPr>
        <w:t>投资人将面临更换基金标的指数、</w:t>
      </w:r>
      <w:r w:rsidR="001B19DA" w:rsidRPr="0047638B">
        <w:rPr>
          <w:rFonts w:asciiTheme="minorEastAsia" w:eastAsiaTheme="minorEastAsia" w:hAnsiTheme="minorEastAsia" w:hint="eastAsia"/>
          <w:szCs w:val="24"/>
        </w:rPr>
        <w:t>转换运作方式、</w:t>
      </w:r>
      <w:r w:rsidRPr="0047638B">
        <w:rPr>
          <w:rFonts w:asciiTheme="minorEastAsia" w:eastAsiaTheme="minorEastAsia" w:hAnsiTheme="minorEastAsia" w:hint="eastAsia"/>
          <w:szCs w:val="24"/>
        </w:rPr>
        <w:t>与其他基金合并、或者终止基金合同等风险。</w:t>
      </w:r>
    </w:p>
    <w:p w14:paraId="0DC48912" w14:textId="77777777"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47CB3607" w14:textId="77777777"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6、成份股停牌的风险</w:t>
      </w:r>
    </w:p>
    <w:p w14:paraId="59E4971D" w14:textId="77777777"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标的指数成份股可能因各种原因临时或长期停牌，发生成份股停牌时可能面临如下风险：</w:t>
      </w:r>
    </w:p>
    <w:p w14:paraId="318614F1" w14:textId="77777777"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1）基金可能因无法及时调整投资组合而导致跟踪偏离度和跟踪误差扩大。</w:t>
      </w:r>
    </w:p>
    <w:p w14:paraId="7FDE407B" w14:textId="1DBC5964"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2）停牌成份股可能因其权重占比、市场复牌预期等因素影响本基金二级市场价格的折溢价水平。</w:t>
      </w:r>
    </w:p>
    <w:p w14:paraId="2B4DDC68" w14:textId="0C5CB436" w:rsidR="00642952" w:rsidRPr="0047638B" w:rsidRDefault="00642952" w:rsidP="00642952">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在极端情况下，标的指数成份股可能大面积停牌，基金可能无法及时卖出成份股以获取足额的符合要求的赎回价格，由此基金管理人可能采取暂停赎回的措施，投资者将面临无法赎回全部或部分基金份额的风险。</w:t>
      </w:r>
    </w:p>
    <w:p w14:paraId="033B10DB" w14:textId="737F0FD2" w:rsidR="008D34C9" w:rsidRPr="0047638B" w:rsidRDefault="00642952"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w:t>
      </w:r>
      <w:r w:rsidR="008D34C9" w:rsidRPr="0047638B">
        <w:rPr>
          <w:rFonts w:asciiTheme="minorEastAsia" w:eastAsiaTheme="minorEastAsia" w:hAnsiTheme="minorEastAsia" w:hint="eastAsia"/>
          <w:szCs w:val="24"/>
        </w:rPr>
        <w:t>、与基金上市有关的特有风险</w:t>
      </w:r>
    </w:p>
    <w:p w14:paraId="0C0243F4"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份额二级市场交易价格折溢价风险。基金份额持有人通过交易所交易基金份额时，由于受二级市场供求关系的影响相关基金份额交易可能无法成交；此外，二级市场交易有可能面临基金份额市场交易价格低于基金份额净值的风险。</w:t>
      </w:r>
    </w:p>
    <w:p w14:paraId="4DF5A96E"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（2）基金份额退市风险。本基金存在不再符合证券交易所上市条件被终止上市，或被基金份额持有人大会决议提前终止上市，导致基金份额不能继续进行二级市场交易的风险。</w:t>
      </w:r>
    </w:p>
    <w:p w14:paraId="6471BDDC" w14:textId="6C8ECE6B" w:rsidR="008D34C9" w:rsidRPr="0047638B" w:rsidRDefault="00642952"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w:t>
      </w:r>
      <w:r w:rsidR="008D34C9" w:rsidRPr="0047638B">
        <w:rPr>
          <w:rFonts w:asciiTheme="minorEastAsia" w:eastAsiaTheme="minorEastAsia" w:hAnsiTheme="minorEastAsia" w:hint="eastAsia"/>
          <w:szCs w:val="24"/>
        </w:rPr>
        <w:t>、本基金投资特定品种的特有风险</w:t>
      </w:r>
    </w:p>
    <w:p w14:paraId="7A8D9AD4"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本基金投资范围包括股指期货等金融衍生品，股指期货等金融衍生品投资可能给本基金带来额外风险，包括杠杆风险、期货或期权价格与基金投资品种价格的相关度降低带来的风险等，由此可能增加本基金净值的波动性。</w:t>
      </w:r>
    </w:p>
    <w:p w14:paraId="15209DD6" w14:textId="77777777" w:rsidR="00674A95" w:rsidRPr="0047638B" w:rsidRDefault="008D34C9"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（2）本基金的投资范围包括资产支持证券，资产支持证券存在一定的信用风险、利率风险、流动性风险、提前偿付风险、操作风险和法律风险，由此可能给基金净值带来不利影响或损失。</w:t>
      </w:r>
    </w:p>
    <w:p w14:paraId="1F53E1B4" w14:textId="77777777" w:rsidR="00674A95" w:rsidRPr="0047638B" w:rsidRDefault="00674A95" w:rsidP="00674A95">
      <w:pPr>
        <w:spacing w:line="360" w:lineRule="auto"/>
        <w:ind w:firstLineChars="200" w:firstLine="412"/>
        <w:rPr>
          <w:rFonts w:asciiTheme="minorEastAsia" w:eastAsiaTheme="minorEastAsia" w:hAnsiTheme="minorEastAsia"/>
          <w:spacing w:val="-2"/>
          <w:szCs w:val="21"/>
        </w:rPr>
      </w:pPr>
      <w:r w:rsidRPr="0047638B">
        <w:rPr>
          <w:rFonts w:asciiTheme="minorEastAsia" w:eastAsiaTheme="minorEastAsia" w:hAnsiTheme="minorEastAsia" w:hint="eastAsia"/>
          <w:spacing w:val="-2"/>
          <w:szCs w:val="21"/>
        </w:rPr>
        <w:t>9、参与转融通证券出借业务的风险</w:t>
      </w:r>
    </w:p>
    <w:p w14:paraId="70066A63" w14:textId="77777777" w:rsidR="00674A95" w:rsidRPr="0047638B" w:rsidRDefault="00674A95" w:rsidP="00674A95">
      <w:pPr>
        <w:spacing w:line="360" w:lineRule="auto"/>
        <w:ind w:firstLineChars="200" w:firstLine="412"/>
        <w:rPr>
          <w:rFonts w:asciiTheme="minorEastAsia" w:eastAsiaTheme="minorEastAsia" w:hAnsiTheme="minorEastAsia"/>
          <w:spacing w:val="-2"/>
          <w:szCs w:val="21"/>
        </w:rPr>
      </w:pPr>
      <w:r w:rsidRPr="0047638B">
        <w:rPr>
          <w:rFonts w:asciiTheme="minorEastAsia" w:eastAsiaTheme="minorEastAsia" w:hAnsiTheme="minorEastAsia" w:hint="eastAsia"/>
          <w:spacing w:val="-2"/>
          <w:szCs w:val="21"/>
        </w:rPr>
        <w:lastRenderedPageBreak/>
        <w:t>本基金可参与转融通证券出借业务，面临的风险包括但不限于：（</w:t>
      </w:r>
      <w:r w:rsidRPr="0047638B">
        <w:rPr>
          <w:rFonts w:asciiTheme="minorEastAsia" w:eastAsiaTheme="minorEastAsia" w:hAnsiTheme="minorEastAsia"/>
          <w:spacing w:val="-2"/>
          <w:szCs w:val="21"/>
        </w:rPr>
        <w:t>1</w:t>
      </w:r>
      <w:r w:rsidRPr="0047638B">
        <w:rPr>
          <w:rFonts w:asciiTheme="minorEastAsia" w:eastAsiaTheme="minorEastAsia" w:hAnsiTheme="minorEastAsia" w:hint="eastAsia"/>
          <w:spacing w:val="-2"/>
          <w:szCs w:val="21"/>
        </w:rPr>
        <w:t>）流动性风险，指面临大额赎回时，可能因证券出借原因发生无法及时变现支付赎回款项的风险；（</w:t>
      </w:r>
      <w:r w:rsidRPr="0047638B">
        <w:rPr>
          <w:rFonts w:asciiTheme="minorEastAsia" w:eastAsiaTheme="minorEastAsia" w:hAnsiTheme="minorEastAsia"/>
          <w:spacing w:val="-2"/>
          <w:szCs w:val="21"/>
        </w:rPr>
        <w:t>2</w:t>
      </w:r>
      <w:r w:rsidRPr="0047638B">
        <w:rPr>
          <w:rFonts w:asciiTheme="minorEastAsia" w:eastAsiaTheme="minorEastAsia" w:hAnsiTheme="minorEastAsia" w:hint="eastAsia"/>
          <w:spacing w:val="-2"/>
          <w:szCs w:val="21"/>
        </w:rPr>
        <w:t>）信用风险，指证券出借对手方可能无法及时归还证券、无法支付相应权益补偿及借券费用的风险；（</w:t>
      </w:r>
      <w:r w:rsidRPr="0047638B">
        <w:rPr>
          <w:rFonts w:asciiTheme="minorEastAsia" w:eastAsiaTheme="minorEastAsia" w:hAnsiTheme="minorEastAsia"/>
          <w:spacing w:val="-2"/>
          <w:szCs w:val="21"/>
        </w:rPr>
        <w:t>3</w:t>
      </w:r>
      <w:r w:rsidRPr="0047638B">
        <w:rPr>
          <w:rFonts w:asciiTheme="minorEastAsia" w:eastAsiaTheme="minorEastAsia" w:hAnsiTheme="minorEastAsia" w:hint="eastAsia"/>
          <w:spacing w:val="-2"/>
          <w:szCs w:val="21"/>
        </w:rPr>
        <w:t>）市场风险，指证券出借后可能面临出借期间无法及时处置证券的市场风险；（</w:t>
      </w:r>
      <w:r w:rsidRPr="0047638B">
        <w:rPr>
          <w:rFonts w:asciiTheme="minorEastAsia" w:eastAsiaTheme="minorEastAsia" w:hAnsiTheme="minorEastAsia"/>
          <w:spacing w:val="-2"/>
          <w:szCs w:val="21"/>
        </w:rPr>
        <w:t>4</w:t>
      </w:r>
      <w:r w:rsidRPr="0047638B">
        <w:rPr>
          <w:rFonts w:asciiTheme="minorEastAsia" w:eastAsiaTheme="minorEastAsia" w:hAnsiTheme="minorEastAsia" w:hint="eastAsia"/>
          <w:spacing w:val="-2"/>
          <w:szCs w:val="21"/>
        </w:rPr>
        <w:t>）其他风险，如宏观政策变化、证券市场剧烈波动、个别证券出现重大事件、交易对手方违约、业务规则调整、信息技术不能正常运行等风险。</w:t>
      </w:r>
    </w:p>
    <w:p w14:paraId="2579A52A" w14:textId="77777777" w:rsidR="008D34C9" w:rsidRPr="0047638B" w:rsidRDefault="008D34C9" w:rsidP="008D34C9">
      <w:pPr>
        <w:spacing w:line="360" w:lineRule="auto"/>
        <w:ind w:firstLineChars="200" w:firstLine="420"/>
        <w:rPr>
          <w:rFonts w:asciiTheme="minorEastAsia" w:eastAsiaTheme="minorEastAsia" w:hAnsiTheme="minorEastAsia"/>
          <w:szCs w:val="24"/>
        </w:rPr>
      </w:pPr>
    </w:p>
    <w:p w14:paraId="46C1F055"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二、市场风险</w:t>
      </w:r>
    </w:p>
    <w:p w14:paraId="192DCFF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投资于证券市场、期货市场，而证券市场价格因受到经济政治因素、政治经济因素、投资者心理和交易制度等各种因素的影响而产生波动，从而导致基金收益水平发生变化，产生风险。主要的风险因素包括：</w:t>
      </w:r>
    </w:p>
    <w:p w14:paraId="0D8EE29D"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1、政策风险。因货币政策、财政政策、产业政策、地区发展政策等国家宏观政策发生变化，可能导致市场证券市场价格波动，进而影响基金收益。</w:t>
      </w:r>
    </w:p>
    <w:p w14:paraId="3D984BE5"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2、经济周期风险。经济运行具有周期性的特点，随着宏观经济运行的周期性变化，证券、期货市场的收益水平也呈周期性变化，本基金所投资的各类资产的收益水平也会随之变化。</w:t>
      </w:r>
    </w:p>
    <w:p w14:paraId="16A4662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3、利率风险。金融市场利率的波动会导致证券市场价格和收益率的变动。利率直接影响着债券的价格和收益率，影响着企业的融资成本和利润。基金投资于债券和股票，其收益水平可能会受到利率变化的影响。</w:t>
      </w:r>
    </w:p>
    <w:p w14:paraId="3BEF0D4E"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5CDE32D7"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5、购买力风险。基金份额持有人投资于证券所获收益将主要通过现金形式来分配，若发生通货膨胀，现金的购买力可能因为通货膨胀因素而使其购买力下降,从而使基金的实际收益下降。</w:t>
      </w:r>
    </w:p>
    <w:p w14:paraId="53514336"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国际竞争风险。随着对外开放程度的不断提高，我国上市公司在发展过程中必将面临来自国际市场上具有同类技术、提供同类产品的企业的激烈竞争，部分上市公司可能会由于这种竞争而导致业绩下滑，造成其股票价格下跌，从而影响本基金的收益水平。</w:t>
      </w:r>
    </w:p>
    <w:p w14:paraId="6F8C580A"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7、信用风险。信用风险是指基金在交易过程发生交收违约，或者基金所投资债券之发</w:t>
      </w:r>
      <w:r w:rsidRPr="0047638B">
        <w:rPr>
          <w:rFonts w:asciiTheme="minorEastAsia" w:eastAsiaTheme="minorEastAsia" w:hAnsiTheme="minorEastAsia" w:hint="eastAsia"/>
          <w:szCs w:val="24"/>
        </w:rPr>
        <w:lastRenderedPageBreak/>
        <w:t>行人出现违约、拒绝支付到期本息，都可能导致基金资产损失和收益变化。</w:t>
      </w:r>
    </w:p>
    <w:p w14:paraId="761A6746"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三、管理风险</w:t>
      </w:r>
    </w:p>
    <w:p w14:paraId="6DF8DB24"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1、在基金资产运作过程中，基金管理人的知识、经验、判断、决策、技能等，会影响其对信息的占优以及对经济形势、证券价格走势的判断，从而影响基金资产收益水平；</w:t>
      </w:r>
    </w:p>
    <w:p w14:paraId="7EFBF7E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2、基金管理人与基金托管人的管理手段和管理技术等因素的变化也会影响基金收益水平。</w:t>
      </w:r>
    </w:p>
    <w:p w14:paraId="236139B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四、流动性风险</w:t>
      </w:r>
    </w:p>
    <w:p w14:paraId="63EF3C1A"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1、流动性风险评估</w:t>
      </w:r>
    </w:p>
    <w:p w14:paraId="6BE1948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为股票指数基金，主要投资于具有良好流动性的金融工具，包括标的指数成份股及备选成份股。此外，为更好地实现投资目标，本基金可少量投资于非成份股、债券、货币市场工具、金融衍生品以及法律法规或中国证监会允许基金投资的其他金融工具。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14:paraId="480AD149"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2、巨额赎回情形下的流动性风险管理措施</w:t>
      </w:r>
    </w:p>
    <w:p w14:paraId="620BAED1"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基金份额的申购与赎回”之“巨额赎回的情形及处理方式”。</w:t>
      </w:r>
    </w:p>
    <w:p w14:paraId="753E64D5"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发生上述情形时，投资人面临无法全部赎回或无法及时获得赎回资金的风险。在本基金暂停或延期办理投资者赎回申请的情况下，投资者未能赎回的基金份额还将面临净值波动的风险。</w:t>
      </w:r>
    </w:p>
    <w:p w14:paraId="75AF4892"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3、除巨额赎回情形外实施备用的流动性风险管理工具的情形、程序及对投资者的潜在影响</w:t>
      </w:r>
    </w:p>
    <w:p w14:paraId="607FF95B"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除巨额赎回情形外，本基金备用流动性风险管理工具包括但不限于暂停接受赎回申请、延缓支付赎回款项、收取短期赎回费、暂停基金估值、摆动定价以及证监会认定的其他措施。</w:t>
      </w:r>
    </w:p>
    <w:p w14:paraId="288DFCB0"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暂停接受赎回申请、延缓支付赎回款项等工具的情形、程序见《招募说明书》“基金份额的申购与赎回”之“拒绝或暂停申购的情形”、“暂停赎回或延缓支付赎回款项的情形”的相关规定。若本基金暂停接受投资者的赎回申请，投资者在暂停赎回期间将无法赎回其持有的基金份额。若本基金延缓支付赎回款项，赎回款支付时间将后延，可能对投资者的资金安排带来不利影响。</w:t>
      </w:r>
    </w:p>
    <w:p w14:paraId="6A23C39A"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短期赎回费适用于持续持有期少于 7 日的投资者，费率为1.5%。短期赎回费由赎回基金份额的基金份额持有人承担，在基金份额持有人赎回基金份额时收取，并全额计入基金财产，投资者份额持有时间记录规则以登记结算机构最新业务规则为准，具体持有时间以登记结算机构系统记录为准。短期赎回费的收取将使得投资者在持续持有期限少于7日时会承担较高的赎回费。</w:t>
      </w:r>
    </w:p>
    <w:p w14:paraId="7913D8B6"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暂停基金估值的情形、程序见《招募说明书》“基金资产的估值”之“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096DC24B"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采用摆动定价机制的情形、程序见《招募说明书》“基金资产的估值”之“估值方法”的相关规定。若本基金采取摆动定价机制，投资者申购基金获得的申购份额及赎回基金获得的赎回金额均可能受到不利影响。</w:t>
      </w:r>
    </w:p>
    <w:p w14:paraId="52C37A9B"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五、本基金法律文件中涉及基金风险特征的表述与销售机构对基金的风险评级可能不一致的风险</w:t>
      </w:r>
    </w:p>
    <w:p w14:paraId="30437177"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26649DF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六、其他风险</w:t>
      </w:r>
    </w:p>
    <w:p w14:paraId="7D0C4432"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1、因技术因素而产生的风险，如电脑等技术系统的故障或差错产生的风险；</w:t>
      </w:r>
    </w:p>
    <w:p w14:paraId="5AA138F5"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2、因战争、自然灾害等不可抗力导致的基金管理人、基金托管人、登记结算机构、基金销售机构等机构无法正常工作，从而影响基金运作的风险；</w:t>
      </w:r>
    </w:p>
    <w:p w14:paraId="7613068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3、因金融市场危机、代理商违约、基金托管人违约等超出基金管理人自身控制能力的因素出现，可能导致基金或者基金份额持有人利益受损的风险；</w:t>
      </w:r>
    </w:p>
    <w:p w14:paraId="52EDC4ED"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4、因固定收益类金融工具主要在场外市场进行交易，场外市场交易现阶段自动化程度较场内市场低，本基金在投资运作过程中可能面临操作风险。</w:t>
      </w:r>
    </w:p>
    <w:p w14:paraId="06A8A35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5、本基金的多项服务委托第三方机构办理，存在以下风险：</w:t>
      </w:r>
    </w:p>
    <w:p w14:paraId="0E8E57DC"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（1）登记结算机构可能调整结算制度，如实施货银对付制度，对投资人基金份额、组合证券及资金的结算方式发生变化，制度调整可能给投资人带来风险。同样的风险还可能来自于证券交易所及其他代理机构。</w:t>
      </w:r>
    </w:p>
    <w:p w14:paraId="05CD48F3" w14:textId="77777777"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（2）证券交易所、登记结算机构、基金托管人及其他代理机构可能违约，导致基金或投资人利益受损的风险。</w:t>
      </w:r>
    </w:p>
    <w:p w14:paraId="4B49ED57" w14:textId="2F744455" w:rsidR="008D34C9" w:rsidRPr="0047638B" w:rsidRDefault="008D34C9" w:rsidP="008D34C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6、其他意外导致的风险。</w:t>
      </w:r>
    </w:p>
    <w:p w14:paraId="24B17880" w14:textId="06266FCB" w:rsidR="003B64E0" w:rsidRPr="0047638B" w:rsidRDefault="00236999"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br w:type="page"/>
      </w:r>
    </w:p>
    <w:p w14:paraId="47689579" w14:textId="5AFEF639"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09" w:name="_Toc77780009"/>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二</w:t>
      </w:r>
      <w:r w:rsidR="003B64E0" w:rsidRPr="0047638B">
        <w:rPr>
          <w:rFonts w:asciiTheme="minorEastAsia" w:eastAsiaTheme="minorEastAsia" w:hAnsiTheme="minorEastAsia"/>
          <w:b w:val="0"/>
          <w:sz w:val="30"/>
        </w:rPr>
        <w:t>、</w:t>
      </w:r>
      <w:r w:rsidR="00411FD2" w:rsidRPr="0047638B">
        <w:rPr>
          <w:rFonts w:asciiTheme="minorEastAsia" w:eastAsiaTheme="minorEastAsia" w:hAnsiTheme="minorEastAsia" w:hint="eastAsia"/>
          <w:b w:val="0"/>
          <w:sz w:val="30"/>
        </w:rPr>
        <w:t>《</w:t>
      </w:r>
      <w:r w:rsidR="00E13C79" w:rsidRPr="0047638B">
        <w:rPr>
          <w:rFonts w:asciiTheme="minorEastAsia" w:eastAsiaTheme="minorEastAsia" w:hAnsiTheme="minorEastAsia"/>
          <w:b w:val="0"/>
          <w:sz w:val="30"/>
        </w:rPr>
        <w:t>基金合同</w:t>
      </w:r>
      <w:r w:rsidR="00411FD2"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的变更、终止与基金财产的清算</w:t>
      </w:r>
      <w:bookmarkEnd w:id="3609"/>
    </w:p>
    <w:p w14:paraId="123B2E08" w14:textId="77777777" w:rsidR="00E13C79" w:rsidRPr="0047638B" w:rsidRDefault="003B64E0"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411FD2" w:rsidRPr="0047638B">
        <w:rPr>
          <w:rFonts w:asciiTheme="minorEastAsia" w:eastAsiaTheme="minorEastAsia" w:hAnsiTheme="minorEastAsia" w:hint="eastAsia"/>
        </w:rPr>
        <w:t>《</w:t>
      </w:r>
      <w:r w:rsidR="00E13C79" w:rsidRPr="0047638B">
        <w:rPr>
          <w:rFonts w:asciiTheme="minorEastAsia" w:eastAsiaTheme="minorEastAsia" w:hAnsiTheme="minorEastAsia"/>
        </w:rPr>
        <w:t>基金合同</w:t>
      </w:r>
      <w:r w:rsidR="00411FD2" w:rsidRPr="0047638B">
        <w:rPr>
          <w:rFonts w:asciiTheme="minorEastAsia" w:eastAsiaTheme="minorEastAsia" w:hAnsiTheme="minorEastAsia"/>
        </w:rPr>
        <w:t>》</w:t>
      </w:r>
      <w:r w:rsidR="00E13C79" w:rsidRPr="0047638B">
        <w:rPr>
          <w:rFonts w:asciiTheme="minorEastAsia" w:eastAsiaTheme="minorEastAsia" w:hAnsiTheme="minorEastAsia"/>
        </w:rPr>
        <w:t>的变更</w:t>
      </w:r>
    </w:p>
    <w:p w14:paraId="0361B20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5F7E7E6" w14:textId="24C35B2C" w:rsidR="00895C25" w:rsidRPr="0047638B" w:rsidRDefault="003324C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2、关于《基金合同》变更的基金份额持有人大会决议自表决通过之日起生效，自决议生效后两日内在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公告。</w:t>
      </w:r>
    </w:p>
    <w:p w14:paraId="22883A39" w14:textId="77777777" w:rsidR="00895C25" w:rsidRPr="0047638B" w:rsidRDefault="00895C25"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（二）《基金合同》的终止</w:t>
      </w:r>
      <w:r w:rsidR="004F7FDE" w:rsidRPr="0047638B">
        <w:rPr>
          <w:rFonts w:asciiTheme="minorEastAsia" w:eastAsiaTheme="minorEastAsia" w:hAnsiTheme="minorEastAsia"/>
        </w:rPr>
        <w:t>事由</w:t>
      </w:r>
    </w:p>
    <w:p w14:paraId="5F2E641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有下列情形之一的，《基金合同》应当终止：</w:t>
      </w:r>
    </w:p>
    <w:p w14:paraId="11C38A5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1、基金份额持有人大会决定终止的；</w:t>
      </w:r>
    </w:p>
    <w:p w14:paraId="159F3BB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2、基金管理人、基金托管人职责终止，在6个月内没有新基金管理人、新基金托管人承接的；</w:t>
      </w:r>
    </w:p>
    <w:p w14:paraId="18C1DA75" w14:textId="3E1FBB8B" w:rsidR="00DD18D9" w:rsidRPr="0047638B" w:rsidRDefault="00561038" w:rsidP="002D2486">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3、《基金合同》约定的其他情形；</w:t>
      </w:r>
    </w:p>
    <w:p w14:paraId="5FE67638" w14:textId="626AA9FF" w:rsidR="00895C25" w:rsidRPr="0047638B" w:rsidRDefault="003324C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4、相关法律法规和中国证监会规定的其他情况。</w:t>
      </w:r>
    </w:p>
    <w:p w14:paraId="275239A2" w14:textId="77777777" w:rsidR="00895C25" w:rsidRPr="0047638B" w:rsidRDefault="00895C25"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（三）基金财产的清算</w:t>
      </w:r>
    </w:p>
    <w:p w14:paraId="1879B5E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1、基金财产清算小组：自出现《基金合同》终止事由之日起30个工作日内成立清算小组，基金管理人组织基金财产清算小组并在中国证监会的监督下进行基金清算。</w:t>
      </w:r>
    </w:p>
    <w:p w14:paraId="1044EFC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FB0A03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3、基金财产清算小组职责：基金财产清算小组负责基金财产的保管、清理、估价、变现和分配。基金财产清算小组可以依法进行必要的民事活动。</w:t>
      </w:r>
    </w:p>
    <w:p w14:paraId="75FEDA1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4、基金财产清算程序：</w:t>
      </w:r>
    </w:p>
    <w:p w14:paraId="4D0146BF"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（1）《基金合同》终止情形出现时，由基金财产清算小组统一接管基金；</w:t>
      </w:r>
    </w:p>
    <w:p w14:paraId="4503F59D"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（2）对基金财产和债权债务进行清理和确认；</w:t>
      </w:r>
    </w:p>
    <w:p w14:paraId="43F254E9"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（3）对基金财产进行估值和变现；</w:t>
      </w:r>
    </w:p>
    <w:p w14:paraId="42B0566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（4）制作清算报告；</w:t>
      </w:r>
    </w:p>
    <w:p w14:paraId="01F036AB"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（5）聘请会计师事务所对清算报告进行外部审计，聘请律师事务所对清算报告出具法律意见书；</w:t>
      </w:r>
    </w:p>
    <w:p w14:paraId="776DF1E5"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lastRenderedPageBreak/>
        <w:t>（6）将清算报告报中国证监会备案并公告；</w:t>
      </w:r>
    </w:p>
    <w:p w14:paraId="4FE5CBBD" w14:textId="77777777" w:rsidR="00895C25" w:rsidRPr="0047638B" w:rsidRDefault="003324C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（7）对基金剩余财产进行分配。</w:t>
      </w:r>
    </w:p>
    <w:p w14:paraId="3DC5F1A5" w14:textId="77777777" w:rsidR="00895C25" w:rsidRPr="0047638B" w:rsidRDefault="004F7FD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（四）</w:t>
      </w:r>
      <w:r w:rsidR="00895C25" w:rsidRPr="0047638B">
        <w:rPr>
          <w:rFonts w:asciiTheme="minorEastAsia" w:eastAsiaTheme="minorEastAsia" w:hAnsiTheme="minorEastAsia"/>
          <w:szCs w:val="24"/>
        </w:rPr>
        <w:t>清算费用</w:t>
      </w:r>
    </w:p>
    <w:p w14:paraId="6DD41491" w14:textId="77777777" w:rsidR="00895C25" w:rsidRPr="0047638B" w:rsidRDefault="003324CF"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清算费用是指基金财产清算小组在进行基金清算过程中发生的所有合理费用，清算费用由基金财产清算小组优先从基金财产中支付。</w:t>
      </w:r>
    </w:p>
    <w:p w14:paraId="7C25DF68" w14:textId="77777777" w:rsidR="004F7FDE" w:rsidRPr="0047638B" w:rsidRDefault="004F7FD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（五）基金财产清算剩余资产的分配</w:t>
      </w:r>
    </w:p>
    <w:p w14:paraId="53F885CD" w14:textId="463CC70B" w:rsidR="00895C25" w:rsidRPr="0047638B" w:rsidRDefault="00A1159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依据基金财产清算的分配方案，将基金财产清算后的全部剩余资产扣除基金财产清算费用、交纳所欠税款并清偿基金债务后，</w:t>
      </w:r>
      <w:r w:rsidR="005A76A3" w:rsidRPr="0047638B">
        <w:rPr>
          <w:rFonts w:asciiTheme="minorEastAsia" w:eastAsiaTheme="minorEastAsia" w:hAnsiTheme="minorEastAsia"/>
          <w:szCs w:val="24"/>
        </w:rPr>
        <w:t>按</w:t>
      </w:r>
      <w:r w:rsidRPr="0047638B">
        <w:rPr>
          <w:rFonts w:asciiTheme="minorEastAsia" w:eastAsiaTheme="minorEastAsia" w:hAnsiTheme="minorEastAsia"/>
          <w:szCs w:val="24"/>
        </w:rPr>
        <w:t>基金份额持有人持有的基金份额比例进行分配。</w:t>
      </w:r>
    </w:p>
    <w:p w14:paraId="0031EE68" w14:textId="77777777" w:rsidR="00895C25" w:rsidRPr="0047638B" w:rsidRDefault="004F7FD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（六）</w:t>
      </w:r>
      <w:r w:rsidR="00895C25" w:rsidRPr="0047638B">
        <w:rPr>
          <w:rFonts w:asciiTheme="minorEastAsia" w:eastAsiaTheme="minorEastAsia" w:hAnsiTheme="minorEastAsia"/>
        </w:rPr>
        <w:t>基金财产清算的公告</w:t>
      </w:r>
    </w:p>
    <w:p w14:paraId="1693B299" w14:textId="33934122" w:rsidR="004F7FDE" w:rsidRPr="0047638B" w:rsidRDefault="00A1159D"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清算过程中的有关重大事项须及时公告；基金财产清算报告经</w:t>
      </w:r>
      <w:r w:rsidR="005A76A3" w:rsidRPr="0047638B">
        <w:rPr>
          <w:rFonts w:asciiTheme="minorEastAsia" w:eastAsiaTheme="minorEastAsia" w:hAnsiTheme="minorEastAsia" w:hint="eastAsia"/>
          <w:bCs/>
          <w:szCs w:val="21"/>
        </w:rPr>
        <w:t>符合《证券法》规定的</w:t>
      </w:r>
      <w:r w:rsidRPr="0047638B">
        <w:rPr>
          <w:rFonts w:asciiTheme="minorEastAsia" w:eastAsiaTheme="minorEastAsia" w:hAnsiTheme="minorEastAsia"/>
          <w:szCs w:val="24"/>
        </w:rPr>
        <w:t>会计师事务所审计并由律师事务所出具法律意见书后报中国证监会备案并公告。基金财产清算公告于基金财产清算报告报中国证监会备案后5个工作日内由基金财产清算小组进行公告。</w:t>
      </w:r>
    </w:p>
    <w:p w14:paraId="3B374E82" w14:textId="77777777" w:rsidR="00895C25" w:rsidRPr="0047638B" w:rsidRDefault="004F7FD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（七）</w:t>
      </w:r>
      <w:r w:rsidR="00895C25" w:rsidRPr="0047638B">
        <w:rPr>
          <w:rFonts w:asciiTheme="minorEastAsia" w:eastAsiaTheme="minorEastAsia" w:hAnsiTheme="minorEastAsia"/>
        </w:rPr>
        <w:t>基金财产清算账册及文件的保存</w:t>
      </w:r>
    </w:p>
    <w:p w14:paraId="53CB988A" w14:textId="77777777" w:rsidR="003B64E0" w:rsidRPr="0047638B" w:rsidRDefault="00A1159D"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基金财产清算账册及有关文件由基金托管人保存15年以上。</w:t>
      </w:r>
      <w:r w:rsidR="003B64E0" w:rsidRPr="0047638B">
        <w:rPr>
          <w:rFonts w:asciiTheme="minorEastAsia" w:eastAsiaTheme="minorEastAsia" w:hAnsiTheme="minorEastAsia"/>
        </w:rPr>
        <w:br w:type="page"/>
      </w:r>
    </w:p>
    <w:p w14:paraId="44A7C4D8" w14:textId="163F4810"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10" w:name="_Toc77780010"/>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三</w:t>
      </w:r>
      <w:r w:rsidR="003B64E0" w:rsidRPr="0047638B">
        <w:rPr>
          <w:rFonts w:asciiTheme="minorEastAsia" w:eastAsiaTheme="minorEastAsia" w:hAnsiTheme="minorEastAsia"/>
          <w:b w:val="0"/>
          <w:sz w:val="30"/>
        </w:rPr>
        <w:t>、</w:t>
      </w:r>
      <w:r w:rsidR="00411FD2"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基金合同</w:t>
      </w:r>
      <w:r w:rsidR="00411FD2"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的内容摘要</w:t>
      </w:r>
      <w:bookmarkEnd w:id="3610"/>
    </w:p>
    <w:p w14:paraId="73375CB8"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（一）《基金合同》当事人及权利义务</w:t>
      </w:r>
    </w:p>
    <w:p w14:paraId="2DECFF46"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1、基金份额持有人的权利和义务</w:t>
      </w:r>
    </w:p>
    <w:p w14:paraId="52BD960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E306FAA" w14:textId="48160B60" w:rsidR="008A6169" w:rsidRPr="0047638B" w:rsidRDefault="00674A95"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szCs w:val="24"/>
        </w:rPr>
        <w:t>同一类别</w:t>
      </w:r>
      <w:r w:rsidR="008A6169" w:rsidRPr="0047638B">
        <w:rPr>
          <w:rFonts w:asciiTheme="minorEastAsia" w:eastAsiaTheme="minorEastAsia" w:hAnsiTheme="minorEastAsia" w:hint="eastAsia"/>
          <w:bCs/>
          <w:szCs w:val="21"/>
        </w:rPr>
        <w:t>每份基金份额具有同等的合法权益。</w:t>
      </w:r>
    </w:p>
    <w:p w14:paraId="3338BBA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（1）根据《基金法》、《运作办法》及其他有关规定，基金份额持有人的权利包括但不限于：</w:t>
      </w:r>
    </w:p>
    <w:p w14:paraId="2283C8E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1）分享基金财产收益；</w:t>
      </w:r>
    </w:p>
    <w:p w14:paraId="34BF8B4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2）参与分配清算后的剩余基金财产；</w:t>
      </w:r>
    </w:p>
    <w:p w14:paraId="334F0D9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3）依法转让其持有基金份额，依法申请赎回或转让其持有的基金份额；</w:t>
      </w:r>
    </w:p>
    <w:p w14:paraId="7AC8474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4）按照规定要求召开基金份额持有人大会或者召集基金份额持有人大会；</w:t>
      </w:r>
    </w:p>
    <w:p w14:paraId="7063FD5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5）出席或者委派代表出席基金份额持有人大会，对基金份额持有人大会审议事项行使表决权；</w:t>
      </w:r>
    </w:p>
    <w:p w14:paraId="46FB88A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6）查阅或者复制公开披露的基金信息资料；</w:t>
      </w:r>
    </w:p>
    <w:p w14:paraId="3AB6BE4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7）监督基金管理人的投资运作；</w:t>
      </w:r>
    </w:p>
    <w:p w14:paraId="0FAF299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8）对基金管理人、基金托管人、基金服务机构损害其合法权益的行为依法提起诉讼或仲裁；</w:t>
      </w:r>
    </w:p>
    <w:p w14:paraId="4DDBB11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9）法律法规及中国证监会规定和《基金合同》约定的其他权利。</w:t>
      </w:r>
    </w:p>
    <w:p w14:paraId="0024B4E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（2）根据《基金法》、《运作办法》及其他有关规定，基金份额持有人的义务包括但不限于：</w:t>
      </w:r>
    </w:p>
    <w:p w14:paraId="1B3C4EE5"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1）认真阅读并遵守《基金合同》、《招募说明书》等信息披露文件；</w:t>
      </w:r>
    </w:p>
    <w:p w14:paraId="73AB664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2）了解所投资基金产品，了解自身风险承受能力，自主判断基金的投资价值，自主做出投资决策，自行承担投资风险；</w:t>
      </w:r>
    </w:p>
    <w:p w14:paraId="117FBE2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3）关注基金信息披露，及时行使权利和履行义务；</w:t>
      </w:r>
    </w:p>
    <w:p w14:paraId="6CAE006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4）缴纳基金申购款项及法律法规及中国证监会规定和《基金合同》所规定的费用；</w:t>
      </w:r>
    </w:p>
    <w:p w14:paraId="6A53733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5）在其持有的基金份额范围内，承担基金亏损或者《基金合同》终止的有限责任；</w:t>
      </w:r>
    </w:p>
    <w:p w14:paraId="1E79185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6）不从事任何有损基金及其他《基金合同》当事人合法权益的活动；</w:t>
      </w:r>
    </w:p>
    <w:p w14:paraId="26A6D2D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7）执行生效的基金份额持有人大会的决议；</w:t>
      </w:r>
    </w:p>
    <w:p w14:paraId="68F4304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8）返还在基金交易过程中因任何原因获得的不当得利；</w:t>
      </w:r>
    </w:p>
    <w:p w14:paraId="04332BC2" w14:textId="67286515" w:rsidR="00DD18D9" w:rsidRPr="0047638B" w:rsidRDefault="008A6169">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szCs w:val="21"/>
        </w:rPr>
        <w:lastRenderedPageBreak/>
        <w:t>9）法律法规及中国证监会规定的和《基金合同》约定的其他义务。</w:t>
      </w:r>
    </w:p>
    <w:p w14:paraId="3A226122"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2、基金管理人的权利与义务</w:t>
      </w:r>
    </w:p>
    <w:p w14:paraId="5838A84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（1）根据《基金法》、《运作办法》及其他有关规定，基金管理人的权利包括但不限于：</w:t>
      </w:r>
    </w:p>
    <w:p w14:paraId="109DC00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1）依法募集资金；</w:t>
      </w:r>
    </w:p>
    <w:p w14:paraId="0EDCCAE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2）自《基金合同》生效之日起，根据法律法规及中国证监会规定和《基金合同》独立运用并管理基金财产；</w:t>
      </w:r>
    </w:p>
    <w:p w14:paraId="475FB04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3）依照《基金合同》收取基金管理费以及法律法规规定或中国证监会批准的其他费用；</w:t>
      </w:r>
    </w:p>
    <w:p w14:paraId="3CFAFA9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4）销售基金份额；</w:t>
      </w:r>
    </w:p>
    <w:p w14:paraId="036B9E4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5）按照规定召集基金份额持有人大会；</w:t>
      </w:r>
    </w:p>
    <w:p w14:paraId="52A3476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5CF73D2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7）在基金托管人更换时，提名新的基金托管人；</w:t>
      </w:r>
    </w:p>
    <w:p w14:paraId="13F2730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 xml:space="preserve">8）选择、更换基金销售机构，对基金销售机构的相关行为进行监督和处理； </w:t>
      </w:r>
    </w:p>
    <w:p w14:paraId="573406F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 xml:space="preserve">9）担任或委托其他符合条件的机构担任基金登记结算机构办理基金登记业务并获得《基金合同》规定的费用； </w:t>
      </w:r>
    </w:p>
    <w:p w14:paraId="01FD3F9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10）依据《基金合同》及有关法律规定决定基金收益的分配方案；</w:t>
      </w:r>
    </w:p>
    <w:p w14:paraId="6B7DBE0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 xml:space="preserve">11）在《基金合同》约定的范围内，拒绝或暂停受理申购、赎回与转换申请； </w:t>
      </w:r>
    </w:p>
    <w:p w14:paraId="51F0E10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12）依照法律法规为基金的利益对被投资公司行使股东权利，为基金的利益行使因基金财产投资于证券所产生的权利；</w:t>
      </w:r>
    </w:p>
    <w:p w14:paraId="20F58E1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 xml:space="preserve">13）在法律法规允许的前提下，为基金的利益依法为基金进行融资、融券； </w:t>
      </w:r>
    </w:p>
    <w:p w14:paraId="07595D0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14）以基金管理人的名义，代表基金份额持有人的利益行使诉讼权利或者实施其他法律行为；</w:t>
      </w:r>
    </w:p>
    <w:p w14:paraId="0A51B5E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15）选择、更换律师事务所、会计师事务所、证券经纪商或其他为基金提供服务的外部机构；</w:t>
      </w:r>
    </w:p>
    <w:p w14:paraId="7BBB02E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16）在符合有关法律、法规的前提下，制订和调整有关基金申购、赎回、转换等业务规则；</w:t>
      </w:r>
    </w:p>
    <w:p w14:paraId="506C32E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17）法律法规及中国证监会规定的和《基金合同》约定的其他权利。</w:t>
      </w:r>
    </w:p>
    <w:p w14:paraId="61E9F56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（2）根据《基金法》、《运作办法》及其他有关规定，基金管理人的义务包括但不限于：</w:t>
      </w:r>
    </w:p>
    <w:p w14:paraId="677750D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1）依法募集资金，办理或者委托经中国证监会认定的其他机构办理基金份额的发售、申购、赎回和登记事宜；</w:t>
      </w:r>
    </w:p>
    <w:p w14:paraId="6764662C"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2）办理基金备案手续；</w:t>
      </w:r>
    </w:p>
    <w:p w14:paraId="11B096A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3）自《基金合同》生效之日起,以诚实信用、谨慎勤勉的原则管理和运用基金财产；</w:t>
      </w:r>
    </w:p>
    <w:p w14:paraId="3E914BE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4）配备足够的具有专业资格的人员进行基金投资分析、决策，以专业化的经营方式管</w:t>
      </w:r>
      <w:r w:rsidRPr="0047638B">
        <w:rPr>
          <w:rFonts w:asciiTheme="minorEastAsia" w:eastAsiaTheme="minorEastAsia" w:hAnsiTheme="minorEastAsia" w:hint="eastAsia"/>
          <w:bCs/>
          <w:szCs w:val="21"/>
        </w:rPr>
        <w:lastRenderedPageBreak/>
        <w:t>理和运作基金财产；</w:t>
      </w:r>
    </w:p>
    <w:p w14:paraId="6718D93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3F51209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6）除依据《基金法》、《基金合同》及其他有关规定外,不得利用基金财产为自己及任何第三人谋取利益，不得委托第三人运作基金财产；</w:t>
      </w:r>
    </w:p>
    <w:p w14:paraId="265B268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7）依法接受基金托管人的监督；</w:t>
      </w:r>
    </w:p>
    <w:p w14:paraId="11E0F5D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8）采取适当合理的措施使计算基金份额申购、赎回和注销价格的方法符合《基金合同》等法律文件的规定，按有关规定计算并公告基金净值信息，确定基金份额申购、赎回的价格；</w:t>
      </w:r>
    </w:p>
    <w:p w14:paraId="7E42E2F5"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9）进行基金会计核算并编制基金财务会计报告；</w:t>
      </w:r>
    </w:p>
    <w:p w14:paraId="6709CC4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10）编制季度报告、中期报告和年度报告；</w:t>
      </w:r>
    </w:p>
    <w:p w14:paraId="7DEDF88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11）严格按照《基金法》、《基金合同》及其他有关规定，履行信息披露及报告义务；</w:t>
      </w:r>
    </w:p>
    <w:p w14:paraId="2D64839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12）保守基金商业秘密，不泄露基金投资计划、投资意向等。除《基金法》、《基金合同》及其他有关规定另有规定外，在基金信息公开披露前应予保密，不向他人泄露；</w:t>
      </w:r>
    </w:p>
    <w:p w14:paraId="0418762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13）按《基金合同》的约定确定基金收益分配方案，及时向基金份额持有人分配基金收益；</w:t>
      </w:r>
    </w:p>
    <w:p w14:paraId="397937D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14）按规定受理申购与赎回申请，及时、足额支付赎回款项；</w:t>
      </w:r>
    </w:p>
    <w:p w14:paraId="7A5F269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15）依据《基金法》、《基金合同》及其他有关规定召集基金份额持有人大会或配合基金托管人、基金份额持有人依法召集基金份额持有人大会；</w:t>
      </w:r>
    </w:p>
    <w:p w14:paraId="2F593F2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16）按规定保存基金财产管理业务活动的会计账册、报表、记录和其他相关资料15年以上；</w:t>
      </w:r>
    </w:p>
    <w:p w14:paraId="0DD7DCF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457D0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18）组织并参加基金财产清算小组,参与基金财产的保管、清理、估价、变现和分配；</w:t>
      </w:r>
    </w:p>
    <w:p w14:paraId="5DDA21F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19）面临解散、依法被撤销或者被依法宣告破产时，及时报告中国证监会并通知基金托管人；</w:t>
      </w:r>
    </w:p>
    <w:p w14:paraId="145642A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20）因违反《基金合同》导致基金财产的损失或损害基金份额持有人合法权益时，应当承担赔偿责任，其赔偿责任不因其退任而免除；</w:t>
      </w:r>
    </w:p>
    <w:p w14:paraId="4C47911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21）监督基金托管人按法律法规及中国证监会规定和《基金合同》规定履行自己的义务，基金托管人违反《基金合同》造成基金财产损失时，基金管理人应为基金份额持有人利益向基金托管人追偿；</w:t>
      </w:r>
    </w:p>
    <w:p w14:paraId="70957DA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22）当基金管理人将其义务委托第三方处理时，应当对第三方处理有关基金事务的行为承担责任；</w:t>
      </w:r>
    </w:p>
    <w:p w14:paraId="3201BA1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lastRenderedPageBreak/>
        <w:t>23）以基金管理人名义，代表基金份额持有人利益行使诉讼权利或实施其他法律行为；</w:t>
      </w:r>
    </w:p>
    <w:p w14:paraId="074D098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24）执行生效的基金份额持有人大会的决议；</w:t>
      </w:r>
    </w:p>
    <w:p w14:paraId="31726B1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25）建立并保存基金份额持有人名册；</w:t>
      </w:r>
    </w:p>
    <w:p w14:paraId="54CC919B" w14:textId="48AB724D" w:rsidR="00DD18D9" w:rsidRPr="0047638B" w:rsidRDefault="008A6169">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szCs w:val="21"/>
        </w:rPr>
        <w:t>26）法律法规及中国证监会规定的和《基金合同》约定的其他义务。</w:t>
      </w:r>
    </w:p>
    <w:p w14:paraId="46FABEAD"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3、基金托管人的权利与义务</w:t>
      </w:r>
    </w:p>
    <w:p w14:paraId="57820F7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（1）根据《基金法》、《运作办法》及其他有关规定，基金托管人的权利包括但不限于：</w:t>
      </w:r>
    </w:p>
    <w:p w14:paraId="3398CA36"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1）自《基金合同》生效之日起，依法律法规及中国证监会规定和《基金合同》的规定安全保管基金财产；</w:t>
      </w:r>
    </w:p>
    <w:p w14:paraId="07923C02"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2）依《基金合同》约定获得基金托管费以及法律法规规定或监管部门批准的其他费用；</w:t>
      </w:r>
    </w:p>
    <w:p w14:paraId="1014C9A8"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888FCF7"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4）根据相关市场规则，为基金开设证券账户、为基金办理证券交易资金清算；</w:t>
      </w:r>
    </w:p>
    <w:p w14:paraId="0A5D356C"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5）提议召开或召集基金份额持有人大会；</w:t>
      </w:r>
    </w:p>
    <w:p w14:paraId="34D731B9"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6）在基金管理人更换时，提名新的基金管理人；</w:t>
      </w:r>
    </w:p>
    <w:p w14:paraId="3E9B569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7）法律法规及中国证监会规定和《基金合同》约定的其他权利。</w:t>
      </w:r>
    </w:p>
    <w:p w14:paraId="68564E53"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（2）根据《基金法》、《运作办法》及其他有关规定，基金托管人的义务包括但不限于：</w:t>
      </w:r>
    </w:p>
    <w:p w14:paraId="5207B412"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1）以诚实信用、勤勉尽责的原则持有并安全保管基金财产；</w:t>
      </w:r>
    </w:p>
    <w:p w14:paraId="0C94024A"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2）设立专门的基金托管部门，具有符合要求的营业场所，配备足够的、合格的熟悉基金托管业务的专职人员，负责基金财产托管事宜；</w:t>
      </w:r>
    </w:p>
    <w:p w14:paraId="25288C01"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8FC1E8"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4）除依据《基金法》、《基金合同》、《托管协议》及其他有关规定外，不得利用基金财产为自己及任何第三人谋取利益，不得委托第三人托管基金财产；</w:t>
      </w:r>
    </w:p>
    <w:p w14:paraId="690E95F4"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5）保管由基金管理人代表基金签订的与基金有关的重大合同及有关凭证；</w:t>
      </w:r>
    </w:p>
    <w:p w14:paraId="6F9BA614"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6）按规定开设基金财产的资金账户和证券账户，按照《基金合同》、《托管协议》的约定，根据基金管理人的投资指令，及时办理清算、交割事宜；</w:t>
      </w:r>
    </w:p>
    <w:p w14:paraId="413F3172"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7）保守基金商业秘密，除《基金法》、《基金合同》、《托管协议》及其他有关规定另有规定外，在基金信息公开披露前予以保密，不得向他人泄露；</w:t>
      </w:r>
    </w:p>
    <w:p w14:paraId="3058B6B6"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8）复核、审查基金管理人计算的基金资产净值、基金份额净值、申购、赎回价格；</w:t>
      </w:r>
    </w:p>
    <w:p w14:paraId="566624D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9）办理与基金托管业务活动有关的信息披露事项；</w:t>
      </w:r>
    </w:p>
    <w:p w14:paraId="27A0BD00"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10）对基金财务会计报告、季度报告、中期报告和年度报告出具意见，说明基金管理人</w:t>
      </w:r>
      <w:r w:rsidRPr="0047638B">
        <w:rPr>
          <w:rFonts w:asciiTheme="minorEastAsia" w:eastAsiaTheme="minorEastAsia" w:hAnsiTheme="minorEastAsia" w:hint="eastAsia"/>
          <w:bCs/>
        </w:rPr>
        <w:lastRenderedPageBreak/>
        <w:t>在各重要方面的运作是否严格按照《基金合同》、《托管协议》的规定进行；如果基金管理人有未执行《基金合同》、《托管协议》规定的行为，还应当说明基金托管人是否采取了适当的措施；</w:t>
      </w:r>
    </w:p>
    <w:p w14:paraId="5C7F81DD"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11）保存基金托管业务活动的记录、账册、报表和其他相关资料15年以上；</w:t>
      </w:r>
    </w:p>
    <w:p w14:paraId="22A5E576"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12）建立并保存基金份额持有人名册；</w:t>
      </w:r>
    </w:p>
    <w:p w14:paraId="5160A21A"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13）按规定制作相关账册并与基金管理人核对；</w:t>
      </w:r>
    </w:p>
    <w:p w14:paraId="0337AF2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14）依据基金管理人的指令或有关规定向基金份额持有人支付基金收益和赎回款项；</w:t>
      </w:r>
    </w:p>
    <w:p w14:paraId="0A47B16F"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15）依据《基金法》、《基金合同》及其他有关规定，召集基金份额持有人大会或配合基金份额持有人依法召集基金份额持有人大会；</w:t>
      </w:r>
    </w:p>
    <w:p w14:paraId="7B6E9443"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16）按照法律法规、中国证监会、《基金合同》和《托管协议》的规定监督基金管理人的投资运作；</w:t>
      </w:r>
    </w:p>
    <w:p w14:paraId="5C3AD43A"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17）参加基金财产清算小组，参与基金财产的保管、清理、估价、变现和分配；</w:t>
      </w:r>
    </w:p>
    <w:p w14:paraId="57EC9667"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18）面临解散、依法被撤销或者被依法宣告破产时，及时报告中国证监会和银行监管机构，并通知基金管理人；</w:t>
      </w:r>
    </w:p>
    <w:p w14:paraId="2A52C563"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19）因违反《基金合同》、《托管协议》导致基金财产损失时，应承担赔偿责任，其赔偿责任不因其退任而免除；</w:t>
      </w:r>
    </w:p>
    <w:p w14:paraId="446B23E2"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20）按规定监督基金管理人按法律法规及中国证监会规定和《基金合同》规定履行自己的义务，基金管理人因违反《基金合同》造成基金财产损失时，应为基金份额持有人利益向基金管理人追偿；</w:t>
      </w:r>
    </w:p>
    <w:p w14:paraId="5D4C626D"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21）执行生效的基金份额持有人大会的决议；</w:t>
      </w:r>
    </w:p>
    <w:p w14:paraId="5C134473" w14:textId="57B4C034" w:rsidR="00DD18D9" w:rsidRPr="0047638B" w:rsidRDefault="008A6169">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22）法律法规及中国证监会规定的和《基金合同》约定的其他义务。</w:t>
      </w:r>
    </w:p>
    <w:p w14:paraId="6A35C4F8"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（二）基金份额持有人大会召集、议事及表决的程序和规则</w:t>
      </w:r>
    </w:p>
    <w:p w14:paraId="68DBB15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4F2E30D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本基金份额持有人大会未设日常机构。</w:t>
      </w:r>
    </w:p>
    <w:p w14:paraId="3A15703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1、召开事由</w:t>
      </w:r>
    </w:p>
    <w:p w14:paraId="637ED75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（1）当出现或需要决定下列事由之一的，应当召开基金份额持有人大会，但《基金合同》另有约定，或法律法规和中国证监会另有规定的除外：</w:t>
      </w:r>
    </w:p>
    <w:p w14:paraId="14179A3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1）终止《基金合同》；</w:t>
      </w:r>
    </w:p>
    <w:p w14:paraId="68831A1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2）更换基金管理人、更换基金托管人；</w:t>
      </w:r>
    </w:p>
    <w:p w14:paraId="088E0CA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3）转换基金运作方式；</w:t>
      </w:r>
    </w:p>
    <w:p w14:paraId="4C891486" w14:textId="3EF3A5F1"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4）提高基金管理人、基金托管人的报酬标准</w:t>
      </w:r>
      <w:r w:rsidR="00674A95" w:rsidRPr="0047638B">
        <w:rPr>
          <w:rFonts w:asciiTheme="minorEastAsia" w:eastAsiaTheme="minorEastAsia" w:hAnsiTheme="minorEastAsia" w:hint="eastAsia"/>
          <w:szCs w:val="24"/>
        </w:rPr>
        <w:t>或销售服务费</w:t>
      </w:r>
      <w:r w:rsidRPr="0047638B">
        <w:rPr>
          <w:rFonts w:asciiTheme="minorEastAsia" w:eastAsiaTheme="minorEastAsia" w:hAnsiTheme="minorEastAsia" w:hint="eastAsia"/>
          <w:bCs/>
          <w:szCs w:val="21"/>
        </w:rPr>
        <w:t>；</w:t>
      </w:r>
    </w:p>
    <w:p w14:paraId="41E5440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5）变更基金类别；</w:t>
      </w:r>
    </w:p>
    <w:p w14:paraId="13708BB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6）本基金与其他基金的合并；</w:t>
      </w:r>
    </w:p>
    <w:p w14:paraId="5FAD32B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lastRenderedPageBreak/>
        <w:t>7）变更基金投资目标、范围或策略；</w:t>
      </w:r>
    </w:p>
    <w:p w14:paraId="127F6FA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8）变更基金份额持有人大会程序；</w:t>
      </w:r>
    </w:p>
    <w:p w14:paraId="3DEAECA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9）基金管理人或基金托管人要求召开基金份额持有人大会；</w:t>
      </w:r>
    </w:p>
    <w:p w14:paraId="78848E3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10）单独或合计持有基金份额10%以上（含10%）的基金份额持有人（以基金管理人收到提议当日的基金份额计算，下同）就同一事项书面要求召开基金份额持有人大会；</w:t>
      </w:r>
    </w:p>
    <w:p w14:paraId="1051AB6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11）对基金当事人权利和义务产生重大影响的其他事项；</w:t>
      </w:r>
    </w:p>
    <w:p w14:paraId="28286D6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12）法律法规、《基金合同》或中国证监会规定的其他应当召开基金份额持有人大会的事项。</w:t>
      </w:r>
    </w:p>
    <w:p w14:paraId="31F9AEA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（2）出现以下情况之一的，可由基金管理人和基金托管人协商后修改《基金合同》，不需召开基金份额持有人大会：</w:t>
      </w:r>
    </w:p>
    <w:p w14:paraId="52AD48C1" w14:textId="627D9B5B"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1）调低基金管理费、基金托管费</w:t>
      </w:r>
      <w:r w:rsidR="00674A95" w:rsidRPr="0047638B">
        <w:rPr>
          <w:rFonts w:asciiTheme="minorEastAsia" w:eastAsiaTheme="minorEastAsia" w:hAnsiTheme="minorEastAsia" w:hint="eastAsia"/>
          <w:szCs w:val="24"/>
        </w:rPr>
        <w:t>、销售服务费</w:t>
      </w:r>
      <w:r w:rsidRPr="0047638B">
        <w:rPr>
          <w:rFonts w:asciiTheme="minorEastAsia" w:eastAsiaTheme="minorEastAsia" w:hAnsiTheme="minorEastAsia" w:hint="eastAsia"/>
          <w:bCs/>
          <w:szCs w:val="21"/>
        </w:rPr>
        <w:t>和其他应由基金承担的费用；</w:t>
      </w:r>
    </w:p>
    <w:p w14:paraId="5CCCEE0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2）法律法规要求增加的基金费用的收取；</w:t>
      </w:r>
    </w:p>
    <w:p w14:paraId="3CD45B2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3）在法律法规及中国证监会和《基金合同》规定的范围内调整本基金的申购费率、调低赎回费率或变更收费方式；</w:t>
      </w:r>
    </w:p>
    <w:p w14:paraId="39BAEF5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4）因相应的法律法规发生变动而应当对《基金合同》进行修改；</w:t>
      </w:r>
    </w:p>
    <w:p w14:paraId="537CD19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5）对《基金合同》的修改对基金份额持有人利益无实质性不利影响或修改不涉及《基金合同》当事人权利义务关系发生重大变化；</w:t>
      </w:r>
    </w:p>
    <w:p w14:paraId="7680964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6）基金管理人、基金登记结算机构、基金销售机构，在法律法规规定或中国证监会许可的范围内调整有关申购、赎回、转换、基金交易、非交易过户、转托管、质押等业务规则；</w:t>
      </w:r>
    </w:p>
    <w:p w14:paraId="3E11B2C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7）在法律法规规定或中国证监会许可的范围内基金推出新业务或服务；</w:t>
      </w:r>
    </w:p>
    <w:p w14:paraId="4805454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8）在对基金份额持有人利益无实质不利影响的情况下，增加或减少份额类别，或调整基金份额分类办法及规则；</w:t>
      </w:r>
    </w:p>
    <w:p w14:paraId="0D408B3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9）按照本《基金合同》的约定，变更标的指数和调整业绩比较基准；</w:t>
      </w:r>
    </w:p>
    <w:p w14:paraId="00299A9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10）在对基金份额持有人利益无实质不利影响的情况下，基金管理人经与基金托管人协商一致，调整基金收益的分配原则和支付方式；</w:t>
      </w:r>
    </w:p>
    <w:p w14:paraId="571B817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11）根据《基金合同》约定，参与融资融券、转融通，变更组合限制或禁止行为规定；</w:t>
      </w:r>
    </w:p>
    <w:p w14:paraId="5543B04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12）按照法律法规及中国证监会和《基金合同》规定不需召开基金份额持有人大会的其他情形。</w:t>
      </w:r>
    </w:p>
    <w:p w14:paraId="20CEF63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2、会议召集人及召集方式</w:t>
      </w:r>
    </w:p>
    <w:p w14:paraId="3EC8E5C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（1）除法律法规及中国证监会规定或《基金合同》另有约定外，基金份额持有人大会由基金管理人召集；</w:t>
      </w:r>
    </w:p>
    <w:p w14:paraId="3C2349C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（2）基金管理人未按规定召集或不能召集时，由基金托管人召集；</w:t>
      </w:r>
    </w:p>
    <w:p w14:paraId="30D1116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（3）基金托管人认为有必要召开基金份额持有人大会的，应当向基金管理人提出书面提议。基金管理人应当自收到书面提议之日起10日内决定是否召集，并书面告知基金托管</w:t>
      </w:r>
      <w:r w:rsidRPr="0047638B">
        <w:rPr>
          <w:rFonts w:asciiTheme="minorEastAsia" w:eastAsiaTheme="minorEastAsia" w:hAnsiTheme="minorEastAsia" w:hint="eastAsia"/>
          <w:bCs/>
          <w:szCs w:val="21"/>
        </w:rPr>
        <w:lastRenderedPageBreak/>
        <w:t>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14:paraId="5F95A7A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单独或合计持有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持有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B4CDE6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单独或合计持有基金份额10%以上（含10%）的基金份额持有人就同一事项要求召开基金份额持有人大会，而基金管理人、基金托管人都不召集的，单独或合计持有基金份额10%以上（含10%）的基金份额持有人有权自行召集，并至少提前30日报中国证监会备案。</w:t>
      </w:r>
    </w:p>
    <w:p w14:paraId="1EFDB6A5"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（6）基金份额持有人依法自行召集基金份额持有人大会的，基金管理人、基金托管人应当配合，不得阻碍、干扰。</w:t>
      </w:r>
    </w:p>
    <w:p w14:paraId="0654908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（7）基金份额持有人会议的召集人负责选择确定开会时间、地点、方式和权益登记日。</w:t>
      </w:r>
    </w:p>
    <w:p w14:paraId="7538D0B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3、召开基金份额持有人大会的通知时间、通知内容、通知方式</w:t>
      </w:r>
    </w:p>
    <w:p w14:paraId="1FAD237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（1）召开基金份额持有人大会，召集人应于会议召开前30日，在规定媒介公告。基金份额持有人大会通知应至少载明以下内容：</w:t>
      </w:r>
    </w:p>
    <w:p w14:paraId="5035DA8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1）会议召开的时间、地点和会议形式；</w:t>
      </w:r>
    </w:p>
    <w:p w14:paraId="3D0E430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2）会议拟审议的事项、议事程序和表决方式；</w:t>
      </w:r>
    </w:p>
    <w:p w14:paraId="672DCA9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3）有权出席基金份额持有人大会的基金份额持有人的权益登记日；</w:t>
      </w:r>
    </w:p>
    <w:p w14:paraId="62C1F06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4）授权委托证明的内容要求（包括但不限于代理人身份，代理权限和代理有效期限等）、送达时间和地点;</w:t>
      </w:r>
    </w:p>
    <w:p w14:paraId="4530685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5）会务常设联系人姓名及联系电话；</w:t>
      </w:r>
    </w:p>
    <w:p w14:paraId="6D1F07E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6）出席会议者必须准备的文件和必须履行的手续；</w:t>
      </w:r>
    </w:p>
    <w:p w14:paraId="5A7E006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7）召集人需要通知的其他事项。</w:t>
      </w:r>
    </w:p>
    <w:p w14:paraId="2EE25C2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F59A0F"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w:t>
      </w:r>
      <w:r w:rsidRPr="0047638B">
        <w:rPr>
          <w:rFonts w:asciiTheme="minorEastAsia" w:eastAsiaTheme="minorEastAsia" w:hAnsiTheme="minorEastAsia" w:hint="eastAsia"/>
          <w:bCs/>
          <w:szCs w:val="21"/>
        </w:rPr>
        <w:lastRenderedPageBreak/>
        <w:t>人到指定地点对表决意见的计票进行监督。基金管理人或基金托管人拒不派代表对表决意见的计票进行监督的，不影响表决意见的计票效力。</w:t>
      </w:r>
    </w:p>
    <w:p w14:paraId="3524082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4、基金份额持有人出席会议的方式</w:t>
      </w:r>
    </w:p>
    <w:p w14:paraId="42592CF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基金份额持有人大会可通过现场开会方式、通讯开会方式及法律法规、中国证监会允许的其他方式召开，会议的召开方式由会议召集人确定。</w:t>
      </w:r>
    </w:p>
    <w:p w14:paraId="721FAC9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42C1B8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亲自出席会议者持有的有关证明文件、受托出席会议者出示的委托人的代理投票授权委托证明及有关证明文件符合法律法规、《基金合同》和会议通知的规定，并且持有基金份额的凭证与基金管理人持有的登记资料相符；</w:t>
      </w:r>
    </w:p>
    <w:p w14:paraId="6B28F6C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2）经核对，到会者在权益登记日代表的有效的基金份额不少于本基金在权益登记日基金总份额的50%（含50%）。</w:t>
      </w:r>
    </w:p>
    <w:p w14:paraId="1D8F863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（2）通讯开会。通讯开会系指基金份额持有人将其对表决事项的投票以书面形式在表决截至日以前送达至召集人指定的地址。通讯开会应以书面方式进行表决。</w:t>
      </w:r>
    </w:p>
    <w:p w14:paraId="261B8FE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在同时符合以下条件时，通讯开会的方式视为有效：</w:t>
      </w:r>
    </w:p>
    <w:p w14:paraId="0A6CF1D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1）会议召集人按《基金合同》约定公布会议通知后，在2个工作日内连续公布相关提示性公告；</w:t>
      </w:r>
    </w:p>
    <w:p w14:paraId="10871CF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A6F621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3）本人直接出具书面意见或授权他人代表出具书面意见的，基金份额不少于本基金在权益登记日基金总份额的50%（含50%）；</w:t>
      </w:r>
    </w:p>
    <w:p w14:paraId="0E11BEF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9D85B6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（3）重新召集基金份额持有人大会的条件</w:t>
      </w:r>
    </w:p>
    <w:p w14:paraId="5C367AE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基金份额持有人大会应当有代表基金份额二分之一以上基金份额的持有人参加，方可召开。</w:t>
      </w:r>
    </w:p>
    <w:p w14:paraId="31166BA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参加基金份额持有人大会的持有人的基金份额低于上述规定比例的，召集人可以在原公</w:t>
      </w:r>
      <w:r w:rsidRPr="0047638B">
        <w:rPr>
          <w:rFonts w:asciiTheme="minorEastAsia" w:eastAsiaTheme="minorEastAsia" w:hAnsiTheme="minorEastAsia" w:hint="eastAsia"/>
          <w:bCs/>
          <w:szCs w:val="21"/>
        </w:rPr>
        <w:lastRenderedPageBreak/>
        <w:t>告的基金份额持有人大会召开时间的三个月以后、六个月以内，就原定审议事项重新召集基金份额持有人大会。重新召集的基金份额持有人大会应当有代表基金份额三分之一以上基金份额的持有人参加，方可召开。</w:t>
      </w:r>
    </w:p>
    <w:p w14:paraId="442DB1A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14:paraId="28060DE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（5）基金份额持有人授权他人代为出席会议并表决的，授权方式可以采用书面、网络、电话、短信或其他方式，具体方式由会议召集人确定并在会议通知中列明。</w:t>
      </w:r>
    </w:p>
    <w:p w14:paraId="0B50C29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5、议事内容与程序</w:t>
      </w:r>
    </w:p>
    <w:p w14:paraId="3445187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（1）议事内容及提案权</w:t>
      </w:r>
    </w:p>
    <w:p w14:paraId="59C8FE6C"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ED569F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基金份额持有人大会的召集人发出召集会议的通知后，对原有提案的修改应当在基金份额持有人大会召开前及时公告。</w:t>
      </w:r>
    </w:p>
    <w:p w14:paraId="2C4F4F2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基金份额持有人大会不得对未事先公告的议事内容进行表决。</w:t>
      </w:r>
    </w:p>
    <w:p w14:paraId="799C288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（2）议事程序</w:t>
      </w:r>
    </w:p>
    <w:p w14:paraId="76CC17C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1）现场开会</w:t>
      </w:r>
    </w:p>
    <w:p w14:paraId="0EB887C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以所代表的基金份额50%（含50%）选举产生一名基金份额持有人作为该次基金份额持有人大会的主持人。基金管理人和基金托管人拒不出席或主持基金份额持有人大会，不影响基金份额持有人大会作出的决议的效力。</w:t>
      </w:r>
    </w:p>
    <w:p w14:paraId="583CD0F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3028F25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2）通讯开会</w:t>
      </w:r>
    </w:p>
    <w:p w14:paraId="2DE4C074"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在通讯开会的情况下，首先由召集人提前30日公布提案，在所通知的表决截止日期后2个工作日内在公证机关监督下由召集人统计全部有效表决，在公证机关监督下形成决议。</w:t>
      </w:r>
    </w:p>
    <w:p w14:paraId="3BB7F05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6、表决</w:t>
      </w:r>
    </w:p>
    <w:p w14:paraId="1A8D11E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基金份额持有人所持每份基金份额有一票表决权。</w:t>
      </w:r>
    </w:p>
    <w:p w14:paraId="30F496E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基金份额持有人大会决议分为一般决议和特别决议：</w:t>
      </w:r>
    </w:p>
    <w:p w14:paraId="324DB01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14:paraId="69689D6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特别决议，特别决议应当经出席会议的基金份额持有人(或其代理人)所持表决权的三分之二以上(含三分之二)通过方可做出。转换基金运作方式、更换基金管理人或者基金托管人、终止《基金合同》、与其他基金合并以特别决议通过方为有效。</w:t>
      </w:r>
    </w:p>
    <w:p w14:paraId="6D6C0DE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基金份额持有人大会采取记名方式进行投票表决。</w:t>
      </w:r>
    </w:p>
    <w:p w14:paraId="655D3BD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4CC9B11"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基金份额持有人大会的各项提案或同一项提案内并列的各项议题应当分开审议、逐项表决。</w:t>
      </w:r>
    </w:p>
    <w:p w14:paraId="7865A25B"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7、计票</w:t>
      </w:r>
    </w:p>
    <w:p w14:paraId="6E126C53"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（1）现场开会</w:t>
      </w:r>
    </w:p>
    <w:p w14:paraId="53D2A25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A9C22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2）监票人应当在基金份额持有人表决后立即进行清点并由大会主持人当场公布计票结果。</w:t>
      </w:r>
    </w:p>
    <w:p w14:paraId="558981D8"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47201A"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4）计票过程应由公证机关予以公证,基金管理人或基金托管人拒不出席大会的，不影响计票的效力。</w:t>
      </w:r>
    </w:p>
    <w:p w14:paraId="1EA736C0"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（2）通讯开会</w:t>
      </w:r>
    </w:p>
    <w:p w14:paraId="0FEC2B2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2407B57"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8、生效与公告</w:t>
      </w:r>
    </w:p>
    <w:p w14:paraId="2EC8A255"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lastRenderedPageBreak/>
        <w:t>基金份额持有人大会的决议自表决通过之日起生效。</w:t>
      </w:r>
    </w:p>
    <w:p w14:paraId="620855BE"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基金份额持有人大会的决议，召集人应当自通过之日起5日内报中国证监会备案。</w:t>
      </w:r>
    </w:p>
    <w:p w14:paraId="74CE4312"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基金份额持有人大会决议自生效之日起2日内在规定媒介上公告。</w:t>
      </w:r>
    </w:p>
    <w:p w14:paraId="27EFFCB5"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CBE6646"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9、其他</w:t>
      </w:r>
    </w:p>
    <w:p w14:paraId="63D6537E" w14:textId="4D52AED5" w:rsidR="00DD18D9" w:rsidRPr="0047638B" w:rsidRDefault="008A6169">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04E0109"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（三）《基金合同》解除和终止的事由、程序以及基金财产清算方式</w:t>
      </w:r>
    </w:p>
    <w:p w14:paraId="42D69645"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1、《基金合同》的变更</w:t>
      </w:r>
    </w:p>
    <w:p w14:paraId="3D4F9CC6"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23E2B40"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（2）关于《基金合同》变更的基金份额持有人大会决议自表决通过之日起生效，自决议生效后两日内在规定媒介公告。</w:t>
      </w:r>
    </w:p>
    <w:p w14:paraId="160E0F7E"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2、《基金合同》的终止事由</w:t>
      </w:r>
    </w:p>
    <w:p w14:paraId="34751510"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有下列情形之一的，《基金合同》应当终止：</w:t>
      </w:r>
    </w:p>
    <w:p w14:paraId="0AB5DAD0"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（1）基金份额持有人大会决定终止的；</w:t>
      </w:r>
    </w:p>
    <w:p w14:paraId="7D98026C"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（2）基金管理人、基金托管人职责终止，在6个月内没有新基金管理人、新基金托管人承接的；</w:t>
      </w:r>
    </w:p>
    <w:p w14:paraId="4BA1F786" w14:textId="42A5F227" w:rsidR="008A6169" w:rsidRPr="0047638B" w:rsidRDefault="008A6169" w:rsidP="002D2486">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（3）《基金合同》约定的其他情形；</w:t>
      </w:r>
    </w:p>
    <w:p w14:paraId="1FA1A720" w14:textId="7347969C"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（4）相关法律法规和中国证监会规定的其他情况。</w:t>
      </w:r>
    </w:p>
    <w:p w14:paraId="17952921"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3、基金财产的清算</w:t>
      </w:r>
    </w:p>
    <w:p w14:paraId="50579ACC"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（1）基金财产清算小组：自出现《基金合同》终止事由之日起30个工作日内成立清算小组，基金管理人组织基金财产清算小组并在中国证监会的监督下进行基金清算。</w:t>
      </w:r>
    </w:p>
    <w:p w14:paraId="4BDA6CB5"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5894B7A"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（3）基金财产清算小组职责：基金财产清算小组负责基金财产的保管、清理、估价、变现和分配。基金财产清算小组可以依法进行必要的民事活动。</w:t>
      </w:r>
    </w:p>
    <w:p w14:paraId="4F213420"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（4）基金财产清算程序：</w:t>
      </w:r>
    </w:p>
    <w:p w14:paraId="47D9A14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lastRenderedPageBreak/>
        <w:t>1）《基金合同》终止情形出现时，由基金财产清算小组统一接管基金；</w:t>
      </w:r>
    </w:p>
    <w:p w14:paraId="030D82C8"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2）对基金财产和债权债务进行清理和确认；</w:t>
      </w:r>
    </w:p>
    <w:p w14:paraId="385EDF8A"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3）对基金财产进行估值和变现；</w:t>
      </w:r>
    </w:p>
    <w:p w14:paraId="2AB28368"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4）制作清算报告；</w:t>
      </w:r>
    </w:p>
    <w:p w14:paraId="1D680832"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5）聘请会计师事务所对清算报告进行外部审计，聘请律师事务所对清算报告出具法律意见书；</w:t>
      </w:r>
    </w:p>
    <w:p w14:paraId="3B0F30B8"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6）将清算报告报中国证监会备案并公告；</w:t>
      </w:r>
    </w:p>
    <w:p w14:paraId="50CCD26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7）对基金剩余财产进行分配。</w:t>
      </w:r>
    </w:p>
    <w:p w14:paraId="5CB128F6"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4、清算费用</w:t>
      </w:r>
    </w:p>
    <w:p w14:paraId="137D5A42"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清算费用是指基金财产清算小组在进行基金清算过程中发生的所有合理费用，清算费用由基金财产清算小组优先从基金财产中支付。</w:t>
      </w:r>
    </w:p>
    <w:p w14:paraId="4AFC573D"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5、基金财产清算剩余资产的分配</w:t>
      </w:r>
    </w:p>
    <w:p w14:paraId="4DABA104"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依据基金财产清算的分配方案，将基金财产清算后的全部剩余资产扣除基金财产清算费用、交纳所欠税款并清偿基金债务后，按基金份额持有人持有的基金份额比例进行分配。</w:t>
      </w:r>
    </w:p>
    <w:p w14:paraId="4C4CF8D5"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6、基金财产清算的公告</w:t>
      </w:r>
    </w:p>
    <w:p w14:paraId="3FF2F02D"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65F4BE4B" w14:textId="77777777" w:rsidR="008A6169" w:rsidRPr="0047638B" w:rsidRDefault="008A6169" w:rsidP="008A6169">
      <w:pPr>
        <w:snapToGrid w:val="0"/>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7、基金财产清算账册及文件的保存</w:t>
      </w:r>
    </w:p>
    <w:p w14:paraId="555E009E" w14:textId="0FD68F75" w:rsidR="00DD18D9" w:rsidRPr="0047638B" w:rsidRDefault="008A6169">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基金财产清算账册及有关文件由基金托管人保存15年以上。</w:t>
      </w:r>
    </w:p>
    <w:p w14:paraId="124A8225"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（四）争议解决方式</w:t>
      </w:r>
    </w:p>
    <w:p w14:paraId="2E59A499"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各方当事人同意，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14:paraId="400C489D" w14:textId="77777777" w:rsidR="008A6169" w:rsidRPr="0047638B" w:rsidRDefault="008A6169" w:rsidP="008A6169">
      <w:pPr>
        <w:snapToGrid w:val="0"/>
        <w:spacing w:line="360" w:lineRule="auto"/>
        <w:ind w:firstLineChars="200" w:firstLine="420"/>
        <w:rPr>
          <w:rFonts w:asciiTheme="minorEastAsia" w:eastAsiaTheme="minorEastAsia" w:hAnsiTheme="minorEastAsia"/>
          <w:bCs/>
          <w:szCs w:val="21"/>
        </w:rPr>
      </w:pPr>
      <w:r w:rsidRPr="0047638B">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14:paraId="5E4B3A00" w14:textId="1564A587" w:rsidR="00DD18D9" w:rsidRPr="0047638B" w:rsidRDefault="008A6169">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szCs w:val="21"/>
        </w:rPr>
        <w:t>《基金合同》受中国法律管辖。</w:t>
      </w:r>
    </w:p>
    <w:p w14:paraId="06FD0D69" w14:textId="77777777" w:rsidR="00DD18D9" w:rsidRPr="0047638B" w:rsidRDefault="00561038">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szCs w:val="24"/>
        </w:rPr>
        <w:t>（五）《基金合同》存放地和投资者取得《基金合同》的方式</w:t>
      </w:r>
    </w:p>
    <w:p w14:paraId="19280571" w14:textId="16AE5071" w:rsidR="00545586" w:rsidRPr="0047638B" w:rsidRDefault="008A6169" w:rsidP="00E95A80">
      <w:pPr>
        <w:spacing w:line="360" w:lineRule="auto"/>
        <w:ind w:firstLineChars="200" w:firstLine="420"/>
        <w:rPr>
          <w:rFonts w:asciiTheme="minorEastAsia" w:eastAsiaTheme="minorEastAsia" w:hAnsiTheme="minorEastAsia"/>
          <w:bCs/>
        </w:rPr>
      </w:pPr>
      <w:r w:rsidRPr="0047638B">
        <w:rPr>
          <w:rFonts w:asciiTheme="minorEastAsia" w:eastAsiaTheme="minorEastAsia" w:hAnsiTheme="minorEastAsia" w:hint="eastAsia"/>
          <w:bCs/>
        </w:rPr>
        <w:t>《基金合同》可印制成册，供投资者在基金管理人、基金托管人、销售机构的办公场所和营业场所查阅。</w:t>
      </w:r>
      <w:r w:rsidR="00545586" w:rsidRPr="0047638B">
        <w:rPr>
          <w:rFonts w:asciiTheme="minorEastAsia" w:eastAsiaTheme="minorEastAsia" w:hAnsiTheme="minorEastAsia"/>
          <w:bCs/>
        </w:rPr>
        <w:br w:type="page"/>
      </w:r>
    </w:p>
    <w:p w14:paraId="2F657C98" w14:textId="001A8F28" w:rsidR="00545586"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11" w:name="_Toc77780011"/>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四</w:t>
      </w:r>
      <w:r w:rsidR="00545586" w:rsidRPr="0047638B">
        <w:rPr>
          <w:rFonts w:asciiTheme="minorEastAsia" w:eastAsiaTheme="minorEastAsia" w:hAnsiTheme="minorEastAsia"/>
          <w:b w:val="0"/>
          <w:sz w:val="30"/>
        </w:rPr>
        <w:t>、基金托管协议的内容摘要</w:t>
      </w:r>
      <w:bookmarkEnd w:id="3611"/>
    </w:p>
    <w:p w14:paraId="6369A411" w14:textId="77777777" w:rsidR="00545586" w:rsidRPr="0047638B" w:rsidRDefault="00545586"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（一）托管协议当事人</w:t>
      </w:r>
    </w:p>
    <w:p w14:paraId="66C7F9A3" w14:textId="77777777" w:rsidR="00545586" w:rsidRPr="0047638B" w:rsidRDefault="00BA584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545586" w:rsidRPr="0047638B">
        <w:rPr>
          <w:rFonts w:asciiTheme="minorEastAsia" w:eastAsiaTheme="minorEastAsia" w:hAnsiTheme="minorEastAsia"/>
          <w:szCs w:val="24"/>
        </w:rPr>
        <w:t>基金管理人</w:t>
      </w:r>
    </w:p>
    <w:p w14:paraId="6A043DE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名称：易方达基金管理有限公司</w:t>
      </w:r>
    </w:p>
    <w:p w14:paraId="3FC89D9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注册地址：广东省珠海市横琴新区宝华路6号105室-42891（集中办公区）</w:t>
      </w:r>
    </w:p>
    <w:p w14:paraId="0E518FC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办公地址：广东省广州市珠江新城珠江东路30号广州银行大厦40-43楼</w:t>
      </w:r>
    </w:p>
    <w:p w14:paraId="6A069A4A"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邮政编码：510620</w:t>
      </w:r>
    </w:p>
    <w:p w14:paraId="1A59FB8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法定代表人：刘晓艳</w:t>
      </w:r>
    </w:p>
    <w:p w14:paraId="09131A1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成立日期：2001年4月17日</w:t>
      </w:r>
    </w:p>
    <w:p w14:paraId="3CDC0EF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批准设立机关及批准设立文号：中国证券监督管理委员会，证监基金字[2001]4号</w:t>
      </w:r>
    </w:p>
    <w:p w14:paraId="6135E45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组织形式：有限责任公司</w:t>
      </w:r>
    </w:p>
    <w:p w14:paraId="6B854DD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注册资本：13,244.2万元人民币</w:t>
      </w:r>
    </w:p>
    <w:p w14:paraId="7409384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存续期间：持续经营</w:t>
      </w:r>
    </w:p>
    <w:p w14:paraId="46E4E2E0" w14:textId="03CCF78E" w:rsidR="00545586" w:rsidRPr="0047638B" w:rsidRDefault="008A616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经营范围：公开募集证券投资基金管理、基金销售、特定客户资产管理</w:t>
      </w:r>
    </w:p>
    <w:p w14:paraId="55E078B3" w14:textId="77777777" w:rsidR="00545586" w:rsidRPr="0047638B" w:rsidRDefault="00BA584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545586" w:rsidRPr="0047638B">
        <w:rPr>
          <w:rFonts w:asciiTheme="minorEastAsia" w:eastAsiaTheme="minorEastAsia" w:hAnsiTheme="minorEastAsia"/>
          <w:szCs w:val="24"/>
        </w:rPr>
        <w:t>基金托管人</w:t>
      </w:r>
    </w:p>
    <w:p w14:paraId="1CBE725C"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名称：中国建设银行股份有限公司(简称：中国建设银行)</w:t>
      </w:r>
    </w:p>
    <w:p w14:paraId="5135EEF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住所：北京市西城区金融大街25号</w:t>
      </w:r>
    </w:p>
    <w:p w14:paraId="1D1E494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办公地址：北京市西城区闹市口大街1号院1号楼</w:t>
      </w:r>
    </w:p>
    <w:p w14:paraId="2DED51A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邮政编码：100033</w:t>
      </w:r>
    </w:p>
    <w:p w14:paraId="046243F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法定代表人：田国立</w:t>
      </w:r>
    </w:p>
    <w:p w14:paraId="48D7365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成立日期：2004年09月17日</w:t>
      </w:r>
    </w:p>
    <w:p w14:paraId="034BD9D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基金托管业务批准文号：中国证监会证监基字[1998]12号</w:t>
      </w:r>
    </w:p>
    <w:p w14:paraId="0FF0856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组织形式：股份有限公司</w:t>
      </w:r>
    </w:p>
    <w:p w14:paraId="193A0BF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注册资本：贰仟伍佰亿壹仟零玖拾柒万柒仟肆佰捌拾陆元整</w:t>
      </w:r>
    </w:p>
    <w:p w14:paraId="62EA143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存续期间：持续经营</w:t>
      </w:r>
    </w:p>
    <w:p w14:paraId="0034CD31" w14:textId="699276F1" w:rsidR="00545586" w:rsidRPr="0047638B" w:rsidRDefault="008A616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w:t>
      </w:r>
      <w:r w:rsidRPr="0047638B">
        <w:rPr>
          <w:rFonts w:asciiTheme="minorEastAsia" w:eastAsiaTheme="minorEastAsia" w:hAnsiTheme="minorEastAsia" w:hint="eastAsia"/>
          <w:szCs w:val="24"/>
        </w:rPr>
        <w:lastRenderedPageBreak/>
        <w:t>业务。</w:t>
      </w:r>
    </w:p>
    <w:p w14:paraId="04B07CF0"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（二）基金托管人对基金管理人之间的业务督查和核查</w:t>
      </w:r>
    </w:p>
    <w:p w14:paraId="6D6089D1" w14:textId="77777777" w:rsidR="008A6169" w:rsidRPr="0047638B" w:rsidRDefault="008A6169" w:rsidP="008A6169">
      <w:pPr>
        <w:adjustRightInd w:val="0"/>
        <w:snapToGrid w:val="0"/>
        <w:spacing w:line="360" w:lineRule="auto"/>
        <w:ind w:firstLineChars="200" w:firstLine="420"/>
        <w:rPr>
          <w:rFonts w:asciiTheme="minorEastAsia" w:eastAsiaTheme="minorEastAsia" w:hAnsiTheme="minorEastAsia" w:cs="Arial"/>
          <w:szCs w:val="21"/>
        </w:rPr>
      </w:pPr>
      <w:r w:rsidRPr="0047638B">
        <w:rPr>
          <w:rFonts w:asciiTheme="minorEastAsia" w:eastAsiaTheme="minorEastAsia" w:hAnsiTheme="minorEastAsia" w:hint="eastAsia"/>
        </w:rPr>
        <w:t>1、</w:t>
      </w:r>
      <w:r w:rsidRPr="0047638B">
        <w:rPr>
          <w:rFonts w:asciiTheme="minorEastAsia" w:eastAsiaTheme="minorEastAsia" w:hAnsiTheme="minorEastAsia" w:cs="Arial" w:hint="eastAsia"/>
          <w:szCs w:val="21"/>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5A1CFCA" w14:textId="77777777" w:rsidR="00A968C4" w:rsidRPr="00A968C4" w:rsidRDefault="00A968C4" w:rsidP="00A968C4">
      <w:pPr>
        <w:adjustRightInd w:val="0"/>
        <w:snapToGrid w:val="0"/>
        <w:spacing w:line="360" w:lineRule="auto"/>
        <w:ind w:firstLineChars="200" w:firstLine="420"/>
        <w:rPr>
          <w:rFonts w:asciiTheme="minorEastAsia" w:eastAsiaTheme="minorEastAsia" w:hAnsiTheme="minorEastAsia" w:cs="Arial"/>
          <w:szCs w:val="21"/>
        </w:rPr>
      </w:pPr>
      <w:r w:rsidRPr="00A968C4">
        <w:rPr>
          <w:rFonts w:asciiTheme="minorEastAsia" w:eastAsiaTheme="minorEastAsia" w:hAnsiTheme="minorEastAsia" w:cs="Arial" w:hint="eastAsia"/>
          <w:szCs w:val="21"/>
        </w:rPr>
        <w:t>本基金的投资范围为具有良好流动性的金融工具，包括国内依法发行上市的股票（包括中小板、创业板及其他经中国证监会核准上市的股票、存托凭证）、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的相关规定）。</w:t>
      </w:r>
    </w:p>
    <w:p w14:paraId="69E68E91" w14:textId="77777777" w:rsidR="008A6169" w:rsidRPr="0047638B" w:rsidRDefault="008A6169" w:rsidP="008A6169">
      <w:pPr>
        <w:adjustRightInd w:val="0"/>
        <w:snapToGrid w:val="0"/>
        <w:spacing w:line="360" w:lineRule="auto"/>
        <w:ind w:firstLineChars="200" w:firstLine="420"/>
        <w:rPr>
          <w:rFonts w:asciiTheme="minorEastAsia" w:eastAsiaTheme="minorEastAsia" w:hAnsiTheme="minorEastAsia" w:cs="Arial"/>
          <w:szCs w:val="21"/>
        </w:rPr>
      </w:pPr>
      <w:r w:rsidRPr="0047638B">
        <w:rPr>
          <w:rFonts w:asciiTheme="minorEastAsia" w:eastAsiaTheme="minorEastAsia" w:hAnsiTheme="minorEastAsia" w:cs="Arial" w:hint="eastAsia"/>
          <w:szCs w:val="21"/>
        </w:rPr>
        <w:t>如法律法规或监管机构以后允许基金投资其他品种，本基金可将其纳入投资范围，其投资原则及投资比例按法律法规或监管机构的相关规定执行。</w:t>
      </w:r>
    </w:p>
    <w:p w14:paraId="4CF8323B" w14:textId="77777777" w:rsidR="008A6169" w:rsidRPr="0047638B" w:rsidRDefault="008A6169" w:rsidP="008A6169">
      <w:pPr>
        <w:adjustRightInd w:val="0"/>
        <w:snapToGrid w:val="0"/>
        <w:spacing w:line="360" w:lineRule="auto"/>
        <w:ind w:firstLineChars="200" w:firstLine="420"/>
        <w:rPr>
          <w:rFonts w:asciiTheme="minorEastAsia" w:eastAsiaTheme="minorEastAsia" w:hAnsiTheme="minorEastAsia" w:cs="Arial"/>
          <w:szCs w:val="21"/>
        </w:rPr>
      </w:pPr>
      <w:r w:rsidRPr="0047638B">
        <w:rPr>
          <w:rFonts w:asciiTheme="minorEastAsia" w:eastAsiaTheme="minorEastAsia" w:hAnsiTheme="minorEastAsia" w:cs="Arial" w:hint="eastAsia"/>
          <w:szCs w:val="21"/>
        </w:rPr>
        <w:t>基金的投资组合比例为：本基金投资于股票的比例不低于基金资产的90%；本基金投资于标的指数成份股和备选成份股的资产不低于非现金基金资产的80%；在扣除股指期货合约需缴纳的交易保证金后，现金或到期日在一年以内的政府债券不低于基金资产净值的5%，现金不包括结算备付金、存出保证金、应收申购款等。</w:t>
      </w:r>
    </w:p>
    <w:p w14:paraId="68ABEE4D" w14:textId="77777777" w:rsidR="008A6169" w:rsidRPr="0047638B" w:rsidRDefault="008A6169" w:rsidP="008A6169">
      <w:pPr>
        <w:adjustRightInd w:val="0"/>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若法律法规的相关规定发生变更或监管机构允许，本基金管理人可对上述资产配置比例进行调整。</w:t>
      </w:r>
    </w:p>
    <w:p w14:paraId="26E1FD41"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2、基金托管人根据有关法律法规的规定及《基金合同》的约定，对基金投资、融资比例进行监督。基金托管人按下述比例和调整期限进行监督：</w:t>
      </w:r>
    </w:p>
    <w:p w14:paraId="46BD7510"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1</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本基金投资于股票的比例不低于基金资产的90%；本基金投资于标的指数成份股和备选成份股的资产不低于非现金基金资产的80%；</w:t>
      </w:r>
    </w:p>
    <w:p w14:paraId="6D40C778"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2</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在扣除股指期货合约需缴纳的交易保证金后，保持不低于基金资产净值5％的现金或者到期日在一年以内的政府债券，现金不包括结算备付金、存出保证金、应收申购款等；</w:t>
      </w:r>
    </w:p>
    <w:p w14:paraId="69312C92"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3</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本基金持有的全部权证，其市值不得超过基金资产净值的3％；</w:t>
      </w:r>
    </w:p>
    <w:p w14:paraId="1E87BF1F"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4</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本基金在任何交易日买入权证的总金额，不得超过上一交易日基金资产净值的0.5％；</w:t>
      </w:r>
    </w:p>
    <w:p w14:paraId="58BBD92F"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5</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本基金投资于同一原始权益人的各类资产支持证券的比例，不得超过基金资产净值的10％；</w:t>
      </w:r>
    </w:p>
    <w:p w14:paraId="3987C082"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6</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本基金持有的全部资产支持证券，其市值不得超过基金资产净值的20％；</w:t>
      </w:r>
    </w:p>
    <w:p w14:paraId="27F10C4D"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7</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本基金持有的同一(指同一信用级别)资产支持证券的比例，不得超过该资产支持证券规模的10％；</w:t>
      </w:r>
    </w:p>
    <w:p w14:paraId="6571ADFA"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8</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本基金应投资于信用级别评级为BBB以上(含BBB)的资产支持证券。基金持有资</w:t>
      </w:r>
      <w:r w:rsidRPr="0047638B">
        <w:rPr>
          <w:rFonts w:asciiTheme="minorEastAsia" w:eastAsiaTheme="minorEastAsia" w:hAnsiTheme="minorEastAsia" w:hint="eastAsia"/>
        </w:rPr>
        <w:lastRenderedPageBreak/>
        <w:t>产支持证券期间，如果其信用等级下降、不再符合投资标准，应在评级报告发布之日起3个月内予以全部卖出；</w:t>
      </w:r>
    </w:p>
    <w:p w14:paraId="552C3F03"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9</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基金财产参与股票发行申购，本基金所申报的金额不超过本基金的总资产，本基金所申报的股票数量不超过拟发行股票公司本次发行股票的总量；</w:t>
      </w:r>
    </w:p>
    <w:p w14:paraId="1D7A4536"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10</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本基金进入全国银行间同业市场进行债券回购的资金余额不得超过基金资产净值的40％；</w:t>
      </w:r>
    </w:p>
    <w:p w14:paraId="76BDEA67"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11</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本基金投资于股指期货，还应遵循如下投资组合限制：</w:t>
      </w:r>
    </w:p>
    <w:p w14:paraId="6ED65DB0"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1)在任何交易日日终，本基金持有的买入股指期货合约价值，不得超过基金资产净值的10%；卖出期货合约价值不得超过基金持有的股票总市值的20%。</w:t>
      </w:r>
    </w:p>
    <w:p w14:paraId="30D514E9"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2)在任何交易日日终，本基金持有的买入期货合约价值与有价证券市值之和,不得超过基金资产净值的100%。其中，有价证券指股票、债券（不含到期日在一年以内的政府债券）、权证、资产支持证券、买入返售金融资产（不含质押式回购）等。</w:t>
      </w:r>
    </w:p>
    <w:p w14:paraId="798FFEBD"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3)本基金所持有的股票市值和买入、卖出股指期货合约价值，合计（轧差计算）应当符合《基金合同》关于股票投资比例的有关约定。</w:t>
      </w:r>
    </w:p>
    <w:p w14:paraId="242C9F88"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4)本基金在任何交易日内交易（不包括平仓）的股指期货合约的成交金额不得超过上一交易日基金资产净值的20%。</w:t>
      </w:r>
    </w:p>
    <w:p w14:paraId="5EF0FC72"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本基金管理人应当按照中国金融期货交易所的要求向其报告所交易和持有的卖出期货合约情况、交易目的及对应的证券资产情况等。</w:t>
      </w:r>
    </w:p>
    <w:p w14:paraId="5E118BA9"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12</w:t>
      </w:r>
      <w:r w:rsidRPr="0047638B">
        <w:rPr>
          <w:rFonts w:asciiTheme="minorEastAsia" w:eastAsiaTheme="minorEastAsia" w:hAnsiTheme="minorEastAsia" w:cs="Arial" w:hint="eastAsia"/>
          <w:szCs w:val="21"/>
        </w:rPr>
        <w:t>）</w:t>
      </w:r>
      <w:r w:rsidRPr="0047638B">
        <w:rPr>
          <w:rFonts w:asciiTheme="minorEastAsia" w:eastAsiaTheme="minorEastAsia" w:hAnsiTheme="minorEastAsia" w:hint="eastAsia"/>
        </w:rPr>
        <w:t>本基金资产总值不得超过基金资产净值的140%；</w:t>
      </w:r>
    </w:p>
    <w:p w14:paraId="2107B849" w14:textId="5B03669D" w:rsidR="00674A95" w:rsidRPr="0047638B" w:rsidRDefault="008A6169"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（13）</w:t>
      </w:r>
      <w:r w:rsidR="00674A95" w:rsidRPr="0047638B">
        <w:rPr>
          <w:rFonts w:asciiTheme="minorEastAsia" w:eastAsiaTheme="minorEastAsia" w:hAnsiTheme="minorEastAsia" w:hint="eastAsia"/>
        </w:rPr>
        <w:t>本基金参与融资的，每个交易日日终，本基金持有的融资买入股票与其他有价证券市值之和，不得超过基金资产净值的95%；</w:t>
      </w:r>
    </w:p>
    <w:p w14:paraId="403580CA"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14）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5F9AAF08"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15）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4C39A417"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16）本基金与私募类</w:t>
      </w:r>
      <w:r w:rsidRPr="0047638B">
        <w:rPr>
          <w:rFonts w:asciiTheme="minorEastAsia" w:eastAsiaTheme="minorEastAsia" w:hAnsiTheme="minorEastAsia" w:hint="eastAsia"/>
        </w:rPr>
        <w:t>证券资管产品及中国证监会认定的其他主体为交易对手开展逆回购交易的，可接受质押品的资质要求应当与基金合同约定的投资范围保持一致；</w:t>
      </w:r>
    </w:p>
    <w:p w14:paraId="5A58EC8E"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17）本基金投资存托凭证的比例限制依照境内上市交易的股票执行，与境内上市交易的股票合并计算；</w:t>
      </w:r>
    </w:p>
    <w:p w14:paraId="2077FA80"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w:t>
      </w:r>
      <w:r w:rsidRPr="0047638B">
        <w:rPr>
          <w:rFonts w:asciiTheme="minorEastAsia" w:eastAsiaTheme="minorEastAsia" w:hAnsiTheme="minorEastAsia"/>
        </w:rPr>
        <w:t>18）法律法规及中国证监会规定的和《基金合同》约定的其他投资限制。</w:t>
      </w:r>
    </w:p>
    <w:p w14:paraId="35D1BE18"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lastRenderedPageBreak/>
        <w:t>如果法律法规或监管部门对上述投资组合比例限制进行变更的，以变更后的规定为准。法律法规或监管部门取消上述限制，如适用于本基金，则本基金投资不再受相关限制。</w:t>
      </w:r>
    </w:p>
    <w:p w14:paraId="4A765E08" w14:textId="77777777" w:rsidR="00674A95" w:rsidRPr="0047638B" w:rsidRDefault="00674A95" w:rsidP="0047638B">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除上述（</w:t>
      </w:r>
      <w:r w:rsidRPr="0047638B">
        <w:rPr>
          <w:rFonts w:asciiTheme="minorEastAsia" w:eastAsiaTheme="minorEastAsia" w:hAnsiTheme="minorEastAsia"/>
        </w:rPr>
        <w:t>2）、（8）、（9）、（14）、（15）、（16）以外，因证券及期货市场波动、证券发行人合并、基金规模变动等基金管理人之外的因素致使基金投资比例不符合上述规定投资比例的，基金管理人应当在10个交易日内进行调整，因证券市场波动、上市公司合并、基金规模变动等基金管理人之外的因素致使基金投资不符合第14项规定的，基金管理人不得新增出借业务。法律法规或监管部门另有规定的，从其规定。</w:t>
      </w:r>
    </w:p>
    <w:p w14:paraId="2F32436C" w14:textId="2C1B58FD" w:rsidR="008A6169" w:rsidRPr="0047638B" w:rsidRDefault="00674A95" w:rsidP="00674A95">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基金管理人应当自《基金合同》生效之日起</w:t>
      </w:r>
      <w:r w:rsidRPr="0047638B">
        <w:rPr>
          <w:rFonts w:asciiTheme="minorEastAsia" w:eastAsiaTheme="minorEastAsia" w:hAnsiTheme="minorEastAsia"/>
        </w:rPr>
        <w:t>6个月内使基金的投资组合比例符合《基金合同》的有关约定。在上述期间内，本基金的投资范围、投资策略应当符合《基金合同》的约定。基金托管人对基金的投资的监督与检查自《基金合同》生效之日起开始。</w:t>
      </w:r>
    </w:p>
    <w:p w14:paraId="365146E6"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3、基金托管人根据有关法律法规的规定及《基金合同》的约定，对本托管协议第十五条第九款基金投资禁止行为通过事后监督方式进行监督。</w:t>
      </w:r>
    </w:p>
    <w:p w14:paraId="6719C187"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622243A3"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789BE1F"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A4F9968" w14:textId="58B6C472"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5、基金托管人根据有关法律法规的规定及《基金合同》的约定，对基金资产净值计算、</w:t>
      </w:r>
      <w:r w:rsidR="00674A95" w:rsidRPr="0047638B">
        <w:rPr>
          <w:rFonts w:asciiTheme="minorEastAsia" w:eastAsiaTheme="minorEastAsia" w:hAnsiTheme="minorEastAsia" w:hint="eastAsia"/>
          <w:szCs w:val="24"/>
        </w:rPr>
        <w:t>各类</w:t>
      </w:r>
      <w:r w:rsidRPr="0047638B">
        <w:rPr>
          <w:rFonts w:asciiTheme="minorEastAsia" w:eastAsiaTheme="minorEastAsia" w:hAnsiTheme="minorEastAsia" w:hint="eastAsia"/>
        </w:rPr>
        <w:t>基金份额净值计算、应收资金到账、基金费用开支及收入确定、基金收益分配、相关信</w:t>
      </w:r>
      <w:r w:rsidRPr="0047638B">
        <w:rPr>
          <w:rFonts w:asciiTheme="minorEastAsia" w:eastAsiaTheme="minorEastAsia" w:hAnsiTheme="minorEastAsia" w:hint="eastAsia"/>
        </w:rPr>
        <w:lastRenderedPageBreak/>
        <w:t>息披露、基金宣传推介材料中登载基金业绩表现数据等进行监督和核查。</w:t>
      </w:r>
    </w:p>
    <w:p w14:paraId="3ABD0512"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6、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07858A9"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7、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3EE0C0F" w14:textId="77777777" w:rsidR="008A6169" w:rsidRPr="0047638B" w:rsidRDefault="008A6169" w:rsidP="008A6169">
      <w:pPr>
        <w:snapToGrid w:val="0"/>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hint="eastAsia"/>
        </w:rPr>
        <w:t>8、若基金托管人发现基金管理人依据交易程序已经生效的指令违反法律、行政法规和其他有关规定，或者违反《基金合同》约定的，应当立即通知基金管理人，由此造成的损失由基金管理人承担。</w:t>
      </w:r>
    </w:p>
    <w:p w14:paraId="6E58B951" w14:textId="7B8E2406" w:rsidR="00DD18D9" w:rsidRPr="0047638B" w:rsidRDefault="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rPr>
        <w:t>9、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CCA5448"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（三）基金管理人对基金托管人的业务核查</w:t>
      </w:r>
    </w:p>
    <w:p w14:paraId="39237D24" w14:textId="1DFF27AA" w:rsidR="008A6169" w:rsidRPr="0047638B" w:rsidRDefault="008A6169" w:rsidP="008A6169">
      <w:pPr>
        <w:snapToGrid w:val="0"/>
        <w:spacing w:line="360" w:lineRule="auto"/>
        <w:ind w:firstLineChars="200" w:firstLine="420"/>
        <w:rPr>
          <w:rFonts w:asciiTheme="minorEastAsia" w:eastAsiaTheme="minorEastAsia" w:hAnsiTheme="minorEastAsia" w:cs="Arial"/>
          <w:szCs w:val="21"/>
        </w:rPr>
      </w:pPr>
      <w:r w:rsidRPr="0047638B">
        <w:rPr>
          <w:rFonts w:asciiTheme="minorEastAsia" w:eastAsiaTheme="minorEastAsia" w:hAnsiTheme="minorEastAsia" w:cs="Arial" w:hint="eastAsia"/>
          <w:szCs w:val="21"/>
        </w:rPr>
        <w:t>1、基金管理人对基金托管人履行托管职责情况进行核查，核查事项包括基金托管人安全保管基金财产、开设基金财产的资金账户和证券账户、复核基金管理人计算的基金资产净值和</w:t>
      </w:r>
      <w:r w:rsidR="00674A95" w:rsidRPr="0047638B">
        <w:rPr>
          <w:rFonts w:asciiTheme="minorEastAsia" w:eastAsiaTheme="minorEastAsia" w:hAnsiTheme="minorEastAsia" w:hint="eastAsia"/>
          <w:szCs w:val="24"/>
        </w:rPr>
        <w:t>各类</w:t>
      </w:r>
      <w:r w:rsidRPr="0047638B">
        <w:rPr>
          <w:rFonts w:asciiTheme="minorEastAsia" w:eastAsiaTheme="minorEastAsia" w:hAnsiTheme="minorEastAsia" w:cs="Arial" w:hint="eastAsia"/>
          <w:szCs w:val="21"/>
        </w:rPr>
        <w:t>基金份额净值、根据基金管理人指令办理清算交收、相关信息披露和监督基金投资运作等行为。</w:t>
      </w:r>
    </w:p>
    <w:p w14:paraId="2184A2D3" w14:textId="77777777" w:rsidR="008A6169" w:rsidRPr="0047638B" w:rsidRDefault="008A6169" w:rsidP="008A6169">
      <w:pPr>
        <w:snapToGrid w:val="0"/>
        <w:spacing w:line="360" w:lineRule="auto"/>
        <w:ind w:firstLineChars="200" w:firstLine="420"/>
        <w:rPr>
          <w:rFonts w:asciiTheme="minorEastAsia" w:eastAsiaTheme="minorEastAsia" w:hAnsiTheme="minorEastAsia" w:cs="Arial"/>
          <w:szCs w:val="21"/>
        </w:rPr>
      </w:pPr>
      <w:r w:rsidRPr="0047638B">
        <w:rPr>
          <w:rFonts w:asciiTheme="minorEastAsia" w:eastAsiaTheme="minorEastAsia" w:hAnsiTheme="minorEastAsia" w:cs="Arial" w:hint="eastAsia"/>
          <w:szCs w:val="21"/>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30DFCE1" w14:textId="4DA3BFAD" w:rsidR="00DD18D9" w:rsidRPr="0047638B" w:rsidRDefault="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cs="Arial" w:hint="eastAsia"/>
          <w:szCs w:val="21"/>
        </w:rPr>
        <w:lastRenderedPageBreak/>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AAAF5F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（四）基金财产的保管</w:t>
      </w:r>
    </w:p>
    <w:p w14:paraId="2B9D3D18"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1、基金财产保管的原则</w:t>
      </w:r>
    </w:p>
    <w:p w14:paraId="4A3D804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（1）基金财产应独立于基金管理人、基金托管人的固有财产。</w:t>
      </w:r>
    </w:p>
    <w:p w14:paraId="346F3DB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（2）基金托管人应安全保管基金财产。</w:t>
      </w:r>
    </w:p>
    <w:p w14:paraId="2A9EB2F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（3）基金托管人按照规定开设基金财产的资金账户和证券账户。</w:t>
      </w:r>
    </w:p>
    <w:p w14:paraId="2543F39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（4）基金托管人对所托管的不同基金财产分别设置账户，确保基金财产的完整与独立。</w:t>
      </w:r>
    </w:p>
    <w:p w14:paraId="3AE49D2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14:paraId="6F6CDA7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E0530F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（7）除依据法律法规和《基金合同》的规定外，基金托管人不得委托第三人托管基金财产。</w:t>
      </w:r>
    </w:p>
    <w:p w14:paraId="6835313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2、基金银行账户的开立和管理</w:t>
      </w:r>
    </w:p>
    <w:p w14:paraId="5BAD62D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（1）基金托管人可以基金的名义在其营业机构开立基金的银行账户，并根据基金管理人合法合规的指令办理资金收付。本基金的银行预留印鉴由基金托管人保管和使用。</w:t>
      </w:r>
    </w:p>
    <w:p w14:paraId="25B4DE58"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6C2977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（3）基金银行账户的开立和管理应符合银行业监督管理机构的有关规定。</w:t>
      </w:r>
    </w:p>
    <w:p w14:paraId="123933E8"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（4）在符合法律法规规定的条件下，基金托管人可以通过基金托管人专用账户办理基金资产的支付。</w:t>
      </w:r>
    </w:p>
    <w:p w14:paraId="3788FAF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3、基金证券账户和结算备付金账户的开立和管理</w:t>
      </w:r>
    </w:p>
    <w:p w14:paraId="1D0F90B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（1）基金托管人在中国证券登记结算有限责任公司上海分公司、深圳分公司为基金开立基金托管人与基金联名的证券账户。</w:t>
      </w:r>
    </w:p>
    <w:p w14:paraId="7930B4C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C93CB0C"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（3）基金证券账户的开立和证券账户卡的保管由基金托管人负责，账户资产的管理和运用由基金管理人负责。</w:t>
      </w:r>
    </w:p>
    <w:p w14:paraId="2CE1715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FC5D23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431FAB3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0F7CE7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4、债券托管专户的开设和管理</w:t>
      </w:r>
    </w:p>
    <w:p w14:paraId="2DB7BC1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CB8700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5、其他账户的开立和管理</w:t>
      </w:r>
    </w:p>
    <w:p w14:paraId="4AAFF33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B13A53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（2）法律法规等有关规定对相关账户的开立和管理另有规定的，从其规定办理。</w:t>
      </w:r>
    </w:p>
    <w:p w14:paraId="1BB5BC9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6、基金财产投资的有关有价凭证等的保管</w:t>
      </w:r>
    </w:p>
    <w:p w14:paraId="2611D57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1537D8F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7、与基金财产有关的重大合同的保管</w:t>
      </w:r>
    </w:p>
    <w:p w14:paraId="6347150B" w14:textId="529C2D7F" w:rsidR="00DD18D9" w:rsidRPr="0047638B" w:rsidRDefault="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8FF42DA"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（五）基金资产净值计算与会计核算</w:t>
      </w:r>
    </w:p>
    <w:p w14:paraId="4E6FA05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1、基金资产净值的计算、复核与完成的时间及程序</w:t>
      </w:r>
    </w:p>
    <w:p w14:paraId="0322F7B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资产净值是指基金资产总值减去负债后的金额。各类基金份额净值按照每个交易日闭市后，基金资产净值除以当日该类基金份额的余额数量计算，精确到0.0001元，小数点后第五位四舍五入。国家另有规定的，从其规定。</w:t>
      </w:r>
    </w:p>
    <w:p w14:paraId="0D5A07DF" w14:textId="28306CCC" w:rsidR="008A6169" w:rsidRPr="0047638B" w:rsidRDefault="00674A95"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51ECA63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2、基金资产估值方法和特殊情形的处理</w:t>
      </w:r>
    </w:p>
    <w:p w14:paraId="7EB077C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（1）估值对象</w:t>
      </w:r>
    </w:p>
    <w:p w14:paraId="52EFB5D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基金所拥有的股票、债券、衍生工具和银行存款本息、应收款项、其它投资等资产及负债。</w:t>
      </w:r>
    </w:p>
    <w:p w14:paraId="511F6A3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（2）估值方法</w:t>
      </w:r>
    </w:p>
    <w:p w14:paraId="3D39D46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本基金所持有的投资品种，按如下原则进行估值 ：</w:t>
      </w:r>
    </w:p>
    <w:p w14:paraId="76716FB1"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1)对存在活跃市场的投资品种，如估值日有市价的，采用市价确定公允价值；估值日无</w:t>
      </w:r>
      <w:r w:rsidRPr="0047638B">
        <w:rPr>
          <w:rFonts w:asciiTheme="minorEastAsia" w:eastAsiaTheme="minorEastAsia" w:hAnsiTheme="minorEastAsia" w:hint="eastAsia"/>
          <w:szCs w:val="24"/>
        </w:rPr>
        <w:lastRenderedPageBreak/>
        <w:t>市价，但最近交易日后经济环境未发生重大变化且证券发行机构未发生影响证券价格的重大事件的，采用最近交易市价确定公允价值。</w:t>
      </w:r>
    </w:p>
    <w:p w14:paraId="78D6D7ED"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5269E6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3)当投资品种不存在活跃市场，采用市场参与者普遍认同，或被以往市场实际交易价格验证的估值技术，确定投资品种的公允价值。</w:t>
      </w:r>
    </w:p>
    <w:p w14:paraId="1597A046"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4)在不违背上述公允价值确定原则的前提下，本基金可以采用第三方估值机构提供的相关数据。</w:t>
      </w:r>
    </w:p>
    <w:p w14:paraId="74EC6283"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5)本基金参与转融通证券出借业务的，按照相关法律法规和行业协会的相关规定进行估值。</w:t>
      </w:r>
    </w:p>
    <w:p w14:paraId="2B8C2790"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6)本基金参与融资等业务的，按照相关法律法规和监管部门的规定估值。</w:t>
      </w:r>
    </w:p>
    <w:p w14:paraId="3AD68F6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7)本基金投资存托凭证的估值核算，依照境内上市交易的股票执行。</w:t>
      </w:r>
    </w:p>
    <w:p w14:paraId="54488FA7"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8)如有充足理由认为按上述方法进行估值不能客观反映其公允价值的，基金管理人可根据具体情况与基金托管人商定后，按最能反映公允价值的价格估值。</w:t>
      </w:r>
    </w:p>
    <w:p w14:paraId="7EBBD1B5"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9)存在相关法律法规以及监管部门有相关规范且适用于本基金的，从其规定。</w:t>
      </w:r>
    </w:p>
    <w:p w14:paraId="0668F70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3D8AAB9"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2A1A2804"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3.特殊情形的处理</w:t>
      </w:r>
    </w:p>
    <w:p w14:paraId="487DECC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基金管理人、基金托管人按估值方法的第8)、9)项进行估值时，所造成的误差不作为基金资产估值错误处理。</w:t>
      </w:r>
    </w:p>
    <w:p w14:paraId="21F09702" w14:textId="77777777" w:rsidR="00674A95" w:rsidRPr="0047638B" w:rsidRDefault="00674A95" w:rsidP="00674A95">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3、基金份额净值错误的处理方式</w:t>
      </w:r>
    </w:p>
    <w:p w14:paraId="3E2A7201" w14:textId="383FF4E5" w:rsidR="008A6169" w:rsidRPr="0047638B" w:rsidRDefault="00674A95"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当任一类基金份额净值小数点后4位以内(含第4位)发生差错时，视为该类基金份额净值错误；基金份额净值出现错误时，基金管理人应当立即予以纠正，通报基金托管人，并采取合理的措施防止损失进一步扩大；任一类基金份额净值估值错误偏差达到该类基金份</w:t>
      </w:r>
      <w:r w:rsidRPr="0047638B">
        <w:rPr>
          <w:rFonts w:asciiTheme="minorEastAsia" w:eastAsiaTheme="minorEastAsia" w:hAnsiTheme="minorEastAsia" w:hint="eastAsia"/>
          <w:szCs w:val="24"/>
        </w:rPr>
        <w:lastRenderedPageBreak/>
        <w:t>额净值的0.25%时，基金管理人应当通报基金托管人；任一类基金份额净值估值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6474F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（2）当基金份额净值计算差错给基金和基金份额持有人造成损失需要进行赔偿时，基金管理人和基金托管人应根据实际情况界定双方承担的责任，经确认后按以下条款进行赔偿：</w:t>
      </w:r>
    </w:p>
    <w:p w14:paraId="11E90BF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47BE41C"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FEACB8F"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D8FE81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4)由于基金管理人提供的信息错误（包括但不限于基金申购或赎回金额等），进而导致基金份额净值计算错误而引起的基金份额持有人和基金财产的损失，由基金管理人负责赔付。</w:t>
      </w:r>
    </w:p>
    <w:p w14:paraId="54C6BA1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由于不可抗力，或证券交易所、期货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66DD6C4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（4）基金管理人和基金托管人由于各自技术系统设置而产生的净值计算尾差，以基金管理人计算结果为准。</w:t>
      </w:r>
    </w:p>
    <w:p w14:paraId="5790BA6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（5）前述内容如法律法规或者监管部门另有规定的，从其规定。如果行业另有通行做法，双方当事人应本着平等和保护基金份额持有人利益的原则进行协商。</w:t>
      </w:r>
    </w:p>
    <w:p w14:paraId="664C325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4、暂停估值与公告基金份额净值的情形</w:t>
      </w:r>
    </w:p>
    <w:p w14:paraId="14336E6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（1）基金投资所涉及的证券交易市场遇法定节假日或因其他原因暂停营业时；</w:t>
      </w:r>
    </w:p>
    <w:p w14:paraId="141E12A6"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（2）因不可抗力致使基金管理人、基金托管人无法准确评估基金资产价值时；</w:t>
      </w:r>
    </w:p>
    <w:p w14:paraId="60BE1F8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（3）占基金相当比例的投资品种的估值出现重大转变，基金管理人为保障基金份额持</w:t>
      </w:r>
      <w:r w:rsidRPr="0047638B">
        <w:rPr>
          <w:rFonts w:asciiTheme="minorEastAsia" w:eastAsiaTheme="minorEastAsia" w:hAnsiTheme="minorEastAsia" w:hint="eastAsia"/>
          <w:szCs w:val="24"/>
        </w:rPr>
        <w:lastRenderedPageBreak/>
        <w:t>有人的利益决定延迟估值时；</w:t>
      </w:r>
    </w:p>
    <w:p w14:paraId="78CB705A"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（4）当前一估值日基金资产净值 50%以上的资产出现无可参考的活跃市场价格且采用估值技术仍导致公允价值存在重大不确定性时，经与基金托管人协商一致的；</w:t>
      </w:r>
    </w:p>
    <w:p w14:paraId="2FA21A64"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（5）中国证监会和《基金合同》认定的其他情形。</w:t>
      </w:r>
    </w:p>
    <w:p w14:paraId="78DB452B"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5、基金会计制度</w:t>
      </w:r>
    </w:p>
    <w:p w14:paraId="0EF97078"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按国家有关部门规定的会计制度执行。</w:t>
      </w:r>
    </w:p>
    <w:p w14:paraId="125C6A2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6、基金账册的建立</w:t>
      </w:r>
    </w:p>
    <w:p w14:paraId="7E61741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BAEB3D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7、基金财务报表与报告的编制和复核</w:t>
      </w:r>
    </w:p>
    <w:p w14:paraId="78358508"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（1）财务报表的编制</w:t>
      </w:r>
    </w:p>
    <w:p w14:paraId="383D8CF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基金财务报表由基金管理人编制，基金托管人复核。</w:t>
      </w:r>
    </w:p>
    <w:p w14:paraId="2C5528A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（2）报表复核</w:t>
      </w:r>
    </w:p>
    <w:p w14:paraId="5A05A1D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基金托管人在收到基金管理人编制的基金财务报表后，进行独立的复核。核对不符时，应及时通知基金管理人共同查出原因，进行调整，直至双方数据完全一致。</w:t>
      </w:r>
    </w:p>
    <w:p w14:paraId="251E11F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（3）财务报表的编制与复核时间安排</w:t>
      </w:r>
    </w:p>
    <w:p w14:paraId="0DA4034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1)报表的编制</w:t>
      </w:r>
    </w:p>
    <w:p w14:paraId="681F814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14:paraId="1BAE841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2)报表的复核</w:t>
      </w:r>
    </w:p>
    <w:p w14:paraId="110F1CC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BD0131B"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基金管理人应留足充分的时间，便于基金托管人复核相关报表及报告。</w:t>
      </w:r>
    </w:p>
    <w:p w14:paraId="56055840" w14:textId="25ED1863" w:rsidR="00DD18D9" w:rsidRPr="0047638B" w:rsidRDefault="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8、基金管理人应在编制季度报告、中期报告或者年度报告之前及时向基金托管人提供</w:t>
      </w:r>
      <w:r w:rsidRPr="0047638B">
        <w:rPr>
          <w:rFonts w:asciiTheme="minorEastAsia" w:eastAsiaTheme="minorEastAsia" w:hAnsiTheme="minorEastAsia" w:hint="eastAsia"/>
          <w:szCs w:val="24"/>
        </w:rPr>
        <w:lastRenderedPageBreak/>
        <w:t>基金业绩比较基准的基础数据和编制结果。</w:t>
      </w:r>
    </w:p>
    <w:p w14:paraId="3E98BF3D" w14:textId="77777777" w:rsidR="00E02BAD" w:rsidRPr="0047638B" w:rsidRDefault="00E02BAD" w:rsidP="00E02BA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（六）基金份额持有人名册的保管</w:t>
      </w:r>
    </w:p>
    <w:p w14:paraId="04ED5610" w14:textId="77777777" w:rsidR="00E02BAD" w:rsidRPr="0047638B" w:rsidRDefault="00E02BAD" w:rsidP="00E02BA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份额持有人名册至少应包括基金份额持有人的名称和持有的基金份额。基金份额持有人名册由登记结算机构根据基金管理人的指令编制和保管，基金管理人和基金托管人应分别保管基金份额持有人名册，保存期不少于20年。如不能妥善保管，则按相关法规承担责任。</w:t>
      </w:r>
    </w:p>
    <w:p w14:paraId="200B618E" w14:textId="77777777" w:rsidR="00E02BAD" w:rsidRPr="0047638B" w:rsidRDefault="00E02BAD" w:rsidP="00E02BAD">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6176917" w14:textId="13CD5B38"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w:t>
      </w:r>
      <w:r w:rsidR="00E02BAD" w:rsidRPr="0047638B">
        <w:rPr>
          <w:rFonts w:asciiTheme="minorEastAsia" w:eastAsiaTheme="minorEastAsia" w:hAnsiTheme="minorEastAsia" w:hint="eastAsia"/>
          <w:szCs w:val="24"/>
        </w:rPr>
        <w:t>七</w:t>
      </w:r>
      <w:r w:rsidRPr="0047638B">
        <w:rPr>
          <w:rFonts w:asciiTheme="minorEastAsia" w:eastAsiaTheme="minorEastAsia" w:hAnsiTheme="minorEastAsia"/>
          <w:szCs w:val="24"/>
        </w:rPr>
        <w:t>）托管协议的变更、终止与基金财产的清算</w:t>
      </w:r>
    </w:p>
    <w:p w14:paraId="7BE2B60B"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1、托管协议的变更程序</w:t>
      </w:r>
    </w:p>
    <w:p w14:paraId="436EC4F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本协议双方当事人经协商一致，可以对协议进行修改。修改后的新协议，其内容不得与《基金合同》的规定有任何冲突。基金托管协议的变更报中国证监会备案后生效。</w:t>
      </w:r>
    </w:p>
    <w:p w14:paraId="0B8668FC"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2、基金托管协议终止出现的情形</w:t>
      </w:r>
    </w:p>
    <w:p w14:paraId="3E7642B2"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（1）《基金合同》终止；</w:t>
      </w:r>
    </w:p>
    <w:p w14:paraId="59E9748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（2）基金托管人解散、依法被撤销、破产或由其他基金托管人接管基金资产；</w:t>
      </w:r>
    </w:p>
    <w:p w14:paraId="6C27BB3A"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（3）基金管理人解散、依法被撤销、破产或由其他基金管理人接管基金管理权；</w:t>
      </w:r>
    </w:p>
    <w:p w14:paraId="4B4680A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（4）发生法律法规或《基金合同》规定的终止事项。</w:t>
      </w:r>
    </w:p>
    <w:p w14:paraId="6AC265C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3、基金财产的清算</w:t>
      </w:r>
    </w:p>
    <w:p w14:paraId="3EC663D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（1）基金财产清算小组：自出现《基金合同》终止事由之日起30个工作日内成立清算小组，基金管理人组织基金财产清算小组并在中国证监会的监督下进行基金清算。</w:t>
      </w:r>
    </w:p>
    <w:p w14:paraId="5BF1414A"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1629C5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（3）基金财产清算小组职责：基金财产清算小组负责基金财产的保管、清理、估价、变现和分配。基金财产清算小组可以依法进行必要的民事活动。</w:t>
      </w:r>
    </w:p>
    <w:p w14:paraId="4F144AA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（4）基金财产清算程序：</w:t>
      </w:r>
    </w:p>
    <w:p w14:paraId="588110C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1)《基金合同》终止情形出现时，由基金财产清算小组统一接管基金；</w:t>
      </w:r>
    </w:p>
    <w:p w14:paraId="6A6E9FC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2)对基金财产和债权债务进行清理和确认；</w:t>
      </w:r>
    </w:p>
    <w:p w14:paraId="30F37EB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3)对基金财产进行估值和变现；</w:t>
      </w:r>
    </w:p>
    <w:p w14:paraId="084FFC09"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lastRenderedPageBreak/>
        <w:t>4)制作清算报告；</w:t>
      </w:r>
    </w:p>
    <w:p w14:paraId="7F848D6D"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5)聘请会计师事务所对清算报告进行外部审计，聘请律师事务所对清算报告出具法律意见书；</w:t>
      </w:r>
    </w:p>
    <w:p w14:paraId="1B329C97"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6)将清算结果报中国证监会备案并公告；</w:t>
      </w:r>
    </w:p>
    <w:p w14:paraId="7FAE086B"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7)对基金剩余财产进行分配。</w:t>
      </w:r>
    </w:p>
    <w:p w14:paraId="5286009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（5）清算费用</w:t>
      </w:r>
    </w:p>
    <w:p w14:paraId="79D13CF3"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清算费用是指基金财产清算小组在进行基金清算过程中发生的所有合理费用，清算费用由基金财产清算小组优先从基金财产中支付。</w:t>
      </w:r>
    </w:p>
    <w:p w14:paraId="6B1C3AE6"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（6）基金财产清算剩余资产的分配：</w:t>
      </w:r>
    </w:p>
    <w:p w14:paraId="350C76E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依据基金财产清算的分配方案，将基金财产清算后的全部剩余资产扣除基金财产清算费用、交纳所欠税款并清偿基金债务后，按基金份额持有人持有的基金份额比例进行分配。</w:t>
      </w:r>
    </w:p>
    <w:p w14:paraId="3A3949D0"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（7）基金财产清算的公告</w:t>
      </w:r>
    </w:p>
    <w:p w14:paraId="42D1939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7D18F32E"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（8）基金财产清算账册及文件的保存</w:t>
      </w:r>
    </w:p>
    <w:p w14:paraId="4CB9C3DD" w14:textId="4C1ABA41" w:rsidR="00DD18D9" w:rsidRPr="0047638B" w:rsidRDefault="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基金财产清算账册及有关文件由基金托管人保存15年以上。</w:t>
      </w:r>
    </w:p>
    <w:p w14:paraId="0D9BD5F2" w14:textId="3868287B"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w:t>
      </w:r>
      <w:r w:rsidR="00E02BAD" w:rsidRPr="0047638B">
        <w:rPr>
          <w:rFonts w:asciiTheme="minorEastAsia" w:eastAsiaTheme="minorEastAsia" w:hAnsiTheme="minorEastAsia" w:hint="eastAsia"/>
          <w:szCs w:val="24"/>
        </w:rPr>
        <w:t>八</w:t>
      </w:r>
      <w:r w:rsidRPr="0047638B">
        <w:rPr>
          <w:rFonts w:asciiTheme="minorEastAsia" w:eastAsiaTheme="minorEastAsia" w:hAnsiTheme="minorEastAsia"/>
          <w:szCs w:val="24"/>
        </w:rPr>
        <w:t>）争议解决方式</w:t>
      </w:r>
    </w:p>
    <w:p w14:paraId="15A0D535"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62013D1" w14:textId="77777777" w:rsidR="008A6169" w:rsidRPr="0047638B" w:rsidRDefault="008A6169" w:rsidP="008A6169">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争议处理期间，双方当事人应恪守基金管理人和基金托管人职责，各自继续忠实、勤勉、尽责地履行《基金合同》和本托管协议规定的义务，维护基金份额持有人的合法权益。</w:t>
      </w:r>
    </w:p>
    <w:p w14:paraId="3789C9AD" w14:textId="08E39292" w:rsidR="00F9163E" w:rsidRPr="0047638B" w:rsidRDefault="008A616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本协议受中国法律管辖。</w:t>
      </w:r>
      <w:r w:rsidR="00F9163E" w:rsidRPr="0047638B">
        <w:rPr>
          <w:rFonts w:asciiTheme="minorEastAsia" w:eastAsiaTheme="minorEastAsia" w:hAnsiTheme="minorEastAsia"/>
          <w:szCs w:val="24"/>
        </w:rPr>
        <w:br w:type="page"/>
      </w:r>
    </w:p>
    <w:p w14:paraId="3C0AD667" w14:textId="08A2C43F"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12" w:name="_Toc77780012"/>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五</w:t>
      </w:r>
      <w:r w:rsidR="003B64E0"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对基金份额持有人的服务</w:t>
      </w:r>
      <w:bookmarkEnd w:id="3612"/>
    </w:p>
    <w:p w14:paraId="06CFFE1F" w14:textId="77777777" w:rsidR="00E13C79" w:rsidRPr="0047638B" w:rsidRDefault="00E13C79"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基金管理人承诺为基金份额持有人提供一系列的服务。以下是主要的服务内容，基金管理人根据基金份额持有人的需要和市场的变化，有权增加、修改这些服务项目：</w:t>
      </w:r>
    </w:p>
    <w:p w14:paraId="7454906C" w14:textId="2C56F774" w:rsidR="00E13C79" w:rsidRPr="0047638B" w:rsidRDefault="00F9163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（一）</w:t>
      </w:r>
      <w:r w:rsidR="00E13C79" w:rsidRPr="0047638B">
        <w:rPr>
          <w:rFonts w:asciiTheme="minorEastAsia" w:eastAsiaTheme="minorEastAsia" w:hAnsiTheme="minorEastAsia"/>
        </w:rPr>
        <w:t>基金份额持有人投资交易确认服务</w:t>
      </w:r>
    </w:p>
    <w:p w14:paraId="6B358308" w14:textId="1F5FF4E2"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基金登记结算机构保留基金份额持有人名册上列明的基金份额持有人的基金交易记录。</w:t>
      </w:r>
    </w:p>
    <w:p w14:paraId="7EF0B739" w14:textId="77777777" w:rsidR="00E13C79" w:rsidRPr="0047638B" w:rsidRDefault="00CD3CC3"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基金管理人直销网点应根据在基金管理人直销网点进行交易的投资者的要求提供成交确认单。基金非直销销售机构应根据在销售网点进行交易的投资者的要求提供成交确认单。</w:t>
      </w:r>
    </w:p>
    <w:p w14:paraId="73B20682" w14:textId="3F42507A" w:rsidR="00E13C79" w:rsidRPr="0047638B" w:rsidRDefault="00F9163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（二）</w:t>
      </w:r>
      <w:r w:rsidR="00E13C79" w:rsidRPr="0047638B">
        <w:rPr>
          <w:rFonts w:asciiTheme="minorEastAsia" w:eastAsiaTheme="minorEastAsia" w:hAnsiTheme="minorEastAsia"/>
        </w:rPr>
        <w:t>基金份额持有人交易记录查询服务</w:t>
      </w:r>
    </w:p>
    <w:p w14:paraId="0FB08C5C" w14:textId="6E163202" w:rsidR="00E13C79" w:rsidRPr="0047638B" w:rsidRDefault="00CD3CC3"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基金份额持有人可通过基金管理人的客户服务中心查询历史交易记录。</w:t>
      </w:r>
    </w:p>
    <w:p w14:paraId="030564E4" w14:textId="648960D3" w:rsidR="00E13C79" w:rsidRPr="0047638B" w:rsidRDefault="00F9163E"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（三）</w:t>
      </w:r>
      <w:r w:rsidR="00E13C79" w:rsidRPr="0047638B">
        <w:rPr>
          <w:rFonts w:asciiTheme="minorEastAsia" w:eastAsiaTheme="minorEastAsia" w:hAnsiTheme="minorEastAsia"/>
        </w:rPr>
        <w:t>基金份额持有人对帐单服务</w:t>
      </w:r>
    </w:p>
    <w:p w14:paraId="00FC2C8A" w14:textId="0554604A" w:rsidR="00F9163E" w:rsidRPr="0047638B" w:rsidRDefault="00BA584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w:t>
      </w:r>
      <w:r w:rsidR="00F9163E" w:rsidRPr="0047638B">
        <w:rPr>
          <w:rFonts w:asciiTheme="minorEastAsia" w:eastAsiaTheme="minorEastAsia" w:hAnsiTheme="minorEastAsia"/>
          <w:szCs w:val="24"/>
        </w:rPr>
        <w:t>基金份额持有人可登录本公司网站(http://www.efunds.com.cn)查阅对账单。</w:t>
      </w:r>
    </w:p>
    <w:p w14:paraId="654555F7" w14:textId="13001270" w:rsidR="00F9163E" w:rsidRPr="0047638B" w:rsidRDefault="00BA5844"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w:t>
      </w:r>
      <w:r w:rsidR="00FB1220" w:rsidRPr="0047638B">
        <w:rPr>
          <w:rFonts w:asciiTheme="minorEastAsia" w:eastAsiaTheme="minorEastAsia" w:hAnsiTheme="minorEastAsia" w:hint="eastAsia"/>
          <w:szCs w:val="24"/>
        </w:rPr>
        <w:t>本公司至少每年度以电子邮件、短信或其他形式向有联系方式的基金份额持有人提供基金保有情况信息，基金份额持有人也可以向本公司定制电子邮件形式的月度对账单。</w:t>
      </w:r>
    </w:p>
    <w:p w14:paraId="2FFFDF89" w14:textId="77777777" w:rsidR="00E13C79" w:rsidRPr="0047638B" w:rsidRDefault="00F9163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具体查阅和定制账单的方法可参见本公司网站或拨打客服热线咨询</w:t>
      </w:r>
      <w:r w:rsidR="00E13C79" w:rsidRPr="0047638B">
        <w:rPr>
          <w:rFonts w:asciiTheme="minorEastAsia" w:eastAsiaTheme="minorEastAsia" w:hAnsiTheme="minorEastAsia"/>
          <w:szCs w:val="24"/>
        </w:rPr>
        <w:t>。</w:t>
      </w:r>
    </w:p>
    <w:p w14:paraId="062F4657" w14:textId="77777777" w:rsidR="00E13C79" w:rsidRPr="0047638B" w:rsidRDefault="000B578D" w:rsidP="009E3E6E">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rPr>
        <w:t>（四）</w:t>
      </w:r>
      <w:r w:rsidR="00E13C79" w:rsidRPr="0047638B">
        <w:rPr>
          <w:rFonts w:asciiTheme="minorEastAsia" w:eastAsiaTheme="minorEastAsia" w:hAnsiTheme="minorEastAsia"/>
        </w:rPr>
        <w:t>资讯服务</w:t>
      </w:r>
    </w:p>
    <w:p w14:paraId="5EAA3A97"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1、客户服务中心电话</w:t>
      </w:r>
    </w:p>
    <w:p w14:paraId="43969B88" w14:textId="1ADA1C9E" w:rsidR="00DD18D9" w:rsidRPr="0047638B" w:rsidRDefault="00FB1220">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投资者如果想了解基金产品、服务等信息，或反馈投资过程中需要投诉与建议的情况，可拨打如下电话：4008818088。投资者如果认为自己不能准确理解本基金《招募说明书》、《基金合同》的具体内容，也可拨打上述电话详询</w:t>
      </w:r>
      <w:r w:rsidR="00561038" w:rsidRPr="0047638B">
        <w:rPr>
          <w:rFonts w:asciiTheme="minorEastAsia" w:eastAsiaTheme="minorEastAsia" w:hAnsiTheme="minorEastAsia"/>
          <w:szCs w:val="24"/>
        </w:rPr>
        <w:t>。</w:t>
      </w:r>
    </w:p>
    <w:p w14:paraId="03D980B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2、互联网站及电子信箱</w:t>
      </w:r>
    </w:p>
    <w:p w14:paraId="4A2C54FC"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网址：http://www.efunds.com.cn</w:t>
      </w:r>
    </w:p>
    <w:p w14:paraId="21C5133A" w14:textId="77777777" w:rsidR="00610C3E" w:rsidRPr="0047638B" w:rsidRDefault="00CD3CC3"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电子信箱：service@efunds.com.cn</w:t>
      </w:r>
      <w:r w:rsidR="00206930" w:rsidRPr="0047638B">
        <w:rPr>
          <w:rFonts w:asciiTheme="minorEastAsia" w:eastAsiaTheme="minorEastAsia" w:hAnsiTheme="minorEastAsia"/>
          <w:szCs w:val="24"/>
        </w:rPr>
        <w:br w:type="page"/>
      </w:r>
    </w:p>
    <w:p w14:paraId="207F5D15" w14:textId="7F6BA9C8" w:rsidR="00E13C79" w:rsidRPr="0047638B" w:rsidRDefault="003E57E1" w:rsidP="00365038">
      <w:pPr>
        <w:pStyle w:val="11"/>
        <w:snapToGrid w:val="0"/>
        <w:spacing w:beforeLines="0" w:afterLines="0" w:line="360" w:lineRule="auto"/>
        <w:ind w:firstLine="600"/>
        <w:rPr>
          <w:rFonts w:asciiTheme="minorEastAsia" w:eastAsiaTheme="minorEastAsia" w:hAnsiTheme="minorEastAsia"/>
          <w:b w:val="0"/>
          <w:sz w:val="30"/>
        </w:rPr>
      </w:pPr>
      <w:bookmarkStart w:id="3613" w:name="_Toc77780013"/>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六</w:t>
      </w:r>
      <w:r w:rsidR="00493CDC"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其他应披露事项</w:t>
      </w:r>
      <w:bookmarkEnd w:id="361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757"/>
      </w:tblGrid>
      <w:tr w:rsidR="0047638B" w:rsidRPr="0047638B" w14:paraId="43D464C8" w14:textId="77777777" w:rsidTr="004E2C47">
        <w:trPr>
          <w:trHeight w:val="765"/>
        </w:trPr>
        <w:tc>
          <w:tcPr>
            <w:tcW w:w="6771" w:type="dxa"/>
            <w:shd w:val="clear" w:color="auto" w:fill="auto"/>
            <w:vAlign w:val="center"/>
            <w:hideMark/>
          </w:tcPr>
          <w:p w14:paraId="5122AD45" w14:textId="77777777" w:rsidR="002F4B14" w:rsidRPr="0047638B" w:rsidRDefault="00541F27" w:rsidP="002F4B14">
            <w:pPr>
              <w:spacing w:line="360" w:lineRule="auto"/>
              <w:ind w:firstLineChars="200" w:firstLine="420"/>
              <w:jc w:val="center"/>
              <w:rPr>
                <w:rFonts w:asciiTheme="minorEastAsia" w:eastAsiaTheme="minorEastAsia" w:hAnsiTheme="minorEastAsia"/>
                <w:szCs w:val="24"/>
              </w:rPr>
            </w:pPr>
            <w:r w:rsidRPr="0047638B">
              <w:rPr>
                <w:rFonts w:asciiTheme="minorEastAsia" w:eastAsiaTheme="minorEastAsia" w:hAnsiTheme="minorEastAsia" w:hint="eastAsia"/>
                <w:szCs w:val="24"/>
              </w:rPr>
              <w:t>公告事项</w:t>
            </w:r>
          </w:p>
        </w:tc>
        <w:tc>
          <w:tcPr>
            <w:tcW w:w="1757" w:type="dxa"/>
            <w:shd w:val="clear" w:color="auto" w:fill="auto"/>
            <w:vAlign w:val="center"/>
            <w:hideMark/>
          </w:tcPr>
          <w:p w14:paraId="3A5E0436" w14:textId="77777777" w:rsidR="002F4B14" w:rsidRPr="0047638B" w:rsidRDefault="00541F27" w:rsidP="00D34596">
            <w:pPr>
              <w:spacing w:line="360" w:lineRule="auto"/>
              <w:jc w:val="center"/>
              <w:rPr>
                <w:rFonts w:asciiTheme="minorEastAsia" w:eastAsiaTheme="minorEastAsia" w:hAnsiTheme="minorEastAsia"/>
                <w:szCs w:val="24"/>
              </w:rPr>
            </w:pPr>
            <w:r w:rsidRPr="0047638B">
              <w:rPr>
                <w:rFonts w:asciiTheme="minorEastAsia" w:eastAsiaTheme="minorEastAsia" w:hAnsiTheme="minorEastAsia" w:hint="eastAsia"/>
                <w:szCs w:val="24"/>
              </w:rPr>
              <w:t>披露日期</w:t>
            </w:r>
          </w:p>
        </w:tc>
      </w:tr>
      <w:tr w:rsidR="0047638B" w:rsidRPr="0047638B" w14:paraId="2A8DE43F"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ACE0E6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易方达基金管理有限公司关于暂停上海朝阳永续基金销售有限公司办理旗下基金相关销售业务的公告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E0BECF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2020-06-03</w:t>
            </w:r>
          </w:p>
        </w:tc>
      </w:tr>
      <w:tr w:rsidR="0047638B" w:rsidRPr="0047638B" w14:paraId="3F268AA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07A00C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易方达基金管理有限公司高级管理人员变更公告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37BCAF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2020-06-22</w:t>
            </w:r>
          </w:p>
        </w:tc>
      </w:tr>
      <w:tr w:rsidR="0047638B" w:rsidRPr="0047638B" w14:paraId="199E74A0"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4A1D42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关于易方达证券公司指数分级证券投资基金办理定期份额折算业务的提示性公告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F53B6F4"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2020-06-30</w:t>
            </w:r>
          </w:p>
        </w:tc>
      </w:tr>
      <w:tr w:rsidR="0047638B" w:rsidRPr="0047638B" w14:paraId="0847F84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EECEAA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关于易方达证券公司指数分级证券投资基金办理定期份额折算业务的公告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1F1E76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2020-07-02</w:t>
            </w:r>
          </w:p>
        </w:tc>
      </w:tr>
      <w:tr w:rsidR="0047638B" w:rsidRPr="0047638B" w14:paraId="7E9E6353"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C0C4755"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关于易方达证券公司指数分级证券投资基金定期份额折算业务期间暂停申购、赎回、转换及定期定额投资业务的公告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E1960AC"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2020-07-02</w:t>
            </w:r>
          </w:p>
        </w:tc>
      </w:tr>
      <w:tr w:rsidR="0047638B" w:rsidRPr="0047638B" w14:paraId="4F95369F"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D5553E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D7F816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2020-07-07</w:t>
            </w:r>
          </w:p>
        </w:tc>
      </w:tr>
      <w:tr w:rsidR="0047638B" w:rsidRPr="0047638B" w14:paraId="737F2FB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A5D4DB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关于易方达证券公司指数分级证券投资基金定期份额折算业务期间易方达证券公司分级A类份额和易方达证券公司分级份额停复牌的公告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87AA0FF"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2020-07-08</w:t>
            </w:r>
          </w:p>
        </w:tc>
      </w:tr>
      <w:tr w:rsidR="0047638B" w:rsidRPr="0047638B" w14:paraId="011B5C0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156CB48"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9C18BC2"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2020-07-09</w:t>
            </w:r>
          </w:p>
        </w:tc>
      </w:tr>
      <w:tr w:rsidR="0047638B" w:rsidRPr="0047638B" w14:paraId="6680BE5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1A66E7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关于易方达证券公司指数分级证券投资基金定期份额折算结果及恢复交易的公告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8E93AC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2020-07-09</w:t>
            </w:r>
          </w:p>
        </w:tc>
      </w:tr>
      <w:tr w:rsidR="0047638B" w:rsidRPr="0047638B" w14:paraId="4A5D15E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4121FA9"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关于易方达证券公司指数分级证券投资基金之易方达证券公司分级A类份额和易方达证券公司分级份额定期份额折算后次日前收盘价调整的公告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655885C"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2020-07-09</w:t>
            </w:r>
          </w:p>
        </w:tc>
      </w:tr>
      <w:tr w:rsidR="0047638B" w:rsidRPr="0047638B" w14:paraId="299EB29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01E08B8"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B4177D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2020-07-14</w:t>
            </w:r>
          </w:p>
        </w:tc>
      </w:tr>
      <w:tr w:rsidR="0047638B" w:rsidRPr="0047638B" w14:paraId="53C76AA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8363BFF"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易方达基金管理有限公司关于公司旗下部分基金估值调整情况的公告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3A88A1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2020-07-17</w:t>
            </w:r>
          </w:p>
        </w:tc>
      </w:tr>
      <w:tr w:rsidR="0047638B" w:rsidRPr="0047638B" w14:paraId="11A5EDB3"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452722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易方达基金管理有限公司旗下基金2020年第2季度报告提示性公告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9F185C8"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2020-07-21</w:t>
            </w:r>
          </w:p>
        </w:tc>
      </w:tr>
      <w:tr w:rsidR="0047638B" w:rsidRPr="0047638B" w14:paraId="6FCB337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59CADA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6BF3119"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2020-07-21</w:t>
            </w:r>
          </w:p>
        </w:tc>
      </w:tr>
      <w:tr w:rsidR="0047638B" w:rsidRPr="0047638B" w14:paraId="52AEA09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183577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易方达基金管理有限公司高级管理人员变更公告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6BE6ED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2020-07-24</w:t>
            </w:r>
          </w:p>
        </w:tc>
      </w:tr>
      <w:tr w:rsidR="0047638B" w:rsidRPr="0047638B" w14:paraId="522F6BB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054B2EE"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C610CA9"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2020-08-04</w:t>
            </w:r>
          </w:p>
        </w:tc>
      </w:tr>
      <w:tr w:rsidR="0047638B" w:rsidRPr="0047638B" w14:paraId="6D5259E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044076D"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CDDA010"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2020-08-11</w:t>
            </w:r>
          </w:p>
        </w:tc>
      </w:tr>
      <w:tr w:rsidR="0047638B" w:rsidRPr="0047638B" w14:paraId="3506BD2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B4F13B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3B2FFA8"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2020-08-18</w:t>
            </w:r>
          </w:p>
        </w:tc>
      </w:tr>
      <w:tr w:rsidR="0047638B" w:rsidRPr="0047638B" w14:paraId="5A6E491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E92607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08ADDDE"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2020-08-25</w:t>
            </w:r>
          </w:p>
        </w:tc>
      </w:tr>
      <w:tr w:rsidR="0047638B" w:rsidRPr="0047638B" w14:paraId="482EB6B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3F5EC96"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易方达基金管理有限公司旗下基金2020年中期报告提示性公告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C822769"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2020-08-28</w:t>
            </w:r>
          </w:p>
        </w:tc>
      </w:tr>
      <w:tr w:rsidR="0047638B" w:rsidRPr="0047638B" w14:paraId="61B8F4B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32486F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B5973B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2020-09-01</w:t>
            </w:r>
          </w:p>
        </w:tc>
      </w:tr>
      <w:tr w:rsidR="0047638B" w:rsidRPr="0047638B" w14:paraId="58483595"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F91FEF5"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lastRenderedPageBreak/>
              <w:t>易方达基金管理有限公司高级管理人员变更公告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EEEBFF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2020-09-19</w:t>
            </w:r>
          </w:p>
        </w:tc>
      </w:tr>
      <w:tr w:rsidR="0047638B" w:rsidRPr="0047638B" w14:paraId="59686F63"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53C8BE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ECF7FD8"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2020-09-21</w:t>
            </w:r>
          </w:p>
        </w:tc>
      </w:tr>
      <w:tr w:rsidR="0047638B" w:rsidRPr="0047638B" w14:paraId="068DB27D"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68614B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0D56B9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2020-09-21</w:t>
            </w:r>
          </w:p>
        </w:tc>
      </w:tr>
      <w:tr w:rsidR="0047638B" w:rsidRPr="0047638B" w14:paraId="6EF84C5A"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5051A1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易方达证券公司指数分级证券投资基金暂停场内分拆业务的公告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FC68C12"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2020-09-21</w:t>
            </w:r>
          </w:p>
        </w:tc>
      </w:tr>
      <w:tr w:rsidR="0047638B" w:rsidRPr="0047638B" w14:paraId="5508E1A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696134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易方达证券公司指数分级证券投资基金基金份额持有人大会公告日停牌的提示性公告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66E6AEE"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2020-09-21</w:t>
            </w:r>
          </w:p>
        </w:tc>
      </w:tr>
      <w:tr w:rsidR="0047638B" w:rsidRPr="0047638B" w14:paraId="0CF84FF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0C5E8E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易方达基金管理有限公司关于以通讯方式召开易方达证券公司指数分级证券投资基金基金份额持有人大会的第一次提示性公告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38413CC"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2020-09-22</w:t>
            </w:r>
          </w:p>
        </w:tc>
      </w:tr>
      <w:tr w:rsidR="0047638B" w:rsidRPr="0047638B" w14:paraId="56312A3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D200B2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157890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2020-09-22</w:t>
            </w:r>
          </w:p>
        </w:tc>
      </w:tr>
      <w:tr w:rsidR="0047638B" w:rsidRPr="0047638B" w14:paraId="34798BC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72E255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易方达基金管理有限公司关于以通讯方式召开易方达证券公司指数分级证券投资基金基金份额持有人大会的第二次提示性公告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05ABFB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2020-09-23</w:t>
            </w:r>
          </w:p>
        </w:tc>
      </w:tr>
      <w:tr w:rsidR="0047638B" w:rsidRPr="0047638B" w14:paraId="3E20117B"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5F4F36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12B1DB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2020-09-23</w:t>
            </w:r>
          </w:p>
        </w:tc>
      </w:tr>
      <w:tr w:rsidR="0047638B" w:rsidRPr="0047638B" w14:paraId="7F92FB3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F4B7C4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DEB1BB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2020-09-24</w:t>
            </w:r>
          </w:p>
        </w:tc>
      </w:tr>
      <w:tr w:rsidR="0047638B" w:rsidRPr="0047638B" w14:paraId="2B936F6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4BD697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183E27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2020-09-25</w:t>
            </w:r>
          </w:p>
        </w:tc>
      </w:tr>
      <w:tr w:rsidR="0047638B" w:rsidRPr="0047638B" w14:paraId="4B29363D"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224C40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78096E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2020-09-28</w:t>
            </w:r>
          </w:p>
        </w:tc>
      </w:tr>
      <w:tr w:rsidR="0047638B" w:rsidRPr="0047638B" w14:paraId="4EF3D21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712AFB6"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2EB7BA8"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2020-09-29</w:t>
            </w:r>
          </w:p>
        </w:tc>
      </w:tr>
      <w:tr w:rsidR="0047638B" w:rsidRPr="0047638B" w14:paraId="7D351D8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AD0ACED"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286ECBF"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2020-09-30</w:t>
            </w:r>
          </w:p>
        </w:tc>
      </w:tr>
      <w:tr w:rsidR="0047638B" w:rsidRPr="0047638B" w14:paraId="5E6D557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9BB6C9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易方达基金管理有限公司高级管理人员变更公告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642741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2020-09-30</w:t>
            </w:r>
          </w:p>
        </w:tc>
      </w:tr>
      <w:tr w:rsidR="0047638B" w:rsidRPr="0047638B" w14:paraId="2357290B"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374F41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8C5478F"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2020-10-09</w:t>
            </w:r>
          </w:p>
        </w:tc>
      </w:tr>
      <w:tr w:rsidR="0047638B" w:rsidRPr="0047638B" w14:paraId="559575C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1CE5AA5"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478490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2020-10-12</w:t>
            </w:r>
          </w:p>
        </w:tc>
      </w:tr>
      <w:tr w:rsidR="0047638B" w:rsidRPr="0047638B" w14:paraId="649CEBD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1D3C83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4B4513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2020-10-13</w:t>
            </w:r>
          </w:p>
        </w:tc>
      </w:tr>
      <w:tr w:rsidR="0047638B" w:rsidRPr="0047638B" w14:paraId="1CF8AA8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310AC2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1A89F6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2020-10-13</w:t>
            </w:r>
          </w:p>
        </w:tc>
      </w:tr>
      <w:tr w:rsidR="0047638B" w:rsidRPr="0047638B" w14:paraId="1894B52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AB2008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9CA7FC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2020-10-14</w:t>
            </w:r>
          </w:p>
        </w:tc>
      </w:tr>
      <w:tr w:rsidR="0047638B" w:rsidRPr="0047638B" w14:paraId="6B7D20E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BF5A9E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A83C082"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2020-10-15</w:t>
            </w:r>
          </w:p>
        </w:tc>
      </w:tr>
      <w:tr w:rsidR="0047638B" w:rsidRPr="0047638B" w14:paraId="5A306CF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A642A6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FBBFEF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2020-10-16</w:t>
            </w:r>
          </w:p>
        </w:tc>
      </w:tr>
      <w:tr w:rsidR="0047638B" w:rsidRPr="0047638B" w14:paraId="40CB7F4F"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ED144E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D4C3CF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2020-10-16</w:t>
            </w:r>
          </w:p>
        </w:tc>
      </w:tr>
      <w:tr w:rsidR="0047638B" w:rsidRPr="0047638B" w14:paraId="0DD6E91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9DFE0A6"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lastRenderedPageBreak/>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CBA302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2020-10-19</w:t>
            </w:r>
          </w:p>
        </w:tc>
      </w:tr>
      <w:tr w:rsidR="0047638B" w:rsidRPr="0047638B" w14:paraId="409FE06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8B900C9"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C5FC1F0"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2020-10-20</w:t>
            </w:r>
          </w:p>
        </w:tc>
      </w:tr>
      <w:tr w:rsidR="0047638B" w:rsidRPr="0047638B" w14:paraId="36C654D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0702BC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A4B5344"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2020-10-21</w:t>
            </w:r>
          </w:p>
        </w:tc>
      </w:tr>
      <w:tr w:rsidR="0047638B" w:rsidRPr="0047638B" w14:paraId="06462EC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1B1566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B4CA44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2020-10-22</w:t>
            </w:r>
          </w:p>
        </w:tc>
      </w:tr>
      <w:tr w:rsidR="0047638B" w:rsidRPr="0047638B" w14:paraId="19387DCA"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D7C4D1F"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4A78224"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2020-10-23</w:t>
            </w:r>
          </w:p>
        </w:tc>
      </w:tr>
      <w:tr w:rsidR="0047638B" w:rsidRPr="0047638B" w14:paraId="76D08D5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73E78A3"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2A6DF48"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2020-10-26</w:t>
            </w:r>
          </w:p>
        </w:tc>
      </w:tr>
      <w:tr w:rsidR="0047638B" w:rsidRPr="0047638B" w14:paraId="5AF1913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9CC428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C21777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2020-10-27</w:t>
            </w:r>
          </w:p>
        </w:tc>
      </w:tr>
      <w:tr w:rsidR="0047638B" w:rsidRPr="0047638B" w14:paraId="3331A61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05D85D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易方达基金管理有限公司旗下基金2020年第3季度报告提示性公告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EE430D2"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2020-10-28</w:t>
            </w:r>
          </w:p>
        </w:tc>
      </w:tr>
      <w:tr w:rsidR="0047638B" w:rsidRPr="0047638B" w14:paraId="26550D6B"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2BE3C6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易方达基金管理有限公司关于设立深圳分公司的公告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72089D9"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2020-10-28</w:t>
            </w:r>
          </w:p>
        </w:tc>
      </w:tr>
      <w:tr w:rsidR="0047638B" w:rsidRPr="0047638B" w14:paraId="3CF041BD"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7F0959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3A6B16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2020-10-28</w:t>
            </w:r>
          </w:p>
        </w:tc>
      </w:tr>
      <w:tr w:rsidR="0047638B" w:rsidRPr="0047638B" w14:paraId="6468562B"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816C587"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易方达证券公司指数分级证券投资基金暂停申购、转换转入、定期定额投资及转托管业务的公告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CA4AC0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2020-10-29</w:t>
            </w:r>
          </w:p>
        </w:tc>
      </w:tr>
      <w:tr w:rsidR="0047638B" w:rsidRPr="0047638B" w14:paraId="6E42A67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1BE905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易方达证券公司指数分级证券投资基金基金份额持有人大会计票日停牌的提示性公告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6B4B9A4"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2020-10-29</w:t>
            </w:r>
          </w:p>
        </w:tc>
      </w:tr>
      <w:tr w:rsidR="0047638B" w:rsidRPr="0047638B" w14:paraId="20A7EAA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DF8ED9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易方达基金管理有限公司关于以通讯方式召开易方达证券公司指数分级证券投资基金基金份额持有人大会相关事项的提示性公告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1BE67FC"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2020-10-29</w:t>
            </w:r>
          </w:p>
        </w:tc>
      </w:tr>
      <w:tr w:rsidR="0047638B" w:rsidRPr="0047638B" w14:paraId="30435D0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4E162F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易方达基金管理有限公司关于易方达证券公司指数分级证券投资基金基金份额持有人大会会议情况的公告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59F030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2020-10-30</w:t>
            </w:r>
          </w:p>
        </w:tc>
      </w:tr>
      <w:tr w:rsidR="0047638B" w:rsidRPr="0047638B" w14:paraId="434D4C9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354FF08"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易方达基金管理有限公司关于通过大泰金石基金销售有限公司购买并持有本公司旗下基金的投资者及时办理转托管的提示性公告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EC8AACE"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2020-10-31</w:t>
            </w:r>
          </w:p>
        </w:tc>
      </w:tr>
      <w:tr w:rsidR="0047638B" w:rsidRPr="0047638B" w14:paraId="7ACA1C4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780400F"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E2634F2"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2020-11-02</w:t>
            </w:r>
          </w:p>
        </w:tc>
      </w:tr>
      <w:tr w:rsidR="0047638B" w:rsidRPr="0047638B" w14:paraId="1B17F42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6ABAD0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318D7B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2020-11-03</w:t>
            </w:r>
          </w:p>
        </w:tc>
      </w:tr>
      <w:tr w:rsidR="0047638B" w:rsidRPr="0047638B" w14:paraId="0F7D8E8F"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0FE350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345954E"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2020-11-04</w:t>
            </w:r>
          </w:p>
        </w:tc>
      </w:tr>
      <w:tr w:rsidR="0047638B" w:rsidRPr="0047638B" w14:paraId="36CC8C4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ED2ABE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31A661F"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2020-11-05</w:t>
            </w:r>
          </w:p>
        </w:tc>
      </w:tr>
      <w:tr w:rsidR="0047638B" w:rsidRPr="0047638B" w14:paraId="168EDAE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02E518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BFAFB7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2020-11-06</w:t>
            </w:r>
          </w:p>
        </w:tc>
      </w:tr>
      <w:tr w:rsidR="0047638B" w:rsidRPr="0047638B" w14:paraId="635617FA"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16FB5F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5A3ADF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2020-11-09</w:t>
            </w:r>
          </w:p>
        </w:tc>
      </w:tr>
      <w:tr w:rsidR="0047638B" w:rsidRPr="0047638B" w14:paraId="376E6D7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8E2B40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C22359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2020-11-10</w:t>
            </w:r>
          </w:p>
        </w:tc>
      </w:tr>
      <w:tr w:rsidR="0047638B" w:rsidRPr="0047638B" w14:paraId="0678E26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26A745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8FE7FC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2020-11-10</w:t>
            </w:r>
          </w:p>
        </w:tc>
      </w:tr>
      <w:tr w:rsidR="0047638B" w:rsidRPr="0047638B" w14:paraId="78FE5B5F"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691DBC9"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4A99679"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2020-11-11</w:t>
            </w:r>
          </w:p>
        </w:tc>
      </w:tr>
      <w:tr w:rsidR="0047638B" w:rsidRPr="0047638B" w14:paraId="3A69CA43"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1044D49"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D15DA70"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2020-11-12</w:t>
            </w:r>
          </w:p>
        </w:tc>
      </w:tr>
      <w:tr w:rsidR="0047638B" w:rsidRPr="0047638B" w14:paraId="63B5EE75"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781427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w:t>
            </w:r>
            <w:r w:rsidRPr="0047638B">
              <w:rPr>
                <w:rFonts w:asciiTheme="minorEastAsia" w:eastAsiaTheme="minorEastAsia" w:hAnsiTheme="minorEastAsia" w:hint="eastAsia"/>
                <w:szCs w:val="21"/>
              </w:rPr>
              <w:lastRenderedPageBreak/>
              <w:t>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4DE6AD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lastRenderedPageBreak/>
              <w:t>2020-11-13</w:t>
            </w:r>
          </w:p>
        </w:tc>
      </w:tr>
      <w:tr w:rsidR="0047638B" w:rsidRPr="0047638B" w14:paraId="7CDEA44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589E05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5710BCE"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2020-11-16</w:t>
            </w:r>
          </w:p>
        </w:tc>
      </w:tr>
      <w:tr w:rsidR="0047638B" w:rsidRPr="0047638B" w14:paraId="6F6AB555"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450BB05"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8235B1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2020-11-17</w:t>
            </w:r>
          </w:p>
        </w:tc>
      </w:tr>
      <w:tr w:rsidR="0047638B" w:rsidRPr="0047638B" w14:paraId="1C55D77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BBB634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易方达基金管理有限公司关于易方达证券公司指数分级证券投资基金修改基金合同的公告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EDBABA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2020-11-18</w:t>
            </w:r>
          </w:p>
        </w:tc>
      </w:tr>
      <w:tr w:rsidR="0047638B" w:rsidRPr="0047638B" w14:paraId="1CB8B18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4373B2F"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5E63CD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2020-11-19</w:t>
            </w:r>
          </w:p>
        </w:tc>
      </w:tr>
      <w:tr w:rsidR="0047638B" w:rsidRPr="0047638B" w14:paraId="526BAD0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47ECB6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F4EF07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2020-11-20</w:t>
            </w:r>
          </w:p>
        </w:tc>
      </w:tr>
      <w:tr w:rsidR="0047638B" w:rsidRPr="0047638B" w14:paraId="51435F8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7D95D9B"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8E8AD0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2020-11-23</w:t>
            </w:r>
          </w:p>
        </w:tc>
      </w:tr>
      <w:tr w:rsidR="0047638B" w:rsidRPr="0047638B" w14:paraId="6FCF09D3"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0B3AFE8"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8701B2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2020-11-24</w:t>
            </w:r>
          </w:p>
        </w:tc>
      </w:tr>
      <w:tr w:rsidR="0047638B" w:rsidRPr="0047638B" w14:paraId="4CF962F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4B8CF3F"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0F39DC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2020-11-25</w:t>
            </w:r>
          </w:p>
        </w:tc>
      </w:tr>
      <w:tr w:rsidR="0047638B" w:rsidRPr="0047638B" w14:paraId="596E959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6567F1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F5560C8"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2020-11-26</w:t>
            </w:r>
          </w:p>
        </w:tc>
      </w:tr>
      <w:tr w:rsidR="0047638B" w:rsidRPr="0047638B" w14:paraId="2A6601D1"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26CF5B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91BCBCB"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2020-11-27</w:t>
            </w:r>
          </w:p>
        </w:tc>
      </w:tr>
      <w:tr w:rsidR="0047638B" w:rsidRPr="0047638B" w14:paraId="71CBE775"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6607BF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E800EF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2020-11-30</w:t>
            </w:r>
          </w:p>
        </w:tc>
      </w:tr>
      <w:tr w:rsidR="0047638B" w:rsidRPr="0047638B" w14:paraId="2616B15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67B74C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易方达基金管理有限公司关于易方达证券公司指数分级证券投资基金整改的提示性公告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93AF6B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2020-12-01</w:t>
            </w:r>
          </w:p>
        </w:tc>
      </w:tr>
      <w:tr w:rsidR="0047638B" w:rsidRPr="0047638B" w14:paraId="0CDD7FA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F9DB2DD"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易方达证券公司指数分级证券投资基金可能发生不定期份额折算的风险提示公告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FE3AFD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2020-12-02</w:t>
            </w:r>
          </w:p>
        </w:tc>
      </w:tr>
      <w:tr w:rsidR="0047638B" w:rsidRPr="0047638B" w14:paraId="0EA6E93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8762A1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易方达基金管理有限公司关于易方达证券公司指数分级证券投资基金之易方达证券公司分级A类份额和易方达证券公司分级B类份额终止运作、终止上市并修改基金合同的公告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8389B3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2020-12-02</w:t>
            </w:r>
          </w:p>
        </w:tc>
      </w:tr>
      <w:tr w:rsidR="0047638B" w:rsidRPr="0047638B" w14:paraId="673F39DD"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44EB0B6"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9DE110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2020-12-02</w:t>
            </w:r>
          </w:p>
        </w:tc>
      </w:tr>
      <w:tr w:rsidR="0047638B" w:rsidRPr="0047638B" w14:paraId="14F6B00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F9BBFB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516563A"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2020-12-03</w:t>
            </w:r>
          </w:p>
        </w:tc>
      </w:tr>
      <w:tr w:rsidR="0047638B" w:rsidRPr="0047638B" w14:paraId="49082CD5"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6CC0F40"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D71FD1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2020-12-04</w:t>
            </w:r>
          </w:p>
        </w:tc>
      </w:tr>
      <w:tr w:rsidR="0047638B" w:rsidRPr="0047638B" w14:paraId="294DC3B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9ACC56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41E4BC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2020-12-07</w:t>
            </w:r>
          </w:p>
        </w:tc>
      </w:tr>
      <w:tr w:rsidR="0047638B" w:rsidRPr="0047638B" w14:paraId="229E989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75A4D0D"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易方达基金管理有限公司关于暂停上海久富财富基金销售有限公司办理旗下基金相关销售业务的公告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E4AB214"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2020-12-08</w:t>
            </w:r>
          </w:p>
        </w:tc>
      </w:tr>
      <w:tr w:rsidR="0047638B" w:rsidRPr="0047638B" w14:paraId="5F81CD52"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9516F5D"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lastRenderedPageBreak/>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42A22B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2020-12-08</w:t>
            </w:r>
          </w:p>
        </w:tc>
      </w:tr>
      <w:tr w:rsidR="0047638B" w:rsidRPr="0047638B" w14:paraId="751E3235"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1AEA7A5"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4622B2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2020-12-09</w:t>
            </w:r>
          </w:p>
        </w:tc>
      </w:tr>
      <w:tr w:rsidR="0047638B" w:rsidRPr="0047638B" w14:paraId="60327D2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279208E"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BE2A07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2020-12-10</w:t>
            </w:r>
          </w:p>
        </w:tc>
      </w:tr>
      <w:tr w:rsidR="0047638B" w:rsidRPr="0047638B" w14:paraId="57F4E95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BF8E49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关于警惕冒用易方达基金管理有限公司名义进行诈骗活动的特别提示公告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665518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2020-12-10</w:t>
            </w:r>
          </w:p>
        </w:tc>
      </w:tr>
      <w:tr w:rsidR="0047638B" w:rsidRPr="0047638B" w14:paraId="45C9782F"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9A8141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01737ED"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2020-12-11</w:t>
            </w:r>
          </w:p>
        </w:tc>
      </w:tr>
      <w:tr w:rsidR="0047638B" w:rsidRPr="0047638B" w14:paraId="6DB61CD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D146AEE"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易方达基金管理有限公司高级管理人员变更公告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3570DB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2020-12-12</w:t>
            </w:r>
          </w:p>
        </w:tc>
      </w:tr>
      <w:tr w:rsidR="0047638B" w:rsidRPr="0047638B" w14:paraId="748601ED"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E7D4B9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27C96720"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2020-12-14</w:t>
            </w:r>
          </w:p>
        </w:tc>
      </w:tr>
      <w:tr w:rsidR="0047638B" w:rsidRPr="0047638B" w14:paraId="7FE8BE9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404CFFE"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7AC1685"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2020-12-15</w:t>
            </w:r>
          </w:p>
        </w:tc>
      </w:tr>
      <w:tr w:rsidR="0047638B" w:rsidRPr="0047638B" w14:paraId="166795C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EE46B4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BF3E366"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2020-12-16</w:t>
            </w:r>
          </w:p>
        </w:tc>
      </w:tr>
      <w:tr w:rsidR="0047638B" w:rsidRPr="0047638B" w14:paraId="14C7E9EC"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EE99EFA"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易方达基金管理有限公司关于通过浙江金观诚基金销售有限公司购买并持有本公司旗下基金的投资者及时办理转托管的提示性公告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384B2B1"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2020-12-16</w:t>
            </w:r>
          </w:p>
        </w:tc>
      </w:tr>
      <w:tr w:rsidR="0047638B" w:rsidRPr="0047638B" w14:paraId="077ED71E"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465D05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易方达基金管理有限公司关于通过上海久富财富基金销售有限公司购买并持有本公司旗下基金的投资者及时办理转托管的提示性公告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0F73A27"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2020-12-16</w:t>
            </w:r>
          </w:p>
        </w:tc>
      </w:tr>
      <w:tr w:rsidR="0047638B" w:rsidRPr="0047638B" w14:paraId="73728358"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80F516C"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EB36690"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2020-12-17</w:t>
            </w:r>
          </w:p>
        </w:tc>
      </w:tr>
      <w:tr w:rsidR="0047638B" w:rsidRPr="0047638B" w14:paraId="5B747D96"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B25A98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EE467F2"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2020-12-18</w:t>
            </w:r>
          </w:p>
        </w:tc>
      </w:tr>
      <w:tr w:rsidR="0047638B" w:rsidRPr="0047638B" w14:paraId="01F3012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F02D90F"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B4DC7B3"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2020-12-21</w:t>
            </w:r>
          </w:p>
        </w:tc>
      </w:tr>
      <w:tr w:rsidR="0047638B" w:rsidRPr="0047638B" w14:paraId="7E827314"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2804148"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D555A9F"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2020-12-22</w:t>
            </w:r>
          </w:p>
        </w:tc>
      </w:tr>
      <w:tr w:rsidR="0047638B" w:rsidRPr="0047638B" w14:paraId="75222829"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D85C711"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032BA4E"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2020-12-23</w:t>
            </w:r>
          </w:p>
        </w:tc>
      </w:tr>
      <w:tr w:rsidR="0047638B" w:rsidRPr="0047638B" w14:paraId="2AA9D0AA"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A6BA754"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w:t>
            </w:r>
            <w:r w:rsidRPr="0047638B">
              <w:rPr>
                <w:rFonts w:asciiTheme="minorEastAsia" w:eastAsiaTheme="minorEastAsia" w:hAnsiTheme="minorEastAsia" w:hint="eastAsia"/>
                <w:szCs w:val="21"/>
              </w:rPr>
              <w:lastRenderedPageBreak/>
              <w:t>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4EFF13DC" w14:textId="77777777" w:rsidR="002430B8" w:rsidRPr="0047638B" w:rsidRDefault="002430B8" w:rsidP="002430B8">
            <w:pPr>
              <w:jc w:val="center"/>
              <w:rPr>
                <w:rFonts w:asciiTheme="minorEastAsia" w:eastAsiaTheme="minorEastAsia" w:hAnsiTheme="minorEastAsia"/>
                <w:szCs w:val="21"/>
              </w:rPr>
            </w:pPr>
            <w:r w:rsidRPr="0047638B">
              <w:rPr>
                <w:rFonts w:asciiTheme="minorEastAsia" w:eastAsiaTheme="minorEastAsia" w:hAnsiTheme="minorEastAsia" w:hint="eastAsia"/>
                <w:szCs w:val="21"/>
              </w:rPr>
              <w:lastRenderedPageBreak/>
              <w:t>2020-12-24</w:t>
            </w:r>
          </w:p>
        </w:tc>
      </w:tr>
      <w:tr w:rsidR="0047638B" w:rsidRPr="0047638B" w14:paraId="4CA72017" w14:textId="77777777" w:rsidTr="002430B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FB6D942" w14:textId="77777777" w:rsidR="002430B8" w:rsidRPr="0047638B" w:rsidRDefault="002430B8" w:rsidP="002430B8">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4B9881A" w14:textId="77777777" w:rsidR="002430B8" w:rsidRPr="0047638B" w:rsidRDefault="002430B8" w:rsidP="0019524F">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2020-12-25</w:t>
            </w:r>
          </w:p>
        </w:tc>
      </w:tr>
      <w:tr w:rsidR="0047638B" w:rsidRPr="0047638B" w14:paraId="20D9C930"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525FB7B" w14:textId="77777777" w:rsidR="002250A9" w:rsidRPr="0047638B" w:rsidRDefault="002250A9"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D2D6073" w14:textId="77777777" w:rsidR="002250A9" w:rsidRPr="0047638B" w:rsidRDefault="002250A9" w:rsidP="0019524F">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2020-12-28</w:t>
            </w:r>
          </w:p>
        </w:tc>
      </w:tr>
      <w:tr w:rsidR="0047638B" w:rsidRPr="0047638B" w14:paraId="30119D42"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5E07ECC2" w14:textId="77777777" w:rsidR="002250A9" w:rsidRPr="0047638B" w:rsidRDefault="002250A9"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易方达证券公司指数分级证券投资基金暂停赎回、转换转出及场内合并业务的公告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7112C2C3" w14:textId="77777777" w:rsidR="002250A9" w:rsidRPr="0047638B" w:rsidRDefault="002250A9" w:rsidP="0019524F">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2020-12-29</w:t>
            </w:r>
          </w:p>
        </w:tc>
      </w:tr>
      <w:tr w:rsidR="0047638B" w:rsidRPr="0047638B" w14:paraId="34A8D809"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C4584F4" w14:textId="77777777" w:rsidR="002250A9" w:rsidRPr="0047638B" w:rsidRDefault="002250A9"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易方达基金管理有限公司关于易方达证券公司指数分级证券投资基金之易方达证券公司分级A类份额和易方达证券公司分级B类份额基金份额折算的公告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20A44B5" w14:textId="77777777" w:rsidR="002250A9" w:rsidRPr="0047638B" w:rsidRDefault="002250A9" w:rsidP="0019524F">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2020-12-29</w:t>
            </w:r>
          </w:p>
        </w:tc>
      </w:tr>
      <w:tr w:rsidR="0047638B" w:rsidRPr="0047638B" w14:paraId="7A86E91F"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DE0400E" w14:textId="77777777" w:rsidR="002250A9" w:rsidRPr="0047638B" w:rsidRDefault="002250A9"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1F066641" w14:textId="77777777" w:rsidR="002250A9" w:rsidRPr="0047638B" w:rsidRDefault="002250A9" w:rsidP="0019524F">
            <w:pPr>
              <w:jc w:val="center"/>
              <w:rPr>
                <w:rFonts w:asciiTheme="minorEastAsia" w:eastAsiaTheme="minorEastAsia" w:hAnsiTheme="minorEastAsia"/>
                <w:szCs w:val="21"/>
              </w:rPr>
            </w:pPr>
            <w:r w:rsidRPr="0047638B">
              <w:rPr>
                <w:rFonts w:asciiTheme="minorEastAsia" w:eastAsiaTheme="minorEastAsia" w:hAnsiTheme="minorEastAsia" w:hint="eastAsia"/>
                <w:szCs w:val="21"/>
              </w:rPr>
              <w:t>2020-12-29</w:t>
            </w:r>
          </w:p>
        </w:tc>
      </w:tr>
      <w:tr w:rsidR="0047638B" w:rsidRPr="0047638B" w14:paraId="43B8E37A"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591A263" w14:textId="09869123" w:rsidR="00435F14" w:rsidRPr="0047638B" w:rsidRDefault="00435F14"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F0F944B" w14:textId="6B68AD7F" w:rsidR="00435F14" w:rsidRPr="0047638B" w:rsidRDefault="00435F14" w:rsidP="0019524F">
            <w:pPr>
              <w:jc w:val="center"/>
              <w:rPr>
                <w:rFonts w:asciiTheme="minorEastAsia" w:eastAsiaTheme="minorEastAsia" w:hAnsiTheme="minorEastAsia"/>
                <w:szCs w:val="21"/>
              </w:rPr>
            </w:pPr>
            <w:r w:rsidRPr="0047638B">
              <w:rPr>
                <w:rFonts w:asciiTheme="minorEastAsia" w:eastAsiaTheme="minorEastAsia" w:hAnsiTheme="minorEastAsia"/>
                <w:szCs w:val="21"/>
              </w:rPr>
              <w:t>2020-12-30</w:t>
            </w:r>
          </w:p>
        </w:tc>
      </w:tr>
      <w:tr w:rsidR="0047638B" w:rsidRPr="0047638B" w14:paraId="02B50D44"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0EBE33A2" w14:textId="64F84096" w:rsidR="00435F14" w:rsidRPr="0047638B" w:rsidRDefault="00435F14"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易方达证券公司指数分级证券投资基金更名后基金经理变更公告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31CF8F31" w14:textId="22A80C7B" w:rsidR="00435F14" w:rsidRPr="0047638B" w:rsidRDefault="00435F14" w:rsidP="0019524F">
            <w:pPr>
              <w:jc w:val="center"/>
              <w:rPr>
                <w:rFonts w:asciiTheme="minorEastAsia" w:eastAsiaTheme="minorEastAsia" w:hAnsiTheme="minorEastAsia"/>
                <w:szCs w:val="21"/>
              </w:rPr>
            </w:pPr>
            <w:r w:rsidRPr="0047638B">
              <w:rPr>
                <w:rFonts w:asciiTheme="minorEastAsia" w:eastAsiaTheme="minorEastAsia" w:hAnsiTheme="minorEastAsia"/>
                <w:szCs w:val="21"/>
              </w:rPr>
              <w:t>2020-12-31</w:t>
            </w:r>
          </w:p>
        </w:tc>
      </w:tr>
      <w:tr w:rsidR="0047638B" w:rsidRPr="0047638B" w14:paraId="4FF96C8F"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D849E6D" w14:textId="2D088D4A" w:rsidR="00435F14" w:rsidRPr="0047638B" w:rsidRDefault="00435F14"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易方达基金管理有限公司关于旗下部分基金获配中信建投（601066）非公开发行A股的公告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53BE8B78" w14:textId="32A5EDFF" w:rsidR="00435F14" w:rsidRPr="0047638B" w:rsidRDefault="00435F14" w:rsidP="0019524F">
            <w:pPr>
              <w:jc w:val="center"/>
              <w:rPr>
                <w:rFonts w:asciiTheme="minorEastAsia" w:eastAsiaTheme="minorEastAsia" w:hAnsiTheme="minorEastAsia"/>
                <w:szCs w:val="21"/>
              </w:rPr>
            </w:pPr>
            <w:r w:rsidRPr="0047638B">
              <w:rPr>
                <w:rFonts w:asciiTheme="minorEastAsia" w:eastAsiaTheme="minorEastAsia" w:hAnsiTheme="minorEastAsia"/>
                <w:szCs w:val="21"/>
              </w:rPr>
              <w:t>2020-12-31</w:t>
            </w:r>
          </w:p>
        </w:tc>
      </w:tr>
      <w:tr w:rsidR="0047638B" w:rsidRPr="0047638B" w14:paraId="733EC274"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6816A8B" w14:textId="3E012DE5" w:rsidR="00435F14" w:rsidRPr="0047638B" w:rsidRDefault="00435F14"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易方达基金管理有限公司关于易方达证券公司指数分级证券投资基金基金名称变更的公告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6DE131C2" w14:textId="61843A83" w:rsidR="00435F14" w:rsidRPr="0047638B" w:rsidRDefault="00435F14" w:rsidP="0019524F">
            <w:pPr>
              <w:jc w:val="center"/>
              <w:rPr>
                <w:rFonts w:asciiTheme="minorEastAsia" w:eastAsiaTheme="minorEastAsia" w:hAnsiTheme="minorEastAsia"/>
                <w:szCs w:val="21"/>
              </w:rPr>
            </w:pPr>
            <w:r w:rsidRPr="0047638B">
              <w:rPr>
                <w:rFonts w:asciiTheme="minorEastAsia" w:eastAsiaTheme="minorEastAsia" w:hAnsiTheme="minorEastAsia"/>
                <w:szCs w:val="21"/>
              </w:rPr>
              <w:t>2020-12-31</w:t>
            </w:r>
          </w:p>
        </w:tc>
      </w:tr>
      <w:tr w:rsidR="0047638B" w:rsidRPr="0047638B" w14:paraId="2198A4AF" w14:textId="77777777" w:rsidTr="002250A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9B6DA65" w14:textId="7435A077" w:rsidR="00435F14" w:rsidRPr="0047638B" w:rsidRDefault="00435F14" w:rsidP="002250A9">
            <w:pPr>
              <w:rPr>
                <w:rFonts w:asciiTheme="minorEastAsia" w:eastAsiaTheme="minorEastAsia" w:hAnsiTheme="minorEastAsia"/>
                <w:szCs w:val="21"/>
              </w:rPr>
            </w:pPr>
            <w:r w:rsidRPr="0047638B">
              <w:rPr>
                <w:rFonts w:asciiTheme="minorEastAsia" w:eastAsiaTheme="minorEastAsia" w:hAnsiTheme="minorEastAsia" w:hint="eastAsia"/>
                <w:szCs w:val="21"/>
              </w:rPr>
              <w:t>易方达基金管理有限公司关于易方达证券公司指数分级证券投资基金之易方达证券公司分级A类份额和易方达证券公司分级B类份额终止运作、终止上市的特别风险提示公告</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bottom"/>
          </w:tcPr>
          <w:p w14:paraId="06E53115" w14:textId="38EBE3E4" w:rsidR="00435F14" w:rsidRPr="0047638B" w:rsidRDefault="00435F14" w:rsidP="0019524F">
            <w:pPr>
              <w:jc w:val="center"/>
              <w:rPr>
                <w:rFonts w:asciiTheme="minorEastAsia" w:eastAsiaTheme="minorEastAsia" w:hAnsiTheme="minorEastAsia"/>
                <w:szCs w:val="21"/>
              </w:rPr>
            </w:pPr>
            <w:r w:rsidRPr="0047638B">
              <w:rPr>
                <w:rFonts w:asciiTheme="minorEastAsia" w:eastAsiaTheme="minorEastAsia" w:hAnsiTheme="minorEastAsia"/>
                <w:szCs w:val="21"/>
              </w:rPr>
              <w:t>2020-12-31</w:t>
            </w:r>
          </w:p>
        </w:tc>
      </w:tr>
    </w:tbl>
    <w:p w14:paraId="67175626" w14:textId="5397C3C8" w:rsidR="0080084E" w:rsidRPr="0047638B" w:rsidRDefault="0080084E" w:rsidP="00E95A80">
      <w:pPr>
        <w:spacing w:line="360" w:lineRule="auto"/>
        <w:ind w:firstLineChars="200" w:firstLine="420"/>
        <w:rPr>
          <w:rFonts w:asciiTheme="minorEastAsia" w:eastAsiaTheme="minorEastAsia" w:hAnsiTheme="minorEastAsia"/>
          <w:szCs w:val="21"/>
        </w:rPr>
      </w:pPr>
      <w:r w:rsidRPr="0047638B">
        <w:rPr>
          <w:rFonts w:asciiTheme="minorEastAsia" w:eastAsiaTheme="minorEastAsia" w:hAnsiTheme="minorEastAsia"/>
          <w:szCs w:val="24"/>
        </w:rPr>
        <w:t>注：以上公告事项披露在</w:t>
      </w:r>
      <w:r w:rsidR="00FD1973" w:rsidRPr="0047638B">
        <w:rPr>
          <w:rFonts w:asciiTheme="minorEastAsia" w:eastAsiaTheme="minorEastAsia" w:hAnsiTheme="minorEastAsia"/>
          <w:szCs w:val="24"/>
        </w:rPr>
        <w:t>规定媒介</w:t>
      </w:r>
      <w:r w:rsidRPr="0047638B">
        <w:rPr>
          <w:rFonts w:asciiTheme="minorEastAsia" w:eastAsiaTheme="minorEastAsia" w:hAnsiTheme="minorEastAsia"/>
          <w:szCs w:val="24"/>
        </w:rPr>
        <w:t>及基金管理人网站上。</w:t>
      </w:r>
    </w:p>
    <w:p w14:paraId="0550D988" w14:textId="77777777" w:rsidR="0080084E" w:rsidRPr="0047638B" w:rsidRDefault="0080084E" w:rsidP="00A837B9">
      <w:pPr>
        <w:snapToGrid w:val="0"/>
        <w:spacing w:line="360" w:lineRule="auto"/>
        <w:rPr>
          <w:rFonts w:asciiTheme="minorEastAsia" w:eastAsiaTheme="minorEastAsia" w:hAnsiTheme="minorEastAsia"/>
          <w:szCs w:val="21"/>
        </w:rPr>
        <w:sectPr w:rsidR="0080084E" w:rsidRPr="0047638B" w:rsidSect="00A837B9">
          <w:pgSz w:w="11906" w:h="16838"/>
          <w:pgMar w:top="1440" w:right="1797" w:bottom="1440" w:left="1797" w:header="851" w:footer="992" w:gutter="0"/>
          <w:cols w:space="425"/>
          <w:docGrid w:type="linesAndChars" w:linePitch="312"/>
        </w:sectPr>
      </w:pPr>
    </w:p>
    <w:p w14:paraId="09B5F533" w14:textId="1A188142" w:rsidR="00E13C79" w:rsidRPr="0047638B" w:rsidRDefault="00941C7F" w:rsidP="00365038">
      <w:pPr>
        <w:pStyle w:val="11"/>
        <w:snapToGrid w:val="0"/>
        <w:spacing w:beforeLines="0" w:afterLines="0" w:line="360" w:lineRule="auto"/>
        <w:ind w:firstLine="600"/>
        <w:rPr>
          <w:rFonts w:asciiTheme="minorEastAsia" w:eastAsiaTheme="minorEastAsia" w:hAnsiTheme="minorEastAsia"/>
          <w:b w:val="0"/>
          <w:sz w:val="30"/>
        </w:rPr>
      </w:pPr>
      <w:bookmarkStart w:id="3614" w:name="_Toc77780014"/>
      <w:r w:rsidRPr="0047638B">
        <w:rPr>
          <w:rFonts w:asciiTheme="minorEastAsia" w:eastAsiaTheme="minorEastAsia" w:hAnsiTheme="minorEastAsia"/>
          <w:b w:val="0"/>
          <w:sz w:val="30"/>
        </w:rPr>
        <w:lastRenderedPageBreak/>
        <w:t>二十</w:t>
      </w:r>
      <w:r w:rsidR="002F757C" w:rsidRPr="0047638B">
        <w:rPr>
          <w:rFonts w:asciiTheme="minorEastAsia" w:eastAsiaTheme="minorEastAsia" w:hAnsiTheme="minorEastAsia"/>
          <w:b w:val="0"/>
          <w:sz w:val="30"/>
        </w:rPr>
        <w:t>七</w:t>
      </w:r>
      <w:r w:rsidR="00493CDC" w:rsidRPr="0047638B">
        <w:rPr>
          <w:rFonts w:asciiTheme="minorEastAsia" w:eastAsiaTheme="minorEastAsia" w:hAnsiTheme="minorEastAsia"/>
          <w:b w:val="0"/>
          <w:sz w:val="30"/>
        </w:rPr>
        <w:t>、</w:t>
      </w:r>
      <w:r w:rsidR="002459B4"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招募说明书</w:t>
      </w:r>
      <w:r w:rsidR="002459B4"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存放及查阅方式</w:t>
      </w:r>
      <w:bookmarkEnd w:id="3614"/>
    </w:p>
    <w:p w14:paraId="248C613F" w14:textId="77777777" w:rsidR="00493CDC" w:rsidRPr="0047638B" w:rsidRDefault="0080084E" w:rsidP="00E95A80">
      <w:pPr>
        <w:spacing w:line="360" w:lineRule="auto"/>
        <w:ind w:firstLineChars="200" w:firstLine="420"/>
        <w:rPr>
          <w:rFonts w:asciiTheme="minorEastAsia" w:eastAsiaTheme="minorEastAsia" w:hAnsiTheme="minorEastAsia"/>
        </w:rPr>
      </w:pPr>
      <w:r w:rsidRPr="0047638B">
        <w:rPr>
          <w:rFonts w:asciiTheme="minorEastAsia" w:eastAsiaTheme="minorEastAsia" w:hAnsiTheme="minorEastAsia"/>
          <w:szCs w:val="24"/>
        </w:rPr>
        <w:t>本《招募说明书》存放在基金管理人、基金托管人及基金销售机构</w:t>
      </w:r>
      <w:r w:rsidR="008C619A" w:rsidRPr="0047638B">
        <w:rPr>
          <w:rFonts w:asciiTheme="minorEastAsia" w:eastAsiaTheme="minorEastAsia" w:hAnsiTheme="minorEastAsia" w:hint="eastAsia"/>
          <w:szCs w:val="24"/>
        </w:rPr>
        <w:t>处</w:t>
      </w:r>
      <w:r w:rsidRPr="0047638B">
        <w:rPr>
          <w:rFonts w:asciiTheme="minorEastAsia" w:eastAsiaTheme="minorEastAsia" w:hAnsiTheme="minorEastAsia"/>
          <w:szCs w:val="24"/>
        </w:rPr>
        <w:t>，投资者可在营业时间免费查阅，也可按工本费购买复印件。基金管理人和基金托管人保证其所提供的文本的内容与所公告的内容完全一致。</w:t>
      </w:r>
      <w:r w:rsidR="00493CDC" w:rsidRPr="0047638B">
        <w:rPr>
          <w:rFonts w:asciiTheme="minorEastAsia" w:eastAsiaTheme="minorEastAsia" w:hAnsiTheme="minorEastAsia"/>
        </w:rPr>
        <w:br w:type="page"/>
      </w:r>
    </w:p>
    <w:p w14:paraId="387B7ECF" w14:textId="125D547C" w:rsidR="00E13C79" w:rsidRPr="0047638B" w:rsidRDefault="00941C7F" w:rsidP="00365038">
      <w:pPr>
        <w:pStyle w:val="11"/>
        <w:snapToGrid w:val="0"/>
        <w:spacing w:beforeLines="0" w:afterLines="0" w:line="360" w:lineRule="auto"/>
        <w:ind w:firstLine="600"/>
        <w:rPr>
          <w:rFonts w:asciiTheme="minorEastAsia" w:eastAsiaTheme="minorEastAsia" w:hAnsiTheme="minorEastAsia"/>
          <w:b w:val="0"/>
          <w:sz w:val="30"/>
        </w:rPr>
      </w:pPr>
      <w:bookmarkStart w:id="3615" w:name="_Toc77780015"/>
      <w:r w:rsidRPr="0047638B">
        <w:rPr>
          <w:rFonts w:asciiTheme="minorEastAsia" w:eastAsiaTheme="minorEastAsia" w:hAnsiTheme="minorEastAsia"/>
          <w:b w:val="0"/>
          <w:sz w:val="30"/>
        </w:rPr>
        <w:lastRenderedPageBreak/>
        <w:t>二</w:t>
      </w:r>
      <w:r w:rsidR="0036120C" w:rsidRPr="0047638B">
        <w:rPr>
          <w:rFonts w:asciiTheme="minorEastAsia" w:eastAsiaTheme="minorEastAsia" w:hAnsiTheme="minorEastAsia"/>
          <w:b w:val="0"/>
          <w:sz w:val="30"/>
        </w:rPr>
        <w:t>十</w:t>
      </w:r>
      <w:r w:rsidR="002F757C" w:rsidRPr="0047638B">
        <w:rPr>
          <w:rFonts w:asciiTheme="minorEastAsia" w:eastAsiaTheme="minorEastAsia" w:hAnsiTheme="minorEastAsia"/>
          <w:b w:val="0"/>
          <w:sz w:val="30"/>
        </w:rPr>
        <w:t>八</w:t>
      </w:r>
      <w:r w:rsidR="00493CDC" w:rsidRPr="0047638B">
        <w:rPr>
          <w:rFonts w:asciiTheme="minorEastAsia" w:eastAsiaTheme="minorEastAsia" w:hAnsiTheme="minorEastAsia"/>
          <w:b w:val="0"/>
          <w:sz w:val="30"/>
        </w:rPr>
        <w:t>、</w:t>
      </w:r>
      <w:r w:rsidR="00E13C79" w:rsidRPr="0047638B">
        <w:rPr>
          <w:rFonts w:asciiTheme="minorEastAsia" w:eastAsiaTheme="minorEastAsia" w:hAnsiTheme="minorEastAsia"/>
          <w:b w:val="0"/>
          <w:sz w:val="30"/>
        </w:rPr>
        <w:t>备查文件</w:t>
      </w:r>
      <w:bookmarkEnd w:id="3615"/>
    </w:p>
    <w:p w14:paraId="74BCABA1"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1、中国证监会准予易方达证券公司指数分级证券投资基金募集注册的文件；</w:t>
      </w:r>
    </w:p>
    <w:p w14:paraId="051136EE"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2、《易方达证券公司指数分级证券投资基金基金合同》；</w:t>
      </w:r>
    </w:p>
    <w:p w14:paraId="0074EA42"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3、《易方达证券公司指数分级证券投资基金托管协议》；</w:t>
      </w:r>
    </w:p>
    <w:p w14:paraId="202B9CA7" w14:textId="52437914" w:rsidR="00941C7F" w:rsidRPr="0047638B" w:rsidRDefault="00941C7F" w:rsidP="00941C7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4、《易方达中证全指证券公司指数证券投资基金（LOF）基金合同》；</w:t>
      </w:r>
    </w:p>
    <w:p w14:paraId="3C7264BD" w14:textId="7A1812C9" w:rsidR="00941C7F" w:rsidRPr="0047638B" w:rsidRDefault="00941C7F" w:rsidP="00941C7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hint="eastAsia"/>
          <w:szCs w:val="24"/>
        </w:rPr>
        <w:t>5、《易方达中证全指证券公司指数证券投资基金（LOF）托管协议》；</w:t>
      </w:r>
    </w:p>
    <w:p w14:paraId="204B9662" w14:textId="4A76C9E6" w:rsidR="00DD18D9" w:rsidRPr="0047638B" w:rsidRDefault="00941C7F" w:rsidP="00941C7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6</w:t>
      </w:r>
      <w:r w:rsidR="00561038" w:rsidRPr="0047638B">
        <w:rPr>
          <w:rFonts w:asciiTheme="minorEastAsia" w:eastAsiaTheme="minorEastAsia" w:hAnsiTheme="minorEastAsia"/>
          <w:szCs w:val="24"/>
        </w:rPr>
        <w:t>、法律意见书；</w:t>
      </w:r>
    </w:p>
    <w:p w14:paraId="0ED4EE1F" w14:textId="4A2C5CEA" w:rsidR="00DD18D9" w:rsidRPr="0047638B" w:rsidRDefault="00941C7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7</w:t>
      </w:r>
      <w:r w:rsidR="00561038" w:rsidRPr="0047638B">
        <w:rPr>
          <w:rFonts w:asciiTheme="minorEastAsia" w:eastAsiaTheme="minorEastAsia" w:hAnsiTheme="minorEastAsia"/>
          <w:szCs w:val="24"/>
        </w:rPr>
        <w:t>、基金管理人业务资格批件和营业执照；</w:t>
      </w:r>
    </w:p>
    <w:p w14:paraId="19BFC2F0" w14:textId="22F5471D" w:rsidR="00DD18D9" w:rsidRPr="0047638B" w:rsidRDefault="00941C7F">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8</w:t>
      </w:r>
      <w:r w:rsidR="00561038" w:rsidRPr="0047638B">
        <w:rPr>
          <w:rFonts w:asciiTheme="minorEastAsia" w:eastAsiaTheme="minorEastAsia" w:hAnsiTheme="minorEastAsia"/>
          <w:szCs w:val="24"/>
        </w:rPr>
        <w:t>、基金托管人业务资格批件和营业执照。</w:t>
      </w:r>
    </w:p>
    <w:p w14:paraId="6CA63EB3" w14:textId="77777777" w:rsidR="00DD18D9" w:rsidRPr="0047638B" w:rsidRDefault="00561038">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存放地点：基金管理人、基金托管人处</w:t>
      </w:r>
    </w:p>
    <w:p w14:paraId="40C0427D" w14:textId="77777777" w:rsidR="0080084E" w:rsidRPr="0047638B" w:rsidRDefault="0080084E" w:rsidP="009E3E6E">
      <w:pPr>
        <w:spacing w:line="360" w:lineRule="auto"/>
        <w:ind w:firstLineChars="200" w:firstLine="420"/>
        <w:rPr>
          <w:rFonts w:asciiTheme="minorEastAsia" w:eastAsiaTheme="minorEastAsia" w:hAnsiTheme="minorEastAsia"/>
          <w:szCs w:val="24"/>
        </w:rPr>
      </w:pPr>
      <w:r w:rsidRPr="0047638B">
        <w:rPr>
          <w:rFonts w:asciiTheme="minorEastAsia" w:eastAsiaTheme="minorEastAsia" w:hAnsiTheme="minorEastAsia"/>
          <w:szCs w:val="24"/>
        </w:rPr>
        <w:t>查阅方式：投资者可在营业时间免费查阅，也可按工本费购买复印件。</w:t>
      </w:r>
    </w:p>
    <w:p w14:paraId="2AC39565" w14:textId="77777777" w:rsidR="0080084E" w:rsidRPr="0047638B" w:rsidRDefault="0080084E" w:rsidP="0080084E">
      <w:pPr>
        <w:pStyle w:val="ac"/>
        <w:snapToGrid w:val="0"/>
        <w:spacing w:line="360" w:lineRule="auto"/>
        <w:ind w:firstLine="480"/>
        <w:rPr>
          <w:rFonts w:asciiTheme="minorEastAsia" w:eastAsiaTheme="minorEastAsia" w:hAnsiTheme="minorEastAsia" w:cs="Times New Roman"/>
          <w:bCs/>
        </w:rPr>
      </w:pPr>
    </w:p>
    <w:p w14:paraId="2C471152" w14:textId="77777777" w:rsidR="0080084E" w:rsidRPr="0047638B" w:rsidRDefault="0080084E" w:rsidP="0080084E">
      <w:pPr>
        <w:pStyle w:val="ac"/>
        <w:snapToGrid w:val="0"/>
        <w:spacing w:line="360" w:lineRule="auto"/>
        <w:ind w:firstLine="480"/>
        <w:rPr>
          <w:rFonts w:asciiTheme="minorEastAsia" w:eastAsiaTheme="minorEastAsia" w:hAnsiTheme="minorEastAsia" w:cs="Times New Roman"/>
          <w:bCs/>
        </w:rPr>
      </w:pPr>
    </w:p>
    <w:p w14:paraId="3D703129" w14:textId="77777777" w:rsidR="0080084E" w:rsidRPr="0047638B" w:rsidRDefault="0080084E" w:rsidP="0080084E">
      <w:pPr>
        <w:pStyle w:val="ac"/>
        <w:snapToGrid w:val="0"/>
        <w:spacing w:line="360" w:lineRule="auto"/>
        <w:ind w:firstLine="420"/>
        <w:jc w:val="right"/>
        <w:rPr>
          <w:rFonts w:asciiTheme="minorEastAsia" w:eastAsiaTheme="minorEastAsia" w:hAnsiTheme="minorEastAsia" w:cs="Times New Roman"/>
        </w:rPr>
      </w:pPr>
      <w:r w:rsidRPr="0047638B">
        <w:rPr>
          <w:rFonts w:asciiTheme="minorEastAsia" w:eastAsiaTheme="minorEastAsia" w:hAnsiTheme="minorEastAsia" w:cs="Times New Roman"/>
        </w:rPr>
        <w:t>易方达基金管理有限公司</w:t>
      </w:r>
    </w:p>
    <w:p w14:paraId="141AB87B" w14:textId="5FBFCEA9" w:rsidR="00AE1827" w:rsidRPr="0047638B" w:rsidRDefault="00941C7F" w:rsidP="00F948FB">
      <w:pPr>
        <w:snapToGrid w:val="0"/>
        <w:spacing w:line="360" w:lineRule="auto"/>
        <w:ind w:firstLineChars="200" w:firstLine="420"/>
        <w:jc w:val="right"/>
        <w:rPr>
          <w:rFonts w:asciiTheme="minorEastAsia" w:eastAsiaTheme="minorEastAsia" w:hAnsiTheme="minorEastAsia"/>
        </w:rPr>
      </w:pPr>
      <w:bookmarkStart w:id="3616" w:name="_GoBack"/>
      <w:bookmarkEnd w:id="3616"/>
      <w:r w:rsidRPr="0047638B">
        <w:rPr>
          <w:rFonts w:asciiTheme="minorEastAsia" w:eastAsiaTheme="minorEastAsia" w:hAnsiTheme="minorEastAsia"/>
        </w:rPr>
        <w:t>2021年</w:t>
      </w:r>
      <w:r w:rsidR="00452D8D" w:rsidRPr="0047638B">
        <w:rPr>
          <w:rFonts w:asciiTheme="minorEastAsia" w:eastAsiaTheme="minorEastAsia" w:hAnsiTheme="minorEastAsia"/>
        </w:rPr>
        <w:t>7</w:t>
      </w:r>
      <w:r w:rsidRPr="0047638B">
        <w:rPr>
          <w:rFonts w:asciiTheme="minorEastAsia" w:eastAsiaTheme="minorEastAsia" w:hAnsiTheme="minorEastAsia"/>
        </w:rPr>
        <w:t>月</w:t>
      </w:r>
      <w:r w:rsidR="00452D8D" w:rsidRPr="0047638B">
        <w:rPr>
          <w:rFonts w:asciiTheme="minorEastAsia" w:eastAsiaTheme="minorEastAsia" w:hAnsiTheme="minorEastAsia"/>
        </w:rPr>
        <w:t>22</w:t>
      </w:r>
      <w:r w:rsidRPr="0047638B">
        <w:rPr>
          <w:rFonts w:asciiTheme="minorEastAsia" w:eastAsiaTheme="minorEastAsia" w:hAnsiTheme="minorEastAsia"/>
        </w:rPr>
        <w:t>日</w:t>
      </w:r>
    </w:p>
    <w:sectPr w:rsidR="00AE1827" w:rsidRPr="0047638B" w:rsidSect="00A837B9">
      <w:pgSz w:w="11906" w:h="16838"/>
      <w:pgMar w:top="1440" w:right="1797" w:bottom="1440" w:left="1797"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2490" w14:textId="77777777" w:rsidR="005D77D4" w:rsidRDefault="005D77D4" w:rsidP="00E13C79">
      <w:r>
        <w:separator/>
      </w:r>
    </w:p>
  </w:endnote>
  <w:endnote w:type="continuationSeparator" w:id="0">
    <w:p w14:paraId="04C755E0" w14:textId="77777777" w:rsidR="005D77D4" w:rsidRDefault="005D77D4" w:rsidP="00E1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8C1EF" w14:textId="77777777" w:rsidR="00900340" w:rsidRDefault="00900340" w:rsidP="00A05DAF">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83D2B" w14:textId="77777777" w:rsidR="00900340" w:rsidRDefault="00900340" w:rsidP="00A05DAF">
    <w:pPr>
      <w:pStyle w:val="a4"/>
      <w:jc w:val="center"/>
    </w:pPr>
    <w:r>
      <w:fldChar w:fldCharType="begin"/>
    </w:r>
    <w:r>
      <w:instrText xml:space="preserve"> PAGE   \* MERGEFORMAT </w:instrText>
    </w:r>
    <w:r>
      <w:fldChar w:fldCharType="separate"/>
    </w:r>
    <w:r w:rsidR="00246462" w:rsidRPr="00246462">
      <w:rPr>
        <w:noProof/>
        <w:lang w:val="zh-CN"/>
      </w:rPr>
      <w:t>I</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9302" w14:textId="77777777" w:rsidR="00900340" w:rsidRDefault="00900340" w:rsidP="00A05DAF">
    <w:pPr>
      <w:pStyle w:val="a4"/>
      <w:jc w:val="center"/>
    </w:pPr>
    <w:r>
      <w:fldChar w:fldCharType="begin"/>
    </w:r>
    <w:r>
      <w:instrText xml:space="preserve"> PAGE   \* MERGEFORMAT </w:instrText>
    </w:r>
    <w:r>
      <w:fldChar w:fldCharType="separate"/>
    </w:r>
    <w:r w:rsidR="00246462" w:rsidRPr="00246462">
      <w:rPr>
        <w:noProof/>
        <w:lang w:val="zh-CN"/>
      </w:rPr>
      <w:t>146</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4243" w14:textId="77777777" w:rsidR="005D77D4" w:rsidRDefault="005D77D4" w:rsidP="00E13C79">
      <w:r>
        <w:separator/>
      </w:r>
    </w:p>
  </w:footnote>
  <w:footnote w:type="continuationSeparator" w:id="0">
    <w:p w14:paraId="350F46A8" w14:textId="77777777" w:rsidR="005D77D4" w:rsidRDefault="005D77D4" w:rsidP="00E13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4C0"/>
    <w:multiLevelType w:val="hybridMultilevel"/>
    <w:tmpl w:val="B2365FAA"/>
    <w:lvl w:ilvl="0" w:tplc="C2D647AC">
      <w:start w:val="1"/>
      <w:numFmt w:val="decimal"/>
      <w:lvlText w:val="(%1)"/>
      <w:lvlJc w:val="left"/>
      <w:pPr>
        <w:ind w:left="840" w:hanging="420"/>
      </w:pPr>
      <w:rPr>
        <w:rFonts w:hint="default"/>
        <w:b w:val="0"/>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11B25B0"/>
    <w:multiLevelType w:val="hybridMultilevel"/>
    <w:tmpl w:val="FAECDF36"/>
    <w:lvl w:ilvl="0" w:tplc="C2D647AC">
      <w:start w:val="1"/>
      <w:numFmt w:val="decimal"/>
      <w:lvlText w:val="(%1)"/>
      <w:lvlJc w:val="left"/>
      <w:pPr>
        <w:ind w:left="0" w:hanging="420"/>
      </w:pPr>
      <w:rPr>
        <w:rFonts w:hint="default"/>
      </w:rPr>
    </w:lvl>
    <w:lvl w:ilvl="1" w:tplc="04090019">
      <w:start w:val="1"/>
      <w:numFmt w:val="lowerLetter"/>
      <w:lvlText w:val="%2)"/>
      <w:lvlJc w:val="left"/>
      <w:pPr>
        <w:ind w:left="420" w:hanging="420"/>
      </w:pPr>
    </w:lvl>
    <w:lvl w:ilvl="2" w:tplc="0409001B">
      <w:start w:val="1"/>
      <w:numFmt w:val="lowerRoman"/>
      <w:lvlText w:val="%3."/>
      <w:lvlJc w:val="right"/>
      <w:pPr>
        <w:ind w:left="840" w:hanging="420"/>
      </w:pPr>
    </w:lvl>
    <w:lvl w:ilvl="3" w:tplc="0409000F">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 w15:restartNumberingAfterBreak="0">
    <w:nsid w:val="031C742D"/>
    <w:multiLevelType w:val="hybridMultilevel"/>
    <w:tmpl w:val="45FE783A"/>
    <w:lvl w:ilvl="0" w:tplc="CEBEEDC8">
      <w:start w:val="1"/>
      <w:numFmt w:val="decimal"/>
      <w:lvlText w:val="%1."/>
      <w:lvlJc w:val="left"/>
      <w:pPr>
        <w:ind w:left="420" w:hanging="420"/>
      </w:pPr>
      <w:rPr>
        <w:rFonts w:hint="eastAsia"/>
        <w:b w:val="0"/>
        <w:sz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E6946CB6">
      <w:start w:val="1"/>
      <w:numFmt w:val="decimal"/>
      <w:lvlText w:val="(%4)"/>
      <w:lvlJc w:val="left"/>
      <w:pPr>
        <w:ind w:left="1665" w:hanging="405"/>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655A57"/>
    <w:multiLevelType w:val="hybridMultilevel"/>
    <w:tmpl w:val="04D0D8F8"/>
    <w:lvl w:ilvl="0" w:tplc="15388BE2">
      <w:start w:val="1"/>
      <w:numFmt w:val="decimalEnclosedCircle"/>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45C6DE7"/>
    <w:multiLevelType w:val="hybridMultilevel"/>
    <w:tmpl w:val="0A6E83C4"/>
    <w:lvl w:ilvl="0" w:tplc="15388BE2">
      <w:start w:val="1"/>
      <w:numFmt w:val="decimalEnclosedCircle"/>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5" w15:restartNumberingAfterBreak="0">
    <w:nsid w:val="05780DA2"/>
    <w:multiLevelType w:val="hybridMultilevel"/>
    <w:tmpl w:val="CA64F6CC"/>
    <w:lvl w:ilvl="0" w:tplc="C2D647AC">
      <w:start w:val="1"/>
      <w:numFmt w:val="decimal"/>
      <w:lvlText w:val="(%1)"/>
      <w:lvlJc w:val="left"/>
      <w:pPr>
        <w:ind w:left="840" w:hanging="420"/>
      </w:pPr>
      <w:rPr>
        <w:rFonts w:hint="default"/>
      </w:rPr>
    </w:lvl>
    <w:lvl w:ilvl="1" w:tplc="8B2A4066">
      <w:start w:val="1"/>
      <w:numFmt w:val="decimal"/>
      <w:lvlText w:val="%2."/>
      <w:lvlJc w:val="left"/>
      <w:pPr>
        <w:ind w:left="1680" w:hanging="84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68009ED"/>
    <w:multiLevelType w:val="hybridMultilevel"/>
    <w:tmpl w:val="15E65AF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99C4574"/>
    <w:multiLevelType w:val="hybridMultilevel"/>
    <w:tmpl w:val="4DCCF698"/>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76155F"/>
    <w:multiLevelType w:val="hybridMultilevel"/>
    <w:tmpl w:val="06C4DF34"/>
    <w:lvl w:ilvl="0" w:tplc="C2D647AC">
      <w:start w:val="1"/>
      <w:numFmt w:val="decimal"/>
      <w:lvlText w:val="(%1)"/>
      <w:lvlJc w:val="left"/>
      <w:pPr>
        <w:ind w:left="0" w:hanging="42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9" w15:restartNumberingAfterBreak="0">
    <w:nsid w:val="0BC95EEC"/>
    <w:multiLevelType w:val="hybridMultilevel"/>
    <w:tmpl w:val="B2B4362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E3E24DC"/>
    <w:multiLevelType w:val="hybridMultilevel"/>
    <w:tmpl w:val="AF1EC538"/>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22E29A6"/>
    <w:multiLevelType w:val="hybridMultilevel"/>
    <w:tmpl w:val="E5C6A148"/>
    <w:lvl w:ilvl="0" w:tplc="C2D647AC">
      <w:start w:val="1"/>
      <w:numFmt w:val="decimal"/>
      <w:lvlText w:val="(%1)"/>
      <w:lvlJc w:val="left"/>
      <w:pPr>
        <w:ind w:left="840" w:hanging="420"/>
      </w:pPr>
      <w:rPr>
        <w:rFonts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3D17A44"/>
    <w:multiLevelType w:val="hybridMultilevel"/>
    <w:tmpl w:val="6A6A052A"/>
    <w:lvl w:ilvl="0" w:tplc="3692CE36">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5C106B36">
      <w:start w:val="1"/>
      <w:numFmt w:val="decimal"/>
      <w:lvlText w:val="%5)"/>
      <w:lvlJc w:val="left"/>
      <w:pPr>
        <w:ind w:left="2460" w:hanging="360"/>
      </w:pPr>
      <w:rPr>
        <w:rFonts w:hint="default"/>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68F20DC"/>
    <w:multiLevelType w:val="hybridMultilevel"/>
    <w:tmpl w:val="C43826E8"/>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990631D"/>
    <w:multiLevelType w:val="hybridMultilevel"/>
    <w:tmpl w:val="5BD0A45C"/>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EE15EAD"/>
    <w:multiLevelType w:val="hybridMultilevel"/>
    <w:tmpl w:val="45F2C416"/>
    <w:lvl w:ilvl="0" w:tplc="0409000F">
      <w:start w:val="1"/>
      <w:numFmt w:val="decimal"/>
      <w:lvlText w:val="%1."/>
      <w:lvlJc w:val="left"/>
      <w:pPr>
        <w:ind w:left="420" w:hanging="420"/>
      </w:pPr>
    </w:lvl>
    <w:lvl w:ilvl="1" w:tplc="3692CE36">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F44378B"/>
    <w:multiLevelType w:val="hybridMultilevel"/>
    <w:tmpl w:val="353E1688"/>
    <w:lvl w:ilvl="0" w:tplc="CEBEEDC8">
      <w:start w:val="1"/>
      <w:numFmt w:val="decimal"/>
      <w:lvlText w:val="%1."/>
      <w:lvlJc w:val="left"/>
      <w:pPr>
        <w:ind w:left="840" w:hanging="420"/>
      </w:pPr>
      <w:rPr>
        <w:rFonts w:hint="eastAsia"/>
        <w:b w:val="0"/>
        <w:sz w:val="21"/>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0DC3D09"/>
    <w:multiLevelType w:val="hybridMultilevel"/>
    <w:tmpl w:val="888A9E6E"/>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2166C3D"/>
    <w:multiLevelType w:val="hybridMultilevel"/>
    <w:tmpl w:val="3B62850E"/>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22F2783"/>
    <w:multiLevelType w:val="hybridMultilevel"/>
    <w:tmpl w:val="9D728524"/>
    <w:lvl w:ilvl="0" w:tplc="15388BE2">
      <w:start w:val="1"/>
      <w:numFmt w:val="decimalEnclosedCircl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2721D6A"/>
    <w:multiLevelType w:val="hybridMultilevel"/>
    <w:tmpl w:val="5E58E10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2A25854"/>
    <w:multiLevelType w:val="hybridMultilevel"/>
    <w:tmpl w:val="BD528B2C"/>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D5B3AB3"/>
    <w:multiLevelType w:val="hybridMultilevel"/>
    <w:tmpl w:val="45F2BAEC"/>
    <w:lvl w:ilvl="0" w:tplc="CEBEEDC8">
      <w:start w:val="1"/>
      <w:numFmt w:val="decimal"/>
      <w:lvlText w:val="%1."/>
      <w:lvlJc w:val="left"/>
      <w:pPr>
        <w:ind w:left="420" w:hanging="420"/>
      </w:pPr>
      <w:rPr>
        <w:rFonts w:hint="eastAsia"/>
        <w:b w:val="0"/>
        <w:sz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6A5654"/>
    <w:multiLevelType w:val="hybridMultilevel"/>
    <w:tmpl w:val="3EF4695A"/>
    <w:lvl w:ilvl="0" w:tplc="4224CC3C">
      <w:start w:val="1"/>
      <w:numFmt w:val="decimal"/>
      <w:lvlText w:val="%1."/>
      <w:lvlJc w:val="left"/>
      <w:pPr>
        <w:ind w:left="0" w:hanging="420"/>
      </w:pPr>
      <w:rPr>
        <w:rFonts w:hint="eastAsia"/>
      </w:rPr>
    </w:lvl>
    <w:lvl w:ilvl="1" w:tplc="04090019">
      <w:start w:val="1"/>
      <w:numFmt w:val="lowerLetter"/>
      <w:lvlText w:val="%2)"/>
      <w:lvlJc w:val="left"/>
      <w:pPr>
        <w:ind w:left="420" w:hanging="420"/>
      </w:pPr>
    </w:lvl>
    <w:lvl w:ilvl="2" w:tplc="0409001B">
      <w:start w:val="1"/>
      <w:numFmt w:val="lowerRoman"/>
      <w:lvlText w:val="%3."/>
      <w:lvlJc w:val="right"/>
      <w:pPr>
        <w:ind w:left="840" w:hanging="420"/>
      </w:pPr>
    </w:lvl>
    <w:lvl w:ilvl="3" w:tplc="0409000F">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4" w15:restartNumberingAfterBreak="0">
    <w:nsid w:val="2F482785"/>
    <w:multiLevelType w:val="hybridMultilevel"/>
    <w:tmpl w:val="AD7E67B2"/>
    <w:lvl w:ilvl="0" w:tplc="C2D647AC">
      <w:start w:val="1"/>
      <w:numFmt w:val="decimal"/>
      <w:lvlText w:val="(%1)"/>
      <w:lvlJc w:val="left"/>
      <w:pPr>
        <w:ind w:left="840" w:hanging="420"/>
      </w:pPr>
      <w:rPr>
        <w:rFonts w:hint="default"/>
        <w:b w:val="0"/>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B4D6EF74">
      <w:start w:val="1"/>
      <w:numFmt w:val="japaneseCounting"/>
      <w:lvlText w:val="（%5）"/>
      <w:lvlJc w:val="left"/>
      <w:pPr>
        <w:ind w:left="2940" w:hanging="840"/>
      </w:pPr>
      <w:rPr>
        <w:rFonts w:hint="default"/>
      </w:r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5B35C75"/>
    <w:multiLevelType w:val="hybridMultilevel"/>
    <w:tmpl w:val="5448C4CC"/>
    <w:lvl w:ilvl="0" w:tplc="F4D63AE8">
      <w:start w:val="1"/>
      <w:numFmt w:val="decimal"/>
      <w:pStyle w:val="3"/>
      <w:lvlText w:val="%1."/>
      <w:lvlJc w:val="left"/>
      <w:pPr>
        <w:ind w:left="842" w:hanging="420"/>
      </w:pPr>
      <w:rPr>
        <w:rFonts w:ascii="宋体" w:eastAsia="宋体" w:hAnsi="宋体" w:hint="eastAsia"/>
        <w:b/>
        <w:sz w:val="21"/>
      </w:rPr>
    </w:lvl>
    <w:lvl w:ilvl="1" w:tplc="79566C60">
      <w:start w:val="1"/>
      <w:numFmt w:val="decimal"/>
      <w:lvlText w:val="(%2)"/>
      <w:lvlJc w:val="left"/>
      <w:pPr>
        <w:ind w:left="1682" w:hanging="84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6" w15:restartNumberingAfterBreak="0">
    <w:nsid w:val="374E649A"/>
    <w:multiLevelType w:val="hybridMultilevel"/>
    <w:tmpl w:val="7D2A2C32"/>
    <w:lvl w:ilvl="0" w:tplc="CEBEEDC8">
      <w:start w:val="1"/>
      <w:numFmt w:val="decimal"/>
      <w:lvlText w:val="%1."/>
      <w:lvlJc w:val="left"/>
      <w:pPr>
        <w:ind w:left="420" w:hanging="420"/>
      </w:pPr>
      <w:rPr>
        <w:rFonts w:hint="eastAsia"/>
        <w:b w:val="0"/>
        <w:sz w:val="21"/>
      </w:rPr>
    </w:lvl>
    <w:lvl w:ilvl="1" w:tplc="04090019">
      <w:start w:val="1"/>
      <w:numFmt w:val="lowerLetter"/>
      <w:lvlText w:val="%2)"/>
      <w:lvlJc w:val="left"/>
      <w:pPr>
        <w:ind w:left="840" w:hanging="420"/>
      </w:pPr>
    </w:lvl>
    <w:lvl w:ilvl="2" w:tplc="C2D647AC">
      <w:start w:val="1"/>
      <w:numFmt w:val="decimal"/>
      <w:lvlText w:val="(%3)"/>
      <w:lvlJc w:val="left"/>
      <w:pPr>
        <w:ind w:left="1260" w:hanging="420"/>
      </w:pPr>
      <w:rPr>
        <w:rFonts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8111368"/>
    <w:multiLevelType w:val="hybridMultilevel"/>
    <w:tmpl w:val="407C441E"/>
    <w:lvl w:ilvl="0" w:tplc="C2D647AC">
      <w:start w:val="1"/>
      <w:numFmt w:val="decimal"/>
      <w:lvlText w:val="(%1)"/>
      <w:lvlJc w:val="left"/>
      <w:pPr>
        <w:ind w:left="0" w:hanging="420"/>
      </w:pPr>
      <w:rPr>
        <w:rFonts w:hint="default"/>
      </w:rPr>
    </w:lvl>
    <w:lvl w:ilvl="1" w:tplc="04090019">
      <w:start w:val="1"/>
      <w:numFmt w:val="lowerLetter"/>
      <w:lvlText w:val="%2)"/>
      <w:lvlJc w:val="left"/>
      <w:pPr>
        <w:ind w:left="420" w:hanging="420"/>
      </w:pPr>
    </w:lvl>
    <w:lvl w:ilvl="2" w:tplc="0409001B">
      <w:start w:val="1"/>
      <w:numFmt w:val="lowerRoman"/>
      <w:lvlText w:val="%3."/>
      <w:lvlJc w:val="right"/>
      <w:pPr>
        <w:ind w:left="840" w:hanging="420"/>
      </w:pPr>
    </w:lvl>
    <w:lvl w:ilvl="3" w:tplc="0409000F">
      <w:start w:val="1"/>
      <w:numFmt w:val="decimal"/>
      <w:lvlText w:val="%4."/>
      <w:lvlJc w:val="left"/>
      <w:pPr>
        <w:ind w:left="1260" w:hanging="420"/>
      </w:pPr>
    </w:lvl>
    <w:lvl w:ilvl="4" w:tplc="04090019">
      <w:start w:val="1"/>
      <w:numFmt w:val="lowerLetter"/>
      <w:lvlText w:val="%5)"/>
      <w:lvlJc w:val="left"/>
      <w:pPr>
        <w:ind w:left="1680" w:hanging="420"/>
      </w:pPr>
    </w:lvl>
    <w:lvl w:ilvl="5" w:tplc="0409001B">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8" w15:restartNumberingAfterBreak="0">
    <w:nsid w:val="393C6303"/>
    <w:multiLevelType w:val="hybridMultilevel"/>
    <w:tmpl w:val="AF1EC538"/>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9AE0361"/>
    <w:multiLevelType w:val="hybridMultilevel"/>
    <w:tmpl w:val="A6D2542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3A70174C"/>
    <w:multiLevelType w:val="hybridMultilevel"/>
    <w:tmpl w:val="CAD877AC"/>
    <w:lvl w:ilvl="0" w:tplc="4224CC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3B8C2D84"/>
    <w:multiLevelType w:val="hybridMultilevel"/>
    <w:tmpl w:val="437C5496"/>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5776AA5E">
      <w:start w:val="1"/>
      <w:numFmt w:val="decimal"/>
      <w:lvlText w:val="（%5）"/>
      <w:lvlJc w:val="left"/>
      <w:pPr>
        <w:ind w:left="2970" w:hanging="870"/>
      </w:pPr>
      <w:rPr>
        <w:rFonts w:ascii="宋体" w:eastAsia="宋体" w:hAnsi="宋体" w:cs="Times New Roman"/>
      </w:rPr>
    </w:lvl>
    <w:lvl w:ilvl="5" w:tplc="926EF726">
      <w:start w:val="1"/>
      <w:numFmt w:val="decimal"/>
      <w:lvlText w:val="%6、"/>
      <w:lvlJc w:val="left"/>
      <w:pPr>
        <w:ind w:left="2880" w:hanging="360"/>
      </w:pPr>
      <w:rPr>
        <w:rFonts w:hint="default"/>
      </w:r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3FDC274E"/>
    <w:multiLevelType w:val="hybridMultilevel"/>
    <w:tmpl w:val="B2365FAA"/>
    <w:lvl w:ilvl="0" w:tplc="C2D647AC">
      <w:start w:val="1"/>
      <w:numFmt w:val="decimal"/>
      <w:lvlText w:val="(%1)"/>
      <w:lvlJc w:val="left"/>
      <w:pPr>
        <w:ind w:left="840" w:hanging="420"/>
      </w:pPr>
      <w:rPr>
        <w:rFonts w:hint="default"/>
        <w:b w:val="0"/>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23E7650"/>
    <w:multiLevelType w:val="hybridMultilevel"/>
    <w:tmpl w:val="E6060078"/>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46184FCC"/>
    <w:multiLevelType w:val="hybridMultilevel"/>
    <w:tmpl w:val="AF1EC538"/>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46DE0709"/>
    <w:multiLevelType w:val="hybridMultilevel"/>
    <w:tmpl w:val="4BA8E308"/>
    <w:lvl w:ilvl="0" w:tplc="CEBEEDC8">
      <w:start w:val="1"/>
      <w:numFmt w:val="decimal"/>
      <w:lvlText w:val="%1."/>
      <w:lvlJc w:val="left"/>
      <w:pPr>
        <w:ind w:left="840" w:hanging="420"/>
      </w:pPr>
      <w:rPr>
        <w:rFonts w:hint="eastAsia"/>
        <w:b w:val="0"/>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47B07304"/>
    <w:multiLevelType w:val="hybridMultilevel"/>
    <w:tmpl w:val="5F76953C"/>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4A01422C"/>
    <w:multiLevelType w:val="hybridMultilevel"/>
    <w:tmpl w:val="C4B291A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4A7B0BAE"/>
    <w:multiLevelType w:val="hybridMultilevel"/>
    <w:tmpl w:val="9F308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AAF54DF"/>
    <w:multiLevelType w:val="hybridMultilevel"/>
    <w:tmpl w:val="670E062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4B9130EB"/>
    <w:multiLevelType w:val="hybridMultilevel"/>
    <w:tmpl w:val="C5665EF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4E8631CD"/>
    <w:multiLevelType w:val="hybridMultilevel"/>
    <w:tmpl w:val="73FC06AC"/>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4F2D328D"/>
    <w:multiLevelType w:val="hybridMultilevel"/>
    <w:tmpl w:val="27CE974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58EF0ED8"/>
    <w:multiLevelType w:val="hybridMultilevel"/>
    <w:tmpl w:val="3BA46A3A"/>
    <w:lvl w:ilvl="0" w:tplc="CEBEEDC8">
      <w:start w:val="1"/>
      <w:numFmt w:val="decimal"/>
      <w:lvlText w:val="%1."/>
      <w:lvlJc w:val="left"/>
      <w:pPr>
        <w:ind w:left="420" w:hanging="420"/>
      </w:pPr>
      <w:rPr>
        <w:rFonts w:hint="eastAsia"/>
        <w:b w:val="0"/>
        <w:sz w:val="21"/>
      </w:rPr>
    </w:lvl>
    <w:lvl w:ilvl="1" w:tplc="04090019">
      <w:start w:val="1"/>
      <w:numFmt w:val="lowerLetter"/>
      <w:lvlText w:val="%2)"/>
      <w:lvlJc w:val="left"/>
      <w:pPr>
        <w:ind w:left="840" w:hanging="420"/>
      </w:pPr>
    </w:lvl>
    <w:lvl w:ilvl="2" w:tplc="C2D647AC">
      <w:start w:val="1"/>
      <w:numFmt w:val="decimal"/>
      <w:lvlText w:val="(%3)"/>
      <w:lvlJc w:val="left"/>
      <w:pPr>
        <w:ind w:left="1260" w:hanging="420"/>
      </w:pPr>
      <w:rPr>
        <w:rFonts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BAC3035"/>
    <w:multiLevelType w:val="hybridMultilevel"/>
    <w:tmpl w:val="FCF62A16"/>
    <w:lvl w:ilvl="0" w:tplc="CEBEEDC8">
      <w:start w:val="1"/>
      <w:numFmt w:val="decimal"/>
      <w:lvlText w:val="%1."/>
      <w:lvlJc w:val="left"/>
      <w:pPr>
        <w:ind w:left="840" w:hanging="420"/>
      </w:pPr>
      <w:rPr>
        <w:rFonts w:hint="eastAsia"/>
        <w:b w:val="0"/>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5BE656B9"/>
    <w:multiLevelType w:val="hybridMultilevel"/>
    <w:tmpl w:val="686693FA"/>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1606188"/>
    <w:multiLevelType w:val="hybridMultilevel"/>
    <w:tmpl w:val="B2A033D2"/>
    <w:lvl w:ilvl="0" w:tplc="4224CC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93F56F2"/>
    <w:multiLevelType w:val="hybridMultilevel"/>
    <w:tmpl w:val="ABB24E08"/>
    <w:lvl w:ilvl="0" w:tplc="C2D647AC">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6A726416"/>
    <w:multiLevelType w:val="hybridMultilevel"/>
    <w:tmpl w:val="C20A6FD8"/>
    <w:lvl w:ilvl="0" w:tplc="F35479BE">
      <w:start w:val="1"/>
      <w:numFmt w:val="decimal"/>
      <w:lvlText w:val="%1."/>
      <w:lvlJc w:val="left"/>
      <w:pPr>
        <w:ind w:left="840" w:hanging="420"/>
      </w:pPr>
    </w:lvl>
    <w:lvl w:ilvl="1" w:tplc="09D45C14">
      <w:start w:val="1"/>
      <w:numFmt w:val="lowerLetter"/>
      <w:lvlText w:val="%2)"/>
      <w:lvlJc w:val="left"/>
      <w:pPr>
        <w:ind w:left="1260" w:hanging="420"/>
      </w:pPr>
    </w:lvl>
    <w:lvl w:ilvl="2" w:tplc="D91EF520" w:tentative="1">
      <w:start w:val="1"/>
      <w:numFmt w:val="lowerRoman"/>
      <w:lvlText w:val="%3."/>
      <w:lvlJc w:val="right"/>
      <w:pPr>
        <w:ind w:left="1680" w:hanging="420"/>
      </w:pPr>
    </w:lvl>
    <w:lvl w:ilvl="3" w:tplc="4F783E02" w:tentative="1">
      <w:start w:val="1"/>
      <w:numFmt w:val="decimal"/>
      <w:lvlText w:val="%4."/>
      <w:lvlJc w:val="left"/>
      <w:pPr>
        <w:ind w:left="2100" w:hanging="420"/>
      </w:pPr>
    </w:lvl>
    <w:lvl w:ilvl="4" w:tplc="613467E6" w:tentative="1">
      <w:start w:val="1"/>
      <w:numFmt w:val="lowerLetter"/>
      <w:lvlText w:val="%5)"/>
      <w:lvlJc w:val="left"/>
      <w:pPr>
        <w:ind w:left="2520" w:hanging="420"/>
      </w:pPr>
    </w:lvl>
    <w:lvl w:ilvl="5" w:tplc="7F26700A" w:tentative="1">
      <w:start w:val="1"/>
      <w:numFmt w:val="lowerRoman"/>
      <w:lvlText w:val="%6."/>
      <w:lvlJc w:val="right"/>
      <w:pPr>
        <w:ind w:left="2940" w:hanging="420"/>
      </w:pPr>
    </w:lvl>
    <w:lvl w:ilvl="6" w:tplc="A942D244" w:tentative="1">
      <w:start w:val="1"/>
      <w:numFmt w:val="decimal"/>
      <w:lvlText w:val="%7."/>
      <w:lvlJc w:val="left"/>
      <w:pPr>
        <w:ind w:left="3360" w:hanging="420"/>
      </w:pPr>
    </w:lvl>
    <w:lvl w:ilvl="7" w:tplc="2AB48290" w:tentative="1">
      <w:start w:val="1"/>
      <w:numFmt w:val="lowerLetter"/>
      <w:lvlText w:val="%8)"/>
      <w:lvlJc w:val="left"/>
      <w:pPr>
        <w:ind w:left="3780" w:hanging="420"/>
      </w:pPr>
    </w:lvl>
    <w:lvl w:ilvl="8" w:tplc="495E320E" w:tentative="1">
      <w:start w:val="1"/>
      <w:numFmt w:val="lowerRoman"/>
      <w:lvlText w:val="%9."/>
      <w:lvlJc w:val="right"/>
      <w:pPr>
        <w:ind w:left="4200" w:hanging="420"/>
      </w:pPr>
    </w:lvl>
  </w:abstractNum>
  <w:abstractNum w:abstractNumId="49" w15:restartNumberingAfterBreak="0">
    <w:nsid w:val="6BA72DBE"/>
    <w:multiLevelType w:val="hybridMultilevel"/>
    <w:tmpl w:val="1A42CD3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CBA5F90"/>
    <w:multiLevelType w:val="hybridMultilevel"/>
    <w:tmpl w:val="E2D23D9A"/>
    <w:lvl w:ilvl="0" w:tplc="CFAC895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1" w15:restartNumberingAfterBreak="0">
    <w:nsid w:val="6EF34061"/>
    <w:multiLevelType w:val="hybridMultilevel"/>
    <w:tmpl w:val="AD2603C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F3CAB8C">
      <w:start w:val="1"/>
      <w:numFmt w:val="decimal"/>
      <w:lvlText w:val="%6．"/>
      <w:lvlJc w:val="left"/>
      <w:pPr>
        <w:ind w:left="2880" w:hanging="360"/>
      </w:pPr>
      <w:rPr>
        <w:rFonts w:hint="default"/>
      </w:r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6F1B390C"/>
    <w:multiLevelType w:val="hybridMultilevel"/>
    <w:tmpl w:val="76840456"/>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15:restartNumberingAfterBreak="0">
    <w:nsid w:val="71EC31E4"/>
    <w:multiLevelType w:val="hybridMultilevel"/>
    <w:tmpl w:val="570CE3C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73A14613"/>
    <w:multiLevelType w:val="hybridMultilevel"/>
    <w:tmpl w:val="109A25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77542B52"/>
    <w:multiLevelType w:val="hybridMultilevel"/>
    <w:tmpl w:val="6A7C9BD4"/>
    <w:lvl w:ilvl="0" w:tplc="C2D647AC">
      <w:start w:val="1"/>
      <w:numFmt w:val="decimal"/>
      <w:lvlText w:val="%1."/>
      <w:lvlJc w:val="left"/>
      <w:pPr>
        <w:ind w:left="420" w:hanging="420"/>
      </w:pPr>
      <w:rPr>
        <w:rFonts w:hint="eastAsia"/>
        <w:b w:val="0"/>
        <w:sz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8702E55"/>
    <w:multiLevelType w:val="hybridMultilevel"/>
    <w:tmpl w:val="79180120"/>
    <w:lvl w:ilvl="0" w:tplc="15388BE2">
      <w:start w:val="1"/>
      <w:numFmt w:val="decimalEnclosedCircle"/>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57" w15:restartNumberingAfterBreak="0">
    <w:nsid w:val="78965417"/>
    <w:multiLevelType w:val="hybridMultilevel"/>
    <w:tmpl w:val="895AD2AC"/>
    <w:lvl w:ilvl="0" w:tplc="C2D647AC">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79F63506"/>
    <w:multiLevelType w:val="hybridMultilevel"/>
    <w:tmpl w:val="BD107E10"/>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15:restartNumberingAfterBreak="0">
    <w:nsid w:val="7AA02BFD"/>
    <w:multiLevelType w:val="hybridMultilevel"/>
    <w:tmpl w:val="7C60D8B4"/>
    <w:lvl w:ilvl="0" w:tplc="CEBEEDC8">
      <w:start w:val="1"/>
      <w:numFmt w:val="decimal"/>
      <w:lvlText w:val="%1."/>
      <w:lvlJc w:val="left"/>
      <w:pPr>
        <w:ind w:left="420" w:hanging="420"/>
      </w:pPr>
      <w:rPr>
        <w:rFonts w:hint="eastAsia"/>
        <w:b w:val="0"/>
        <w:sz w:val="21"/>
      </w:rPr>
    </w:lvl>
    <w:lvl w:ilvl="1" w:tplc="04090019">
      <w:start w:val="1"/>
      <w:numFmt w:val="lowerLetter"/>
      <w:lvlText w:val="%2)"/>
      <w:lvlJc w:val="left"/>
      <w:pPr>
        <w:ind w:left="840" w:hanging="420"/>
      </w:pPr>
    </w:lvl>
    <w:lvl w:ilvl="2" w:tplc="0409001B">
      <w:start w:val="1"/>
      <w:numFmt w:val="decimal"/>
      <w:lvlText w:val="(%3)"/>
      <w:lvlJc w:val="left"/>
      <w:pPr>
        <w:ind w:left="1260" w:hanging="420"/>
      </w:pPr>
      <w:rPr>
        <w:rFonts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38"/>
  </w:num>
  <w:num w:numId="3">
    <w:abstractNumId w:val="48"/>
  </w:num>
  <w:num w:numId="4">
    <w:abstractNumId w:val="2"/>
  </w:num>
  <w:num w:numId="5">
    <w:abstractNumId w:val="55"/>
  </w:num>
  <w:num w:numId="6">
    <w:abstractNumId w:val="26"/>
  </w:num>
  <w:num w:numId="7">
    <w:abstractNumId w:val="43"/>
  </w:num>
  <w:num w:numId="8">
    <w:abstractNumId w:val="59"/>
  </w:num>
  <w:num w:numId="9">
    <w:abstractNumId w:val="44"/>
  </w:num>
  <w:num w:numId="10">
    <w:abstractNumId w:val="14"/>
  </w:num>
  <w:num w:numId="11">
    <w:abstractNumId w:val="31"/>
  </w:num>
  <w:num w:numId="12">
    <w:abstractNumId w:val="35"/>
  </w:num>
  <w:num w:numId="13">
    <w:abstractNumId w:val="25"/>
  </w:num>
  <w:num w:numId="14">
    <w:abstractNumId w:val="25"/>
    <w:lvlOverride w:ilvl="0">
      <w:startOverride w:val="1"/>
    </w:lvlOverride>
  </w:num>
  <w:num w:numId="15">
    <w:abstractNumId w:val="10"/>
  </w:num>
  <w:num w:numId="16">
    <w:abstractNumId w:val="28"/>
  </w:num>
  <w:num w:numId="17">
    <w:abstractNumId w:val="6"/>
  </w:num>
  <w:num w:numId="18">
    <w:abstractNumId w:val="25"/>
    <w:lvlOverride w:ilvl="0">
      <w:startOverride w:val="1"/>
    </w:lvlOverride>
  </w:num>
  <w:num w:numId="19">
    <w:abstractNumId w:val="25"/>
    <w:lvlOverride w:ilvl="0">
      <w:startOverride w:val="1"/>
    </w:lvlOverride>
  </w:num>
  <w:num w:numId="20">
    <w:abstractNumId w:val="18"/>
  </w:num>
  <w:num w:numId="21">
    <w:abstractNumId w:val="5"/>
  </w:num>
  <w:num w:numId="22">
    <w:abstractNumId w:val="57"/>
  </w:num>
  <w:num w:numId="23">
    <w:abstractNumId w:val="16"/>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0"/>
  </w:num>
  <w:num w:numId="29">
    <w:abstractNumId w:val="25"/>
    <w:lvlOverride w:ilvl="0">
      <w:startOverride w:val="1"/>
    </w:lvlOverride>
  </w:num>
  <w:num w:numId="30">
    <w:abstractNumId w:val="24"/>
  </w:num>
  <w:num w:numId="31">
    <w:abstractNumId w:val="21"/>
  </w:num>
  <w:num w:numId="32">
    <w:abstractNumId w:val="22"/>
  </w:num>
  <w:num w:numId="33">
    <w:abstractNumId w:val="12"/>
  </w:num>
  <w:num w:numId="34">
    <w:abstractNumId w:val="34"/>
  </w:num>
  <w:num w:numId="35">
    <w:abstractNumId w:val="3"/>
  </w:num>
  <w:num w:numId="36">
    <w:abstractNumId w:val="32"/>
  </w:num>
  <w:num w:numId="37">
    <w:abstractNumId w:val="23"/>
  </w:num>
  <w:num w:numId="38">
    <w:abstractNumId w:val="30"/>
  </w:num>
  <w:num w:numId="39">
    <w:abstractNumId w:val="46"/>
  </w:num>
  <w:num w:numId="40">
    <w:abstractNumId w:val="25"/>
    <w:lvlOverride w:ilvl="0">
      <w:startOverride w:val="1"/>
    </w:lvlOverride>
  </w:num>
  <w:num w:numId="41">
    <w:abstractNumId w:val="11"/>
  </w:num>
  <w:num w:numId="42">
    <w:abstractNumId w:val="36"/>
  </w:num>
  <w:num w:numId="43">
    <w:abstractNumId w:val="58"/>
  </w:num>
  <w:num w:numId="44">
    <w:abstractNumId w:val="45"/>
  </w:num>
  <w:num w:numId="45">
    <w:abstractNumId w:val="52"/>
  </w:num>
  <w:num w:numId="46">
    <w:abstractNumId w:val="17"/>
  </w:num>
  <w:num w:numId="47">
    <w:abstractNumId w:val="7"/>
  </w:num>
  <w:num w:numId="48">
    <w:abstractNumId w:val="53"/>
  </w:num>
  <w:num w:numId="49">
    <w:abstractNumId w:val="20"/>
  </w:num>
  <w:num w:numId="50">
    <w:abstractNumId w:val="29"/>
  </w:num>
  <w:num w:numId="51">
    <w:abstractNumId w:val="41"/>
  </w:num>
  <w:num w:numId="52">
    <w:abstractNumId w:val="37"/>
  </w:num>
  <w:num w:numId="53">
    <w:abstractNumId w:val="54"/>
  </w:num>
  <w:num w:numId="54">
    <w:abstractNumId w:val="13"/>
  </w:num>
  <w:num w:numId="55">
    <w:abstractNumId w:val="33"/>
  </w:num>
  <w:num w:numId="56">
    <w:abstractNumId w:val="39"/>
  </w:num>
  <w:num w:numId="57">
    <w:abstractNumId w:val="47"/>
  </w:num>
  <w:num w:numId="58">
    <w:abstractNumId w:val="51"/>
  </w:num>
  <w:num w:numId="59">
    <w:abstractNumId w:val="27"/>
  </w:num>
  <w:num w:numId="60">
    <w:abstractNumId w:val="1"/>
  </w:num>
  <w:num w:numId="61">
    <w:abstractNumId w:val="42"/>
  </w:num>
  <w:num w:numId="62">
    <w:abstractNumId w:val="40"/>
  </w:num>
  <w:num w:numId="63">
    <w:abstractNumId w:val="9"/>
  </w:num>
  <w:num w:numId="64">
    <w:abstractNumId w:val="49"/>
  </w:num>
  <w:num w:numId="65">
    <w:abstractNumId w:val="8"/>
  </w:num>
  <w:num w:numId="66">
    <w:abstractNumId w:val="56"/>
  </w:num>
  <w:num w:numId="67">
    <w:abstractNumId w:val="4"/>
  </w:num>
  <w:num w:numId="68">
    <w:abstractNumId w:val="19"/>
  </w:num>
  <w:num w:numId="69">
    <w:abstractNumId w:val="25"/>
    <w:lvlOverride w:ilvl="0">
      <w:startOverride w:val="1"/>
    </w:lvlOverride>
  </w:num>
  <w:num w:numId="70">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79"/>
    <w:rsid w:val="00000024"/>
    <w:rsid w:val="00002496"/>
    <w:rsid w:val="00003CCE"/>
    <w:rsid w:val="00004CE6"/>
    <w:rsid w:val="00006465"/>
    <w:rsid w:val="00007BA0"/>
    <w:rsid w:val="00011812"/>
    <w:rsid w:val="00012AF7"/>
    <w:rsid w:val="00012BDE"/>
    <w:rsid w:val="00013F25"/>
    <w:rsid w:val="00013F4F"/>
    <w:rsid w:val="0001428C"/>
    <w:rsid w:val="000150CF"/>
    <w:rsid w:val="00015798"/>
    <w:rsid w:val="00015E44"/>
    <w:rsid w:val="00020509"/>
    <w:rsid w:val="0002357F"/>
    <w:rsid w:val="00024B60"/>
    <w:rsid w:val="000318A2"/>
    <w:rsid w:val="00035877"/>
    <w:rsid w:val="00035FF3"/>
    <w:rsid w:val="000360AC"/>
    <w:rsid w:val="000437D6"/>
    <w:rsid w:val="000438A6"/>
    <w:rsid w:val="0004397E"/>
    <w:rsid w:val="000448BA"/>
    <w:rsid w:val="00046EAB"/>
    <w:rsid w:val="000506F0"/>
    <w:rsid w:val="000511D2"/>
    <w:rsid w:val="00051398"/>
    <w:rsid w:val="0005185D"/>
    <w:rsid w:val="00053E1F"/>
    <w:rsid w:val="00053E39"/>
    <w:rsid w:val="00055523"/>
    <w:rsid w:val="00057E0E"/>
    <w:rsid w:val="00061EF2"/>
    <w:rsid w:val="00063301"/>
    <w:rsid w:val="000642D5"/>
    <w:rsid w:val="00066749"/>
    <w:rsid w:val="00066D3B"/>
    <w:rsid w:val="000670E5"/>
    <w:rsid w:val="00071C01"/>
    <w:rsid w:val="000736A2"/>
    <w:rsid w:val="00073BCC"/>
    <w:rsid w:val="00077BCE"/>
    <w:rsid w:val="000827CD"/>
    <w:rsid w:val="000836EE"/>
    <w:rsid w:val="00084DAF"/>
    <w:rsid w:val="00090C19"/>
    <w:rsid w:val="000910A4"/>
    <w:rsid w:val="00091989"/>
    <w:rsid w:val="000923E4"/>
    <w:rsid w:val="000926A7"/>
    <w:rsid w:val="00092E1E"/>
    <w:rsid w:val="000936E0"/>
    <w:rsid w:val="00093CE1"/>
    <w:rsid w:val="00095998"/>
    <w:rsid w:val="00095BEC"/>
    <w:rsid w:val="000A03B0"/>
    <w:rsid w:val="000A09CE"/>
    <w:rsid w:val="000A1318"/>
    <w:rsid w:val="000A3347"/>
    <w:rsid w:val="000A7DFE"/>
    <w:rsid w:val="000B0563"/>
    <w:rsid w:val="000B05FE"/>
    <w:rsid w:val="000B0FDE"/>
    <w:rsid w:val="000B11F2"/>
    <w:rsid w:val="000B546D"/>
    <w:rsid w:val="000B578D"/>
    <w:rsid w:val="000B6833"/>
    <w:rsid w:val="000B7829"/>
    <w:rsid w:val="000C08A2"/>
    <w:rsid w:val="000C1A21"/>
    <w:rsid w:val="000D016B"/>
    <w:rsid w:val="000D0429"/>
    <w:rsid w:val="000D2903"/>
    <w:rsid w:val="000D3566"/>
    <w:rsid w:val="000D501A"/>
    <w:rsid w:val="000D5423"/>
    <w:rsid w:val="000D5942"/>
    <w:rsid w:val="000D6FB8"/>
    <w:rsid w:val="000D7B59"/>
    <w:rsid w:val="000E2730"/>
    <w:rsid w:val="000E2C6F"/>
    <w:rsid w:val="000E341F"/>
    <w:rsid w:val="000E41D8"/>
    <w:rsid w:val="000E535B"/>
    <w:rsid w:val="000E624B"/>
    <w:rsid w:val="000F083F"/>
    <w:rsid w:val="000F18DD"/>
    <w:rsid w:val="000F29DE"/>
    <w:rsid w:val="000F4F3C"/>
    <w:rsid w:val="000F5349"/>
    <w:rsid w:val="000F7588"/>
    <w:rsid w:val="000F787C"/>
    <w:rsid w:val="00100B04"/>
    <w:rsid w:val="00103DFC"/>
    <w:rsid w:val="00106961"/>
    <w:rsid w:val="00110DF8"/>
    <w:rsid w:val="00112AC8"/>
    <w:rsid w:val="00113FC9"/>
    <w:rsid w:val="0011519F"/>
    <w:rsid w:val="00116CE7"/>
    <w:rsid w:val="00116F6B"/>
    <w:rsid w:val="00120F77"/>
    <w:rsid w:val="00122FF8"/>
    <w:rsid w:val="00123BBE"/>
    <w:rsid w:val="00127CE6"/>
    <w:rsid w:val="00131817"/>
    <w:rsid w:val="00131B82"/>
    <w:rsid w:val="00131D42"/>
    <w:rsid w:val="00132104"/>
    <w:rsid w:val="0013326A"/>
    <w:rsid w:val="00133DD0"/>
    <w:rsid w:val="00134024"/>
    <w:rsid w:val="0013576B"/>
    <w:rsid w:val="0013620F"/>
    <w:rsid w:val="0013656C"/>
    <w:rsid w:val="001368DB"/>
    <w:rsid w:val="00137ECA"/>
    <w:rsid w:val="00140825"/>
    <w:rsid w:val="0014550A"/>
    <w:rsid w:val="0014725C"/>
    <w:rsid w:val="00147CBD"/>
    <w:rsid w:val="00152808"/>
    <w:rsid w:val="00154081"/>
    <w:rsid w:val="001542A8"/>
    <w:rsid w:val="001545EF"/>
    <w:rsid w:val="00155037"/>
    <w:rsid w:val="00155CB3"/>
    <w:rsid w:val="001576AE"/>
    <w:rsid w:val="0016096E"/>
    <w:rsid w:val="00162259"/>
    <w:rsid w:val="00166C52"/>
    <w:rsid w:val="00167F64"/>
    <w:rsid w:val="00171A11"/>
    <w:rsid w:val="001724C9"/>
    <w:rsid w:val="0017378D"/>
    <w:rsid w:val="00174D4E"/>
    <w:rsid w:val="00175C18"/>
    <w:rsid w:val="00176FD9"/>
    <w:rsid w:val="00182B39"/>
    <w:rsid w:val="00183097"/>
    <w:rsid w:val="00184A79"/>
    <w:rsid w:val="00184AC4"/>
    <w:rsid w:val="00184E33"/>
    <w:rsid w:val="00185386"/>
    <w:rsid w:val="001867E3"/>
    <w:rsid w:val="001916AA"/>
    <w:rsid w:val="00192237"/>
    <w:rsid w:val="00192A81"/>
    <w:rsid w:val="00193430"/>
    <w:rsid w:val="0019369F"/>
    <w:rsid w:val="00193FCF"/>
    <w:rsid w:val="0019524F"/>
    <w:rsid w:val="00195593"/>
    <w:rsid w:val="001974C5"/>
    <w:rsid w:val="001A05DE"/>
    <w:rsid w:val="001A1984"/>
    <w:rsid w:val="001A26D7"/>
    <w:rsid w:val="001A2D15"/>
    <w:rsid w:val="001A4D6C"/>
    <w:rsid w:val="001A5349"/>
    <w:rsid w:val="001A65E6"/>
    <w:rsid w:val="001B0215"/>
    <w:rsid w:val="001B19DA"/>
    <w:rsid w:val="001B1CFD"/>
    <w:rsid w:val="001B1ED4"/>
    <w:rsid w:val="001B2231"/>
    <w:rsid w:val="001B298F"/>
    <w:rsid w:val="001B5EA8"/>
    <w:rsid w:val="001B6979"/>
    <w:rsid w:val="001B6E1A"/>
    <w:rsid w:val="001B72A7"/>
    <w:rsid w:val="001C26FC"/>
    <w:rsid w:val="001C34B3"/>
    <w:rsid w:val="001C38E8"/>
    <w:rsid w:val="001C3BE5"/>
    <w:rsid w:val="001C6854"/>
    <w:rsid w:val="001C78A1"/>
    <w:rsid w:val="001D0102"/>
    <w:rsid w:val="001D0237"/>
    <w:rsid w:val="001D13A1"/>
    <w:rsid w:val="001D20ED"/>
    <w:rsid w:val="001F095E"/>
    <w:rsid w:val="001F1711"/>
    <w:rsid w:val="001F1826"/>
    <w:rsid w:val="001F1A24"/>
    <w:rsid w:val="001F3C80"/>
    <w:rsid w:val="001F43C5"/>
    <w:rsid w:val="001F448C"/>
    <w:rsid w:val="001F47E5"/>
    <w:rsid w:val="001F70B5"/>
    <w:rsid w:val="002010D3"/>
    <w:rsid w:val="0020126A"/>
    <w:rsid w:val="00201E96"/>
    <w:rsid w:val="00202C00"/>
    <w:rsid w:val="00203182"/>
    <w:rsid w:val="002037BE"/>
    <w:rsid w:val="00203C68"/>
    <w:rsid w:val="00204F2B"/>
    <w:rsid w:val="00205906"/>
    <w:rsid w:val="00206930"/>
    <w:rsid w:val="00211B8B"/>
    <w:rsid w:val="0021339C"/>
    <w:rsid w:val="00213FDF"/>
    <w:rsid w:val="00215586"/>
    <w:rsid w:val="00215F15"/>
    <w:rsid w:val="00220EEC"/>
    <w:rsid w:val="00221689"/>
    <w:rsid w:val="0022325E"/>
    <w:rsid w:val="002250A9"/>
    <w:rsid w:val="00227457"/>
    <w:rsid w:val="00231452"/>
    <w:rsid w:val="002336FD"/>
    <w:rsid w:val="00234098"/>
    <w:rsid w:val="00235D54"/>
    <w:rsid w:val="002361EE"/>
    <w:rsid w:val="00236999"/>
    <w:rsid w:val="00236A47"/>
    <w:rsid w:val="0024051B"/>
    <w:rsid w:val="00240EF5"/>
    <w:rsid w:val="002414EF"/>
    <w:rsid w:val="002430B8"/>
    <w:rsid w:val="002430CC"/>
    <w:rsid w:val="002459B4"/>
    <w:rsid w:val="002459B8"/>
    <w:rsid w:val="00245B2D"/>
    <w:rsid w:val="00246462"/>
    <w:rsid w:val="0024780A"/>
    <w:rsid w:val="00250A90"/>
    <w:rsid w:val="00250BD4"/>
    <w:rsid w:val="00250DB2"/>
    <w:rsid w:val="00251AE5"/>
    <w:rsid w:val="002555E1"/>
    <w:rsid w:val="00255E95"/>
    <w:rsid w:val="0025786E"/>
    <w:rsid w:val="00261CF8"/>
    <w:rsid w:val="00262D26"/>
    <w:rsid w:val="00262F3E"/>
    <w:rsid w:val="002649E8"/>
    <w:rsid w:val="002671DE"/>
    <w:rsid w:val="002705C1"/>
    <w:rsid w:val="00270EEA"/>
    <w:rsid w:val="00271F19"/>
    <w:rsid w:val="00273392"/>
    <w:rsid w:val="00277DBD"/>
    <w:rsid w:val="00280A92"/>
    <w:rsid w:val="00283BB8"/>
    <w:rsid w:val="00286A14"/>
    <w:rsid w:val="00287DD8"/>
    <w:rsid w:val="002920CD"/>
    <w:rsid w:val="00292F9A"/>
    <w:rsid w:val="00293B0B"/>
    <w:rsid w:val="00293D08"/>
    <w:rsid w:val="00293F92"/>
    <w:rsid w:val="00294196"/>
    <w:rsid w:val="00297937"/>
    <w:rsid w:val="002A07A7"/>
    <w:rsid w:val="002A1351"/>
    <w:rsid w:val="002A145D"/>
    <w:rsid w:val="002A1F1A"/>
    <w:rsid w:val="002B231D"/>
    <w:rsid w:val="002B2886"/>
    <w:rsid w:val="002B3CFD"/>
    <w:rsid w:val="002B4F83"/>
    <w:rsid w:val="002B55F4"/>
    <w:rsid w:val="002C4D3F"/>
    <w:rsid w:val="002C6B3B"/>
    <w:rsid w:val="002C7EAB"/>
    <w:rsid w:val="002D19E1"/>
    <w:rsid w:val="002D2486"/>
    <w:rsid w:val="002D4431"/>
    <w:rsid w:val="002D486C"/>
    <w:rsid w:val="002D6DC7"/>
    <w:rsid w:val="002E637D"/>
    <w:rsid w:val="002E6B5B"/>
    <w:rsid w:val="002E7387"/>
    <w:rsid w:val="002F3DB9"/>
    <w:rsid w:val="002F4081"/>
    <w:rsid w:val="002F4B14"/>
    <w:rsid w:val="002F50D9"/>
    <w:rsid w:val="002F6238"/>
    <w:rsid w:val="002F757C"/>
    <w:rsid w:val="002F7BB4"/>
    <w:rsid w:val="0030024A"/>
    <w:rsid w:val="003002C9"/>
    <w:rsid w:val="00302393"/>
    <w:rsid w:val="00304FC7"/>
    <w:rsid w:val="003066E5"/>
    <w:rsid w:val="003104D0"/>
    <w:rsid w:val="003104E0"/>
    <w:rsid w:val="003157BF"/>
    <w:rsid w:val="00320C3A"/>
    <w:rsid w:val="00321E8E"/>
    <w:rsid w:val="003225AA"/>
    <w:rsid w:val="0032343E"/>
    <w:rsid w:val="00323742"/>
    <w:rsid w:val="0032559C"/>
    <w:rsid w:val="00325BD9"/>
    <w:rsid w:val="003324CF"/>
    <w:rsid w:val="003336B3"/>
    <w:rsid w:val="0034094F"/>
    <w:rsid w:val="003422B5"/>
    <w:rsid w:val="003425FB"/>
    <w:rsid w:val="003428F1"/>
    <w:rsid w:val="003431ED"/>
    <w:rsid w:val="0034351C"/>
    <w:rsid w:val="003465D8"/>
    <w:rsid w:val="00347F89"/>
    <w:rsid w:val="00350410"/>
    <w:rsid w:val="00351CD1"/>
    <w:rsid w:val="003524F1"/>
    <w:rsid w:val="00356C26"/>
    <w:rsid w:val="0036120C"/>
    <w:rsid w:val="00361AC5"/>
    <w:rsid w:val="00365038"/>
    <w:rsid w:val="0036779F"/>
    <w:rsid w:val="00370EA3"/>
    <w:rsid w:val="003721DE"/>
    <w:rsid w:val="0037337C"/>
    <w:rsid w:val="003736EB"/>
    <w:rsid w:val="003766BD"/>
    <w:rsid w:val="00382B8B"/>
    <w:rsid w:val="003837CB"/>
    <w:rsid w:val="00385656"/>
    <w:rsid w:val="0038628B"/>
    <w:rsid w:val="003870E8"/>
    <w:rsid w:val="00390702"/>
    <w:rsid w:val="003910CC"/>
    <w:rsid w:val="00392207"/>
    <w:rsid w:val="003A3131"/>
    <w:rsid w:val="003A5B1B"/>
    <w:rsid w:val="003A6127"/>
    <w:rsid w:val="003A6A8B"/>
    <w:rsid w:val="003A79F7"/>
    <w:rsid w:val="003A7A02"/>
    <w:rsid w:val="003B0991"/>
    <w:rsid w:val="003B0A04"/>
    <w:rsid w:val="003B2D1F"/>
    <w:rsid w:val="003B3AE1"/>
    <w:rsid w:val="003B3C84"/>
    <w:rsid w:val="003B4C01"/>
    <w:rsid w:val="003B5398"/>
    <w:rsid w:val="003B5A0A"/>
    <w:rsid w:val="003B6425"/>
    <w:rsid w:val="003B64E0"/>
    <w:rsid w:val="003B7406"/>
    <w:rsid w:val="003B7C38"/>
    <w:rsid w:val="003B7EE7"/>
    <w:rsid w:val="003C0473"/>
    <w:rsid w:val="003C2C88"/>
    <w:rsid w:val="003C3C22"/>
    <w:rsid w:val="003C3F11"/>
    <w:rsid w:val="003D02A9"/>
    <w:rsid w:val="003D0A9C"/>
    <w:rsid w:val="003D1D43"/>
    <w:rsid w:val="003D2E7F"/>
    <w:rsid w:val="003D4E3E"/>
    <w:rsid w:val="003D5B22"/>
    <w:rsid w:val="003D5CAC"/>
    <w:rsid w:val="003E0068"/>
    <w:rsid w:val="003E0936"/>
    <w:rsid w:val="003E1DE9"/>
    <w:rsid w:val="003E2A55"/>
    <w:rsid w:val="003E31AC"/>
    <w:rsid w:val="003E5660"/>
    <w:rsid w:val="003E57E1"/>
    <w:rsid w:val="003E6579"/>
    <w:rsid w:val="003F001B"/>
    <w:rsid w:val="003F16AC"/>
    <w:rsid w:val="003F2DB6"/>
    <w:rsid w:val="003F69C1"/>
    <w:rsid w:val="00400D76"/>
    <w:rsid w:val="00401B9A"/>
    <w:rsid w:val="00405ED2"/>
    <w:rsid w:val="004065BF"/>
    <w:rsid w:val="004070CF"/>
    <w:rsid w:val="004109FA"/>
    <w:rsid w:val="00410BF8"/>
    <w:rsid w:val="00411BE7"/>
    <w:rsid w:val="00411FD2"/>
    <w:rsid w:val="0041235F"/>
    <w:rsid w:val="0041356F"/>
    <w:rsid w:val="00417CA0"/>
    <w:rsid w:val="00421D6A"/>
    <w:rsid w:val="00422121"/>
    <w:rsid w:val="0042452E"/>
    <w:rsid w:val="00426C24"/>
    <w:rsid w:val="004308BC"/>
    <w:rsid w:val="00435290"/>
    <w:rsid w:val="00435F14"/>
    <w:rsid w:val="0044028F"/>
    <w:rsid w:val="00441DCF"/>
    <w:rsid w:val="0044385C"/>
    <w:rsid w:val="00443CCB"/>
    <w:rsid w:val="00445796"/>
    <w:rsid w:val="00445ABC"/>
    <w:rsid w:val="00445EC4"/>
    <w:rsid w:val="004479F6"/>
    <w:rsid w:val="0045036B"/>
    <w:rsid w:val="00450531"/>
    <w:rsid w:val="004511A9"/>
    <w:rsid w:val="004517D2"/>
    <w:rsid w:val="00451CA6"/>
    <w:rsid w:val="0045242E"/>
    <w:rsid w:val="00452D8D"/>
    <w:rsid w:val="00453A56"/>
    <w:rsid w:val="00461624"/>
    <w:rsid w:val="00461B02"/>
    <w:rsid w:val="00463EE3"/>
    <w:rsid w:val="00470364"/>
    <w:rsid w:val="004708A2"/>
    <w:rsid w:val="004709A7"/>
    <w:rsid w:val="00470A02"/>
    <w:rsid w:val="0047123C"/>
    <w:rsid w:val="0047410D"/>
    <w:rsid w:val="00475925"/>
    <w:rsid w:val="0047638B"/>
    <w:rsid w:val="004777CB"/>
    <w:rsid w:val="00480C11"/>
    <w:rsid w:val="004834C3"/>
    <w:rsid w:val="00484D38"/>
    <w:rsid w:val="0049256C"/>
    <w:rsid w:val="00493BB6"/>
    <w:rsid w:val="00493CDC"/>
    <w:rsid w:val="00495DE4"/>
    <w:rsid w:val="004975A5"/>
    <w:rsid w:val="0049764E"/>
    <w:rsid w:val="00497663"/>
    <w:rsid w:val="004A031D"/>
    <w:rsid w:val="004A1480"/>
    <w:rsid w:val="004A52B8"/>
    <w:rsid w:val="004B3144"/>
    <w:rsid w:val="004B3434"/>
    <w:rsid w:val="004B4AA9"/>
    <w:rsid w:val="004B7C57"/>
    <w:rsid w:val="004C10A5"/>
    <w:rsid w:val="004C119B"/>
    <w:rsid w:val="004C1D93"/>
    <w:rsid w:val="004C23A2"/>
    <w:rsid w:val="004C55CF"/>
    <w:rsid w:val="004C6AE9"/>
    <w:rsid w:val="004C7C35"/>
    <w:rsid w:val="004C7C4C"/>
    <w:rsid w:val="004D36A8"/>
    <w:rsid w:val="004D4CB6"/>
    <w:rsid w:val="004D7CE4"/>
    <w:rsid w:val="004E1FA5"/>
    <w:rsid w:val="004E2C47"/>
    <w:rsid w:val="004E390A"/>
    <w:rsid w:val="004E4B8B"/>
    <w:rsid w:val="004E4E8D"/>
    <w:rsid w:val="004E5D14"/>
    <w:rsid w:val="004E7882"/>
    <w:rsid w:val="004F237B"/>
    <w:rsid w:val="004F3959"/>
    <w:rsid w:val="004F3C26"/>
    <w:rsid w:val="004F41E9"/>
    <w:rsid w:val="004F4BFF"/>
    <w:rsid w:val="004F6623"/>
    <w:rsid w:val="004F759F"/>
    <w:rsid w:val="004F7FDE"/>
    <w:rsid w:val="00500632"/>
    <w:rsid w:val="005054F4"/>
    <w:rsid w:val="00505D9C"/>
    <w:rsid w:val="00505EC5"/>
    <w:rsid w:val="00506B41"/>
    <w:rsid w:val="00506C26"/>
    <w:rsid w:val="005108CB"/>
    <w:rsid w:val="0051217B"/>
    <w:rsid w:val="005135E5"/>
    <w:rsid w:val="005136E2"/>
    <w:rsid w:val="005157C1"/>
    <w:rsid w:val="005158FE"/>
    <w:rsid w:val="005160D5"/>
    <w:rsid w:val="0052116E"/>
    <w:rsid w:val="00523331"/>
    <w:rsid w:val="00524923"/>
    <w:rsid w:val="00532437"/>
    <w:rsid w:val="005324A6"/>
    <w:rsid w:val="00534A88"/>
    <w:rsid w:val="0053763F"/>
    <w:rsid w:val="00540091"/>
    <w:rsid w:val="00541F27"/>
    <w:rsid w:val="00545063"/>
    <w:rsid w:val="00545586"/>
    <w:rsid w:val="0054586E"/>
    <w:rsid w:val="00555FA0"/>
    <w:rsid w:val="005605AF"/>
    <w:rsid w:val="00561038"/>
    <w:rsid w:val="005628B9"/>
    <w:rsid w:val="00562E17"/>
    <w:rsid w:val="005638E4"/>
    <w:rsid w:val="00564CA8"/>
    <w:rsid w:val="00565A6A"/>
    <w:rsid w:val="005676BE"/>
    <w:rsid w:val="00567E60"/>
    <w:rsid w:val="00573511"/>
    <w:rsid w:val="005807A7"/>
    <w:rsid w:val="0058167F"/>
    <w:rsid w:val="005848FC"/>
    <w:rsid w:val="005865B0"/>
    <w:rsid w:val="00586930"/>
    <w:rsid w:val="00590077"/>
    <w:rsid w:val="0059080E"/>
    <w:rsid w:val="0059168F"/>
    <w:rsid w:val="00594210"/>
    <w:rsid w:val="005942B4"/>
    <w:rsid w:val="00594A0B"/>
    <w:rsid w:val="00597284"/>
    <w:rsid w:val="005A0F42"/>
    <w:rsid w:val="005A0F8C"/>
    <w:rsid w:val="005A14A3"/>
    <w:rsid w:val="005A1F87"/>
    <w:rsid w:val="005A374F"/>
    <w:rsid w:val="005A37B4"/>
    <w:rsid w:val="005A6275"/>
    <w:rsid w:val="005A653E"/>
    <w:rsid w:val="005A765C"/>
    <w:rsid w:val="005A7675"/>
    <w:rsid w:val="005A76A3"/>
    <w:rsid w:val="005A7822"/>
    <w:rsid w:val="005B13F4"/>
    <w:rsid w:val="005B29A3"/>
    <w:rsid w:val="005B2B14"/>
    <w:rsid w:val="005B2FB5"/>
    <w:rsid w:val="005B42F4"/>
    <w:rsid w:val="005B4460"/>
    <w:rsid w:val="005B48EB"/>
    <w:rsid w:val="005B638D"/>
    <w:rsid w:val="005B70EF"/>
    <w:rsid w:val="005C0948"/>
    <w:rsid w:val="005C6C1B"/>
    <w:rsid w:val="005C6CE7"/>
    <w:rsid w:val="005D10BA"/>
    <w:rsid w:val="005D29AD"/>
    <w:rsid w:val="005D34CC"/>
    <w:rsid w:val="005D40AA"/>
    <w:rsid w:val="005D60F1"/>
    <w:rsid w:val="005D611F"/>
    <w:rsid w:val="005D6E06"/>
    <w:rsid w:val="005D739C"/>
    <w:rsid w:val="005D7424"/>
    <w:rsid w:val="005D77D4"/>
    <w:rsid w:val="005E0682"/>
    <w:rsid w:val="005E24B0"/>
    <w:rsid w:val="005E3CB5"/>
    <w:rsid w:val="005E5B94"/>
    <w:rsid w:val="005E5EBE"/>
    <w:rsid w:val="005F0152"/>
    <w:rsid w:val="005F0933"/>
    <w:rsid w:val="005F1E8C"/>
    <w:rsid w:val="005F3094"/>
    <w:rsid w:val="005F70A3"/>
    <w:rsid w:val="00600A1D"/>
    <w:rsid w:val="0060197E"/>
    <w:rsid w:val="00602A1E"/>
    <w:rsid w:val="0060319D"/>
    <w:rsid w:val="00605B37"/>
    <w:rsid w:val="00606E30"/>
    <w:rsid w:val="00606FA7"/>
    <w:rsid w:val="0060742A"/>
    <w:rsid w:val="00607613"/>
    <w:rsid w:val="006102CC"/>
    <w:rsid w:val="00610C3E"/>
    <w:rsid w:val="00610E98"/>
    <w:rsid w:val="0061179B"/>
    <w:rsid w:val="00611CB2"/>
    <w:rsid w:val="006217B6"/>
    <w:rsid w:val="00621ADB"/>
    <w:rsid w:val="0062365F"/>
    <w:rsid w:val="00624F47"/>
    <w:rsid w:val="00626CBE"/>
    <w:rsid w:val="00626D16"/>
    <w:rsid w:val="00626F76"/>
    <w:rsid w:val="00631652"/>
    <w:rsid w:val="006321AB"/>
    <w:rsid w:val="00632F55"/>
    <w:rsid w:val="006378E4"/>
    <w:rsid w:val="006414BE"/>
    <w:rsid w:val="0064180A"/>
    <w:rsid w:val="00642945"/>
    <w:rsid w:val="00642952"/>
    <w:rsid w:val="00643013"/>
    <w:rsid w:val="006439C1"/>
    <w:rsid w:val="00643BFE"/>
    <w:rsid w:val="00644444"/>
    <w:rsid w:val="00645E41"/>
    <w:rsid w:val="00646DD1"/>
    <w:rsid w:val="0064729D"/>
    <w:rsid w:val="00651837"/>
    <w:rsid w:val="00652A28"/>
    <w:rsid w:val="00652E3C"/>
    <w:rsid w:val="0065612B"/>
    <w:rsid w:val="00656BAB"/>
    <w:rsid w:val="00657229"/>
    <w:rsid w:val="006612E9"/>
    <w:rsid w:val="00661F72"/>
    <w:rsid w:val="006624EC"/>
    <w:rsid w:val="00662A36"/>
    <w:rsid w:val="00663630"/>
    <w:rsid w:val="0066458D"/>
    <w:rsid w:val="0066642B"/>
    <w:rsid w:val="0067112B"/>
    <w:rsid w:val="00671326"/>
    <w:rsid w:val="00673720"/>
    <w:rsid w:val="00674A95"/>
    <w:rsid w:val="006770CC"/>
    <w:rsid w:val="006776A9"/>
    <w:rsid w:val="00677CFC"/>
    <w:rsid w:val="0068003E"/>
    <w:rsid w:val="00680634"/>
    <w:rsid w:val="00680735"/>
    <w:rsid w:val="00681BAC"/>
    <w:rsid w:val="0068395F"/>
    <w:rsid w:val="0068433D"/>
    <w:rsid w:val="0068638A"/>
    <w:rsid w:val="00686D96"/>
    <w:rsid w:val="00686EC1"/>
    <w:rsid w:val="00692226"/>
    <w:rsid w:val="00692362"/>
    <w:rsid w:val="006933B7"/>
    <w:rsid w:val="006937FD"/>
    <w:rsid w:val="00697DF6"/>
    <w:rsid w:val="006A0E79"/>
    <w:rsid w:val="006A10CD"/>
    <w:rsid w:val="006A3886"/>
    <w:rsid w:val="006A5CA5"/>
    <w:rsid w:val="006A5DBC"/>
    <w:rsid w:val="006A5EA5"/>
    <w:rsid w:val="006A7862"/>
    <w:rsid w:val="006B433E"/>
    <w:rsid w:val="006B4F9F"/>
    <w:rsid w:val="006B6A71"/>
    <w:rsid w:val="006B73F3"/>
    <w:rsid w:val="006B792C"/>
    <w:rsid w:val="006C2189"/>
    <w:rsid w:val="006C23AA"/>
    <w:rsid w:val="006C3EB6"/>
    <w:rsid w:val="006C5C20"/>
    <w:rsid w:val="006D0D9D"/>
    <w:rsid w:val="006D402A"/>
    <w:rsid w:val="006D5837"/>
    <w:rsid w:val="006D5CDC"/>
    <w:rsid w:val="006D5F97"/>
    <w:rsid w:val="006D6110"/>
    <w:rsid w:val="006D6B6D"/>
    <w:rsid w:val="006D74A7"/>
    <w:rsid w:val="006E1144"/>
    <w:rsid w:val="006E2460"/>
    <w:rsid w:val="006E28E6"/>
    <w:rsid w:val="006E2973"/>
    <w:rsid w:val="006E2EA4"/>
    <w:rsid w:val="006E35EE"/>
    <w:rsid w:val="006E52DB"/>
    <w:rsid w:val="006E543A"/>
    <w:rsid w:val="006E6DEA"/>
    <w:rsid w:val="006F4851"/>
    <w:rsid w:val="006F54A0"/>
    <w:rsid w:val="006F60A1"/>
    <w:rsid w:val="006F7DC8"/>
    <w:rsid w:val="00700DAD"/>
    <w:rsid w:val="00700F41"/>
    <w:rsid w:val="00701CC6"/>
    <w:rsid w:val="007024D8"/>
    <w:rsid w:val="0070559B"/>
    <w:rsid w:val="0070668F"/>
    <w:rsid w:val="007075A7"/>
    <w:rsid w:val="007116E5"/>
    <w:rsid w:val="00711C10"/>
    <w:rsid w:val="007123D1"/>
    <w:rsid w:val="007145DB"/>
    <w:rsid w:val="007154ED"/>
    <w:rsid w:val="00716739"/>
    <w:rsid w:val="00716951"/>
    <w:rsid w:val="00717E3D"/>
    <w:rsid w:val="00721818"/>
    <w:rsid w:val="00721CE2"/>
    <w:rsid w:val="00725073"/>
    <w:rsid w:val="00735D5D"/>
    <w:rsid w:val="00736D8F"/>
    <w:rsid w:val="00741BB4"/>
    <w:rsid w:val="007437D1"/>
    <w:rsid w:val="00743828"/>
    <w:rsid w:val="007444EC"/>
    <w:rsid w:val="00745AF0"/>
    <w:rsid w:val="00745F39"/>
    <w:rsid w:val="007473BB"/>
    <w:rsid w:val="007475B7"/>
    <w:rsid w:val="00747A30"/>
    <w:rsid w:val="00747BF8"/>
    <w:rsid w:val="00750AD2"/>
    <w:rsid w:val="00754C0C"/>
    <w:rsid w:val="00755BC2"/>
    <w:rsid w:val="007569A7"/>
    <w:rsid w:val="00756C61"/>
    <w:rsid w:val="00761A72"/>
    <w:rsid w:val="00762677"/>
    <w:rsid w:val="0076300C"/>
    <w:rsid w:val="00765103"/>
    <w:rsid w:val="00766AC0"/>
    <w:rsid w:val="00770A2F"/>
    <w:rsid w:val="00773B5A"/>
    <w:rsid w:val="0077486E"/>
    <w:rsid w:val="00774EFE"/>
    <w:rsid w:val="0077601D"/>
    <w:rsid w:val="00776B06"/>
    <w:rsid w:val="00776B34"/>
    <w:rsid w:val="00780F7D"/>
    <w:rsid w:val="00783BBB"/>
    <w:rsid w:val="00783D04"/>
    <w:rsid w:val="00783E0A"/>
    <w:rsid w:val="00787470"/>
    <w:rsid w:val="007874B0"/>
    <w:rsid w:val="00791823"/>
    <w:rsid w:val="00792D3D"/>
    <w:rsid w:val="0079483B"/>
    <w:rsid w:val="007969B2"/>
    <w:rsid w:val="0079752D"/>
    <w:rsid w:val="007A0053"/>
    <w:rsid w:val="007A186A"/>
    <w:rsid w:val="007A30F5"/>
    <w:rsid w:val="007A3150"/>
    <w:rsid w:val="007A720B"/>
    <w:rsid w:val="007A7554"/>
    <w:rsid w:val="007A7B3A"/>
    <w:rsid w:val="007B0783"/>
    <w:rsid w:val="007B14FE"/>
    <w:rsid w:val="007B1560"/>
    <w:rsid w:val="007B1AC0"/>
    <w:rsid w:val="007B438C"/>
    <w:rsid w:val="007B4E96"/>
    <w:rsid w:val="007B7777"/>
    <w:rsid w:val="007B77C7"/>
    <w:rsid w:val="007C1781"/>
    <w:rsid w:val="007C1CE5"/>
    <w:rsid w:val="007C4318"/>
    <w:rsid w:val="007C4B67"/>
    <w:rsid w:val="007C67FB"/>
    <w:rsid w:val="007C788D"/>
    <w:rsid w:val="007D0A18"/>
    <w:rsid w:val="007D1880"/>
    <w:rsid w:val="007D1C86"/>
    <w:rsid w:val="007D62B0"/>
    <w:rsid w:val="007E123D"/>
    <w:rsid w:val="007E1B49"/>
    <w:rsid w:val="007E393D"/>
    <w:rsid w:val="007E4AF9"/>
    <w:rsid w:val="007E4B37"/>
    <w:rsid w:val="007E547A"/>
    <w:rsid w:val="007E6759"/>
    <w:rsid w:val="007E6B3E"/>
    <w:rsid w:val="007F2AE9"/>
    <w:rsid w:val="007F6A9F"/>
    <w:rsid w:val="0080004F"/>
    <w:rsid w:val="0080084E"/>
    <w:rsid w:val="00801766"/>
    <w:rsid w:val="00801BD3"/>
    <w:rsid w:val="00802715"/>
    <w:rsid w:val="00803843"/>
    <w:rsid w:val="008040A8"/>
    <w:rsid w:val="008047D0"/>
    <w:rsid w:val="00806BE9"/>
    <w:rsid w:val="008107E2"/>
    <w:rsid w:val="00810FC7"/>
    <w:rsid w:val="00811E6B"/>
    <w:rsid w:val="0081341F"/>
    <w:rsid w:val="0081349E"/>
    <w:rsid w:val="00814ADC"/>
    <w:rsid w:val="00815488"/>
    <w:rsid w:val="00820F15"/>
    <w:rsid w:val="00820F3F"/>
    <w:rsid w:val="00821510"/>
    <w:rsid w:val="00823618"/>
    <w:rsid w:val="00823875"/>
    <w:rsid w:val="008263F1"/>
    <w:rsid w:val="008266C6"/>
    <w:rsid w:val="008302DF"/>
    <w:rsid w:val="00830FA5"/>
    <w:rsid w:val="00831297"/>
    <w:rsid w:val="00832A11"/>
    <w:rsid w:val="00832B21"/>
    <w:rsid w:val="00834184"/>
    <w:rsid w:val="0083524D"/>
    <w:rsid w:val="00835939"/>
    <w:rsid w:val="00840CE8"/>
    <w:rsid w:val="00841CA9"/>
    <w:rsid w:val="0084415B"/>
    <w:rsid w:val="0084575B"/>
    <w:rsid w:val="008463D6"/>
    <w:rsid w:val="00846C6F"/>
    <w:rsid w:val="0085087A"/>
    <w:rsid w:val="0086134A"/>
    <w:rsid w:val="00861986"/>
    <w:rsid w:val="00870C14"/>
    <w:rsid w:val="00871A39"/>
    <w:rsid w:val="0087278E"/>
    <w:rsid w:val="00874CFA"/>
    <w:rsid w:val="008753F7"/>
    <w:rsid w:val="00876237"/>
    <w:rsid w:val="00877C92"/>
    <w:rsid w:val="00880674"/>
    <w:rsid w:val="00880713"/>
    <w:rsid w:val="008813A0"/>
    <w:rsid w:val="00881C1B"/>
    <w:rsid w:val="00885F8A"/>
    <w:rsid w:val="00887B1E"/>
    <w:rsid w:val="008909A2"/>
    <w:rsid w:val="008916C6"/>
    <w:rsid w:val="00891C9D"/>
    <w:rsid w:val="008924C6"/>
    <w:rsid w:val="00892F0A"/>
    <w:rsid w:val="00895398"/>
    <w:rsid w:val="00895C25"/>
    <w:rsid w:val="0089650E"/>
    <w:rsid w:val="00897135"/>
    <w:rsid w:val="00897925"/>
    <w:rsid w:val="008A11F9"/>
    <w:rsid w:val="008A1960"/>
    <w:rsid w:val="008A212E"/>
    <w:rsid w:val="008A3479"/>
    <w:rsid w:val="008A4F3B"/>
    <w:rsid w:val="008A6169"/>
    <w:rsid w:val="008A6BA1"/>
    <w:rsid w:val="008A7AF7"/>
    <w:rsid w:val="008A7CC5"/>
    <w:rsid w:val="008B04B8"/>
    <w:rsid w:val="008B0A3E"/>
    <w:rsid w:val="008B2768"/>
    <w:rsid w:val="008B2BAE"/>
    <w:rsid w:val="008B5330"/>
    <w:rsid w:val="008B5440"/>
    <w:rsid w:val="008B71D2"/>
    <w:rsid w:val="008C0993"/>
    <w:rsid w:val="008C1C28"/>
    <w:rsid w:val="008C3150"/>
    <w:rsid w:val="008C49E2"/>
    <w:rsid w:val="008C4D49"/>
    <w:rsid w:val="008C619A"/>
    <w:rsid w:val="008C77EA"/>
    <w:rsid w:val="008C7838"/>
    <w:rsid w:val="008C7E69"/>
    <w:rsid w:val="008D137C"/>
    <w:rsid w:val="008D2A86"/>
    <w:rsid w:val="008D2CB8"/>
    <w:rsid w:val="008D3217"/>
    <w:rsid w:val="008D34C9"/>
    <w:rsid w:val="008D34D7"/>
    <w:rsid w:val="008D52B2"/>
    <w:rsid w:val="008D6BAB"/>
    <w:rsid w:val="008E0908"/>
    <w:rsid w:val="008E3956"/>
    <w:rsid w:val="008E3B27"/>
    <w:rsid w:val="008F085B"/>
    <w:rsid w:val="008F1451"/>
    <w:rsid w:val="008F3021"/>
    <w:rsid w:val="008F69BC"/>
    <w:rsid w:val="00900340"/>
    <w:rsid w:val="009006AB"/>
    <w:rsid w:val="0090106F"/>
    <w:rsid w:val="009037EC"/>
    <w:rsid w:val="00903DB5"/>
    <w:rsid w:val="00903DC1"/>
    <w:rsid w:val="00904441"/>
    <w:rsid w:val="00906E72"/>
    <w:rsid w:val="00906E94"/>
    <w:rsid w:val="009078FE"/>
    <w:rsid w:val="00907D93"/>
    <w:rsid w:val="009101D7"/>
    <w:rsid w:val="009117B6"/>
    <w:rsid w:val="00911A8C"/>
    <w:rsid w:val="009169F8"/>
    <w:rsid w:val="0091736F"/>
    <w:rsid w:val="0091757B"/>
    <w:rsid w:val="009179F4"/>
    <w:rsid w:val="00917C4C"/>
    <w:rsid w:val="00920243"/>
    <w:rsid w:val="00921A64"/>
    <w:rsid w:val="00921F15"/>
    <w:rsid w:val="0092279F"/>
    <w:rsid w:val="00925591"/>
    <w:rsid w:val="0092698D"/>
    <w:rsid w:val="0092713B"/>
    <w:rsid w:val="009306D3"/>
    <w:rsid w:val="009346A5"/>
    <w:rsid w:val="009349B1"/>
    <w:rsid w:val="00935A77"/>
    <w:rsid w:val="00935E4E"/>
    <w:rsid w:val="00936C5F"/>
    <w:rsid w:val="00941C7F"/>
    <w:rsid w:val="00943095"/>
    <w:rsid w:val="00944ECD"/>
    <w:rsid w:val="009453C3"/>
    <w:rsid w:val="009453ED"/>
    <w:rsid w:val="00947C10"/>
    <w:rsid w:val="009511BF"/>
    <w:rsid w:val="009512EC"/>
    <w:rsid w:val="009538E7"/>
    <w:rsid w:val="00954084"/>
    <w:rsid w:val="00954235"/>
    <w:rsid w:val="00955792"/>
    <w:rsid w:val="00956988"/>
    <w:rsid w:val="009578BB"/>
    <w:rsid w:val="009612D9"/>
    <w:rsid w:val="00961A0F"/>
    <w:rsid w:val="0096483A"/>
    <w:rsid w:val="00970292"/>
    <w:rsid w:val="009717E3"/>
    <w:rsid w:val="00973C58"/>
    <w:rsid w:val="00974C09"/>
    <w:rsid w:val="009751D9"/>
    <w:rsid w:val="00977F88"/>
    <w:rsid w:val="00980381"/>
    <w:rsid w:val="0098166F"/>
    <w:rsid w:val="009826E6"/>
    <w:rsid w:val="00982A42"/>
    <w:rsid w:val="00984460"/>
    <w:rsid w:val="00985429"/>
    <w:rsid w:val="009879DD"/>
    <w:rsid w:val="00987B63"/>
    <w:rsid w:val="00987F62"/>
    <w:rsid w:val="009924D5"/>
    <w:rsid w:val="00993DB4"/>
    <w:rsid w:val="0099446F"/>
    <w:rsid w:val="009956BB"/>
    <w:rsid w:val="0099629E"/>
    <w:rsid w:val="00996A04"/>
    <w:rsid w:val="009A0119"/>
    <w:rsid w:val="009A08B2"/>
    <w:rsid w:val="009A095B"/>
    <w:rsid w:val="009A0AA2"/>
    <w:rsid w:val="009A1217"/>
    <w:rsid w:val="009A16AB"/>
    <w:rsid w:val="009A353A"/>
    <w:rsid w:val="009A4D3A"/>
    <w:rsid w:val="009A70B4"/>
    <w:rsid w:val="009B1961"/>
    <w:rsid w:val="009B2267"/>
    <w:rsid w:val="009B6DEB"/>
    <w:rsid w:val="009B707F"/>
    <w:rsid w:val="009C2BD8"/>
    <w:rsid w:val="009C2ED1"/>
    <w:rsid w:val="009C359E"/>
    <w:rsid w:val="009C37B3"/>
    <w:rsid w:val="009C4428"/>
    <w:rsid w:val="009C5462"/>
    <w:rsid w:val="009C63AE"/>
    <w:rsid w:val="009C7760"/>
    <w:rsid w:val="009D23B6"/>
    <w:rsid w:val="009D39AD"/>
    <w:rsid w:val="009D4E4E"/>
    <w:rsid w:val="009D5497"/>
    <w:rsid w:val="009D6E48"/>
    <w:rsid w:val="009E022F"/>
    <w:rsid w:val="009E394B"/>
    <w:rsid w:val="009E3E6E"/>
    <w:rsid w:val="009E523A"/>
    <w:rsid w:val="009E527A"/>
    <w:rsid w:val="009E610B"/>
    <w:rsid w:val="009E7A71"/>
    <w:rsid w:val="009E7BB1"/>
    <w:rsid w:val="009E7D98"/>
    <w:rsid w:val="009F0102"/>
    <w:rsid w:val="009F02E4"/>
    <w:rsid w:val="009F03CA"/>
    <w:rsid w:val="009F25F9"/>
    <w:rsid w:val="009F2AFB"/>
    <w:rsid w:val="009F32C3"/>
    <w:rsid w:val="009F40A4"/>
    <w:rsid w:val="009F4D0F"/>
    <w:rsid w:val="009F4D6B"/>
    <w:rsid w:val="009F66F3"/>
    <w:rsid w:val="009F6D97"/>
    <w:rsid w:val="00A0092E"/>
    <w:rsid w:val="00A01694"/>
    <w:rsid w:val="00A03564"/>
    <w:rsid w:val="00A044FF"/>
    <w:rsid w:val="00A04BD4"/>
    <w:rsid w:val="00A04D05"/>
    <w:rsid w:val="00A04D25"/>
    <w:rsid w:val="00A05D9A"/>
    <w:rsid w:val="00A05DAF"/>
    <w:rsid w:val="00A06199"/>
    <w:rsid w:val="00A079AD"/>
    <w:rsid w:val="00A10762"/>
    <w:rsid w:val="00A1159D"/>
    <w:rsid w:val="00A12957"/>
    <w:rsid w:val="00A12AA6"/>
    <w:rsid w:val="00A1311E"/>
    <w:rsid w:val="00A1629C"/>
    <w:rsid w:val="00A16376"/>
    <w:rsid w:val="00A1648E"/>
    <w:rsid w:val="00A22399"/>
    <w:rsid w:val="00A274F5"/>
    <w:rsid w:val="00A30B8E"/>
    <w:rsid w:val="00A310DF"/>
    <w:rsid w:val="00A3148D"/>
    <w:rsid w:val="00A3305B"/>
    <w:rsid w:val="00A3390D"/>
    <w:rsid w:val="00A342D1"/>
    <w:rsid w:val="00A346A8"/>
    <w:rsid w:val="00A347C7"/>
    <w:rsid w:val="00A370E4"/>
    <w:rsid w:val="00A40ED5"/>
    <w:rsid w:val="00A412FA"/>
    <w:rsid w:val="00A418C3"/>
    <w:rsid w:val="00A41C07"/>
    <w:rsid w:val="00A41F10"/>
    <w:rsid w:val="00A437E8"/>
    <w:rsid w:val="00A463B0"/>
    <w:rsid w:val="00A4724F"/>
    <w:rsid w:val="00A5072A"/>
    <w:rsid w:val="00A521AE"/>
    <w:rsid w:val="00A5238C"/>
    <w:rsid w:val="00A536EA"/>
    <w:rsid w:val="00A55E87"/>
    <w:rsid w:val="00A57D19"/>
    <w:rsid w:val="00A60DA2"/>
    <w:rsid w:val="00A615BD"/>
    <w:rsid w:val="00A61B67"/>
    <w:rsid w:val="00A63237"/>
    <w:rsid w:val="00A649DA"/>
    <w:rsid w:val="00A67738"/>
    <w:rsid w:val="00A71E28"/>
    <w:rsid w:val="00A71E85"/>
    <w:rsid w:val="00A75A7A"/>
    <w:rsid w:val="00A77EFD"/>
    <w:rsid w:val="00A82F0B"/>
    <w:rsid w:val="00A837B9"/>
    <w:rsid w:val="00A84DFC"/>
    <w:rsid w:val="00A86AC8"/>
    <w:rsid w:val="00A877B0"/>
    <w:rsid w:val="00A903C2"/>
    <w:rsid w:val="00A92F70"/>
    <w:rsid w:val="00A94562"/>
    <w:rsid w:val="00A968C4"/>
    <w:rsid w:val="00A9735E"/>
    <w:rsid w:val="00A977E3"/>
    <w:rsid w:val="00AA10FE"/>
    <w:rsid w:val="00AA337F"/>
    <w:rsid w:val="00AA6198"/>
    <w:rsid w:val="00AA7E59"/>
    <w:rsid w:val="00AB036D"/>
    <w:rsid w:val="00AB0F2B"/>
    <w:rsid w:val="00AB290D"/>
    <w:rsid w:val="00AB36C3"/>
    <w:rsid w:val="00AB5BC5"/>
    <w:rsid w:val="00AB6696"/>
    <w:rsid w:val="00AB71F3"/>
    <w:rsid w:val="00AC0215"/>
    <w:rsid w:val="00AC076F"/>
    <w:rsid w:val="00AC07AA"/>
    <w:rsid w:val="00AC1280"/>
    <w:rsid w:val="00AC1DCE"/>
    <w:rsid w:val="00AC2923"/>
    <w:rsid w:val="00AC2ECD"/>
    <w:rsid w:val="00AC4C1B"/>
    <w:rsid w:val="00AC5AD0"/>
    <w:rsid w:val="00AD05C3"/>
    <w:rsid w:val="00AD09A3"/>
    <w:rsid w:val="00AD0CA9"/>
    <w:rsid w:val="00AD1715"/>
    <w:rsid w:val="00AD2D9C"/>
    <w:rsid w:val="00AD4E34"/>
    <w:rsid w:val="00AD6F6D"/>
    <w:rsid w:val="00AE16DE"/>
    <w:rsid w:val="00AE1827"/>
    <w:rsid w:val="00AE1868"/>
    <w:rsid w:val="00AE203C"/>
    <w:rsid w:val="00AE2060"/>
    <w:rsid w:val="00AE2804"/>
    <w:rsid w:val="00AE2C08"/>
    <w:rsid w:val="00AE4373"/>
    <w:rsid w:val="00AE7F22"/>
    <w:rsid w:val="00AF02D2"/>
    <w:rsid w:val="00AF0661"/>
    <w:rsid w:val="00AF1A5C"/>
    <w:rsid w:val="00AF496B"/>
    <w:rsid w:val="00AF52AA"/>
    <w:rsid w:val="00AF5FAB"/>
    <w:rsid w:val="00AF6773"/>
    <w:rsid w:val="00AF7E43"/>
    <w:rsid w:val="00AF7EB5"/>
    <w:rsid w:val="00B01B0D"/>
    <w:rsid w:val="00B020C6"/>
    <w:rsid w:val="00B04FF5"/>
    <w:rsid w:val="00B054A3"/>
    <w:rsid w:val="00B05AAB"/>
    <w:rsid w:val="00B05D21"/>
    <w:rsid w:val="00B0751F"/>
    <w:rsid w:val="00B10AD9"/>
    <w:rsid w:val="00B11574"/>
    <w:rsid w:val="00B11669"/>
    <w:rsid w:val="00B1299E"/>
    <w:rsid w:val="00B133AE"/>
    <w:rsid w:val="00B14B3B"/>
    <w:rsid w:val="00B14B4C"/>
    <w:rsid w:val="00B15788"/>
    <w:rsid w:val="00B177B9"/>
    <w:rsid w:val="00B2009F"/>
    <w:rsid w:val="00B21015"/>
    <w:rsid w:val="00B2287F"/>
    <w:rsid w:val="00B22E1B"/>
    <w:rsid w:val="00B231D7"/>
    <w:rsid w:val="00B235B2"/>
    <w:rsid w:val="00B25F0E"/>
    <w:rsid w:val="00B264EE"/>
    <w:rsid w:val="00B30932"/>
    <w:rsid w:val="00B310E9"/>
    <w:rsid w:val="00B32674"/>
    <w:rsid w:val="00B34182"/>
    <w:rsid w:val="00B35892"/>
    <w:rsid w:val="00B36284"/>
    <w:rsid w:val="00B36C8F"/>
    <w:rsid w:val="00B36E0B"/>
    <w:rsid w:val="00B372D0"/>
    <w:rsid w:val="00B4065B"/>
    <w:rsid w:val="00B443B3"/>
    <w:rsid w:val="00B4565B"/>
    <w:rsid w:val="00B45EED"/>
    <w:rsid w:val="00B46E49"/>
    <w:rsid w:val="00B50C0F"/>
    <w:rsid w:val="00B538C1"/>
    <w:rsid w:val="00B5594B"/>
    <w:rsid w:val="00B606F7"/>
    <w:rsid w:val="00B63AAC"/>
    <w:rsid w:val="00B63D24"/>
    <w:rsid w:val="00B646FA"/>
    <w:rsid w:val="00B64A07"/>
    <w:rsid w:val="00B668B3"/>
    <w:rsid w:val="00B66C7A"/>
    <w:rsid w:val="00B67579"/>
    <w:rsid w:val="00B712F7"/>
    <w:rsid w:val="00B73B71"/>
    <w:rsid w:val="00B75785"/>
    <w:rsid w:val="00B77C09"/>
    <w:rsid w:val="00B826F4"/>
    <w:rsid w:val="00B82A5D"/>
    <w:rsid w:val="00B8337C"/>
    <w:rsid w:val="00B83A46"/>
    <w:rsid w:val="00B85622"/>
    <w:rsid w:val="00B86872"/>
    <w:rsid w:val="00B870EF"/>
    <w:rsid w:val="00B87D80"/>
    <w:rsid w:val="00B9266B"/>
    <w:rsid w:val="00B94293"/>
    <w:rsid w:val="00B96000"/>
    <w:rsid w:val="00B97218"/>
    <w:rsid w:val="00BA0194"/>
    <w:rsid w:val="00BA052C"/>
    <w:rsid w:val="00BA1E21"/>
    <w:rsid w:val="00BA2378"/>
    <w:rsid w:val="00BA5844"/>
    <w:rsid w:val="00BA6520"/>
    <w:rsid w:val="00BA7E17"/>
    <w:rsid w:val="00BB2686"/>
    <w:rsid w:val="00BB4788"/>
    <w:rsid w:val="00BB4C04"/>
    <w:rsid w:val="00BB4E66"/>
    <w:rsid w:val="00BC0DF9"/>
    <w:rsid w:val="00BC4229"/>
    <w:rsid w:val="00BC474B"/>
    <w:rsid w:val="00BC5727"/>
    <w:rsid w:val="00BD0CAD"/>
    <w:rsid w:val="00BD1A60"/>
    <w:rsid w:val="00BD203E"/>
    <w:rsid w:val="00BD4A73"/>
    <w:rsid w:val="00BD58AA"/>
    <w:rsid w:val="00BD662D"/>
    <w:rsid w:val="00BD7679"/>
    <w:rsid w:val="00BD7EC3"/>
    <w:rsid w:val="00BE0D50"/>
    <w:rsid w:val="00BE4D6A"/>
    <w:rsid w:val="00BE6D25"/>
    <w:rsid w:val="00BE76BB"/>
    <w:rsid w:val="00BF0632"/>
    <w:rsid w:val="00BF0AFC"/>
    <w:rsid w:val="00BF10C6"/>
    <w:rsid w:val="00BF4380"/>
    <w:rsid w:val="00BF4B7C"/>
    <w:rsid w:val="00BF55F7"/>
    <w:rsid w:val="00BF7F33"/>
    <w:rsid w:val="00C07B71"/>
    <w:rsid w:val="00C07D83"/>
    <w:rsid w:val="00C1161D"/>
    <w:rsid w:val="00C1216E"/>
    <w:rsid w:val="00C14AE9"/>
    <w:rsid w:val="00C160EF"/>
    <w:rsid w:val="00C16EDD"/>
    <w:rsid w:val="00C20995"/>
    <w:rsid w:val="00C219FF"/>
    <w:rsid w:val="00C21C7C"/>
    <w:rsid w:val="00C2223B"/>
    <w:rsid w:val="00C235F0"/>
    <w:rsid w:val="00C2526F"/>
    <w:rsid w:val="00C257BA"/>
    <w:rsid w:val="00C26E25"/>
    <w:rsid w:val="00C30EBD"/>
    <w:rsid w:val="00C30FB5"/>
    <w:rsid w:val="00C31C00"/>
    <w:rsid w:val="00C325C5"/>
    <w:rsid w:val="00C325F7"/>
    <w:rsid w:val="00C367D4"/>
    <w:rsid w:val="00C36FE9"/>
    <w:rsid w:val="00C429CF"/>
    <w:rsid w:val="00C43249"/>
    <w:rsid w:val="00C44FF3"/>
    <w:rsid w:val="00C455FD"/>
    <w:rsid w:val="00C45FC4"/>
    <w:rsid w:val="00C460BC"/>
    <w:rsid w:val="00C46284"/>
    <w:rsid w:val="00C464C7"/>
    <w:rsid w:val="00C504CE"/>
    <w:rsid w:val="00C50AB7"/>
    <w:rsid w:val="00C51345"/>
    <w:rsid w:val="00C51A30"/>
    <w:rsid w:val="00C555C3"/>
    <w:rsid w:val="00C64892"/>
    <w:rsid w:val="00C64A99"/>
    <w:rsid w:val="00C65AA0"/>
    <w:rsid w:val="00C6777A"/>
    <w:rsid w:val="00C72C11"/>
    <w:rsid w:val="00C72DB6"/>
    <w:rsid w:val="00C7671A"/>
    <w:rsid w:val="00C7677A"/>
    <w:rsid w:val="00C80C06"/>
    <w:rsid w:val="00C815FC"/>
    <w:rsid w:val="00C82E68"/>
    <w:rsid w:val="00C8671E"/>
    <w:rsid w:val="00C933CE"/>
    <w:rsid w:val="00C93C01"/>
    <w:rsid w:val="00C95E41"/>
    <w:rsid w:val="00C96E3F"/>
    <w:rsid w:val="00CA055E"/>
    <w:rsid w:val="00CA09DD"/>
    <w:rsid w:val="00CA180A"/>
    <w:rsid w:val="00CA1EA6"/>
    <w:rsid w:val="00CA40DE"/>
    <w:rsid w:val="00CA4368"/>
    <w:rsid w:val="00CA5983"/>
    <w:rsid w:val="00CA6AFF"/>
    <w:rsid w:val="00CB4219"/>
    <w:rsid w:val="00CC1283"/>
    <w:rsid w:val="00CC213F"/>
    <w:rsid w:val="00CC4040"/>
    <w:rsid w:val="00CC4AEB"/>
    <w:rsid w:val="00CC66C1"/>
    <w:rsid w:val="00CC710D"/>
    <w:rsid w:val="00CD01D1"/>
    <w:rsid w:val="00CD1D72"/>
    <w:rsid w:val="00CD2BC1"/>
    <w:rsid w:val="00CD3CC3"/>
    <w:rsid w:val="00CD3F68"/>
    <w:rsid w:val="00CD4785"/>
    <w:rsid w:val="00CD6A5F"/>
    <w:rsid w:val="00CD6D78"/>
    <w:rsid w:val="00CE0D9F"/>
    <w:rsid w:val="00CE69CE"/>
    <w:rsid w:val="00CE6B37"/>
    <w:rsid w:val="00CF000C"/>
    <w:rsid w:val="00CF0BFA"/>
    <w:rsid w:val="00CF3C04"/>
    <w:rsid w:val="00CF5D61"/>
    <w:rsid w:val="00CF5D66"/>
    <w:rsid w:val="00D013F4"/>
    <w:rsid w:val="00D03106"/>
    <w:rsid w:val="00D03C4E"/>
    <w:rsid w:val="00D0585F"/>
    <w:rsid w:val="00D05F84"/>
    <w:rsid w:val="00D066B0"/>
    <w:rsid w:val="00D067E9"/>
    <w:rsid w:val="00D105D8"/>
    <w:rsid w:val="00D12935"/>
    <w:rsid w:val="00D142A8"/>
    <w:rsid w:val="00D143C2"/>
    <w:rsid w:val="00D150F2"/>
    <w:rsid w:val="00D155B6"/>
    <w:rsid w:val="00D15B8B"/>
    <w:rsid w:val="00D17130"/>
    <w:rsid w:val="00D171DF"/>
    <w:rsid w:val="00D22416"/>
    <w:rsid w:val="00D2294A"/>
    <w:rsid w:val="00D23702"/>
    <w:rsid w:val="00D24BA2"/>
    <w:rsid w:val="00D26D56"/>
    <w:rsid w:val="00D3034A"/>
    <w:rsid w:val="00D30498"/>
    <w:rsid w:val="00D30C41"/>
    <w:rsid w:val="00D31A74"/>
    <w:rsid w:val="00D32DFF"/>
    <w:rsid w:val="00D34596"/>
    <w:rsid w:val="00D3667D"/>
    <w:rsid w:val="00D40447"/>
    <w:rsid w:val="00D425DC"/>
    <w:rsid w:val="00D42A2D"/>
    <w:rsid w:val="00D44A5C"/>
    <w:rsid w:val="00D45081"/>
    <w:rsid w:val="00D46682"/>
    <w:rsid w:val="00D46E97"/>
    <w:rsid w:val="00D47B08"/>
    <w:rsid w:val="00D47E8A"/>
    <w:rsid w:val="00D50B81"/>
    <w:rsid w:val="00D51C49"/>
    <w:rsid w:val="00D5269D"/>
    <w:rsid w:val="00D53584"/>
    <w:rsid w:val="00D55051"/>
    <w:rsid w:val="00D56461"/>
    <w:rsid w:val="00D56EF4"/>
    <w:rsid w:val="00D56FDC"/>
    <w:rsid w:val="00D57B2D"/>
    <w:rsid w:val="00D70ECB"/>
    <w:rsid w:val="00D7111E"/>
    <w:rsid w:val="00D7194F"/>
    <w:rsid w:val="00D7381A"/>
    <w:rsid w:val="00D73B66"/>
    <w:rsid w:val="00D755DF"/>
    <w:rsid w:val="00D75674"/>
    <w:rsid w:val="00D81096"/>
    <w:rsid w:val="00D8288B"/>
    <w:rsid w:val="00D87EDE"/>
    <w:rsid w:val="00D9021C"/>
    <w:rsid w:val="00D913DF"/>
    <w:rsid w:val="00D92842"/>
    <w:rsid w:val="00D928C8"/>
    <w:rsid w:val="00D92B1D"/>
    <w:rsid w:val="00D93CE6"/>
    <w:rsid w:val="00D93FEB"/>
    <w:rsid w:val="00D94718"/>
    <w:rsid w:val="00D96253"/>
    <w:rsid w:val="00D96415"/>
    <w:rsid w:val="00D97528"/>
    <w:rsid w:val="00D979C1"/>
    <w:rsid w:val="00D97D1B"/>
    <w:rsid w:val="00DA45C6"/>
    <w:rsid w:val="00DA5954"/>
    <w:rsid w:val="00DB02FE"/>
    <w:rsid w:val="00DB118D"/>
    <w:rsid w:val="00DB1B8D"/>
    <w:rsid w:val="00DB4444"/>
    <w:rsid w:val="00DB597B"/>
    <w:rsid w:val="00DB74D8"/>
    <w:rsid w:val="00DC09FA"/>
    <w:rsid w:val="00DC0A2F"/>
    <w:rsid w:val="00DC234A"/>
    <w:rsid w:val="00DC278B"/>
    <w:rsid w:val="00DC2E3A"/>
    <w:rsid w:val="00DC55FA"/>
    <w:rsid w:val="00DC63BF"/>
    <w:rsid w:val="00DD18D9"/>
    <w:rsid w:val="00DD1C19"/>
    <w:rsid w:val="00DD50D6"/>
    <w:rsid w:val="00DD534F"/>
    <w:rsid w:val="00DD5852"/>
    <w:rsid w:val="00DE2389"/>
    <w:rsid w:val="00DE49D5"/>
    <w:rsid w:val="00DE73FF"/>
    <w:rsid w:val="00DE7558"/>
    <w:rsid w:val="00DE7793"/>
    <w:rsid w:val="00DF1604"/>
    <w:rsid w:val="00DF22BB"/>
    <w:rsid w:val="00DF48E7"/>
    <w:rsid w:val="00DF5395"/>
    <w:rsid w:val="00DF5EF6"/>
    <w:rsid w:val="00DF7D13"/>
    <w:rsid w:val="00E002CD"/>
    <w:rsid w:val="00E02BAD"/>
    <w:rsid w:val="00E04805"/>
    <w:rsid w:val="00E05C37"/>
    <w:rsid w:val="00E0799A"/>
    <w:rsid w:val="00E10898"/>
    <w:rsid w:val="00E10B22"/>
    <w:rsid w:val="00E10E0C"/>
    <w:rsid w:val="00E13C79"/>
    <w:rsid w:val="00E14419"/>
    <w:rsid w:val="00E15955"/>
    <w:rsid w:val="00E15C21"/>
    <w:rsid w:val="00E1626E"/>
    <w:rsid w:val="00E16B8F"/>
    <w:rsid w:val="00E17CB7"/>
    <w:rsid w:val="00E21319"/>
    <w:rsid w:val="00E21CED"/>
    <w:rsid w:val="00E24E7C"/>
    <w:rsid w:val="00E25032"/>
    <w:rsid w:val="00E26AB0"/>
    <w:rsid w:val="00E27D9C"/>
    <w:rsid w:val="00E30401"/>
    <w:rsid w:val="00E308B7"/>
    <w:rsid w:val="00E32909"/>
    <w:rsid w:val="00E338DF"/>
    <w:rsid w:val="00E341F9"/>
    <w:rsid w:val="00E36FF0"/>
    <w:rsid w:val="00E36FF3"/>
    <w:rsid w:val="00E4121C"/>
    <w:rsid w:val="00E4170A"/>
    <w:rsid w:val="00E43B9C"/>
    <w:rsid w:val="00E440EA"/>
    <w:rsid w:val="00E44D15"/>
    <w:rsid w:val="00E45D9E"/>
    <w:rsid w:val="00E47788"/>
    <w:rsid w:val="00E51152"/>
    <w:rsid w:val="00E51251"/>
    <w:rsid w:val="00E5148D"/>
    <w:rsid w:val="00E5238B"/>
    <w:rsid w:val="00E55FB7"/>
    <w:rsid w:val="00E60C76"/>
    <w:rsid w:val="00E62BA4"/>
    <w:rsid w:val="00E64177"/>
    <w:rsid w:val="00E6476A"/>
    <w:rsid w:val="00E655B6"/>
    <w:rsid w:val="00E65E4F"/>
    <w:rsid w:val="00E72BAC"/>
    <w:rsid w:val="00E74D5D"/>
    <w:rsid w:val="00E75142"/>
    <w:rsid w:val="00E80CE3"/>
    <w:rsid w:val="00E81960"/>
    <w:rsid w:val="00E8415D"/>
    <w:rsid w:val="00E84806"/>
    <w:rsid w:val="00E85A45"/>
    <w:rsid w:val="00E904AD"/>
    <w:rsid w:val="00E91FEB"/>
    <w:rsid w:val="00E943FB"/>
    <w:rsid w:val="00E945E5"/>
    <w:rsid w:val="00E9547E"/>
    <w:rsid w:val="00E95A80"/>
    <w:rsid w:val="00E96594"/>
    <w:rsid w:val="00E969F3"/>
    <w:rsid w:val="00E97EE1"/>
    <w:rsid w:val="00EA4010"/>
    <w:rsid w:val="00EA4F75"/>
    <w:rsid w:val="00EA5801"/>
    <w:rsid w:val="00EA5A24"/>
    <w:rsid w:val="00EA5AB6"/>
    <w:rsid w:val="00EA7FD4"/>
    <w:rsid w:val="00EB0892"/>
    <w:rsid w:val="00EB1E95"/>
    <w:rsid w:val="00EB223D"/>
    <w:rsid w:val="00EB260D"/>
    <w:rsid w:val="00EB4B2A"/>
    <w:rsid w:val="00EB5CAD"/>
    <w:rsid w:val="00EB795F"/>
    <w:rsid w:val="00EB79AB"/>
    <w:rsid w:val="00EC16F3"/>
    <w:rsid w:val="00EC6DA7"/>
    <w:rsid w:val="00ED0EBC"/>
    <w:rsid w:val="00ED1BBB"/>
    <w:rsid w:val="00ED55BB"/>
    <w:rsid w:val="00ED7D4A"/>
    <w:rsid w:val="00EE098B"/>
    <w:rsid w:val="00EE2DC8"/>
    <w:rsid w:val="00EE3AC8"/>
    <w:rsid w:val="00EE48CC"/>
    <w:rsid w:val="00EE79F5"/>
    <w:rsid w:val="00EF0406"/>
    <w:rsid w:val="00EF068F"/>
    <w:rsid w:val="00EF06E5"/>
    <w:rsid w:val="00EF1A4C"/>
    <w:rsid w:val="00EF1ABD"/>
    <w:rsid w:val="00EF2899"/>
    <w:rsid w:val="00EF4BF7"/>
    <w:rsid w:val="00F000D7"/>
    <w:rsid w:val="00F00D7E"/>
    <w:rsid w:val="00F02785"/>
    <w:rsid w:val="00F03051"/>
    <w:rsid w:val="00F056D0"/>
    <w:rsid w:val="00F05D37"/>
    <w:rsid w:val="00F10103"/>
    <w:rsid w:val="00F101B3"/>
    <w:rsid w:val="00F106A4"/>
    <w:rsid w:val="00F12ABD"/>
    <w:rsid w:val="00F200BD"/>
    <w:rsid w:val="00F2043F"/>
    <w:rsid w:val="00F20886"/>
    <w:rsid w:val="00F22263"/>
    <w:rsid w:val="00F25018"/>
    <w:rsid w:val="00F253B0"/>
    <w:rsid w:val="00F2636F"/>
    <w:rsid w:val="00F27AAA"/>
    <w:rsid w:val="00F31FBD"/>
    <w:rsid w:val="00F3259E"/>
    <w:rsid w:val="00F327E7"/>
    <w:rsid w:val="00F348F2"/>
    <w:rsid w:val="00F36306"/>
    <w:rsid w:val="00F363E3"/>
    <w:rsid w:val="00F37788"/>
    <w:rsid w:val="00F37BEF"/>
    <w:rsid w:val="00F4197F"/>
    <w:rsid w:val="00F42637"/>
    <w:rsid w:val="00F531CB"/>
    <w:rsid w:val="00F55523"/>
    <w:rsid w:val="00F556A7"/>
    <w:rsid w:val="00F561BE"/>
    <w:rsid w:val="00F567DB"/>
    <w:rsid w:val="00F56935"/>
    <w:rsid w:val="00F56EB8"/>
    <w:rsid w:val="00F661EA"/>
    <w:rsid w:val="00F67066"/>
    <w:rsid w:val="00F7052A"/>
    <w:rsid w:val="00F7069C"/>
    <w:rsid w:val="00F7070E"/>
    <w:rsid w:val="00F724F7"/>
    <w:rsid w:val="00F72BDE"/>
    <w:rsid w:val="00F730BA"/>
    <w:rsid w:val="00F73349"/>
    <w:rsid w:val="00F7367D"/>
    <w:rsid w:val="00F74249"/>
    <w:rsid w:val="00F75DB8"/>
    <w:rsid w:val="00F7788B"/>
    <w:rsid w:val="00F77EC0"/>
    <w:rsid w:val="00F80B45"/>
    <w:rsid w:val="00F81168"/>
    <w:rsid w:val="00F81B61"/>
    <w:rsid w:val="00F8417C"/>
    <w:rsid w:val="00F8581D"/>
    <w:rsid w:val="00F90A13"/>
    <w:rsid w:val="00F9122D"/>
    <w:rsid w:val="00F9163E"/>
    <w:rsid w:val="00F948FB"/>
    <w:rsid w:val="00F94B64"/>
    <w:rsid w:val="00F96306"/>
    <w:rsid w:val="00FA06D7"/>
    <w:rsid w:val="00FA0978"/>
    <w:rsid w:val="00FA139C"/>
    <w:rsid w:val="00FA14DC"/>
    <w:rsid w:val="00FA1CAD"/>
    <w:rsid w:val="00FA2877"/>
    <w:rsid w:val="00FA2ACC"/>
    <w:rsid w:val="00FA2FCD"/>
    <w:rsid w:val="00FA3D14"/>
    <w:rsid w:val="00FA677B"/>
    <w:rsid w:val="00FA7476"/>
    <w:rsid w:val="00FB1220"/>
    <w:rsid w:val="00FB37FA"/>
    <w:rsid w:val="00FB3A5E"/>
    <w:rsid w:val="00FB5B43"/>
    <w:rsid w:val="00FB5FF6"/>
    <w:rsid w:val="00FB7EB0"/>
    <w:rsid w:val="00FC2731"/>
    <w:rsid w:val="00FC39CB"/>
    <w:rsid w:val="00FC3CFB"/>
    <w:rsid w:val="00FC4C7F"/>
    <w:rsid w:val="00FC60FA"/>
    <w:rsid w:val="00FC7701"/>
    <w:rsid w:val="00FC7C7B"/>
    <w:rsid w:val="00FD070A"/>
    <w:rsid w:val="00FD1973"/>
    <w:rsid w:val="00FD28B7"/>
    <w:rsid w:val="00FD2ACD"/>
    <w:rsid w:val="00FD5196"/>
    <w:rsid w:val="00FD564B"/>
    <w:rsid w:val="00FE4380"/>
    <w:rsid w:val="00FE4733"/>
    <w:rsid w:val="00FE55CC"/>
    <w:rsid w:val="00FE73E9"/>
    <w:rsid w:val="00FF1108"/>
    <w:rsid w:val="00FF489D"/>
    <w:rsid w:val="00FF5CB3"/>
    <w:rsid w:val="00FF6C39"/>
    <w:rsid w:val="00F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2C61"/>
  <w15:docId w15:val="{8D8A809B-C52D-4B79-B3F8-D556DEBC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CFC"/>
    <w:pPr>
      <w:widowControl w:val="0"/>
      <w:jc w:val="both"/>
    </w:pPr>
    <w:rPr>
      <w:kern w:val="2"/>
      <w:sz w:val="21"/>
      <w:szCs w:val="22"/>
    </w:rPr>
  </w:style>
  <w:style w:type="paragraph" w:styleId="1">
    <w:name w:val="heading 1"/>
    <w:basedOn w:val="a"/>
    <w:next w:val="a"/>
    <w:link w:val="1Char"/>
    <w:qFormat/>
    <w:rsid w:val="00EC16F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A720B"/>
    <w:pPr>
      <w:keepNext/>
      <w:keepLines/>
      <w:spacing w:before="260" w:after="260" w:line="360" w:lineRule="auto"/>
      <w:ind w:firstLineChars="200" w:firstLine="482"/>
      <w:outlineLvl w:val="1"/>
    </w:pPr>
    <w:rPr>
      <w:rFonts w:ascii="Cambria" w:hAnsi="Cambria"/>
      <w:b/>
      <w:bCs/>
      <w:sz w:val="24"/>
      <w:szCs w:val="32"/>
    </w:rPr>
  </w:style>
  <w:style w:type="paragraph" w:styleId="3">
    <w:name w:val="heading 3"/>
    <w:aliases w:val="标题样式1"/>
    <w:basedOn w:val="a"/>
    <w:next w:val="a"/>
    <w:link w:val="3Char"/>
    <w:unhideWhenUsed/>
    <w:qFormat/>
    <w:rsid w:val="00954084"/>
    <w:pPr>
      <w:keepNext/>
      <w:keepLines/>
      <w:numPr>
        <w:numId w:val="13"/>
      </w:numPr>
      <w:spacing w:before="260" w:after="260" w:line="360" w:lineRule="auto"/>
      <w:outlineLvl w:val="2"/>
    </w:pPr>
    <w:rPr>
      <w:b/>
      <w:bCs/>
      <w:szCs w:val="32"/>
    </w:rPr>
  </w:style>
  <w:style w:type="paragraph" w:styleId="4">
    <w:name w:val="heading 4"/>
    <w:basedOn w:val="a"/>
    <w:next w:val="a"/>
    <w:link w:val="4Char"/>
    <w:qFormat/>
    <w:rsid w:val="0054586E"/>
    <w:pPr>
      <w:keepNext/>
      <w:keepLines/>
      <w:spacing w:line="360" w:lineRule="auto"/>
      <w:outlineLvl w:val="3"/>
    </w:pPr>
    <w:rPr>
      <w:rFonts w:ascii="Arial" w:hAnsi="Arial"/>
      <w:szCs w:val="20"/>
    </w:rPr>
  </w:style>
  <w:style w:type="paragraph" w:styleId="5">
    <w:name w:val="heading 5"/>
    <w:basedOn w:val="a"/>
    <w:next w:val="a"/>
    <w:link w:val="5Char"/>
    <w:qFormat/>
    <w:rsid w:val="0054586E"/>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Char"/>
    <w:qFormat/>
    <w:rsid w:val="0054586E"/>
    <w:pPr>
      <w:keepNext/>
      <w:keepLines/>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54586E"/>
    <w:pPr>
      <w:keepNext/>
      <w:keepLines/>
      <w:spacing w:before="240" w:after="64" w:line="320" w:lineRule="auto"/>
      <w:outlineLvl w:val="6"/>
    </w:pPr>
    <w:rPr>
      <w:rFonts w:ascii="Times New Roman" w:hAnsi="Times New Roman"/>
      <w:b/>
      <w:sz w:val="24"/>
      <w:szCs w:val="20"/>
    </w:rPr>
  </w:style>
  <w:style w:type="paragraph" w:styleId="8">
    <w:name w:val="heading 8"/>
    <w:basedOn w:val="a"/>
    <w:next w:val="a"/>
    <w:link w:val="8Char"/>
    <w:qFormat/>
    <w:rsid w:val="0054586E"/>
    <w:pPr>
      <w:keepNext/>
      <w:keepLines/>
      <w:spacing w:before="240" w:after="64" w:line="320" w:lineRule="auto"/>
      <w:outlineLvl w:val="7"/>
    </w:pPr>
    <w:rPr>
      <w:rFonts w:ascii="Arial" w:eastAsia="黑体" w:hAnsi="Arial"/>
      <w:sz w:val="24"/>
      <w:szCs w:val="20"/>
    </w:rPr>
  </w:style>
  <w:style w:type="paragraph" w:styleId="9">
    <w:name w:val="heading 9"/>
    <w:basedOn w:val="a"/>
    <w:next w:val="a"/>
    <w:link w:val="9Char"/>
    <w:qFormat/>
    <w:rsid w:val="0054586E"/>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3C79"/>
    <w:rPr>
      <w:sz w:val="18"/>
      <w:szCs w:val="18"/>
    </w:rPr>
  </w:style>
  <w:style w:type="paragraph" w:styleId="a4">
    <w:name w:val="footer"/>
    <w:basedOn w:val="a"/>
    <w:link w:val="Char0"/>
    <w:uiPriority w:val="99"/>
    <w:unhideWhenUsed/>
    <w:rsid w:val="00E13C79"/>
    <w:pPr>
      <w:tabs>
        <w:tab w:val="center" w:pos="4153"/>
        <w:tab w:val="right" w:pos="8306"/>
      </w:tabs>
      <w:snapToGrid w:val="0"/>
      <w:jc w:val="left"/>
    </w:pPr>
    <w:rPr>
      <w:sz w:val="18"/>
      <w:szCs w:val="18"/>
    </w:rPr>
  </w:style>
  <w:style w:type="character" w:customStyle="1" w:styleId="Char0">
    <w:name w:val="页脚 Char"/>
    <w:basedOn w:val="a0"/>
    <w:link w:val="a4"/>
    <w:uiPriority w:val="99"/>
    <w:rsid w:val="00E13C79"/>
    <w:rPr>
      <w:sz w:val="18"/>
      <w:szCs w:val="18"/>
    </w:rPr>
  </w:style>
  <w:style w:type="paragraph" w:styleId="a5">
    <w:name w:val="List Paragraph"/>
    <w:basedOn w:val="a"/>
    <w:uiPriority w:val="34"/>
    <w:qFormat/>
    <w:rsid w:val="008B71D2"/>
    <w:pPr>
      <w:ind w:firstLineChars="200" w:firstLine="420"/>
    </w:pPr>
  </w:style>
  <w:style w:type="character" w:customStyle="1" w:styleId="1Char">
    <w:name w:val="标题 1 Char"/>
    <w:basedOn w:val="a0"/>
    <w:link w:val="1"/>
    <w:rsid w:val="00EC16F3"/>
    <w:rPr>
      <w:b/>
      <w:bCs/>
      <w:kern w:val="44"/>
      <w:sz w:val="44"/>
      <w:szCs w:val="44"/>
    </w:rPr>
  </w:style>
  <w:style w:type="paragraph" w:styleId="a6">
    <w:name w:val="Document Map"/>
    <w:basedOn w:val="a"/>
    <w:link w:val="Char1"/>
    <w:uiPriority w:val="99"/>
    <w:semiHidden/>
    <w:unhideWhenUsed/>
    <w:rsid w:val="00EC16F3"/>
    <w:rPr>
      <w:rFonts w:ascii="宋体"/>
      <w:sz w:val="18"/>
      <w:szCs w:val="18"/>
    </w:rPr>
  </w:style>
  <w:style w:type="character" w:customStyle="1" w:styleId="Char1">
    <w:name w:val="文档结构图 Char"/>
    <w:basedOn w:val="a0"/>
    <w:link w:val="a6"/>
    <w:uiPriority w:val="99"/>
    <w:semiHidden/>
    <w:rsid w:val="00EC16F3"/>
    <w:rPr>
      <w:rFonts w:ascii="宋体" w:eastAsia="宋体"/>
      <w:sz w:val="18"/>
      <w:szCs w:val="18"/>
    </w:rPr>
  </w:style>
  <w:style w:type="character" w:customStyle="1" w:styleId="2Char">
    <w:name w:val="标题 2 Char"/>
    <w:basedOn w:val="a0"/>
    <w:link w:val="2"/>
    <w:rsid w:val="007A720B"/>
    <w:rPr>
      <w:rFonts w:ascii="Cambria" w:eastAsia="宋体" w:hAnsi="Cambria" w:cs="Times New Roman"/>
      <w:b/>
      <w:bCs/>
      <w:sz w:val="24"/>
      <w:szCs w:val="32"/>
    </w:rPr>
  </w:style>
  <w:style w:type="character" w:customStyle="1" w:styleId="3Char">
    <w:name w:val="标题 3 Char"/>
    <w:aliases w:val="标题样式1 Char"/>
    <w:basedOn w:val="a0"/>
    <w:link w:val="3"/>
    <w:rsid w:val="00954084"/>
    <w:rPr>
      <w:b/>
      <w:bCs/>
      <w:kern w:val="2"/>
      <w:sz w:val="21"/>
      <w:szCs w:val="32"/>
    </w:rPr>
  </w:style>
  <w:style w:type="paragraph" w:styleId="10">
    <w:name w:val="toc 1"/>
    <w:basedOn w:val="a"/>
    <w:next w:val="a"/>
    <w:autoRedefine/>
    <w:uiPriority w:val="39"/>
    <w:unhideWhenUsed/>
    <w:rsid w:val="00E91FEB"/>
    <w:pPr>
      <w:spacing w:before="120" w:after="120"/>
      <w:jc w:val="left"/>
    </w:pPr>
    <w:rPr>
      <w:b/>
      <w:bCs/>
      <w:caps/>
      <w:sz w:val="20"/>
      <w:szCs w:val="20"/>
    </w:rPr>
  </w:style>
  <w:style w:type="paragraph" w:styleId="20">
    <w:name w:val="toc 2"/>
    <w:basedOn w:val="a"/>
    <w:next w:val="a"/>
    <w:autoRedefine/>
    <w:uiPriority w:val="39"/>
    <w:unhideWhenUsed/>
    <w:rsid w:val="00E91FEB"/>
    <w:pPr>
      <w:ind w:left="210"/>
      <w:jc w:val="left"/>
    </w:pPr>
    <w:rPr>
      <w:smallCaps/>
      <w:sz w:val="20"/>
      <w:szCs w:val="20"/>
    </w:rPr>
  </w:style>
  <w:style w:type="paragraph" w:styleId="30">
    <w:name w:val="toc 3"/>
    <w:basedOn w:val="a"/>
    <w:next w:val="a"/>
    <w:autoRedefine/>
    <w:uiPriority w:val="39"/>
    <w:unhideWhenUsed/>
    <w:rsid w:val="00E91FEB"/>
    <w:pPr>
      <w:ind w:left="420"/>
      <w:jc w:val="left"/>
    </w:pPr>
    <w:rPr>
      <w:i/>
      <w:iCs/>
      <w:sz w:val="20"/>
      <w:szCs w:val="20"/>
    </w:rPr>
  </w:style>
  <w:style w:type="paragraph" w:styleId="40">
    <w:name w:val="toc 4"/>
    <w:basedOn w:val="a"/>
    <w:next w:val="a"/>
    <w:autoRedefine/>
    <w:uiPriority w:val="39"/>
    <w:unhideWhenUsed/>
    <w:rsid w:val="00E91FEB"/>
    <w:pPr>
      <w:ind w:left="630"/>
      <w:jc w:val="left"/>
    </w:pPr>
    <w:rPr>
      <w:sz w:val="18"/>
      <w:szCs w:val="18"/>
    </w:rPr>
  </w:style>
  <w:style w:type="paragraph" w:styleId="50">
    <w:name w:val="toc 5"/>
    <w:basedOn w:val="a"/>
    <w:next w:val="a"/>
    <w:autoRedefine/>
    <w:uiPriority w:val="39"/>
    <w:unhideWhenUsed/>
    <w:rsid w:val="00E91FEB"/>
    <w:pPr>
      <w:ind w:left="840"/>
      <w:jc w:val="left"/>
    </w:pPr>
    <w:rPr>
      <w:sz w:val="18"/>
      <w:szCs w:val="18"/>
    </w:rPr>
  </w:style>
  <w:style w:type="paragraph" w:styleId="60">
    <w:name w:val="toc 6"/>
    <w:basedOn w:val="a"/>
    <w:next w:val="a"/>
    <w:autoRedefine/>
    <w:uiPriority w:val="39"/>
    <w:unhideWhenUsed/>
    <w:rsid w:val="00E91FEB"/>
    <w:pPr>
      <w:ind w:left="1050"/>
      <w:jc w:val="left"/>
    </w:pPr>
    <w:rPr>
      <w:sz w:val="18"/>
      <w:szCs w:val="18"/>
    </w:rPr>
  </w:style>
  <w:style w:type="paragraph" w:styleId="70">
    <w:name w:val="toc 7"/>
    <w:basedOn w:val="a"/>
    <w:next w:val="a"/>
    <w:autoRedefine/>
    <w:uiPriority w:val="39"/>
    <w:unhideWhenUsed/>
    <w:rsid w:val="00E91FEB"/>
    <w:pPr>
      <w:ind w:left="1260"/>
      <w:jc w:val="left"/>
    </w:pPr>
    <w:rPr>
      <w:sz w:val="18"/>
      <w:szCs w:val="18"/>
    </w:rPr>
  </w:style>
  <w:style w:type="paragraph" w:styleId="80">
    <w:name w:val="toc 8"/>
    <w:basedOn w:val="a"/>
    <w:next w:val="a"/>
    <w:autoRedefine/>
    <w:uiPriority w:val="39"/>
    <w:unhideWhenUsed/>
    <w:rsid w:val="00E91FEB"/>
    <w:pPr>
      <w:ind w:left="1470"/>
      <w:jc w:val="left"/>
    </w:pPr>
    <w:rPr>
      <w:sz w:val="18"/>
      <w:szCs w:val="18"/>
    </w:rPr>
  </w:style>
  <w:style w:type="paragraph" w:styleId="90">
    <w:name w:val="toc 9"/>
    <w:basedOn w:val="a"/>
    <w:next w:val="a"/>
    <w:autoRedefine/>
    <w:uiPriority w:val="39"/>
    <w:unhideWhenUsed/>
    <w:rsid w:val="00E91FEB"/>
    <w:pPr>
      <w:ind w:left="1680"/>
      <w:jc w:val="left"/>
    </w:pPr>
    <w:rPr>
      <w:sz w:val="18"/>
      <w:szCs w:val="18"/>
    </w:rPr>
  </w:style>
  <w:style w:type="character" w:styleId="a7">
    <w:name w:val="Hyperlink"/>
    <w:basedOn w:val="a0"/>
    <w:uiPriority w:val="99"/>
    <w:unhideWhenUsed/>
    <w:rsid w:val="00E91FEB"/>
    <w:rPr>
      <w:color w:val="0000FF"/>
      <w:u w:val="single"/>
    </w:rPr>
  </w:style>
  <w:style w:type="character" w:styleId="a8">
    <w:name w:val="annotation reference"/>
    <w:basedOn w:val="a0"/>
    <w:uiPriority w:val="99"/>
    <w:unhideWhenUsed/>
    <w:rsid w:val="009A16AB"/>
    <w:rPr>
      <w:sz w:val="21"/>
      <w:szCs w:val="21"/>
    </w:rPr>
  </w:style>
  <w:style w:type="paragraph" w:styleId="a9">
    <w:name w:val="annotation text"/>
    <w:basedOn w:val="a"/>
    <w:link w:val="Char2"/>
    <w:unhideWhenUsed/>
    <w:rsid w:val="009A16AB"/>
    <w:pPr>
      <w:jc w:val="left"/>
    </w:pPr>
  </w:style>
  <w:style w:type="character" w:customStyle="1" w:styleId="Char2">
    <w:name w:val="批注文字 Char"/>
    <w:basedOn w:val="a0"/>
    <w:link w:val="a9"/>
    <w:rsid w:val="009A16AB"/>
  </w:style>
  <w:style w:type="paragraph" w:styleId="aa">
    <w:name w:val="annotation subject"/>
    <w:basedOn w:val="a9"/>
    <w:next w:val="a9"/>
    <w:link w:val="Char3"/>
    <w:uiPriority w:val="99"/>
    <w:semiHidden/>
    <w:unhideWhenUsed/>
    <w:rsid w:val="009A16AB"/>
    <w:rPr>
      <w:b/>
      <w:bCs/>
    </w:rPr>
  </w:style>
  <w:style w:type="character" w:customStyle="1" w:styleId="Char3">
    <w:name w:val="批注主题 Char"/>
    <w:basedOn w:val="Char2"/>
    <w:link w:val="aa"/>
    <w:uiPriority w:val="99"/>
    <w:semiHidden/>
    <w:rsid w:val="009A16AB"/>
    <w:rPr>
      <w:b/>
      <w:bCs/>
    </w:rPr>
  </w:style>
  <w:style w:type="paragraph" w:styleId="ab">
    <w:name w:val="Balloon Text"/>
    <w:basedOn w:val="a"/>
    <w:link w:val="Char4"/>
    <w:uiPriority w:val="99"/>
    <w:semiHidden/>
    <w:unhideWhenUsed/>
    <w:rsid w:val="009A16AB"/>
    <w:rPr>
      <w:sz w:val="18"/>
      <w:szCs w:val="18"/>
    </w:rPr>
  </w:style>
  <w:style w:type="character" w:customStyle="1" w:styleId="Char4">
    <w:name w:val="批注框文本 Char"/>
    <w:basedOn w:val="a0"/>
    <w:link w:val="ab"/>
    <w:uiPriority w:val="99"/>
    <w:semiHidden/>
    <w:rsid w:val="009A16AB"/>
    <w:rPr>
      <w:sz w:val="18"/>
      <w:szCs w:val="18"/>
    </w:rPr>
  </w:style>
  <w:style w:type="paragraph" w:styleId="ac">
    <w:name w:val="Plain Text"/>
    <w:basedOn w:val="a"/>
    <w:link w:val="Char5"/>
    <w:rsid w:val="00897925"/>
    <w:rPr>
      <w:rFonts w:ascii="宋体" w:hAnsi="Courier New" w:cs="Courier New"/>
      <w:szCs w:val="21"/>
    </w:rPr>
  </w:style>
  <w:style w:type="character" w:customStyle="1" w:styleId="Char5">
    <w:name w:val="纯文本 Char"/>
    <w:basedOn w:val="a0"/>
    <w:link w:val="ac"/>
    <w:rsid w:val="00897925"/>
    <w:rPr>
      <w:rFonts w:ascii="宋体" w:eastAsia="宋体" w:hAnsi="Courier New" w:cs="Courier New"/>
      <w:szCs w:val="21"/>
    </w:rPr>
  </w:style>
  <w:style w:type="character" w:customStyle="1" w:styleId="4Char">
    <w:name w:val="标题 4 Char"/>
    <w:basedOn w:val="a0"/>
    <w:link w:val="4"/>
    <w:rsid w:val="0054586E"/>
    <w:rPr>
      <w:rFonts w:ascii="Arial" w:eastAsia="宋体" w:hAnsi="Arial" w:cs="Times New Roman"/>
      <w:szCs w:val="20"/>
    </w:rPr>
  </w:style>
  <w:style w:type="character" w:customStyle="1" w:styleId="5Char">
    <w:name w:val="标题 5 Char"/>
    <w:basedOn w:val="a0"/>
    <w:link w:val="5"/>
    <w:rsid w:val="0054586E"/>
    <w:rPr>
      <w:rFonts w:ascii="Times New Roman" w:eastAsia="宋体" w:hAnsi="Times New Roman" w:cs="Times New Roman"/>
      <w:szCs w:val="20"/>
    </w:rPr>
  </w:style>
  <w:style w:type="character" w:customStyle="1" w:styleId="6Char">
    <w:name w:val="标题 6 Char"/>
    <w:basedOn w:val="a0"/>
    <w:link w:val="6"/>
    <w:rsid w:val="0054586E"/>
    <w:rPr>
      <w:rFonts w:ascii="Arial" w:eastAsia="黑体" w:hAnsi="Arial" w:cs="Times New Roman"/>
      <w:b/>
      <w:sz w:val="24"/>
      <w:szCs w:val="20"/>
    </w:rPr>
  </w:style>
  <w:style w:type="character" w:customStyle="1" w:styleId="7Char">
    <w:name w:val="标题 7 Char"/>
    <w:basedOn w:val="a0"/>
    <w:link w:val="7"/>
    <w:rsid w:val="0054586E"/>
    <w:rPr>
      <w:rFonts w:ascii="Times New Roman" w:eastAsia="宋体" w:hAnsi="Times New Roman" w:cs="Times New Roman"/>
      <w:b/>
      <w:sz w:val="24"/>
      <w:szCs w:val="20"/>
    </w:rPr>
  </w:style>
  <w:style w:type="character" w:customStyle="1" w:styleId="8Char">
    <w:name w:val="标题 8 Char"/>
    <w:basedOn w:val="a0"/>
    <w:link w:val="8"/>
    <w:rsid w:val="0054586E"/>
    <w:rPr>
      <w:rFonts w:ascii="Arial" w:eastAsia="黑体" w:hAnsi="Arial" w:cs="Times New Roman"/>
      <w:sz w:val="24"/>
      <w:szCs w:val="20"/>
    </w:rPr>
  </w:style>
  <w:style w:type="character" w:customStyle="1" w:styleId="9Char">
    <w:name w:val="标题 9 Char"/>
    <w:basedOn w:val="a0"/>
    <w:link w:val="9"/>
    <w:rsid w:val="0054586E"/>
    <w:rPr>
      <w:rFonts w:ascii="Arial" w:eastAsia="黑体" w:hAnsi="Arial" w:cs="Times New Roman"/>
      <w:szCs w:val="20"/>
    </w:rPr>
  </w:style>
  <w:style w:type="character" w:styleId="ad">
    <w:name w:val="page number"/>
    <w:basedOn w:val="a0"/>
    <w:rsid w:val="009078FE"/>
  </w:style>
  <w:style w:type="character" w:customStyle="1" w:styleId="da">
    <w:name w:val="da"/>
    <w:basedOn w:val="a0"/>
    <w:qFormat/>
    <w:rsid w:val="003104E0"/>
  </w:style>
  <w:style w:type="character" w:customStyle="1" w:styleId="Char10">
    <w:name w:val="纯文本 Char1"/>
    <w:basedOn w:val="a0"/>
    <w:semiHidden/>
    <w:locked/>
    <w:rsid w:val="00AA7E59"/>
    <w:rPr>
      <w:rFonts w:ascii="宋体" w:hAnsi="Courier New" w:cs="Courier New"/>
      <w:kern w:val="2"/>
      <w:sz w:val="21"/>
      <w:szCs w:val="21"/>
    </w:rPr>
  </w:style>
  <w:style w:type="paragraph" w:customStyle="1" w:styleId="ae">
    <w:name w:val="特点"/>
    <w:aliases w:val="表正文,正文非缩进,段1"/>
    <w:basedOn w:val="a"/>
    <w:next w:val="af"/>
    <w:rsid w:val="00606FA7"/>
    <w:pPr>
      <w:ind w:firstLine="420"/>
    </w:pPr>
    <w:rPr>
      <w:rFonts w:ascii="Times New Roman" w:hAnsi="Times New Roman"/>
      <w:szCs w:val="20"/>
    </w:rPr>
  </w:style>
  <w:style w:type="paragraph" w:styleId="af">
    <w:name w:val="Normal Indent"/>
    <w:aliases w:val="正文缩进1,ALT+Z"/>
    <w:basedOn w:val="a"/>
    <w:semiHidden/>
    <w:unhideWhenUsed/>
    <w:rsid w:val="00606FA7"/>
    <w:pPr>
      <w:ind w:firstLineChars="200" w:firstLine="420"/>
    </w:pPr>
  </w:style>
  <w:style w:type="paragraph" w:customStyle="1" w:styleId="Default">
    <w:name w:val="Default"/>
    <w:rsid w:val="00131817"/>
    <w:pPr>
      <w:widowControl w:val="0"/>
      <w:autoSpaceDE w:val="0"/>
      <w:autoSpaceDN w:val="0"/>
      <w:adjustRightInd w:val="0"/>
    </w:pPr>
    <w:rPr>
      <w:rFonts w:ascii="宋体" w:cs="宋体"/>
      <w:color w:val="000000"/>
      <w:sz w:val="24"/>
      <w:szCs w:val="24"/>
    </w:rPr>
  </w:style>
  <w:style w:type="paragraph" w:styleId="HTML">
    <w:name w:val="HTML Preformatted"/>
    <w:basedOn w:val="a"/>
    <w:link w:val="HTMLChar"/>
    <w:uiPriority w:val="99"/>
    <w:unhideWhenUsed/>
    <w:rsid w:val="00987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Char">
    <w:name w:val="HTML 预设格式 Char"/>
    <w:basedOn w:val="a0"/>
    <w:link w:val="HTML"/>
    <w:uiPriority w:val="99"/>
    <w:rsid w:val="009879DD"/>
    <w:rPr>
      <w:rFonts w:ascii="Courier New" w:hAnsi="Courier New"/>
    </w:rPr>
  </w:style>
  <w:style w:type="paragraph" w:styleId="af0">
    <w:name w:val="Body Text"/>
    <w:basedOn w:val="a"/>
    <w:link w:val="Char6"/>
    <w:uiPriority w:val="99"/>
    <w:semiHidden/>
    <w:unhideWhenUsed/>
    <w:rsid w:val="00CD3CC3"/>
    <w:pPr>
      <w:spacing w:after="120"/>
    </w:pPr>
  </w:style>
  <w:style w:type="character" w:customStyle="1" w:styleId="Char6">
    <w:name w:val="正文文本 Char"/>
    <w:basedOn w:val="a0"/>
    <w:link w:val="af0"/>
    <w:uiPriority w:val="99"/>
    <w:semiHidden/>
    <w:rsid w:val="00CD3CC3"/>
    <w:rPr>
      <w:kern w:val="2"/>
      <w:sz w:val="21"/>
      <w:szCs w:val="22"/>
    </w:rPr>
  </w:style>
  <w:style w:type="paragraph" w:styleId="af1">
    <w:name w:val="Body Text First Indent"/>
    <w:basedOn w:val="af0"/>
    <w:link w:val="Char7"/>
    <w:rsid w:val="00CD3CC3"/>
    <w:pPr>
      <w:ind w:firstLineChars="100" w:firstLine="420"/>
    </w:pPr>
    <w:rPr>
      <w:rFonts w:ascii="Times New Roman" w:hAnsi="Times New Roman"/>
      <w:szCs w:val="24"/>
    </w:rPr>
  </w:style>
  <w:style w:type="character" w:customStyle="1" w:styleId="Char7">
    <w:name w:val="正文首行缩进 Char"/>
    <w:basedOn w:val="Char6"/>
    <w:link w:val="af1"/>
    <w:rsid w:val="00CD3CC3"/>
    <w:rPr>
      <w:rFonts w:ascii="Times New Roman" w:hAnsi="Times New Roman"/>
      <w:kern w:val="2"/>
      <w:sz w:val="21"/>
      <w:szCs w:val="24"/>
    </w:rPr>
  </w:style>
  <w:style w:type="paragraph" w:customStyle="1" w:styleId="11">
    <w:name w:val="样式 标题 1 + 黑体 非加粗"/>
    <w:basedOn w:val="1"/>
    <w:rsid w:val="00365038"/>
    <w:pPr>
      <w:keepLines w:val="0"/>
      <w:pageBreakBefore/>
      <w:spacing w:beforeLines="100" w:afterLines="100" w:line="240" w:lineRule="auto"/>
      <w:ind w:firstLineChars="200" w:firstLine="200"/>
      <w:jc w:val="center"/>
    </w:pPr>
    <w:rPr>
      <w:rFonts w:ascii="黑体" w:eastAsia="黑体" w:hAnsi="黑体"/>
      <w:bCs w:val="0"/>
      <w:kern w:val="2"/>
      <w:sz w:val="32"/>
      <w:szCs w:val="32"/>
    </w:rPr>
  </w:style>
  <w:style w:type="paragraph" w:styleId="af2">
    <w:name w:val="Date"/>
    <w:basedOn w:val="a"/>
    <w:next w:val="a"/>
    <w:link w:val="Char8"/>
    <w:uiPriority w:val="99"/>
    <w:semiHidden/>
    <w:unhideWhenUsed/>
    <w:rsid w:val="00815488"/>
    <w:pPr>
      <w:ind w:leftChars="2500" w:left="100"/>
    </w:pPr>
  </w:style>
  <w:style w:type="character" w:customStyle="1" w:styleId="Char8">
    <w:name w:val="日期 Char"/>
    <w:basedOn w:val="a0"/>
    <w:link w:val="af2"/>
    <w:uiPriority w:val="99"/>
    <w:semiHidden/>
    <w:rsid w:val="00815488"/>
    <w:rPr>
      <w:kern w:val="2"/>
      <w:sz w:val="21"/>
      <w:szCs w:val="22"/>
    </w:rPr>
  </w:style>
  <w:style w:type="paragraph" w:styleId="af3">
    <w:name w:val="Revision"/>
    <w:hidden/>
    <w:uiPriority w:val="99"/>
    <w:semiHidden/>
    <w:rsid w:val="00597284"/>
    <w:rPr>
      <w:kern w:val="2"/>
      <w:sz w:val="21"/>
      <w:szCs w:val="22"/>
    </w:rPr>
  </w:style>
  <w:style w:type="character" w:styleId="af4">
    <w:name w:val="FollowedHyperlink"/>
    <w:basedOn w:val="a0"/>
    <w:uiPriority w:val="99"/>
    <w:semiHidden/>
    <w:unhideWhenUsed/>
    <w:rsid w:val="00631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575">
      <w:bodyDiv w:val="1"/>
      <w:marLeft w:val="0"/>
      <w:marRight w:val="0"/>
      <w:marTop w:val="0"/>
      <w:marBottom w:val="0"/>
      <w:divBdr>
        <w:top w:val="none" w:sz="0" w:space="0" w:color="auto"/>
        <w:left w:val="none" w:sz="0" w:space="0" w:color="auto"/>
        <w:bottom w:val="none" w:sz="0" w:space="0" w:color="auto"/>
        <w:right w:val="none" w:sz="0" w:space="0" w:color="auto"/>
      </w:divBdr>
    </w:div>
    <w:div w:id="21706347">
      <w:bodyDiv w:val="1"/>
      <w:marLeft w:val="0"/>
      <w:marRight w:val="0"/>
      <w:marTop w:val="0"/>
      <w:marBottom w:val="0"/>
      <w:divBdr>
        <w:top w:val="none" w:sz="0" w:space="0" w:color="auto"/>
        <w:left w:val="none" w:sz="0" w:space="0" w:color="auto"/>
        <w:bottom w:val="none" w:sz="0" w:space="0" w:color="auto"/>
        <w:right w:val="none" w:sz="0" w:space="0" w:color="auto"/>
      </w:divBdr>
    </w:div>
    <w:div w:id="43406595">
      <w:bodyDiv w:val="1"/>
      <w:marLeft w:val="0"/>
      <w:marRight w:val="0"/>
      <w:marTop w:val="0"/>
      <w:marBottom w:val="0"/>
      <w:divBdr>
        <w:top w:val="none" w:sz="0" w:space="0" w:color="auto"/>
        <w:left w:val="none" w:sz="0" w:space="0" w:color="auto"/>
        <w:bottom w:val="none" w:sz="0" w:space="0" w:color="auto"/>
        <w:right w:val="none" w:sz="0" w:space="0" w:color="auto"/>
      </w:divBdr>
    </w:div>
    <w:div w:id="50276137">
      <w:bodyDiv w:val="1"/>
      <w:marLeft w:val="0"/>
      <w:marRight w:val="0"/>
      <w:marTop w:val="0"/>
      <w:marBottom w:val="0"/>
      <w:divBdr>
        <w:top w:val="none" w:sz="0" w:space="0" w:color="auto"/>
        <w:left w:val="none" w:sz="0" w:space="0" w:color="auto"/>
        <w:bottom w:val="none" w:sz="0" w:space="0" w:color="auto"/>
        <w:right w:val="none" w:sz="0" w:space="0" w:color="auto"/>
      </w:divBdr>
    </w:div>
    <w:div w:id="52042956">
      <w:bodyDiv w:val="1"/>
      <w:marLeft w:val="0"/>
      <w:marRight w:val="0"/>
      <w:marTop w:val="0"/>
      <w:marBottom w:val="0"/>
      <w:divBdr>
        <w:top w:val="none" w:sz="0" w:space="0" w:color="auto"/>
        <w:left w:val="none" w:sz="0" w:space="0" w:color="auto"/>
        <w:bottom w:val="none" w:sz="0" w:space="0" w:color="auto"/>
        <w:right w:val="none" w:sz="0" w:space="0" w:color="auto"/>
      </w:divBdr>
    </w:div>
    <w:div w:id="87234321">
      <w:bodyDiv w:val="1"/>
      <w:marLeft w:val="0"/>
      <w:marRight w:val="0"/>
      <w:marTop w:val="0"/>
      <w:marBottom w:val="0"/>
      <w:divBdr>
        <w:top w:val="none" w:sz="0" w:space="0" w:color="auto"/>
        <w:left w:val="none" w:sz="0" w:space="0" w:color="auto"/>
        <w:bottom w:val="none" w:sz="0" w:space="0" w:color="auto"/>
        <w:right w:val="none" w:sz="0" w:space="0" w:color="auto"/>
      </w:divBdr>
    </w:div>
    <w:div w:id="92166698">
      <w:bodyDiv w:val="1"/>
      <w:marLeft w:val="0"/>
      <w:marRight w:val="0"/>
      <w:marTop w:val="0"/>
      <w:marBottom w:val="0"/>
      <w:divBdr>
        <w:top w:val="none" w:sz="0" w:space="0" w:color="auto"/>
        <w:left w:val="none" w:sz="0" w:space="0" w:color="auto"/>
        <w:bottom w:val="none" w:sz="0" w:space="0" w:color="auto"/>
        <w:right w:val="none" w:sz="0" w:space="0" w:color="auto"/>
      </w:divBdr>
    </w:div>
    <w:div w:id="147980424">
      <w:bodyDiv w:val="1"/>
      <w:marLeft w:val="0"/>
      <w:marRight w:val="0"/>
      <w:marTop w:val="0"/>
      <w:marBottom w:val="0"/>
      <w:divBdr>
        <w:top w:val="none" w:sz="0" w:space="0" w:color="auto"/>
        <w:left w:val="none" w:sz="0" w:space="0" w:color="auto"/>
        <w:bottom w:val="none" w:sz="0" w:space="0" w:color="auto"/>
        <w:right w:val="none" w:sz="0" w:space="0" w:color="auto"/>
      </w:divBdr>
    </w:div>
    <w:div w:id="153499830">
      <w:bodyDiv w:val="1"/>
      <w:marLeft w:val="0"/>
      <w:marRight w:val="0"/>
      <w:marTop w:val="0"/>
      <w:marBottom w:val="0"/>
      <w:divBdr>
        <w:top w:val="none" w:sz="0" w:space="0" w:color="auto"/>
        <w:left w:val="none" w:sz="0" w:space="0" w:color="auto"/>
        <w:bottom w:val="none" w:sz="0" w:space="0" w:color="auto"/>
        <w:right w:val="none" w:sz="0" w:space="0" w:color="auto"/>
      </w:divBdr>
    </w:div>
    <w:div w:id="179243775">
      <w:bodyDiv w:val="1"/>
      <w:marLeft w:val="0"/>
      <w:marRight w:val="0"/>
      <w:marTop w:val="0"/>
      <w:marBottom w:val="0"/>
      <w:divBdr>
        <w:top w:val="none" w:sz="0" w:space="0" w:color="auto"/>
        <w:left w:val="none" w:sz="0" w:space="0" w:color="auto"/>
        <w:bottom w:val="none" w:sz="0" w:space="0" w:color="auto"/>
        <w:right w:val="none" w:sz="0" w:space="0" w:color="auto"/>
      </w:divBdr>
    </w:div>
    <w:div w:id="196045820">
      <w:bodyDiv w:val="1"/>
      <w:marLeft w:val="0"/>
      <w:marRight w:val="0"/>
      <w:marTop w:val="0"/>
      <w:marBottom w:val="0"/>
      <w:divBdr>
        <w:top w:val="none" w:sz="0" w:space="0" w:color="auto"/>
        <w:left w:val="none" w:sz="0" w:space="0" w:color="auto"/>
        <w:bottom w:val="none" w:sz="0" w:space="0" w:color="auto"/>
        <w:right w:val="none" w:sz="0" w:space="0" w:color="auto"/>
      </w:divBdr>
    </w:div>
    <w:div w:id="214588968">
      <w:bodyDiv w:val="1"/>
      <w:marLeft w:val="0"/>
      <w:marRight w:val="0"/>
      <w:marTop w:val="0"/>
      <w:marBottom w:val="0"/>
      <w:divBdr>
        <w:top w:val="none" w:sz="0" w:space="0" w:color="auto"/>
        <w:left w:val="none" w:sz="0" w:space="0" w:color="auto"/>
        <w:bottom w:val="none" w:sz="0" w:space="0" w:color="auto"/>
        <w:right w:val="none" w:sz="0" w:space="0" w:color="auto"/>
      </w:divBdr>
    </w:div>
    <w:div w:id="234628779">
      <w:bodyDiv w:val="1"/>
      <w:marLeft w:val="0"/>
      <w:marRight w:val="0"/>
      <w:marTop w:val="0"/>
      <w:marBottom w:val="0"/>
      <w:divBdr>
        <w:top w:val="none" w:sz="0" w:space="0" w:color="auto"/>
        <w:left w:val="none" w:sz="0" w:space="0" w:color="auto"/>
        <w:bottom w:val="none" w:sz="0" w:space="0" w:color="auto"/>
        <w:right w:val="none" w:sz="0" w:space="0" w:color="auto"/>
      </w:divBdr>
    </w:div>
    <w:div w:id="236207972">
      <w:bodyDiv w:val="1"/>
      <w:marLeft w:val="0"/>
      <w:marRight w:val="0"/>
      <w:marTop w:val="0"/>
      <w:marBottom w:val="0"/>
      <w:divBdr>
        <w:top w:val="none" w:sz="0" w:space="0" w:color="auto"/>
        <w:left w:val="none" w:sz="0" w:space="0" w:color="auto"/>
        <w:bottom w:val="none" w:sz="0" w:space="0" w:color="auto"/>
        <w:right w:val="none" w:sz="0" w:space="0" w:color="auto"/>
      </w:divBdr>
    </w:div>
    <w:div w:id="257913569">
      <w:bodyDiv w:val="1"/>
      <w:marLeft w:val="0"/>
      <w:marRight w:val="0"/>
      <w:marTop w:val="0"/>
      <w:marBottom w:val="0"/>
      <w:divBdr>
        <w:top w:val="none" w:sz="0" w:space="0" w:color="auto"/>
        <w:left w:val="none" w:sz="0" w:space="0" w:color="auto"/>
        <w:bottom w:val="none" w:sz="0" w:space="0" w:color="auto"/>
        <w:right w:val="none" w:sz="0" w:space="0" w:color="auto"/>
      </w:divBdr>
    </w:div>
    <w:div w:id="320237551">
      <w:bodyDiv w:val="1"/>
      <w:marLeft w:val="0"/>
      <w:marRight w:val="0"/>
      <w:marTop w:val="0"/>
      <w:marBottom w:val="0"/>
      <w:divBdr>
        <w:top w:val="none" w:sz="0" w:space="0" w:color="auto"/>
        <w:left w:val="none" w:sz="0" w:space="0" w:color="auto"/>
        <w:bottom w:val="none" w:sz="0" w:space="0" w:color="auto"/>
        <w:right w:val="none" w:sz="0" w:space="0" w:color="auto"/>
      </w:divBdr>
    </w:div>
    <w:div w:id="326445951">
      <w:bodyDiv w:val="1"/>
      <w:marLeft w:val="0"/>
      <w:marRight w:val="0"/>
      <w:marTop w:val="0"/>
      <w:marBottom w:val="0"/>
      <w:divBdr>
        <w:top w:val="none" w:sz="0" w:space="0" w:color="auto"/>
        <w:left w:val="none" w:sz="0" w:space="0" w:color="auto"/>
        <w:bottom w:val="none" w:sz="0" w:space="0" w:color="auto"/>
        <w:right w:val="none" w:sz="0" w:space="0" w:color="auto"/>
      </w:divBdr>
    </w:div>
    <w:div w:id="332491808">
      <w:bodyDiv w:val="1"/>
      <w:marLeft w:val="0"/>
      <w:marRight w:val="0"/>
      <w:marTop w:val="0"/>
      <w:marBottom w:val="0"/>
      <w:divBdr>
        <w:top w:val="none" w:sz="0" w:space="0" w:color="auto"/>
        <w:left w:val="none" w:sz="0" w:space="0" w:color="auto"/>
        <w:bottom w:val="none" w:sz="0" w:space="0" w:color="auto"/>
        <w:right w:val="none" w:sz="0" w:space="0" w:color="auto"/>
      </w:divBdr>
    </w:div>
    <w:div w:id="351690554">
      <w:bodyDiv w:val="1"/>
      <w:marLeft w:val="0"/>
      <w:marRight w:val="0"/>
      <w:marTop w:val="0"/>
      <w:marBottom w:val="0"/>
      <w:divBdr>
        <w:top w:val="none" w:sz="0" w:space="0" w:color="auto"/>
        <w:left w:val="none" w:sz="0" w:space="0" w:color="auto"/>
        <w:bottom w:val="none" w:sz="0" w:space="0" w:color="auto"/>
        <w:right w:val="none" w:sz="0" w:space="0" w:color="auto"/>
      </w:divBdr>
    </w:div>
    <w:div w:id="352847416">
      <w:bodyDiv w:val="1"/>
      <w:marLeft w:val="0"/>
      <w:marRight w:val="0"/>
      <w:marTop w:val="0"/>
      <w:marBottom w:val="0"/>
      <w:divBdr>
        <w:top w:val="none" w:sz="0" w:space="0" w:color="auto"/>
        <w:left w:val="none" w:sz="0" w:space="0" w:color="auto"/>
        <w:bottom w:val="none" w:sz="0" w:space="0" w:color="auto"/>
        <w:right w:val="none" w:sz="0" w:space="0" w:color="auto"/>
      </w:divBdr>
    </w:div>
    <w:div w:id="356666245">
      <w:bodyDiv w:val="1"/>
      <w:marLeft w:val="0"/>
      <w:marRight w:val="0"/>
      <w:marTop w:val="0"/>
      <w:marBottom w:val="0"/>
      <w:divBdr>
        <w:top w:val="none" w:sz="0" w:space="0" w:color="auto"/>
        <w:left w:val="none" w:sz="0" w:space="0" w:color="auto"/>
        <w:bottom w:val="none" w:sz="0" w:space="0" w:color="auto"/>
        <w:right w:val="none" w:sz="0" w:space="0" w:color="auto"/>
      </w:divBdr>
    </w:div>
    <w:div w:id="358240339">
      <w:bodyDiv w:val="1"/>
      <w:marLeft w:val="0"/>
      <w:marRight w:val="0"/>
      <w:marTop w:val="0"/>
      <w:marBottom w:val="0"/>
      <w:divBdr>
        <w:top w:val="none" w:sz="0" w:space="0" w:color="auto"/>
        <w:left w:val="none" w:sz="0" w:space="0" w:color="auto"/>
        <w:bottom w:val="none" w:sz="0" w:space="0" w:color="auto"/>
        <w:right w:val="none" w:sz="0" w:space="0" w:color="auto"/>
      </w:divBdr>
    </w:div>
    <w:div w:id="376902996">
      <w:bodyDiv w:val="1"/>
      <w:marLeft w:val="0"/>
      <w:marRight w:val="0"/>
      <w:marTop w:val="0"/>
      <w:marBottom w:val="0"/>
      <w:divBdr>
        <w:top w:val="none" w:sz="0" w:space="0" w:color="auto"/>
        <w:left w:val="none" w:sz="0" w:space="0" w:color="auto"/>
        <w:bottom w:val="none" w:sz="0" w:space="0" w:color="auto"/>
        <w:right w:val="none" w:sz="0" w:space="0" w:color="auto"/>
      </w:divBdr>
    </w:div>
    <w:div w:id="389114100">
      <w:bodyDiv w:val="1"/>
      <w:marLeft w:val="0"/>
      <w:marRight w:val="0"/>
      <w:marTop w:val="0"/>
      <w:marBottom w:val="0"/>
      <w:divBdr>
        <w:top w:val="none" w:sz="0" w:space="0" w:color="auto"/>
        <w:left w:val="none" w:sz="0" w:space="0" w:color="auto"/>
        <w:bottom w:val="none" w:sz="0" w:space="0" w:color="auto"/>
        <w:right w:val="none" w:sz="0" w:space="0" w:color="auto"/>
      </w:divBdr>
    </w:div>
    <w:div w:id="408774760">
      <w:bodyDiv w:val="1"/>
      <w:marLeft w:val="0"/>
      <w:marRight w:val="0"/>
      <w:marTop w:val="0"/>
      <w:marBottom w:val="0"/>
      <w:divBdr>
        <w:top w:val="none" w:sz="0" w:space="0" w:color="auto"/>
        <w:left w:val="none" w:sz="0" w:space="0" w:color="auto"/>
        <w:bottom w:val="none" w:sz="0" w:space="0" w:color="auto"/>
        <w:right w:val="none" w:sz="0" w:space="0" w:color="auto"/>
      </w:divBdr>
    </w:div>
    <w:div w:id="437333374">
      <w:bodyDiv w:val="1"/>
      <w:marLeft w:val="0"/>
      <w:marRight w:val="0"/>
      <w:marTop w:val="0"/>
      <w:marBottom w:val="0"/>
      <w:divBdr>
        <w:top w:val="none" w:sz="0" w:space="0" w:color="auto"/>
        <w:left w:val="none" w:sz="0" w:space="0" w:color="auto"/>
        <w:bottom w:val="none" w:sz="0" w:space="0" w:color="auto"/>
        <w:right w:val="none" w:sz="0" w:space="0" w:color="auto"/>
      </w:divBdr>
    </w:div>
    <w:div w:id="449863743">
      <w:bodyDiv w:val="1"/>
      <w:marLeft w:val="0"/>
      <w:marRight w:val="0"/>
      <w:marTop w:val="0"/>
      <w:marBottom w:val="0"/>
      <w:divBdr>
        <w:top w:val="none" w:sz="0" w:space="0" w:color="auto"/>
        <w:left w:val="none" w:sz="0" w:space="0" w:color="auto"/>
        <w:bottom w:val="none" w:sz="0" w:space="0" w:color="auto"/>
        <w:right w:val="none" w:sz="0" w:space="0" w:color="auto"/>
      </w:divBdr>
    </w:div>
    <w:div w:id="455370233">
      <w:bodyDiv w:val="1"/>
      <w:marLeft w:val="0"/>
      <w:marRight w:val="0"/>
      <w:marTop w:val="0"/>
      <w:marBottom w:val="0"/>
      <w:divBdr>
        <w:top w:val="none" w:sz="0" w:space="0" w:color="auto"/>
        <w:left w:val="none" w:sz="0" w:space="0" w:color="auto"/>
        <w:bottom w:val="none" w:sz="0" w:space="0" w:color="auto"/>
        <w:right w:val="none" w:sz="0" w:space="0" w:color="auto"/>
      </w:divBdr>
    </w:div>
    <w:div w:id="464931819">
      <w:bodyDiv w:val="1"/>
      <w:marLeft w:val="0"/>
      <w:marRight w:val="0"/>
      <w:marTop w:val="0"/>
      <w:marBottom w:val="0"/>
      <w:divBdr>
        <w:top w:val="none" w:sz="0" w:space="0" w:color="auto"/>
        <w:left w:val="none" w:sz="0" w:space="0" w:color="auto"/>
        <w:bottom w:val="none" w:sz="0" w:space="0" w:color="auto"/>
        <w:right w:val="none" w:sz="0" w:space="0" w:color="auto"/>
      </w:divBdr>
    </w:div>
    <w:div w:id="485169116">
      <w:bodyDiv w:val="1"/>
      <w:marLeft w:val="0"/>
      <w:marRight w:val="0"/>
      <w:marTop w:val="0"/>
      <w:marBottom w:val="0"/>
      <w:divBdr>
        <w:top w:val="none" w:sz="0" w:space="0" w:color="auto"/>
        <w:left w:val="none" w:sz="0" w:space="0" w:color="auto"/>
        <w:bottom w:val="none" w:sz="0" w:space="0" w:color="auto"/>
        <w:right w:val="none" w:sz="0" w:space="0" w:color="auto"/>
      </w:divBdr>
    </w:div>
    <w:div w:id="488640825">
      <w:bodyDiv w:val="1"/>
      <w:marLeft w:val="0"/>
      <w:marRight w:val="0"/>
      <w:marTop w:val="0"/>
      <w:marBottom w:val="0"/>
      <w:divBdr>
        <w:top w:val="none" w:sz="0" w:space="0" w:color="auto"/>
        <w:left w:val="none" w:sz="0" w:space="0" w:color="auto"/>
        <w:bottom w:val="none" w:sz="0" w:space="0" w:color="auto"/>
        <w:right w:val="none" w:sz="0" w:space="0" w:color="auto"/>
      </w:divBdr>
    </w:div>
    <w:div w:id="510724194">
      <w:bodyDiv w:val="1"/>
      <w:marLeft w:val="0"/>
      <w:marRight w:val="0"/>
      <w:marTop w:val="0"/>
      <w:marBottom w:val="0"/>
      <w:divBdr>
        <w:top w:val="none" w:sz="0" w:space="0" w:color="auto"/>
        <w:left w:val="none" w:sz="0" w:space="0" w:color="auto"/>
        <w:bottom w:val="none" w:sz="0" w:space="0" w:color="auto"/>
        <w:right w:val="none" w:sz="0" w:space="0" w:color="auto"/>
      </w:divBdr>
    </w:div>
    <w:div w:id="540481853">
      <w:bodyDiv w:val="1"/>
      <w:marLeft w:val="0"/>
      <w:marRight w:val="0"/>
      <w:marTop w:val="0"/>
      <w:marBottom w:val="0"/>
      <w:divBdr>
        <w:top w:val="none" w:sz="0" w:space="0" w:color="auto"/>
        <w:left w:val="none" w:sz="0" w:space="0" w:color="auto"/>
        <w:bottom w:val="none" w:sz="0" w:space="0" w:color="auto"/>
        <w:right w:val="none" w:sz="0" w:space="0" w:color="auto"/>
      </w:divBdr>
    </w:div>
    <w:div w:id="627125765">
      <w:bodyDiv w:val="1"/>
      <w:marLeft w:val="0"/>
      <w:marRight w:val="0"/>
      <w:marTop w:val="0"/>
      <w:marBottom w:val="0"/>
      <w:divBdr>
        <w:top w:val="none" w:sz="0" w:space="0" w:color="auto"/>
        <w:left w:val="none" w:sz="0" w:space="0" w:color="auto"/>
        <w:bottom w:val="none" w:sz="0" w:space="0" w:color="auto"/>
        <w:right w:val="none" w:sz="0" w:space="0" w:color="auto"/>
      </w:divBdr>
    </w:div>
    <w:div w:id="633872773">
      <w:bodyDiv w:val="1"/>
      <w:marLeft w:val="0"/>
      <w:marRight w:val="0"/>
      <w:marTop w:val="0"/>
      <w:marBottom w:val="0"/>
      <w:divBdr>
        <w:top w:val="none" w:sz="0" w:space="0" w:color="auto"/>
        <w:left w:val="none" w:sz="0" w:space="0" w:color="auto"/>
        <w:bottom w:val="none" w:sz="0" w:space="0" w:color="auto"/>
        <w:right w:val="none" w:sz="0" w:space="0" w:color="auto"/>
      </w:divBdr>
    </w:div>
    <w:div w:id="642004727">
      <w:bodyDiv w:val="1"/>
      <w:marLeft w:val="0"/>
      <w:marRight w:val="0"/>
      <w:marTop w:val="0"/>
      <w:marBottom w:val="0"/>
      <w:divBdr>
        <w:top w:val="none" w:sz="0" w:space="0" w:color="auto"/>
        <w:left w:val="none" w:sz="0" w:space="0" w:color="auto"/>
        <w:bottom w:val="none" w:sz="0" w:space="0" w:color="auto"/>
        <w:right w:val="none" w:sz="0" w:space="0" w:color="auto"/>
      </w:divBdr>
    </w:div>
    <w:div w:id="672218288">
      <w:bodyDiv w:val="1"/>
      <w:marLeft w:val="0"/>
      <w:marRight w:val="0"/>
      <w:marTop w:val="0"/>
      <w:marBottom w:val="0"/>
      <w:divBdr>
        <w:top w:val="none" w:sz="0" w:space="0" w:color="auto"/>
        <w:left w:val="none" w:sz="0" w:space="0" w:color="auto"/>
        <w:bottom w:val="none" w:sz="0" w:space="0" w:color="auto"/>
        <w:right w:val="none" w:sz="0" w:space="0" w:color="auto"/>
      </w:divBdr>
    </w:div>
    <w:div w:id="691344481">
      <w:bodyDiv w:val="1"/>
      <w:marLeft w:val="0"/>
      <w:marRight w:val="0"/>
      <w:marTop w:val="0"/>
      <w:marBottom w:val="0"/>
      <w:divBdr>
        <w:top w:val="none" w:sz="0" w:space="0" w:color="auto"/>
        <w:left w:val="none" w:sz="0" w:space="0" w:color="auto"/>
        <w:bottom w:val="none" w:sz="0" w:space="0" w:color="auto"/>
        <w:right w:val="none" w:sz="0" w:space="0" w:color="auto"/>
      </w:divBdr>
    </w:div>
    <w:div w:id="752363433">
      <w:bodyDiv w:val="1"/>
      <w:marLeft w:val="0"/>
      <w:marRight w:val="0"/>
      <w:marTop w:val="0"/>
      <w:marBottom w:val="0"/>
      <w:divBdr>
        <w:top w:val="none" w:sz="0" w:space="0" w:color="auto"/>
        <w:left w:val="none" w:sz="0" w:space="0" w:color="auto"/>
        <w:bottom w:val="none" w:sz="0" w:space="0" w:color="auto"/>
        <w:right w:val="none" w:sz="0" w:space="0" w:color="auto"/>
      </w:divBdr>
    </w:div>
    <w:div w:id="760182897">
      <w:bodyDiv w:val="1"/>
      <w:marLeft w:val="0"/>
      <w:marRight w:val="0"/>
      <w:marTop w:val="0"/>
      <w:marBottom w:val="0"/>
      <w:divBdr>
        <w:top w:val="none" w:sz="0" w:space="0" w:color="auto"/>
        <w:left w:val="none" w:sz="0" w:space="0" w:color="auto"/>
        <w:bottom w:val="none" w:sz="0" w:space="0" w:color="auto"/>
        <w:right w:val="none" w:sz="0" w:space="0" w:color="auto"/>
      </w:divBdr>
    </w:div>
    <w:div w:id="764884144">
      <w:bodyDiv w:val="1"/>
      <w:marLeft w:val="0"/>
      <w:marRight w:val="0"/>
      <w:marTop w:val="0"/>
      <w:marBottom w:val="0"/>
      <w:divBdr>
        <w:top w:val="none" w:sz="0" w:space="0" w:color="auto"/>
        <w:left w:val="none" w:sz="0" w:space="0" w:color="auto"/>
        <w:bottom w:val="none" w:sz="0" w:space="0" w:color="auto"/>
        <w:right w:val="none" w:sz="0" w:space="0" w:color="auto"/>
      </w:divBdr>
    </w:div>
    <w:div w:id="765854015">
      <w:bodyDiv w:val="1"/>
      <w:marLeft w:val="0"/>
      <w:marRight w:val="0"/>
      <w:marTop w:val="0"/>
      <w:marBottom w:val="0"/>
      <w:divBdr>
        <w:top w:val="none" w:sz="0" w:space="0" w:color="auto"/>
        <w:left w:val="none" w:sz="0" w:space="0" w:color="auto"/>
        <w:bottom w:val="none" w:sz="0" w:space="0" w:color="auto"/>
        <w:right w:val="none" w:sz="0" w:space="0" w:color="auto"/>
      </w:divBdr>
    </w:div>
    <w:div w:id="849442620">
      <w:bodyDiv w:val="1"/>
      <w:marLeft w:val="0"/>
      <w:marRight w:val="0"/>
      <w:marTop w:val="0"/>
      <w:marBottom w:val="0"/>
      <w:divBdr>
        <w:top w:val="none" w:sz="0" w:space="0" w:color="auto"/>
        <w:left w:val="none" w:sz="0" w:space="0" w:color="auto"/>
        <w:bottom w:val="none" w:sz="0" w:space="0" w:color="auto"/>
        <w:right w:val="none" w:sz="0" w:space="0" w:color="auto"/>
      </w:divBdr>
    </w:div>
    <w:div w:id="857084896">
      <w:bodyDiv w:val="1"/>
      <w:marLeft w:val="0"/>
      <w:marRight w:val="0"/>
      <w:marTop w:val="0"/>
      <w:marBottom w:val="0"/>
      <w:divBdr>
        <w:top w:val="none" w:sz="0" w:space="0" w:color="auto"/>
        <w:left w:val="none" w:sz="0" w:space="0" w:color="auto"/>
        <w:bottom w:val="none" w:sz="0" w:space="0" w:color="auto"/>
        <w:right w:val="none" w:sz="0" w:space="0" w:color="auto"/>
      </w:divBdr>
    </w:div>
    <w:div w:id="885722259">
      <w:bodyDiv w:val="1"/>
      <w:marLeft w:val="0"/>
      <w:marRight w:val="0"/>
      <w:marTop w:val="0"/>
      <w:marBottom w:val="0"/>
      <w:divBdr>
        <w:top w:val="none" w:sz="0" w:space="0" w:color="auto"/>
        <w:left w:val="none" w:sz="0" w:space="0" w:color="auto"/>
        <w:bottom w:val="none" w:sz="0" w:space="0" w:color="auto"/>
        <w:right w:val="none" w:sz="0" w:space="0" w:color="auto"/>
      </w:divBdr>
    </w:div>
    <w:div w:id="887911635">
      <w:bodyDiv w:val="1"/>
      <w:marLeft w:val="0"/>
      <w:marRight w:val="0"/>
      <w:marTop w:val="0"/>
      <w:marBottom w:val="0"/>
      <w:divBdr>
        <w:top w:val="none" w:sz="0" w:space="0" w:color="auto"/>
        <w:left w:val="none" w:sz="0" w:space="0" w:color="auto"/>
        <w:bottom w:val="none" w:sz="0" w:space="0" w:color="auto"/>
        <w:right w:val="none" w:sz="0" w:space="0" w:color="auto"/>
      </w:divBdr>
    </w:div>
    <w:div w:id="955406880">
      <w:bodyDiv w:val="1"/>
      <w:marLeft w:val="0"/>
      <w:marRight w:val="0"/>
      <w:marTop w:val="0"/>
      <w:marBottom w:val="0"/>
      <w:divBdr>
        <w:top w:val="none" w:sz="0" w:space="0" w:color="auto"/>
        <w:left w:val="none" w:sz="0" w:space="0" w:color="auto"/>
        <w:bottom w:val="none" w:sz="0" w:space="0" w:color="auto"/>
        <w:right w:val="none" w:sz="0" w:space="0" w:color="auto"/>
      </w:divBdr>
    </w:div>
    <w:div w:id="981352320">
      <w:bodyDiv w:val="1"/>
      <w:marLeft w:val="0"/>
      <w:marRight w:val="0"/>
      <w:marTop w:val="0"/>
      <w:marBottom w:val="0"/>
      <w:divBdr>
        <w:top w:val="none" w:sz="0" w:space="0" w:color="auto"/>
        <w:left w:val="none" w:sz="0" w:space="0" w:color="auto"/>
        <w:bottom w:val="none" w:sz="0" w:space="0" w:color="auto"/>
        <w:right w:val="none" w:sz="0" w:space="0" w:color="auto"/>
      </w:divBdr>
    </w:div>
    <w:div w:id="982199509">
      <w:bodyDiv w:val="1"/>
      <w:marLeft w:val="0"/>
      <w:marRight w:val="0"/>
      <w:marTop w:val="0"/>
      <w:marBottom w:val="0"/>
      <w:divBdr>
        <w:top w:val="none" w:sz="0" w:space="0" w:color="auto"/>
        <w:left w:val="none" w:sz="0" w:space="0" w:color="auto"/>
        <w:bottom w:val="none" w:sz="0" w:space="0" w:color="auto"/>
        <w:right w:val="none" w:sz="0" w:space="0" w:color="auto"/>
      </w:divBdr>
    </w:div>
    <w:div w:id="986280647">
      <w:bodyDiv w:val="1"/>
      <w:marLeft w:val="0"/>
      <w:marRight w:val="0"/>
      <w:marTop w:val="0"/>
      <w:marBottom w:val="0"/>
      <w:divBdr>
        <w:top w:val="none" w:sz="0" w:space="0" w:color="auto"/>
        <w:left w:val="none" w:sz="0" w:space="0" w:color="auto"/>
        <w:bottom w:val="none" w:sz="0" w:space="0" w:color="auto"/>
        <w:right w:val="none" w:sz="0" w:space="0" w:color="auto"/>
      </w:divBdr>
    </w:div>
    <w:div w:id="989753884">
      <w:bodyDiv w:val="1"/>
      <w:marLeft w:val="0"/>
      <w:marRight w:val="0"/>
      <w:marTop w:val="0"/>
      <w:marBottom w:val="0"/>
      <w:divBdr>
        <w:top w:val="none" w:sz="0" w:space="0" w:color="auto"/>
        <w:left w:val="none" w:sz="0" w:space="0" w:color="auto"/>
        <w:bottom w:val="none" w:sz="0" w:space="0" w:color="auto"/>
        <w:right w:val="none" w:sz="0" w:space="0" w:color="auto"/>
      </w:divBdr>
    </w:div>
    <w:div w:id="1006246948">
      <w:bodyDiv w:val="1"/>
      <w:marLeft w:val="0"/>
      <w:marRight w:val="0"/>
      <w:marTop w:val="0"/>
      <w:marBottom w:val="0"/>
      <w:divBdr>
        <w:top w:val="none" w:sz="0" w:space="0" w:color="auto"/>
        <w:left w:val="none" w:sz="0" w:space="0" w:color="auto"/>
        <w:bottom w:val="none" w:sz="0" w:space="0" w:color="auto"/>
        <w:right w:val="none" w:sz="0" w:space="0" w:color="auto"/>
      </w:divBdr>
    </w:div>
    <w:div w:id="1043752822">
      <w:bodyDiv w:val="1"/>
      <w:marLeft w:val="0"/>
      <w:marRight w:val="0"/>
      <w:marTop w:val="0"/>
      <w:marBottom w:val="0"/>
      <w:divBdr>
        <w:top w:val="none" w:sz="0" w:space="0" w:color="auto"/>
        <w:left w:val="none" w:sz="0" w:space="0" w:color="auto"/>
        <w:bottom w:val="none" w:sz="0" w:space="0" w:color="auto"/>
        <w:right w:val="none" w:sz="0" w:space="0" w:color="auto"/>
      </w:divBdr>
    </w:div>
    <w:div w:id="1061095929">
      <w:bodyDiv w:val="1"/>
      <w:marLeft w:val="0"/>
      <w:marRight w:val="0"/>
      <w:marTop w:val="0"/>
      <w:marBottom w:val="0"/>
      <w:divBdr>
        <w:top w:val="none" w:sz="0" w:space="0" w:color="auto"/>
        <w:left w:val="none" w:sz="0" w:space="0" w:color="auto"/>
        <w:bottom w:val="none" w:sz="0" w:space="0" w:color="auto"/>
        <w:right w:val="none" w:sz="0" w:space="0" w:color="auto"/>
      </w:divBdr>
    </w:div>
    <w:div w:id="1064183378">
      <w:bodyDiv w:val="1"/>
      <w:marLeft w:val="0"/>
      <w:marRight w:val="0"/>
      <w:marTop w:val="0"/>
      <w:marBottom w:val="0"/>
      <w:divBdr>
        <w:top w:val="none" w:sz="0" w:space="0" w:color="auto"/>
        <w:left w:val="none" w:sz="0" w:space="0" w:color="auto"/>
        <w:bottom w:val="none" w:sz="0" w:space="0" w:color="auto"/>
        <w:right w:val="none" w:sz="0" w:space="0" w:color="auto"/>
      </w:divBdr>
    </w:div>
    <w:div w:id="1087576321">
      <w:bodyDiv w:val="1"/>
      <w:marLeft w:val="0"/>
      <w:marRight w:val="0"/>
      <w:marTop w:val="0"/>
      <w:marBottom w:val="0"/>
      <w:divBdr>
        <w:top w:val="none" w:sz="0" w:space="0" w:color="auto"/>
        <w:left w:val="none" w:sz="0" w:space="0" w:color="auto"/>
        <w:bottom w:val="none" w:sz="0" w:space="0" w:color="auto"/>
        <w:right w:val="none" w:sz="0" w:space="0" w:color="auto"/>
      </w:divBdr>
    </w:div>
    <w:div w:id="1091587040">
      <w:bodyDiv w:val="1"/>
      <w:marLeft w:val="0"/>
      <w:marRight w:val="0"/>
      <w:marTop w:val="0"/>
      <w:marBottom w:val="0"/>
      <w:divBdr>
        <w:top w:val="none" w:sz="0" w:space="0" w:color="auto"/>
        <w:left w:val="none" w:sz="0" w:space="0" w:color="auto"/>
        <w:bottom w:val="none" w:sz="0" w:space="0" w:color="auto"/>
        <w:right w:val="none" w:sz="0" w:space="0" w:color="auto"/>
      </w:divBdr>
    </w:div>
    <w:div w:id="1099957173">
      <w:bodyDiv w:val="1"/>
      <w:marLeft w:val="0"/>
      <w:marRight w:val="0"/>
      <w:marTop w:val="0"/>
      <w:marBottom w:val="0"/>
      <w:divBdr>
        <w:top w:val="none" w:sz="0" w:space="0" w:color="auto"/>
        <w:left w:val="none" w:sz="0" w:space="0" w:color="auto"/>
        <w:bottom w:val="none" w:sz="0" w:space="0" w:color="auto"/>
        <w:right w:val="none" w:sz="0" w:space="0" w:color="auto"/>
      </w:divBdr>
    </w:div>
    <w:div w:id="1122573790">
      <w:bodyDiv w:val="1"/>
      <w:marLeft w:val="0"/>
      <w:marRight w:val="0"/>
      <w:marTop w:val="0"/>
      <w:marBottom w:val="0"/>
      <w:divBdr>
        <w:top w:val="none" w:sz="0" w:space="0" w:color="auto"/>
        <w:left w:val="none" w:sz="0" w:space="0" w:color="auto"/>
        <w:bottom w:val="none" w:sz="0" w:space="0" w:color="auto"/>
        <w:right w:val="none" w:sz="0" w:space="0" w:color="auto"/>
      </w:divBdr>
    </w:div>
    <w:div w:id="1145704253">
      <w:bodyDiv w:val="1"/>
      <w:marLeft w:val="0"/>
      <w:marRight w:val="0"/>
      <w:marTop w:val="0"/>
      <w:marBottom w:val="0"/>
      <w:divBdr>
        <w:top w:val="none" w:sz="0" w:space="0" w:color="auto"/>
        <w:left w:val="none" w:sz="0" w:space="0" w:color="auto"/>
        <w:bottom w:val="none" w:sz="0" w:space="0" w:color="auto"/>
        <w:right w:val="none" w:sz="0" w:space="0" w:color="auto"/>
      </w:divBdr>
    </w:div>
    <w:div w:id="1149903747">
      <w:bodyDiv w:val="1"/>
      <w:marLeft w:val="0"/>
      <w:marRight w:val="0"/>
      <w:marTop w:val="0"/>
      <w:marBottom w:val="0"/>
      <w:divBdr>
        <w:top w:val="none" w:sz="0" w:space="0" w:color="auto"/>
        <w:left w:val="none" w:sz="0" w:space="0" w:color="auto"/>
        <w:bottom w:val="none" w:sz="0" w:space="0" w:color="auto"/>
        <w:right w:val="none" w:sz="0" w:space="0" w:color="auto"/>
      </w:divBdr>
    </w:div>
    <w:div w:id="1188374278">
      <w:bodyDiv w:val="1"/>
      <w:marLeft w:val="0"/>
      <w:marRight w:val="0"/>
      <w:marTop w:val="0"/>
      <w:marBottom w:val="0"/>
      <w:divBdr>
        <w:top w:val="none" w:sz="0" w:space="0" w:color="auto"/>
        <w:left w:val="none" w:sz="0" w:space="0" w:color="auto"/>
        <w:bottom w:val="none" w:sz="0" w:space="0" w:color="auto"/>
        <w:right w:val="none" w:sz="0" w:space="0" w:color="auto"/>
      </w:divBdr>
    </w:div>
    <w:div w:id="1192768412">
      <w:bodyDiv w:val="1"/>
      <w:marLeft w:val="0"/>
      <w:marRight w:val="0"/>
      <w:marTop w:val="0"/>
      <w:marBottom w:val="0"/>
      <w:divBdr>
        <w:top w:val="none" w:sz="0" w:space="0" w:color="auto"/>
        <w:left w:val="none" w:sz="0" w:space="0" w:color="auto"/>
        <w:bottom w:val="none" w:sz="0" w:space="0" w:color="auto"/>
        <w:right w:val="none" w:sz="0" w:space="0" w:color="auto"/>
      </w:divBdr>
    </w:div>
    <w:div w:id="1217619437">
      <w:bodyDiv w:val="1"/>
      <w:marLeft w:val="0"/>
      <w:marRight w:val="0"/>
      <w:marTop w:val="0"/>
      <w:marBottom w:val="0"/>
      <w:divBdr>
        <w:top w:val="none" w:sz="0" w:space="0" w:color="auto"/>
        <w:left w:val="none" w:sz="0" w:space="0" w:color="auto"/>
        <w:bottom w:val="none" w:sz="0" w:space="0" w:color="auto"/>
        <w:right w:val="none" w:sz="0" w:space="0" w:color="auto"/>
      </w:divBdr>
    </w:div>
    <w:div w:id="1275207799">
      <w:bodyDiv w:val="1"/>
      <w:marLeft w:val="0"/>
      <w:marRight w:val="0"/>
      <w:marTop w:val="0"/>
      <w:marBottom w:val="0"/>
      <w:divBdr>
        <w:top w:val="none" w:sz="0" w:space="0" w:color="auto"/>
        <w:left w:val="none" w:sz="0" w:space="0" w:color="auto"/>
        <w:bottom w:val="none" w:sz="0" w:space="0" w:color="auto"/>
        <w:right w:val="none" w:sz="0" w:space="0" w:color="auto"/>
      </w:divBdr>
    </w:div>
    <w:div w:id="1305046042">
      <w:bodyDiv w:val="1"/>
      <w:marLeft w:val="0"/>
      <w:marRight w:val="0"/>
      <w:marTop w:val="0"/>
      <w:marBottom w:val="0"/>
      <w:divBdr>
        <w:top w:val="none" w:sz="0" w:space="0" w:color="auto"/>
        <w:left w:val="none" w:sz="0" w:space="0" w:color="auto"/>
        <w:bottom w:val="none" w:sz="0" w:space="0" w:color="auto"/>
        <w:right w:val="none" w:sz="0" w:space="0" w:color="auto"/>
      </w:divBdr>
    </w:div>
    <w:div w:id="1349218437">
      <w:bodyDiv w:val="1"/>
      <w:marLeft w:val="0"/>
      <w:marRight w:val="0"/>
      <w:marTop w:val="0"/>
      <w:marBottom w:val="0"/>
      <w:divBdr>
        <w:top w:val="none" w:sz="0" w:space="0" w:color="auto"/>
        <w:left w:val="none" w:sz="0" w:space="0" w:color="auto"/>
        <w:bottom w:val="none" w:sz="0" w:space="0" w:color="auto"/>
        <w:right w:val="none" w:sz="0" w:space="0" w:color="auto"/>
      </w:divBdr>
    </w:div>
    <w:div w:id="1365516157">
      <w:bodyDiv w:val="1"/>
      <w:marLeft w:val="0"/>
      <w:marRight w:val="0"/>
      <w:marTop w:val="0"/>
      <w:marBottom w:val="0"/>
      <w:divBdr>
        <w:top w:val="none" w:sz="0" w:space="0" w:color="auto"/>
        <w:left w:val="none" w:sz="0" w:space="0" w:color="auto"/>
        <w:bottom w:val="none" w:sz="0" w:space="0" w:color="auto"/>
        <w:right w:val="none" w:sz="0" w:space="0" w:color="auto"/>
      </w:divBdr>
    </w:div>
    <w:div w:id="1372878894">
      <w:bodyDiv w:val="1"/>
      <w:marLeft w:val="0"/>
      <w:marRight w:val="0"/>
      <w:marTop w:val="0"/>
      <w:marBottom w:val="0"/>
      <w:divBdr>
        <w:top w:val="none" w:sz="0" w:space="0" w:color="auto"/>
        <w:left w:val="none" w:sz="0" w:space="0" w:color="auto"/>
        <w:bottom w:val="none" w:sz="0" w:space="0" w:color="auto"/>
        <w:right w:val="none" w:sz="0" w:space="0" w:color="auto"/>
      </w:divBdr>
    </w:div>
    <w:div w:id="1395467786">
      <w:bodyDiv w:val="1"/>
      <w:marLeft w:val="0"/>
      <w:marRight w:val="0"/>
      <w:marTop w:val="0"/>
      <w:marBottom w:val="0"/>
      <w:divBdr>
        <w:top w:val="none" w:sz="0" w:space="0" w:color="auto"/>
        <w:left w:val="none" w:sz="0" w:space="0" w:color="auto"/>
        <w:bottom w:val="none" w:sz="0" w:space="0" w:color="auto"/>
        <w:right w:val="none" w:sz="0" w:space="0" w:color="auto"/>
      </w:divBdr>
    </w:div>
    <w:div w:id="1421828167">
      <w:bodyDiv w:val="1"/>
      <w:marLeft w:val="0"/>
      <w:marRight w:val="0"/>
      <w:marTop w:val="0"/>
      <w:marBottom w:val="0"/>
      <w:divBdr>
        <w:top w:val="none" w:sz="0" w:space="0" w:color="auto"/>
        <w:left w:val="none" w:sz="0" w:space="0" w:color="auto"/>
        <w:bottom w:val="none" w:sz="0" w:space="0" w:color="auto"/>
        <w:right w:val="none" w:sz="0" w:space="0" w:color="auto"/>
      </w:divBdr>
    </w:div>
    <w:div w:id="1434322613">
      <w:bodyDiv w:val="1"/>
      <w:marLeft w:val="0"/>
      <w:marRight w:val="0"/>
      <w:marTop w:val="0"/>
      <w:marBottom w:val="0"/>
      <w:divBdr>
        <w:top w:val="none" w:sz="0" w:space="0" w:color="auto"/>
        <w:left w:val="none" w:sz="0" w:space="0" w:color="auto"/>
        <w:bottom w:val="none" w:sz="0" w:space="0" w:color="auto"/>
        <w:right w:val="none" w:sz="0" w:space="0" w:color="auto"/>
      </w:divBdr>
    </w:div>
    <w:div w:id="1435831146">
      <w:bodyDiv w:val="1"/>
      <w:marLeft w:val="0"/>
      <w:marRight w:val="0"/>
      <w:marTop w:val="0"/>
      <w:marBottom w:val="0"/>
      <w:divBdr>
        <w:top w:val="none" w:sz="0" w:space="0" w:color="auto"/>
        <w:left w:val="none" w:sz="0" w:space="0" w:color="auto"/>
        <w:bottom w:val="none" w:sz="0" w:space="0" w:color="auto"/>
        <w:right w:val="none" w:sz="0" w:space="0" w:color="auto"/>
      </w:divBdr>
    </w:div>
    <w:div w:id="1438866449">
      <w:bodyDiv w:val="1"/>
      <w:marLeft w:val="0"/>
      <w:marRight w:val="0"/>
      <w:marTop w:val="0"/>
      <w:marBottom w:val="0"/>
      <w:divBdr>
        <w:top w:val="none" w:sz="0" w:space="0" w:color="auto"/>
        <w:left w:val="none" w:sz="0" w:space="0" w:color="auto"/>
        <w:bottom w:val="none" w:sz="0" w:space="0" w:color="auto"/>
        <w:right w:val="none" w:sz="0" w:space="0" w:color="auto"/>
      </w:divBdr>
    </w:div>
    <w:div w:id="1484463714">
      <w:bodyDiv w:val="1"/>
      <w:marLeft w:val="0"/>
      <w:marRight w:val="0"/>
      <w:marTop w:val="0"/>
      <w:marBottom w:val="0"/>
      <w:divBdr>
        <w:top w:val="none" w:sz="0" w:space="0" w:color="auto"/>
        <w:left w:val="none" w:sz="0" w:space="0" w:color="auto"/>
        <w:bottom w:val="none" w:sz="0" w:space="0" w:color="auto"/>
        <w:right w:val="none" w:sz="0" w:space="0" w:color="auto"/>
      </w:divBdr>
    </w:div>
    <w:div w:id="1488747821">
      <w:bodyDiv w:val="1"/>
      <w:marLeft w:val="0"/>
      <w:marRight w:val="0"/>
      <w:marTop w:val="0"/>
      <w:marBottom w:val="0"/>
      <w:divBdr>
        <w:top w:val="none" w:sz="0" w:space="0" w:color="auto"/>
        <w:left w:val="none" w:sz="0" w:space="0" w:color="auto"/>
        <w:bottom w:val="none" w:sz="0" w:space="0" w:color="auto"/>
        <w:right w:val="none" w:sz="0" w:space="0" w:color="auto"/>
      </w:divBdr>
    </w:div>
    <w:div w:id="1510291589">
      <w:bodyDiv w:val="1"/>
      <w:marLeft w:val="0"/>
      <w:marRight w:val="0"/>
      <w:marTop w:val="0"/>
      <w:marBottom w:val="0"/>
      <w:divBdr>
        <w:top w:val="none" w:sz="0" w:space="0" w:color="auto"/>
        <w:left w:val="none" w:sz="0" w:space="0" w:color="auto"/>
        <w:bottom w:val="none" w:sz="0" w:space="0" w:color="auto"/>
        <w:right w:val="none" w:sz="0" w:space="0" w:color="auto"/>
      </w:divBdr>
    </w:div>
    <w:div w:id="1536964984">
      <w:bodyDiv w:val="1"/>
      <w:marLeft w:val="0"/>
      <w:marRight w:val="0"/>
      <w:marTop w:val="0"/>
      <w:marBottom w:val="0"/>
      <w:divBdr>
        <w:top w:val="none" w:sz="0" w:space="0" w:color="auto"/>
        <w:left w:val="none" w:sz="0" w:space="0" w:color="auto"/>
        <w:bottom w:val="none" w:sz="0" w:space="0" w:color="auto"/>
        <w:right w:val="none" w:sz="0" w:space="0" w:color="auto"/>
      </w:divBdr>
    </w:div>
    <w:div w:id="1540974526">
      <w:bodyDiv w:val="1"/>
      <w:marLeft w:val="0"/>
      <w:marRight w:val="0"/>
      <w:marTop w:val="0"/>
      <w:marBottom w:val="0"/>
      <w:divBdr>
        <w:top w:val="none" w:sz="0" w:space="0" w:color="auto"/>
        <w:left w:val="none" w:sz="0" w:space="0" w:color="auto"/>
        <w:bottom w:val="none" w:sz="0" w:space="0" w:color="auto"/>
        <w:right w:val="none" w:sz="0" w:space="0" w:color="auto"/>
      </w:divBdr>
    </w:div>
    <w:div w:id="1591230431">
      <w:bodyDiv w:val="1"/>
      <w:marLeft w:val="0"/>
      <w:marRight w:val="0"/>
      <w:marTop w:val="0"/>
      <w:marBottom w:val="0"/>
      <w:divBdr>
        <w:top w:val="none" w:sz="0" w:space="0" w:color="auto"/>
        <w:left w:val="none" w:sz="0" w:space="0" w:color="auto"/>
        <w:bottom w:val="none" w:sz="0" w:space="0" w:color="auto"/>
        <w:right w:val="none" w:sz="0" w:space="0" w:color="auto"/>
      </w:divBdr>
    </w:div>
    <w:div w:id="1607233715">
      <w:bodyDiv w:val="1"/>
      <w:marLeft w:val="0"/>
      <w:marRight w:val="0"/>
      <w:marTop w:val="0"/>
      <w:marBottom w:val="0"/>
      <w:divBdr>
        <w:top w:val="none" w:sz="0" w:space="0" w:color="auto"/>
        <w:left w:val="none" w:sz="0" w:space="0" w:color="auto"/>
        <w:bottom w:val="none" w:sz="0" w:space="0" w:color="auto"/>
        <w:right w:val="none" w:sz="0" w:space="0" w:color="auto"/>
      </w:divBdr>
    </w:div>
    <w:div w:id="1634216406">
      <w:bodyDiv w:val="1"/>
      <w:marLeft w:val="0"/>
      <w:marRight w:val="0"/>
      <w:marTop w:val="0"/>
      <w:marBottom w:val="0"/>
      <w:divBdr>
        <w:top w:val="none" w:sz="0" w:space="0" w:color="auto"/>
        <w:left w:val="none" w:sz="0" w:space="0" w:color="auto"/>
        <w:bottom w:val="none" w:sz="0" w:space="0" w:color="auto"/>
        <w:right w:val="none" w:sz="0" w:space="0" w:color="auto"/>
      </w:divBdr>
    </w:div>
    <w:div w:id="1648703198">
      <w:bodyDiv w:val="1"/>
      <w:marLeft w:val="0"/>
      <w:marRight w:val="0"/>
      <w:marTop w:val="0"/>
      <w:marBottom w:val="0"/>
      <w:divBdr>
        <w:top w:val="none" w:sz="0" w:space="0" w:color="auto"/>
        <w:left w:val="none" w:sz="0" w:space="0" w:color="auto"/>
        <w:bottom w:val="none" w:sz="0" w:space="0" w:color="auto"/>
        <w:right w:val="none" w:sz="0" w:space="0" w:color="auto"/>
      </w:divBdr>
    </w:div>
    <w:div w:id="1695375498">
      <w:bodyDiv w:val="1"/>
      <w:marLeft w:val="0"/>
      <w:marRight w:val="0"/>
      <w:marTop w:val="0"/>
      <w:marBottom w:val="0"/>
      <w:divBdr>
        <w:top w:val="none" w:sz="0" w:space="0" w:color="auto"/>
        <w:left w:val="none" w:sz="0" w:space="0" w:color="auto"/>
        <w:bottom w:val="none" w:sz="0" w:space="0" w:color="auto"/>
        <w:right w:val="none" w:sz="0" w:space="0" w:color="auto"/>
      </w:divBdr>
    </w:div>
    <w:div w:id="1715234063">
      <w:bodyDiv w:val="1"/>
      <w:marLeft w:val="0"/>
      <w:marRight w:val="0"/>
      <w:marTop w:val="0"/>
      <w:marBottom w:val="0"/>
      <w:divBdr>
        <w:top w:val="none" w:sz="0" w:space="0" w:color="auto"/>
        <w:left w:val="none" w:sz="0" w:space="0" w:color="auto"/>
        <w:bottom w:val="none" w:sz="0" w:space="0" w:color="auto"/>
        <w:right w:val="none" w:sz="0" w:space="0" w:color="auto"/>
      </w:divBdr>
    </w:div>
    <w:div w:id="1750077165">
      <w:bodyDiv w:val="1"/>
      <w:marLeft w:val="0"/>
      <w:marRight w:val="0"/>
      <w:marTop w:val="0"/>
      <w:marBottom w:val="0"/>
      <w:divBdr>
        <w:top w:val="none" w:sz="0" w:space="0" w:color="auto"/>
        <w:left w:val="none" w:sz="0" w:space="0" w:color="auto"/>
        <w:bottom w:val="none" w:sz="0" w:space="0" w:color="auto"/>
        <w:right w:val="none" w:sz="0" w:space="0" w:color="auto"/>
      </w:divBdr>
    </w:div>
    <w:div w:id="1765761023">
      <w:bodyDiv w:val="1"/>
      <w:marLeft w:val="0"/>
      <w:marRight w:val="0"/>
      <w:marTop w:val="0"/>
      <w:marBottom w:val="0"/>
      <w:divBdr>
        <w:top w:val="none" w:sz="0" w:space="0" w:color="auto"/>
        <w:left w:val="none" w:sz="0" w:space="0" w:color="auto"/>
        <w:bottom w:val="none" w:sz="0" w:space="0" w:color="auto"/>
        <w:right w:val="none" w:sz="0" w:space="0" w:color="auto"/>
      </w:divBdr>
    </w:div>
    <w:div w:id="1853646397">
      <w:bodyDiv w:val="1"/>
      <w:marLeft w:val="0"/>
      <w:marRight w:val="0"/>
      <w:marTop w:val="0"/>
      <w:marBottom w:val="0"/>
      <w:divBdr>
        <w:top w:val="none" w:sz="0" w:space="0" w:color="auto"/>
        <w:left w:val="none" w:sz="0" w:space="0" w:color="auto"/>
        <w:bottom w:val="none" w:sz="0" w:space="0" w:color="auto"/>
        <w:right w:val="none" w:sz="0" w:space="0" w:color="auto"/>
      </w:divBdr>
    </w:div>
    <w:div w:id="1858153010">
      <w:bodyDiv w:val="1"/>
      <w:marLeft w:val="0"/>
      <w:marRight w:val="0"/>
      <w:marTop w:val="0"/>
      <w:marBottom w:val="0"/>
      <w:divBdr>
        <w:top w:val="none" w:sz="0" w:space="0" w:color="auto"/>
        <w:left w:val="none" w:sz="0" w:space="0" w:color="auto"/>
        <w:bottom w:val="none" w:sz="0" w:space="0" w:color="auto"/>
        <w:right w:val="none" w:sz="0" w:space="0" w:color="auto"/>
      </w:divBdr>
    </w:div>
    <w:div w:id="1907492002">
      <w:bodyDiv w:val="1"/>
      <w:marLeft w:val="0"/>
      <w:marRight w:val="0"/>
      <w:marTop w:val="0"/>
      <w:marBottom w:val="0"/>
      <w:divBdr>
        <w:top w:val="none" w:sz="0" w:space="0" w:color="auto"/>
        <w:left w:val="none" w:sz="0" w:space="0" w:color="auto"/>
        <w:bottom w:val="none" w:sz="0" w:space="0" w:color="auto"/>
        <w:right w:val="none" w:sz="0" w:space="0" w:color="auto"/>
      </w:divBdr>
    </w:div>
    <w:div w:id="1961447920">
      <w:bodyDiv w:val="1"/>
      <w:marLeft w:val="0"/>
      <w:marRight w:val="0"/>
      <w:marTop w:val="0"/>
      <w:marBottom w:val="0"/>
      <w:divBdr>
        <w:top w:val="none" w:sz="0" w:space="0" w:color="auto"/>
        <w:left w:val="none" w:sz="0" w:space="0" w:color="auto"/>
        <w:bottom w:val="none" w:sz="0" w:space="0" w:color="auto"/>
        <w:right w:val="none" w:sz="0" w:space="0" w:color="auto"/>
      </w:divBdr>
    </w:div>
    <w:div w:id="1963726155">
      <w:bodyDiv w:val="1"/>
      <w:marLeft w:val="0"/>
      <w:marRight w:val="0"/>
      <w:marTop w:val="0"/>
      <w:marBottom w:val="0"/>
      <w:divBdr>
        <w:top w:val="none" w:sz="0" w:space="0" w:color="auto"/>
        <w:left w:val="none" w:sz="0" w:space="0" w:color="auto"/>
        <w:bottom w:val="none" w:sz="0" w:space="0" w:color="auto"/>
        <w:right w:val="none" w:sz="0" w:space="0" w:color="auto"/>
      </w:divBdr>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
    <w:div w:id="2016029508">
      <w:bodyDiv w:val="1"/>
      <w:marLeft w:val="0"/>
      <w:marRight w:val="0"/>
      <w:marTop w:val="0"/>
      <w:marBottom w:val="0"/>
      <w:divBdr>
        <w:top w:val="none" w:sz="0" w:space="0" w:color="auto"/>
        <w:left w:val="none" w:sz="0" w:space="0" w:color="auto"/>
        <w:bottom w:val="none" w:sz="0" w:space="0" w:color="auto"/>
        <w:right w:val="none" w:sz="0" w:space="0" w:color="auto"/>
      </w:divBdr>
    </w:div>
    <w:div w:id="2021737143">
      <w:bodyDiv w:val="1"/>
      <w:marLeft w:val="0"/>
      <w:marRight w:val="0"/>
      <w:marTop w:val="0"/>
      <w:marBottom w:val="0"/>
      <w:divBdr>
        <w:top w:val="none" w:sz="0" w:space="0" w:color="auto"/>
        <w:left w:val="none" w:sz="0" w:space="0" w:color="auto"/>
        <w:bottom w:val="none" w:sz="0" w:space="0" w:color="auto"/>
        <w:right w:val="none" w:sz="0" w:space="0" w:color="auto"/>
      </w:divBdr>
    </w:div>
    <w:div w:id="2081294813">
      <w:bodyDiv w:val="1"/>
      <w:marLeft w:val="0"/>
      <w:marRight w:val="0"/>
      <w:marTop w:val="0"/>
      <w:marBottom w:val="0"/>
      <w:divBdr>
        <w:top w:val="none" w:sz="0" w:space="0" w:color="auto"/>
        <w:left w:val="none" w:sz="0" w:space="0" w:color="auto"/>
        <w:bottom w:val="none" w:sz="0" w:space="0" w:color="auto"/>
        <w:right w:val="none" w:sz="0" w:space="0" w:color="auto"/>
      </w:divBdr>
    </w:div>
    <w:div w:id="2107269983">
      <w:bodyDiv w:val="1"/>
      <w:marLeft w:val="0"/>
      <w:marRight w:val="0"/>
      <w:marTop w:val="0"/>
      <w:marBottom w:val="0"/>
      <w:divBdr>
        <w:top w:val="none" w:sz="0" w:space="0" w:color="auto"/>
        <w:left w:val="none" w:sz="0" w:space="0" w:color="auto"/>
        <w:bottom w:val="none" w:sz="0" w:space="0" w:color="auto"/>
        <w:right w:val="none" w:sz="0" w:space="0" w:color="auto"/>
      </w:divBdr>
    </w:div>
    <w:div w:id="2140763000">
      <w:bodyDiv w:val="1"/>
      <w:marLeft w:val="0"/>
      <w:marRight w:val="0"/>
      <w:marTop w:val="0"/>
      <w:marBottom w:val="0"/>
      <w:divBdr>
        <w:top w:val="none" w:sz="0" w:space="0" w:color="auto"/>
        <w:left w:val="none" w:sz="0" w:space="0" w:color="auto"/>
        <w:bottom w:val="none" w:sz="0" w:space="0" w:color="auto"/>
        <w:right w:val="none" w:sz="0" w:space="0" w:color="auto"/>
      </w:divBdr>
    </w:div>
    <w:div w:id="2144999488">
      <w:bodyDiv w:val="1"/>
      <w:marLeft w:val="0"/>
      <w:marRight w:val="0"/>
      <w:marTop w:val="0"/>
      <w:marBottom w:val="0"/>
      <w:divBdr>
        <w:top w:val="none" w:sz="0" w:space="0" w:color="auto"/>
        <w:left w:val="none" w:sz="0" w:space="0" w:color="auto"/>
        <w:bottom w:val="none" w:sz="0" w:space="0" w:color="auto"/>
        <w:right w:val="none" w:sz="0" w:space="0" w:color="auto"/>
      </w:divBdr>
    </w:div>
    <w:div w:id="2145348027">
      <w:bodyDiv w:val="1"/>
      <w:marLeft w:val="0"/>
      <w:marRight w:val="0"/>
      <w:marTop w:val="0"/>
      <w:marBottom w:val="0"/>
      <w:divBdr>
        <w:top w:val="none" w:sz="0" w:space="0" w:color="auto"/>
        <w:left w:val="none" w:sz="0" w:space="0" w:color="auto"/>
        <w:bottom w:val="none" w:sz="0" w:space="0" w:color="auto"/>
        <w:right w:val="none" w:sz="0" w:space="0" w:color="auto"/>
      </w:divBdr>
    </w:div>
    <w:div w:id="21464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06827-8389-41D7-A82D-50767A55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150</Pages>
  <Words>17155</Words>
  <Characters>97786</Characters>
  <Application>Microsoft Office Word</Application>
  <DocSecurity>0</DocSecurity>
  <Lines>814</Lines>
  <Paragraphs>229</Paragraphs>
  <ScaleCrop>false</ScaleCrop>
  <Company>易方达基金管理有限公司</Company>
  <LinksUpToDate>false</LinksUpToDate>
  <CharactersWithSpaces>114712</CharactersWithSpaces>
  <SharedDoc>false</SharedDoc>
  <HLinks>
    <vt:vector size="186" baseType="variant">
      <vt:variant>
        <vt:i4>1704044</vt:i4>
      </vt:variant>
      <vt:variant>
        <vt:i4>348</vt:i4>
      </vt:variant>
      <vt:variant>
        <vt:i4>0</vt:i4>
      </vt:variant>
      <vt:variant>
        <vt:i4>5</vt:i4>
      </vt:variant>
      <vt:variant>
        <vt:lpwstr>mailto:service@efunds.com.cn</vt:lpwstr>
      </vt:variant>
      <vt:variant>
        <vt:lpwstr/>
      </vt:variant>
      <vt:variant>
        <vt:i4>6160454</vt:i4>
      </vt:variant>
      <vt:variant>
        <vt:i4>177</vt:i4>
      </vt:variant>
      <vt:variant>
        <vt:i4>0</vt:i4>
      </vt:variant>
      <vt:variant>
        <vt:i4>5</vt:i4>
      </vt:variant>
      <vt:variant>
        <vt:lpwstr>http://www.efunds.com.cn/</vt:lpwstr>
      </vt:variant>
      <vt:variant>
        <vt:lpwstr/>
      </vt:variant>
      <vt:variant>
        <vt:i4>1245234</vt:i4>
      </vt:variant>
      <vt:variant>
        <vt:i4>170</vt:i4>
      </vt:variant>
      <vt:variant>
        <vt:i4>0</vt:i4>
      </vt:variant>
      <vt:variant>
        <vt:i4>5</vt:i4>
      </vt:variant>
      <vt:variant>
        <vt:lpwstr/>
      </vt:variant>
      <vt:variant>
        <vt:lpwstr>_Toc406420207</vt:lpwstr>
      </vt:variant>
      <vt:variant>
        <vt:i4>1245234</vt:i4>
      </vt:variant>
      <vt:variant>
        <vt:i4>164</vt:i4>
      </vt:variant>
      <vt:variant>
        <vt:i4>0</vt:i4>
      </vt:variant>
      <vt:variant>
        <vt:i4>5</vt:i4>
      </vt:variant>
      <vt:variant>
        <vt:lpwstr/>
      </vt:variant>
      <vt:variant>
        <vt:lpwstr>_Toc406420206</vt:lpwstr>
      </vt:variant>
      <vt:variant>
        <vt:i4>1245234</vt:i4>
      </vt:variant>
      <vt:variant>
        <vt:i4>158</vt:i4>
      </vt:variant>
      <vt:variant>
        <vt:i4>0</vt:i4>
      </vt:variant>
      <vt:variant>
        <vt:i4>5</vt:i4>
      </vt:variant>
      <vt:variant>
        <vt:lpwstr/>
      </vt:variant>
      <vt:variant>
        <vt:lpwstr>_Toc406420205</vt:lpwstr>
      </vt:variant>
      <vt:variant>
        <vt:i4>1245234</vt:i4>
      </vt:variant>
      <vt:variant>
        <vt:i4>152</vt:i4>
      </vt:variant>
      <vt:variant>
        <vt:i4>0</vt:i4>
      </vt:variant>
      <vt:variant>
        <vt:i4>5</vt:i4>
      </vt:variant>
      <vt:variant>
        <vt:lpwstr/>
      </vt:variant>
      <vt:variant>
        <vt:lpwstr>_Toc406420204</vt:lpwstr>
      </vt:variant>
      <vt:variant>
        <vt:i4>1245234</vt:i4>
      </vt:variant>
      <vt:variant>
        <vt:i4>146</vt:i4>
      </vt:variant>
      <vt:variant>
        <vt:i4>0</vt:i4>
      </vt:variant>
      <vt:variant>
        <vt:i4>5</vt:i4>
      </vt:variant>
      <vt:variant>
        <vt:lpwstr/>
      </vt:variant>
      <vt:variant>
        <vt:lpwstr>_Toc406420203</vt:lpwstr>
      </vt:variant>
      <vt:variant>
        <vt:i4>1245234</vt:i4>
      </vt:variant>
      <vt:variant>
        <vt:i4>140</vt:i4>
      </vt:variant>
      <vt:variant>
        <vt:i4>0</vt:i4>
      </vt:variant>
      <vt:variant>
        <vt:i4>5</vt:i4>
      </vt:variant>
      <vt:variant>
        <vt:lpwstr/>
      </vt:variant>
      <vt:variant>
        <vt:lpwstr>_Toc406420202</vt:lpwstr>
      </vt:variant>
      <vt:variant>
        <vt:i4>1245234</vt:i4>
      </vt:variant>
      <vt:variant>
        <vt:i4>134</vt:i4>
      </vt:variant>
      <vt:variant>
        <vt:i4>0</vt:i4>
      </vt:variant>
      <vt:variant>
        <vt:i4>5</vt:i4>
      </vt:variant>
      <vt:variant>
        <vt:lpwstr/>
      </vt:variant>
      <vt:variant>
        <vt:lpwstr>_Toc406420201</vt:lpwstr>
      </vt:variant>
      <vt:variant>
        <vt:i4>1245234</vt:i4>
      </vt:variant>
      <vt:variant>
        <vt:i4>128</vt:i4>
      </vt:variant>
      <vt:variant>
        <vt:i4>0</vt:i4>
      </vt:variant>
      <vt:variant>
        <vt:i4>5</vt:i4>
      </vt:variant>
      <vt:variant>
        <vt:lpwstr/>
      </vt:variant>
      <vt:variant>
        <vt:lpwstr>_Toc406420200</vt:lpwstr>
      </vt:variant>
      <vt:variant>
        <vt:i4>1703985</vt:i4>
      </vt:variant>
      <vt:variant>
        <vt:i4>122</vt:i4>
      </vt:variant>
      <vt:variant>
        <vt:i4>0</vt:i4>
      </vt:variant>
      <vt:variant>
        <vt:i4>5</vt:i4>
      </vt:variant>
      <vt:variant>
        <vt:lpwstr/>
      </vt:variant>
      <vt:variant>
        <vt:lpwstr>_Toc406420199</vt:lpwstr>
      </vt:variant>
      <vt:variant>
        <vt:i4>1703985</vt:i4>
      </vt:variant>
      <vt:variant>
        <vt:i4>116</vt:i4>
      </vt:variant>
      <vt:variant>
        <vt:i4>0</vt:i4>
      </vt:variant>
      <vt:variant>
        <vt:i4>5</vt:i4>
      </vt:variant>
      <vt:variant>
        <vt:lpwstr/>
      </vt:variant>
      <vt:variant>
        <vt:lpwstr>_Toc406420198</vt:lpwstr>
      </vt:variant>
      <vt:variant>
        <vt:i4>1703985</vt:i4>
      </vt:variant>
      <vt:variant>
        <vt:i4>110</vt:i4>
      </vt:variant>
      <vt:variant>
        <vt:i4>0</vt:i4>
      </vt:variant>
      <vt:variant>
        <vt:i4>5</vt:i4>
      </vt:variant>
      <vt:variant>
        <vt:lpwstr/>
      </vt:variant>
      <vt:variant>
        <vt:lpwstr>_Toc406420197</vt:lpwstr>
      </vt:variant>
      <vt:variant>
        <vt:i4>1703985</vt:i4>
      </vt:variant>
      <vt:variant>
        <vt:i4>104</vt:i4>
      </vt:variant>
      <vt:variant>
        <vt:i4>0</vt:i4>
      </vt:variant>
      <vt:variant>
        <vt:i4>5</vt:i4>
      </vt:variant>
      <vt:variant>
        <vt:lpwstr/>
      </vt:variant>
      <vt:variant>
        <vt:lpwstr>_Toc406420196</vt:lpwstr>
      </vt:variant>
      <vt:variant>
        <vt:i4>1703985</vt:i4>
      </vt:variant>
      <vt:variant>
        <vt:i4>98</vt:i4>
      </vt:variant>
      <vt:variant>
        <vt:i4>0</vt:i4>
      </vt:variant>
      <vt:variant>
        <vt:i4>5</vt:i4>
      </vt:variant>
      <vt:variant>
        <vt:lpwstr/>
      </vt:variant>
      <vt:variant>
        <vt:lpwstr>_Toc406420195</vt:lpwstr>
      </vt:variant>
      <vt:variant>
        <vt:i4>1703985</vt:i4>
      </vt:variant>
      <vt:variant>
        <vt:i4>92</vt:i4>
      </vt:variant>
      <vt:variant>
        <vt:i4>0</vt:i4>
      </vt:variant>
      <vt:variant>
        <vt:i4>5</vt:i4>
      </vt:variant>
      <vt:variant>
        <vt:lpwstr/>
      </vt:variant>
      <vt:variant>
        <vt:lpwstr>_Toc406420194</vt:lpwstr>
      </vt:variant>
      <vt:variant>
        <vt:i4>1703985</vt:i4>
      </vt:variant>
      <vt:variant>
        <vt:i4>86</vt:i4>
      </vt:variant>
      <vt:variant>
        <vt:i4>0</vt:i4>
      </vt:variant>
      <vt:variant>
        <vt:i4>5</vt:i4>
      </vt:variant>
      <vt:variant>
        <vt:lpwstr/>
      </vt:variant>
      <vt:variant>
        <vt:lpwstr>_Toc406420193</vt:lpwstr>
      </vt:variant>
      <vt:variant>
        <vt:i4>1703985</vt:i4>
      </vt:variant>
      <vt:variant>
        <vt:i4>80</vt:i4>
      </vt:variant>
      <vt:variant>
        <vt:i4>0</vt:i4>
      </vt:variant>
      <vt:variant>
        <vt:i4>5</vt:i4>
      </vt:variant>
      <vt:variant>
        <vt:lpwstr/>
      </vt:variant>
      <vt:variant>
        <vt:lpwstr>_Toc406420192</vt:lpwstr>
      </vt:variant>
      <vt:variant>
        <vt:i4>1703985</vt:i4>
      </vt:variant>
      <vt:variant>
        <vt:i4>74</vt:i4>
      </vt:variant>
      <vt:variant>
        <vt:i4>0</vt:i4>
      </vt:variant>
      <vt:variant>
        <vt:i4>5</vt:i4>
      </vt:variant>
      <vt:variant>
        <vt:lpwstr/>
      </vt:variant>
      <vt:variant>
        <vt:lpwstr>_Toc406420191</vt:lpwstr>
      </vt:variant>
      <vt:variant>
        <vt:i4>1703985</vt:i4>
      </vt:variant>
      <vt:variant>
        <vt:i4>68</vt:i4>
      </vt:variant>
      <vt:variant>
        <vt:i4>0</vt:i4>
      </vt:variant>
      <vt:variant>
        <vt:i4>5</vt:i4>
      </vt:variant>
      <vt:variant>
        <vt:lpwstr/>
      </vt:variant>
      <vt:variant>
        <vt:lpwstr>_Toc406420190</vt:lpwstr>
      </vt:variant>
      <vt:variant>
        <vt:i4>1769521</vt:i4>
      </vt:variant>
      <vt:variant>
        <vt:i4>62</vt:i4>
      </vt:variant>
      <vt:variant>
        <vt:i4>0</vt:i4>
      </vt:variant>
      <vt:variant>
        <vt:i4>5</vt:i4>
      </vt:variant>
      <vt:variant>
        <vt:lpwstr/>
      </vt:variant>
      <vt:variant>
        <vt:lpwstr>_Toc406420189</vt:lpwstr>
      </vt:variant>
      <vt:variant>
        <vt:i4>1769521</vt:i4>
      </vt:variant>
      <vt:variant>
        <vt:i4>56</vt:i4>
      </vt:variant>
      <vt:variant>
        <vt:i4>0</vt:i4>
      </vt:variant>
      <vt:variant>
        <vt:i4>5</vt:i4>
      </vt:variant>
      <vt:variant>
        <vt:lpwstr/>
      </vt:variant>
      <vt:variant>
        <vt:lpwstr>_Toc406420188</vt:lpwstr>
      </vt:variant>
      <vt:variant>
        <vt:i4>1769521</vt:i4>
      </vt:variant>
      <vt:variant>
        <vt:i4>50</vt:i4>
      </vt:variant>
      <vt:variant>
        <vt:i4>0</vt:i4>
      </vt:variant>
      <vt:variant>
        <vt:i4>5</vt:i4>
      </vt:variant>
      <vt:variant>
        <vt:lpwstr/>
      </vt:variant>
      <vt:variant>
        <vt:lpwstr>_Toc406420187</vt:lpwstr>
      </vt:variant>
      <vt:variant>
        <vt:i4>1769521</vt:i4>
      </vt:variant>
      <vt:variant>
        <vt:i4>44</vt:i4>
      </vt:variant>
      <vt:variant>
        <vt:i4>0</vt:i4>
      </vt:variant>
      <vt:variant>
        <vt:i4>5</vt:i4>
      </vt:variant>
      <vt:variant>
        <vt:lpwstr/>
      </vt:variant>
      <vt:variant>
        <vt:lpwstr>_Toc406420186</vt:lpwstr>
      </vt:variant>
      <vt:variant>
        <vt:i4>1769521</vt:i4>
      </vt:variant>
      <vt:variant>
        <vt:i4>38</vt:i4>
      </vt:variant>
      <vt:variant>
        <vt:i4>0</vt:i4>
      </vt:variant>
      <vt:variant>
        <vt:i4>5</vt:i4>
      </vt:variant>
      <vt:variant>
        <vt:lpwstr/>
      </vt:variant>
      <vt:variant>
        <vt:lpwstr>_Toc406420185</vt:lpwstr>
      </vt:variant>
      <vt:variant>
        <vt:i4>1769521</vt:i4>
      </vt:variant>
      <vt:variant>
        <vt:i4>32</vt:i4>
      </vt:variant>
      <vt:variant>
        <vt:i4>0</vt:i4>
      </vt:variant>
      <vt:variant>
        <vt:i4>5</vt:i4>
      </vt:variant>
      <vt:variant>
        <vt:lpwstr/>
      </vt:variant>
      <vt:variant>
        <vt:lpwstr>_Toc406420184</vt:lpwstr>
      </vt:variant>
      <vt:variant>
        <vt:i4>1769521</vt:i4>
      </vt:variant>
      <vt:variant>
        <vt:i4>26</vt:i4>
      </vt:variant>
      <vt:variant>
        <vt:i4>0</vt:i4>
      </vt:variant>
      <vt:variant>
        <vt:i4>5</vt:i4>
      </vt:variant>
      <vt:variant>
        <vt:lpwstr/>
      </vt:variant>
      <vt:variant>
        <vt:lpwstr>_Toc406420183</vt:lpwstr>
      </vt:variant>
      <vt:variant>
        <vt:i4>1769521</vt:i4>
      </vt:variant>
      <vt:variant>
        <vt:i4>20</vt:i4>
      </vt:variant>
      <vt:variant>
        <vt:i4>0</vt:i4>
      </vt:variant>
      <vt:variant>
        <vt:i4>5</vt:i4>
      </vt:variant>
      <vt:variant>
        <vt:lpwstr/>
      </vt:variant>
      <vt:variant>
        <vt:lpwstr>_Toc406420182</vt:lpwstr>
      </vt:variant>
      <vt:variant>
        <vt:i4>1769521</vt:i4>
      </vt:variant>
      <vt:variant>
        <vt:i4>14</vt:i4>
      </vt:variant>
      <vt:variant>
        <vt:i4>0</vt:i4>
      </vt:variant>
      <vt:variant>
        <vt:i4>5</vt:i4>
      </vt:variant>
      <vt:variant>
        <vt:lpwstr/>
      </vt:variant>
      <vt:variant>
        <vt:lpwstr>_Toc406420181</vt:lpwstr>
      </vt:variant>
      <vt:variant>
        <vt:i4>1769521</vt:i4>
      </vt:variant>
      <vt:variant>
        <vt:i4>8</vt:i4>
      </vt:variant>
      <vt:variant>
        <vt:i4>0</vt:i4>
      </vt:variant>
      <vt:variant>
        <vt:i4>5</vt:i4>
      </vt:variant>
      <vt:variant>
        <vt:lpwstr/>
      </vt:variant>
      <vt:variant>
        <vt:lpwstr>_Toc406420180</vt:lpwstr>
      </vt:variant>
      <vt:variant>
        <vt:i4>1310769</vt:i4>
      </vt:variant>
      <vt:variant>
        <vt:i4>2</vt:i4>
      </vt:variant>
      <vt:variant>
        <vt:i4>0</vt:i4>
      </vt:variant>
      <vt:variant>
        <vt:i4>5</vt:i4>
      </vt:variant>
      <vt:variant>
        <vt:lpwstr/>
      </vt:variant>
      <vt:variant>
        <vt:lpwstr>_Toc406420179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招募说明书</dc:subject>
  <dc:creator>廖生暖</dc:creator>
  <cp:keywords/>
  <dc:description/>
  <cp:lastModifiedBy>陈红</cp:lastModifiedBy>
  <cp:revision>8</cp:revision>
  <cp:lastPrinted>2015-03-29T15:19:00Z</cp:lastPrinted>
  <dcterms:created xsi:type="dcterms:W3CDTF">2021-07-21T07:51:00Z</dcterms:created>
  <dcterms:modified xsi:type="dcterms:W3CDTF">2021-07-21T11:16:00Z</dcterms:modified>
  <cp:category>募集注册文件</cp:category>
</cp:coreProperties>
</file>