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42" w:lineRule="auto" w:before="152"/>
        <w:ind w:left="2765" w:right="2166" w:hanging="725"/>
        <w:jc w:val="left"/>
        <w:rPr>
          <w:b/>
          <w:sz w:val="48"/>
        </w:rPr>
      </w:pPr>
      <w:r>
        <w:rPr>
          <w:b/>
          <w:w w:val="95"/>
          <w:sz w:val="48"/>
        </w:rPr>
        <w:t>华夏现金增利证券投资基金</w:t>
      </w:r>
      <w:r>
        <w:rPr>
          <w:b/>
          <w:sz w:val="48"/>
        </w:rPr>
        <w:t>招募说明书（更新）</w:t>
      </w:r>
    </w:p>
    <w:p>
      <w:pPr>
        <w:pStyle w:val="BodyText"/>
        <w:spacing w:before="3"/>
        <w:rPr>
          <w:b/>
          <w:sz w:val="49"/>
        </w:rPr>
      </w:pPr>
    </w:p>
    <w:p>
      <w:pPr>
        <w:spacing w:before="0"/>
        <w:ind w:left="847" w:right="0" w:firstLine="0"/>
        <w:jc w:val="center"/>
        <w:rPr>
          <w:b/>
          <w:sz w:val="48"/>
        </w:rPr>
      </w:pPr>
      <w:r>
        <w:rPr>
          <w:rFonts w:ascii="Times New Roman" w:eastAsia="Times New Roman"/>
          <w:b/>
          <w:sz w:val="48"/>
        </w:rPr>
        <w:t>2020 </w:t>
      </w:r>
      <w:r>
        <w:rPr>
          <w:b/>
          <w:spacing w:val="-60"/>
          <w:sz w:val="48"/>
        </w:rPr>
        <w:t>年 </w:t>
      </w:r>
      <w:r>
        <w:rPr>
          <w:rFonts w:ascii="Times New Roman" w:eastAsia="Times New Roman"/>
          <w:b/>
          <w:sz w:val="48"/>
        </w:rPr>
        <w:t>9 </w:t>
      </w:r>
      <w:r>
        <w:rPr>
          <w:b/>
          <w:spacing w:val="-60"/>
          <w:sz w:val="48"/>
        </w:rPr>
        <w:t>月 </w:t>
      </w:r>
      <w:r>
        <w:rPr>
          <w:rFonts w:ascii="Times New Roman" w:eastAsia="Times New Roman"/>
          <w:b/>
          <w:sz w:val="48"/>
        </w:rPr>
        <w:t>30 </w:t>
      </w:r>
      <w:r>
        <w:rPr>
          <w:b/>
          <w:sz w:val="48"/>
        </w:rPr>
        <w:t>日公告</w:t>
      </w: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spacing w:before="10"/>
        <w:rPr>
          <w:b/>
          <w:sz w:val="49"/>
        </w:rPr>
      </w:pPr>
    </w:p>
    <w:p>
      <w:pPr>
        <w:spacing w:before="0"/>
        <w:ind w:left="2477" w:right="0" w:firstLine="0"/>
        <w:jc w:val="left"/>
        <w:rPr>
          <w:sz w:val="32"/>
        </w:rPr>
      </w:pPr>
      <w:r>
        <w:rPr>
          <w:sz w:val="32"/>
        </w:rPr>
        <w:t>基金管理人：华夏基金管理有限公司</w:t>
      </w:r>
    </w:p>
    <w:p>
      <w:pPr>
        <w:spacing w:before="215"/>
        <w:ind w:left="2477" w:right="0" w:firstLine="0"/>
        <w:jc w:val="left"/>
        <w:rPr>
          <w:sz w:val="32"/>
        </w:rPr>
      </w:pPr>
      <w:r>
        <w:rPr>
          <w:sz w:val="32"/>
        </w:rPr>
        <w:t>基金托管人：中国建设银行股份有限公司</w:t>
      </w:r>
    </w:p>
    <w:p>
      <w:pPr>
        <w:spacing w:after="0"/>
        <w:jc w:val="left"/>
        <w:rPr>
          <w:sz w:val="32"/>
        </w:rPr>
        <w:sectPr>
          <w:type w:val="continuous"/>
          <w:pgSz w:w="11910" w:h="16840"/>
          <w:pgMar w:top="1580" w:bottom="280" w:left="1020" w:right="900"/>
        </w:sectPr>
      </w:pPr>
    </w:p>
    <w:p>
      <w:pPr>
        <w:spacing w:before="61"/>
        <w:ind w:left="4512" w:right="0" w:firstLine="0"/>
        <w:jc w:val="left"/>
        <w:rPr>
          <w:b/>
          <w:sz w:val="21"/>
        </w:rPr>
      </w:pPr>
      <w:r>
        <w:rPr>
          <w:b/>
          <w:sz w:val="21"/>
        </w:rPr>
        <w:t>重要提示</w:t>
      </w:r>
    </w:p>
    <w:p>
      <w:pPr>
        <w:pStyle w:val="BodyText"/>
        <w:spacing w:before="7"/>
        <w:rPr>
          <w:b/>
          <w:sz w:val="15"/>
        </w:rPr>
      </w:pPr>
    </w:p>
    <w:p>
      <w:pPr>
        <w:pStyle w:val="BodyText"/>
        <w:spacing w:line="417" w:lineRule="auto"/>
        <w:ind w:left="778" w:right="810" w:firstLine="419"/>
      </w:pPr>
      <w:r>
        <w:rPr/>
        <w:t>华夏现金增利证券投资基金（以下简称“本基金”）经中国证监会</w:t>
      </w:r>
      <w:r>
        <w:rPr>
          <w:rFonts w:ascii="Times New Roman" w:hAnsi="Times New Roman" w:eastAsia="Times New Roman"/>
        </w:rPr>
        <w:t>2004</w:t>
      </w:r>
      <w:r>
        <w:rPr/>
        <w:t>年</w:t>
      </w:r>
      <w:r>
        <w:rPr>
          <w:rFonts w:ascii="Times New Roman" w:hAnsi="Times New Roman" w:eastAsia="Times New Roman"/>
        </w:rPr>
        <w:t>3</w:t>
      </w:r>
      <w:r>
        <w:rPr/>
        <w:t>月</w:t>
      </w:r>
      <w:r>
        <w:rPr>
          <w:rFonts w:ascii="Times New Roman" w:hAnsi="Times New Roman" w:eastAsia="Times New Roman"/>
        </w:rPr>
        <w:t>5</w:t>
      </w:r>
      <w:r>
        <w:rPr/>
        <w:t>日证监基金字</w:t>
      </w:r>
      <w:r>
        <w:rPr>
          <w:rFonts w:ascii="Times New Roman" w:hAnsi="Times New Roman" w:eastAsia="Times New Roman"/>
        </w:rPr>
        <w:t>[2004]23</w:t>
      </w:r>
      <w:r>
        <w:rPr/>
        <w:t>号文批准募集。本基金基金合同于</w:t>
      </w:r>
      <w:r>
        <w:rPr>
          <w:rFonts w:ascii="Times New Roman" w:hAnsi="Times New Roman" w:eastAsia="Times New Roman"/>
        </w:rPr>
        <w:t>2004</w:t>
      </w:r>
      <w:r>
        <w:rPr/>
        <w:t>年</w:t>
      </w:r>
      <w:r>
        <w:rPr>
          <w:rFonts w:ascii="Times New Roman" w:hAnsi="Times New Roman" w:eastAsia="Times New Roman"/>
        </w:rPr>
        <w:t>4</w:t>
      </w:r>
      <w:r>
        <w:rPr/>
        <w:t>月</w:t>
      </w:r>
      <w:r>
        <w:rPr>
          <w:rFonts w:ascii="Times New Roman" w:hAnsi="Times New Roman" w:eastAsia="Times New Roman"/>
        </w:rPr>
        <w:t>7</w:t>
      </w:r>
      <w:r>
        <w:rPr/>
        <w:t>日正式生效。</w:t>
      </w:r>
    </w:p>
    <w:p>
      <w:pPr>
        <w:pStyle w:val="BodyText"/>
        <w:spacing w:line="417" w:lineRule="auto"/>
        <w:ind w:left="778" w:right="785" w:firstLine="419"/>
        <w:jc w:val="both"/>
      </w:pPr>
      <w:r>
        <w:rPr>
          <w:spacing w:val="-13"/>
        </w:rPr>
        <w:t>基金管理人保证招募说明书的内容真实、准确、完整。本招募说明书经中国证监会核准， </w:t>
      </w:r>
      <w:r>
        <w:rPr>
          <w:spacing w:val="-6"/>
        </w:rPr>
        <w:t>但中国证监会对本基金的核准，并不表明其对本基金的价值和收益作出实质性判断或保证， </w:t>
      </w:r>
      <w:r>
        <w:rPr>
          <w:spacing w:val="-4"/>
        </w:rPr>
        <w:t>也不表明投资于本基金没有风险。</w:t>
      </w:r>
    </w:p>
    <w:p>
      <w:pPr>
        <w:pStyle w:val="BodyText"/>
        <w:spacing w:line="417" w:lineRule="auto"/>
        <w:ind w:left="778" w:right="888" w:firstLine="419"/>
        <w:jc w:val="both"/>
      </w:pPr>
      <w:r>
        <w:rPr>
          <w:spacing w:val="-9"/>
        </w:rPr>
        <w:t>本基金投资于证券市场，投资者根据所持有的基金份额享受基金收益，同时承担相应的</w:t>
      </w:r>
      <w:r>
        <w:rPr>
          <w:spacing w:val="-11"/>
        </w:rPr>
        <w:t>投资风险。本基金投资中的风险包括利率风险、信用风险、流动性风险、基金管理人的积极</w:t>
      </w:r>
      <w:r>
        <w:rPr>
          <w:spacing w:val="-10"/>
        </w:rPr>
        <w:t>管理风险以及本基金的其他特定风险等。本基金属于证券投资基金中低风险的品种，其长期</w:t>
      </w:r>
      <w:r>
        <w:rPr>
          <w:spacing w:val="-15"/>
        </w:rPr>
        <w:t>平均的风险和预期收益率低于股票基金、混合基金和债券基金。根据</w:t>
      </w:r>
      <w:r>
        <w:rPr>
          <w:rFonts w:ascii="Times New Roman" w:eastAsia="Times New Roman"/>
        </w:rPr>
        <w:t>2017</w:t>
      </w:r>
      <w:r>
        <w:rPr>
          <w:spacing w:val="-3"/>
        </w:rPr>
        <w:t>年</w:t>
      </w:r>
      <w:r>
        <w:rPr>
          <w:rFonts w:ascii="Times New Roman" w:eastAsia="Times New Roman"/>
        </w:rPr>
        <w:t>7</w:t>
      </w:r>
      <w:r>
        <w:rPr/>
        <w:t>月</w:t>
      </w:r>
      <w:r>
        <w:rPr>
          <w:rFonts w:ascii="Times New Roman" w:eastAsia="Times New Roman"/>
        </w:rPr>
        <w:t>1</w:t>
      </w:r>
      <w:r>
        <w:rPr>
          <w:spacing w:val="-19"/>
        </w:rPr>
        <w:t>日施行的《证</w:t>
      </w:r>
      <w:r>
        <w:rPr>
          <w:spacing w:val="-14"/>
        </w:rPr>
        <w:t>券期货投资者适当性管理办法》，基金管理人和销售机构已对本基金重新进行风险评级，风</w:t>
      </w:r>
      <w:r>
        <w:rPr>
          <w:spacing w:val="-11"/>
        </w:rPr>
        <w:t>险评级行为不改变基金的实质性风险收益特征，但由于风险分类标准的变化，本基金的风险</w:t>
      </w:r>
      <w:r>
        <w:rPr>
          <w:spacing w:val="-13"/>
        </w:rPr>
        <w:t>等级表述可能有相应变化，具体风险评级结果应以基金管理人和销售机构提供的评级结果为准。</w:t>
      </w:r>
    </w:p>
    <w:p>
      <w:pPr>
        <w:pStyle w:val="BodyText"/>
        <w:spacing w:line="417" w:lineRule="auto"/>
        <w:ind w:left="778" w:right="800" w:firstLine="419"/>
      </w:pPr>
      <w:r>
        <w:rPr>
          <w:spacing w:val="-10"/>
        </w:rPr>
        <w:t>投资有风险，投资人申购基金时，应认真阅读本招募说明书、基金产品资料概要，全面</w:t>
      </w:r>
      <w:r>
        <w:rPr>
          <w:spacing w:val="-5"/>
        </w:rPr>
        <w:t>认识本基金的风险收益特征和产品特性，并充分考虑自身的风险承受能力，理性判断市场， </w:t>
      </w:r>
      <w:r>
        <w:rPr>
          <w:spacing w:val="-4"/>
        </w:rPr>
        <w:t>谨慎做出投资决策。</w:t>
      </w:r>
    </w:p>
    <w:p>
      <w:pPr>
        <w:pStyle w:val="BodyText"/>
        <w:spacing w:line="417" w:lineRule="auto"/>
        <w:ind w:left="778" w:right="891" w:firstLine="419"/>
      </w:pPr>
      <w:r>
        <w:rPr>
          <w:spacing w:val="-9"/>
        </w:rPr>
        <w:t>基金产品资料概要编制、披露与更新要求，自《信息披露办法》实施之日起一年后开始执行。</w:t>
      </w:r>
    </w:p>
    <w:p>
      <w:pPr>
        <w:pStyle w:val="BodyText"/>
        <w:spacing w:line="269" w:lineRule="exact"/>
        <w:ind w:left="1198"/>
      </w:pPr>
      <w:r>
        <w:rPr/>
        <w:t>基金的过往业绩并不预示其未来表现。</w:t>
      </w:r>
    </w:p>
    <w:p>
      <w:pPr>
        <w:pStyle w:val="BodyText"/>
        <w:spacing w:before="5"/>
        <w:rPr>
          <w:sz w:val="15"/>
        </w:rPr>
      </w:pPr>
    </w:p>
    <w:p>
      <w:pPr>
        <w:pStyle w:val="BodyText"/>
        <w:spacing w:line="417" w:lineRule="auto"/>
        <w:ind w:left="778" w:right="890" w:firstLine="419"/>
        <w:jc w:val="both"/>
      </w:pPr>
      <w:r>
        <w:rPr>
          <w:spacing w:val="-9"/>
        </w:rPr>
        <w:t>基金管理人依照恪尽职守、诚实信用、谨慎勤勉的原则管理和运用基金财产，投资者购</w:t>
      </w:r>
      <w:r>
        <w:rPr>
          <w:spacing w:val="-8"/>
        </w:rPr>
        <w:t>买本基金并不等于将资金作为存款存放在银行或存款类金融机构，基金管理人不保证基金一</w:t>
      </w:r>
      <w:r>
        <w:rPr>
          <w:spacing w:val="-5"/>
        </w:rPr>
        <w:t>定盈利，也不保证最低收益。</w:t>
      </w:r>
    </w:p>
    <w:p>
      <w:pPr>
        <w:pStyle w:val="BodyText"/>
        <w:ind w:left="1198"/>
      </w:pPr>
      <w:r>
        <w:rPr/>
        <w:t>投资者应当认真阅读并完全理解基金合同规定的免责条款和规定的争议处理方式。</w:t>
      </w:r>
    </w:p>
    <w:p>
      <w:pPr>
        <w:pStyle w:val="BodyText"/>
        <w:spacing w:before="7"/>
        <w:rPr>
          <w:sz w:val="15"/>
        </w:rPr>
      </w:pPr>
    </w:p>
    <w:p>
      <w:pPr>
        <w:pStyle w:val="BodyText"/>
        <w:spacing w:line="417" w:lineRule="auto"/>
        <w:ind w:left="778" w:right="889" w:firstLine="419"/>
      </w:pPr>
      <w:r>
        <w:rPr>
          <w:spacing w:val="-3"/>
        </w:rPr>
        <w:t>本招募说明书所载内容截止日为</w:t>
      </w:r>
      <w:r>
        <w:rPr>
          <w:rFonts w:ascii="Times New Roman" w:eastAsia="Times New Roman"/>
        </w:rPr>
        <w:t>2020</w:t>
      </w:r>
      <w:r>
        <w:rPr/>
        <w:t>年</w:t>
      </w:r>
      <w:r>
        <w:rPr>
          <w:rFonts w:ascii="Times New Roman" w:eastAsia="Times New Roman"/>
        </w:rPr>
        <w:t>9</w:t>
      </w:r>
      <w:r>
        <w:rPr>
          <w:spacing w:val="-3"/>
        </w:rPr>
        <w:t>月</w:t>
      </w:r>
      <w:r>
        <w:rPr>
          <w:rFonts w:ascii="Times New Roman" w:eastAsia="Times New Roman"/>
        </w:rPr>
        <w:t>28</w:t>
      </w:r>
      <w:r>
        <w:rPr>
          <w:spacing w:val="-3"/>
        </w:rPr>
        <w:t>日，有关财务数据和净值表现数据截止日为</w:t>
      </w:r>
      <w:r>
        <w:rPr>
          <w:rFonts w:ascii="Times New Roman" w:eastAsia="Times New Roman"/>
          <w:spacing w:val="-3"/>
        </w:rPr>
        <w:t>2020</w:t>
      </w:r>
      <w:r>
        <w:rPr>
          <w:spacing w:val="-3"/>
        </w:rPr>
        <w:t>年</w:t>
      </w:r>
      <w:r>
        <w:rPr>
          <w:rFonts w:ascii="Times New Roman" w:eastAsia="Times New Roman"/>
          <w:spacing w:val="-3"/>
        </w:rPr>
        <w:t>6</w:t>
      </w:r>
      <w:r>
        <w:rPr/>
        <w:t>月</w:t>
      </w:r>
      <w:r>
        <w:rPr>
          <w:rFonts w:ascii="Times New Roman" w:eastAsia="Times New Roman"/>
        </w:rPr>
        <w:t>30</w:t>
      </w:r>
      <w:r>
        <w:rPr>
          <w:spacing w:val="-53"/>
        </w:rPr>
        <w:t>日。</w:t>
      </w:r>
      <w:r>
        <w:rPr>
          <w:spacing w:val="-3"/>
        </w:rPr>
        <w:t>（本招募说明书中的财务资料未经审计</w:t>
      </w:r>
      <w:r>
        <w:rPr/>
        <w:t>）</w:t>
      </w:r>
    </w:p>
    <w:p>
      <w:pPr>
        <w:spacing w:after="0" w:line="417" w:lineRule="auto"/>
        <w:sectPr>
          <w:headerReference w:type="default" r:id="rId5"/>
          <w:pgSz w:w="11910" w:h="16840"/>
          <w:pgMar w:header="877" w:footer="0" w:top="1280" w:bottom="280" w:left="1020" w:right="900"/>
        </w:sectPr>
      </w:pPr>
    </w:p>
    <w:p>
      <w:pPr>
        <w:tabs>
          <w:tab w:pos="724" w:val="left" w:leader="none"/>
        </w:tabs>
        <w:spacing w:before="61"/>
        <w:ind w:left="301" w:right="0" w:firstLine="0"/>
        <w:jc w:val="center"/>
        <w:rPr>
          <w:b/>
          <w:sz w:val="21"/>
        </w:rPr>
      </w:pPr>
      <w:r>
        <w:rPr>
          <w:b/>
          <w:sz w:val="21"/>
        </w:rPr>
        <w:t>目</w:t>
        <w:tab/>
        <w:t>录</w:t>
      </w:r>
    </w:p>
    <w:sdt>
      <w:sdtPr>
        <w:docPartObj>
          <w:docPartGallery w:val="Table of Contents"/>
          <w:docPartUnique/>
        </w:docPartObj>
      </w:sdtPr>
      <w:sdtEndPr/>
      <w:sdtContent>
        <w:p>
          <w:pPr>
            <w:pStyle w:val="TOC1"/>
            <w:tabs>
              <w:tab w:pos="9076" w:val="right" w:leader="dot"/>
            </w:tabs>
            <w:spacing w:before="200"/>
            <w:rPr>
              <w:rFonts w:ascii="Times New Roman" w:eastAsia="Times New Roman"/>
            </w:rPr>
          </w:pPr>
          <w:hyperlink w:history="true" w:anchor="_bookmark0">
            <w:r>
              <w:rPr/>
              <w:t>一、</w:t>
            </w:r>
            <w:r>
              <w:rPr>
                <w:spacing w:val="-3"/>
              </w:rPr>
              <w:t>绪</w:t>
            </w:r>
            <w:r>
              <w:rPr/>
              <w:t>言</w:t>
              <w:tab/>
            </w:r>
            <w:r>
              <w:rPr>
                <w:rFonts w:ascii="Times New Roman" w:eastAsia="Times New Roman"/>
              </w:rPr>
              <w:t>1</w:t>
            </w:r>
          </w:hyperlink>
        </w:p>
        <w:p>
          <w:pPr>
            <w:pStyle w:val="TOC1"/>
            <w:tabs>
              <w:tab w:pos="9076" w:val="right" w:leader="dot"/>
            </w:tabs>
            <w:spacing w:before="198"/>
            <w:rPr>
              <w:rFonts w:ascii="Times New Roman" w:eastAsia="Times New Roman"/>
            </w:rPr>
          </w:pPr>
          <w:hyperlink w:history="true" w:anchor="_bookmark1">
            <w:r>
              <w:rPr/>
              <w:t>二、</w:t>
            </w:r>
            <w:r>
              <w:rPr>
                <w:spacing w:val="-3"/>
              </w:rPr>
              <w:t>释</w:t>
            </w:r>
            <w:r>
              <w:rPr/>
              <w:t>义</w:t>
              <w:tab/>
            </w:r>
            <w:r>
              <w:rPr>
                <w:rFonts w:ascii="Times New Roman" w:eastAsia="Times New Roman"/>
              </w:rPr>
              <w:t>1</w:t>
            </w:r>
          </w:hyperlink>
        </w:p>
        <w:p>
          <w:pPr>
            <w:pStyle w:val="TOC1"/>
            <w:tabs>
              <w:tab w:pos="9076" w:val="right" w:leader="dot"/>
            </w:tabs>
            <w:rPr>
              <w:rFonts w:ascii="Times New Roman" w:eastAsia="Times New Roman"/>
            </w:rPr>
          </w:pPr>
          <w:hyperlink w:history="true" w:anchor="_bookmark2">
            <w:r>
              <w:rPr/>
              <w:t>三、</w:t>
            </w:r>
            <w:r>
              <w:rPr>
                <w:spacing w:val="-3"/>
              </w:rPr>
              <w:t>基</w:t>
            </w:r>
            <w:r>
              <w:rPr/>
              <w:t>金</w:t>
            </w:r>
            <w:r>
              <w:rPr>
                <w:spacing w:val="-3"/>
              </w:rPr>
              <w:t>管</w:t>
            </w:r>
            <w:r>
              <w:rPr/>
              <w:t>理人</w:t>
              <w:tab/>
            </w:r>
            <w:r>
              <w:rPr>
                <w:rFonts w:ascii="Times New Roman" w:eastAsia="Times New Roman"/>
              </w:rPr>
              <w:t>4</w:t>
            </w:r>
          </w:hyperlink>
        </w:p>
        <w:p>
          <w:pPr>
            <w:pStyle w:val="TOC1"/>
            <w:tabs>
              <w:tab w:pos="9076" w:val="right" w:leader="dot"/>
            </w:tabs>
            <w:rPr>
              <w:rFonts w:ascii="Times New Roman" w:eastAsia="Times New Roman"/>
            </w:rPr>
          </w:pPr>
          <w:hyperlink w:history="true" w:anchor="_bookmark3">
            <w:r>
              <w:rPr/>
              <w:t>四、</w:t>
            </w:r>
            <w:r>
              <w:rPr>
                <w:spacing w:val="-3"/>
              </w:rPr>
              <w:t>基</w:t>
            </w:r>
            <w:r>
              <w:rPr/>
              <w:t>金</w:t>
            </w:r>
            <w:r>
              <w:rPr>
                <w:spacing w:val="-3"/>
              </w:rPr>
              <w:t>托</w:t>
            </w:r>
            <w:r>
              <w:rPr/>
              <w:t>管人</w:t>
              <w:tab/>
            </w:r>
            <w:r>
              <w:rPr>
                <w:rFonts w:ascii="Times New Roman" w:eastAsia="Times New Roman"/>
              </w:rPr>
              <w:t>12</w:t>
            </w:r>
          </w:hyperlink>
        </w:p>
        <w:p>
          <w:pPr>
            <w:pStyle w:val="TOC1"/>
            <w:tabs>
              <w:tab w:pos="9076" w:val="right" w:leader="dot"/>
            </w:tabs>
            <w:rPr>
              <w:rFonts w:ascii="Times New Roman" w:eastAsia="Times New Roman"/>
            </w:rPr>
          </w:pPr>
          <w:hyperlink w:history="true" w:anchor="_bookmark4">
            <w:r>
              <w:rPr/>
              <w:t>五、</w:t>
            </w:r>
            <w:r>
              <w:rPr>
                <w:spacing w:val="-3"/>
              </w:rPr>
              <w:t>相</w:t>
            </w:r>
            <w:r>
              <w:rPr/>
              <w:t>关</w:t>
            </w:r>
            <w:r>
              <w:rPr>
                <w:spacing w:val="-3"/>
              </w:rPr>
              <w:t>服</w:t>
            </w:r>
            <w:r>
              <w:rPr/>
              <w:t>务</w:t>
            </w:r>
            <w:r>
              <w:rPr>
                <w:spacing w:val="-3"/>
              </w:rPr>
              <w:t>机</w:t>
            </w:r>
            <w:r>
              <w:rPr/>
              <w:t>构</w:t>
              <w:tab/>
            </w:r>
            <w:r>
              <w:rPr>
                <w:rFonts w:ascii="Times New Roman" w:eastAsia="Times New Roman"/>
              </w:rPr>
              <w:t>14</w:t>
            </w:r>
          </w:hyperlink>
        </w:p>
        <w:p>
          <w:pPr>
            <w:pStyle w:val="TOC1"/>
            <w:tabs>
              <w:tab w:pos="9076" w:val="right" w:leader="dot"/>
            </w:tabs>
            <w:rPr>
              <w:rFonts w:ascii="Times New Roman" w:eastAsia="Times New Roman"/>
            </w:rPr>
          </w:pPr>
          <w:hyperlink w:history="true" w:anchor="_bookmark5">
            <w:r>
              <w:rPr/>
              <w:t>六、</w:t>
            </w:r>
            <w:r>
              <w:rPr>
                <w:spacing w:val="-3"/>
              </w:rPr>
              <w:t>基</w:t>
            </w:r>
            <w:r>
              <w:rPr/>
              <w:t>金</w:t>
            </w:r>
            <w:r>
              <w:rPr>
                <w:spacing w:val="-3"/>
              </w:rPr>
              <w:t>份</w:t>
            </w:r>
            <w:r>
              <w:rPr/>
              <w:t>额</w:t>
            </w:r>
            <w:r>
              <w:rPr>
                <w:spacing w:val="-3"/>
              </w:rPr>
              <w:t>的</w:t>
            </w:r>
            <w:r>
              <w:rPr/>
              <w:t>类</w:t>
            </w:r>
            <w:r>
              <w:rPr>
                <w:spacing w:val="-3"/>
              </w:rPr>
              <w:t>别</w:t>
            </w:r>
            <w:r>
              <w:rPr/>
              <w:t>设置</w:t>
              <w:tab/>
            </w:r>
            <w:r>
              <w:rPr>
                <w:rFonts w:ascii="Times New Roman" w:eastAsia="Times New Roman"/>
              </w:rPr>
              <w:t>77</w:t>
            </w:r>
          </w:hyperlink>
        </w:p>
        <w:p>
          <w:pPr>
            <w:pStyle w:val="TOC1"/>
            <w:tabs>
              <w:tab w:pos="9076" w:val="right" w:leader="dot"/>
            </w:tabs>
            <w:rPr>
              <w:rFonts w:ascii="Times New Roman" w:eastAsia="Times New Roman"/>
            </w:rPr>
          </w:pPr>
          <w:hyperlink w:history="true" w:anchor="_bookmark6">
            <w:r>
              <w:rPr/>
              <w:t>七、</w:t>
            </w:r>
            <w:r>
              <w:rPr>
                <w:spacing w:val="-3"/>
              </w:rPr>
              <w:t>基</w:t>
            </w:r>
            <w:r>
              <w:rPr/>
              <w:t>金</w:t>
            </w:r>
            <w:r>
              <w:rPr>
                <w:spacing w:val="-3"/>
              </w:rPr>
              <w:t>的</w:t>
            </w:r>
            <w:r>
              <w:rPr/>
              <w:t>募集</w:t>
              <w:tab/>
            </w:r>
            <w:r>
              <w:rPr>
                <w:rFonts w:ascii="Times New Roman" w:eastAsia="Times New Roman"/>
              </w:rPr>
              <w:t>79</w:t>
            </w:r>
          </w:hyperlink>
        </w:p>
        <w:p>
          <w:pPr>
            <w:pStyle w:val="TOC1"/>
            <w:tabs>
              <w:tab w:pos="9076" w:val="right" w:leader="dot"/>
            </w:tabs>
            <w:spacing w:before="200"/>
            <w:rPr>
              <w:rFonts w:ascii="Times New Roman" w:eastAsia="Times New Roman"/>
            </w:rPr>
          </w:pPr>
          <w:hyperlink w:history="true" w:anchor="_bookmark7">
            <w:r>
              <w:rPr/>
              <w:t>八、</w:t>
            </w:r>
            <w:r>
              <w:rPr>
                <w:spacing w:val="-3"/>
              </w:rPr>
              <w:t>基</w:t>
            </w:r>
            <w:r>
              <w:rPr/>
              <w:t>金</w:t>
            </w:r>
            <w:r>
              <w:rPr>
                <w:spacing w:val="-3"/>
              </w:rPr>
              <w:t>合</w:t>
            </w:r>
            <w:r>
              <w:rPr/>
              <w:t>同</w:t>
            </w:r>
            <w:r>
              <w:rPr>
                <w:spacing w:val="-3"/>
              </w:rPr>
              <w:t>的</w:t>
            </w:r>
            <w:r>
              <w:rPr/>
              <w:t>生效</w:t>
              <w:tab/>
            </w:r>
            <w:r>
              <w:rPr>
                <w:rFonts w:ascii="Times New Roman" w:eastAsia="Times New Roman"/>
              </w:rPr>
              <w:t>79</w:t>
            </w:r>
          </w:hyperlink>
        </w:p>
        <w:p>
          <w:pPr>
            <w:pStyle w:val="TOC1"/>
            <w:tabs>
              <w:tab w:pos="9076" w:val="right" w:leader="dot"/>
            </w:tabs>
            <w:rPr>
              <w:rFonts w:ascii="Times New Roman" w:eastAsia="Times New Roman"/>
            </w:rPr>
          </w:pPr>
          <w:hyperlink w:history="true" w:anchor="_bookmark8">
            <w:r>
              <w:rPr/>
              <w:t>九、</w:t>
            </w:r>
            <w:r>
              <w:rPr>
                <w:spacing w:val="-3"/>
              </w:rPr>
              <w:t>基</w:t>
            </w:r>
            <w:r>
              <w:rPr/>
              <w:t>金</w:t>
            </w:r>
            <w:r>
              <w:rPr>
                <w:spacing w:val="-3"/>
              </w:rPr>
              <w:t>份</w:t>
            </w:r>
            <w:r>
              <w:rPr/>
              <w:t>额</w:t>
            </w:r>
            <w:r>
              <w:rPr>
                <w:spacing w:val="-3"/>
              </w:rPr>
              <w:t>的</w:t>
            </w:r>
            <w:r>
              <w:rPr/>
              <w:t>申</w:t>
            </w:r>
            <w:r>
              <w:rPr>
                <w:spacing w:val="-3"/>
              </w:rPr>
              <w:t>购</w:t>
            </w:r>
            <w:r>
              <w:rPr/>
              <w:t>、</w:t>
            </w:r>
            <w:r>
              <w:rPr>
                <w:spacing w:val="-3"/>
              </w:rPr>
              <w:t>赎</w:t>
            </w:r>
            <w:r>
              <w:rPr/>
              <w:t>回与</w:t>
            </w:r>
            <w:r>
              <w:rPr>
                <w:spacing w:val="-3"/>
              </w:rPr>
              <w:t>转</w:t>
            </w:r>
            <w:r>
              <w:rPr/>
              <w:t>换</w:t>
              <w:tab/>
            </w:r>
            <w:r>
              <w:rPr>
                <w:rFonts w:ascii="Times New Roman" w:eastAsia="Times New Roman"/>
              </w:rPr>
              <w:t>79</w:t>
            </w:r>
          </w:hyperlink>
        </w:p>
        <w:p>
          <w:pPr>
            <w:pStyle w:val="TOC1"/>
            <w:tabs>
              <w:tab w:pos="9078" w:val="right" w:leader="dot"/>
            </w:tabs>
            <w:rPr>
              <w:rFonts w:ascii="Times New Roman" w:eastAsia="Times New Roman"/>
            </w:rPr>
          </w:pPr>
          <w:hyperlink w:history="true" w:anchor="_bookmark9">
            <w:r>
              <w:rPr/>
              <w:t>十、</w:t>
            </w:r>
            <w:r>
              <w:rPr>
                <w:spacing w:val="-3"/>
              </w:rPr>
              <w:t>基</w:t>
            </w:r>
            <w:r>
              <w:rPr/>
              <w:t>金</w:t>
            </w:r>
            <w:r>
              <w:rPr>
                <w:spacing w:val="-3"/>
              </w:rPr>
              <w:t>份</w:t>
            </w:r>
            <w:r>
              <w:rPr/>
              <w:t>额</w:t>
            </w:r>
            <w:r>
              <w:rPr>
                <w:spacing w:val="-3"/>
              </w:rPr>
              <w:t>的</w:t>
            </w:r>
            <w:r>
              <w:rPr/>
              <w:t>非</w:t>
            </w:r>
            <w:r>
              <w:rPr>
                <w:spacing w:val="-3"/>
              </w:rPr>
              <w:t>交</w:t>
            </w:r>
            <w:r>
              <w:rPr/>
              <w:t>易</w:t>
            </w:r>
            <w:r>
              <w:rPr>
                <w:spacing w:val="-3"/>
              </w:rPr>
              <w:t>过</w:t>
            </w:r>
            <w:r>
              <w:rPr/>
              <w:t>户与</w:t>
            </w:r>
            <w:r>
              <w:rPr>
                <w:spacing w:val="-3"/>
              </w:rPr>
              <w:t>转</w:t>
            </w:r>
            <w:r>
              <w:rPr/>
              <w:t>托</w:t>
            </w:r>
            <w:r>
              <w:rPr>
                <w:spacing w:val="-3"/>
              </w:rPr>
              <w:t>管</w:t>
            </w:r>
            <w:r>
              <w:rPr/>
              <w:t>等</w:t>
            </w:r>
            <w:r>
              <w:rPr>
                <w:spacing w:val="-3"/>
              </w:rPr>
              <w:t>业</w:t>
            </w:r>
            <w:r>
              <w:rPr/>
              <w:t>务</w:t>
              <w:tab/>
            </w:r>
            <w:r>
              <w:rPr>
                <w:rFonts w:ascii="Times New Roman" w:eastAsia="Times New Roman"/>
              </w:rPr>
              <w:t>102</w:t>
            </w:r>
          </w:hyperlink>
        </w:p>
        <w:p>
          <w:pPr>
            <w:pStyle w:val="TOC1"/>
            <w:tabs>
              <w:tab w:pos="9078" w:val="right" w:leader="dot"/>
            </w:tabs>
            <w:rPr>
              <w:rFonts w:ascii="Times New Roman" w:eastAsia="Times New Roman"/>
            </w:rPr>
          </w:pPr>
          <w:hyperlink w:history="true" w:anchor="_bookmark10">
            <w:r>
              <w:rPr/>
              <w:t>十一</w:t>
            </w:r>
            <w:r>
              <w:rPr>
                <w:spacing w:val="-3"/>
              </w:rPr>
              <w:t>、</w:t>
            </w:r>
            <w:r>
              <w:rPr/>
              <w:t>基</w:t>
            </w:r>
            <w:r>
              <w:rPr>
                <w:spacing w:val="-3"/>
              </w:rPr>
              <w:t>金</w:t>
            </w:r>
            <w:r>
              <w:rPr/>
              <w:t>的</w:t>
            </w:r>
            <w:r>
              <w:rPr>
                <w:spacing w:val="-3"/>
              </w:rPr>
              <w:t>投</w:t>
            </w:r>
            <w:r>
              <w:rPr/>
              <w:t>资</w:t>
              <w:tab/>
            </w:r>
            <w:r>
              <w:rPr>
                <w:rFonts w:ascii="Times New Roman" w:eastAsia="Times New Roman"/>
              </w:rPr>
              <w:t>103</w:t>
            </w:r>
          </w:hyperlink>
        </w:p>
        <w:p>
          <w:pPr>
            <w:pStyle w:val="TOC1"/>
            <w:tabs>
              <w:tab w:pos="9078" w:val="right" w:leader="dot"/>
            </w:tabs>
            <w:spacing w:before="198"/>
            <w:rPr>
              <w:rFonts w:ascii="Times New Roman" w:eastAsia="Times New Roman"/>
            </w:rPr>
          </w:pPr>
          <w:hyperlink w:history="true" w:anchor="_bookmark11">
            <w:r>
              <w:rPr/>
              <w:t>十二</w:t>
            </w:r>
            <w:r>
              <w:rPr>
                <w:spacing w:val="-3"/>
              </w:rPr>
              <w:t>、</w:t>
            </w:r>
            <w:r>
              <w:rPr/>
              <w:t>基</w:t>
            </w:r>
            <w:r>
              <w:rPr>
                <w:spacing w:val="-3"/>
              </w:rPr>
              <w:t>金</w:t>
            </w:r>
            <w:r>
              <w:rPr/>
              <w:t>的</w:t>
            </w:r>
            <w:r>
              <w:rPr>
                <w:spacing w:val="-3"/>
              </w:rPr>
              <w:t>业</w:t>
            </w:r>
            <w:r>
              <w:rPr/>
              <w:t>绩</w:t>
              <w:tab/>
            </w:r>
            <w:r>
              <w:rPr>
                <w:rFonts w:ascii="Times New Roman" w:eastAsia="Times New Roman"/>
                <w:spacing w:val="-3"/>
              </w:rPr>
              <w:t>112</w:t>
            </w:r>
          </w:hyperlink>
        </w:p>
        <w:p>
          <w:pPr>
            <w:pStyle w:val="TOC1"/>
            <w:tabs>
              <w:tab w:pos="9078" w:val="right" w:leader="dot"/>
            </w:tabs>
            <w:rPr>
              <w:rFonts w:ascii="Times New Roman" w:eastAsia="Times New Roman"/>
            </w:rPr>
          </w:pPr>
          <w:hyperlink w:history="true" w:anchor="_bookmark12">
            <w:r>
              <w:rPr/>
              <w:t>十三</w:t>
            </w:r>
            <w:r>
              <w:rPr>
                <w:spacing w:val="-3"/>
              </w:rPr>
              <w:t>、</w:t>
            </w:r>
            <w:r>
              <w:rPr/>
              <w:t>基</w:t>
            </w:r>
            <w:r>
              <w:rPr>
                <w:spacing w:val="-3"/>
              </w:rPr>
              <w:t>金</w:t>
            </w:r>
            <w:r>
              <w:rPr/>
              <w:t>的</w:t>
            </w:r>
            <w:r>
              <w:rPr>
                <w:spacing w:val="-3"/>
              </w:rPr>
              <w:t>财</w:t>
            </w:r>
            <w:r>
              <w:rPr/>
              <w:t>产</w:t>
              <w:tab/>
            </w:r>
            <w:r>
              <w:rPr>
                <w:rFonts w:ascii="Times New Roman" w:eastAsia="Times New Roman"/>
                <w:spacing w:val="-3"/>
              </w:rPr>
              <w:t>113</w:t>
            </w:r>
          </w:hyperlink>
        </w:p>
        <w:p>
          <w:pPr>
            <w:pStyle w:val="TOC1"/>
            <w:tabs>
              <w:tab w:pos="9078" w:val="right" w:leader="dot"/>
            </w:tabs>
            <w:rPr>
              <w:rFonts w:ascii="Times New Roman" w:eastAsia="Times New Roman"/>
            </w:rPr>
          </w:pPr>
          <w:hyperlink w:history="true" w:anchor="_bookmark13">
            <w:r>
              <w:rPr/>
              <w:t>十四</w:t>
            </w:r>
            <w:r>
              <w:rPr>
                <w:spacing w:val="-3"/>
              </w:rPr>
              <w:t>、</w:t>
            </w:r>
            <w:r>
              <w:rPr/>
              <w:t>基</w:t>
            </w:r>
            <w:r>
              <w:rPr>
                <w:spacing w:val="-3"/>
              </w:rPr>
              <w:t>金</w:t>
            </w:r>
            <w:r>
              <w:rPr/>
              <w:t>资</w:t>
            </w:r>
            <w:r>
              <w:rPr>
                <w:spacing w:val="-3"/>
              </w:rPr>
              <w:t>产</w:t>
            </w:r>
            <w:r>
              <w:rPr/>
              <w:t>计价</w:t>
              <w:tab/>
            </w:r>
            <w:r>
              <w:rPr>
                <w:rFonts w:ascii="Times New Roman" w:eastAsia="Times New Roman"/>
                <w:spacing w:val="-3"/>
              </w:rPr>
              <w:t>114</w:t>
            </w:r>
          </w:hyperlink>
        </w:p>
        <w:p>
          <w:pPr>
            <w:pStyle w:val="TOC1"/>
            <w:tabs>
              <w:tab w:pos="9078" w:val="right" w:leader="dot"/>
            </w:tabs>
            <w:spacing w:before="200"/>
            <w:rPr>
              <w:rFonts w:ascii="Times New Roman" w:eastAsia="Times New Roman"/>
            </w:rPr>
          </w:pPr>
          <w:hyperlink w:history="true" w:anchor="_bookmark14">
            <w:r>
              <w:rPr/>
              <w:t>十五</w:t>
            </w:r>
            <w:r>
              <w:rPr>
                <w:spacing w:val="-3"/>
              </w:rPr>
              <w:t>、</w:t>
            </w:r>
            <w:r>
              <w:rPr/>
              <w:t>基</w:t>
            </w:r>
            <w:r>
              <w:rPr>
                <w:spacing w:val="-3"/>
              </w:rPr>
              <w:t>金</w:t>
            </w:r>
            <w:r>
              <w:rPr/>
              <w:t>的</w:t>
            </w:r>
            <w:r>
              <w:rPr>
                <w:spacing w:val="-3"/>
              </w:rPr>
              <w:t>收</w:t>
            </w:r>
            <w:r>
              <w:rPr/>
              <w:t>益</w:t>
            </w:r>
            <w:r>
              <w:rPr>
                <w:spacing w:val="-3"/>
              </w:rPr>
              <w:t>分</w:t>
            </w:r>
            <w:r>
              <w:rPr/>
              <w:t>配</w:t>
              <w:tab/>
            </w:r>
            <w:r>
              <w:rPr>
                <w:rFonts w:ascii="Times New Roman" w:eastAsia="Times New Roman"/>
                <w:spacing w:val="-3"/>
              </w:rPr>
              <w:t>117</w:t>
            </w:r>
          </w:hyperlink>
        </w:p>
        <w:p>
          <w:pPr>
            <w:pStyle w:val="TOC1"/>
            <w:tabs>
              <w:tab w:pos="9078" w:val="right" w:leader="dot"/>
            </w:tabs>
            <w:rPr>
              <w:rFonts w:ascii="Times New Roman" w:eastAsia="Times New Roman"/>
            </w:rPr>
          </w:pPr>
          <w:hyperlink w:history="true" w:anchor="_bookmark15">
            <w:r>
              <w:rPr/>
              <w:t>十六</w:t>
            </w:r>
            <w:r>
              <w:rPr>
                <w:spacing w:val="-3"/>
              </w:rPr>
              <w:t>、</w:t>
            </w:r>
            <w:r>
              <w:rPr/>
              <w:t>基</w:t>
            </w:r>
            <w:r>
              <w:rPr>
                <w:spacing w:val="-3"/>
              </w:rPr>
              <w:t>金</w:t>
            </w:r>
            <w:r>
              <w:rPr/>
              <w:t>的</w:t>
            </w:r>
            <w:r>
              <w:rPr>
                <w:spacing w:val="-3"/>
              </w:rPr>
              <w:t>费</w:t>
            </w:r>
            <w:r>
              <w:rPr/>
              <w:t>用</w:t>
            </w:r>
            <w:r>
              <w:rPr>
                <w:spacing w:val="-3"/>
              </w:rPr>
              <w:t>与</w:t>
            </w:r>
            <w:r>
              <w:rPr/>
              <w:t>税收</w:t>
              <w:tab/>
            </w:r>
            <w:r>
              <w:rPr>
                <w:rFonts w:ascii="Times New Roman" w:eastAsia="Times New Roman"/>
                <w:spacing w:val="-3"/>
              </w:rPr>
              <w:t>119</w:t>
            </w:r>
          </w:hyperlink>
        </w:p>
        <w:p>
          <w:pPr>
            <w:pStyle w:val="TOC1"/>
            <w:tabs>
              <w:tab w:pos="9078" w:val="right" w:leader="dot"/>
            </w:tabs>
            <w:rPr>
              <w:rFonts w:ascii="Times New Roman" w:eastAsia="Times New Roman"/>
            </w:rPr>
          </w:pPr>
          <w:hyperlink w:history="true" w:anchor="_bookmark16">
            <w:r>
              <w:rPr/>
              <w:t>十七</w:t>
            </w:r>
            <w:r>
              <w:rPr>
                <w:spacing w:val="-3"/>
              </w:rPr>
              <w:t>、</w:t>
            </w:r>
            <w:r>
              <w:rPr/>
              <w:t>基</w:t>
            </w:r>
            <w:r>
              <w:rPr>
                <w:spacing w:val="-3"/>
              </w:rPr>
              <w:t>金</w:t>
            </w:r>
            <w:r>
              <w:rPr/>
              <w:t>的</w:t>
            </w:r>
            <w:r>
              <w:rPr>
                <w:spacing w:val="-3"/>
              </w:rPr>
              <w:t>会</w:t>
            </w:r>
            <w:r>
              <w:rPr/>
              <w:t>计</w:t>
            </w:r>
            <w:r>
              <w:rPr>
                <w:spacing w:val="-3"/>
              </w:rPr>
              <w:t>与</w:t>
            </w:r>
            <w:r>
              <w:rPr/>
              <w:t>审计</w:t>
              <w:tab/>
            </w:r>
            <w:r>
              <w:rPr>
                <w:rFonts w:ascii="Times New Roman" w:eastAsia="Times New Roman"/>
              </w:rPr>
              <w:t>120</w:t>
            </w:r>
          </w:hyperlink>
        </w:p>
        <w:p>
          <w:pPr>
            <w:pStyle w:val="TOC1"/>
            <w:tabs>
              <w:tab w:pos="9078" w:val="right" w:leader="dot"/>
            </w:tabs>
            <w:spacing w:before="198"/>
            <w:rPr>
              <w:rFonts w:ascii="Times New Roman" w:eastAsia="Times New Roman"/>
            </w:rPr>
          </w:pPr>
          <w:hyperlink w:history="true" w:anchor="_bookmark17">
            <w:r>
              <w:rPr/>
              <w:t>十八</w:t>
            </w:r>
            <w:r>
              <w:rPr>
                <w:spacing w:val="-3"/>
              </w:rPr>
              <w:t>、</w:t>
            </w:r>
            <w:r>
              <w:rPr/>
              <w:t>基</w:t>
            </w:r>
            <w:r>
              <w:rPr>
                <w:spacing w:val="-3"/>
              </w:rPr>
              <w:t>金</w:t>
            </w:r>
            <w:r>
              <w:rPr/>
              <w:t>的</w:t>
            </w:r>
            <w:r>
              <w:rPr>
                <w:spacing w:val="-3"/>
              </w:rPr>
              <w:t>信</w:t>
            </w:r>
            <w:r>
              <w:rPr/>
              <w:t>息</w:t>
            </w:r>
            <w:r>
              <w:rPr>
                <w:spacing w:val="-3"/>
              </w:rPr>
              <w:t>披</w:t>
            </w:r>
            <w:r>
              <w:rPr/>
              <w:t>露</w:t>
              <w:tab/>
            </w:r>
            <w:r>
              <w:rPr>
                <w:rFonts w:ascii="Times New Roman" w:eastAsia="Times New Roman"/>
              </w:rPr>
              <w:t>121</w:t>
            </w:r>
          </w:hyperlink>
        </w:p>
        <w:p>
          <w:pPr>
            <w:pStyle w:val="TOC1"/>
            <w:tabs>
              <w:tab w:pos="9078" w:val="right" w:leader="dot"/>
            </w:tabs>
            <w:rPr>
              <w:rFonts w:ascii="Times New Roman" w:eastAsia="Times New Roman"/>
            </w:rPr>
          </w:pPr>
          <w:hyperlink w:history="true" w:anchor="_bookmark18">
            <w:r>
              <w:rPr/>
              <w:t>十九</w:t>
            </w:r>
            <w:r>
              <w:rPr>
                <w:spacing w:val="-3"/>
              </w:rPr>
              <w:t>、</w:t>
            </w:r>
            <w:r>
              <w:rPr/>
              <w:t>风</w:t>
            </w:r>
            <w:r>
              <w:rPr>
                <w:spacing w:val="-3"/>
              </w:rPr>
              <w:t>险</w:t>
            </w:r>
            <w:r>
              <w:rPr/>
              <w:t>揭示</w:t>
              <w:tab/>
            </w:r>
            <w:r>
              <w:rPr>
                <w:rFonts w:ascii="Times New Roman" w:eastAsia="Times New Roman"/>
              </w:rPr>
              <w:t>126</w:t>
            </w:r>
          </w:hyperlink>
        </w:p>
        <w:p>
          <w:pPr>
            <w:pStyle w:val="TOC1"/>
            <w:tabs>
              <w:tab w:pos="9078" w:val="right" w:leader="dot"/>
            </w:tabs>
            <w:rPr>
              <w:rFonts w:ascii="Times New Roman" w:eastAsia="Times New Roman"/>
            </w:rPr>
          </w:pPr>
          <w:hyperlink w:history="true" w:anchor="_bookmark19">
            <w:r>
              <w:rPr/>
              <w:t>二十</w:t>
            </w:r>
            <w:r>
              <w:rPr>
                <w:spacing w:val="-3"/>
              </w:rPr>
              <w:t>、</w:t>
            </w:r>
            <w:r>
              <w:rPr/>
              <w:t>基</w:t>
            </w:r>
            <w:r>
              <w:rPr>
                <w:spacing w:val="-3"/>
              </w:rPr>
              <w:t>金</w:t>
            </w:r>
            <w:r>
              <w:rPr/>
              <w:t>的</w:t>
            </w:r>
            <w:r>
              <w:rPr>
                <w:spacing w:val="-3"/>
              </w:rPr>
              <w:t>终</w:t>
            </w:r>
            <w:r>
              <w:rPr/>
              <w:t>止</w:t>
            </w:r>
            <w:r>
              <w:rPr>
                <w:spacing w:val="-3"/>
              </w:rPr>
              <w:t>与</w:t>
            </w:r>
            <w:r>
              <w:rPr/>
              <w:t>清算</w:t>
              <w:tab/>
            </w:r>
            <w:r>
              <w:rPr>
                <w:rFonts w:ascii="Times New Roman" w:eastAsia="Times New Roman"/>
              </w:rPr>
              <w:t>129</w:t>
            </w:r>
          </w:hyperlink>
        </w:p>
        <w:p>
          <w:pPr>
            <w:pStyle w:val="TOC1"/>
            <w:tabs>
              <w:tab w:pos="9078" w:val="right" w:leader="dot"/>
            </w:tabs>
            <w:rPr>
              <w:rFonts w:ascii="Times New Roman" w:eastAsia="Times New Roman"/>
            </w:rPr>
          </w:pPr>
          <w:hyperlink w:history="true" w:anchor="_bookmark20">
            <w:r>
              <w:rPr/>
              <w:t>二十</w:t>
            </w:r>
            <w:r>
              <w:rPr>
                <w:spacing w:val="-3"/>
              </w:rPr>
              <w:t>一</w:t>
            </w:r>
            <w:r>
              <w:rPr/>
              <w:t>、</w:t>
            </w:r>
            <w:r>
              <w:rPr>
                <w:spacing w:val="-3"/>
              </w:rPr>
              <w:t>基</w:t>
            </w:r>
            <w:r>
              <w:rPr/>
              <w:t>金</w:t>
            </w:r>
            <w:r>
              <w:rPr>
                <w:spacing w:val="-3"/>
              </w:rPr>
              <w:t>合</w:t>
            </w:r>
            <w:r>
              <w:rPr/>
              <w:t>同</w:t>
            </w:r>
            <w:r>
              <w:rPr>
                <w:spacing w:val="-3"/>
              </w:rPr>
              <w:t>的</w:t>
            </w:r>
            <w:r>
              <w:rPr/>
              <w:t>内</w:t>
            </w:r>
            <w:r>
              <w:rPr>
                <w:spacing w:val="-3"/>
              </w:rPr>
              <w:t>容</w:t>
            </w:r>
            <w:r>
              <w:rPr/>
              <w:t>摘要</w:t>
              <w:tab/>
            </w:r>
            <w:r>
              <w:rPr>
                <w:rFonts w:ascii="Times New Roman" w:eastAsia="Times New Roman"/>
              </w:rPr>
              <w:t>130</w:t>
            </w:r>
          </w:hyperlink>
        </w:p>
        <w:p>
          <w:pPr>
            <w:pStyle w:val="TOC1"/>
            <w:tabs>
              <w:tab w:pos="9078" w:val="right" w:leader="dot"/>
            </w:tabs>
            <w:spacing w:before="200"/>
            <w:rPr>
              <w:rFonts w:ascii="Times New Roman" w:eastAsia="Times New Roman"/>
            </w:rPr>
          </w:pPr>
          <w:hyperlink w:history="true" w:anchor="_bookmark21">
            <w:r>
              <w:rPr/>
              <w:t>二十</w:t>
            </w:r>
            <w:r>
              <w:rPr>
                <w:spacing w:val="-3"/>
              </w:rPr>
              <w:t>二</w:t>
            </w:r>
            <w:r>
              <w:rPr/>
              <w:t>、</w:t>
            </w:r>
            <w:r>
              <w:rPr>
                <w:spacing w:val="-3"/>
              </w:rPr>
              <w:t>基</w:t>
            </w:r>
            <w:r>
              <w:rPr/>
              <w:t>金</w:t>
            </w:r>
            <w:r>
              <w:rPr>
                <w:spacing w:val="-3"/>
              </w:rPr>
              <w:t>托</w:t>
            </w:r>
            <w:r>
              <w:rPr/>
              <w:t>管</w:t>
            </w:r>
            <w:r>
              <w:rPr>
                <w:spacing w:val="-3"/>
              </w:rPr>
              <w:t>协</w:t>
            </w:r>
            <w:r>
              <w:rPr/>
              <w:t>议</w:t>
            </w:r>
            <w:r>
              <w:rPr>
                <w:spacing w:val="-3"/>
              </w:rPr>
              <w:t>的</w:t>
            </w:r>
            <w:r>
              <w:rPr/>
              <w:t>内容</w:t>
            </w:r>
            <w:r>
              <w:rPr>
                <w:spacing w:val="-3"/>
              </w:rPr>
              <w:t>摘</w:t>
            </w:r>
            <w:r>
              <w:rPr/>
              <w:t>要</w:t>
              <w:tab/>
            </w:r>
            <w:r>
              <w:rPr>
                <w:rFonts w:ascii="Times New Roman" w:eastAsia="Times New Roman"/>
              </w:rPr>
              <w:t>141</w:t>
            </w:r>
          </w:hyperlink>
        </w:p>
        <w:p>
          <w:pPr>
            <w:pStyle w:val="TOC1"/>
            <w:tabs>
              <w:tab w:pos="9078" w:val="right" w:leader="dot"/>
            </w:tabs>
            <w:rPr>
              <w:rFonts w:ascii="Times New Roman" w:eastAsia="Times New Roman"/>
            </w:rPr>
          </w:pPr>
          <w:hyperlink w:history="true" w:anchor="_bookmark22">
            <w:r>
              <w:rPr/>
              <w:t>二十</w:t>
            </w:r>
            <w:r>
              <w:rPr>
                <w:spacing w:val="-3"/>
              </w:rPr>
              <w:t>三</w:t>
            </w:r>
            <w:r>
              <w:rPr/>
              <w:t>、</w:t>
            </w:r>
            <w:r>
              <w:rPr>
                <w:spacing w:val="-3"/>
              </w:rPr>
              <w:t>对</w:t>
            </w:r>
            <w:r>
              <w:rPr/>
              <w:t>基</w:t>
            </w:r>
            <w:r>
              <w:rPr>
                <w:spacing w:val="-3"/>
              </w:rPr>
              <w:t>金</w:t>
            </w:r>
            <w:r>
              <w:rPr/>
              <w:t>份</w:t>
            </w:r>
            <w:r>
              <w:rPr>
                <w:spacing w:val="-3"/>
              </w:rPr>
              <w:t>额</w:t>
            </w:r>
            <w:r>
              <w:rPr/>
              <w:t>持</w:t>
            </w:r>
            <w:r>
              <w:rPr>
                <w:spacing w:val="-3"/>
              </w:rPr>
              <w:t>有</w:t>
            </w:r>
            <w:r>
              <w:rPr/>
              <w:t>人的</w:t>
            </w:r>
            <w:r>
              <w:rPr>
                <w:spacing w:val="-3"/>
              </w:rPr>
              <w:t>服</w:t>
            </w:r>
            <w:r>
              <w:rPr/>
              <w:t>务</w:t>
              <w:tab/>
            </w:r>
            <w:r>
              <w:rPr>
                <w:rFonts w:ascii="Times New Roman" w:eastAsia="Times New Roman"/>
              </w:rPr>
              <w:t>146</w:t>
            </w:r>
          </w:hyperlink>
        </w:p>
        <w:p>
          <w:pPr>
            <w:pStyle w:val="TOC1"/>
            <w:tabs>
              <w:tab w:pos="9078" w:val="right" w:leader="dot"/>
            </w:tabs>
            <w:rPr>
              <w:rFonts w:ascii="Times New Roman" w:eastAsia="Times New Roman"/>
            </w:rPr>
          </w:pPr>
          <w:hyperlink w:history="true" w:anchor="_bookmark23">
            <w:r>
              <w:rPr/>
              <w:t>二十</w:t>
            </w:r>
            <w:r>
              <w:rPr>
                <w:spacing w:val="-3"/>
              </w:rPr>
              <w:t>四</w:t>
            </w:r>
            <w:r>
              <w:rPr/>
              <w:t>、</w:t>
            </w:r>
            <w:r>
              <w:rPr>
                <w:spacing w:val="-3"/>
              </w:rPr>
              <w:t>其</w:t>
            </w:r>
            <w:r>
              <w:rPr/>
              <w:t>他</w:t>
            </w:r>
            <w:r>
              <w:rPr>
                <w:spacing w:val="-3"/>
              </w:rPr>
              <w:t>应</w:t>
            </w:r>
            <w:r>
              <w:rPr/>
              <w:t>披</w:t>
            </w:r>
            <w:r>
              <w:rPr>
                <w:spacing w:val="-3"/>
              </w:rPr>
              <w:t>露</w:t>
            </w:r>
            <w:r>
              <w:rPr/>
              <w:t>事项</w:t>
              <w:tab/>
            </w:r>
            <w:r>
              <w:rPr>
                <w:rFonts w:ascii="Times New Roman" w:eastAsia="Times New Roman"/>
              </w:rPr>
              <w:t>148</w:t>
            </w:r>
          </w:hyperlink>
        </w:p>
        <w:p>
          <w:pPr>
            <w:pStyle w:val="TOC1"/>
            <w:tabs>
              <w:tab w:pos="9078" w:val="right" w:leader="dot"/>
            </w:tabs>
            <w:rPr>
              <w:rFonts w:ascii="Times New Roman" w:eastAsia="Times New Roman"/>
            </w:rPr>
          </w:pPr>
          <w:hyperlink w:history="true" w:anchor="_bookmark24">
            <w:r>
              <w:rPr/>
              <w:t>二十</w:t>
            </w:r>
            <w:r>
              <w:rPr>
                <w:spacing w:val="-3"/>
              </w:rPr>
              <w:t>五</w:t>
            </w:r>
            <w:r>
              <w:rPr/>
              <w:t>、</w:t>
            </w:r>
            <w:r>
              <w:rPr>
                <w:spacing w:val="-3"/>
              </w:rPr>
              <w:t>招</w:t>
            </w:r>
            <w:r>
              <w:rPr/>
              <w:t>募</w:t>
            </w:r>
            <w:r>
              <w:rPr>
                <w:spacing w:val="-3"/>
              </w:rPr>
              <w:t>说</w:t>
            </w:r>
            <w:r>
              <w:rPr/>
              <w:t>明</w:t>
            </w:r>
            <w:r>
              <w:rPr>
                <w:spacing w:val="-3"/>
              </w:rPr>
              <w:t>书</w:t>
            </w:r>
            <w:r>
              <w:rPr/>
              <w:t>存</w:t>
            </w:r>
            <w:r>
              <w:rPr>
                <w:spacing w:val="-3"/>
              </w:rPr>
              <w:t>放</w:t>
            </w:r>
            <w:r>
              <w:rPr/>
              <w:t>及查</w:t>
            </w:r>
            <w:r>
              <w:rPr>
                <w:spacing w:val="-3"/>
              </w:rPr>
              <w:t>阅</w:t>
            </w:r>
            <w:r>
              <w:rPr/>
              <w:t>方式</w:t>
              <w:tab/>
            </w:r>
            <w:r>
              <w:rPr>
                <w:rFonts w:ascii="Times New Roman" w:eastAsia="Times New Roman"/>
              </w:rPr>
              <w:t>149</w:t>
            </w:r>
          </w:hyperlink>
        </w:p>
        <w:p>
          <w:pPr>
            <w:pStyle w:val="TOC1"/>
            <w:tabs>
              <w:tab w:pos="9078" w:val="right" w:leader="dot"/>
            </w:tabs>
            <w:rPr>
              <w:rFonts w:ascii="Times New Roman" w:eastAsia="Times New Roman"/>
            </w:rPr>
          </w:pPr>
          <w:hyperlink w:history="true" w:anchor="_bookmark25">
            <w:r>
              <w:rPr/>
              <w:t>二十</w:t>
            </w:r>
            <w:r>
              <w:rPr>
                <w:spacing w:val="-3"/>
              </w:rPr>
              <w:t>六</w:t>
            </w:r>
            <w:r>
              <w:rPr/>
              <w:t>、</w:t>
            </w:r>
            <w:r>
              <w:rPr>
                <w:spacing w:val="-3"/>
              </w:rPr>
              <w:t>备</w:t>
            </w:r>
            <w:r>
              <w:rPr/>
              <w:t>查</w:t>
            </w:r>
            <w:r>
              <w:rPr>
                <w:spacing w:val="-3"/>
              </w:rPr>
              <w:t>文</w:t>
            </w:r>
            <w:r>
              <w:rPr/>
              <w:t>件</w:t>
              <w:tab/>
            </w:r>
            <w:r>
              <w:rPr>
                <w:rFonts w:ascii="Times New Roman" w:eastAsia="Times New Roman"/>
              </w:rPr>
              <w:t>149</w:t>
            </w:r>
          </w:hyperlink>
        </w:p>
      </w:sdtContent>
    </w:sdt>
    <w:p>
      <w:pPr>
        <w:spacing w:after="0"/>
        <w:rPr>
          <w:rFonts w:ascii="Times New Roman" w:eastAsia="Times New Roman"/>
        </w:rPr>
        <w:sectPr>
          <w:pgSz w:w="11910" w:h="16840"/>
          <w:pgMar w:header="877" w:footer="0" w:top="1280" w:bottom="280" w:left="1020" w:right="900"/>
        </w:sectPr>
      </w:pPr>
    </w:p>
    <w:p>
      <w:pPr>
        <w:pStyle w:val="BodyText"/>
        <w:spacing w:before="2"/>
        <w:rPr>
          <w:rFonts w:ascii="Times New Roman"/>
          <w:sz w:val="20"/>
        </w:rPr>
      </w:pPr>
    </w:p>
    <w:p>
      <w:pPr>
        <w:pStyle w:val="Heading1"/>
      </w:pPr>
      <w:bookmarkStart w:name="_bookmark0" w:id="1"/>
      <w:bookmarkEnd w:id="1"/>
      <w:r>
        <w:rPr>
          <w:b w:val="0"/>
        </w:rPr>
      </w:r>
      <w:r>
        <w:rPr/>
        <w:t>一、绪言</w:t>
      </w:r>
    </w:p>
    <w:p>
      <w:pPr>
        <w:pStyle w:val="BodyText"/>
        <w:rPr>
          <w:b/>
          <w:sz w:val="20"/>
        </w:rPr>
      </w:pPr>
    </w:p>
    <w:p>
      <w:pPr>
        <w:pStyle w:val="BodyText"/>
        <w:spacing w:before="10"/>
        <w:rPr>
          <w:b/>
          <w:sz w:val="15"/>
        </w:rPr>
      </w:pPr>
    </w:p>
    <w:p>
      <w:pPr>
        <w:pStyle w:val="BodyText"/>
        <w:ind w:left="304"/>
        <w:jc w:val="center"/>
      </w:pPr>
      <w:r>
        <w:rPr>
          <w:spacing w:val="-5"/>
        </w:rPr>
        <w:t>《华夏现金增利证券投资基金招募说明书</w:t>
      </w:r>
      <w:r>
        <w:rPr>
          <w:spacing w:val="-3"/>
        </w:rPr>
        <w:t>（</w:t>
      </w:r>
      <w:r>
        <w:rPr/>
        <w:t>更新</w:t>
      </w:r>
      <w:r>
        <w:rPr>
          <w:spacing w:val="-108"/>
        </w:rPr>
        <w:t>）</w:t>
      </w:r>
      <w:r>
        <w:rPr>
          <w:spacing w:val="-137"/>
        </w:rPr>
        <w:t>》</w:t>
      </w:r>
      <w:r>
        <w:rPr/>
        <w:t>（</w:t>
      </w:r>
      <w:r>
        <w:rPr>
          <w:spacing w:val="-5"/>
        </w:rPr>
        <w:t>以下简称“本招募说明书”</w:t>
      </w:r>
      <w:r>
        <w:rPr>
          <w:spacing w:val="-16"/>
        </w:rPr>
        <w:t>）</w:t>
      </w:r>
      <w:r>
        <w:rPr>
          <w:spacing w:val="-2"/>
        </w:rPr>
        <w:t>依据</w:t>
      </w:r>
    </w:p>
    <w:p>
      <w:pPr>
        <w:pStyle w:val="BodyText"/>
        <w:spacing w:before="6"/>
        <w:rPr>
          <w:sz w:val="15"/>
        </w:rPr>
      </w:pPr>
    </w:p>
    <w:p>
      <w:pPr>
        <w:pStyle w:val="BodyText"/>
        <w:spacing w:line="417" w:lineRule="auto"/>
        <w:ind w:left="778" w:right="785"/>
        <w:jc w:val="both"/>
      </w:pPr>
      <w:r>
        <w:rPr>
          <w:spacing w:val="-10"/>
          <w:w w:val="100"/>
        </w:rPr>
        <w:t>《中华人民共和国证券投资基金法》</w:t>
      </w:r>
      <w:r>
        <w:rPr>
          <w:w w:val="100"/>
        </w:rPr>
        <w:t>（</w:t>
      </w:r>
      <w:r>
        <w:rPr>
          <w:spacing w:val="-3"/>
          <w:w w:val="100"/>
        </w:rPr>
        <w:t>以下简称“《基金法》”</w:t>
      </w:r>
      <w:r>
        <w:rPr>
          <w:spacing w:val="-106"/>
          <w:w w:val="100"/>
        </w:rPr>
        <w:t>）</w:t>
      </w:r>
      <w:r>
        <w:rPr>
          <w:spacing w:val="-12"/>
          <w:w w:val="100"/>
        </w:rPr>
        <w:t>、《证券投资基金销售管理</w:t>
      </w:r>
      <w:r>
        <w:rPr>
          <w:spacing w:val="-49"/>
          <w:w w:val="100"/>
        </w:rPr>
        <w:t>办法》</w:t>
      </w:r>
      <w:r>
        <w:rPr>
          <w:w w:val="100"/>
        </w:rPr>
        <w:t>（</w:t>
      </w:r>
      <w:r>
        <w:rPr>
          <w:spacing w:val="-6"/>
          <w:w w:val="100"/>
        </w:rPr>
        <w:t>以下简称“《销售办法》”</w:t>
      </w:r>
      <w:r>
        <w:rPr>
          <w:spacing w:val="-108"/>
          <w:w w:val="100"/>
        </w:rPr>
        <w:t>）</w:t>
      </w:r>
      <w:r>
        <w:rPr>
          <w:spacing w:val="-21"/>
          <w:w w:val="100"/>
        </w:rPr>
        <w:t>、《证券投资基金运作管理办法》</w:t>
      </w:r>
      <w:r>
        <w:rPr>
          <w:spacing w:val="-3"/>
          <w:w w:val="100"/>
        </w:rPr>
        <w:t>（</w:t>
      </w:r>
      <w:r>
        <w:rPr>
          <w:spacing w:val="-5"/>
          <w:w w:val="100"/>
        </w:rPr>
        <w:t>以下简称“《运作办</w:t>
      </w:r>
      <w:r>
        <w:rPr>
          <w:spacing w:val="-2"/>
          <w:w w:val="100"/>
        </w:rPr>
        <w:t>法》”</w:t>
      </w:r>
      <w:r>
        <w:rPr>
          <w:spacing w:val="-106"/>
          <w:w w:val="100"/>
        </w:rPr>
        <w:t>）</w:t>
      </w:r>
      <w:r>
        <w:rPr>
          <w:spacing w:val="-18"/>
          <w:w w:val="100"/>
        </w:rPr>
        <w:t>、《公开募集证券投资基金信息披露管理办法》</w:t>
      </w:r>
      <w:r>
        <w:rPr>
          <w:w w:val="100"/>
        </w:rPr>
        <w:t>（</w:t>
      </w:r>
      <w:r>
        <w:rPr>
          <w:spacing w:val="-3"/>
          <w:w w:val="100"/>
        </w:rPr>
        <w:t>以下简称“《信息披露办法》”</w:t>
      </w:r>
      <w:r>
        <w:rPr>
          <w:spacing w:val="-106"/>
          <w:w w:val="100"/>
        </w:rPr>
        <w:t>）</w:t>
      </w:r>
      <w:r>
        <w:rPr>
          <w:w w:val="100"/>
        </w:rPr>
        <w:t>、</w:t>
      </w:r>
    </w:p>
    <w:p>
      <w:pPr>
        <w:pStyle w:val="BodyText"/>
        <w:spacing w:line="417" w:lineRule="auto"/>
        <w:ind w:left="778" w:right="889"/>
        <w:jc w:val="both"/>
      </w:pPr>
      <w:r>
        <w:rPr>
          <w:spacing w:val="-3"/>
        </w:rPr>
        <w:t>《货币市场基金监督管理办法</w:t>
      </w:r>
      <w:r>
        <w:rPr>
          <w:spacing w:val="-137"/>
        </w:rPr>
        <w:t>》</w:t>
      </w:r>
      <w:r>
        <w:rPr/>
        <w:t>（</w:t>
      </w:r>
      <w:r>
        <w:rPr>
          <w:spacing w:val="-33"/>
        </w:rPr>
        <w:t>以下简称“《管理办法》”</w:t>
      </w:r>
      <w:r>
        <w:rPr>
          <w:spacing w:val="-107"/>
        </w:rPr>
        <w:t>）</w:t>
      </w:r>
      <w:r>
        <w:rPr>
          <w:spacing w:val="-14"/>
        </w:rPr>
        <w:t>、《公开募集开放式证券投资基金</w:t>
      </w:r>
      <w:r>
        <w:rPr>
          <w:spacing w:val="-7"/>
        </w:rPr>
        <w:t>流动性风险管理规定</w:t>
      </w:r>
      <w:r>
        <w:rPr>
          <w:spacing w:val="-128"/>
        </w:rPr>
        <w:t>》</w:t>
      </w:r>
      <w:r>
        <w:rPr>
          <w:spacing w:val="-3"/>
        </w:rPr>
        <w:t>（</w:t>
      </w:r>
      <w:r>
        <w:rPr>
          <w:spacing w:val="-22"/>
        </w:rPr>
        <w:t>以下简称“《流动性风险管理规定》”</w:t>
      </w:r>
      <w:r>
        <w:rPr>
          <w:spacing w:val="-66"/>
        </w:rPr>
        <w:t>）</w:t>
      </w:r>
      <w:r>
        <w:rPr>
          <w:spacing w:val="-5"/>
        </w:rPr>
        <w:t>及其他有关法律法规以及《华</w:t>
      </w:r>
      <w:r>
        <w:rPr>
          <w:spacing w:val="-11"/>
        </w:rPr>
        <w:t>夏现金增利证券投资基金基金合同》</w:t>
      </w:r>
      <w:r>
        <w:rPr/>
        <w:t>（</w:t>
      </w:r>
      <w:r>
        <w:rPr>
          <w:spacing w:val="-3"/>
        </w:rPr>
        <w:t>以下简称“基金合同”</w:t>
      </w:r>
      <w:r>
        <w:rPr/>
        <w:t>）</w:t>
      </w:r>
      <w:r>
        <w:rPr>
          <w:spacing w:val="-2"/>
        </w:rPr>
        <w:t>编写。</w:t>
      </w:r>
    </w:p>
    <w:p>
      <w:pPr>
        <w:pStyle w:val="BodyText"/>
        <w:spacing w:line="417" w:lineRule="auto"/>
        <w:ind w:left="778" w:right="888" w:firstLine="419"/>
        <w:jc w:val="both"/>
      </w:pPr>
      <w:r>
        <w:rPr>
          <w:spacing w:val="-7"/>
        </w:rPr>
        <w:t>基金管理人承诺本招募说明书不存在任何虚假记载、误导性陈述或者重大遗漏，并对其</w:t>
      </w:r>
      <w:r>
        <w:rPr>
          <w:spacing w:val="-12"/>
        </w:rPr>
        <w:t>真实性、准确性、完整性承担法律责任。本基金是根据本招募说明书所载明的资料申请募集</w:t>
      </w:r>
      <w:r>
        <w:rPr>
          <w:spacing w:val="-10"/>
        </w:rPr>
        <w:t>的。本基金管理人没有委托或授权任何其他人提供未在本招募说明书中载明的信息，或对本</w:t>
      </w:r>
      <w:r>
        <w:rPr>
          <w:spacing w:val="-5"/>
        </w:rPr>
        <w:t>招募说明书作出任何解释或者说明。</w:t>
      </w:r>
    </w:p>
    <w:p>
      <w:pPr>
        <w:pStyle w:val="BodyText"/>
        <w:spacing w:line="417" w:lineRule="auto"/>
        <w:ind w:left="778" w:right="888" w:firstLine="419"/>
        <w:jc w:val="both"/>
      </w:pPr>
      <w:r>
        <w:rPr>
          <w:spacing w:val="-8"/>
        </w:rPr>
        <w:t>本招募说明书根据本基金的基金合同编写，并经中国证监会核准。基金合同是约定基金</w:t>
      </w:r>
      <w:r>
        <w:rPr>
          <w:spacing w:val="-11"/>
        </w:rPr>
        <w:t>当事人之间权利、义务的法律文件。基金投资人自依基金合同取得基金份额，即成为基金份</w:t>
      </w:r>
      <w:r>
        <w:rPr>
          <w:spacing w:val="-12"/>
        </w:rPr>
        <w:t>额持有人和本基金合同的当事人，其持有基金份额的行为本身即表明其对基金合同的承认和</w:t>
      </w:r>
      <w:r>
        <w:rPr>
          <w:spacing w:val="-13"/>
        </w:rPr>
        <w:t>接受，并按照《基金法》、基金合同及其他有关规定享有权利、承担义务。基金投资人欲了</w:t>
      </w:r>
      <w:r>
        <w:rPr>
          <w:spacing w:val="-6"/>
        </w:rPr>
        <w:t>解基金份额持有人的权利和义务，应详细查阅基金合同。</w:t>
      </w:r>
    </w:p>
    <w:p>
      <w:pPr>
        <w:pStyle w:val="BodyText"/>
        <w:spacing w:before="4"/>
        <w:rPr>
          <w:sz w:val="20"/>
        </w:rPr>
      </w:pPr>
    </w:p>
    <w:p>
      <w:pPr>
        <w:pStyle w:val="Heading1"/>
      </w:pPr>
      <w:bookmarkStart w:name="_bookmark1" w:id="2"/>
      <w:bookmarkEnd w:id="2"/>
      <w:r>
        <w:rPr>
          <w:b w:val="0"/>
        </w:rPr>
      </w:r>
      <w:r>
        <w:rPr/>
        <w:t>二、释义</w:t>
      </w:r>
    </w:p>
    <w:p>
      <w:pPr>
        <w:pStyle w:val="BodyText"/>
        <w:rPr>
          <w:b/>
          <w:sz w:val="20"/>
        </w:rPr>
      </w:pPr>
    </w:p>
    <w:p>
      <w:pPr>
        <w:pStyle w:val="BodyText"/>
        <w:spacing w:before="10"/>
        <w:rPr>
          <w:b/>
          <w:sz w:val="15"/>
        </w:rPr>
      </w:pPr>
    </w:p>
    <w:p>
      <w:pPr>
        <w:pStyle w:val="BodyText"/>
        <w:tabs>
          <w:tab w:pos="2924" w:val="left" w:leader="none"/>
        </w:tabs>
        <w:spacing w:line="417" w:lineRule="auto"/>
        <w:ind w:left="578" w:right="2060" w:firstLine="619"/>
      </w:pPr>
      <w:r>
        <w:rPr/>
        <w:t>在本</w:t>
      </w:r>
      <w:r>
        <w:rPr>
          <w:spacing w:val="-3"/>
        </w:rPr>
        <w:t>招</w:t>
      </w:r>
      <w:r>
        <w:rPr/>
        <w:t>募</w:t>
      </w:r>
      <w:r>
        <w:rPr>
          <w:spacing w:val="-3"/>
        </w:rPr>
        <w:t>说</w:t>
      </w:r>
      <w:r>
        <w:rPr/>
        <w:t>明</w:t>
      </w:r>
      <w:r>
        <w:rPr>
          <w:spacing w:val="-3"/>
        </w:rPr>
        <w:t>书</w:t>
      </w:r>
      <w:r>
        <w:rPr/>
        <w:t>中</w:t>
      </w:r>
      <w:r>
        <w:rPr>
          <w:spacing w:val="-3"/>
        </w:rPr>
        <w:t>，</w:t>
      </w:r>
      <w:r>
        <w:rPr/>
        <w:t>除</w:t>
      </w:r>
      <w:r>
        <w:rPr>
          <w:spacing w:val="-3"/>
        </w:rPr>
        <w:t>非</w:t>
      </w:r>
      <w:r>
        <w:rPr/>
        <w:t>文义</w:t>
      </w:r>
      <w:r>
        <w:rPr>
          <w:spacing w:val="-3"/>
        </w:rPr>
        <w:t>另</w:t>
      </w:r>
      <w:r>
        <w:rPr/>
        <w:t>有</w:t>
      </w:r>
      <w:r>
        <w:rPr>
          <w:spacing w:val="-3"/>
        </w:rPr>
        <w:t>所</w:t>
      </w:r>
      <w:r>
        <w:rPr/>
        <w:t>指</w:t>
      </w:r>
      <w:r>
        <w:rPr>
          <w:spacing w:val="-3"/>
        </w:rPr>
        <w:t>，</w:t>
      </w:r>
      <w:r>
        <w:rPr/>
        <w:t>下</w:t>
      </w:r>
      <w:r>
        <w:rPr>
          <w:spacing w:val="-3"/>
        </w:rPr>
        <w:t>列</w:t>
      </w:r>
      <w:r>
        <w:rPr/>
        <w:t>词</w:t>
      </w:r>
      <w:r>
        <w:rPr>
          <w:spacing w:val="-3"/>
        </w:rPr>
        <w:t>语</w:t>
      </w:r>
      <w:r>
        <w:rPr/>
        <w:t>或简</w:t>
      </w:r>
      <w:r>
        <w:rPr>
          <w:spacing w:val="-3"/>
        </w:rPr>
        <w:t>称</w:t>
      </w:r>
      <w:r>
        <w:rPr/>
        <w:t>代</w:t>
      </w:r>
      <w:r>
        <w:rPr>
          <w:spacing w:val="-3"/>
        </w:rPr>
        <w:t>表</w:t>
      </w:r>
      <w:r>
        <w:rPr/>
        <w:t>如</w:t>
      </w:r>
      <w:r>
        <w:rPr>
          <w:spacing w:val="-3"/>
        </w:rPr>
        <w:t>下</w:t>
      </w:r>
      <w:r>
        <w:rPr/>
        <w:t>含</w:t>
      </w:r>
      <w:r>
        <w:rPr>
          <w:spacing w:val="-3"/>
        </w:rPr>
        <w:t>义</w:t>
      </w:r>
      <w:r>
        <w:rPr/>
        <w:t>： 基金</w:t>
      </w:r>
      <w:r>
        <w:rPr>
          <w:spacing w:val="-3"/>
        </w:rPr>
        <w:t>或</w:t>
      </w:r>
      <w:r>
        <w:rPr/>
        <w:t>本</w:t>
      </w:r>
      <w:r>
        <w:rPr>
          <w:spacing w:val="-3"/>
        </w:rPr>
        <w:t>基</w:t>
      </w:r>
      <w:r>
        <w:rPr/>
        <w:t>金：</w:t>
        <w:tab/>
        <w:t>指华</w:t>
      </w:r>
      <w:r>
        <w:rPr>
          <w:spacing w:val="-3"/>
        </w:rPr>
        <w:t>夏</w:t>
      </w:r>
      <w:r>
        <w:rPr/>
        <w:t>现</w:t>
      </w:r>
      <w:r>
        <w:rPr>
          <w:spacing w:val="-3"/>
        </w:rPr>
        <w:t>金</w:t>
      </w:r>
      <w:r>
        <w:rPr/>
        <w:t>增</w:t>
      </w:r>
      <w:r>
        <w:rPr>
          <w:spacing w:val="-3"/>
        </w:rPr>
        <w:t>利</w:t>
      </w:r>
      <w:r>
        <w:rPr/>
        <w:t>证</w:t>
      </w:r>
      <w:r>
        <w:rPr>
          <w:spacing w:val="-3"/>
        </w:rPr>
        <w:t>券</w:t>
      </w:r>
      <w:r>
        <w:rPr/>
        <w:t>投</w:t>
      </w:r>
      <w:r>
        <w:rPr>
          <w:spacing w:val="-3"/>
        </w:rPr>
        <w:t>资</w:t>
      </w:r>
      <w:r>
        <w:rPr/>
        <w:t>基金。</w:t>
      </w:r>
    </w:p>
    <w:p>
      <w:pPr>
        <w:pStyle w:val="BodyText"/>
        <w:spacing w:line="417" w:lineRule="auto"/>
        <w:ind w:left="2924" w:right="754" w:hanging="2346"/>
      </w:pPr>
      <w:r>
        <w:rPr>
          <w:spacing w:val="-1"/>
        </w:rPr>
        <w:t>基金合同</w:t>
      </w:r>
      <w:r>
        <w:rPr>
          <w:spacing w:val="-18"/>
        </w:rPr>
        <w:t>、《基金合同》： 指《华夏现金增利证券投资基金基金合同》及基金合同当事人对其不</w:t>
      </w:r>
      <w:r>
        <w:rPr>
          <w:spacing w:val="-7"/>
        </w:rPr>
        <w:t>时作出的修订。</w:t>
      </w:r>
    </w:p>
    <w:p>
      <w:pPr>
        <w:pStyle w:val="BodyText"/>
        <w:tabs>
          <w:tab w:pos="2924" w:val="left" w:leader="none"/>
        </w:tabs>
        <w:spacing w:line="269" w:lineRule="exact"/>
        <w:ind w:left="578"/>
      </w:pPr>
      <w:r>
        <w:rPr/>
        <w:t>招募</w:t>
      </w:r>
      <w:r>
        <w:rPr>
          <w:spacing w:val="-3"/>
        </w:rPr>
        <w:t>说</w:t>
      </w:r>
      <w:r>
        <w:rPr/>
        <w:t>明</w:t>
      </w:r>
      <w:r>
        <w:rPr>
          <w:spacing w:val="-3"/>
        </w:rPr>
        <w:t>书</w:t>
      </w:r>
      <w:r>
        <w:rPr/>
        <w:t>：</w:t>
        <w:tab/>
        <w:t>指《</w:t>
      </w:r>
      <w:r>
        <w:rPr>
          <w:spacing w:val="-3"/>
        </w:rPr>
        <w:t>华</w:t>
      </w:r>
      <w:r>
        <w:rPr/>
        <w:t>夏</w:t>
      </w:r>
      <w:r>
        <w:rPr>
          <w:spacing w:val="-3"/>
        </w:rPr>
        <w:t>现</w:t>
      </w:r>
      <w:r>
        <w:rPr/>
        <w:t>金</w:t>
      </w:r>
      <w:r>
        <w:rPr>
          <w:spacing w:val="-3"/>
        </w:rPr>
        <w:t>增</w:t>
      </w:r>
      <w:r>
        <w:rPr/>
        <w:t>利</w:t>
      </w:r>
      <w:r>
        <w:rPr>
          <w:spacing w:val="-3"/>
        </w:rPr>
        <w:t>证</w:t>
      </w:r>
      <w:r>
        <w:rPr/>
        <w:t>券</w:t>
      </w:r>
      <w:r>
        <w:rPr>
          <w:spacing w:val="-3"/>
        </w:rPr>
        <w:t>投</w:t>
      </w:r>
      <w:r>
        <w:rPr/>
        <w:t>资基</w:t>
      </w:r>
      <w:r>
        <w:rPr>
          <w:spacing w:val="-3"/>
        </w:rPr>
        <w:t>金</w:t>
      </w:r>
      <w:r>
        <w:rPr/>
        <w:t>招</w:t>
      </w:r>
      <w:r>
        <w:rPr>
          <w:spacing w:val="-3"/>
        </w:rPr>
        <w:t>募</w:t>
      </w:r>
      <w:r>
        <w:rPr/>
        <w:t>说</w:t>
      </w:r>
      <w:r>
        <w:rPr>
          <w:spacing w:val="-3"/>
        </w:rPr>
        <w:t>明</w:t>
      </w:r>
      <w:r>
        <w:rPr/>
        <w:t>书</w:t>
      </w:r>
      <w:r>
        <w:rPr>
          <w:spacing w:val="-3"/>
        </w:rPr>
        <w:t>》</w:t>
      </w:r>
      <w:r>
        <w:rPr/>
        <w:t>及</w:t>
      </w:r>
      <w:r>
        <w:rPr>
          <w:spacing w:val="-3"/>
        </w:rPr>
        <w:t>其</w:t>
      </w:r>
      <w:r>
        <w:rPr/>
        <w:t>更新。</w:t>
      </w:r>
    </w:p>
    <w:p>
      <w:pPr>
        <w:pStyle w:val="BodyText"/>
        <w:spacing w:before="7"/>
        <w:rPr>
          <w:sz w:val="15"/>
        </w:rPr>
      </w:pPr>
    </w:p>
    <w:p>
      <w:pPr>
        <w:pStyle w:val="BodyText"/>
        <w:tabs>
          <w:tab w:pos="2924" w:val="left" w:leader="none"/>
        </w:tabs>
        <w:ind w:left="578"/>
      </w:pPr>
      <w:r>
        <w:rPr/>
        <w:t>基金</w:t>
      </w:r>
      <w:r>
        <w:rPr>
          <w:spacing w:val="-3"/>
        </w:rPr>
        <w:t>产</w:t>
      </w:r>
      <w:r>
        <w:rPr/>
        <w:t>品</w:t>
      </w:r>
      <w:r>
        <w:rPr>
          <w:spacing w:val="-3"/>
        </w:rPr>
        <w:t>资</w:t>
      </w:r>
      <w:r>
        <w:rPr/>
        <w:t>料</w:t>
      </w:r>
      <w:r>
        <w:rPr>
          <w:spacing w:val="-3"/>
        </w:rPr>
        <w:t>概</w:t>
      </w:r>
      <w:r>
        <w:rPr/>
        <w:t>要：</w:t>
        <w:tab/>
        <w:t>指《</w:t>
      </w:r>
      <w:r>
        <w:rPr>
          <w:spacing w:val="-3"/>
        </w:rPr>
        <w:t>华</w:t>
      </w:r>
      <w:r>
        <w:rPr/>
        <w:t>夏</w:t>
      </w:r>
      <w:r>
        <w:rPr>
          <w:spacing w:val="-3"/>
        </w:rPr>
        <w:t>现</w:t>
      </w:r>
      <w:r>
        <w:rPr/>
        <w:t>金</w:t>
      </w:r>
      <w:r>
        <w:rPr>
          <w:spacing w:val="-3"/>
        </w:rPr>
        <w:t>增</w:t>
      </w:r>
      <w:r>
        <w:rPr/>
        <w:t>利</w:t>
      </w:r>
      <w:r>
        <w:rPr>
          <w:spacing w:val="-3"/>
        </w:rPr>
        <w:t>证</w:t>
      </w:r>
      <w:r>
        <w:rPr/>
        <w:t>券</w:t>
      </w:r>
      <w:r>
        <w:rPr>
          <w:spacing w:val="-3"/>
        </w:rPr>
        <w:t>投</w:t>
      </w:r>
      <w:r>
        <w:rPr/>
        <w:t>资基</w:t>
      </w:r>
      <w:r>
        <w:rPr>
          <w:spacing w:val="-3"/>
        </w:rPr>
        <w:t>金</w:t>
      </w:r>
      <w:r>
        <w:rPr/>
        <w:t>基</w:t>
      </w:r>
      <w:r>
        <w:rPr>
          <w:spacing w:val="-3"/>
        </w:rPr>
        <w:t>金</w:t>
      </w:r>
      <w:r>
        <w:rPr/>
        <w:t>产</w:t>
      </w:r>
      <w:r>
        <w:rPr>
          <w:spacing w:val="-3"/>
        </w:rPr>
        <w:t>品</w:t>
      </w:r>
      <w:r>
        <w:rPr/>
        <w:t>资</w:t>
      </w:r>
      <w:r>
        <w:rPr>
          <w:spacing w:val="-3"/>
        </w:rPr>
        <w:t>料</w:t>
      </w:r>
      <w:r>
        <w:rPr/>
        <w:t>概</w:t>
      </w:r>
      <w:r>
        <w:rPr>
          <w:spacing w:val="-3"/>
        </w:rPr>
        <w:t>要</w:t>
      </w:r>
      <w:r>
        <w:rPr/>
        <w:t>》及</w:t>
      </w:r>
      <w:r>
        <w:rPr>
          <w:spacing w:val="-3"/>
        </w:rPr>
        <w:t>其</w:t>
      </w:r>
      <w:r>
        <w:rPr/>
        <w:t>更</w:t>
      </w:r>
      <w:r>
        <w:rPr>
          <w:spacing w:val="-3"/>
        </w:rPr>
        <w:t>新</w:t>
      </w:r>
      <w:r>
        <w:rPr/>
        <w:t>。</w:t>
      </w:r>
    </w:p>
    <w:p>
      <w:pPr>
        <w:pStyle w:val="BodyText"/>
        <w:spacing w:before="7"/>
        <w:rPr>
          <w:sz w:val="15"/>
        </w:rPr>
      </w:pPr>
    </w:p>
    <w:p>
      <w:pPr>
        <w:pStyle w:val="BodyText"/>
        <w:tabs>
          <w:tab w:pos="2924" w:val="left" w:leader="none"/>
        </w:tabs>
        <w:spacing w:line="417" w:lineRule="auto"/>
        <w:ind w:left="2924" w:right="754" w:hanging="2346"/>
      </w:pPr>
      <w:r>
        <w:rPr/>
        <w:t>托管</w:t>
      </w:r>
      <w:r>
        <w:rPr>
          <w:spacing w:val="-3"/>
        </w:rPr>
        <w:t>协</w:t>
      </w:r>
      <w:r>
        <w:rPr/>
        <w:t>议：</w:t>
        <w:tab/>
        <w:t>指《</w:t>
      </w:r>
      <w:r>
        <w:rPr>
          <w:spacing w:val="-3"/>
        </w:rPr>
        <w:t>华</w:t>
      </w:r>
      <w:r>
        <w:rPr/>
        <w:t>夏</w:t>
      </w:r>
      <w:r>
        <w:rPr>
          <w:spacing w:val="-3"/>
        </w:rPr>
        <w:t>现</w:t>
      </w:r>
      <w:r>
        <w:rPr/>
        <w:t>金</w:t>
      </w:r>
      <w:r>
        <w:rPr>
          <w:spacing w:val="-3"/>
        </w:rPr>
        <w:t>增</w:t>
      </w:r>
      <w:r>
        <w:rPr/>
        <w:t>利</w:t>
      </w:r>
      <w:r>
        <w:rPr>
          <w:spacing w:val="-3"/>
        </w:rPr>
        <w:t>证</w:t>
      </w:r>
      <w:r>
        <w:rPr/>
        <w:t>券</w:t>
      </w:r>
      <w:r>
        <w:rPr>
          <w:spacing w:val="-3"/>
        </w:rPr>
        <w:t>投</w:t>
      </w:r>
      <w:r>
        <w:rPr/>
        <w:t>资基</w:t>
      </w:r>
      <w:r>
        <w:rPr>
          <w:spacing w:val="-3"/>
        </w:rPr>
        <w:t>金</w:t>
      </w:r>
      <w:r>
        <w:rPr/>
        <w:t>托</w:t>
      </w:r>
      <w:r>
        <w:rPr>
          <w:spacing w:val="-3"/>
        </w:rPr>
        <w:t>管</w:t>
      </w:r>
      <w:r>
        <w:rPr/>
        <w:t>协</w:t>
      </w:r>
      <w:r>
        <w:rPr>
          <w:spacing w:val="-3"/>
        </w:rPr>
        <w:t>议</w:t>
      </w:r>
      <w:r>
        <w:rPr/>
        <w:t>》</w:t>
      </w:r>
      <w:r>
        <w:rPr>
          <w:spacing w:val="-3"/>
        </w:rPr>
        <w:t>及</w:t>
      </w:r>
      <w:r>
        <w:rPr/>
        <w:t>基</w:t>
      </w:r>
      <w:r>
        <w:rPr>
          <w:spacing w:val="-3"/>
        </w:rPr>
        <w:t>金</w:t>
      </w:r>
      <w:r>
        <w:rPr/>
        <w:t>管理</w:t>
      </w:r>
      <w:r>
        <w:rPr>
          <w:spacing w:val="-3"/>
        </w:rPr>
        <w:t>人</w:t>
      </w:r>
      <w:r>
        <w:rPr/>
        <w:t>、</w:t>
      </w:r>
      <w:r>
        <w:rPr>
          <w:spacing w:val="-3"/>
        </w:rPr>
        <w:t>基</w:t>
      </w:r>
      <w:r>
        <w:rPr/>
        <w:t>金</w:t>
      </w:r>
      <w:r>
        <w:rPr>
          <w:spacing w:val="-3"/>
        </w:rPr>
        <w:t>托</w:t>
      </w:r>
      <w:r>
        <w:rPr/>
        <w:t>管人对</w:t>
      </w:r>
      <w:r>
        <w:rPr>
          <w:spacing w:val="-3"/>
        </w:rPr>
        <w:t>其</w:t>
      </w:r>
      <w:r>
        <w:rPr/>
        <w:t>不</w:t>
      </w:r>
      <w:r>
        <w:rPr>
          <w:spacing w:val="-3"/>
        </w:rPr>
        <w:t>时</w:t>
      </w:r>
      <w:r>
        <w:rPr/>
        <w:t>作</w:t>
      </w:r>
      <w:r>
        <w:rPr>
          <w:spacing w:val="-3"/>
        </w:rPr>
        <w:t>出</w:t>
      </w:r>
      <w:r>
        <w:rPr/>
        <w:t>的</w:t>
      </w:r>
      <w:r>
        <w:rPr>
          <w:spacing w:val="-3"/>
        </w:rPr>
        <w:t>更</w:t>
      </w:r>
      <w:r>
        <w:rPr/>
        <w:t>新。</w:t>
      </w:r>
    </w:p>
    <w:p>
      <w:pPr>
        <w:pStyle w:val="BodyText"/>
        <w:tabs>
          <w:tab w:pos="2924" w:val="left" w:leader="none"/>
        </w:tabs>
        <w:spacing w:line="269" w:lineRule="exact"/>
        <w:ind w:left="578"/>
      </w:pPr>
      <w:r>
        <w:rPr/>
        <w:t>发售</w:t>
      </w:r>
      <w:r>
        <w:rPr>
          <w:spacing w:val="-3"/>
        </w:rPr>
        <w:t>公</w:t>
      </w:r>
      <w:r>
        <w:rPr/>
        <w:t>告：</w:t>
        <w:tab/>
        <w:t>指《</w:t>
      </w:r>
      <w:r>
        <w:rPr>
          <w:spacing w:val="-3"/>
        </w:rPr>
        <w:t>华</w:t>
      </w:r>
      <w:r>
        <w:rPr/>
        <w:t>夏</w:t>
      </w:r>
      <w:r>
        <w:rPr>
          <w:spacing w:val="-3"/>
        </w:rPr>
        <w:t>现</w:t>
      </w:r>
      <w:r>
        <w:rPr/>
        <w:t>金</w:t>
      </w:r>
      <w:r>
        <w:rPr>
          <w:spacing w:val="-3"/>
        </w:rPr>
        <w:t>增</w:t>
      </w:r>
      <w:r>
        <w:rPr/>
        <w:t>利</w:t>
      </w:r>
      <w:r>
        <w:rPr>
          <w:spacing w:val="-3"/>
        </w:rPr>
        <w:t>证</w:t>
      </w:r>
      <w:r>
        <w:rPr/>
        <w:t>券</w:t>
      </w:r>
      <w:r>
        <w:rPr>
          <w:spacing w:val="-3"/>
        </w:rPr>
        <w:t>投</w:t>
      </w:r>
      <w:r>
        <w:rPr/>
        <w:t>资基</w:t>
      </w:r>
      <w:r>
        <w:rPr>
          <w:spacing w:val="-3"/>
        </w:rPr>
        <w:t>金</w:t>
      </w:r>
      <w:r>
        <w:rPr/>
        <w:t>发</w:t>
      </w:r>
      <w:r>
        <w:rPr>
          <w:spacing w:val="-3"/>
        </w:rPr>
        <w:t>行</w:t>
      </w:r>
      <w:r>
        <w:rPr/>
        <w:t>公</w:t>
      </w:r>
      <w:r>
        <w:rPr>
          <w:spacing w:val="-3"/>
        </w:rPr>
        <w:t>告</w:t>
      </w:r>
      <w:r>
        <w:rPr>
          <w:spacing w:val="-106"/>
        </w:rPr>
        <w:t>》</w:t>
      </w:r>
      <w:r>
        <w:rPr/>
        <w:t>。</w:t>
      </w:r>
    </w:p>
    <w:p>
      <w:pPr>
        <w:pStyle w:val="BodyText"/>
        <w:spacing w:before="7"/>
        <w:rPr>
          <w:sz w:val="15"/>
        </w:rPr>
      </w:pPr>
    </w:p>
    <w:p>
      <w:pPr>
        <w:pStyle w:val="BodyText"/>
        <w:tabs>
          <w:tab w:pos="2924" w:val="left" w:leader="none"/>
        </w:tabs>
        <w:ind w:left="578"/>
      </w:pPr>
      <w:r>
        <w:rPr/>
        <w:t>《基</w:t>
      </w:r>
      <w:r>
        <w:rPr>
          <w:spacing w:val="-3"/>
        </w:rPr>
        <w:t>金</w:t>
      </w:r>
      <w:r>
        <w:rPr/>
        <w:t>法</w:t>
      </w:r>
      <w:r>
        <w:rPr>
          <w:spacing w:val="-108"/>
        </w:rPr>
        <w:t>》</w:t>
      </w:r>
      <w:r>
        <w:rPr/>
        <w:t>：</w:t>
        <w:tab/>
        <w:t>指《</w:t>
      </w:r>
      <w:r>
        <w:rPr>
          <w:spacing w:val="-3"/>
        </w:rPr>
        <w:t>中</w:t>
      </w:r>
      <w:r>
        <w:rPr/>
        <w:t>华</w:t>
      </w:r>
      <w:r>
        <w:rPr>
          <w:spacing w:val="-3"/>
        </w:rPr>
        <w:t>人</w:t>
      </w:r>
      <w:r>
        <w:rPr/>
        <w:t>民</w:t>
      </w:r>
      <w:r>
        <w:rPr>
          <w:spacing w:val="-3"/>
        </w:rPr>
        <w:t>共</w:t>
      </w:r>
      <w:r>
        <w:rPr/>
        <w:t>和</w:t>
      </w:r>
      <w:r>
        <w:rPr>
          <w:spacing w:val="-3"/>
        </w:rPr>
        <w:t>国</w:t>
      </w:r>
      <w:r>
        <w:rPr/>
        <w:t>证</w:t>
      </w:r>
      <w:r>
        <w:rPr>
          <w:spacing w:val="-3"/>
        </w:rPr>
        <w:t>券</w:t>
      </w:r>
      <w:r>
        <w:rPr/>
        <w:t>投资</w:t>
      </w:r>
      <w:r>
        <w:rPr>
          <w:spacing w:val="-3"/>
        </w:rPr>
        <w:t>基</w:t>
      </w:r>
      <w:r>
        <w:rPr/>
        <w:t>金</w:t>
      </w:r>
      <w:r>
        <w:rPr>
          <w:spacing w:val="-3"/>
        </w:rPr>
        <w:t>法</w:t>
      </w:r>
      <w:r>
        <w:rPr/>
        <w:t>》</w:t>
      </w:r>
      <w:r>
        <w:rPr>
          <w:spacing w:val="-3"/>
        </w:rPr>
        <w:t>及</w:t>
      </w:r>
      <w:r>
        <w:rPr/>
        <w:t>颁</w:t>
      </w:r>
      <w:r>
        <w:rPr>
          <w:spacing w:val="-3"/>
        </w:rPr>
        <w:t>布</w:t>
      </w:r>
      <w:r>
        <w:rPr/>
        <w:t>机</w:t>
      </w:r>
      <w:r>
        <w:rPr>
          <w:spacing w:val="-3"/>
        </w:rPr>
        <w:t>关</w:t>
      </w:r>
      <w:r>
        <w:rPr/>
        <w:t>对其</w:t>
      </w:r>
      <w:r>
        <w:rPr>
          <w:spacing w:val="-3"/>
        </w:rPr>
        <w:t>不</w:t>
      </w:r>
      <w:r>
        <w:rPr/>
        <w:t>时</w:t>
      </w:r>
      <w:r>
        <w:rPr>
          <w:spacing w:val="-3"/>
        </w:rPr>
        <w:t>作</w:t>
      </w:r>
      <w:r>
        <w:rPr/>
        <w:t>出</w:t>
      </w:r>
      <w:r>
        <w:rPr>
          <w:spacing w:val="-3"/>
        </w:rPr>
        <w:t>的</w:t>
      </w:r>
      <w:r>
        <w:rPr/>
        <w:t>修</w:t>
      </w:r>
    </w:p>
    <w:p>
      <w:pPr>
        <w:spacing w:after="0"/>
        <w:sectPr>
          <w:footerReference w:type="default" r:id="rId6"/>
          <w:pgSz w:w="11910" w:h="16840"/>
          <w:pgMar w:footer="995" w:header="877" w:top="1280" w:bottom="1180" w:left="1020" w:right="900"/>
          <w:pgNumType w:start="1"/>
        </w:sectPr>
      </w:pPr>
    </w:p>
    <w:p>
      <w:pPr>
        <w:pStyle w:val="BodyText"/>
        <w:spacing w:before="7"/>
        <w:rPr>
          <w:sz w:val="12"/>
        </w:rPr>
      </w:pPr>
    </w:p>
    <w:p>
      <w:pPr>
        <w:pStyle w:val="BodyText"/>
        <w:spacing w:before="71"/>
        <w:ind w:left="2924"/>
      </w:pPr>
      <w:r>
        <w:rPr/>
        <w:t>订。</w:t>
      </w:r>
    </w:p>
    <w:p>
      <w:pPr>
        <w:pStyle w:val="BodyText"/>
        <w:spacing w:before="7"/>
        <w:rPr>
          <w:sz w:val="15"/>
        </w:rPr>
      </w:pPr>
    </w:p>
    <w:p>
      <w:pPr>
        <w:pStyle w:val="BodyText"/>
        <w:tabs>
          <w:tab w:pos="2924" w:val="left" w:leader="none"/>
        </w:tabs>
        <w:ind w:left="578"/>
      </w:pPr>
      <w:r>
        <w:rPr/>
        <w:t>《运</w:t>
      </w:r>
      <w:r>
        <w:rPr>
          <w:spacing w:val="-3"/>
        </w:rPr>
        <w:t>作</w:t>
      </w:r>
      <w:r>
        <w:rPr/>
        <w:t>办</w:t>
      </w:r>
      <w:r>
        <w:rPr>
          <w:spacing w:val="-3"/>
        </w:rPr>
        <w:t>法</w:t>
      </w:r>
      <w:r>
        <w:rPr>
          <w:spacing w:val="-106"/>
        </w:rPr>
        <w:t>》</w:t>
      </w:r>
      <w:r>
        <w:rPr/>
        <w:t>：</w:t>
        <w:tab/>
        <w:t>指《</w:t>
      </w:r>
      <w:r>
        <w:rPr>
          <w:spacing w:val="-3"/>
        </w:rPr>
        <w:t>证</w:t>
      </w:r>
      <w:r>
        <w:rPr/>
        <w:t>券</w:t>
      </w:r>
      <w:r>
        <w:rPr>
          <w:spacing w:val="-3"/>
        </w:rPr>
        <w:t>投</w:t>
      </w:r>
      <w:r>
        <w:rPr/>
        <w:t>资</w:t>
      </w:r>
      <w:r>
        <w:rPr>
          <w:spacing w:val="-3"/>
        </w:rPr>
        <w:t>基</w:t>
      </w:r>
      <w:r>
        <w:rPr/>
        <w:t>金</w:t>
      </w:r>
      <w:r>
        <w:rPr>
          <w:spacing w:val="-3"/>
        </w:rPr>
        <w:t>运</w:t>
      </w:r>
      <w:r>
        <w:rPr/>
        <w:t>作</w:t>
      </w:r>
      <w:r>
        <w:rPr>
          <w:spacing w:val="-3"/>
        </w:rPr>
        <w:t>管</w:t>
      </w:r>
      <w:r>
        <w:rPr/>
        <w:t>理办</w:t>
      </w:r>
      <w:r>
        <w:rPr>
          <w:spacing w:val="-3"/>
        </w:rPr>
        <w:t>法</w:t>
      </w:r>
      <w:r>
        <w:rPr/>
        <w:t>》</w:t>
      </w:r>
      <w:r>
        <w:rPr>
          <w:spacing w:val="-3"/>
        </w:rPr>
        <w:t>及</w:t>
      </w:r>
      <w:r>
        <w:rPr/>
        <w:t>颁</w:t>
      </w:r>
      <w:r>
        <w:rPr>
          <w:spacing w:val="-3"/>
        </w:rPr>
        <w:t>布</w:t>
      </w:r>
      <w:r>
        <w:rPr/>
        <w:t>机</w:t>
      </w:r>
      <w:r>
        <w:rPr>
          <w:spacing w:val="-3"/>
        </w:rPr>
        <w:t>关</w:t>
      </w:r>
      <w:r>
        <w:rPr/>
        <w:t>对</w:t>
      </w:r>
      <w:r>
        <w:rPr>
          <w:spacing w:val="-3"/>
        </w:rPr>
        <w:t>其</w:t>
      </w:r>
      <w:r>
        <w:rPr/>
        <w:t>不时</w:t>
      </w:r>
      <w:r>
        <w:rPr>
          <w:spacing w:val="-3"/>
        </w:rPr>
        <w:t>作</w:t>
      </w:r>
      <w:r>
        <w:rPr/>
        <w:t>出</w:t>
      </w:r>
      <w:r>
        <w:rPr>
          <w:spacing w:val="-3"/>
        </w:rPr>
        <w:t>的</w:t>
      </w:r>
      <w:r>
        <w:rPr/>
        <w:t>修</w:t>
      </w:r>
      <w:r>
        <w:rPr>
          <w:spacing w:val="-3"/>
        </w:rPr>
        <w:t>订</w:t>
      </w:r>
      <w:r>
        <w:rPr/>
        <w:t>。</w:t>
      </w:r>
    </w:p>
    <w:p>
      <w:pPr>
        <w:pStyle w:val="BodyText"/>
        <w:spacing w:before="7"/>
        <w:rPr>
          <w:sz w:val="15"/>
        </w:rPr>
      </w:pPr>
    </w:p>
    <w:p>
      <w:pPr>
        <w:pStyle w:val="BodyText"/>
        <w:tabs>
          <w:tab w:pos="2924" w:val="left" w:leader="none"/>
        </w:tabs>
        <w:ind w:left="578"/>
      </w:pPr>
      <w:r>
        <w:rPr/>
        <w:t>《销</w:t>
      </w:r>
      <w:r>
        <w:rPr>
          <w:spacing w:val="-3"/>
        </w:rPr>
        <w:t>售</w:t>
      </w:r>
      <w:r>
        <w:rPr/>
        <w:t>办</w:t>
      </w:r>
      <w:r>
        <w:rPr>
          <w:spacing w:val="-3"/>
        </w:rPr>
        <w:t>法</w:t>
      </w:r>
      <w:r>
        <w:rPr>
          <w:spacing w:val="-106"/>
        </w:rPr>
        <w:t>》</w:t>
      </w:r>
      <w:r>
        <w:rPr/>
        <w:t>：</w:t>
        <w:tab/>
        <w:t>指《</w:t>
      </w:r>
      <w:r>
        <w:rPr>
          <w:spacing w:val="-3"/>
        </w:rPr>
        <w:t>证</w:t>
      </w:r>
      <w:r>
        <w:rPr/>
        <w:t>券</w:t>
      </w:r>
      <w:r>
        <w:rPr>
          <w:spacing w:val="-3"/>
        </w:rPr>
        <w:t>投</w:t>
      </w:r>
      <w:r>
        <w:rPr/>
        <w:t>资</w:t>
      </w:r>
      <w:r>
        <w:rPr>
          <w:spacing w:val="-3"/>
        </w:rPr>
        <w:t>基</w:t>
      </w:r>
      <w:r>
        <w:rPr/>
        <w:t>金</w:t>
      </w:r>
      <w:r>
        <w:rPr>
          <w:spacing w:val="-3"/>
        </w:rPr>
        <w:t>销</w:t>
      </w:r>
      <w:r>
        <w:rPr/>
        <w:t>售</w:t>
      </w:r>
      <w:r>
        <w:rPr>
          <w:spacing w:val="-3"/>
        </w:rPr>
        <w:t>管</w:t>
      </w:r>
      <w:r>
        <w:rPr/>
        <w:t>理办</w:t>
      </w:r>
      <w:r>
        <w:rPr>
          <w:spacing w:val="-3"/>
        </w:rPr>
        <w:t>法</w:t>
      </w:r>
      <w:r>
        <w:rPr/>
        <w:t>》</w:t>
      </w:r>
      <w:r>
        <w:rPr>
          <w:spacing w:val="-3"/>
        </w:rPr>
        <w:t>及</w:t>
      </w:r>
      <w:r>
        <w:rPr/>
        <w:t>颁</w:t>
      </w:r>
      <w:r>
        <w:rPr>
          <w:spacing w:val="-3"/>
        </w:rPr>
        <w:t>布</w:t>
      </w:r>
      <w:r>
        <w:rPr/>
        <w:t>机</w:t>
      </w:r>
      <w:r>
        <w:rPr>
          <w:spacing w:val="-3"/>
        </w:rPr>
        <w:t>关</w:t>
      </w:r>
      <w:r>
        <w:rPr/>
        <w:t>对</w:t>
      </w:r>
      <w:r>
        <w:rPr>
          <w:spacing w:val="-3"/>
        </w:rPr>
        <w:t>其</w:t>
      </w:r>
      <w:r>
        <w:rPr/>
        <w:t>不时</w:t>
      </w:r>
      <w:r>
        <w:rPr>
          <w:spacing w:val="-3"/>
        </w:rPr>
        <w:t>作</w:t>
      </w:r>
      <w:r>
        <w:rPr/>
        <w:t>出</w:t>
      </w:r>
      <w:r>
        <w:rPr>
          <w:spacing w:val="-3"/>
        </w:rPr>
        <w:t>的</w:t>
      </w:r>
      <w:r>
        <w:rPr/>
        <w:t>修</w:t>
      </w:r>
      <w:r>
        <w:rPr>
          <w:spacing w:val="-3"/>
        </w:rPr>
        <w:t>订</w:t>
      </w:r>
      <w:r>
        <w:rPr/>
        <w:t>。</w:t>
      </w:r>
    </w:p>
    <w:p>
      <w:pPr>
        <w:pStyle w:val="BodyText"/>
        <w:spacing w:before="6"/>
        <w:rPr>
          <w:sz w:val="15"/>
        </w:rPr>
      </w:pPr>
    </w:p>
    <w:p>
      <w:pPr>
        <w:pStyle w:val="BodyText"/>
        <w:tabs>
          <w:tab w:pos="2924" w:val="left" w:leader="none"/>
        </w:tabs>
        <w:spacing w:line="417" w:lineRule="auto" w:before="1"/>
        <w:ind w:left="2924" w:right="754" w:hanging="2346"/>
      </w:pPr>
      <w:r>
        <w:rPr/>
        <w:t>《信</w:t>
      </w:r>
      <w:r>
        <w:rPr>
          <w:spacing w:val="-3"/>
        </w:rPr>
        <w:t>息</w:t>
      </w:r>
      <w:r>
        <w:rPr/>
        <w:t>披</w:t>
      </w:r>
      <w:r>
        <w:rPr>
          <w:spacing w:val="-3"/>
        </w:rPr>
        <w:t>露</w:t>
      </w:r>
      <w:r>
        <w:rPr/>
        <w:t>办</w:t>
      </w:r>
      <w:r>
        <w:rPr>
          <w:spacing w:val="-3"/>
        </w:rPr>
        <w:t>法</w:t>
      </w:r>
      <w:r>
        <w:rPr>
          <w:spacing w:val="-106"/>
        </w:rPr>
        <w:t>》</w:t>
      </w:r>
      <w:r>
        <w:rPr/>
        <w:t>：</w:t>
        <w:tab/>
        <w:t>指《</w:t>
      </w:r>
      <w:r>
        <w:rPr>
          <w:spacing w:val="-3"/>
        </w:rPr>
        <w:t>公</w:t>
      </w:r>
      <w:r>
        <w:rPr/>
        <w:t>开</w:t>
      </w:r>
      <w:r>
        <w:rPr>
          <w:spacing w:val="-3"/>
        </w:rPr>
        <w:t>募</w:t>
      </w:r>
      <w:r>
        <w:rPr/>
        <w:t>集</w:t>
      </w:r>
      <w:r>
        <w:rPr>
          <w:spacing w:val="-3"/>
        </w:rPr>
        <w:t>证</w:t>
      </w:r>
      <w:r>
        <w:rPr/>
        <w:t>券</w:t>
      </w:r>
      <w:r>
        <w:rPr>
          <w:spacing w:val="-3"/>
        </w:rPr>
        <w:t>投</w:t>
      </w:r>
      <w:r>
        <w:rPr/>
        <w:t>资</w:t>
      </w:r>
      <w:r>
        <w:rPr>
          <w:spacing w:val="-3"/>
        </w:rPr>
        <w:t>基</w:t>
      </w:r>
      <w:r>
        <w:rPr/>
        <w:t>金信</w:t>
      </w:r>
      <w:r>
        <w:rPr>
          <w:spacing w:val="-3"/>
        </w:rPr>
        <w:t>息</w:t>
      </w:r>
      <w:r>
        <w:rPr/>
        <w:t>披</w:t>
      </w:r>
      <w:r>
        <w:rPr>
          <w:spacing w:val="-3"/>
        </w:rPr>
        <w:t>露</w:t>
      </w:r>
      <w:r>
        <w:rPr/>
        <w:t>管</w:t>
      </w:r>
      <w:r>
        <w:rPr>
          <w:spacing w:val="-3"/>
        </w:rPr>
        <w:t>理</w:t>
      </w:r>
      <w:r>
        <w:rPr/>
        <w:t>办</w:t>
      </w:r>
      <w:r>
        <w:rPr>
          <w:spacing w:val="-3"/>
        </w:rPr>
        <w:t>法</w:t>
      </w:r>
      <w:r>
        <w:rPr/>
        <w:t>》</w:t>
      </w:r>
      <w:r>
        <w:rPr>
          <w:spacing w:val="-3"/>
        </w:rPr>
        <w:t>及</w:t>
      </w:r>
      <w:r>
        <w:rPr/>
        <w:t>颁布</w:t>
      </w:r>
      <w:r>
        <w:rPr>
          <w:spacing w:val="-3"/>
        </w:rPr>
        <w:t>机</w:t>
      </w:r>
      <w:r>
        <w:rPr/>
        <w:t>关</w:t>
      </w:r>
      <w:r>
        <w:rPr>
          <w:spacing w:val="-3"/>
        </w:rPr>
        <w:t>对</w:t>
      </w:r>
      <w:r>
        <w:rPr/>
        <w:t>其</w:t>
      </w:r>
      <w:r>
        <w:rPr>
          <w:spacing w:val="-3"/>
        </w:rPr>
        <w:t>不</w:t>
      </w:r>
      <w:r>
        <w:rPr/>
        <w:t>时作出</w:t>
      </w:r>
      <w:r>
        <w:rPr>
          <w:spacing w:val="-3"/>
        </w:rPr>
        <w:t>的</w:t>
      </w:r>
      <w:r>
        <w:rPr/>
        <w:t>修</w:t>
      </w:r>
      <w:r>
        <w:rPr>
          <w:spacing w:val="-3"/>
        </w:rPr>
        <w:t>订</w:t>
      </w:r>
      <w:r>
        <w:rPr/>
        <w:t>。</w:t>
      </w:r>
    </w:p>
    <w:p>
      <w:pPr>
        <w:pStyle w:val="BodyText"/>
        <w:tabs>
          <w:tab w:pos="2924" w:val="left" w:leader="none"/>
        </w:tabs>
        <w:spacing w:line="269" w:lineRule="exact"/>
        <w:ind w:left="578"/>
      </w:pPr>
      <w:r>
        <w:rPr/>
        <w:t>《证</w:t>
      </w:r>
      <w:r>
        <w:rPr>
          <w:spacing w:val="-3"/>
        </w:rPr>
        <w:t>券</w:t>
      </w:r>
      <w:r>
        <w:rPr/>
        <w:t>法</w:t>
      </w:r>
      <w:r>
        <w:rPr>
          <w:spacing w:val="-108"/>
        </w:rPr>
        <w:t>》</w:t>
      </w:r>
      <w:r>
        <w:rPr/>
        <w:t>：</w:t>
        <w:tab/>
        <w:t>指《</w:t>
      </w:r>
      <w:r>
        <w:rPr>
          <w:spacing w:val="-3"/>
        </w:rPr>
        <w:t>中</w:t>
      </w:r>
      <w:r>
        <w:rPr/>
        <w:t>华</w:t>
      </w:r>
      <w:r>
        <w:rPr>
          <w:spacing w:val="-3"/>
        </w:rPr>
        <w:t>人</w:t>
      </w:r>
      <w:r>
        <w:rPr/>
        <w:t>民</w:t>
      </w:r>
      <w:r>
        <w:rPr>
          <w:spacing w:val="-3"/>
        </w:rPr>
        <w:t>共</w:t>
      </w:r>
      <w:r>
        <w:rPr/>
        <w:t>和</w:t>
      </w:r>
      <w:r>
        <w:rPr>
          <w:spacing w:val="-3"/>
        </w:rPr>
        <w:t>国</w:t>
      </w:r>
      <w:r>
        <w:rPr/>
        <w:t>证</w:t>
      </w:r>
      <w:r>
        <w:rPr>
          <w:spacing w:val="-3"/>
        </w:rPr>
        <w:t>券</w:t>
      </w:r>
      <w:r>
        <w:rPr/>
        <w:t>法》</w:t>
      </w:r>
      <w:r>
        <w:rPr>
          <w:spacing w:val="-3"/>
        </w:rPr>
        <w:t>及</w:t>
      </w:r>
      <w:r>
        <w:rPr/>
        <w:t>颁</w:t>
      </w:r>
      <w:r>
        <w:rPr>
          <w:spacing w:val="-3"/>
        </w:rPr>
        <w:t>布</w:t>
      </w:r>
      <w:r>
        <w:rPr/>
        <w:t>机</w:t>
      </w:r>
      <w:r>
        <w:rPr>
          <w:spacing w:val="-3"/>
        </w:rPr>
        <w:t>关</w:t>
      </w:r>
      <w:r>
        <w:rPr/>
        <w:t>对</w:t>
      </w:r>
      <w:r>
        <w:rPr>
          <w:spacing w:val="-3"/>
        </w:rPr>
        <w:t>其</w:t>
      </w:r>
      <w:r>
        <w:rPr/>
        <w:t>不</w:t>
      </w:r>
      <w:r>
        <w:rPr>
          <w:spacing w:val="-3"/>
        </w:rPr>
        <w:t>时</w:t>
      </w:r>
      <w:r>
        <w:rPr/>
        <w:t>作出</w:t>
      </w:r>
      <w:r>
        <w:rPr>
          <w:spacing w:val="-3"/>
        </w:rPr>
        <w:t>的</w:t>
      </w:r>
      <w:r>
        <w:rPr/>
        <w:t>修</w:t>
      </w:r>
      <w:r>
        <w:rPr>
          <w:spacing w:val="-3"/>
        </w:rPr>
        <w:t>订</w:t>
      </w:r>
      <w:r>
        <w:rPr/>
        <w:t>。</w:t>
      </w:r>
    </w:p>
    <w:p>
      <w:pPr>
        <w:pStyle w:val="BodyText"/>
        <w:spacing w:before="5"/>
        <w:rPr>
          <w:sz w:val="9"/>
        </w:rPr>
      </w:pPr>
    </w:p>
    <w:p>
      <w:pPr>
        <w:spacing w:after="0"/>
        <w:rPr>
          <w:sz w:val="9"/>
        </w:rPr>
        <w:sectPr>
          <w:pgSz w:w="11910" w:h="16840"/>
          <w:pgMar w:header="877" w:footer="995" w:top="1280" w:bottom="1180" w:left="1020" w:right="900"/>
        </w:sectPr>
      </w:pPr>
    </w:p>
    <w:p>
      <w:pPr>
        <w:pStyle w:val="BodyText"/>
        <w:spacing w:line="417" w:lineRule="auto" w:before="78"/>
        <w:ind w:left="578"/>
      </w:pPr>
      <w:r>
        <w:rPr/>
        <w:t>《流动性风险管理规定》：</w:t>
      </w:r>
    </w:p>
    <w:p>
      <w:pPr>
        <w:pStyle w:val="BodyText"/>
        <w:spacing w:line="417" w:lineRule="auto" w:before="78"/>
        <w:ind w:left="411" w:right="692"/>
        <w:jc w:val="both"/>
      </w:pPr>
      <w:r>
        <w:rPr/>
        <w:br w:type="column"/>
      </w:r>
      <w:r>
        <w:rPr>
          <w:spacing w:val="-9"/>
        </w:rPr>
        <w:t>指中国证监会 </w:t>
      </w:r>
      <w:r>
        <w:rPr>
          <w:rFonts w:ascii="Times New Roman" w:eastAsia="Times New Roman"/>
        </w:rPr>
        <w:t>2017 </w:t>
      </w:r>
      <w:r>
        <w:rPr>
          <w:spacing w:val="-25"/>
        </w:rPr>
        <w:t>年 </w:t>
      </w:r>
      <w:r>
        <w:rPr>
          <w:rFonts w:ascii="Times New Roman" w:eastAsia="Times New Roman"/>
        </w:rPr>
        <w:t>8 </w:t>
      </w:r>
      <w:r>
        <w:rPr>
          <w:spacing w:val="-25"/>
        </w:rPr>
        <w:t>月 </w:t>
      </w:r>
      <w:r>
        <w:rPr>
          <w:rFonts w:ascii="Times New Roman" w:eastAsia="Times New Roman"/>
        </w:rPr>
        <w:t>31 </w:t>
      </w:r>
      <w:r>
        <w:rPr>
          <w:spacing w:val="-13"/>
        </w:rPr>
        <w:t>日颁布、同年 </w:t>
      </w:r>
      <w:r>
        <w:rPr>
          <w:rFonts w:ascii="Times New Roman" w:eastAsia="Times New Roman"/>
        </w:rPr>
        <w:t>10 </w:t>
      </w:r>
      <w:r>
        <w:rPr>
          <w:spacing w:val="-26"/>
        </w:rPr>
        <w:t>月 </w:t>
      </w:r>
      <w:r>
        <w:rPr>
          <w:rFonts w:ascii="Times New Roman" w:eastAsia="Times New Roman"/>
        </w:rPr>
        <w:t>1 </w:t>
      </w:r>
      <w:r>
        <w:rPr>
          <w:spacing w:val="-6"/>
        </w:rPr>
        <w:t>日实施的《公开募</w:t>
      </w:r>
      <w:r>
        <w:rPr>
          <w:spacing w:val="-4"/>
        </w:rPr>
        <w:t>集开放式证券投资基金流动性风险管理规定》及颁布机关对其不时做</w:t>
      </w:r>
      <w:r>
        <w:rPr>
          <w:spacing w:val="-3"/>
        </w:rPr>
        <w:t>出的修订。</w:t>
      </w:r>
    </w:p>
    <w:p>
      <w:pPr>
        <w:spacing w:after="0" w:line="417" w:lineRule="auto"/>
        <w:jc w:val="both"/>
        <w:sectPr>
          <w:type w:val="continuous"/>
          <w:pgSz w:w="11910" w:h="16840"/>
          <w:pgMar w:top="1580" w:bottom="280" w:left="1020" w:right="900"/>
          <w:cols w:num="2" w:equalWidth="0">
            <w:col w:w="2473" w:space="40"/>
            <w:col w:w="7477"/>
          </w:cols>
        </w:sectPr>
      </w:pPr>
    </w:p>
    <w:p>
      <w:pPr>
        <w:pStyle w:val="BodyText"/>
        <w:tabs>
          <w:tab w:pos="2924" w:val="left" w:leader="none"/>
        </w:tabs>
        <w:ind w:left="578"/>
      </w:pPr>
      <w:r>
        <w:rPr/>
        <w:t>中国</w:t>
      </w:r>
      <w:r>
        <w:rPr>
          <w:spacing w:val="-3"/>
        </w:rPr>
        <w:t>证</w:t>
      </w:r>
      <w:r>
        <w:rPr/>
        <w:t>监</w:t>
      </w:r>
      <w:r>
        <w:rPr>
          <w:spacing w:val="-3"/>
        </w:rPr>
        <w:t>会</w:t>
      </w:r>
      <w:r>
        <w:rPr/>
        <w:t>：</w:t>
        <w:tab/>
        <w:t>指中</w:t>
      </w:r>
      <w:r>
        <w:rPr>
          <w:spacing w:val="-3"/>
        </w:rPr>
        <w:t>国</w:t>
      </w:r>
      <w:r>
        <w:rPr/>
        <w:t>证</w:t>
      </w:r>
      <w:r>
        <w:rPr>
          <w:spacing w:val="-3"/>
        </w:rPr>
        <w:t>券</w:t>
      </w:r>
      <w:r>
        <w:rPr/>
        <w:t>监</w:t>
      </w:r>
      <w:r>
        <w:rPr>
          <w:spacing w:val="-3"/>
        </w:rPr>
        <w:t>督</w:t>
      </w:r>
      <w:r>
        <w:rPr/>
        <w:t>管</w:t>
      </w:r>
      <w:r>
        <w:rPr>
          <w:spacing w:val="-3"/>
        </w:rPr>
        <w:t>理</w:t>
      </w:r>
      <w:r>
        <w:rPr/>
        <w:t>委</w:t>
      </w:r>
      <w:r>
        <w:rPr>
          <w:spacing w:val="-3"/>
        </w:rPr>
        <w:t>员</w:t>
      </w:r>
      <w:r>
        <w:rPr/>
        <w:t>会。</w:t>
      </w:r>
    </w:p>
    <w:p>
      <w:pPr>
        <w:pStyle w:val="BodyText"/>
        <w:spacing w:before="7"/>
        <w:rPr>
          <w:sz w:val="15"/>
        </w:rPr>
      </w:pPr>
    </w:p>
    <w:p>
      <w:pPr>
        <w:pStyle w:val="BodyText"/>
        <w:tabs>
          <w:tab w:pos="2924" w:val="left" w:leader="none"/>
        </w:tabs>
        <w:spacing w:line="417" w:lineRule="auto"/>
        <w:ind w:left="578" w:right="3906"/>
      </w:pPr>
      <w:r>
        <w:rPr/>
        <w:t>中国</w:t>
      </w:r>
      <w:r>
        <w:rPr>
          <w:spacing w:val="-3"/>
        </w:rPr>
        <w:t>银</w:t>
      </w:r>
      <w:r>
        <w:rPr/>
        <w:t>保</w:t>
      </w:r>
      <w:r>
        <w:rPr>
          <w:spacing w:val="-3"/>
        </w:rPr>
        <w:t>监</w:t>
      </w:r>
      <w:r>
        <w:rPr/>
        <w:t>会：</w:t>
        <w:tab/>
        <w:t>指中</w:t>
      </w:r>
      <w:r>
        <w:rPr>
          <w:spacing w:val="-3"/>
        </w:rPr>
        <w:t>国</w:t>
      </w:r>
      <w:r>
        <w:rPr/>
        <w:t>银</w:t>
      </w:r>
      <w:r>
        <w:rPr>
          <w:spacing w:val="-3"/>
        </w:rPr>
        <w:t>行</w:t>
      </w:r>
      <w:r>
        <w:rPr/>
        <w:t>保</w:t>
      </w:r>
      <w:r>
        <w:rPr>
          <w:spacing w:val="-3"/>
        </w:rPr>
        <w:t>险</w:t>
      </w:r>
      <w:r>
        <w:rPr/>
        <w:t>监</w:t>
      </w:r>
      <w:r>
        <w:rPr>
          <w:spacing w:val="-3"/>
        </w:rPr>
        <w:t>督</w:t>
      </w:r>
      <w:r>
        <w:rPr/>
        <w:t>管</w:t>
      </w:r>
      <w:r>
        <w:rPr>
          <w:spacing w:val="-3"/>
        </w:rPr>
        <w:t>理</w:t>
      </w:r>
      <w:r>
        <w:rPr/>
        <w:t>委员</w:t>
      </w:r>
      <w:r>
        <w:rPr>
          <w:spacing w:val="-3"/>
        </w:rPr>
        <w:t>会</w:t>
      </w:r>
      <w:r>
        <w:rPr>
          <w:spacing w:val="-14"/>
        </w:rPr>
        <w:t>。</w:t>
      </w:r>
      <w:r>
        <w:rPr/>
        <w:t>基金</w:t>
      </w:r>
      <w:r>
        <w:rPr>
          <w:spacing w:val="-3"/>
        </w:rPr>
        <w:t>管</w:t>
      </w:r>
      <w:r>
        <w:rPr/>
        <w:t>理</w:t>
      </w:r>
      <w:r>
        <w:rPr>
          <w:spacing w:val="-3"/>
        </w:rPr>
        <w:t>人</w:t>
      </w:r>
      <w:r>
        <w:rPr/>
        <w:t>：</w:t>
        <w:tab/>
        <w:t>指华</w:t>
      </w:r>
      <w:r>
        <w:rPr>
          <w:spacing w:val="-3"/>
        </w:rPr>
        <w:t>夏</w:t>
      </w:r>
      <w:r>
        <w:rPr/>
        <w:t>基</w:t>
      </w:r>
      <w:r>
        <w:rPr>
          <w:spacing w:val="-3"/>
        </w:rPr>
        <w:t>金</w:t>
      </w:r>
      <w:r>
        <w:rPr/>
        <w:t>管</w:t>
      </w:r>
      <w:r>
        <w:rPr>
          <w:spacing w:val="-3"/>
        </w:rPr>
        <w:t>理</w:t>
      </w:r>
      <w:r>
        <w:rPr/>
        <w:t>有</w:t>
      </w:r>
      <w:r>
        <w:rPr>
          <w:spacing w:val="-3"/>
        </w:rPr>
        <w:t>限</w:t>
      </w:r>
      <w:r>
        <w:rPr/>
        <w:t>公</w:t>
      </w:r>
      <w:r>
        <w:rPr>
          <w:spacing w:val="-3"/>
        </w:rPr>
        <w:t>司</w:t>
      </w:r>
      <w:r>
        <w:rPr/>
        <w:t>。</w:t>
      </w:r>
    </w:p>
    <w:p>
      <w:pPr>
        <w:pStyle w:val="BodyText"/>
        <w:tabs>
          <w:tab w:pos="2924" w:val="left" w:leader="none"/>
        </w:tabs>
        <w:spacing w:line="417" w:lineRule="auto"/>
        <w:ind w:left="2924" w:right="584" w:hanging="2346"/>
      </w:pPr>
      <w:r>
        <w:rPr/>
        <w:t>基金</w:t>
      </w:r>
      <w:r>
        <w:rPr>
          <w:spacing w:val="-3"/>
        </w:rPr>
        <w:t>合</w:t>
      </w:r>
      <w:r>
        <w:rPr/>
        <w:t>同</w:t>
      </w:r>
      <w:r>
        <w:rPr>
          <w:spacing w:val="-3"/>
        </w:rPr>
        <w:t>当</w:t>
      </w:r>
      <w:r>
        <w:rPr/>
        <w:t>事</w:t>
      </w:r>
      <w:r>
        <w:rPr>
          <w:spacing w:val="-3"/>
        </w:rPr>
        <w:t>人</w:t>
      </w:r>
      <w:r>
        <w:rPr/>
        <w:t>：</w:t>
        <w:tab/>
        <w:t>指受</w:t>
      </w:r>
      <w:r>
        <w:rPr>
          <w:spacing w:val="-3"/>
        </w:rPr>
        <w:t>基</w:t>
      </w:r>
      <w:r>
        <w:rPr/>
        <w:t>金</w:t>
      </w:r>
      <w:r>
        <w:rPr>
          <w:spacing w:val="-3"/>
        </w:rPr>
        <w:t>合</w:t>
      </w:r>
      <w:r>
        <w:rPr/>
        <w:t>同</w:t>
      </w:r>
      <w:r>
        <w:rPr>
          <w:spacing w:val="-3"/>
        </w:rPr>
        <w:t>约</w:t>
      </w:r>
      <w:r>
        <w:rPr/>
        <w:t>束</w:t>
      </w:r>
      <w:r>
        <w:rPr>
          <w:spacing w:val="-44"/>
        </w:rPr>
        <w:t>，</w:t>
      </w:r>
      <w:r>
        <w:rPr/>
        <w:t>根</w:t>
      </w:r>
      <w:r>
        <w:rPr>
          <w:spacing w:val="-3"/>
        </w:rPr>
        <w:t>据</w:t>
      </w:r>
      <w:r>
        <w:rPr/>
        <w:t>基金</w:t>
      </w:r>
      <w:r>
        <w:rPr>
          <w:spacing w:val="-3"/>
        </w:rPr>
        <w:t>合</w:t>
      </w:r>
      <w:r>
        <w:rPr/>
        <w:t>同</w:t>
      </w:r>
      <w:r>
        <w:rPr>
          <w:spacing w:val="-3"/>
        </w:rPr>
        <w:t>享</w:t>
      </w:r>
      <w:r>
        <w:rPr/>
        <w:t>有</w:t>
      </w:r>
      <w:r>
        <w:rPr>
          <w:spacing w:val="-3"/>
        </w:rPr>
        <w:t>权</w:t>
      </w:r>
      <w:r>
        <w:rPr/>
        <w:t>利</w:t>
      </w:r>
      <w:r>
        <w:rPr>
          <w:spacing w:val="-3"/>
        </w:rPr>
        <w:t>并</w:t>
      </w:r>
      <w:r>
        <w:rPr/>
        <w:t>承</w:t>
      </w:r>
      <w:r>
        <w:rPr>
          <w:spacing w:val="-3"/>
        </w:rPr>
        <w:t>担</w:t>
      </w:r>
      <w:r>
        <w:rPr/>
        <w:t>义务</w:t>
      </w:r>
      <w:r>
        <w:rPr>
          <w:spacing w:val="-3"/>
        </w:rPr>
        <w:t>的</w:t>
      </w:r>
      <w:r>
        <w:rPr/>
        <w:t>基</w:t>
      </w:r>
      <w:r>
        <w:rPr>
          <w:spacing w:val="-3"/>
        </w:rPr>
        <w:t>金</w:t>
      </w:r>
      <w:r>
        <w:rPr/>
        <w:t>管</w:t>
      </w:r>
      <w:r>
        <w:rPr>
          <w:spacing w:val="-3"/>
        </w:rPr>
        <w:t>理</w:t>
      </w:r>
      <w:r>
        <w:rPr/>
        <w:t>人、基金</w:t>
      </w:r>
      <w:r>
        <w:rPr>
          <w:spacing w:val="-3"/>
        </w:rPr>
        <w:t>托</w:t>
      </w:r>
      <w:r>
        <w:rPr/>
        <w:t>管</w:t>
      </w:r>
      <w:r>
        <w:rPr>
          <w:spacing w:val="-3"/>
        </w:rPr>
        <w:t>人</w:t>
      </w:r>
      <w:r>
        <w:rPr/>
        <w:t>和</w:t>
      </w:r>
      <w:r>
        <w:rPr>
          <w:spacing w:val="-3"/>
        </w:rPr>
        <w:t>基</w:t>
      </w:r>
      <w:r>
        <w:rPr/>
        <w:t>金</w:t>
      </w:r>
      <w:r>
        <w:rPr>
          <w:spacing w:val="-3"/>
        </w:rPr>
        <w:t>份</w:t>
      </w:r>
      <w:r>
        <w:rPr/>
        <w:t>额</w:t>
      </w:r>
      <w:r>
        <w:rPr>
          <w:spacing w:val="-3"/>
        </w:rPr>
        <w:t>持</w:t>
      </w:r>
      <w:r>
        <w:rPr/>
        <w:t>有人。</w:t>
      </w:r>
    </w:p>
    <w:p>
      <w:pPr>
        <w:pStyle w:val="BodyText"/>
        <w:tabs>
          <w:tab w:pos="2924" w:val="left" w:leader="none"/>
        </w:tabs>
        <w:ind w:left="578"/>
      </w:pPr>
      <w:r>
        <w:rPr/>
        <w:t>基金</w:t>
      </w:r>
      <w:r>
        <w:rPr>
          <w:spacing w:val="-3"/>
        </w:rPr>
        <w:t>托</w:t>
      </w:r>
      <w:r>
        <w:rPr/>
        <w:t>管</w:t>
      </w:r>
      <w:r>
        <w:rPr>
          <w:spacing w:val="-3"/>
        </w:rPr>
        <w:t>人</w:t>
      </w:r>
      <w:r>
        <w:rPr/>
        <w:t>：</w:t>
        <w:tab/>
        <w:t>指中</w:t>
      </w:r>
      <w:r>
        <w:rPr>
          <w:spacing w:val="-3"/>
        </w:rPr>
        <w:t>国</w:t>
      </w:r>
      <w:r>
        <w:rPr/>
        <w:t>建</w:t>
      </w:r>
      <w:r>
        <w:rPr>
          <w:spacing w:val="-3"/>
        </w:rPr>
        <w:t>设</w:t>
      </w:r>
      <w:r>
        <w:rPr/>
        <w:t>银</w:t>
      </w:r>
      <w:r>
        <w:rPr>
          <w:spacing w:val="-3"/>
        </w:rPr>
        <w:t>行</w:t>
      </w:r>
      <w:r>
        <w:rPr/>
        <w:t>股</w:t>
      </w:r>
      <w:r>
        <w:rPr>
          <w:spacing w:val="-3"/>
        </w:rPr>
        <w:t>份</w:t>
      </w:r>
      <w:r>
        <w:rPr/>
        <w:t>有</w:t>
      </w:r>
      <w:r>
        <w:rPr>
          <w:spacing w:val="-3"/>
        </w:rPr>
        <w:t>限</w:t>
      </w:r>
      <w:r>
        <w:rPr/>
        <w:t>公司。</w:t>
      </w:r>
    </w:p>
    <w:p>
      <w:pPr>
        <w:pStyle w:val="BodyText"/>
        <w:spacing w:before="6"/>
        <w:rPr>
          <w:sz w:val="15"/>
        </w:rPr>
      </w:pPr>
    </w:p>
    <w:p>
      <w:pPr>
        <w:pStyle w:val="BodyText"/>
        <w:tabs>
          <w:tab w:pos="2924" w:val="left" w:leader="none"/>
        </w:tabs>
        <w:ind w:left="578"/>
      </w:pPr>
      <w:r>
        <w:rPr/>
        <w:t>直销</w:t>
      </w:r>
      <w:r>
        <w:rPr>
          <w:spacing w:val="-3"/>
        </w:rPr>
        <w:t>机</w:t>
      </w:r>
      <w:r>
        <w:rPr/>
        <w:t>构：</w:t>
        <w:tab/>
        <w:t>指华</w:t>
      </w:r>
      <w:r>
        <w:rPr>
          <w:spacing w:val="-3"/>
        </w:rPr>
        <w:t>夏</w:t>
      </w:r>
      <w:r>
        <w:rPr/>
        <w:t>基</w:t>
      </w:r>
      <w:r>
        <w:rPr>
          <w:spacing w:val="-3"/>
        </w:rPr>
        <w:t>金</w:t>
      </w:r>
      <w:r>
        <w:rPr/>
        <w:t>管</w:t>
      </w:r>
      <w:r>
        <w:rPr>
          <w:spacing w:val="-3"/>
        </w:rPr>
        <w:t>理</w:t>
      </w:r>
      <w:r>
        <w:rPr/>
        <w:t>有</w:t>
      </w:r>
      <w:r>
        <w:rPr>
          <w:spacing w:val="-3"/>
        </w:rPr>
        <w:t>限</w:t>
      </w:r>
      <w:r>
        <w:rPr/>
        <w:t>公</w:t>
      </w:r>
      <w:r>
        <w:rPr>
          <w:spacing w:val="-3"/>
        </w:rPr>
        <w:t>司</w:t>
      </w:r>
      <w:r>
        <w:rPr/>
        <w:t>。</w:t>
      </w:r>
    </w:p>
    <w:p>
      <w:pPr>
        <w:pStyle w:val="BodyText"/>
        <w:spacing w:before="7"/>
        <w:rPr>
          <w:sz w:val="15"/>
        </w:rPr>
      </w:pPr>
    </w:p>
    <w:p>
      <w:pPr>
        <w:pStyle w:val="BodyText"/>
        <w:tabs>
          <w:tab w:pos="2924" w:val="left" w:leader="none"/>
        </w:tabs>
        <w:spacing w:line="417" w:lineRule="auto"/>
        <w:ind w:left="2924" w:right="754" w:hanging="2346"/>
      </w:pPr>
      <w:r>
        <w:rPr/>
        <w:t>代销</w:t>
      </w:r>
      <w:r>
        <w:rPr>
          <w:spacing w:val="-3"/>
        </w:rPr>
        <w:t>机</w:t>
      </w:r>
      <w:r>
        <w:rPr/>
        <w:t>构：</w:t>
        <w:tab/>
        <w:t>指接</w:t>
      </w:r>
      <w:r>
        <w:rPr>
          <w:spacing w:val="-3"/>
        </w:rPr>
        <w:t>受</w:t>
      </w:r>
      <w:r>
        <w:rPr/>
        <w:t>基</w:t>
      </w:r>
      <w:r>
        <w:rPr>
          <w:spacing w:val="-3"/>
        </w:rPr>
        <w:t>金</w:t>
      </w:r>
      <w:r>
        <w:rPr/>
        <w:t>管</w:t>
      </w:r>
      <w:r>
        <w:rPr>
          <w:spacing w:val="-3"/>
        </w:rPr>
        <w:t>理</w:t>
      </w:r>
      <w:r>
        <w:rPr/>
        <w:t>人</w:t>
      </w:r>
      <w:r>
        <w:rPr>
          <w:spacing w:val="-3"/>
        </w:rPr>
        <w:t>委</w:t>
      </w:r>
      <w:r>
        <w:rPr/>
        <w:t>托</w:t>
      </w:r>
      <w:r>
        <w:rPr>
          <w:spacing w:val="-3"/>
        </w:rPr>
        <w:t>代</w:t>
      </w:r>
      <w:r>
        <w:rPr/>
        <w:t>为办</w:t>
      </w:r>
      <w:r>
        <w:rPr>
          <w:spacing w:val="-3"/>
        </w:rPr>
        <w:t>理</w:t>
      </w:r>
      <w:r>
        <w:rPr/>
        <w:t>本</w:t>
      </w:r>
      <w:r>
        <w:rPr>
          <w:spacing w:val="-3"/>
        </w:rPr>
        <w:t>基</w:t>
      </w:r>
      <w:r>
        <w:rPr/>
        <w:t>金</w:t>
      </w:r>
      <w:r>
        <w:rPr>
          <w:spacing w:val="-3"/>
        </w:rPr>
        <w:t>的</w:t>
      </w:r>
      <w:r>
        <w:rPr/>
        <w:t>认</w:t>
      </w:r>
      <w:r>
        <w:rPr>
          <w:spacing w:val="-3"/>
        </w:rPr>
        <w:t>购</w:t>
      </w:r>
      <w:r>
        <w:rPr/>
        <w:t>、</w:t>
      </w:r>
      <w:r>
        <w:rPr>
          <w:spacing w:val="-3"/>
        </w:rPr>
        <w:t>申</w:t>
      </w:r>
      <w:r>
        <w:rPr/>
        <w:t>购、</w:t>
      </w:r>
      <w:r>
        <w:rPr>
          <w:spacing w:val="-3"/>
        </w:rPr>
        <w:t>赎</w:t>
      </w:r>
      <w:r>
        <w:rPr/>
        <w:t>回</w:t>
      </w:r>
      <w:r>
        <w:rPr>
          <w:spacing w:val="-3"/>
        </w:rPr>
        <w:t>、</w:t>
      </w:r>
      <w:r>
        <w:rPr/>
        <w:t>转</w:t>
      </w:r>
      <w:r>
        <w:rPr>
          <w:spacing w:val="-3"/>
        </w:rPr>
        <w:t>换</w:t>
      </w:r>
      <w:r>
        <w:rPr/>
        <w:t>及转托</w:t>
      </w:r>
      <w:r>
        <w:rPr>
          <w:spacing w:val="-3"/>
        </w:rPr>
        <w:t>管</w:t>
      </w:r>
      <w:r>
        <w:rPr/>
        <w:t>等</w:t>
      </w:r>
      <w:r>
        <w:rPr>
          <w:spacing w:val="-3"/>
        </w:rPr>
        <w:t>业</w:t>
      </w:r>
      <w:r>
        <w:rPr/>
        <w:t>务</w:t>
      </w:r>
      <w:r>
        <w:rPr>
          <w:spacing w:val="-3"/>
        </w:rPr>
        <w:t>的</w:t>
      </w:r>
      <w:r>
        <w:rPr/>
        <w:t>机</w:t>
      </w:r>
      <w:r>
        <w:rPr>
          <w:spacing w:val="-3"/>
        </w:rPr>
        <w:t>构</w:t>
      </w:r>
      <w:r>
        <w:rPr/>
        <w:t>。</w:t>
      </w:r>
    </w:p>
    <w:p>
      <w:pPr>
        <w:pStyle w:val="BodyText"/>
        <w:tabs>
          <w:tab w:pos="2924" w:val="left" w:leader="none"/>
        </w:tabs>
        <w:spacing w:line="269" w:lineRule="exact"/>
        <w:ind w:left="578"/>
      </w:pPr>
      <w:r>
        <w:rPr/>
        <w:t>销售</w:t>
      </w:r>
      <w:r>
        <w:rPr>
          <w:spacing w:val="-3"/>
        </w:rPr>
        <w:t>机</w:t>
      </w:r>
      <w:r>
        <w:rPr/>
        <w:t>构：</w:t>
        <w:tab/>
        <w:t>指直</w:t>
      </w:r>
      <w:r>
        <w:rPr>
          <w:spacing w:val="-3"/>
        </w:rPr>
        <w:t>销</w:t>
      </w:r>
      <w:r>
        <w:rPr/>
        <w:t>机</w:t>
      </w:r>
      <w:r>
        <w:rPr>
          <w:spacing w:val="-3"/>
        </w:rPr>
        <w:t>构</w:t>
      </w:r>
      <w:r>
        <w:rPr/>
        <w:t>及</w:t>
      </w:r>
      <w:r>
        <w:rPr>
          <w:spacing w:val="-3"/>
        </w:rPr>
        <w:t>代</w:t>
      </w:r>
      <w:r>
        <w:rPr/>
        <w:t>销</w:t>
      </w:r>
      <w:r>
        <w:rPr>
          <w:spacing w:val="-3"/>
        </w:rPr>
        <w:t>机</w:t>
      </w:r>
      <w:r>
        <w:rPr/>
        <w:t>构。</w:t>
      </w:r>
    </w:p>
    <w:p>
      <w:pPr>
        <w:pStyle w:val="BodyText"/>
        <w:spacing w:before="7"/>
        <w:rPr>
          <w:sz w:val="15"/>
        </w:rPr>
      </w:pPr>
    </w:p>
    <w:p>
      <w:pPr>
        <w:pStyle w:val="BodyText"/>
        <w:spacing w:line="417" w:lineRule="auto"/>
        <w:ind w:left="2924" w:right="694" w:hanging="2346"/>
        <w:jc w:val="both"/>
      </w:pPr>
      <w:r>
        <w:rPr>
          <w:spacing w:val="-1"/>
        </w:rPr>
        <w:t>合格境外机构投资者： 指符合《合格境外机构投资者境内证券投资管理办法》规定的条件， 经中国证监会批准投资于中国证券市场，并取得国家外汇管理局额度批准的中国境外基金管理机构、保险公司、证券公司以及其他资产管理机构。</w:t>
      </w:r>
    </w:p>
    <w:p>
      <w:pPr>
        <w:pStyle w:val="BodyText"/>
        <w:spacing w:line="417" w:lineRule="auto"/>
        <w:ind w:left="2924" w:right="754" w:hanging="2346"/>
        <w:jc w:val="both"/>
      </w:pPr>
      <w:r>
        <w:rPr>
          <w:spacing w:val="-3"/>
        </w:rPr>
        <w:t>注册登记业务：       指本基金登记、存管、清算和交收业务，具体内容包括份额持有人基金账户管理、基金份额登记、清算及基金交易确认、代理发放红利、建立并保管基金份额持有人名册等。</w:t>
      </w:r>
    </w:p>
    <w:p>
      <w:pPr>
        <w:pStyle w:val="BodyText"/>
        <w:spacing w:line="417" w:lineRule="auto"/>
        <w:ind w:left="2924" w:right="754" w:hanging="2346"/>
        <w:jc w:val="both"/>
      </w:pPr>
      <w:r>
        <w:rPr>
          <w:spacing w:val="-3"/>
        </w:rPr>
        <w:t>注册登记机构：       指办理本基金注册登记业务的机构，本基金的注册登记机构为华夏基金管理有限公司。</w:t>
      </w:r>
    </w:p>
    <w:p>
      <w:pPr>
        <w:pStyle w:val="BodyText"/>
        <w:tabs>
          <w:tab w:pos="2924" w:val="left" w:leader="none"/>
        </w:tabs>
        <w:ind w:left="578"/>
        <w:jc w:val="both"/>
      </w:pPr>
      <w:r>
        <w:rPr/>
        <w:t>基金</w:t>
      </w:r>
      <w:r>
        <w:rPr>
          <w:spacing w:val="-3"/>
        </w:rPr>
        <w:t>账</w:t>
      </w:r>
      <w:r>
        <w:rPr/>
        <w:t>户：</w:t>
        <w:tab/>
        <w:t>指注</w:t>
      </w:r>
      <w:r>
        <w:rPr>
          <w:spacing w:val="-3"/>
        </w:rPr>
        <w:t>册</w:t>
      </w:r>
      <w:r>
        <w:rPr/>
        <w:t>登</w:t>
      </w:r>
      <w:r>
        <w:rPr>
          <w:spacing w:val="-3"/>
        </w:rPr>
        <w:t>记</w:t>
      </w:r>
      <w:r>
        <w:rPr/>
        <w:t>机</w:t>
      </w:r>
      <w:r>
        <w:rPr>
          <w:spacing w:val="-3"/>
        </w:rPr>
        <w:t>构</w:t>
      </w:r>
      <w:r>
        <w:rPr/>
        <w:t>为</w:t>
      </w:r>
      <w:r>
        <w:rPr>
          <w:spacing w:val="-3"/>
        </w:rPr>
        <w:t>基</w:t>
      </w:r>
      <w:r>
        <w:rPr/>
        <w:t>金</w:t>
      </w:r>
      <w:r>
        <w:rPr>
          <w:spacing w:val="-3"/>
        </w:rPr>
        <w:t>投</w:t>
      </w:r>
      <w:r>
        <w:rPr/>
        <w:t>资者</w:t>
      </w:r>
      <w:r>
        <w:rPr>
          <w:spacing w:val="-3"/>
        </w:rPr>
        <w:t>开</w:t>
      </w:r>
      <w:r>
        <w:rPr/>
        <w:t>立</w:t>
      </w:r>
      <w:r>
        <w:rPr>
          <w:spacing w:val="-3"/>
        </w:rPr>
        <w:t>的</w:t>
      </w:r>
      <w:r>
        <w:rPr/>
        <w:t>记</w:t>
      </w:r>
      <w:r>
        <w:rPr>
          <w:spacing w:val="-3"/>
        </w:rPr>
        <w:t>录</w:t>
      </w:r>
      <w:r>
        <w:rPr/>
        <w:t>其</w:t>
      </w:r>
      <w:r>
        <w:rPr>
          <w:spacing w:val="-3"/>
        </w:rPr>
        <w:t>持</w:t>
      </w:r>
      <w:r>
        <w:rPr/>
        <w:t>有</w:t>
      </w:r>
      <w:r>
        <w:rPr>
          <w:spacing w:val="-3"/>
        </w:rPr>
        <w:t>的</w:t>
      </w:r>
      <w:r>
        <w:rPr/>
        <w:t>由该</w:t>
      </w:r>
      <w:r>
        <w:rPr>
          <w:spacing w:val="-3"/>
        </w:rPr>
        <w:t>注</w:t>
      </w:r>
      <w:r>
        <w:rPr/>
        <w:t>册</w:t>
      </w:r>
      <w:r>
        <w:rPr>
          <w:spacing w:val="-3"/>
        </w:rPr>
        <w:t>登</w:t>
      </w:r>
      <w:r>
        <w:rPr/>
        <w:t>记</w:t>
      </w:r>
      <w:r>
        <w:rPr>
          <w:spacing w:val="-3"/>
        </w:rPr>
        <w:t>机</w:t>
      </w:r>
      <w:r>
        <w:rPr/>
        <w:t>构</w:t>
      </w:r>
    </w:p>
    <w:p>
      <w:pPr>
        <w:spacing w:after="0"/>
        <w:jc w:val="both"/>
        <w:sectPr>
          <w:type w:val="continuous"/>
          <w:pgSz w:w="11910" w:h="16840"/>
          <w:pgMar w:top="1580" w:bottom="280" w:left="1020" w:right="900"/>
        </w:sectPr>
      </w:pPr>
    </w:p>
    <w:p>
      <w:pPr>
        <w:pStyle w:val="BodyText"/>
        <w:spacing w:before="7"/>
        <w:rPr>
          <w:sz w:val="12"/>
        </w:rPr>
      </w:pPr>
    </w:p>
    <w:p>
      <w:pPr>
        <w:pStyle w:val="BodyText"/>
        <w:spacing w:before="71"/>
        <w:ind w:left="2924"/>
      </w:pPr>
      <w:r>
        <w:rPr/>
        <w:t>办理注册登记的基金份额余额及其变动情况的账户。</w:t>
      </w:r>
    </w:p>
    <w:p>
      <w:pPr>
        <w:pStyle w:val="BodyText"/>
        <w:spacing w:before="7"/>
        <w:rPr>
          <w:sz w:val="15"/>
        </w:rPr>
      </w:pPr>
    </w:p>
    <w:p>
      <w:pPr>
        <w:pStyle w:val="BodyText"/>
        <w:tabs>
          <w:tab w:pos="2924" w:val="left" w:leader="none"/>
        </w:tabs>
        <w:spacing w:line="417" w:lineRule="auto"/>
        <w:ind w:left="2924" w:right="754" w:hanging="2346"/>
      </w:pPr>
      <w:r>
        <w:rPr/>
        <w:t>交易</w:t>
      </w:r>
      <w:r>
        <w:rPr>
          <w:spacing w:val="-3"/>
        </w:rPr>
        <w:t>账</w:t>
      </w:r>
      <w:r>
        <w:rPr/>
        <w:t>户：</w:t>
        <w:tab/>
        <w:t>指销</w:t>
      </w:r>
      <w:r>
        <w:rPr>
          <w:spacing w:val="-3"/>
        </w:rPr>
        <w:t>售</w:t>
      </w:r>
      <w:r>
        <w:rPr/>
        <w:t>机</w:t>
      </w:r>
      <w:r>
        <w:rPr>
          <w:spacing w:val="-3"/>
        </w:rPr>
        <w:t>构</w:t>
      </w:r>
      <w:r>
        <w:rPr/>
        <w:t>为</w:t>
      </w:r>
      <w:r>
        <w:rPr>
          <w:spacing w:val="-3"/>
        </w:rPr>
        <w:t>基</w:t>
      </w:r>
      <w:r>
        <w:rPr/>
        <w:t>金</w:t>
      </w:r>
      <w:r>
        <w:rPr>
          <w:spacing w:val="-3"/>
        </w:rPr>
        <w:t>投</w:t>
      </w:r>
      <w:r>
        <w:rPr/>
        <w:t>资</w:t>
      </w:r>
      <w:r>
        <w:rPr>
          <w:spacing w:val="-3"/>
        </w:rPr>
        <w:t>者</w:t>
      </w:r>
      <w:r>
        <w:rPr/>
        <w:t>开立</w:t>
      </w:r>
      <w:r>
        <w:rPr>
          <w:spacing w:val="-3"/>
        </w:rPr>
        <w:t>的</w:t>
      </w:r>
      <w:r>
        <w:rPr/>
        <w:t>记</w:t>
      </w:r>
      <w:r>
        <w:rPr>
          <w:spacing w:val="-3"/>
        </w:rPr>
        <w:t>录</w:t>
      </w:r>
      <w:r>
        <w:rPr/>
        <w:t>其</w:t>
      </w:r>
      <w:r>
        <w:rPr>
          <w:spacing w:val="-3"/>
        </w:rPr>
        <w:t>持</w:t>
      </w:r>
      <w:r>
        <w:rPr/>
        <w:t>有</w:t>
      </w:r>
      <w:r>
        <w:rPr>
          <w:spacing w:val="-3"/>
        </w:rPr>
        <w:t>的</w:t>
      </w:r>
      <w:r>
        <w:rPr/>
        <w:t>由</w:t>
      </w:r>
      <w:r>
        <w:rPr>
          <w:spacing w:val="-3"/>
        </w:rPr>
        <w:t>该</w:t>
      </w:r>
      <w:r>
        <w:rPr/>
        <w:t>销售</w:t>
      </w:r>
      <w:r>
        <w:rPr>
          <w:spacing w:val="-3"/>
        </w:rPr>
        <w:t>机</w:t>
      </w:r>
      <w:r>
        <w:rPr/>
        <w:t>构</w:t>
      </w:r>
      <w:r>
        <w:rPr>
          <w:spacing w:val="-3"/>
        </w:rPr>
        <w:t>办</w:t>
      </w:r>
      <w:r>
        <w:rPr/>
        <w:t>理认 购、</w:t>
      </w:r>
      <w:r>
        <w:rPr>
          <w:spacing w:val="-3"/>
        </w:rPr>
        <w:t>申</w:t>
      </w:r>
      <w:r>
        <w:rPr/>
        <w:t>购</w:t>
      </w:r>
      <w:r>
        <w:rPr>
          <w:spacing w:val="-3"/>
        </w:rPr>
        <w:t>、</w:t>
      </w:r>
      <w:r>
        <w:rPr/>
        <w:t>赎</w:t>
      </w:r>
      <w:r>
        <w:rPr>
          <w:spacing w:val="-3"/>
        </w:rPr>
        <w:t>回</w:t>
      </w:r>
      <w:r>
        <w:rPr/>
        <w:t>、</w:t>
      </w:r>
      <w:r>
        <w:rPr>
          <w:spacing w:val="-3"/>
        </w:rPr>
        <w:t>转</w:t>
      </w:r>
      <w:r>
        <w:rPr/>
        <w:t>换</w:t>
      </w:r>
      <w:r>
        <w:rPr>
          <w:spacing w:val="-3"/>
        </w:rPr>
        <w:t>及</w:t>
      </w:r>
      <w:r>
        <w:rPr/>
        <w:t>转托</w:t>
      </w:r>
      <w:r>
        <w:rPr>
          <w:spacing w:val="-3"/>
        </w:rPr>
        <w:t>管</w:t>
      </w:r>
      <w:r>
        <w:rPr/>
        <w:t>等</w:t>
      </w:r>
      <w:r>
        <w:rPr>
          <w:spacing w:val="-3"/>
        </w:rPr>
        <w:t>业</w:t>
      </w:r>
      <w:r>
        <w:rPr/>
        <w:t>务</w:t>
      </w:r>
      <w:r>
        <w:rPr>
          <w:spacing w:val="-3"/>
        </w:rPr>
        <w:t>的</w:t>
      </w:r>
      <w:r>
        <w:rPr/>
        <w:t>基</w:t>
      </w:r>
      <w:r>
        <w:rPr>
          <w:spacing w:val="-3"/>
        </w:rPr>
        <w:t>金</w:t>
      </w:r>
      <w:r>
        <w:rPr/>
        <w:t>份</w:t>
      </w:r>
      <w:r>
        <w:rPr>
          <w:spacing w:val="-3"/>
        </w:rPr>
        <w:t>额</w:t>
      </w:r>
      <w:r>
        <w:rPr/>
        <w:t>余额</w:t>
      </w:r>
      <w:r>
        <w:rPr>
          <w:spacing w:val="-3"/>
        </w:rPr>
        <w:t>及</w:t>
      </w:r>
      <w:r>
        <w:rPr/>
        <w:t>其</w:t>
      </w:r>
      <w:r>
        <w:rPr>
          <w:spacing w:val="-3"/>
        </w:rPr>
        <w:t>变</w:t>
      </w:r>
      <w:r>
        <w:rPr/>
        <w:t>动</w:t>
      </w:r>
      <w:r>
        <w:rPr>
          <w:spacing w:val="-3"/>
        </w:rPr>
        <w:t>情</w:t>
      </w:r>
      <w:r>
        <w:rPr/>
        <w:t>况的账</w:t>
      </w:r>
      <w:r>
        <w:rPr>
          <w:spacing w:val="-3"/>
        </w:rPr>
        <w:t>户</w:t>
      </w:r>
      <w:r>
        <w:rPr/>
        <w:t>。</w:t>
      </w:r>
    </w:p>
    <w:p>
      <w:pPr>
        <w:pStyle w:val="BodyText"/>
        <w:tabs>
          <w:tab w:pos="2924" w:val="left" w:leader="none"/>
        </w:tabs>
        <w:spacing w:line="417" w:lineRule="auto"/>
        <w:ind w:left="2924" w:right="694" w:hanging="2346"/>
      </w:pPr>
      <w:r>
        <w:rPr/>
        <w:t>基金</w:t>
      </w:r>
      <w:r>
        <w:rPr>
          <w:spacing w:val="-3"/>
        </w:rPr>
        <w:t>合</w:t>
      </w:r>
      <w:r>
        <w:rPr/>
        <w:t>同</w:t>
      </w:r>
      <w:r>
        <w:rPr>
          <w:spacing w:val="-3"/>
        </w:rPr>
        <w:t>生</w:t>
      </w:r>
      <w:r>
        <w:rPr/>
        <w:t>效</w:t>
      </w:r>
      <w:r>
        <w:rPr>
          <w:spacing w:val="-3"/>
        </w:rPr>
        <w:t>日</w:t>
      </w:r>
      <w:r>
        <w:rPr/>
        <w:t>：</w:t>
        <w:tab/>
        <w:t>指基金合同满足生效条件后，基金管理人依法向中国证监会办理基</w:t>
      </w:r>
      <w:r>
        <w:rPr>
          <w:spacing w:val="-16"/>
        </w:rPr>
        <w:t>金</w:t>
      </w:r>
      <w:r>
        <w:rPr/>
        <w:t>备案</w:t>
      </w:r>
      <w:r>
        <w:rPr>
          <w:spacing w:val="-3"/>
        </w:rPr>
        <w:t>手</w:t>
      </w:r>
      <w:r>
        <w:rPr/>
        <w:t>续</w:t>
      </w:r>
      <w:r>
        <w:rPr>
          <w:spacing w:val="-3"/>
        </w:rPr>
        <w:t>，</w:t>
      </w:r>
      <w:r>
        <w:rPr/>
        <w:t>自</w:t>
      </w:r>
      <w:r>
        <w:rPr>
          <w:spacing w:val="-3"/>
        </w:rPr>
        <w:t>中</w:t>
      </w:r>
      <w:r>
        <w:rPr/>
        <w:t>国</w:t>
      </w:r>
      <w:r>
        <w:rPr>
          <w:spacing w:val="-3"/>
        </w:rPr>
        <w:t>证</w:t>
      </w:r>
      <w:r>
        <w:rPr/>
        <w:t>监</w:t>
      </w:r>
      <w:r>
        <w:rPr>
          <w:spacing w:val="-3"/>
        </w:rPr>
        <w:t>会</w:t>
      </w:r>
      <w:r>
        <w:rPr/>
        <w:t>书面</w:t>
      </w:r>
      <w:r>
        <w:rPr>
          <w:spacing w:val="-3"/>
        </w:rPr>
        <w:t>确</w:t>
      </w:r>
      <w:r>
        <w:rPr/>
        <w:t>认</w:t>
      </w:r>
      <w:r>
        <w:rPr>
          <w:spacing w:val="-3"/>
        </w:rPr>
        <w:t>之</w:t>
      </w:r>
      <w:r>
        <w:rPr/>
        <w:t>日</w:t>
      </w:r>
      <w:r>
        <w:rPr>
          <w:spacing w:val="-3"/>
        </w:rPr>
        <w:t>起</w:t>
      </w:r>
      <w:r>
        <w:rPr/>
        <w:t>，</w:t>
      </w:r>
      <w:r>
        <w:rPr>
          <w:spacing w:val="-3"/>
        </w:rPr>
        <w:t>基</w:t>
      </w:r>
      <w:r>
        <w:rPr/>
        <w:t>金</w:t>
      </w:r>
      <w:r>
        <w:rPr>
          <w:spacing w:val="-3"/>
        </w:rPr>
        <w:t>合</w:t>
      </w:r>
      <w:r>
        <w:rPr/>
        <w:t>同生</w:t>
      </w:r>
      <w:r>
        <w:rPr>
          <w:spacing w:val="-3"/>
        </w:rPr>
        <w:t>效</w:t>
      </w:r>
      <w:r>
        <w:rPr/>
        <w:t>。</w:t>
      </w:r>
    </w:p>
    <w:p>
      <w:pPr>
        <w:pStyle w:val="BodyText"/>
        <w:tabs>
          <w:tab w:pos="2924" w:val="left" w:leader="none"/>
        </w:tabs>
        <w:spacing w:line="269" w:lineRule="exact"/>
        <w:ind w:left="578"/>
      </w:pPr>
      <w:r>
        <w:rPr/>
        <w:t>存续</w:t>
      </w:r>
      <w:r>
        <w:rPr>
          <w:spacing w:val="-3"/>
        </w:rPr>
        <w:t>期</w:t>
      </w:r>
      <w:r>
        <w:rPr/>
        <w:t>：</w:t>
        <w:tab/>
        <w:t>指基</w:t>
      </w:r>
      <w:r>
        <w:rPr>
          <w:spacing w:val="-3"/>
        </w:rPr>
        <w:t>金</w:t>
      </w:r>
      <w:r>
        <w:rPr/>
        <w:t>合</w:t>
      </w:r>
      <w:r>
        <w:rPr>
          <w:spacing w:val="-3"/>
        </w:rPr>
        <w:t>同</w:t>
      </w:r>
      <w:r>
        <w:rPr/>
        <w:t>生</w:t>
      </w:r>
      <w:r>
        <w:rPr>
          <w:spacing w:val="-3"/>
        </w:rPr>
        <w:t>效</w:t>
      </w:r>
      <w:r>
        <w:rPr/>
        <w:t>并</w:t>
      </w:r>
      <w:r>
        <w:rPr>
          <w:spacing w:val="-3"/>
        </w:rPr>
        <w:t>存</w:t>
      </w:r>
      <w:r>
        <w:rPr/>
        <w:t>续</w:t>
      </w:r>
      <w:r>
        <w:rPr>
          <w:spacing w:val="-3"/>
        </w:rPr>
        <w:t>的</w:t>
      </w:r>
      <w:r>
        <w:rPr/>
        <w:t>不定</w:t>
      </w:r>
      <w:r>
        <w:rPr>
          <w:spacing w:val="-3"/>
        </w:rPr>
        <w:t>期</w:t>
      </w:r>
      <w:r>
        <w:rPr/>
        <w:t>期</w:t>
      </w:r>
      <w:r>
        <w:rPr>
          <w:spacing w:val="-3"/>
        </w:rPr>
        <w:t>限</w:t>
      </w:r>
      <w:r>
        <w:rPr/>
        <w:t>。</w:t>
      </w:r>
    </w:p>
    <w:p>
      <w:pPr>
        <w:pStyle w:val="BodyText"/>
        <w:spacing w:before="7"/>
        <w:rPr>
          <w:sz w:val="15"/>
        </w:rPr>
      </w:pPr>
    </w:p>
    <w:p>
      <w:pPr>
        <w:pStyle w:val="BodyText"/>
        <w:tabs>
          <w:tab w:pos="2924" w:val="left" w:leader="none"/>
        </w:tabs>
        <w:ind w:left="578"/>
      </w:pPr>
      <w:r>
        <w:rPr/>
        <w:t>工作</w:t>
      </w:r>
      <w:r>
        <w:rPr>
          <w:spacing w:val="-3"/>
        </w:rPr>
        <w:t>日</w:t>
      </w:r>
      <w:r>
        <w:rPr/>
        <w:t>：</w:t>
        <w:tab/>
        <w:t>指上</w:t>
      </w:r>
      <w:r>
        <w:rPr>
          <w:spacing w:val="-3"/>
        </w:rPr>
        <w:t>海</w:t>
      </w:r>
      <w:r>
        <w:rPr/>
        <w:t>证</w:t>
      </w:r>
      <w:r>
        <w:rPr>
          <w:spacing w:val="-3"/>
        </w:rPr>
        <w:t>券</w:t>
      </w:r>
      <w:r>
        <w:rPr/>
        <w:t>交</w:t>
      </w:r>
      <w:r>
        <w:rPr>
          <w:spacing w:val="-3"/>
        </w:rPr>
        <w:t>易</w:t>
      </w:r>
      <w:r>
        <w:rPr/>
        <w:t>所</w:t>
      </w:r>
      <w:r>
        <w:rPr>
          <w:spacing w:val="-3"/>
        </w:rPr>
        <w:t>和</w:t>
      </w:r>
      <w:r>
        <w:rPr/>
        <w:t>深</w:t>
      </w:r>
      <w:r>
        <w:rPr>
          <w:spacing w:val="-3"/>
        </w:rPr>
        <w:t>圳</w:t>
      </w:r>
      <w:r>
        <w:rPr/>
        <w:t>证券</w:t>
      </w:r>
      <w:r>
        <w:rPr>
          <w:spacing w:val="-3"/>
        </w:rPr>
        <w:t>交</w:t>
      </w:r>
      <w:r>
        <w:rPr/>
        <w:t>易</w:t>
      </w:r>
      <w:r>
        <w:rPr>
          <w:spacing w:val="-3"/>
        </w:rPr>
        <w:t>所</w:t>
      </w:r>
      <w:r>
        <w:rPr/>
        <w:t>的</w:t>
      </w:r>
      <w:r>
        <w:rPr>
          <w:spacing w:val="-3"/>
        </w:rPr>
        <w:t>正</w:t>
      </w:r>
      <w:r>
        <w:rPr/>
        <w:t>常</w:t>
      </w:r>
      <w:r>
        <w:rPr>
          <w:spacing w:val="-3"/>
        </w:rPr>
        <w:t>交</w:t>
      </w:r>
      <w:r>
        <w:rPr/>
        <w:t>易</w:t>
      </w:r>
      <w:r>
        <w:rPr>
          <w:spacing w:val="-3"/>
        </w:rPr>
        <w:t>日</w:t>
      </w:r>
      <w:r>
        <w:rPr/>
        <w:t>。</w:t>
      </w:r>
    </w:p>
    <w:p>
      <w:pPr>
        <w:pStyle w:val="BodyText"/>
        <w:spacing w:before="6"/>
        <w:rPr>
          <w:sz w:val="15"/>
        </w:rPr>
      </w:pPr>
    </w:p>
    <w:p>
      <w:pPr>
        <w:pStyle w:val="BodyText"/>
        <w:tabs>
          <w:tab w:pos="2924" w:val="left" w:leader="none"/>
        </w:tabs>
        <w:spacing w:before="1"/>
        <w:ind w:left="578"/>
      </w:pPr>
      <w:r>
        <w:rPr/>
        <w:t>开放</w:t>
      </w:r>
      <w:r>
        <w:rPr>
          <w:spacing w:val="-3"/>
        </w:rPr>
        <w:t>日</w:t>
      </w:r>
      <w:r>
        <w:rPr/>
        <w:t>：</w:t>
        <w:tab/>
        <w:t>指为</w:t>
      </w:r>
      <w:r>
        <w:rPr>
          <w:spacing w:val="-3"/>
        </w:rPr>
        <w:t>投</w:t>
      </w:r>
      <w:r>
        <w:rPr/>
        <w:t>资</w:t>
      </w:r>
      <w:r>
        <w:rPr>
          <w:spacing w:val="-3"/>
        </w:rPr>
        <w:t>者</w:t>
      </w:r>
      <w:r>
        <w:rPr/>
        <w:t>办</w:t>
      </w:r>
      <w:r>
        <w:rPr>
          <w:spacing w:val="-3"/>
        </w:rPr>
        <w:t>理</w:t>
      </w:r>
      <w:r>
        <w:rPr/>
        <w:t>基</w:t>
      </w:r>
      <w:r>
        <w:rPr>
          <w:spacing w:val="-3"/>
        </w:rPr>
        <w:t>金</w:t>
      </w:r>
      <w:r>
        <w:rPr/>
        <w:t>申</w:t>
      </w:r>
      <w:r>
        <w:rPr>
          <w:spacing w:val="-3"/>
        </w:rPr>
        <w:t>购</w:t>
      </w:r>
      <w:r>
        <w:rPr/>
        <w:t>、赎</w:t>
      </w:r>
      <w:r>
        <w:rPr>
          <w:spacing w:val="-3"/>
        </w:rPr>
        <w:t>回</w:t>
      </w:r>
      <w:r>
        <w:rPr/>
        <w:t>等</w:t>
      </w:r>
      <w:r>
        <w:rPr>
          <w:spacing w:val="-3"/>
        </w:rPr>
        <w:t>业</w:t>
      </w:r>
      <w:r>
        <w:rPr/>
        <w:t>务</w:t>
      </w:r>
      <w:r>
        <w:rPr>
          <w:spacing w:val="-3"/>
        </w:rPr>
        <w:t>的</w:t>
      </w:r>
      <w:r>
        <w:rPr/>
        <w:t>工</w:t>
      </w:r>
      <w:r>
        <w:rPr>
          <w:spacing w:val="-3"/>
        </w:rPr>
        <w:t>作</w:t>
      </w:r>
      <w:r>
        <w:rPr/>
        <w:t>日。</w:t>
      </w:r>
    </w:p>
    <w:p>
      <w:pPr>
        <w:pStyle w:val="BodyText"/>
        <w:spacing w:before="6"/>
        <w:rPr>
          <w:sz w:val="15"/>
        </w:rPr>
      </w:pPr>
    </w:p>
    <w:p>
      <w:pPr>
        <w:pStyle w:val="BodyText"/>
        <w:tabs>
          <w:tab w:pos="2924" w:val="left" w:leader="none"/>
        </w:tabs>
        <w:ind w:left="578"/>
      </w:pPr>
      <w:r>
        <w:rPr>
          <w:rFonts w:ascii="Times New Roman" w:eastAsia="Times New Roman"/>
        </w:rPr>
        <w:t>T </w:t>
      </w:r>
      <w:r>
        <w:rPr>
          <w:spacing w:val="-3"/>
        </w:rPr>
        <w:t>日</w:t>
      </w:r>
      <w:r>
        <w:rPr/>
        <w:t>：</w:t>
        <w:tab/>
        <w:t>指销</w:t>
      </w:r>
      <w:r>
        <w:rPr>
          <w:spacing w:val="-3"/>
        </w:rPr>
        <w:t>售</w:t>
      </w:r>
      <w:r>
        <w:rPr/>
        <w:t>机</w:t>
      </w:r>
      <w:r>
        <w:rPr>
          <w:spacing w:val="-3"/>
        </w:rPr>
        <w:t>构</w:t>
      </w:r>
      <w:r>
        <w:rPr/>
        <w:t>在</w:t>
      </w:r>
      <w:r>
        <w:rPr>
          <w:spacing w:val="-3"/>
        </w:rPr>
        <w:t>规</w:t>
      </w:r>
      <w:r>
        <w:rPr/>
        <w:t>定</w:t>
      </w:r>
      <w:r>
        <w:rPr>
          <w:spacing w:val="-3"/>
        </w:rPr>
        <w:t>时</w:t>
      </w:r>
      <w:r>
        <w:rPr/>
        <w:t>间</w:t>
      </w:r>
      <w:r>
        <w:rPr>
          <w:spacing w:val="-3"/>
        </w:rPr>
        <w:t>受</w:t>
      </w:r>
      <w:r>
        <w:rPr/>
        <w:t>理投</w:t>
      </w:r>
      <w:r>
        <w:rPr>
          <w:spacing w:val="-3"/>
        </w:rPr>
        <w:t>资</w:t>
      </w:r>
      <w:r>
        <w:rPr/>
        <w:t>者</w:t>
      </w:r>
      <w:r>
        <w:rPr>
          <w:spacing w:val="-3"/>
        </w:rPr>
        <w:t>申</w:t>
      </w:r>
      <w:r>
        <w:rPr/>
        <w:t>购</w:t>
      </w:r>
      <w:r>
        <w:rPr>
          <w:spacing w:val="-44"/>
        </w:rPr>
        <w:t>、</w:t>
      </w:r>
      <w:r>
        <w:rPr/>
        <w:t>赎</w:t>
      </w:r>
      <w:r>
        <w:rPr>
          <w:spacing w:val="-3"/>
        </w:rPr>
        <w:t>回</w:t>
      </w:r>
      <w:r>
        <w:rPr/>
        <w:t>或</w:t>
      </w:r>
      <w:r>
        <w:rPr>
          <w:spacing w:val="-3"/>
        </w:rPr>
        <w:t>其</w:t>
      </w:r>
      <w:r>
        <w:rPr/>
        <w:t>他业</w:t>
      </w:r>
      <w:r>
        <w:rPr>
          <w:spacing w:val="-3"/>
        </w:rPr>
        <w:t>务</w:t>
      </w:r>
      <w:r>
        <w:rPr/>
        <w:t>申</w:t>
      </w:r>
      <w:r>
        <w:rPr>
          <w:spacing w:val="-3"/>
        </w:rPr>
        <w:t>请</w:t>
      </w:r>
      <w:r>
        <w:rPr/>
        <w:t>的</w:t>
      </w:r>
      <w:r>
        <w:rPr>
          <w:spacing w:val="-3"/>
        </w:rPr>
        <w:t>日期</w:t>
      </w:r>
      <w:r>
        <w:rPr/>
        <w:t>。</w:t>
      </w:r>
    </w:p>
    <w:p>
      <w:pPr>
        <w:pStyle w:val="BodyText"/>
        <w:spacing w:before="7"/>
        <w:rPr>
          <w:sz w:val="15"/>
        </w:rPr>
      </w:pPr>
    </w:p>
    <w:p>
      <w:pPr>
        <w:pStyle w:val="BodyText"/>
        <w:tabs>
          <w:tab w:pos="2924" w:val="left" w:leader="none"/>
        </w:tabs>
        <w:ind w:left="578"/>
      </w:pPr>
      <w:r>
        <w:rPr>
          <w:rFonts w:ascii="Times New Roman" w:eastAsia="Times New Roman"/>
        </w:rPr>
        <w:t>T+n</w:t>
      </w:r>
      <w:r>
        <w:rPr/>
        <w:t>日：</w:t>
        <w:tab/>
        <w:t>指</w:t>
      </w:r>
      <w:r>
        <w:rPr>
          <w:rFonts w:ascii="Times New Roman" w:eastAsia="Times New Roman"/>
        </w:rPr>
        <w:t>T</w:t>
      </w:r>
      <w:r>
        <w:rPr/>
        <w:t>日</w:t>
      </w:r>
      <w:r>
        <w:rPr>
          <w:spacing w:val="-3"/>
        </w:rPr>
        <w:t>后</w:t>
      </w:r>
      <w:r>
        <w:rPr/>
        <w:t>（</w:t>
      </w:r>
      <w:r>
        <w:rPr>
          <w:spacing w:val="-3"/>
        </w:rPr>
        <w:t>不</w:t>
      </w:r>
      <w:r>
        <w:rPr/>
        <w:t>包</w:t>
      </w:r>
      <w:r>
        <w:rPr>
          <w:spacing w:val="-3"/>
        </w:rPr>
        <w:t>括</w:t>
      </w:r>
      <w:r>
        <w:rPr>
          <w:rFonts w:ascii="Times New Roman" w:eastAsia="Times New Roman"/>
        </w:rPr>
        <w:t>T</w:t>
      </w:r>
      <w:r>
        <w:rPr>
          <w:spacing w:val="-3"/>
        </w:rPr>
        <w:t>日</w:t>
      </w:r>
      <w:r>
        <w:rPr/>
        <w:t>）</w:t>
      </w:r>
      <w:r>
        <w:rPr>
          <w:spacing w:val="-3"/>
        </w:rPr>
        <w:t>第</w:t>
      </w:r>
      <w:r>
        <w:rPr>
          <w:rFonts w:ascii="Times New Roman" w:eastAsia="Times New Roman"/>
        </w:rPr>
        <w:t>n</w:t>
      </w:r>
      <w:r>
        <w:rPr/>
        <w:t>个</w:t>
      </w:r>
      <w:r>
        <w:rPr>
          <w:spacing w:val="-3"/>
        </w:rPr>
        <w:t>工</w:t>
      </w:r>
      <w:r>
        <w:rPr/>
        <w:t>作</w:t>
      </w:r>
      <w:r>
        <w:rPr>
          <w:spacing w:val="-3"/>
        </w:rPr>
        <w:t>日</w:t>
      </w:r>
      <w:r>
        <w:rPr/>
        <w:t>。</w:t>
      </w:r>
    </w:p>
    <w:p>
      <w:pPr>
        <w:pStyle w:val="BodyText"/>
        <w:spacing w:before="7"/>
        <w:rPr>
          <w:sz w:val="15"/>
        </w:rPr>
      </w:pPr>
    </w:p>
    <w:p>
      <w:pPr>
        <w:pStyle w:val="BodyText"/>
        <w:tabs>
          <w:tab w:pos="2924" w:val="left" w:leader="none"/>
        </w:tabs>
        <w:spacing w:line="417" w:lineRule="auto"/>
        <w:ind w:left="578" w:right="754"/>
      </w:pPr>
      <w:r>
        <w:rPr/>
        <w:t>申购：</w:t>
        <w:tab/>
        <w:t>指在</w:t>
      </w:r>
      <w:r>
        <w:rPr>
          <w:spacing w:val="-3"/>
        </w:rPr>
        <w:t>本</w:t>
      </w:r>
      <w:r>
        <w:rPr/>
        <w:t>基</w:t>
      </w:r>
      <w:r>
        <w:rPr>
          <w:spacing w:val="-3"/>
        </w:rPr>
        <w:t>金</w:t>
      </w:r>
      <w:r>
        <w:rPr/>
        <w:t>合</w:t>
      </w:r>
      <w:r>
        <w:rPr>
          <w:spacing w:val="-3"/>
        </w:rPr>
        <w:t>同</w:t>
      </w:r>
      <w:r>
        <w:rPr/>
        <w:t>生</w:t>
      </w:r>
      <w:r>
        <w:rPr>
          <w:spacing w:val="-3"/>
        </w:rPr>
        <w:t>效</w:t>
      </w:r>
      <w:r>
        <w:rPr/>
        <w:t>后</w:t>
      </w:r>
      <w:r>
        <w:rPr>
          <w:spacing w:val="-3"/>
        </w:rPr>
        <w:t>，</w:t>
      </w:r>
      <w:r>
        <w:rPr/>
        <w:t>投资</w:t>
      </w:r>
      <w:r>
        <w:rPr>
          <w:spacing w:val="-3"/>
        </w:rPr>
        <w:t>者</w:t>
      </w:r>
      <w:r>
        <w:rPr/>
        <w:t>申</w:t>
      </w:r>
      <w:r>
        <w:rPr>
          <w:spacing w:val="-3"/>
        </w:rPr>
        <w:t>请</w:t>
      </w:r>
      <w:r>
        <w:rPr/>
        <w:t>购</w:t>
      </w:r>
      <w:r>
        <w:rPr>
          <w:spacing w:val="-3"/>
        </w:rPr>
        <w:t>买</w:t>
      </w:r>
      <w:r>
        <w:rPr/>
        <w:t>本</w:t>
      </w:r>
      <w:r>
        <w:rPr>
          <w:spacing w:val="-3"/>
        </w:rPr>
        <w:t>基</w:t>
      </w:r>
      <w:r>
        <w:rPr/>
        <w:t>金</w:t>
      </w:r>
      <w:r>
        <w:rPr>
          <w:spacing w:val="-3"/>
        </w:rPr>
        <w:t>基</w:t>
      </w:r>
      <w:r>
        <w:rPr/>
        <w:t>金份</w:t>
      </w:r>
      <w:r>
        <w:rPr>
          <w:spacing w:val="-3"/>
        </w:rPr>
        <w:t>额</w:t>
      </w:r>
      <w:r>
        <w:rPr/>
        <w:t>的</w:t>
      </w:r>
      <w:r>
        <w:rPr>
          <w:spacing w:val="-3"/>
        </w:rPr>
        <w:t>行</w:t>
      </w:r>
      <w:r>
        <w:rPr/>
        <w:t>为。 赎回：</w:t>
        <w:tab/>
        <w:t>指基</w:t>
      </w:r>
      <w:r>
        <w:rPr>
          <w:spacing w:val="-3"/>
        </w:rPr>
        <w:t>金</w:t>
      </w:r>
      <w:r>
        <w:rPr/>
        <w:t>份</w:t>
      </w:r>
      <w:r>
        <w:rPr>
          <w:spacing w:val="-3"/>
        </w:rPr>
        <w:t>额</w:t>
      </w:r>
      <w:r>
        <w:rPr/>
        <w:t>持</w:t>
      </w:r>
      <w:r>
        <w:rPr>
          <w:spacing w:val="-3"/>
        </w:rPr>
        <w:t>有</w:t>
      </w:r>
      <w:r>
        <w:rPr/>
        <w:t>人</w:t>
      </w:r>
      <w:r>
        <w:rPr>
          <w:spacing w:val="-3"/>
        </w:rPr>
        <w:t>按</w:t>
      </w:r>
      <w:r>
        <w:rPr/>
        <w:t>基</w:t>
      </w:r>
      <w:r>
        <w:rPr>
          <w:spacing w:val="-3"/>
        </w:rPr>
        <w:t>金</w:t>
      </w:r>
      <w:r>
        <w:rPr/>
        <w:t>合同</w:t>
      </w:r>
      <w:r>
        <w:rPr>
          <w:spacing w:val="-3"/>
        </w:rPr>
        <w:t>规</w:t>
      </w:r>
      <w:r>
        <w:rPr/>
        <w:t>定</w:t>
      </w:r>
      <w:r>
        <w:rPr>
          <w:spacing w:val="-3"/>
        </w:rPr>
        <w:t>的</w:t>
      </w:r>
      <w:r>
        <w:rPr/>
        <w:t>条</w:t>
      </w:r>
      <w:r>
        <w:rPr>
          <w:spacing w:val="-3"/>
        </w:rPr>
        <w:t>件</w:t>
      </w:r>
      <w:r>
        <w:rPr/>
        <w:t>，</w:t>
      </w:r>
      <w:r>
        <w:rPr>
          <w:spacing w:val="-3"/>
        </w:rPr>
        <w:t>要</w:t>
      </w:r>
      <w:r>
        <w:rPr/>
        <w:t>求</w:t>
      </w:r>
      <w:r>
        <w:rPr>
          <w:spacing w:val="-3"/>
        </w:rPr>
        <w:t>基</w:t>
      </w:r>
      <w:r>
        <w:rPr/>
        <w:t>金管</w:t>
      </w:r>
      <w:r>
        <w:rPr>
          <w:spacing w:val="-3"/>
        </w:rPr>
        <w:t>理</w:t>
      </w:r>
      <w:r>
        <w:rPr/>
        <w:t>人</w:t>
      </w:r>
      <w:r>
        <w:rPr>
          <w:spacing w:val="-3"/>
        </w:rPr>
        <w:t>购</w:t>
      </w:r>
      <w:r>
        <w:rPr/>
        <w:t>回</w:t>
      </w:r>
      <w:r>
        <w:rPr>
          <w:spacing w:val="-3"/>
        </w:rPr>
        <w:t>本</w:t>
      </w:r>
      <w:r>
        <w:rPr/>
        <w:t>基</w:t>
      </w:r>
    </w:p>
    <w:p>
      <w:pPr>
        <w:pStyle w:val="BodyText"/>
        <w:spacing w:line="269" w:lineRule="exact"/>
        <w:ind w:left="2924"/>
      </w:pPr>
      <w:r>
        <w:rPr/>
        <w:t>金基金份额的行为。</w:t>
      </w:r>
    </w:p>
    <w:p>
      <w:pPr>
        <w:pStyle w:val="BodyText"/>
        <w:spacing w:before="7"/>
        <w:rPr>
          <w:sz w:val="15"/>
        </w:rPr>
      </w:pPr>
    </w:p>
    <w:p>
      <w:pPr>
        <w:pStyle w:val="BodyText"/>
        <w:tabs>
          <w:tab w:pos="2924" w:val="left" w:leader="none"/>
        </w:tabs>
        <w:spacing w:line="417" w:lineRule="auto"/>
        <w:ind w:left="2924" w:right="754" w:hanging="2346"/>
      </w:pPr>
      <w:r>
        <w:rPr/>
        <w:t>转换：</w:t>
        <w:tab/>
        <w:t>指基</w:t>
      </w:r>
      <w:r>
        <w:rPr>
          <w:spacing w:val="-3"/>
        </w:rPr>
        <w:t>金</w:t>
      </w:r>
      <w:r>
        <w:rPr/>
        <w:t>份</w:t>
      </w:r>
      <w:r>
        <w:rPr>
          <w:spacing w:val="-3"/>
        </w:rPr>
        <w:t>额</w:t>
      </w:r>
      <w:r>
        <w:rPr/>
        <w:t>持</w:t>
      </w:r>
      <w:r>
        <w:rPr>
          <w:spacing w:val="-3"/>
        </w:rPr>
        <w:t>有</w:t>
      </w:r>
      <w:r>
        <w:rPr/>
        <w:t>人</w:t>
      </w:r>
      <w:r>
        <w:rPr>
          <w:spacing w:val="-3"/>
        </w:rPr>
        <w:t>按</w:t>
      </w:r>
      <w:r>
        <w:rPr/>
        <w:t>基</w:t>
      </w:r>
      <w:r>
        <w:rPr>
          <w:spacing w:val="-3"/>
        </w:rPr>
        <w:t>金</w:t>
      </w:r>
      <w:r>
        <w:rPr/>
        <w:t>管理</w:t>
      </w:r>
      <w:r>
        <w:rPr>
          <w:spacing w:val="-3"/>
        </w:rPr>
        <w:t>人</w:t>
      </w:r>
      <w:r>
        <w:rPr/>
        <w:t>规</w:t>
      </w:r>
      <w:r>
        <w:rPr>
          <w:spacing w:val="-3"/>
        </w:rPr>
        <w:t>定</w:t>
      </w:r>
      <w:r>
        <w:rPr/>
        <w:t>的</w:t>
      </w:r>
      <w:r>
        <w:rPr>
          <w:spacing w:val="-3"/>
        </w:rPr>
        <w:t>条</w:t>
      </w:r>
      <w:r>
        <w:rPr/>
        <w:t>件</w:t>
      </w:r>
      <w:r>
        <w:rPr>
          <w:spacing w:val="-3"/>
        </w:rPr>
        <w:t>申</w:t>
      </w:r>
      <w:r>
        <w:rPr/>
        <w:t>请</w:t>
      </w:r>
      <w:r>
        <w:rPr>
          <w:spacing w:val="-3"/>
        </w:rPr>
        <w:t>将</w:t>
      </w:r>
      <w:r>
        <w:rPr/>
        <w:t>其持</w:t>
      </w:r>
      <w:r>
        <w:rPr>
          <w:spacing w:val="-3"/>
        </w:rPr>
        <w:t>有</w:t>
      </w:r>
      <w:r>
        <w:rPr/>
        <w:t>的</w:t>
      </w:r>
      <w:r>
        <w:rPr>
          <w:spacing w:val="-3"/>
        </w:rPr>
        <w:t>某</w:t>
      </w:r>
      <w:r>
        <w:rPr/>
        <w:t>一</w:t>
      </w:r>
      <w:r>
        <w:rPr>
          <w:spacing w:val="-3"/>
        </w:rPr>
        <w:t>基</w:t>
      </w:r>
      <w:r>
        <w:rPr/>
        <w:t>金的基</w:t>
      </w:r>
      <w:r>
        <w:rPr>
          <w:spacing w:val="-3"/>
        </w:rPr>
        <w:t>金</w:t>
      </w:r>
      <w:r>
        <w:rPr/>
        <w:t>份</w:t>
      </w:r>
      <w:r>
        <w:rPr>
          <w:spacing w:val="-3"/>
        </w:rPr>
        <w:t>额</w:t>
      </w:r>
      <w:r>
        <w:rPr/>
        <w:t>转</w:t>
      </w:r>
      <w:r>
        <w:rPr>
          <w:spacing w:val="-3"/>
        </w:rPr>
        <w:t>为</w:t>
      </w:r>
      <w:r>
        <w:rPr/>
        <w:t>基</w:t>
      </w:r>
      <w:r>
        <w:rPr>
          <w:spacing w:val="-3"/>
        </w:rPr>
        <w:t>金</w:t>
      </w:r>
      <w:r>
        <w:rPr/>
        <w:t>管</w:t>
      </w:r>
      <w:r>
        <w:rPr>
          <w:spacing w:val="-3"/>
        </w:rPr>
        <w:t>理</w:t>
      </w:r>
      <w:r>
        <w:rPr/>
        <w:t>人管</w:t>
      </w:r>
      <w:r>
        <w:rPr>
          <w:spacing w:val="-3"/>
        </w:rPr>
        <w:t>理</w:t>
      </w:r>
      <w:r>
        <w:rPr/>
        <w:t>的</w:t>
      </w:r>
      <w:r>
        <w:rPr>
          <w:spacing w:val="-3"/>
        </w:rPr>
        <w:t>其</w:t>
      </w:r>
      <w:r>
        <w:rPr/>
        <w:t>他</w:t>
      </w:r>
      <w:r>
        <w:rPr>
          <w:spacing w:val="-3"/>
        </w:rPr>
        <w:t>基</w:t>
      </w:r>
      <w:r>
        <w:rPr/>
        <w:t>金</w:t>
      </w:r>
      <w:r>
        <w:rPr>
          <w:spacing w:val="-3"/>
        </w:rPr>
        <w:t>的</w:t>
      </w:r>
      <w:r>
        <w:rPr/>
        <w:t>基</w:t>
      </w:r>
      <w:r>
        <w:rPr>
          <w:spacing w:val="-3"/>
        </w:rPr>
        <w:t>金</w:t>
      </w:r>
      <w:r>
        <w:rPr/>
        <w:t>份额</w:t>
      </w:r>
      <w:r>
        <w:rPr>
          <w:spacing w:val="-3"/>
        </w:rPr>
        <w:t>的</w:t>
      </w:r>
      <w:r>
        <w:rPr/>
        <w:t>行</w:t>
      </w:r>
      <w:r>
        <w:rPr>
          <w:spacing w:val="-3"/>
        </w:rPr>
        <w:t>为</w:t>
      </w:r>
      <w:r>
        <w:rPr/>
        <w:t>。</w:t>
      </w:r>
    </w:p>
    <w:p>
      <w:pPr>
        <w:pStyle w:val="BodyText"/>
        <w:tabs>
          <w:tab w:pos="2924" w:val="left" w:leader="none"/>
        </w:tabs>
        <w:spacing w:line="417" w:lineRule="auto"/>
        <w:ind w:left="2924" w:right="754" w:hanging="2346"/>
      </w:pPr>
      <w:r>
        <w:rPr/>
        <w:t>转托</w:t>
      </w:r>
      <w:r>
        <w:rPr>
          <w:spacing w:val="-3"/>
        </w:rPr>
        <w:t>管</w:t>
      </w:r>
      <w:r>
        <w:rPr/>
        <w:t>：</w:t>
        <w:tab/>
        <w:t>指基</w:t>
      </w:r>
      <w:r>
        <w:rPr>
          <w:spacing w:val="-3"/>
        </w:rPr>
        <w:t>金</w:t>
      </w:r>
      <w:r>
        <w:rPr/>
        <w:t>份</w:t>
      </w:r>
      <w:r>
        <w:rPr>
          <w:spacing w:val="-3"/>
        </w:rPr>
        <w:t>额</w:t>
      </w:r>
      <w:r>
        <w:rPr/>
        <w:t>持</w:t>
      </w:r>
      <w:r>
        <w:rPr>
          <w:spacing w:val="-3"/>
        </w:rPr>
        <w:t>有</w:t>
      </w:r>
      <w:r>
        <w:rPr/>
        <w:t>人</w:t>
      </w:r>
      <w:r>
        <w:rPr>
          <w:spacing w:val="-3"/>
        </w:rPr>
        <w:t>将</w:t>
      </w:r>
      <w:r>
        <w:rPr/>
        <w:t>其</w:t>
      </w:r>
      <w:r>
        <w:rPr>
          <w:spacing w:val="-3"/>
        </w:rPr>
        <w:t>持</w:t>
      </w:r>
      <w:r>
        <w:rPr/>
        <w:t>有的</w:t>
      </w:r>
      <w:r>
        <w:rPr>
          <w:spacing w:val="-3"/>
        </w:rPr>
        <w:t>同</w:t>
      </w:r>
      <w:r>
        <w:rPr/>
        <w:t>一</w:t>
      </w:r>
      <w:r>
        <w:rPr>
          <w:spacing w:val="-3"/>
        </w:rPr>
        <w:t>基</w:t>
      </w:r>
      <w:r>
        <w:rPr/>
        <w:t>金</w:t>
      </w:r>
      <w:r>
        <w:rPr>
          <w:spacing w:val="-3"/>
        </w:rPr>
        <w:t>账</w:t>
      </w:r>
      <w:r>
        <w:rPr/>
        <w:t>户</w:t>
      </w:r>
      <w:r>
        <w:rPr>
          <w:spacing w:val="-3"/>
        </w:rPr>
        <w:t>下</w:t>
      </w:r>
      <w:r>
        <w:rPr/>
        <w:t>的</w:t>
      </w:r>
      <w:r>
        <w:rPr>
          <w:spacing w:val="-3"/>
        </w:rPr>
        <w:t>基</w:t>
      </w:r>
      <w:r>
        <w:rPr/>
        <w:t>金份</w:t>
      </w:r>
      <w:r>
        <w:rPr>
          <w:spacing w:val="-3"/>
        </w:rPr>
        <w:t>额</w:t>
      </w:r>
      <w:r>
        <w:rPr/>
        <w:t>从</w:t>
      </w:r>
      <w:r>
        <w:rPr>
          <w:spacing w:val="-3"/>
        </w:rPr>
        <w:t>某</w:t>
      </w:r>
      <w:r>
        <w:rPr/>
        <w:t>一</w:t>
      </w:r>
      <w:r>
        <w:rPr>
          <w:spacing w:val="-3"/>
        </w:rPr>
        <w:t>交</w:t>
      </w:r>
      <w:r>
        <w:rPr/>
        <w:t>易账户</w:t>
      </w:r>
      <w:r>
        <w:rPr>
          <w:spacing w:val="-3"/>
        </w:rPr>
        <w:t>转</w:t>
      </w:r>
      <w:r>
        <w:rPr/>
        <w:t>入</w:t>
      </w:r>
      <w:r>
        <w:rPr>
          <w:spacing w:val="-3"/>
        </w:rPr>
        <w:t>另</w:t>
      </w:r>
      <w:r>
        <w:rPr/>
        <w:t>一</w:t>
      </w:r>
      <w:r>
        <w:rPr>
          <w:spacing w:val="-3"/>
        </w:rPr>
        <w:t>交</w:t>
      </w:r>
      <w:r>
        <w:rPr/>
        <w:t>易</w:t>
      </w:r>
      <w:r>
        <w:rPr>
          <w:spacing w:val="-3"/>
        </w:rPr>
        <w:t>账</w:t>
      </w:r>
      <w:r>
        <w:rPr/>
        <w:t>户</w:t>
      </w:r>
      <w:r>
        <w:rPr>
          <w:spacing w:val="-3"/>
        </w:rPr>
        <w:t>的</w:t>
      </w:r>
      <w:r>
        <w:rPr/>
        <w:t>行为。</w:t>
      </w:r>
    </w:p>
    <w:p>
      <w:pPr>
        <w:pStyle w:val="BodyText"/>
        <w:tabs>
          <w:tab w:pos="2924" w:val="left" w:leader="none"/>
        </w:tabs>
        <w:spacing w:line="269" w:lineRule="exact"/>
        <w:ind w:left="578"/>
      </w:pPr>
      <w:r>
        <w:rPr/>
        <w:t>元：</w:t>
        <w:tab/>
        <w:t>指人</w:t>
      </w:r>
      <w:r>
        <w:rPr>
          <w:spacing w:val="-3"/>
        </w:rPr>
        <w:t>民</w:t>
      </w:r>
      <w:r>
        <w:rPr/>
        <w:t>币</w:t>
      </w:r>
      <w:r>
        <w:rPr>
          <w:spacing w:val="-3"/>
        </w:rPr>
        <w:t>元</w:t>
      </w:r>
      <w:r>
        <w:rPr/>
        <w:t>。</w:t>
      </w:r>
    </w:p>
    <w:p>
      <w:pPr>
        <w:pStyle w:val="BodyText"/>
        <w:spacing w:before="6"/>
        <w:rPr>
          <w:sz w:val="15"/>
        </w:rPr>
      </w:pPr>
    </w:p>
    <w:p>
      <w:pPr>
        <w:pStyle w:val="BodyText"/>
        <w:tabs>
          <w:tab w:pos="2924" w:val="left" w:leader="none"/>
        </w:tabs>
        <w:spacing w:line="417" w:lineRule="auto"/>
        <w:ind w:left="2924" w:right="754" w:hanging="2346"/>
      </w:pPr>
      <w:r>
        <w:rPr/>
        <w:t>基金</w:t>
      </w:r>
      <w:r>
        <w:rPr>
          <w:spacing w:val="-3"/>
        </w:rPr>
        <w:t>收</w:t>
      </w:r>
      <w:r>
        <w:rPr/>
        <w:t>益：</w:t>
        <w:tab/>
        <w:t>指基</w:t>
      </w:r>
      <w:r>
        <w:rPr>
          <w:spacing w:val="-3"/>
        </w:rPr>
        <w:t>金</w:t>
      </w:r>
      <w:r>
        <w:rPr/>
        <w:t>投</w:t>
      </w:r>
      <w:r>
        <w:rPr>
          <w:spacing w:val="-3"/>
        </w:rPr>
        <w:t>资</w:t>
      </w:r>
      <w:r>
        <w:rPr/>
        <w:t>所</w:t>
      </w:r>
      <w:r>
        <w:rPr>
          <w:spacing w:val="-3"/>
        </w:rPr>
        <w:t>得</w:t>
      </w:r>
      <w:r>
        <w:rPr/>
        <w:t>债</w:t>
      </w:r>
      <w:r>
        <w:rPr>
          <w:spacing w:val="-3"/>
        </w:rPr>
        <w:t>券</w:t>
      </w:r>
      <w:r>
        <w:rPr/>
        <w:t>利</w:t>
      </w:r>
      <w:r>
        <w:rPr>
          <w:spacing w:val="-3"/>
        </w:rPr>
        <w:t>息</w:t>
      </w:r>
      <w:r>
        <w:rPr/>
        <w:t>、票</w:t>
      </w:r>
      <w:r>
        <w:rPr>
          <w:spacing w:val="-3"/>
        </w:rPr>
        <w:t>据</w:t>
      </w:r>
      <w:r>
        <w:rPr/>
        <w:t>利</w:t>
      </w:r>
      <w:r>
        <w:rPr>
          <w:spacing w:val="-3"/>
        </w:rPr>
        <w:t>息</w:t>
      </w:r>
      <w:r>
        <w:rPr/>
        <w:t>、</w:t>
      </w:r>
      <w:r>
        <w:rPr>
          <w:spacing w:val="-3"/>
        </w:rPr>
        <w:t>买</w:t>
      </w:r>
      <w:r>
        <w:rPr/>
        <w:t>卖</w:t>
      </w:r>
      <w:r>
        <w:rPr>
          <w:spacing w:val="-3"/>
        </w:rPr>
        <w:t>证</w:t>
      </w:r>
      <w:r>
        <w:rPr/>
        <w:t>券</w:t>
      </w:r>
      <w:r>
        <w:rPr>
          <w:spacing w:val="-3"/>
        </w:rPr>
        <w:t>价</w:t>
      </w:r>
      <w:r>
        <w:rPr/>
        <w:t>差、</w:t>
      </w:r>
      <w:r>
        <w:rPr>
          <w:spacing w:val="-3"/>
        </w:rPr>
        <w:t>银</w:t>
      </w:r>
      <w:r>
        <w:rPr/>
        <w:t>行</w:t>
      </w:r>
      <w:r>
        <w:rPr>
          <w:spacing w:val="-3"/>
        </w:rPr>
        <w:t>存</w:t>
      </w:r>
      <w:r>
        <w:rPr/>
        <w:t>款</w:t>
      </w:r>
      <w:r>
        <w:rPr>
          <w:spacing w:val="-3"/>
        </w:rPr>
        <w:t>利</w:t>
      </w:r>
      <w:r>
        <w:rPr/>
        <w:t>息及其</w:t>
      </w:r>
      <w:r>
        <w:rPr>
          <w:spacing w:val="-3"/>
        </w:rPr>
        <w:t>他</w:t>
      </w:r>
      <w:r>
        <w:rPr/>
        <w:t>合</w:t>
      </w:r>
      <w:r>
        <w:rPr>
          <w:spacing w:val="-3"/>
        </w:rPr>
        <w:t>法</w:t>
      </w:r>
      <w:r>
        <w:rPr/>
        <w:t>收</w:t>
      </w:r>
      <w:r>
        <w:rPr>
          <w:spacing w:val="-3"/>
        </w:rPr>
        <w:t>入</w:t>
      </w:r>
      <w:r>
        <w:rPr/>
        <w:t>。</w:t>
      </w:r>
    </w:p>
    <w:p>
      <w:pPr>
        <w:pStyle w:val="BodyText"/>
        <w:tabs>
          <w:tab w:pos="2924" w:val="left" w:leader="none"/>
        </w:tabs>
        <w:spacing w:line="417" w:lineRule="auto" w:before="1"/>
        <w:ind w:left="578" w:right="963"/>
      </w:pPr>
      <w:r>
        <w:rPr/>
        <w:t>基金</w:t>
      </w:r>
      <w:r>
        <w:rPr>
          <w:spacing w:val="-3"/>
        </w:rPr>
        <w:t>资</w:t>
      </w:r>
      <w:r>
        <w:rPr/>
        <w:t>产</w:t>
      </w:r>
      <w:r>
        <w:rPr>
          <w:spacing w:val="-3"/>
        </w:rPr>
        <w:t>总</w:t>
      </w:r>
      <w:r>
        <w:rPr/>
        <w:t>值：</w:t>
        <w:tab/>
        <w:t>指基</w:t>
      </w:r>
      <w:r>
        <w:rPr>
          <w:spacing w:val="-3"/>
        </w:rPr>
        <w:t>金</w:t>
      </w:r>
      <w:r>
        <w:rPr/>
        <w:t>购</w:t>
      </w:r>
      <w:r>
        <w:rPr>
          <w:spacing w:val="-3"/>
        </w:rPr>
        <w:t>买</w:t>
      </w:r>
      <w:r>
        <w:rPr/>
        <w:t>的</w:t>
      </w:r>
      <w:r>
        <w:rPr>
          <w:spacing w:val="-3"/>
        </w:rPr>
        <w:t>各</w:t>
      </w:r>
      <w:r>
        <w:rPr/>
        <w:t>类</w:t>
      </w:r>
      <w:r>
        <w:rPr>
          <w:spacing w:val="-3"/>
        </w:rPr>
        <w:t>证</w:t>
      </w:r>
      <w:r>
        <w:rPr/>
        <w:t>券</w:t>
      </w:r>
      <w:r>
        <w:rPr>
          <w:spacing w:val="-3"/>
        </w:rPr>
        <w:t>、</w:t>
      </w:r>
      <w:r>
        <w:rPr/>
        <w:t>银行</w:t>
      </w:r>
      <w:r>
        <w:rPr>
          <w:spacing w:val="-3"/>
        </w:rPr>
        <w:t>存</w:t>
      </w:r>
      <w:r>
        <w:rPr/>
        <w:t>款</w:t>
      </w:r>
      <w:r>
        <w:rPr>
          <w:spacing w:val="-3"/>
        </w:rPr>
        <w:t>本</w:t>
      </w:r>
      <w:r>
        <w:rPr/>
        <w:t>息</w:t>
      </w:r>
      <w:r>
        <w:rPr>
          <w:spacing w:val="-3"/>
        </w:rPr>
        <w:t>及</w:t>
      </w:r>
      <w:r>
        <w:rPr/>
        <w:t>其</w:t>
      </w:r>
      <w:r>
        <w:rPr>
          <w:spacing w:val="-3"/>
        </w:rPr>
        <w:t>他</w:t>
      </w:r>
      <w:r>
        <w:rPr/>
        <w:t>投</w:t>
      </w:r>
      <w:r>
        <w:rPr>
          <w:spacing w:val="-3"/>
        </w:rPr>
        <w:t>资</w:t>
      </w:r>
      <w:r>
        <w:rPr/>
        <w:t>等的</w:t>
      </w:r>
      <w:r>
        <w:rPr>
          <w:spacing w:val="-3"/>
        </w:rPr>
        <w:t>价</w:t>
      </w:r>
      <w:r>
        <w:rPr/>
        <w:t>值</w:t>
      </w:r>
      <w:r>
        <w:rPr>
          <w:spacing w:val="-3"/>
        </w:rPr>
        <w:t>总</w:t>
      </w:r>
      <w:r>
        <w:rPr/>
        <w:t>和。基金</w:t>
      </w:r>
      <w:r>
        <w:rPr>
          <w:spacing w:val="-3"/>
        </w:rPr>
        <w:t>资</w:t>
      </w:r>
      <w:r>
        <w:rPr/>
        <w:t>产</w:t>
      </w:r>
      <w:r>
        <w:rPr>
          <w:spacing w:val="-3"/>
        </w:rPr>
        <w:t>净</w:t>
      </w:r>
      <w:r>
        <w:rPr/>
        <w:t>值：</w:t>
        <w:tab/>
        <w:t>指基</w:t>
      </w:r>
      <w:r>
        <w:rPr>
          <w:spacing w:val="-3"/>
        </w:rPr>
        <w:t>金</w:t>
      </w:r>
      <w:r>
        <w:rPr/>
        <w:t>资</w:t>
      </w:r>
      <w:r>
        <w:rPr>
          <w:spacing w:val="-3"/>
        </w:rPr>
        <w:t>产</w:t>
      </w:r>
      <w:r>
        <w:rPr/>
        <w:t>总</w:t>
      </w:r>
      <w:r>
        <w:rPr>
          <w:spacing w:val="-3"/>
        </w:rPr>
        <w:t>值</w:t>
      </w:r>
      <w:r>
        <w:rPr/>
        <w:t>减</w:t>
      </w:r>
      <w:r>
        <w:rPr>
          <w:spacing w:val="-3"/>
        </w:rPr>
        <w:t>去</w:t>
      </w:r>
      <w:r>
        <w:rPr/>
        <w:t>负</w:t>
      </w:r>
      <w:r>
        <w:rPr>
          <w:spacing w:val="-3"/>
        </w:rPr>
        <w:t>债</w:t>
      </w:r>
      <w:r>
        <w:rPr/>
        <w:t>后的</w:t>
      </w:r>
      <w:r>
        <w:rPr>
          <w:spacing w:val="-3"/>
        </w:rPr>
        <w:t>价</w:t>
      </w:r>
      <w:r>
        <w:rPr/>
        <w:t>值。</w:t>
      </w:r>
    </w:p>
    <w:p>
      <w:pPr>
        <w:pStyle w:val="BodyText"/>
        <w:tabs>
          <w:tab w:pos="2924" w:val="left" w:leader="none"/>
        </w:tabs>
        <w:spacing w:line="417" w:lineRule="auto"/>
        <w:ind w:left="2924" w:right="754" w:hanging="2346"/>
      </w:pPr>
      <w:r>
        <w:rPr/>
        <w:t>基金</w:t>
      </w:r>
      <w:r>
        <w:rPr>
          <w:spacing w:val="-3"/>
        </w:rPr>
        <w:t>资</w:t>
      </w:r>
      <w:r>
        <w:rPr/>
        <w:t>产</w:t>
      </w:r>
      <w:r>
        <w:rPr>
          <w:spacing w:val="-3"/>
        </w:rPr>
        <w:t>计</w:t>
      </w:r>
      <w:r>
        <w:rPr/>
        <w:t>价：</w:t>
        <w:tab/>
        <w:t>指计</w:t>
      </w:r>
      <w:r>
        <w:rPr>
          <w:spacing w:val="-3"/>
        </w:rPr>
        <w:t>算</w:t>
      </w:r>
      <w:r>
        <w:rPr/>
        <w:t>评</w:t>
      </w:r>
      <w:r>
        <w:rPr>
          <w:spacing w:val="-3"/>
        </w:rPr>
        <w:t>估</w:t>
      </w:r>
      <w:r>
        <w:rPr/>
        <w:t>基</w:t>
      </w:r>
      <w:r>
        <w:rPr>
          <w:spacing w:val="-3"/>
        </w:rPr>
        <w:t>金</w:t>
      </w:r>
      <w:r>
        <w:rPr/>
        <w:t>资</w:t>
      </w:r>
      <w:r>
        <w:rPr>
          <w:spacing w:val="-3"/>
        </w:rPr>
        <w:t>产</w:t>
      </w:r>
      <w:r>
        <w:rPr/>
        <w:t>和</w:t>
      </w:r>
      <w:r>
        <w:rPr>
          <w:spacing w:val="-3"/>
        </w:rPr>
        <w:t>负</w:t>
      </w:r>
      <w:r>
        <w:rPr/>
        <w:t>债的</w:t>
      </w:r>
      <w:r>
        <w:rPr>
          <w:spacing w:val="-3"/>
        </w:rPr>
        <w:t>价</w:t>
      </w:r>
      <w:r>
        <w:rPr/>
        <w:t>值</w:t>
      </w:r>
      <w:r>
        <w:rPr>
          <w:spacing w:val="-3"/>
        </w:rPr>
        <w:t>，</w:t>
      </w:r>
      <w:r>
        <w:rPr/>
        <w:t>以</w:t>
      </w:r>
      <w:r>
        <w:rPr>
          <w:spacing w:val="-3"/>
        </w:rPr>
        <w:t>确</w:t>
      </w:r>
      <w:r>
        <w:rPr/>
        <w:t>定</w:t>
      </w:r>
      <w:r>
        <w:rPr>
          <w:spacing w:val="-3"/>
        </w:rPr>
        <w:t>基</w:t>
      </w:r>
      <w:r>
        <w:rPr/>
        <w:t>金</w:t>
      </w:r>
      <w:r>
        <w:rPr>
          <w:spacing w:val="-3"/>
        </w:rPr>
        <w:t>资</w:t>
      </w:r>
      <w:r>
        <w:rPr/>
        <w:t>产净</w:t>
      </w:r>
      <w:r>
        <w:rPr>
          <w:spacing w:val="-3"/>
        </w:rPr>
        <w:t>值</w:t>
      </w:r>
      <w:r>
        <w:rPr/>
        <w:t>和</w:t>
      </w:r>
      <w:r>
        <w:rPr>
          <w:spacing w:val="-3"/>
        </w:rPr>
        <w:t>基</w:t>
      </w:r>
      <w:r>
        <w:rPr/>
        <w:t>金</w:t>
      </w:r>
      <w:r>
        <w:rPr>
          <w:spacing w:val="-3"/>
        </w:rPr>
        <w:t>份</w:t>
      </w:r>
      <w:r>
        <w:rPr/>
        <w:t>额净值</w:t>
      </w:r>
      <w:r>
        <w:rPr>
          <w:spacing w:val="-3"/>
        </w:rPr>
        <w:t>的</w:t>
      </w:r>
      <w:r>
        <w:rPr/>
        <w:t>过</w:t>
      </w:r>
      <w:r>
        <w:rPr>
          <w:spacing w:val="-3"/>
        </w:rPr>
        <w:t>程</w:t>
      </w:r>
      <w:r>
        <w:rPr/>
        <w:t>。</w:t>
      </w:r>
    </w:p>
    <w:p>
      <w:pPr>
        <w:pStyle w:val="BodyText"/>
        <w:tabs>
          <w:tab w:pos="2924" w:val="left" w:leader="none"/>
        </w:tabs>
        <w:spacing w:line="417" w:lineRule="auto"/>
        <w:ind w:left="2924" w:right="586" w:hanging="2346"/>
      </w:pPr>
      <w:r>
        <w:rPr/>
        <w:t>摊余</w:t>
      </w:r>
      <w:r>
        <w:rPr>
          <w:spacing w:val="-3"/>
        </w:rPr>
        <w:t>成</w:t>
      </w:r>
      <w:r>
        <w:rPr/>
        <w:t>本</w:t>
      </w:r>
      <w:r>
        <w:rPr>
          <w:spacing w:val="-3"/>
        </w:rPr>
        <w:t>法</w:t>
      </w:r>
      <w:r>
        <w:rPr/>
        <w:t>：</w:t>
        <w:tab/>
        <w:t>指计</w:t>
      </w:r>
      <w:r>
        <w:rPr>
          <w:spacing w:val="-3"/>
        </w:rPr>
        <w:t>价</w:t>
      </w:r>
      <w:r>
        <w:rPr/>
        <w:t>对</w:t>
      </w:r>
      <w:r>
        <w:rPr>
          <w:spacing w:val="-3"/>
        </w:rPr>
        <w:t>象</w:t>
      </w:r>
      <w:r>
        <w:rPr/>
        <w:t>以</w:t>
      </w:r>
      <w:r>
        <w:rPr>
          <w:spacing w:val="-3"/>
        </w:rPr>
        <w:t>买</w:t>
      </w:r>
      <w:r>
        <w:rPr/>
        <w:t>入</w:t>
      </w:r>
      <w:r>
        <w:rPr>
          <w:spacing w:val="-3"/>
        </w:rPr>
        <w:t>成</w:t>
      </w:r>
      <w:r>
        <w:rPr/>
        <w:t>本</w:t>
      </w:r>
      <w:r>
        <w:rPr>
          <w:spacing w:val="-3"/>
        </w:rPr>
        <w:t>列</w:t>
      </w:r>
      <w:r>
        <w:rPr/>
        <w:t>示，</w:t>
      </w:r>
      <w:r>
        <w:rPr>
          <w:spacing w:val="-3"/>
        </w:rPr>
        <w:t>按</w:t>
      </w:r>
      <w:r>
        <w:rPr/>
        <w:t>照</w:t>
      </w:r>
      <w:r>
        <w:rPr>
          <w:spacing w:val="-3"/>
        </w:rPr>
        <w:t>票</w:t>
      </w:r>
      <w:r>
        <w:rPr/>
        <w:t>面</w:t>
      </w:r>
      <w:r>
        <w:rPr>
          <w:spacing w:val="-3"/>
        </w:rPr>
        <w:t>利</w:t>
      </w:r>
      <w:r>
        <w:rPr/>
        <w:t>率</w:t>
      </w:r>
      <w:r>
        <w:rPr>
          <w:spacing w:val="-3"/>
        </w:rPr>
        <w:t>或</w:t>
      </w:r>
      <w:r>
        <w:rPr/>
        <w:t>协</w:t>
      </w:r>
      <w:r>
        <w:rPr>
          <w:spacing w:val="-3"/>
        </w:rPr>
        <w:t>议</w:t>
      </w:r>
      <w:r>
        <w:rPr/>
        <w:t>利率</w:t>
      </w:r>
      <w:r>
        <w:rPr>
          <w:spacing w:val="-3"/>
        </w:rPr>
        <w:t>并</w:t>
      </w:r>
      <w:r>
        <w:rPr/>
        <w:t>考</w:t>
      </w:r>
      <w:r>
        <w:rPr>
          <w:spacing w:val="-3"/>
        </w:rPr>
        <w:t>虑</w:t>
      </w:r>
      <w:r>
        <w:rPr/>
        <w:t>其</w:t>
      </w:r>
      <w:r>
        <w:rPr>
          <w:spacing w:val="-3"/>
        </w:rPr>
        <w:t>买</w:t>
      </w:r>
      <w:r>
        <w:rPr/>
        <w:t>入 时的</w:t>
      </w:r>
      <w:r>
        <w:rPr>
          <w:spacing w:val="-3"/>
        </w:rPr>
        <w:t>溢</w:t>
      </w:r>
      <w:r>
        <w:rPr/>
        <w:t>价</w:t>
      </w:r>
      <w:r>
        <w:rPr>
          <w:spacing w:val="-3"/>
        </w:rPr>
        <w:t>与</w:t>
      </w:r>
      <w:r>
        <w:rPr/>
        <w:t>折</w:t>
      </w:r>
      <w:r>
        <w:rPr>
          <w:spacing w:val="-3"/>
        </w:rPr>
        <w:t>价</w:t>
      </w:r>
      <w:r>
        <w:rPr>
          <w:spacing w:val="-22"/>
        </w:rPr>
        <w:t>，</w:t>
      </w:r>
      <w:r>
        <w:rPr/>
        <w:t>在</w:t>
      </w:r>
      <w:r>
        <w:rPr>
          <w:spacing w:val="-3"/>
        </w:rPr>
        <w:t>剩余</w:t>
      </w:r>
      <w:r>
        <w:rPr/>
        <w:t>存续</w:t>
      </w:r>
      <w:r>
        <w:rPr>
          <w:spacing w:val="-3"/>
        </w:rPr>
        <w:t>期</w:t>
      </w:r>
      <w:r>
        <w:rPr/>
        <w:t>内</w:t>
      </w:r>
      <w:r>
        <w:rPr>
          <w:spacing w:val="-3"/>
        </w:rPr>
        <w:t>按</w:t>
      </w:r>
      <w:r>
        <w:rPr/>
        <w:t>实</w:t>
      </w:r>
      <w:r>
        <w:rPr>
          <w:spacing w:val="-3"/>
        </w:rPr>
        <w:t>际</w:t>
      </w:r>
      <w:r>
        <w:rPr/>
        <w:t>利</w:t>
      </w:r>
      <w:r>
        <w:rPr>
          <w:spacing w:val="-3"/>
        </w:rPr>
        <w:t>率</w:t>
      </w:r>
      <w:r>
        <w:rPr/>
        <w:t>法</w:t>
      </w:r>
      <w:r>
        <w:rPr>
          <w:spacing w:val="-3"/>
        </w:rPr>
        <w:t>摊</w:t>
      </w:r>
      <w:r>
        <w:rPr/>
        <w:t>销</w:t>
      </w:r>
      <w:r>
        <w:rPr>
          <w:spacing w:val="-22"/>
        </w:rPr>
        <w:t>，</w:t>
      </w:r>
      <w:r>
        <w:rPr/>
        <w:t>每</w:t>
      </w:r>
      <w:r>
        <w:rPr>
          <w:spacing w:val="-3"/>
        </w:rPr>
        <w:t>日</w:t>
      </w:r>
      <w:r>
        <w:rPr/>
        <w:t>计</w:t>
      </w:r>
      <w:r>
        <w:rPr>
          <w:spacing w:val="-3"/>
        </w:rPr>
        <w:t>提</w:t>
      </w:r>
      <w:r>
        <w:rPr/>
        <w:t>损</w:t>
      </w:r>
      <w:r>
        <w:rPr>
          <w:spacing w:val="-3"/>
        </w:rPr>
        <w:t>益</w:t>
      </w:r>
      <w:r>
        <w:rPr/>
        <w:t>。</w:t>
      </w:r>
    </w:p>
    <w:p>
      <w:pPr>
        <w:pStyle w:val="BodyText"/>
        <w:tabs>
          <w:tab w:pos="2924" w:val="left" w:leader="none"/>
        </w:tabs>
        <w:spacing w:line="417" w:lineRule="auto"/>
        <w:ind w:left="2924" w:right="754" w:hanging="2346"/>
      </w:pPr>
      <w:r>
        <w:rPr/>
        <w:t>影子</w:t>
      </w:r>
      <w:r>
        <w:rPr>
          <w:spacing w:val="-3"/>
        </w:rPr>
        <w:t>定</w:t>
      </w:r>
      <w:r>
        <w:rPr/>
        <w:t>价：</w:t>
        <w:tab/>
        <w:t>指参</w:t>
      </w:r>
      <w:r>
        <w:rPr>
          <w:spacing w:val="-3"/>
        </w:rPr>
        <w:t>照</w:t>
      </w:r>
      <w:r>
        <w:rPr/>
        <w:t>中</w:t>
      </w:r>
      <w:r>
        <w:rPr>
          <w:spacing w:val="-3"/>
        </w:rPr>
        <w:t>国</w:t>
      </w:r>
      <w:r>
        <w:rPr/>
        <w:t>证</w:t>
      </w:r>
      <w:r>
        <w:rPr>
          <w:spacing w:val="-3"/>
        </w:rPr>
        <w:t>券</w:t>
      </w:r>
      <w:r>
        <w:rPr/>
        <w:t>投</w:t>
      </w:r>
      <w:r>
        <w:rPr>
          <w:spacing w:val="-3"/>
        </w:rPr>
        <w:t>资</w:t>
      </w:r>
      <w:r>
        <w:rPr/>
        <w:t>基</w:t>
      </w:r>
      <w:r>
        <w:rPr>
          <w:spacing w:val="-3"/>
        </w:rPr>
        <w:t>金</w:t>
      </w:r>
      <w:r>
        <w:rPr/>
        <w:t>业协</w:t>
      </w:r>
      <w:r>
        <w:rPr>
          <w:spacing w:val="-3"/>
        </w:rPr>
        <w:t>会</w:t>
      </w:r>
      <w:r>
        <w:rPr/>
        <w:t>估</w:t>
      </w:r>
      <w:r>
        <w:rPr>
          <w:spacing w:val="-3"/>
        </w:rPr>
        <w:t>值</w:t>
      </w:r>
      <w:r>
        <w:rPr/>
        <w:t>核</w:t>
      </w:r>
      <w:r>
        <w:rPr>
          <w:spacing w:val="-3"/>
        </w:rPr>
        <w:t>算</w:t>
      </w:r>
      <w:r>
        <w:rPr/>
        <w:t>工</w:t>
      </w:r>
      <w:r>
        <w:rPr>
          <w:spacing w:val="-3"/>
        </w:rPr>
        <w:t>作</w:t>
      </w:r>
      <w:r>
        <w:rPr/>
        <w:t>小</w:t>
      </w:r>
      <w:r>
        <w:rPr>
          <w:spacing w:val="-3"/>
        </w:rPr>
        <w:t>组</w:t>
      </w:r>
      <w:r>
        <w:rPr/>
        <w:t>建议</w:t>
      </w:r>
      <w:r>
        <w:rPr>
          <w:spacing w:val="-3"/>
        </w:rPr>
        <w:t>的</w:t>
      </w:r>
      <w:r>
        <w:rPr/>
        <w:t>估</w:t>
      </w:r>
      <w:r>
        <w:rPr>
          <w:spacing w:val="-3"/>
        </w:rPr>
        <w:t>值</w:t>
      </w:r>
      <w:r>
        <w:rPr/>
        <w:t>处</w:t>
      </w:r>
      <w:r>
        <w:rPr>
          <w:spacing w:val="-3"/>
        </w:rPr>
        <w:t>理</w:t>
      </w:r>
      <w:r>
        <w:rPr/>
        <w:t>标准确</w:t>
      </w:r>
      <w:r>
        <w:rPr>
          <w:spacing w:val="-3"/>
        </w:rPr>
        <w:t>定</w:t>
      </w:r>
      <w:r>
        <w:rPr/>
        <w:t>的</w:t>
      </w:r>
      <w:r>
        <w:rPr>
          <w:spacing w:val="-3"/>
        </w:rPr>
        <w:t>货</w:t>
      </w:r>
      <w:r>
        <w:rPr/>
        <w:t>币</w:t>
      </w:r>
      <w:r>
        <w:rPr>
          <w:spacing w:val="-3"/>
        </w:rPr>
        <w:t>市</w:t>
      </w:r>
      <w:r>
        <w:rPr/>
        <w:t>场</w:t>
      </w:r>
      <w:r>
        <w:rPr>
          <w:spacing w:val="-3"/>
        </w:rPr>
        <w:t>基</w:t>
      </w:r>
      <w:r>
        <w:rPr/>
        <w:t>金</w:t>
      </w:r>
      <w:r>
        <w:rPr>
          <w:spacing w:val="-3"/>
        </w:rPr>
        <w:t>各</w:t>
      </w:r>
      <w:r>
        <w:rPr/>
        <w:t>投资</w:t>
      </w:r>
      <w:r>
        <w:rPr>
          <w:spacing w:val="-3"/>
        </w:rPr>
        <w:t>品</w:t>
      </w:r>
      <w:r>
        <w:rPr/>
        <w:t>种</w:t>
      </w:r>
      <w:r>
        <w:rPr>
          <w:spacing w:val="-3"/>
        </w:rPr>
        <w:t>的</w:t>
      </w:r>
      <w:r>
        <w:rPr/>
        <w:t>估</w:t>
      </w:r>
      <w:r>
        <w:rPr>
          <w:spacing w:val="-3"/>
        </w:rPr>
        <w:t>值</w:t>
      </w:r>
      <w:r>
        <w:rPr/>
        <w:t>。</w:t>
      </w:r>
    </w:p>
    <w:p>
      <w:pPr>
        <w:spacing w:after="0" w:line="417" w:lineRule="auto"/>
        <w:sectPr>
          <w:pgSz w:w="11910" w:h="16840"/>
          <w:pgMar w:header="877" w:footer="995" w:top="1280" w:bottom="1180" w:left="1020" w:right="900"/>
        </w:sectPr>
      </w:pPr>
    </w:p>
    <w:p>
      <w:pPr>
        <w:pStyle w:val="BodyText"/>
        <w:spacing w:before="7"/>
        <w:rPr>
          <w:sz w:val="12"/>
        </w:rPr>
      </w:pPr>
    </w:p>
    <w:p>
      <w:pPr>
        <w:pStyle w:val="BodyText"/>
        <w:tabs>
          <w:tab w:pos="2924" w:val="left" w:leader="none"/>
        </w:tabs>
        <w:spacing w:line="417" w:lineRule="auto" w:before="71"/>
        <w:ind w:left="2924" w:right="754" w:hanging="2346"/>
      </w:pPr>
      <w:r>
        <w:rPr/>
        <w:t>偏离</w:t>
      </w:r>
      <w:r>
        <w:rPr>
          <w:spacing w:val="-3"/>
        </w:rPr>
        <w:t>度</w:t>
      </w:r>
      <w:r>
        <w:rPr/>
        <w:t>：</w:t>
        <w:tab/>
        <w:t>指影</w:t>
      </w:r>
      <w:r>
        <w:rPr>
          <w:spacing w:val="-3"/>
        </w:rPr>
        <w:t>子</w:t>
      </w:r>
      <w:r>
        <w:rPr/>
        <w:t>定</w:t>
      </w:r>
      <w:r>
        <w:rPr>
          <w:spacing w:val="-3"/>
        </w:rPr>
        <w:t>价</w:t>
      </w:r>
      <w:r>
        <w:rPr/>
        <w:t>与</w:t>
      </w:r>
      <w:r>
        <w:rPr>
          <w:spacing w:val="-3"/>
        </w:rPr>
        <w:t>摊</w:t>
      </w:r>
      <w:r>
        <w:rPr/>
        <w:t>余</w:t>
      </w:r>
      <w:r>
        <w:rPr>
          <w:spacing w:val="-3"/>
        </w:rPr>
        <w:t>成</w:t>
      </w:r>
      <w:r>
        <w:rPr/>
        <w:t>本</w:t>
      </w:r>
      <w:r>
        <w:rPr>
          <w:spacing w:val="-3"/>
        </w:rPr>
        <w:t>法</w:t>
      </w:r>
      <w:r>
        <w:rPr/>
        <w:t>确定</w:t>
      </w:r>
      <w:r>
        <w:rPr>
          <w:spacing w:val="-3"/>
        </w:rPr>
        <w:t>的</w:t>
      </w:r>
      <w:r>
        <w:rPr/>
        <w:t>基</w:t>
      </w:r>
      <w:r>
        <w:rPr>
          <w:spacing w:val="-3"/>
        </w:rPr>
        <w:t>金</w:t>
      </w:r>
      <w:r>
        <w:rPr/>
        <w:t>资</w:t>
      </w:r>
      <w:r>
        <w:rPr>
          <w:spacing w:val="-3"/>
        </w:rPr>
        <w:t>产</w:t>
      </w:r>
      <w:r>
        <w:rPr/>
        <w:t>净</w:t>
      </w:r>
      <w:r>
        <w:rPr>
          <w:spacing w:val="-3"/>
        </w:rPr>
        <w:t>值</w:t>
      </w:r>
      <w:r>
        <w:rPr/>
        <w:t>的</w:t>
      </w:r>
      <w:r>
        <w:rPr>
          <w:spacing w:val="-3"/>
        </w:rPr>
        <w:t>差</w:t>
      </w:r>
      <w:r>
        <w:rPr/>
        <w:t>额占</w:t>
      </w:r>
      <w:r>
        <w:rPr>
          <w:spacing w:val="-3"/>
        </w:rPr>
        <w:t>摊</w:t>
      </w:r>
      <w:r>
        <w:rPr/>
        <w:t>余</w:t>
      </w:r>
      <w:r>
        <w:rPr>
          <w:spacing w:val="-3"/>
        </w:rPr>
        <w:t>成</w:t>
      </w:r>
      <w:r>
        <w:rPr/>
        <w:t>本</w:t>
      </w:r>
      <w:r>
        <w:rPr>
          <w:spacing w:val="-3"/>
        </w:rPr>
        <w:t>法</w:t>
      </w:r>
      <w:r>
        <w:rPr/>
        <w:t>确定的</w:t>
      </w:r>
      <w:r>
        <w:rPr>
          <w:spacing w:val="-3"/>
        </w:rPr>
        <w:t>基</w:t>
      </w:r>
      <w:r>
        <w:rPr/>
        <w:t>金</w:t>
      </w:r>
      <w:r>
        <w:rPr>
          <w:spacing w:val="-3"/>
        </w:rPr>
        <w:t>资</w:t>
      </w:r>
      <w:r>
        <w:rPr/>
        <w:t>产</w:t>
      </w:r>
      <w:r>
        <w:rPr>
          <w:spacing w:val="-3"/>
        </w:rPr>
        <w:t>净</w:t>
      </w:r>
      <w:r>
        <w:rPr/>
        <w:t>值</w:t>
      </w:r>
      <w:r>
        <w:rPr>
          <w:spacing w:val="-3"/>
        </w:rPr>
        <w:t>的</w:t>
      </w:r>
      <w:r>
        <w:rPr/>
        <w:t>比</w:t>
      </w:r>
      <w:r>
        <w:rPr>
          <w:spacing w:val="-3"/>
        </w:rPr>
        <w:t>例</w:t>
      </w:r>
      <w:r>
        <w:rPr/>
        <w:t>。</w:t>
      </w:r>
    </w:p>
    <w:p>
      <w:pPr>
        <w:pStyle w:val="BodyText"/>
        <w:tabs>
          <w:tab w:pos="2924" w:val="left" w:leader="none"/>
        </w:tabs>
        <w:spacing w:line="417" w:lineRule="auto"/>
        <w:ind w:left="2924" w:right="651" w:hanging="2346"/>
      </w:pPr>
      <w:r>
        <w:rPr/>
        <w:t>流动</w:t>
      </w:r>
      <w:r>
        <w:rPr>
          <w:spacing w:val="-3"/>
        </w:rPr>
        <w:t>性</w:t>
      </w:r>
      <w:r>
        <w:rPr/>
        <w:t>受</w:t>
      </w:r>
      <w:r>
        <w:rPr>
          <w:spacing w:val="-3"/>
        </w:rPr>
        <w:t>限</w:t>
      </w:r>
      <w:r>
        <w:rPr/>
        <w:t>资</w:t>
      </w:r>
      <w:r>
        <w:rPr>
          <w:spacing w:val="-3"/>
        </w:rPr>
        <w:t>产</w:t>
      </w:r>
      <w:r>
        <w:rPr/>
        <w:t>：</w:t>
        <w:tab/>
        <w:t>指由</w:t>
      </w:r>
      <w:r>
        <w:rPr>
          <w:spacing w:val="-3"/>
        </w:rPr>
        <w:t>于</w:t>
      </w:r>
      <w:r>
        <w:rPr/>
        <w:t>法</w:t>
      </w:r>
      <w:r>
        <w:rPr>
          <w:spacing w:val="-3"/>
        </w:rPr>
        <w:t>律</w:t>
      </w:r>
      <w:r>
        <w:rPr/>
        <w:t>法</w:t>
      </w:r>
      <w:r>
        <w:rPr>
          <w:spacing w:val="-3"/>
        </w:rPr>
        <w:t>规</w:t>
      </w:r>
      <w:r>
        <w:rPr/>
        <w:t>、</w:t>
      </w:r>
      <w:r>
        <w:rPr>
          <w:spacing w:val="-3"/>
        </w:rPr>
        <w:t>监</w:t>
      </w:r>
      <w:r>
        <w:rPr/>
        <w:t>管</w:t>
      </w:r>
      <w:r>
        <w:rPr>
          <w:spacing w:val="-3"/>
        </w:rPr>
        <w:t>、</w:t>
      </w:r>
      <w:r>
        <w:rPr/>
        <w:t>合同</w:t>
      </w:r>
      <w:r>
        <w:rPr>
          <w:spacing w:val="-3"/>
        </w:rPr>
        <w:t>或</w:t>
      </w:r>
      <w:r>
        <w:rPr/>
        <w:t>操</w:t>
      </w:r>
      <w:r>
        <w:rPr>
          <w:spacing w:val="-3"/>
        </w:rPr>
        <w:t>作</w:t>
      </w:r>
      <w:r>
        <w:rPr/>
        <w:t>障</w:t>
      </w:r>
      <w:r>
        <w:rPr>
          <w:spacing w:val="-3"/>
        </w:rPr>
        <w:t>碍</w:t>
      </w:r>
      <w:r>
        <w:rPr/>
        <w:t>等</w:t>
      </w:r>
      <w:r>
        <w:rPr>
          <w:spacing w:val="-3"/>
        </w:rPr>
        <w:t>原</w:t>
      </w:r>
      <w:r>
        <w:rPr/>
        <w:t>因</w:t>
      </w:r>
      <w:r>
        <w:rPr>
          <w:spacing w:val="-3"/>
        </w:rPr>
        <w:t>无</w:t>
      </w:r>
      <w:r>
        <w:rPr/>
        <w:t>法以</w:t>
      </w:r>
      <w:r>
        <w:rPr>
          <w:spacing w:val="-3"/>
        </w:rPr>
        <w:t>合</w:t>
      </w:r>
      <w:r>
        <w:rPr/>
        <w:t>理</w:t>
      </w:r>
      <w:r>
        <w:rPr>
          <w:spacing w:val="-3"/>
        </w:rPr>
        <w:t>价</w:t>
      </w:r>
      <w:r>
        <w:rPr/>
        <w:t>格</w:t>
      </w:r>
      <w:r>
        <w:rPr>
          <w:spacing w:val="-3"/>
        </w:rPr>
        <w:t>予</w:t>
      </w:r>
      <w:r>
        <w:rPr/>
        <w:t>以变现</w:t>
      </w:r>
      <w:r>
        <w:rPr>
          <w:spacing w:val="-3"/>
        </w:rPr>
        <w:t>的</w:t>
      </w:r>
      <w:r>
        <w:rPr/>
        <w:t>资</w:t>
      </w:r>
      <w:r>
        <w:rPr>
          <w:spacing w:val="-3"/>
        </w:rPr>
        <w:t>产</w:t>
      </w:r>
      <w:r>
        <w:rPr>
          <w:spacing w:val="-41"/>
        </w:rPr>
        <w:t>，</w:t>
      </w:r>
      <w:r>
        <w:rPr>
          <w:spacing w:val="-3"/>
        </w:rPr>
        <w:t>包</w:t>
      </w:r>
      <w:r>
        <w:rPr/>
        <w:t>括</w:t>
      </w:r>
      <w:r>
        <w:rPr>
          <w:spacing w:val="-3"/>
        </w:rPr>
        <w:t>但</w:t>
      </w:r>
      <w:r>
        <w:rPr/>
        <w:t>不</w:t>
      </w:r>
      <w:r>
        <w:rPr>
          <w:spacing w:val="-3"/>
        </w:rPr>
        <w:t>限</w:t>
      </w:r>
      <w:r>
        <w:rPr/>
        <w:t>于到</w:t>
      </w:r>
      <w:r>
        <w:rPr>
          <w:spacing w:val="-3"/>
        </w:rPr>
        <w:t>期日</w:t>
      </w:r>
      <w:r>
        <w:rPr/>
        <w:t>在</w:t>
      </w:r>
      <w:r>
        <w:rPr>
          <w:spacing w:val="-42"/>
        </w:rPr>
        <w:t> </w:t>
      </w:r>
      <w:r>
        <w:rPr>
          <w:rFonts w:ascii="Times New Roman" w:eastAsia="Times New Roman"/>
        </w:rPr>
        <w:t>10</w:t>
      </w:r>
      <w:r>
        <w:rPr>
          <w:rFonts w:ascii="Times New Roman" w:eastAsia="Times New Roman"/>
          <w:spacing w:val="8"/>
        </w:rPr>
        <w:t> </w:t>
      </w:r>
      <w:r>
        <w:rPr/>
        <w:t>个</w:t>
      </w:r>
      <w:r>
        <w:rPr>
          <w:spacing w:val="-3"/>
        </w:rPr>
        <w:t>交</w:t>
      </w:r>
      <w:r>
        <w:rPr/>
        <w:t>易</w:t>
      </w:r>
      <w:r>
        <w:rPr>
          <w:spacing w:val="-3"/>
        </w:rPr>
        <w:t>日以</w:t>
      </w:r>
      <w:r>
        <w:rPr/>
        <w:t>上的</w:t>
      </w:r>
      <w:r>
        <w:rPr>
          <w:spacing w:val="-3"/>
        </w:rPr>
        <w:t>逆</w:t>
      </w:r>
      <w:r>
        <w:rPr/>
        <w:t>回</w:t>
      </w:r>
      <w:r>
        <w:rPr>
          <w:spacing w:val="-3"/>
        </w:rPr>
        <w:t>购</w:t>
      </w:r>
      <w:r>
        <w:rPr/>
        <w:t>与</w:t>
      </w:r>
      <w:r>
        <w:rPr>
          <w:spacing w:val="-3"/>
        </w:rPr>
        <w:t>银</w:t>
      </w:r>
      <w:r>
        <w:rPr/>
        <w:t>行定期</w:t>
      </w:r>
      <w:r>
        <w:rPr>
          <w:spacing w:val="-3"/>
        </w:rPr>
        <w:t>存</w:t>
      </w:r>
      <w:r>
        <w:rPr/>
        <w:t>款</w:t>
      </w:r>
      <w:r>
        <w:rPr>
          <w:spacing w:val="-3"/>
        </w:rPr>
        <w:t>（</w:t>
      </w:r>
      <w:r>
        <w:rPr/>
        <w:t>含</w:t>
      </w:r>
      <w:r>
        <w:rPr>
          <w:spacing w:val="-3"/>
        </w:rPr>
        <w:t>协</w:t>
      </w:r>
      <w:r>
        <w:rPr/>
        <w:t>议</w:t>
      </w:r>
      <w:r>
        <w:rPr>
          <w:spacing w:val="-3"/>
        </w:rPr>
        <w:t>约</w:t>
      </w:r>
      <w:r>
        <w:rPr/>
        <w:t>定</w:t>
      </w:r>
      <w:r>
        <w:rPr>
          <w:spacing w:val="-3"/>
        </w:rPr>
        <w:t>有</w:t>
      </w:r>
      <w:r>
        <w:rPr/>
        <w:t>条件</w:t>
      </w:r>
      <w:r>
        <w:rPr>
          <w:spacing w:val="-3"/>
        </w:rPr>
        <w:t>提</w:t>
      </w:r>
      <w:r>
        <w:rPr/>
        <w:t>前</w:t>
      </w:r>
      <w:r>
        <w:rPr>
          <w:spacing w:val="-3"/>
        </w:rPr>
        <w:t>支</w:t>
      </w:r>
      <w:r>
        <w:rPr/>
        <w:t>取</w:t>
      </w:r>
      <w:r>
        <w:rPr>
          <w:spacing w:val="-3"/>
        </w:rPr>
        <w:t>的</w:t>
      </w:r>
      <w:r>
        <w:rPr/>
        <w:t>银</w:t>
      </w:r>
      <w:r>
        <w:rPr>
          <w:spacing w:val="-3"/>
        </w:rPr>
        <w:t>行</w:t>
      </w:r>
      <w:r>
        <w:rPr/>
        <w:t>存</w:t>
      </w:r>
      <w:r>
        <w:rPr>
          <w:spacing w:val="-3"/>
        </w:rPr>
        <w:t>款</w:t>
      </w:r>
      <w:r>
        <w:rPr>
          <w:spacing w:val="-108"/>
        </w:rPr>
        <w:t>）</w:t>
      </w:r>
      <w:r>
        <w:rPr/>
        <w:t>、资</w:t>
      </w:r>
      <w:r>
        <w:rPr>
          <w:spacing w:val="-3"/>
        </w:rPr>
        <w:t>产</w:t>
      </w:r>
      <w:r>
        <w:rPr/>
        <w:t>支</w:t>
      </w:r>
      <w:r>
        <w:rPr>
          <w:spacing w:val="-3"/>
        </w:rPr>
        <w:t>持</w:t>
      </w:r>
      <w:r>
        <w:rPr/>
        <w:t>证</w:t>
      </w:r>
      <w:r>
        <w:rPr>
          <w:spacing w:val="-3"/>
        </w:rPr>
        <w:t>券</w:t>
      </w:r>
      <w:r>
        <w:rPr/>
        <w:t>、因发</w:t>
      </w:r>
      <w:r>
        <w:rPr>
          <w:spacing w:val="-3"/>
        </w:rPr>
        <w:t>行</w:t>
      </w:r>
      <w:r>
        <w:rPr/>
        <w:t>人</w:t>
      </w:r>
      <w:r>
        <w:rPr>
          <w:spacing w:val="-3"/>
        </w:rPr>
        <w:t>债</w:t>
      </w:r>
      <w:r>
        <w:rPr/>
        <w:t>务</w:t>
      </w:r>
      <w:r>
        <w:rPr>
          <w:spacing w:val="-3"/>
        </w:rPr>
        <w:t>违</w:t>
      </w:r>
      <w:r>
        <w:rPr/>
        <w:t>约</w:t>
      </w:r>
      <w:r>
        <w:rPr>
          <w:spacing w:val="-3"/>
        </w:rPr>
        <w:t>无</w:t>
      </w:r>
      <w:r>
        <w:rPr/>
        <w:t>法</w:t>
      </w:r>
      <w:r>
        <w:rPr>
          <w:spacing w:val="-3"/>
        </w:rPr>
        <w:t>进</w:t>
      </w:r>
      <w:r>
        <w:rPr/>
        <w:t>行转</w:t>
      </w:r>
      <w:r>
        <w:rPr>
          <w:spacing w:val="-3"/>
        </w:rPr>
        <w:t>让</w:t>
      </w:r>
      <w:r>
        <w:rPr/>
        <w:t>或</w:t>
      </w:r>
      <w:r>
        <w:rPr>
          <w:spacing w:val="-3"/>
        </w:rPr>
        <w:t>交</w:t>
      </w:r>
      <w:r>
        <w:rPr/>
        <w:t>易</w:t>
      </w:r>
      <w:r>
        <w:rPr>
          <w:spacing w:val="-3"/>
        </w:rPr>
        <w:t>的</w:t>
      </w:r>
      <w:r>
        <w:rPr/>
        <w:t>债</w:t>
      </w:r>
      <w:r>
        <w:rPr>
          <w:spacing w:val="-3"/>
        </w:rPr>
        <w:t>券</w:t>
      </w:r>
      <w:r>
        <w:rPr/>
        <w:t>等</w:t>
      </w:r>
      <w:r>
        <w:rPr>
          <w:spacing w:val="-3"/>
        </w:rPr>
        <w:t>；</w:t>
      </w:r>
      <w:r>
        <w:rPr/>
        <w:t>就本</w:t>
      </w:r>
      <w:r>
        <w:rPr>
          <w:spacing w:val="-3"/>
        </w:rPr>
        <w:t>基</w:t>
      </w:r>
      <w:r>
        <w:rPr/>
        <w:t>金</w:t>
      </w:r>
      <w:r>
        <w:rPr>
          <w:spacing w:val="-3"/>
        </w:rPr>
        <w:t>而</w:t>
      </w:r>
      <w:r>
        <w:rPr/>
        <w:t>言</w:t>
      </w:r>
      <w:r>
        <w:rPr>
          <w:spacing w:val="-3"/>
        </w:rPr>
        <w:t>，</w:t>
      </w:r>
      <w:r>
        <w:rPr/>
        <w:t>指货币</w:t>
      </w:r>
      <w:r>
        <w:rPr>
          <w:spacing w:val="-3"/>
        </w:rPr>
        <w:t>市</w:t>
      </w:r>
      <w:r>
        <w:rPr/>
        <w:t>场</w:t>
      </w:r>
      <w:r>
        <w:rPr>
          <w:spacing w:val="-3"/>
        </w:rPr>
        <w:t>基</w:t>
      </w:r>
      <w:r>
        <w:rPr/>
        <w:t>金</w:t>
      </w:r>
      <w:r>
        <w:rPr>
          <w:spacing w:val="-3"/>
        </w:rPr>
        <w:t>依</w:t>
      </w:r>
      <w:r>
        <w:rPr/>
        <w:t>法</w:t>
      </w:r>
      <w:r>
        <w:rPr>
          <w:spacing w:val="-3"/>
        </w:rPr>
        <w:t>可</w:t>
      </w:r>
      <w:r>
        <w:rPr/>
        <w:t>投</w:t>
      </w:r>
      <w:r>
        <w:rPr>
          <w:spacing w:val="-3"/>
        </w:rPr>
        <w:t>资</w:t>
      </w:r>
      <w:r>
        <w:rPr/>
        <w:t>的符</w:t>
      </w:r>
      <w:r>
        <w:rPr>
          <w:spacing w:val="-3"/>
        </w:rPr>
        <w:t>合</w:t>
      </w:r>
      <w:r>
        <w:rPr/>
        <w:t>前</w:t>
      </w:r>
      <w:r>
        <w:rPr>
          <w:spacing w:val="-3"/>
        </w:rPr>
        <w:t>述</w:t>
      </w:r>
      <w:r>
        <w:rPr/>
        <w:t>条</w:t>
      </w:r>
      <w:r>
        <w:rPr>
          <w:spacing w:val="-3"/>
        </w:rPr>
        <w:t>件</w:t>
      </w:r>
      <w:r>
        <w:rPr/>
        <w:t>的</w:t>
      </w:r>
      <w:r>
        <w:rPr>
          <w:spacing w:val="-3"/>
        </w:rPr>
        <w:t>资</w:t>
      </w:r>
      <w:r>
        <w:rPr/>
        <w:t>产</w:t>
      </w:r>
      <w:r>
        <w:rPr>
          <w:spacing w:val="-3"/>
        </w:rPr>
        <w:t>，</w:t>
      </w:r>
      <w:r>
        <w:rPr/>
        <w:t>但中</w:t>
      </w:r>
      <w:r>
        <w:rPr>
          <w:spacing w:val="-3"/>
        </w:rPr>
        <w:t>国</w:t>
      </w:r>
      <w:r>
        <w:rPr/>
        <w:t>证</w:t>
      </w:r>
      <w:r>
        <w:rPr>
          <w:spacing w:val="-3"/>
        </w:rPr>
        <w:t>监</w:t>
      </w:r>
      <w:r>
        <w:rPr/>
        <w:t>会</w:t>
      </w:r>
      <w:r>
        <w:rPr>
          <w:spacing w:val="-3"/>
        </w:rPr>
        <w:t>认</w:t>
      </w:r>
      <w:r>
        <w:rPr/>
        <w:t>可的特</w:t>
      </w:r>
      <w:r>
        <w:rPr>
          <w:spacing w:val="-3"/>
        </w:rPr>
        <w:t>殊</w:t>
      </w:r>
      <w:r>
        <w:rPr/>
        <w:t>情</w:t>
      </w:r>
      <w:r>
        <w:rPr>
          <w:spacing w:val="-3"/>
        </w:rPr>
        <w:t>形</w:t>
      </w:r>
      <w:r>
        <w:rPr/>
        <w:t>除</w:t>
      </w:r>
      <w:r>
        <w:rPr>
          <w:spacing w:val="-3"/>
        </w:rPr>
        <w:t>外</w:t>
      </w:r>
      <w:r>
        <w:rPr/>
        <w:t>。</w:t>
      </w:r>
    </w:p>
    <w:p>
      <w:pPr>
        <w:pStyle w:val="BodyText"/>
        <w:tabs>
          <w:tab w:pos="2924" w:val="left" w:leader="none"/>
        </w:tabs>
        <w:spacing w:line="417" w:lineRule="auto"/>
        <w:ind w:left="2924" w:right="754" w:hanging="2346"/>
      </w:pPr>
      <w:r>
        <w:rPr/>
        <w:t>指定</w:t>
      </w:r>
      <w:r>
        <w:rPr>
          <w:spacing w:val="-3"/>
        </w:rPr>
        <w:t>媒</w:t>
      </w:r>
      <w:r>
        <w:rPr/>
        <w:t>介：</w:t>
        <w:tab/>
        <w:t>指中</w:t>
      </w:r>
      <w:r>
        <w:rPr>
          <w:spacing w:val="-3"/>
        </w:rPr>
        <w:t>国</w:t>
      </w:r>
      <w:r>
        <w:rPr/>
        <w:t>证</w:t>
      </w:r>
      <w:r>
        <w:rPr>
          <w:spacing w:val="-3"/>
        </w:rPr>
        <w:t>监</w:t>
      </w:r>
      <w:r>
        <w:rPr/>
        <w:t>会</w:t>
      </w:r>
      <w:r>
        <w:rPr>
          <w:spacing w:val="-3"/>
        </w:rPr>
        <w:t>指</w:t>
      </w:r>
      <w:r>
        <w:rPr/>
        <w:t>定</w:t>
      </w:r>
      <w:r>
        <w:rPr>
          <w:spacing w:val="-3"/>
        </w:rPr>
        <w:t>的</w:t>
      </w:r>
      <w:r>
        <w:rPr/>
        <w:t>用</w:t>
      </w:r>
      <w:r>
        <w:rPr>
          <w:spacing w:val="-3"/>
        </w:rPr>
        <w:t>以</w:t>
      </w:r>
      <w:r>
        <w:rPr/>
        <w:t>进行</w:t>
      </w:r>
      <w:r>
        <w:rPr>
          <w:spacing w:val="-3"/>
        </w:rPr>
        <w:t>信</w:t>
      </w:r>
      <w:r>
        <w:rPr/>
        <w:t>息</w:t>
      </w:r>
      <w:r>
        <w:rPr>
          <w:spacing w:val="-3"/>
        </w:rPr>
        <w:t>披</w:t>
      </w:r>
      <w:r>
        <w:rPr/>
        <w:t>露</w:t>
      </w:r>
      <w:r>
        <w:rPr>
          <w:spacing w:val="-3"/>
        </w:rPr>
        <w:t>的</w:t>
      </w:r>
      <w:r>
        <w:rPr/>
        <w:t>报</w:t>
      </w:r>
      <w:r>
        <w:rPr>
          <w:spacing w:val="-3"/>
        </w:rPr>
        <w:t>刊</w:t>
      </w:r>
      <w:r>
        <w:rPr/>
        <w:t>、</w:t>
      </w:r>
      <w:r>
        <w:rPr>
          <w:spacing w:val="-3"/>
        </w:rPr>
        <w:t>互</w:t>
      </w:r>
      <w:r>
        <w:rPr/>
        <w:t>联网</w:t>
      </w:r>
      <w:r>
        <w:rPr>
          <w:spacing w:val="-3"/>
        </w:rPr>
        <w:t>网</w:t>
      </w:r>
      <w:r>
        <w:rPr/>
        <w:t>站</w:t>
      </w:r>
      <w:r>
        <w:rPr>
          <w:spacing w:val="-3"/>
        </w:rPr>
        <w:t>及</w:t>
      </w:r>
      <w:r>
        <w:rPr/>
        <w:t>其</w:t>
      </w:r>
      <w:r>
        <w:rPr>
          <w:spacing w:val="-3"/>
        </w:rPr>
        <w:t>他</w:t>
      </w:r>
      <w:r>
        <w:rPr/>
        <w:t>媒介。</w:t>
      </w:r>
    </w:p>
    <w:p>
      <w:pPr>
        <w:pStyle w:val="BodyText"/>
        <w:spacing w:before="4"/>
        <w:rPr>
          <w:sz w:val="20"/>
        </w:rPr>
      </w:pPr>
    </w:p>
    <w:p>
      <w:pPr>
        <w:pStyle w:val="Heading1"/>
        <w:spacing w:before="1"/>
      </w:pPr>
      <w:bookmarkStart w:name="_bookmark2" w:id="3"/>
      <w:bookmarkEnd w:id="3"/>
      <w:r>
        <w:rPr>
          <w:b w:val="0"/>
        </w:rPr>
      </w:r>
      <w:r>
        <w:rPr/>
        <w:t>三、基金管理人</w:t>
      </w:r>
    </w:p>
    <w:p>
      <w:pPr>
        <w:pStyle w:val="BodyText"/>
        <w:rPr>
          <w:b/>
          <w:sz w:val="20"/>
        </w:rPr>
      </w:pPr>
    </w:p>
    <w:p>
      <w:pPr>
        <w:pStyle w:val="BodyText"/>
        <w:spacing w:before="7"/>
        <w:rPr>
          <w:b/>
          <w:sz w:val="15"/>
        </w:rPr>
      </w:pPr>
    </w:p>
    <w:p>
      <w:pPr>
        <w:pStyle w:val="BodyText"/>
        <w:ind w:left="1198"/>
      </w:pPr>
      <w:r>
        <w:rPr/>
        <w:t>（一）基金管理人概况</w:t>
      </w:r>
    </w:p>
    <w:p>
      <w:pPr>
        <w:pStyle w:val="BodyText"/>
        <w:spacing w:before="6"/>
        <w:rPr>
          <w:sz w:val="15"/>
        </w:rPr>
      </w:pPr>
    </w:p>
    <w:p>
      <w:pPr>
        <w:pStyle w:val="BodyText"/>
        <w:spacing w:before="1"/>
        <w:ind w:left="1198"/>
      </w:pPr>
      <w:r>
        <w:rPr/>
        <w:t>名称：华夏基金管理有限公司</w:t>
      </w:r>
    </w:p>
    <w:p>
      <w:pPr>
        <w:pStyle w:val="BodyText"/>
        <w:spacing w:before="7"/>
        <w:rPr>
          <w:sz w:val="15"/>
        </w:rPr>
      </w:pPr>
    </w:p>
    <w:p>
      <w:pPr>
        <w:pStyle w:val="BodyText"/>
        <w:ind w:left="1198"/>
      </w:pPr>
      <w:r>
        <w:rPr/>
        <w:t>住所：北京市顺义区安庆大街甲</w:t>
      </w:r>
      <w:r>
        <w:rPr>
          <w:rFonts w:ascii="Times New Roman" w:eastAsia="Times New Roman"/>
        </w:rPr>
        <w:t>3</w:t>
      </w:r>
      <w:r>
        <w:rPr/>
        <w:t>号院</w:t>
      </w:r>
    </w:p>
    <w:p>
      <w:pPr>
        <w:pStyle w:val="BodyText"/>
        <w:spacing w:before="6"/>
        <w:rPr>
          <w:sz w:val="15"/>
        </w:rPr>
      </w:pPr>
    </w:p>
    <w:p>
      <w:pPr>
        <w:pStyle w:val="BodyText"/>
        <w:spacing w:line="417" w:lineRule="auto"/>
        <w:ind w:left="1198" w:right="3707"/>
      </w:pPr>
      <w:r>
        <w:rPr/>
        <w:t>办公地址：北京市西城区金融大街</w:t>
      </w:r>
      <w:r>
        <w:rPr>
          <w:rFonts w:ascii="Times New Roman" w:eastAsia="Times New Roman"/>
        </w:rPr>
        <w:t>33</w:t>
      </w:r>
      <w:r>
        <w:rPr/>
        <w:t>号通泰大厦</w:t>
      </w:r>
      <w:r>
        <w:rPr>
          <w:rFonts w:ascii="Times New Roman" w:eastAsia="Times New Roman"/>
        </w:rPr>
        <w:t>B</w:t>
      </w:r>
      <w:r>
        <w:rPr/>
        <w:t>座</w:t>
      </w:r>
      <w:r>
        <w:rPr>
          <w:rFonts w:ascii="Times New Roman" w:eastAsia="Times New Roman"/>
        </w:rPr>
        <w:t>8</w:t>
      </w:r>
      <w:r>
        <w:rPr/>
        <w:t>层设立时间：</w:t>
      </w:r>
      <w:r>
        <w:rPr>
          <w:rFonts w:ascii="Times New Roman" w:eastAsia="Times New Roman"/>
        </w:rPr>
        <w:t>1998</w:t>
      </w:r>
      <w:r>
        <w:rPr/>
        <w:t>年</w:t>
      </w:r>
      <w:r>
        <w:rPr>
          <w:rFonts w:ascii="Times New Roman" w:eastAsia="Times New Roman"/>
        </w:rPr>
        <w:t>4</w:t>
      </w:r>
      <w:r>
        <w:rPr/>
        <w:t>月</w:t>
      </w:r>
      <w:r>
        <w:rPr>
          <w:rFonts w:ascii="Times New Roman" w:eastAsia="Times New Roman"/>
        </w:rPr>
        <w:t>9</w:t>
      </w:r>
      <w:r>
        <w:rPr/>
        <w:t>日</w:t>
      </w:r>
    </w:p>
    <w:p>
      <w:pPr>
        <w:pStyle w:val="BodyText"/>
        <w:spacing w:line="417" w:lineRule="auto"/>
        <w:ind w:left="1198" w:right="6892"/>
      </w:pPr>
      <w:r>
        <w:rPr/>
        <w:t>法定代表人：杨明辉联系人：邱曦</w:t>
      </w:r>
    </w:p>
    <w:p>
      <w:pPr>
        <w:pStyle w:val="BodyText"/>
        <w:spacing w:line="417" w:lineRule="auto"/>
        <w:ind w:left="1198" w:right="6124"/>
        <w:rPr>
          <w:rFonts w:ascii="Times New Roman" w:eastAsia="Times New Roman"/>
        </w:rPr>
      </w:pPr>
      <w:r>
        <w:rPr/>
        <w:t>客户服务电话：</w:t>
      </w:r>
      <w:r>
        <w:rPr>
          <w:rFonts w:ascii="Times New Roman" w:eastAsia="Times New Roman"/>
        </w:rPr>
        <w:t>400-818-6666 </w:t>
      </w:r>
      <w:r>
        <w:rPr/>
        <w:t>传真：</w:t>
      </w:r>
      <w:r>
        <w:rPr>
          <w:rFonts w:ascii="Times New Roman" w:eastAsia="Times New Roman"/>
        </w:rPr>
        <w:t>010-63136700</w:t>
      </w:r>
    </w:p>
    <w:p>
      <w:pPr>
        <w:pStyle w:val="BodyText"/>
        <w:ind w:left="1198"/>
      </w:pPr>
      <w:r>
        <w:rPr/>
        <w:pict>
          <v:group style="position:absolute;margin-left:120.5pt;margin-top:18.420pt;width:354.45pt;height:74.8pt;mso-position-horizontal-relative:page;mso-position-vertical-relative:paragraph;z-index:-260628480" coordorigin="2410,368" coordsize="7089,1496">
            <v:line style="position:absolute" from="2410,383" to="7367,383" stroked="true" strokeweight="1.44pt" strokecolor="#000000">
              <v:stroke dashstyle="solid"/>
            </v:line>
            <v:shape style="position:absolute;left:7367;top:397;width:10;height:3" type="#_x0000_t75" stroked="false">
              <v:imagedata r:id="rId7" o:title=""/>
            </v:shape>
            <v:rect style="position:absolute;left:7367;top:368;width:29;height:29" filled="true" fillcolor="#000000" stroked="false">
              <v:fill type="solid"/>
            </v:rect>
            <v:line style="position:absolute" from="7396,383" to="9499,383" stroked="true" strokeweight="1.44pt" strokecolor="#000000">
              <v:stroke dashstyle="solid"/>
            </v:line>
            <v:shape style="position:absolute;left:7367;top:399;width:2132;height:1431" type="#_x0000_t75" stroked="false">
              <v:imagedata r:id="rId8" o:title=""/>
            </v:shape>
            <v:shape style="position:absolute;left:7376;top:1854;width:2123;height:10" type="#_x0000_t75" stroked="false">
              <v:imagedata r:id="rId9" o:title=""/>
            </v:shape>
            <v:shape style="position:absolute;left:4469;top:527;width:865;height:212" type="#_x0000_t202" filled="false" stroked="false">
              <v:textbox inset="0,0,0,0">
                <w:txbxContent>
                  <w:p>
                    <w:pPr>
                      <w:spacing w:line="211" w:lineRule="exact" w:before="0"/>
                      <w:ind w:left="0" w:right="0" w:firstLine="0"/>
                      <w:jc w:val="left"/>
                      <w:rPr>
                        <w:b/>
                        <w:sz w:val="21"/>
                      </w:rPr>
                    </w:pPr>
                    <w:r>
                      <w:rPr>
                        <w:b/>
                        <w:sz w:val="21"/>
                      </w:rPr>
                      <w:t>持股单位</w:t>
                    </w:r>
                  </w:p>
                </w:txbxContent>
              </v:textbox>
              <w10:wrap type="none"/>
            </v:shape>
            <v:shape style="position:absolute;left:7590;top:527;width:1710;height:212" type="#_x0000_t202" filled="false" stroked="false">
              <v:textbox inset="0,0,0,0">
                <w:txbxContent>
                  <w:p>
                    <w:pPr>
                      <w:spacing w:line="211" w:lineRule="exact" w:before="0"/>
                      <w:ind w:left="0" w:right="0" w:firstLine="0"/>
                      <w:jc w:val="left"/>
                      <w:rPr>
                        <w:b/>
                        <w:sz w:val="21"/>
                      </w:rPr>
                    </w:pPr>
                    <w:r>
                      <w:rPr>
                        <w:b/>
                        <w:sz w:val="21"/>
                      </w:rPr>
                      <w:t>持股占总股本比例</w:t>
                    </w:r>
                  </w:p>
                </w:txbxContent>
              </v:textbox>
              <w10:wrap type="none"/>
            </v:shape>
            <w10:wrap type="none"/>
          </v:group>
        </w:pict>
      </w:r>
      <w:r>
        <w:rPr/>
        <w:t>华夏基金管理有限公司注册资本为</w:t>
      </w:r>
      <w:r>
        <w:rPr>
          <w:rFonts w:ascii="Times New Roman" w:eastAsia="Times New Roman"/>
        </w:rPr>
        <w:t>23800</w:t>
      </w:r>
      <w:r>
        <w:rPr/>
        <w:t>万元，公司股权结构如下：</w:t>
      </w:r>
    </w:p>
    <w:p>
      <w:pPr>
        <w:pStyle w:val="BodyText"/>
        <w:rPr>
          <w:sz w:val="20"/>
        </w:rPr>
      </w:pPr>
    </w:p>
    <w:p>
      <w:pPr>
        <w:pStyle w:val="BodyText"/>
        <w:spacing w:before="1"/>
        <w:rPr>
          <w:sz w:val="27"/>
        </w:rPr>
      </w:pPr>
    </w:p>
    <w:tbl>
      <w:tblPr>
        <w:tblW w:w="0" w:type="auto"/>
        <w:jc w:val="left"/>
        <w:tblInd w:w="1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70"/>
        <w:gridCol w:w="1387"/>
      </w:tblGrid>
      <w:tr>
        <w:trPr>
          <w:trHeight w:val="319" w:hRule="atLeast"/>
        </w:trPr>
        <w:tc>
          <w:tcPr>
            <w:tcW w:w="4970" w:type="dxa"/>
            <w:tcBorders>
              <w:top w:val="single" w:sz="4" w:space="0" w:color="000000"/>
              <w:bottom w:val="single" w:sz="4" w:space="0" w:color="000000"/>
            </w:tcBorders>
          </w:tcPr>
          <w:p>
            <w:pPr>
              <w:pStyle w:val="TableParagraph"/>
              <w:spacing w:line="258" w:lineRule="exact" w:before="41"/>
              <w:ind w:left="115"/>
              <w:rPr>
                <w:rFonts w:ascii="宋体" w:eastAsia="宋体" w:hint="eastAsia"/>
                <w:sz w:val="21"/>
              </w:rPr>
            </w:pPr>
            <w:r>
              <w:rPr>
                <w:rFonts w:ascii="宋体" w:eastAsia="宋体" w:hint="eastAsia"/>
                <w:sz w:val="21"/>
              </w:rPr>
              <w:t>中信证券股份有限公司</w:t>
            </w:r>
          </w:p>
        </w:tc>
        <w:tc>
          <w:tcPr>
            <w:tcW w:w="1387" w:type="dxa"/>
          </w:tcPr>
          <w:p>
            <w:pPr>
              <w:pStyle w:val="TableParagraph"/>
              <w:spacing w:before="53"/>
              <w:ind w:right="48"/>
              <w:jc w:val="right"/>
              <w:rPr>
                <w:sz w:val="21"/>
              </w:rPr>
            </w:pPr>
            <w:r>
              <w:rPr>
                <w:sz w:val="21"/>
              </w:rPr>
              <w:t>62.2%</w:t>
            </w:r>
          </w:p>
        </w:tc>
      </w:tr>
      <w:tr>
        <w:trPr>
          <w:trHeight w:val="311" w:hRule="atLeast"/>
        </w:trPr>
        <w:tc>
          <w:tcPr>
            <w:tcW w:w="4970" w:type="dxa"/>
            <w:tcBorders>
              <w:top w:val="single" w:sz="4" w:space="0" w:color="000000"/>
              <w:bottom w:val="single" w:sz="4" w:space="0" w:color="000000"/>
            </w:tcBorders>
          </w:tcPr>
          <w:p>
            <w:pPr>
              <w:pStyle w:val="TableParagraph"/>
              <w:spacing w:before="47"/>
              <w:ind w:left="115"/>
              <w:rPr>
                <w:sz w:val="21"/>
              </w:rPr>
            </w:pPr>
            <w:r>
              <w:rPr>
                <w:sz w:val="21"/>
              </w:rPr>
              <w:t>POWER CORPORATION OF CANADA</w:t>
            </w:r>
          </w:p>
        </w:tc>
        <w:tc>
          <w:tcPr>
            <w:tcW w:w="1387" w:type="dxa"/>
          </w:tcPr>
          <w:p>
            <w:pPr>
              <w:pStyle w:val="TableParagraph"/>
              <w:spacing w:before="47"/>
              <w:ind w:right="48"/>
              <w:jc w:val="right"/>
              <w:rPr>
                <w:sz w:val="21"/>
              </w:rPr>
            </w:pPr>
            <w:r>
              <w:rPr>
                <w:sz w:val="21"/>
              </w:rPr>
              <w:t>13.9%</w:t>
            </w:r>
          </w:p>
        </w:tc>
      </w:tr>
      <w:tr>
        <w:trPr>
          <w:trHeight w:val="324" w:hRule="atLeast"/>
        </w:trPr>
        <w:tc>
          <w:tcPr>
            <w:tcW w:w="4970" w:type="dxa"/>
            <w:tcBorders>
              <w:top w:val="single" w:sz="4" w:space="0" w:color="000000"/>
              <w:bottom w:val="single" w:sz="4" w:space="0" w:color="000000"/>
            </w:tcBorders>
          </w:tcPr>
          <w:p>
            <w:pPr>
              <w:pStyle w:val="TableParagraph"/>
              <w:spacing w:before="63"/>
              <w:ind w:left="115"/>
              <w:rPr>
                <w:sz w:val="18"/>
              </w:rPr>
            </w:pPr>
            <w:r>
              <w:rPr>
                <w:sz w:val="18"/>
              </w:rPr>
              <w:t>MACKENZIE FINANCIAL CORPORATION</w:t>
            </w:r>
          </w:p>
        </w:tc>
        <w:tc>
          <w:tcPr>
            <w:tcW w:w="1387" w:type="dxa"/>
          </w:tcPr>
          <w:p>
            <w:pPr>
              <w:pStyle w:val="TableParagraph"/>
              <w:spacing w:before="47"/>
              <w:ind w:right="48"/>
              <w:jc w:val="right"/>
              <w:rPr>
                <w:sz w:val="21"/>
              </w:rPr>
            </w:pPr>
            <w:r>
              <w:rPr>
                <w:sz w:val="21"/>
              </w:rPr>
              <w:t>13.9%</w:t>
            </w:r>
          </w:p>
        </w:tc>
      </w:tr>
      <w:tr>
        <w:trPr>
          <w:trHeight w:val="311" w:hRule="atLeast"/>
        </w:trPr>
        <w:tc>
          <w:tcPr>
            <w:tcW w:w="4970" w:type="dxa"/>
            <w:tcBorders>
              <w:top w:val="single" w:sz="4" w:space="0" w:color="000000"/>
              <w:bottom w:val="single" w:sz="4" w:space="0" w:color="000000"/>
              <w:right w:val="single" w:sz="4" w:space="0" w:color="000000"/>
            </w:tcBorders>
          </w:tcPr>
          <w:p>
            <w:pPr>
              <w:pStyle w:val="TableParagraph"/>
              <w:ind w:left="115"/>
              <w:rPr>
                <w:rFonts w:ascii="宋体" w:eastAsia="宋体" w:hint="eastAsia"/>
                <w:sz w:val="21"/>
              </w:rPr>
            </w:pPr>
            <w:r>
              <w:rPr>
                <w:rFonts w:ascii="宋体" w:eastAsia="宋体" w:hint="eastAsia"/>
                <w:sz w:val="21"/>
              </w:rPr>
              <w:t>天津海鹏科技咨询有限公司</w:t>
            </w:r>
          </w:p>
        </w:tc>
        <w:tc>
          <w:tcPr>
            <w:tcW w:w="1387" w:type="dxa"/>
            <w:tcBorders>
              <w:left w:val="single" w:sz="4" w:space="0" w:color="000000"/>
            </w:tcBorders>
          </w:tcPr>
          <w:p>
            <w:pPr>
              <w:pStyle w:val="TableParagraph"/>
              <w:spacing w:before="34"/>
              <w:ind w:right="127"/>
              <w:jc w:val="right"/>
              <w:rPr>
                <w:sz w:val="21"/>
              </w:rPr>
            </w:pPr>
            <w:r>
              <w:rPr>
                <w:sz w:val="21"/>
              </w:rPr>
              <w:t>10%</w:t>
            </w:r>
          </w:p>
        </w:tc>
      </w:tr>
      <w:tr>
        <w:trPr>
          <w:trHeight w:val="484" w:hRule="atLeast"/>
        </w:trPr>
        <w:tc>
          <w:tcPr>
            <w:tcW w:w="4970" w:type="dxa"/>
            <w:tcBorders>
              <w:top w:val="single" w:sz="4" w:space="0" w:color="000000"/>
              <w:right w:val="single" w:sz="4" w:space="0" w:color="000000"/>
            </w:tcBorders>
          </w:tcPr>
          <w:p>
            <w:pPr>
              <w:pStyle w:val="TableParagraph"/>
              <w:spacing w:before="99"/>
              <w:ind w:left="2256" w:right="2247"/>
              <w:jc w:val="center"/>
              <w:rPr>
                <w:rFonts w:ascii="宋体" w:eastAsia="宋体" w:hint="eastAsia"/>
                <w:b/>
                <w:sz w:val="21"/>
              </w:rPr>
            </w:pPr>
            <w:r>
              <w:rPr>
                <w:rFonts w:ascii="宋体" w:eastAsia="宋体" w:hint="eastAsia"/>
                <w:b/>
                <w:sz w:val="21"/>
              </w:rPr>
              <w:t>合计</w:t>
            </w:r>
          </w:p>
        </w:tc>
        <w:tc>
          <w:tcPr>
            <w:tcW w:w="1387" w:type="dxa"/>
            <w:tcBorders>
              <w:left w:val="single" w:sz="4" w:space="0" w:color="000000"/>
            </w:tcBorders>
          </w:tcPr>
          <w:p>
            <w:pPr>
              <w:pStyle w:val="TableParagraph"/>
              <w:spacing w:before="115"/>
              <w:ind w:right="58"/>
              <w:jc w:val="right"/>
              <w:rPr>
                <w:b/>
                <w:sz w:val="21"/>
              </w:rPr>
            </w:pPr>
            <w:r>
              <w:rPr>
                <w:b/>
                <w:sz w:val="21"/>
              </w:rPr>
              <w:t>100%</w:t>
            </w:r>
          </w:p>
        </w:tc>
      </w:tr>
    </w:tbl>
    <w:p>
      <w:pPr>
        <w:pStyle w:val="BodyText"/>
        <w:spacing w:line="30" w:lineRule="exact"/>
        <w:ind w:left="1360"/>
        <w:rPr>
          <w:sz w:val="3"/>
        </w:rPr>
      </w:pPr>
      <w:r>
        <w:rPr>
          <w:position w:val="0"/>
          <w:sz w:val="3"/>
        </w:rPr>
        <w:pict>
          <v:group style="width:355.15pt;height:1.45pt;mso-position-horizontal-relative:char;mso-position-vertical-relative:line" coordorigin="0,0" coordsize="7103,29">
            <v:line style="position:absolute" from="0,14" to="4971,14" stroked="true" strokeweight="1.44pt" strokecolor="#000000">
              <v:stroke dashstyle="solid"/>
            </v:line>
            <v:rect style="position:absolute;left:4971;top:0;width:29;height:29" filled="true" fillcolor="#000000" stroked="false">
              <v:fill type="solid"/>
            </v:rect>
            <v:line style="position:absolute" from="5000,14" to="7103,14" stroked="true" strokeweight="1.44pt" strokecolor="#000000">
              <v:stroke dashstyle="solid"/>
            </v:line>
          </v:group>
        </w:pict>
      </w:r>
      <w:r>
        <w:rPr>
          <w:position w:val="0"/>
          <w:sz w:val="3"/>
        </w:rPr>
      </w:r>
    </w:p>
    <w:p>
      <w:pPr>
        <w:pStyle w:val="BodyText"/>
        <w:spacing w:before="84"/>
        <w:ind w:left="1198"/>
      </w:pPr>
      <w:r>
        <w:rPr/>
        <w:drawing>
          <wp:anchor distT="0" distB="0" distL="0" distR="0" allowOverlap="1" layoutInCell="1" locked="0" behindDoc="1" simplePos="0" relativeHeight="242689024">
            <wp:simplePos x="0" y="0"/>
            <wp:positionH relativeFrom="page">
              <wp:posOffset>4684140</wp:posOffset>
            </wp:positionH>
            <wp:positionV relativeFrom="paragraph">
              <wp:posOffset>-332994</wp:posOffset>
            </wp:positionV>
            <wp:extent cx="1347484" cy="6095"/>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9" cstate="print"/>
                    <a:stretch>
                      <a:fillRect/>
                    </a:stretch>
                  </pic:blipFill>
                  <pic:spPr>
                    <a:xfrm>
                      <a:off x="0" y="0"/>
                      <a:ext cx="1347484" cy="6095"/>
                    </a:xfrm>
                    <a:prstGeom prst="rect">
                      <a:avLst/>
                    </a:prstGeom>
                  </pic:spPr>
                </pic:pic>
              </a:graphicData>
            </a:graphic>
          </wp:anchor>
        </w:drawing>
      </w:r>
      <w:r>
        <w:rPr/>
        <w:t>（二）主要人员情况</w:t>
      </w:r>
    </w:p>
    <w:p>
      <w:pPr>
        <w:pStyle w:val="BodyText"/>
        <w:spacing w:before="7"/>
        <w:rPr>
          <w:sz w:val="15"/>
        </w:rPr>
      </w:pPr>
    </w:p>
    <w:p>
      <w:pPr>
        <w:pStyle w:val="BodyText"/>
        <w:ind w:left="1198"/>
      </w:pPr>
      <w:r>
        <w:rPr>
          <w:rFonts w:ascii="Times New Roman" w:eastAsia="Times New Roman"/>
        </w:rPr>
        <w:t>1</w:t>
      </w:r>
      <w:r>
        <w:rPr/>
        <w:t>、基金管理人董事、监事、经理及其他高级管理人员基本情况</w:t>
      </w:r>
    </w:p>
    <w:p>
      <w:pPr>
        <w:pStyle w:val="BodyText"/>
        <w:spacing w:before="6"/>
        <w:rPr>
          <w:sz w:val="15"/>
        </w:rPr>
      </w:pPr>
    </w:p>
    <w:p>
      <w:pPr>
        <w:pStyle w:val="BodyText"/>
        <w:spacing w:before="1"/>
        <w:ind w:left="1198"/>
      </w:pPr>
      <w:r>
        <w:rPr/>
        <w:t>杨明辉先生：董事长、党委书记，硕士，高级经济师。现任中信证券股份有限公司党委</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91"/>
        <w:jc w:val="both"/>
      </w:pPr>
      <w:r>
        <w:rPr>
          <w:spacing w:val="-8"/>
        </w:rPr>
        <w:t>副书记、执行董事、总经理、执行委员会委员，华夏基金</w:t>
      </w:r>
      <w:r>
        <w:rPr>
          <w:spacing w:val="-3"/>
        </w:rPr>
        <w:t>（</w:t>
      </w:r>
      <w:r>
        <w:rPr>
          <w:spacing w:val="-2"/>
        </w:rPr>
        <w:t>香港</w:t>
      </w:r>
      <w:r>
        <w:rPr>
          <w:spacing w:val="-13"/>
        </w:rPr>
        <w:t>）</w:t>
      </w:r>
      <w:r>
        <w:rPr>
          <w:spacing w:val="-5"/>
        </w:rPr>
        <w:t>有限公司董事长。曾任中</w:t>
      </w:r>
      <w:r>
        <w:rPr>
          <w:spacing w:val="-11"/>
        </w:rPr>
        <w:t>信证券公司董事、襄理、副总经理，中信控股公司董事、常务副总裁，中信信托董事，信诚</w:t>
      </w:r>
      <w:r>
        <w:rPr>
          <w:spacing w:val="-6"/>
        </w:rPr>
        <w:t>基金管理有限公司董事长，中国建银投资证券有限责任公司执行董事、总裁等。</w:t>
      </w:r>
    </w:p>
    <w:p>
      <w:pPr>
        <w:pStyle w:val="BodyText"/>
        <w:spacing w:line="417" w:lineRule="auto"/>
        <w:ind w:left="778" w:right="893" w:firstLine="419"/>
      </w:pPr>
      <w:r>
        <w:rPr>
          <w:rFonts w:ascii="Times New Roman" w:eastAsia="Times New Roman"/>
        </w:rPr>
        <w:t>Barry Sean McInerney</w:t>
      </w:r>
      <w:r>
        <w:rPr/>
        <w:t>先生：董事，硕士。现任万信投资公司（</w:t>
      </w:r>
      <w:r>
        <w:rPr>
          <w:rFonts w:ascii="Times New Roman" w:eastAsia="Times New Roman"/>
        </w:rPr>
        <w:t>Mackenzie Financial Corporation</w:t>
      </w:r>
      <w:r>
        <w:rPr/>
        <w:t>）总裁兼首席执行官。曾在多家北美领先的金融机构担任高级管理职位。</w:t>
      </w:r>
    </w:p>
    <w:p>
      <w:pPr>
        <w:pStyle w:val="BodyText"/>
        <w:spacing w:line="417" w:lineRule="auto"/>
        <w:ind w:left="778" w:right="785" w:firstLine="419"/>
      </w:pPr>
      <w:r>
        <w:rPr>
          <w:spacing w:val="-10"/>
        </w:rPr>
        <w:t>翟海涛先生：董事，硕士。现任春华资本集团总裁、合伙人，兼任中国光大国际有限公</w:t>
      </w:r>
      <w:r>
        <w:rPr>
          <w:spacing w:val="-11"/>
        </w:rPr>
        <w:t>司及中国光大水务有限公司独立非执行董事等。曾任高盛</w:t>
      </w:r>
      <w:r>
        <w:rPr>
          <w:spacing w:val="-3"/>
        </w:rPr>
        <w:t>（</w:t>
      </w:r>
      <w:r>
        <w:rPr>
          <w:spacing w:val="-2"/>
        </w:rPr>
        <w:t>亚洲</w:t>
      </w:r>
      <w:r>
        <w:rPr>
          <w:spacing w:val="-65"/>
        </w:rPr>
        <w:t>）</w:t>
      </w:r>
      <w:r>
        <w:rPr>
          <w:spacing w:val="-3"/>
        </w:rPr>
        <w:t>有限责任公司董事总经理、</w:t>
      </w:r>
      <w:r>
        <w:rPr>
          <w:spacing w:val="-8"/>
        </w:rPr>
        <w:t>高盛集团北京代表处首席代表、高盛集团与中国工商银行战略合作办公室主任、中国财政部</w:t>
      </w:r>
      <w:r>
        <w:rPr>
          <w:spacing w:val="-5"/>
        </w:rPr>
        <w:t>和国家开发银行信用评级顾问等。</w:t>
      </w:r>
    </w:p>
    <w:p>
      <w:pPr>
        <w:pStyle w:val="BodyText"/>
        <w:spacing w:line="417" w:lineRule="auto"/>
        <w:ind w:left="778" w:right="889" w:firstLine="419"/>
        <w:jc w:val="both"/>
      </w:pPr>
      <w:r>
        <w:rPr>
          <w:spacing w:val="-11"/>
        </w:rPr>
        <w:t>杨冰先生：董事，硕士。现任中信证券股份有限公司执行委员会委员、资产管理业务行政负责人。曾任中信证券股份有限公司固定收益部交易员、资产管理业务投资经理、资产管</w:t>
      </w:r>
      <w:r>
        <w:rPr>
          <w:spacing w:val="-6"/>
        </w:rPr>
        <w:t>理业务投资主管等。</w:t>
      </w:r>
    </w:p>
    <w:p>
      <w:pPr>
        <w:pStyle w:val="BodyText"/>
        <w:spacing w:line="417" w:lineRule="auto"/>
        <w:ind w:left="778" w:right="783" w:firstLine="419"/>
      </w:pPr>
      <w:r>
        <w:rPr>
          <w:spacing w:val="-11"/>
        </w:rPr>
        <w:t>李勇进先生：董事，硕士。现任中信证券股份有限公司执行委员会委员、中信证券财富</w:t>
      </w:r>
      <w:r>
        <w:rPr>
          <w:spacing w:val="-6"/>
        </w:rPr>
        <w:t>管理委员会主任。兼任中信期货有限公司董事、金通证券有限责任公司执行董事兼总经理。</w:t>
      </w:r>
      <w:r>
        <w:rPr>
          <w:spacing w:val="-8"/>
        </w:rPr>
        <w:t>曾任中国农业银行大连市分行国际业务部科员，申银万国证券大连营业部部门经理，中信证</w:t>
      </w:r>
      <w:r>
        <w:rPr>
          <w:spacing w:val="-15"/>
        </w:rPr>
        <w:t>券大连营业部总经理助理、副总经理、总经理，中信证券经纪业务管理部高级副总裁、总监， 中信证券</w:t>
      </w:r>
      <w:r>
        <w:rPr/>
        <w:t>（</w:t>
      </w:r>
      <w:r>
        <w:rPr>
          <w:spacing w:val="-2"/>
        </w:rPr>
        <w:t>浙江</w:t>
      </w:r>
      <w:r>
        <w:rPr>
          <w:spacing w:val="-25"/>
        </w:rPr>
        <w:t>）</w:t>
      </w:r>
      <w:r>
        <w:rPr>
          <w:spacing w:val="-6"/>
        </w:rPr>
        <w:t>有限责任公司总经理，中信证券浙江分公司总经理，中信证券经纪业务发</w:t>
      </w:r>
      <w:r>
        <w:rPr>
          <w:spacing w:val="-4"/>
        </w:rPr>
        <w:t>展与管理委员会主任等。</w:t>
      </w:r>
    </w:p>
    <w:p>
      <w:pPr>
        <w:pStyle w:val="BodyText"/>
        <w:spacing w:line="417" w:lineRule="auto"/>
        <w:ind w:left="778" w:right="888" w:firstLine="419"/>
        <w:jc w:val="both"/>
      </w:pPr>
      <w:r>
        <w:rPr>
          <w:spacing w:val="-10"/>
        </w:rPr>
        <w:t>李一梅女士：董事、总经理，硕士。兼任证通股份有限公司董事、华夏基金</w:t>
      </w:r>
      <w:r>
        <w:rPr/>
        <w:t>（</w:t>
      </w:r>
      <w:r>
        <w:rPr>
          <w:spacing w:val="-2"/>
        </w:rPr>
        <w:t>香港</w:t>
      </w:r>
      <w:r>
        <w:rPr>
          <w:spacing w:val="-15"/>
        </w:rPr>
        <w:t>）</w:t>
      </w:r>
      <w:r>
        <w:rPr/>
        <w:t>有</w:t>
      </w:r>
      <w:r>
        <w:rPr>
          <w:spacing w:val="-9"/>
        </w:rPr>
        <w:t>限公司董事。曾任华夏基金管理有限公司副总经理、营销总监、市场总监、基金营销部总经</w:t>
      </w:r>
      <w:r>
        <w:rPr>
          <w:spacing w:val="-5"/>
        </w:rPr>
        <w:t>理，上海华夏财富投资管理有限公司执行董事、总经理等。</w:t>
      </w:r>
    </w:p>
    <w:p>
      <w:pPr>
        <w:pStyle w:val="BodyText"/>
        <w:spacing w:line="417" w:lineRule="auto"/>
        <w:ind w:left="778" w:right="889" w:firstLine="419"/>
        <w:jc w:val="both"/>
      </w:pPr>
      <w:r>
        <w:rPr>
          <w:spacing w:val="-10"/>
        </w:rPr>
        <w:t>张宏久先生：独立董事，硕士。现任北京市竞天公诚律师事务所合伙人。兼任中信信托</w:t>
      </w:r>
      <w:r>
        <w:rPr>
          <w:spacing w:val="-12"/>
        </w:rPr>
        <w:t>有限公司独立董事，全国律师协会金融专业委员会顾问，全国侨联法律顾问委员会委员及民</w:t>
      </w:r>
      <w:r>
        <w:rPr>
          <w:spacing w:val="-13"/>
        </w:rPr>
        <w:t>事法律委员会主任，中国国际经济贸易仲裁委员会仲裁员、上海国际经济贸易仲裁委员会仲</w:t>
      </w:r>
      <w:r>
        <w:rPr>
          <w:spacing w:val="-8"/>
        </w:rPr>
        <w:t>裁员等。</w:t>
      </w:r>
    </w:p>
    <w:p>
      <w:pPr>
        <w:pStyle w:val="BodyText"/>
        <w:spacing w:line="417" w:lineRule="auto"/>
        <w:ind w:left="778" w:right="889" w:firstLine="419"/>
        <w:jc w:val="both"/>
      </w:pPr>
      <w:r>
        <w:rPr>
          <w:spacing w:val="-10"/>
        </w:rPr>
        <w:t>支晓强先生：独立董事，博士。现任中国人民大学继续教育处处长、商学院财务与金融</w:t>
      </w:r>
      <w:r>
        <w:rPr>
          <w:spacing w:val="-12"/>
        </w:rPr>
        <w:t>系教授、博士生导师。兼任全国会计专业学位研究生教育指导委员会委员兼副秘书长、中国</w:t>
      </w:r>
      <w:r>
        <w:rPr>
          <w:spacing w:val="-11"/>
        </w:rPr>
        <w:t>会计学会财务成本分会副会长、中国会计学会内部控制专业委员会委员、中国上市公司协会</w:t>
      </w:r>
      <w:r>
        <w:rPr>
          <w:spacing w:val="-12"/>
        </w:rPr>
        <w:t>独立董事委员会委员、北农大科技股份有限公司独立董事、哈银金融租赁有限责任公司独立</w:t>
      </w:r>
      <w:r>
        <w:rPr>
          <w:spacing w:val="-7"/>
        </w:rPr>
        <w:t>董事等。</w:t>
      </w:r>
    </w:p>
    <w:p>
      <w:pPr>
        <w:spacing w:after="0" w:line="417" w:lineRule="auto"/>
        <w:jc w:val="both"/>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3"/>
        </w:rPr>
        <w:t>刘霞辉先生：独立董事，硕士。现任中国社会科学院经济研究所经济研究编辑部主任， </w:t>
      </w:r>
      <w:r>
        <w:rPr>
          <w:spacing w:val="-10"/>
        </w:rPr>
        <w:t>国务院特殊津贴专家，二级研究员，博士生导师。兼任中国战略研究会经济战略专业委员会</w:t>
      </w:r>
      <w:r>
        <w:rPr>
          <w:spacing w:val="-11"/>
        </w:rPr>
        <w:t>主任、山东大学经济社会研究院特聘兼职教授及广西南宁政府咨询专家。曾任职于国家人社</w:t>
      </w:r>
      <w:r>
        <w:rPr>
          <w:spacing w:val="-6"/>
        </w:rPr>
        <w:t>部政策法规司综合处。</w:t>
      </w:r>
    </w:p>
    <w:p>
      <w:pPr>
        <w:pStyle w:val="BodyText"/>
        <w:spacing w:line="268" w:lineRule="exact"/>
        <w:ind w:left="1198"/>
      </w:pPr>
      <w:r>
        <w:rPr/>
        <w:t>杨一夫先生：监事长，硕士。现任鲍尔太平有限公司总裁，负责总部加拿大鲍尔公司</w:t>
      </w:r>
    </w:p>
    <w:p>
      <w:pPr>
        <w:pStyle w:val="BodyText"/>
        <w:spacing w:before="7"/>
        <w:rPr>
          <w:sz w:val="15"/>
        </w:rPr>
      </w:pPr>
    </w:p>
    <w:p>
      <w:pPr>
        <w:pStyle w:val="BodyText"/>
        <w:spacing w:line="417" w:lineRule="auto"/>
        <w:ind w:left="778" w:right="888"/>
        <w:jc w:val="both"/>
      </w:pPr>
      <w:r>
        <w:rPr/>
        <w:t>（</w:t>
      </w:r>
      <w:r>
        <w:rPr>
          <w:rFonts w:ascii="Times New Roman" w:eastAsia="Times New Roman"/>
        </w:rPr>
        <w:t>Power Corporation of </w:t>
      </w:r>
      <w:r>
        <w:rPr>
          <w:rFonts w:ascii="Times New Roman" w:eastAsia="Times New Roman"/>
          <w:spacing w:val="-5"/>
        </w:rPr>
        <w:t>Canada</w:t>
      </w:r>
      <w:r>
        <w:rPr>
          <w:spacing w:val="-5"/>
        </w:rPr>
        <w:t>）</w:t>
      </w:r>
      <w:r>
        <w:rPr>
          <w:spacing w:val="-7"/>
        </w:rPr>
        <w:t>在中国的投资活动，兼任三川能源开发有限公司董事、中国</w:t>
      </w:r>
      <w:r>
        <w:rPr>
          <w:spacing w:val="-9"/>
        </w:rPr>
        <w:t>投资协会常务理事。曾任国际金融公司</w:t>
      </w:r>
      <w:r>
        <w:rPr/>
        <w:t>（</w:t>
      </w:r>
      <w:r>
        <w:rPr>
          <w:spacing w:val="-3"/>
        </w:rPr>
        <w:t>世界银行组织成员</w:t>
      </w:r>
      <w:r>
        <w:rPr>
          <w:spacing w:val="-22"/>
        </w:rPr>
        <w:t>）</w:t>
      </w:r>
      <w:r>
        <w:rPr>
          <w:spacing w:val="-6"/>
        </w:rPr>
        <w:t>驻中国的首席代表，华夏基金</w:t>
      </w:r>
      <w:r>
        <w:rPr>
          <w:spacing w:val="-4"/>
        </w:rPr>
        <w:t>管理有限公司董事等。</w:t>
      </w:r>
    </w:p>
    <w:p>
      <w:pPr>
        <w:pStyle w:val="BodyText"/>
        <w:spacing w:line="417" w:lineRule="auto"/>
        <w:ind w:left="778" w:right="889" w:firstLine="419"/>
      </w:pPr>
      <w:r>
        <w:rPr>
          <w:spacing w:val="-11"/>
        </w:rPr>
        <w:t>杨维华先生：监事，硕士。现任中信证券股份有限公司风险管理部行政负责人、公司副</w:t>
      </w:r>
      <w:r>
        <w:rPr>
          <w:spacing w:val="-6"/>
        </w:rPr>
        <w:t>首席风险官。曾任中信证券股份有限公司风险管理部</w:t>
      </w:r>
      <w:r>
        <w:rPr>
          <w:rFonts w:ascii="Times New Roman" w:eastAsia="Times New Roman"/>
        </w:rPr>
        <w:t>B</w:t>
      </w:r>
      <w:r>
        <w:rPr/>
        <w:t>角</w:t>
      </w:r>
      <w:r>
        <w:rPr>
          <w:spacing w:val="-3"/>
        </w:rPr>
        <w:t>（</w:t>
      </w:r>
      <w:r>
        <w:rPr>
          <w:spacing w:val="-2"/>
        </w:rPr>
        <w:t>主持工作</w:t>
      </w:r>
      <w:r>
        <w:rPr>
          <w:spacing w:val="-108"/>
        </w:rPr>
        <w:t>）</w:t>
      </w:r>
      <w:r>
        <w:rPr>
          <w:spacing w:val="-3"/>
        </w:rPr>
        <w:t>、总监等。</w:t>
      </w:r>
    </w:p>
    <w:p>
      <w:pPr>
        <w:pStyle w:val="BodyText"/>
        <w:spacing w:line="417" w:lineRule="auto"/>
        <w:ind w:left="778" w:right="889" w:firstLine="419"/>
      </w:pPr>
      <w:r>
        <w:rPr>
          <w:spacing w:val="-11"/>
        </w:rPr>
        <w:t>史本良先生：监事，硕士，注册会计师。现任中信证券股份有限公司计划财务部联席负</w:t>
      </w:r>
      <w:r>
        <w:rPr>
          <w:spacing w:val="-6"/>
        </w:rPr>
        <w:t>责人、公司副财务总监。曾任中信证券股份有限公司计划财务部</w:t>
      </w:r>
      <w:r>
        <w:rPr>
          <w:rFonts w:ascii="Times New Roman" w:eastAsia="Times New Roman"/>
        </w:rPr>
        <w:t>B</w:t>
      </w:r>
      <w:r>
        <w:rPr>
          <w:spacing w:val="-3"/>
        </w:rPr>
        <w:t>角、总监等。</w:t>
      </w:r>
    </w:p>
    <w:p>
      <w:pPr>
        <w:pStyle w:val="BodyText"/>
        <w:spacing w:line="417" w:lineRule="auto"/>
        <w:ind w:left="778" w:right="785" w:firstLine="419"/>
      </w:pPr>
      <w:r>
        <w:rPr>
          <w:spacing w:val="-10"/>
        </w:rPr>
        <w:t>宁晨新先生：监事，博士，高级编辑。现任华夏基金管理有限公司办公室总监、董事会</w:t>
      </w:r>
      <w:r>
        <w:rPr>
          <w:spacing w:val="-14"/>
        </w:rPr>
        <w:t>秘书</w:t>
      </w:r>
      <w:r>
        <w:rPr/>
        <w:t>（兼</w:t>
      </w:r>
      <w:r>
        <w:rPr>
          <w:spacing w:val="-108"/>
        </w:rPr>
        <w:t>）</w:t>
      </w:r>
      <w:r>
        <w:rPr>
          <w:spacing w:val="-9"/>
        </w:rPr>
        <w:t>。曾任中国证券报社记者、编辑、办公室主任、副总编辑，中国政法大学讲师等。</w:t>
      </w:r>
    </w:p>
    <w:p>
      <w:pPr>
        <w:pStyle w:val="BodyText"/>
        <w:spacing w:line="417" w:lineRule="auto"/>
        <w:ind w:left="778" w:right="800" w:firstLine="419"/>
      </w:pPr>
      <w:r>
        <w:rPr>
          <w:spacing w:val="-3"/>
        </w:rPr>
        <w:t>陈倩女士：监事，硕士。现任华夏基金管理有限公司市场部执行总经理、行政负责人。</w:t>
      </w:r>
      <w:r>
        <w:rPr>
          <w:spacing w:val="-9"/>
        </w:rPr>
        <w:t>曾任中国投资银行业务经理，北京证券有限责任公司高级业务经理，华夏基金管理有限公司</w:t>
      </w:r>
      <w:r>
        <w:rPr>
          <w:spacing w:val="-5"/>
        </w:rPr>
        <w:t>北京分公司副总经理、市场推广部副总经理等。</w:t>
      </w:r>
    </w:p>
    <w:p>
      <w:pPr>
        <w:pStyle w:val="BodyText"/>
        <w:spacing w:line="417" w:lineRule="auto"/>
        <w:ind w:left="778" w:right="889" w:firstLine="419"/>
      </w:pPr>
      <w:r>
        <w:rPr>
          <w:spacing w:val="-11"/>
        </w:rPr>
        <w:t>朱威先生：监事，硕士。现任华夏基金管理有限公司基金运作部执行总经理、行政负责</w:t>
      </w:r>
      <w:r>
        <w:rPr>
          <w:spacing w:val="-6"/>
        </w:rPr>
        <w:t>人。曾任基金运作部</w:t>
      </w:r>
      <w:r>
        <w:rPr>
          <w:rFonts w:ascii="Times New Roman" w:eastAsia="Times New Roman"/>
        </w:rPr>
        <w:t>B</w:t>
      </w:r>
      <w:r>
        <w:rPr>
          <w:spacing w:val="-2"/>
        </w:rPr>
        <w:t>角等。</w:t>
      </w:r>
    </w:p>
    <w:p>
      <w:pPr>
        <w:pStyle w:val="BodyText"/>
        <w:spacing w:line="417" w:lineRule="auto"/>
        <w:ind w:left="778" w:right="889" w:firstLine="419"/>
        <w:jc w:val="both"/>
      </w:pPr>
      <w:r>
        <w:rPr>
          <w:spacing w:val="-11"/>
        </w:rPr>
        <w:t>刘义先生：副总经理，硕士。现任华夏基金管理有限公司党委委员。曾任中国人民银行</w:t>
      </w:r>
      <w:r>
        <w:rPr>
          <w:spacing w:val="-12"/>
        </w:rPr>
        <w:t>总行计划资金司副主任科员、主任科员，中国农业发展银行总行信息电脑部信息综合处副处</w:t>
      </w:r>
      <w:r>
        <w:rPr>
          <w:spacing w:val="-12"/>
          <w:w w:val="100"/>
        </w:rPr>
        <w:t>长（</w:t>
      </w:r>
      <w:r>
        <w:rPr>
          <w:spacing w:val="-5"/>
          <w:w w:val="100"/>
        </w:rPr>
        <w:t>主持工作</w:t>
      </w:r>
      <w:r>
        <w:rPr>
          <w:spacing w:val="-106"/>
          <w:w w:val="100"/>
        </w:rPr>
        <w:t>）</w:t>
      </w:r>
      <w:r>
        <w:rPr>
          <w:spacing w:val="-3"/>
          <w:w w:val="100"/>
        </w:rPr>
        <w:t>，华夏基金管理有限公司监事、党办主任、养老金业务总监，华夏资本管理</w:t>
      </w:r>
      <w:r>
        <w:rPr>
          <w:spacing w:val="-3"/>
        </w:rPr>
        <w:t>有限公司执行董事、总经理等。</w:t>
      </w:r>
    </w:p>
    <w:p>
      <w:pPr>
        <w:pStyle w:val="BodyText"/>
        <w:spacing w:line="417" w:lineRule="auto"/>
        <w:ind w:left="778" w:right="800" w:firstLine="419"/>
      </w:pPr>
      <w:r>
        <w:rPr>
          <w:spacing w:val="-10"/>
        </w:rPr>
        <w:t>阳琨先生：副总经理、投资总监，硕士。现任华夏基金管理有限公司党委委员。曾任中</w:t>
      </w:r>
      <w:r>
        <w:rPr>
          <w:spacing w:val="-5"/>
        </w:rPr>
        <w:t>国对外经济贸易信托投资有限公司财务部部门经理，宝盈基金管理有限公司基金经理助理， </w:t>
      </w:r>
      <w:r>
        <w:rPr>
          <w:spacing w:val="-4"/>
        </w:rPr>
        <w:t>益民基金管理有限公司投资部部门经理，华夏基金管理有限公司股票投资部副总经理等。</w:t>
      </w:r>
    </w:p>
    <w:p>
      <w:pPr>
        <w:pStyle w:val="BodyText"/>
        <w:spacing w:line="417" w:lineRule="auto"/>
        <w:ind w:left="778" w:right="783" w:firstLine="419"/>
      </w:pPr>
      <w:r>
        <w:rPr>
          <w:spacing w:val="-19"/>
        </w:rPr>
        <w:t>张德根先生：副总经理，硕士。现任华夏基金管理有限公司研究发展部行政负责人</w:t>
      </w:r>
      <w:r>
        <w:rPr>
          <w:spacing w:val="-3"/>
        </w:rPr>
        <w:t>（</w:t>
      </w:r>
      <w:r>
        <w:rPr/>
        <w:t>兼</w:t>
      </w:r>
      <w:r>
        <w:rPr>
          <w:spacing w:val="-106"/>
        </w:rPr>
        <w:t>）</w:t>
      </w:r>
      <w:r>
        <w:rPr/>
        <w:t>。</w:t>
      </w:r>
      <w:r>
        <w:rPr>
          <w:spacing w:val="-16"/>
        </w:rPr>
        <w:t>曾任职于北京新财经杂志社、长城证券，曾任华夏基金管理有限公司深圳分公司总经理助理、</w:t>
      </w:r>
      <w:r>
        <w:rPr>
          <w:spacing w:val="-13"/>
        </w:rPr>
        <w:t>副总经理、总经理，广州分公司总经理，上海华夏财富投资管理有限公司副总经理，华夏基</w:t>
      </w:r>
      <w:r>
        <w:rPr>
          <w:spacing w:val="-6"/>
        </w:rPr>
        <w:t>金管理有限公司总经理助理等。</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3"/>
        </w:rPr>
        <w:t>李彬女士：督察长，硕士。现任华夏基金管理有限公司党委委员、合规部行政负责人、</w:t>
      </w:r>
      <w:r>
        <w:rPr>
          <w:spacing w:val="-9"/>
        </w:rPr>
        <w:t>法律部行政负责人。曾任职于中信证券股份有限公司、原中信基金管理有限责任公司。曾任</w:t>
      </w:r>
      <w:r>
        <w:rPr>
          <w:spacing w:val="-5"/>
        </w:rPr>
        <w:t>华夏基金管理有限公司监察稽核部总经理助理，法律监察部副总经理、联席负责人等。</w:t>
      </w:r>
    </w:p>
    <w:p>
      <w:pPr>
        <w:pStyle w:val="BodyText"/>
        <w:spacing w:line="269" w:lineRule="exact"/>
        <w:ind w:left="1198"/>
      </w:pPr>
      <w:r>
        <w:rPr>
          <w:rFonts w:ascii="Times New Roman" w:eastAsia="Times New Roman"/>
        </w:rPr>
        <w:t>2</w:t>
      </w:r>
      <w:r>
        <w:rPr/>
        <w:t>、本基金基金经理</w:t>
      </w:r>
    </w:p>
    <w:p>
      <w:pPr>
        <w:pStyle w:val="BodyText"/>
        <w:spacing w:before="7"/>
        <w:rPr>
          <w:sz w:val="15"/>
        </w:rPr>
      </w:pPr>
    </w:p>
    <w:p>
      <w:pPr>
        <w:pStyle w:val="BodyText"/>
        <w:spacing w:line="417" w:lineRule="auto"/>
        <w:ind w:left="778" w:right="888" w:firstLine="419"/>
        <w:jc w:val="both"/>
      </w:pPr>
      <w:r>
        <w:rPr>
          <w:spacing w:val="-3"/>
        </w:rPr>
        <w:t>曲波先生，清华大学工商管理学硕士。</w:t>
      </w:r>
      <w:r>
        <w:rPr>
          <w:rFonts w:ascii="Times New Roman" w:eastAsia="Times New Roman"/>
        </w:rPr>
        <w:t>2003</w:t>
      </w:r>
      <w:r>
        <w:rPr/>
        <w:t>年</w:t>
      </w:r>
      <w:r>
        <w:rPr>
          <w:rFonts w:ascii="Times New Roman" w:eastAsia="Times New Roman"/>
        </w:rPr>
        <w:t>7</w:t>
      </w:r>
      <w:r>
        <w:rPr>
          <w:spacing w:val="-3"/>
        </w:rPr>
        <w:t>月加入华夏基金管理有限公司，曾任交</w:t>
      </w:r>
      <w:r>
        <w:rPr>
          <w:spacing w:val="-9"/>
        </w:rPr>
        <w:t>易管理部交易员、华夏现金增利证券投资基金基金经理助理、固定收益部总经理助理、现金</w:t>
      </w:r>
      <w:r>
        <w:rPr>
          <w:spacing w:val="-11"/>
        </w:rPr>
        <w:t>管理部总经理、华夏货币市场基金基金经理</w:t>
      </w:r>
      <w:r>
        <w:rPr/>
        <w:t>（</w:t>
      </w:r>
      <w:r>
        <w:rPr>
          <w:rFonts w:ascii="Times New Roman" w:eastAsia="Times New Roman"/>
        </w:rPr>
        <w:t>2012</w:t>
      </w:r>
      <w:r>
        <w:rPr/>
        <w:t>年</w:t>
      </w:r>
      <w:r>
        <w:rPr>
          <w:rFonts w:ascii="Times New Roman" w:eastAsia="Times New Roman"/>
        </w:rPr>
        <w:t>8</w:t>
      </w:r>
      <w:r>
        <w:rPr/>
        <w:t>月</w:t>
      </w:r>
      <w:r>
        <w:rPr>
          <w:rFonts w:ascii="Times New Roman" w:eastAsia="Times New Roman"/>
          <w:spacing w:val="-3"/>
        </w:rPr>
        <w:t>1</w:t>
      </w:r>
      <w:r>
        <w:rPr>
          <w:spacing w:val="-2"/>
        </w:rPr>
        <w:t>日至</w:t>
      </w:r>
      <w:r>
        <w:rPr>
          <w:rFonts w:ascii="Times New Roman" w:eastAsia="Times New Roman"/>
        </w:rPr>
        <w:t>2014</w:t>
      </w:r>
      <w:r>
        <w:rPr/>
        <w:t>年</w:t>
      </w:r>
      <w:r>
        <w:rPr>
          <w:rFonts w:ascii="Times New Roman" w:eastAsia="Times New Roman"/>
          <w:spacing w:val="-3"/>
        </w:rPr>
        <w:t>7</w:t>
      </w:r>
      <w:r>
        <w:rPr/>
        <w:t>月</w:t>
      </w:r>
      <w:r>
        <w:rPr>
          <w:rFonts w:ascii="Times New Roman" w:eastAsia="Times New Roman"/>
        </w:rPr>
        <w:t>25</w:t>
      </w:r>
      <w:r>
        <w:rPr>
          <w:spacing w:val="-2"/>
        </w:rPr>
        <w:t>日期间</w:t>
      </w:r>
      <w:r>
        <w:rPr>
          <w:spacing w:val="-108"/>
        </w:rPr>
        <w:t>）</w:t>
      </w:r>
      <w:r>
        <w:rPr>
          <w:spacing w:val="-9"/>
        </w:rPr>
        <w:t>、华夏安</w:t>
      </w:r>
      <w:r>
        <w:rPr>
          <w:spacing w:val="-7"/>
        </w:rPr>
        <w:t>康信用优选债券型证券投资基金基金经理</w:t>
      </w:r>
      <w:r>
        <w:rPr/>
        <w:t>（</w:t>
      </w:r>
      <w:r>
        <w:rPr>
          <w:rFonts w:ascii="Times New Roman" w:eastAsia="Times New Roman"/>
        </w:rPr>
        <w:t>2012</w:t>
      </w:r>
      <w:r>
        <w:rPr/>
        <w:t>年</w:t>
      </w:r>
      <w:r>
        <w:rPr>
          <w:rFonts w:ascii="Times New Roman" w:eastAsia="Times New Roman"/>
          <w:spacing w:val="-3"/>
        </w:rPr>
        <w:t>9</w:t>
      </w:r>
      <w:r>
        <w:rPr/>
        <w:t>月</w:t>
      </w:r>
      <w:r>
        <w:rPr>
          <w:rFonts w:ascii="Times New Roman" w:eastAsia="Times New Roman"/>
          <w:spacing w:val="-6"/>
        </w:rPr>
        <w:t>11</w:t>
      </w:r>
      <w:r>
        <w:rPr/>
        <w:t>日至</w:t>
      </w:r>
      <w:r>
        <w:rPr>
          <w:rFonts w:ascii="Times New Roman" w:eastAsia="Times New Roman"/>
        </w:rPr>
        <w:t>2014</w:t>
      </w:r>
      <w:r>
        <w:rPr/>
        <w:t>年</w:t>
      </w:r>
      <w:r>
        <w:rPr>
          <w:rFonts w:ascii="Times New Roman" w:eastAsia="Times New Roman"/>
        </w:rPr>
        <w:t>7</w:t>
      </w:r>
      <w:r>
        <w:rPr>
          <w:spacing w:val="-3"/>
        </w:rPr>
        <w:t>月</w:t>
      </w:r>
      <w:r>
        <w:rPr>
          <w:rFonts w:ascii="Times New Roman" w:eastAsia="Times New Roman"/>
        </w:rPr>
        <w:t>25</w:t>
      </w:r>
      <w:r>
        <w:rPr>
          <w:spacing w:val="-2"/>
        </w:rPr>
        <w:t>日期间</w:t>
      </w:r>
      <w:r>
        <w:rPr>
          <w:spacing w:val="-29"/>
        </w:rPr>
        <w:t>）</w:t>
      </w:r>
      <w:r>
        <w:rPr>
          <w:spacing w:val="-8"/>
        </w:rPr>
        <w:t>等，现任</w:t>
      </w:r>
      <w:r>
        <w:rPr>
          <w:spacing w:val="-5"/>
        </w:rPr>
        <w:t>华夏基金管理有限公司董事总经理，华夏现金增利证券投资基金基金经理</w:t>
      </w:r>
      <w:r>
        <w:rPr/>
        <w:t>（</w:t>
      </w:r>
      <w:r>
        <w:rPr>
          <w:rFonts w:ascii="Times New Roman" w:eastAsia="Times New Roman"/>
        </w:rPr>
        <w:t>2008</w:t>
      </w:r>
      <w:r>
        <w:rPr/>
        <w:t>年</w:t>
      </w:r>
      <w:r>
        <w:rPr>
          <w:rFonts w:ascii="Times New Roman" w:eastAsia="Times New Roman"/>
        </w:rPr>
        <w:t>1</w:t>
      </w:r>
      <w:r>
        <w:rPr/>
        <w:t>月</w:t>
      </w:r>
      <w:r>
        <w:rPr>
          <w:rFonts w:ascii="Times New Roman" w:eastAsia="Times New Roman"/>
        </w:rPr>
        <w:t>18</w:t>
      </w:r>
      <w:r>
        <w:rPr/>
        <w:t>日</w:t>
      </w:r>
      <w:r>
        <w:rPr>
          <w:spacing w:val="-1"/>
        </w:rPr>
        <w:t>起任职</w:t>
      </w:r>
      <w:r>
        <w:rPr>
          <w:spacing w:val="-106"/>
        </w:rPr>
        <w:t>）</w:t>
      </w:r>
      <w:r>
        <w:rPr>
          <w:spacing w:val="-9"/>
        </w:rPr>
        <w:t>、华夏财富宝货币市场基金基金经理</w:t>
      </w:r>
      <w:r>
        <w:rPr/>
        <w:t>（</w:t>
      </w:r>
      <w:r>
        <w:rPr>
          <w:rFonts w:ascii="Times New Roman" w:eastAsia="Times New Roman"/>
        </w:rPr>
        <w:t>2013</w:t>
      </w:r>
      <w:r>
        <w:rPr/>
        <w:t>年</w:t>
      </w:r>
      <w:r>
        <w:rPr>
          <w:rFonts w:ascii="Times New Roman" w:eastAsia="Times New Roman"/>
        </w:rPr>
        <w:t>10</w:t>
      </w:r>
      <w:r>
        <w:rPr>
          <w:spacing w:val="-3"/>
        </w:rPr>
        <w:t>月</w:t>
      </w:r>
      <w:r>
        <w:rPr>
          <w:rFonts w:ascii="Times New Roman" w:eastAsia="Times New Roman"/>
        </w:rPr>
        <w:t>25</w:t>
      </w:r>
      <w:r>
        <w:rPr>
          <w:spacing w:val="-3"/>
        </w:rPr>
        <w:t>日起任职</w:t>
      </w:r>
      <w:r>
        <w:rPr>
          <w:spacing w:val="-108"/>
        </w:rPr>
        <w:t>）</w:t>
      </w:r>
      <w:r>
        <w:rPr>
          <w:spacing w:val="-7"/>
        </w:rPr>
        <w:t>、华夏薪金宝货币市</w:t>
      </w:r>
      <w:r>
        <w:rPr>
          <w:spacing w:val="-9"/>
        </w:rPr>
        <w:t>场基金基金经理</w:t>
      </w:r>
      <w:r>
        <w:rPr/>
        <w:t>（</w:t>
      </w:r>
      <w:r>
        <w:rPr>
          <w:rFonts w:ascii="Times New Roman" w:eastAsia="Times New Roman"/>
        </w:rPr>
        <w:t>2014</w:t>
      </w:r>
      <w:r>
        <w:rPr/>
        <w:t>年</w:t>
      </w:r>
      <w:r>
        <w:rPr>
          <w:rFonts w:ascii="Times New Roman" w:eastAsia="Times New Roman"/>
          <w:spacing w:val="-3"/>
        </w:rPr>
        <w:t>7</w:t>
      </w:r>
      <w:r>
        <w:rPr/>
        <w:t>月</w:t>
      </w:r>
      <w:r>
        <w:rPr>
          <w:rFonts w:ascii="Times New Roman" w:eastAsia="Times New Roman"/>
        </w:rPr>
        <w:t>25</w:t>
      </w:r>
      <w:r>
        <w:rPr>
          <w:spacing w:val="-3"/>
        </w:rPr>
        <w:t>日起任职</w:t>
      </w:r>
      <w:r>
        <w:rPr>
          <w:spacing w:val="-108"/>
        </w:rPr>
        <w:t>）</w:t>
      </w:r>
      <w:r>
        <w:rPr>
          <w:spacing w:val="-8"/>
        </w:rPr>
        <w:t>、华夏天利货币市场基金基金经理</w:t>
      </w:r>
      <w:r>
        <w:rPr/>
        <w:t>（</w:t>
      </w:r>
      <w:r>
        <w:rPr>
          <w:rFonts w:ascii="Times New Roman" w:eastAsia="Times New Roman"/>
        </w:rPr>
        <w:t>2016</w:t>
      </w:r>
      <w:r>
        <w:rPr/>
        <w:t>年</w:t>
      </w:r>
      <w:r>
        <w:rPr>
          <w:rFonts w:ascii="Times New Roman" w:eastAsia="Times New Roman"/>
        </w:rPr>
        <w:t>10</w:t>
      </w:r>
      <w:r>
        <w:rPr/>
        <w:t>月</w:t>
      </w:r>
      <w:r>
        <w:rPr>
          <w:rFonts w:ascii="Times New Roman" w:eastAsia="Times New Roman"/>
          <w:spacing w:val="-3"/>
        </w:rPr>
        <w:t>13 </w:t>
      </w:r>
      <w:r>
        <w:rPr>
          <w:spacing w:val="-1"/>
        </w:rPr>
        <w:t>日起任职</w:t>
      </w:r>
      <w:r>
        <w:rPr>
          <w:spacing w:val="-108"/>
        </w:rPr>
        <w:t>）</w:t>
      </w:r>
      <w:r>
        <w:rPr>
          <w:spacing w:val="-9"/>
        </w:rPr>
        <w:t>、华夏快线交易型货币市场基金基金经理</w:t>
      </w:r>
      <w:r>
        <w:rPr/>
        <w:t>（</w:t>
      </w:r>
      <w:r>
        <w:rPr>
          <w:rFonts w:ascii="Times New Roman" w:eastAsia="Times New Roman"/>
        </w:rPr>
        <w:t>2016</w:t>
      </w:r>
      <w:r>
        <w:rPr/>
        <w:t>年</w:t>
      </w:r>
      <w:r>
        <w:rPr>
          <w:rFonts w:ascii="Times New Roman" w:eastAsia="Times New Roman"/>
        </w:rPr>
        <w:t>12</w:t>
      </w:r>
      <w:r>
        <w:rPr/>
        <w:t>月</w:t>
      </w:r>
      <w:r>
        <w:rPr>
          <w:rFonts w:ascii="Times New Roman" w:eastAsia="Times New Roman"/>
        </w:rPr>
        <w:t>29</w:t>
      </w:r>
      <w:r>
        <w:rPr>
          <w:spacing w:val="-3"/>
        </w:rPr>
        <w:t>日起任职</w:t>
      </w:r>
      <w:r>
        <w:rPr>
          <w:spacing w:val="-108"/>
        </w:rPr>
        <w:t>）</w:t>
      </w:r>
      <w:r>
        <w:rPr>
          <w:spacing w:val="-7"/>
        </w:rPr>
        <w:t>、华夏沃利货</w:t>
      </w:r>
      <w:r>
        <w:rPr>
          <w:spacing w:val="-5"/>
        </w:rPr>
        <w:t>币市场基金基金经理</w:t>
      </w:r>
      <w:r>
        <w:rPr/>
        <w:t>（</w:t>
      </w:r>
      <w:r>
        <w:rPr>
          <w:rFonts w:ascii="Times New Roman" w:eastAsia="Times New Roman"/>
        </w:rPr>
        <w:t>2017</w:t>
      </w:r>
      <w:r>
        <w:rPr/>
        <w:t>年</w:t>
      </w:r>
      <w:r>
        <w:rPr>
          <w:rFonts w:ascii="Times New Roman" w:eastAsia="Times New Roman"/>
        </w:rPr>
        <w:t>1</w:t>
      </w:r>
      <w:r>
        <w:rPr/>
        <w:t>月</w:t>
      </w:r>
      <w:r>
        <w:rPr>
          <w:rFonts w:ascii="Times New Roman" w:eastAsia="Times New Roman"/>
        </w:rPr>
        <w:t>13</w:t>
      </w:r>
      <w:r>
        <w:rPr>
          <w:spacing w:val="-2"/>
        </w:rPr>
        <w:t>日起任职</w:t>
      </w:r>
      <w:r>
        <w:rPr>
          <w:spacing w:val="-108"/>
        </w:rPr>
        <w:t>）</w:t>
      </w:r>
      <w:r>
        <w:rPr>
          <w:spacing w:val="-3"/>
        </w:rPr>
        <w:t>、华夏惠利货币市场基金基金经理</w:t>
      </w:r>
      <w:r>
        <w:rPr/>
        <w:t>（</w:t>
      </w:r>
      <w:r>
        <w:rPr>
          <w:rFonts w:ascii="Times New Roman" w:eastAsia="Times New Roman"/>
        </w:rPr>
        <w:t>2017</w:t>
      </w:r>
      <w:r>
        <w:rPr/>
        <w:t>年</w:t>
      </w:r>
      <w:r>
        <w:rPr>
          <w:rFonts w:ascii="Times New Roman" w:eastAsia="Times New Roman"/>
        </w:rPr>
        <w:t>2 </w:t>
      </w:r>
      <w:r>
        <w:rPr/>
        <w:t>月</w:t>
      </w:r>
      <w:r>
        <w:rPr>
          <w:rFonts w:ascii="Times New Roman" w:eastAsia="Times New Roman"/>
        </w:rPr>
        <w:t>10</w:t>
      </w:r>
      <w:r>
        <w:rPr>
          <w:spacing w:val="-3"/>
        </w:rPr>
        <w:t>日起任职</w:t>
      </w:r>
      <w:r>
        <w:rPr>
          <w:spacing w:val="-108"/>
        </w:rPr>
        <w:t>）</w:t>
      </w:r>
      <w:r>
        <w:rPr/>
        <w:t>。</w:t>
      </w:r>
    </w:p>
    <w:p>
      <w:pPr>
        <w:pStyle w:val="BodyText"/>
        <w:spacing w:line="417" w:lineRule="auto"/>
        <w:ind w:left="778" w:right="888" w:firstLine="419"/>
        <w:jc w:val="both"/>
      </w:pPr>
      <w:r>
        <w:rPr/>
        <w:t>历任基金经理：</w:t>
      </w:r>
      <w:r>
        <w:rPr>
          <w:rFonts w:ascii="Times New Roman" w:eastAsia="Times New Roman"/>
        </w:rPr>
        <w:t>2004</w:t>
      </w:r>
      <w:r>
        <w:rPr/>
        <w:t>年</w:t>
      </w:r>
      <w:r>
        <w:rPr>
          <w:rFonts w:ascii="Times New Roman" w:eastAsia="Times New Roman"/>
        </w:rPr>
        <w:t>4</w:t>
      </w:r>
      <w:r>
        <w:rPr/>
        <w:t>月</w:t>
      </w:r>
      <w:r>
        <w:rPr>
          <w:rFonts w:ascii="Times New Roman" w:eastAsia="Times New Roman"/>
        </w:rPr>
        <w:t>7</w:t>
      </w:r>
      <w:r>
        <w:rPr/>
        <w:t>日至</w:t>
      </w:r>
      <w:r>
        <w:rPr>
          <w:rFonts w:ascii="Times New Roman" w:eastAsia="Times New Roman"/>
        </w:rPr>
        <w:t>2005</w:t>
      </w:r>
      <w:r>
        <w:rPr/>
        <w:t>年</w:t>
      </w:r>
      <w:r>
        <w:rPr>
          <w:rFonts w:ascii="Times New Roman" w:eastAsia="Times New Roman"/>
        </w:rPr>
        <w:t>4</w:t>
      </w:r>
      <w:r>
        <w:rPr/>
        <w:t>月</w:t>
      </w:r>
      <w:r>
        <w:rPr>
          <w:rFonts w:ascii="Times New Roman" w:eastAsia="Times New Roman"/>
        </w:rPr>
        <w:t>12</w:t>
      </w:r>
      <w:r>
        <w:rPr/>
        <w:t>日期间，过钧先生任基金经理；</w:t>
      </w:r>
      <w:r>
        <w:rPr>
          <w:rFonts w:ascii="Times New Roman" w:eastAsia="Times New Roman"/>
        </w:rPr>
        <w:t>2005</w:t>
      </w:r>
      <w:r>
        <w:rPr/>
        <w:t>年</w:t>
      </w:r>
      <w:r>
        <w:rPr>
          <w:rFonts w:ascii="Times New Roman" w:eastAsia="Times New Roman"/>
        </w:rPr>
        <w:t>4 </w:t>
      </w:r>
      <w:r>
        <w:rPr/>
        <w:t>月</w:t>
      </w:r>
      <w:r>
        <w:rPr>
          <w:rFonts w:ascii="Times New Roman" w:eastAsia="Times New Roman"/>
        </w:rPr>
        <w:t>12</w:t>
      </w:r>
      <w:r>
        <w:rPr/>
        <w:t>日至</w:t>
      </w:r>
      <w:r>
        <w:rPr>
          <w:rFonts w:ascii="Times New Roman" w:eastAsia="Times New Roman"/>
        </w:rPr>
        <w:t>2006</w:t>
      </w:r>
      <w:r>
        <w:rPr/>
        <w:t>年</w:t>
      </w:r>
      <w:r>
        <w:rPr>
          <w:rFonts w:ascii="Times New Roman" w:eastAsia="Times New Roman"/>
        </w:rPr>
        <w:t>1</w:t>
      </w:r>
      <w:r>
        <w:rPr/>
        <w:t>月</w:t>
      </w:r>
      <w:r>
        <w:rPr>
          <w:rFonts w:ascii="Times New Roman" w:eastAsia="Times New Roman"/>
        </w:rPr>
        <w:t>24</w:t>
      </w:r>
      <w:r>
        <w:rPr/>
        <w:t>日期间，韩会永先生、乔巍先生任基金经理；</w:t>
      </w:r>
      <w:r>
        <w:rPr>
          <w:rFonts w:ascii="Times New Roman" w:eastAsia="Times New Roman"/>
        </w:rPr>
        <w:t>2006</w:t>
      </w:r>
      <w:r>
        <w:rPr/>
        <w:t>年</w:t>
      </w:r>
      <w:r>
        <w:rPr>
          <w:rFonts w:ascii="Times New Roman" w:eastAsia="Times New Roman"/>
        </w:rPr>
        <w:t>1</w:t>
      </w:r>
      <w:r>
        <w:rPr/>
        <w:t>月</w:t>
      </w:r>
      <w:r>
        <w:rPr>
          <w:rFonts w:ascii="Times New Roman" w:eastAsia="Times New Roman"/>
        </w:rPr>
        <w:t>24</w:t>
      </w:r>
      <w:r>
        <w:rPr/>
        <w:t>日至</w:t>
      </w:r>
      <w:r>
        <w:rPr>
          <w:rFonts w:ascii="Times New Roman" w:eastAsia="Times New Roman"/>
        </w:rPr>
        <w:t>2007 </w:t>
      </w:r>
      <w:r>
        <w:rPr/>
        <w:t>年</w:t>
      </w:r>
      <w:r>
        <w:rPr>
          <w:rFonts w:ascii="Times New Roman" w:eastAsia="Times New Roman"/>
        </w:rPr>
        <w:t>1</w:t>
      </w:r>
      <w:r>
        <w:rPr/>
        <w:t>月</w:t>
      </w:r>
      <w:r>
        <w:rPr>
          <w:rFonts w:ascii="Times New Roman" w:eastAsia="Times New Roman"/>
          <w:spacing w:val="-3"/>
        </w:rPr>
        <w:t>6</w:t>
      </w:r>
      <w:r>
        <w:rPr>
          <w:spacing w:val="-8"/>
        </w:rPr>
        <w:t>日期间，章劲先生任基金经理；</w:t>
      </w:r>
      <w:r>
        <w:rPr>
          <w:rFonts w:ascii="Times New Roman" w:eastAsia="Times New Roman"/>
          <w:spacing w:val="-7"/>
        </w:rPr>
        <w:t>2007</w:t>
      </w:r>
      <w:r>
        <w:rPr/>
        <w:t>年</w:t>
      </w:r>
      <w:r>
        <w:rPr>
          <w:rFonts w:ascii="Times New Roman" w:eastAsia="Times New Roman"/>
        </w:rPr>
        <w:t>1</w:t>
      </w:r>
      <w:r>
        <w:rPr>
          <w:spacing w:val="-3"/>
        </w:rPr>
        <w:t>月</w:t>
      </w:r>
      <w:r>
        <w:rPr>
          <w:rFonts w:ascii="Times New Roman" w:eastAsia="Times New Roman"/>
        </w:rPr>
        <w:t>6</w:t>
      </w:r>
      <w:r>
        <w:rPr/>
        <w:t>日至</w:t>
      </w:r>
      <w:r>
        <w:rPr>
          <w:rFonts w:ascii="Times New Roman" w:eastAsia="Times New Roman"/>
        </w:rPr>
        <w:t>2008</w:t>
      </w:r>
      <w:r>
        <w:rPr>
          <w:spacing w:val="-3"/>
        </w:rPr>
        <w:t>年</w:t>
      </w:r>
      <w:r>
        <w:rPr>
          <w:rFonts w:ascii="Times New Roman" w:eastAsia="Times New Roman"/>
        </w:rPr>
        <w:t>2</w:t>
      </w:r>
      <w:r>
        <w:rPr/>
        <w:t>月</w:t>
      </w:r>
      <w:r>
        <w:rPr>
          <w:rFonts w:ascii="Times New Roman" w:eastAsia="Times New Roman"/>
          <w:spacing w:val="-3"/>
        </w:rPr>
        <w:t>4</w:t>
      </w:r>
      <w:r>
        <w:rPr>
          <w:spacing w:val="-7"/>
        </w:rPr>
        <w:t>日期间，韩会永先生任基</w:t>
      </w:r>
      <w:r>
        <w:rPr>
          <w:spacing w:val="-5"/>
        </w:rPr>
        <w:t>金经理。</w:t>
      </w:r>
    </w:p>
    <w:p>
      <w:pPr>
        <w:pStyle w:val="BodyText"/>
        <w:spacing w:line="268" w:lineRule="exact"/>
        <w:ind w:left="1198"/>
      </w:pPr>
      <w:r>
        <w:rPr>
          <w:rFonts w:ascii="Times New Roman" w:eastAsia="Times New Roman"/>
        </w:rPr>
        <w:t>3</w:t>
      </w:r>
      <w:r>
        <w:rPr/>
        <w:t>、本公司固定收益投资决策委员会</w:t>
      </w:r>
    </w:p>
    <w:p>
      <w:pPr>
        <w:pStyle w:val="BodyText"/>
        <w:spacing w:before="6"/>
        <w:rPr>
          <w:sz w:val="15"/>
        </w:rPr>
      </w:pPr>
    </w:p>
    <w:p>
      <w:pPr>
        <w:pStyle w:val="BodyText"/>
        <w:spacing w:line="417" w:lineRule="auto"/>
        <w:ind w:left="1198" w:right="1218"/>
      </w:pPr>
      <w:r>
        <w:rPr/>
        <w:t>主任：范义先生，华夏基金管理有限公司固定收益总监，董事总经理，投资经理。成员：李一梅女士，华夏基金管理有限公司董事、总经理。</w:t>
      </w:r>
    </w:p>
    <w:p>
      <w:pPr>
        <w:pStyle w:val="BodyText"/>
        <w:ind w:left="1198"/>
      </w:pPr>
      <w:r>
        <w:rPr/>
        <w:t>阳琨先生，华夏基金管理有限公司副总经理、投资总监，基金经理。</w:t>
      </w:r>
    </w:p>
    <w:p>
      <w:pPr>
        <w:pStyle w:val="BodyText"/>
        <w:spacing w:before="7"/>
        <w:rPr>
          <w:sz w:val="15"/>
        </w:rPr>
      </w:pPr>
    </w:p>
    <w:p>
      <w:pPr>
        <w:pStyle w:val="BodyText"/>
        <w:spacing w:line="417" w:lineRule="auto"/>
        <w:ind w:left="1198" w:right="2060"/>
      </w:pPr>
      <w:r>
        <w:rPr/>
        <w:t>孙彬先生，华夏基金管理有限公司总经理助理，董事总经理，投资经理。曲波先生，华夏基金管理有限公司董事总经理，基金经理。</w:t>
      </w:r>
    </w:p>
    <w:p>
      <w:pPr>
        <w:pStyle w:val="BodyText"/>
        <w:spacing w:line="269" w:lineRule="exact"/>
        <w:ind w:left="1198"/>
      </w:pPr>
      <w:r>
        <w:rPr/>
        <w:t>刘明宇先生，华夏基金管理有限公司董事总经理，基金经理。</w:t>
      </w:r>
    </w:p>
    <w:p>
      <w:pPr>
        <w:pStyle w:val="BodyText"/>
        <w:spacing w:before="7"/>
        <w:rPr>
          <w:sz w:val="15"/>
        </w:rPr>
      </w:pPr>
    </w:p>
    <w:p>
      <w:pPr>
        <w:pStyle w:val="BodyText"/>
        <w:spacing w:line="417" w:lineRule="auto"/>
        <w:ind w:left="1198" w:right="2060"/>
      </w:pPr>
      <w:r>
        <w:rPr/>
        <w:t>柳万军先生，华夏基金管理有限公司固定收益部执行总经理，基金经理。张驰先生，华夏基金管理有限公司机构债券投资部总监。</w:t>
      </w:r>
    </w:p>
    <w:p>
      <w:pPr>
        <w:pStyle w:val="BodyText"/>
        <w:spacing w:line="269" w:lineRule="exact"/>
        <w:ind w:left="1198"/>
      </w:pPr>
      <w:r>
        <w:rPr>
          <w:rFonts w:ascii="Times New Roman" w:eastAsia="Times New Roman"/>
        </w:rPr>
        <w:t>4</w:t>
      </w:r>
      <w:r>
        <w:rPr/>
        <w:t>、上述人员之间不存在近亲属关系。</w:t>
      </w:r>
    </w:p>
    <w:p>
      <w:pPr>
        <w:pStyle w:val="BodyText"/>
        <w:spacing w:before="190"/>
        <w:ind w:left="1198"/>
      </w:pPr>
      <w:r>
        <w:rPr/>
        <w:t>（三）基金管理人的职责</w:t>
      </w:r>
    </w:p>
    <w:p>
      <w:pPr>
        <w:pStyle w:val="BodyText"/>
        <w:spacing w:before="7"/>
        <w:rPr>
          <w:sz w:val="14"/>
        </w:rPr>
      </w:pPr>
    </w:p>
    <w:p>
      <w:pPr>
        <w:pStyle w:val="BodyText"/>
        <w:ind w:left="1198"/>
      </w:pPr>
      <w:r>
        <w:rPr>
          <w:rFonts w:ascii="Times New Roman" w:eastAsia="Times New Roman"/>
        </w:rPr>
        <w:t>1</w:t>
      </w:r>
      <w:r>
        <w:rPr/>
        <w:t>、依法办理或者委托其他机构代为办理基金份额的发售、申购、赎回和登记事宜。</w:t>
      </w:r>
    </w:p>
    <w:p>
      <w:pPr>
        <w:spacing w:after="0"/>
        <w:sectPr>
          <w:pgSz w:w="11910" w:h="16840"/>
          <w:pgMar w:header="877" w:footer="995" w:top="1280" w:bottom="1180" w:left="1020" w:right="900"/>
        </w:sectPr>
      </w:pPr>
    </w:p>
    <w:p>
      <w:pPr>
        <w:pStyle w:val="BodyText"/>
        <w:rPr>
          <w:sz w:val="12"/>
        </w:rPr>
      </w:pPr>
    </w:p>
    <w:p>
      <w:pPr>
        <w:pStyle w:val="BodyText"/>
        <w:spacing w:before="78"/>
        <w:ind w:left="1198"/>
      </w:pPr>
      <w:r>
        <w:rPr>
          <w:rFonts w:ascii="Times New Roman" w:eastAsia="Times New Roman"/>
        </w:rPr>
        <w:t>2</w:t>
      </w:r>
      <w:r>
        <w:rPr/>
        <w:t>、办理基金备案手续。</w:t>
      </w:r>
    </w:p>
    <w:p>
      <w:pPr>
        <w:pStyle w:val="BodyText"/>
        <w:spacing w:before="7"/>
        <w:rPr>
          <w:sz w:val="15"/>
        </w:rPr>
      </w:pPr>
    </w:p>
    <w:p>
      <w:pPr>
        <w:pStyle w:val="BodyText"/>
        <w:ind w:left="1198"/>
      </w:pPr>
      <w:r>
        <w:rPr>
          <w:rFonts w:ascii="Times New Roman" w:eastAsia="Times New Roman"/>
        </w:rPr>
        <w:t>3</w:t>
      </w:r>
      <w:r>
        <w:rPr/>
        <w:t>、自基金合同生效之日起，以诚实信用、勤勉尽责的原则管理和运用基金财产。</w:t>
      </w:r>
    </w:p>
    <w:p>
      <w:pPr>
        <w:pStyle w:val="BodyText"/>
        <w:spacing w:before="7"/>
        <w:rPr>
          <w:sz w:val="15"/>
        </w:rPr>
      </w:pPr>
    </w:p>
    <w:p>
      <w:pPr>
        <w:pStyle w:val="BodyText"/>
        <w:spacing w:line="417" w:lineRule="auto"/>
        <w:ind w:left="778" w:right="889" w:firstLine="419"/>
      </w:pPr>
      <w:r>
        <w:rPr>
          <w:rFonts w:ascii="Times New Roman" w:eastAsia="Times New Roman"/>
        </w:rPr>
        <w:t>4</w:t>
      </w:r>
      <w:r>
        <w:rPr/>
        <w:t>、配备足够的具有专业资格的人员进行基金投资分析、决策，以专业化的经营方式管理和运作基金财产。</w:t>
      </w:r>
    </w:p>
    <w:p>
      <w:pPr>
        <w:pStyle w:val="BodyText"/>
        <w:spacing w:line="417" w:lineRule="auto"/>
        <w:ind w:left="778" w:right="889" w:firstLine="419"/>
        <w:jc w:val="both"/>
      </w:pPr>
      <w:r>
        <w:rPr>
          <w:rFonts w:ascii="Times New Roman" w:eastAsia="Times New Roman"/>
        </w:rPr>
        <w:t>5</w:t>
      </w:r>
      <w:r>
        <w:rPr>
          <w:spacing w:val="-3"/>
        </w:rPr>
        <w:t>、建立健全内部风险控制、监察与稽核、财务管理及人事管理等制度，保证所管理的</w:t>
      </w:r>
      <w:r>
        <w:rPr>
          <w:spacing w:val="-7"/>
        </w:rPr>
        <w:t>基金财产和管理人的财产相互独立，对所管理的不同基金分别管理，分别记账，进行证券投资。</w:t>
      </w:r>
    </w:p>
    <w:p>
      <w:pPr>
        <w:pStyle w:val="BodyText"/>
        <w:spacing w:line="417" w:lineRule="auto"/>
        <w:ind w:left="778" w:right="889" w:firstLine="419"/>
      </w:pPr>
      <w:r>
        <w:rPr>
          <w:rFonts w:ascii="Times New Roman" w:eastAsia="Times New Roman"/>
        </w:rPr>
        <w:t>6</w:t>
      </w:r>
      <w:r>
        <w:rPr>
          <w:spacing w:val="-16"/>
        </w:rPr>
        <w:t>、除依据《基金法》、基金合同及其他法律法规规定外，不得为自己及任何第三人谋取</w:t>
      </w:r>
      <w:r>
        <w:rPr>
          <w:spacing w:val="-7"/>
        </w:rPr>
        <w:t>利益，不得委托第三人运作基金财产。</w:t>
      </w:r>
    </w:p>
    <w:p>
      <w:pPr>
        <w:pStyle w:val="BodyText"/>
        <w:spacing w:line="269" w:lineRule="exact"/>
        <w:ind w:left="1198"/>
      </w:pPr>
      <w:r>
        <w:rPr>
          <w:rFonts w:ascii="Times New Roman" w:eastAsia="Times New Roman"/>
        </w:rPr>
        <w:t>7</w:t>
      </w:r>
      <w:r>
        <w:rPr/>
        <w:t>、依法接受基金托管人的监督。</w:t>
      </w:r>
    </w:p>
    <w:p>
      <w:pPr>
        <w:pStyle w:val="BodyText"/>
        <w:spacing w:before="6"/>
        <w:rPr>
          <w:sz w:val="15"/>
        </w:rPr>
      </w:pPr>
    </w:p>
    <w:p>
      <w:pPr>
        <w:pStyle w:val="BodyText"/>
        <w:ind w:left="1198"/>
      </w:pPr>
      <w:r>
        <w:rPr>
          <w:rFonts w:ascii="Times New Roman" w:eastAsia="Times New Roman"/>
        </w:rPr>
        <w:t>8</w:t>
      </w:r>
      <w:r>
        <w:rPr/>
        <w:t>、计算并公告基金净值信息，确定基金份额申购、赎回价格。</w:t>
      </w:r>
    </w:p>
    <w:p>
      <w:pPr>
        <w:pStyle w:val="BodyText"/>
        <w:spacing w:before="7"/>
        <w:rPr>
          <w:sz w:val="15"/>
        </w:rPr>
      </w:pPr>
    </w:p>
    <w:p>
      <w:pPr>
        <w:pStyle w:val="BodyText"/>
        <w:spacing w:line="417" w:lineRule="auto"/>
        <w:ind w:left="778" w:right="889" w:firstLine="419"/>
      </w:pPr>
      <w:r>
        <w:rPr>
          <w:rFonts w:ascii="Times New Roman" w:eastAsia="Times New Roman"/>
        </w:rPr>
        <w:t>9</w:t>
      </w:r>
      <w:r>
        <w:rPr/>
        <w:t>、采取适当合理的措施使计算基金份额认购、申购、赎回和注销价格的方法符合基金合同等法律文件的规定。</w:t>
      </w:r>
    </w:p>
    <w:p>
      <w:pPr>
        <w:pStyle w:val="BodyText"/>
        <w:spacing w:line="269" w:lineRule="exact"/>
        <w:ind w:left="1198"/>
      </w:pPr>
      <w:r>
        <w:rPr>
          <w:rFonts w:ascii="Times New Roman" w:eastAsia="Times New Roman"/>
        </w:rPr>
        <w:t>10</w:t>
      </w:r>
      <w:r>
        <w:rPr/>
        <w:t>、按规定受理申购和赎回申请，及时、足额支付投资者申购之基金份额或赎回款。</w:t>
      </w:r>
    </w:p>
    <w:p>
      <w:pPr>
        <w:pStyle w:val="BodyText"/>
        <w:spacing w:before="7"/>
        <w:rPr>
          <w:sz w:val="15"/>
        </w:rPr>
      </w:pPr>
    </w:p>
    <w:p>
      <w:pPr>
        <w:pStyle w:val="BodyText"/>
        <w:ind w:left="1198"/>
      </w:pPr>
      <w:r>
        <w:rPr>
          <w:rFonts w:ascii="Times New Roman" w:eastAsia="Times New Roman"/>
        </w:rPr>
        <w:t>11</w:t>
      </w:r>
      <w:r>
        <w:rPr/>
        <w:t>、进行基金会计核算并编制基金财务会计报告。</w:t>
      </w:r>
    </w:p>
    <w:p>
      <w:pPr>
        <w:pStyle w:val="BodyText"/>
        <w:spacing w:before="7"/>
        <w:rPr>
          <w:sz w:val="15"/>
        </w:rPr>
      </w:pPr>
    </w:p>
    <w:p>
      <w:pPr>
        <w:pStyle w:val="BodyText"/>
        <w:ind w:left="1198"/>
      </w:pPr>
      <w:r>
        <w:rPr>
          <w:rFonts w:ascii="Times New Roman" w:eastAsia="Times New Roman"/>
        </w:rPr>
        <w:t>12</w:t>
      </w:r>
      <w:r>
        <w:rPr/>
        <w:t>、编制中期和年度基金报告。</w:t>
      </w:r>
    </w:p>
    <w:p>
      <w:pPr>
        <w:pStyle w:val="BodyText"/>
        <w:spacing w:before="6"/>
        <w:rPr>
          <w:sz w:val="15"/>
        </w:rPr>
      </w:pPr>
    </w:p>
    <w:p>
      <w:pPr>
        <w:pStyle w:val="BodyText"/>
        <w:spacing w:before="1"/>
        <w:ind w:left="1198"/>
      </w:pPr>
      <w:r>
        <w:rPr>
          <w:rFonts w:ascii="Times New Roman" w:eastAsia="Times New Roman"/>
        </w:rPr>
        <w:t>13</w:t>
      </w:r>
      <w:r>
        <w:rPr/>
        <w:t>、严格按照《基金法》、基金合同及其他法律法规规定，履行信息披露及报告义务。</w:t>
      </w:r>
    </w:p>
    <w:p>
      <w:pPr>
        <w:pStyle w:val="BodyText"/>
        <w:spacing w:before="6"/>
        <w:rPr>
          <w:sz w:val="15"/>
        </w:rPr>
      </w:pPr>
    </w:p>
    <w:p>
      <w:pPr>
        <w:pStyle w:val="BodyText"/>
        <w:spacing w:line="417" w:lineRule="auto"/>
        <w:ind w:left="778" w:right="889" w:firstLine="419"/>
      </w:pPr>
      <w:r>
        <w:rPr>
          <w:rFonts w:ascii="Times New Roman" w:eastAsia="Times New Roman"/>
        </w:rPr>
        <w:t>14</w:t>
      </w:r>
      <w:r>
        <w:rPr>
          <w:spacing w:val="-8"/>
        </w:rPr>
        <w:t>、保守基金商业秘密，不得泄露基金投资计划、投资意向等。除《基金法》、基金合</w:t>
      </w:r>
      <w:r>
        <w:rPr>
          <w:spacing w:val="-3"/>
        </w:rPr>
        <w:t>同及其他法律法规规定另有规定外，在基金信息公开披露前应予保密，不得向他人泄露。</w:t>
      </w:r>
    </w:p>
    <w:p>
      <w:pPr>
        <w:pStyle w:val="BodyText"/>
        <w:spacing w:line="269" w:lineRule="exact"/>
        <w:ind w:left="1198"/>
      </w:pPr>
      <w:r>
        <w:rPr>
          <w:rFonts w:ascii="Times New Roman" w:eastAsia="Times New Roman"/>
        </w:rPr>
        <w:t>15</w:t>
      </w:r>
      <w:r>
        <w:rPr>
          <w:spacing w:val="-3"/>
        </w:rPr>
        <w:t>、按照基金合同的约定制订基金收益分配方案，及时向基金份额持有人分配收益。</w:t>
      </w:r>
    </w:p>
    <w:p>
      <w:pPr>
        <w:pStyle w:val="BodyText"/>
        <w:spacing w:before="7"/>
        <w:rPr>
          <w:sz w:val="15"/>
        </w:rPr>
      </w:pPr>
    </w:p>
    <w:p>
      <w:pPr>
        <w:pStyle w:val="BodyText"/>
        <w:spacing w:line="417" w:lineRule="auto"/>
        <w:ind w:left="778" w:right="889" w:firstLine="419"/>
      </w:pPr>
      <w:r>
        <w:rPr>
          <w:rFonts w:ascii="Times New Roman" w:eastAsia="Times New Roman"/>
        </w:rPr>
        <w:t>16</w:t>
      </w:r>
      <w:r>
        <w:rPr>
          <w:spacing w:val="-12"/>
        </w:rPr>
        <w:t>、依据《基金法》、基金合同及其他法律法规规定召集基金份额持有人大会或配合基</w:t>
      </w:r>
      <w:r>
        <w:rPr>
          <w:spacing w:val="-3"/>
        </w:rPr>
        <w:t>金托管人、基金份额持有人依法召集基金份额持有人大会。</w:t>
      </w:r>
    </w:p>
    <w:p>
      <w:pPr>
        <w:pStyle w:val="BodyText"/>
        <w:spacing w:line="417" w:lineRule="auto"/>
        <w:ind w:left="778" w:right="891" w:firstLine="419"/>
      </w:pPr>
      <w:r>
        <w:rPr>
          <w:rFonts w:ascii="Times New Roman" w:eastAsia="Times New Roman"/>
        </w:rPr>
        <w:t>17</w:t>
      </w:r>
      <w:r>
        <w:rPr>
          <w:spacing w:val="-10"/>
        </w:rPr>
        <w:t>、编制本基金的财务会计报告，保存基金的会计账册、报表及其他处理有关基金事务</w:t>
      </w:r>
      <w:r>
        <w:rPr>
          <w:spacing w:val="-6"/>
        </w:rPr>
        <w:t>的完整纪录</w:t>
      </w:r>
      <w:r>
        <w:rPr>
          <w:rFonts w:ascii="Times New Roman" w:eastAsia="Times New Roman"/>
        </w:rPr>
        <w:t>15</w:t>
      </w:r>
      <w:r>
        <w:rPr>
          <w:spacing w:val="-3"/>
        </w:rPr>
        <w:t>年以上。</w:t>
      </w:r>
    </w:p>
    <w:p>
      <w:pPr>
        <w:pStyle w:val="BodyText"/>
        <w:spacing w:line="269" w:lineRule="exact"/>
        <w:ind w:left="1198"/>
      </w:pPr>
      <w:r>
        <w:rPr>
          <w:rFonts w:ascii="Times New Roman" w:eastAsia="Times New Roman"/>
        </w:rPr>
        <w:t>18</w:t>
      </w:r>
      <w:r>
        <w:rPr>
          <w:spacing w:val="-17"/>
        </w:rPr>
        <w:t>、以基金管理人名义，代表基金份额持有人利益行使诉讼权利或者实施其他法律行为。</w:t>
      </w:r>
    </w:p>
    <w:p>
      <w:pPr>
        <w:pStyle w:val="BodyText"/>
        <w:spacing w:before="7"/>
        <w:rPr>
          <w:sz w:val="15"/>
        </w:rPr>
      </w:pPr>
    </w:p>
    <w:p>
      <w:pPr>
        <w:pStyle w:val="BodyText"/>
        <w:ind w:left="1198"/>
      </w:pPr>
      <w:r>
        <w:rPr>
          <w:rFonts w:ascii="Times New Roman" w:eastAsia="Times New Roman"/>
        </w:rPr>
        <w:t>19</w:t>
      </w:r>
      <w:r>
        <w:rPr>
          <w:spacing w:val="-3"/>
        </w:rPr>
        <w:t>、组织并参加基金财产清算小组，参与基金财产的保管、清理、估价、变现和分配。</w:t>
      </w:r>
    </w:p>
    <w:p>
      <w:pPr>
        <w:pStyle w:val="BodyText"/>
        <w:spacing w:before="7"/>
        <w:rPr>
          <w:sz w:val="15"/>
        </w:rPr>
      </w:pPr>
    </w:p>
    <w:p>
      <w:pPr>
        <w:pStyle w:val="BodyText"/>
        <w:spacing w:line="417" w:lineRule="auto"/>
        <w:ind w:left="778" w:right="889" w:firstLine="419"/>
      </w:pPr>
      <w:r>
        <w:rPr>
          <w:rFonts w:ascii="Times New Roman" w:eastAsia="Times New Roman"/>
        </w:rPr>
        <w:t>20</w:t>
      </w:r>
      <w:r>
        <w:rPr>
          <w:spacing w:val="-10"/>
        </w:rPr>
        <w:t>、因违反基金合同导致基金财产的损失或损害基金份额持有人合法权益，应当承担赔</w:t>
      </w:r>
      <w:r>
        <w:rPr>
          <w:spacing w:val="-5"/>
        </w:rPr>
        <w:t>偿责任，其赔偿责任不因其退任而免除。</w:t>
      </w:r>
    </w:p>
    <w:p>
      <w:pPr>
        <w:pStyle w:val="BodyText"/>
        <w:ind w:left="1198"/>
      </w:pPr>
      <w:r>
        <w:rPr>
          <w:rFonts w:ascii="Times New Roman" w:eastAsia="Times New Roman"/>
        </w:rPr>
        <w:t>21</w:t>
      </w:r>
      <w:r>
        <w:rPr/>
        <w:t>、法律法规规定的其他义务。</w:t>
      </w:r>
    </w:p>
    <w:p>
      <w:pPr>
        <w:pStyle w:val="BodyText"/>
        <w:spacing w:before="189"/>
        <w:ind w:left="1198"/>
      </w:pPr>
      <w:r>
        <w:rPr/>
        <w:t>（四）基金管理人承诺</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89" w:firstLine="419"/>
      </w:pPr>
      <w:r>
        <w:rPr>
          <w:rFonts w:ascii="Times New Roman" w:eastAsia="Times New Roman"/>
        </w:rPr>
        <w:t>1</w:t>
      </w:r>
      <w:r>
        <w:rPr/>
        <w:t>、本基金管理人将根据基金合同的规定，按照招募说明书列明的投资目标、理念、策略及限制等全权处理本基金的投资。</w:t>
      </w:r>
    </w:p>
    <w:p>
      <w:pPr>
        <w:pStyle w:val="BodyText"/>
        <w:spacing w:line="417" w:lineRule="auto"/>
        <w:ind w:left="778" w:right="889" w:firstLine="419"/>
      </w:pPr>
      <w:r>
        <w:rPr>
          <w:rFonts w:ascii="Times New Roman" w:eastAsia="Times New Roman"/>
        </w:rPr>
        <w:t>2</w:t>
      </w:r>
      <w:r>
        <w:rPr/>
        <w:t>、本基金管理人不从事违反《证券法》的行为，并建立健全内部控制制度，采取有效措施，防止违反《证券法》行为的发生。</w:t>
      </w:r>
    </w:p>
    <w:p>
      <w:pPr>
        <w:pStyle w:val="BodyText"/>
        <w:spacing w:line="417" w:lineRule="auto"/>
        <w:ind w:left="778" w:right="889" w:firstLine="419"/>
      </w:pPr>
      <w:r>
        <w:rPr>
          <w:rFonts w:ascii="Times New Roman" w:eastAsia="Times New Roman"/>
        </w:rPr>
        <w:t>3</w:t>
      </w:r>
      <w:r>
        <w:rPr/>
        <w:t>、本基金管理人不从事违反《基金法》的行为，并建立健全内部控制制度，采取有效措施，保证基金财产不用于下列投资或者活动：</w:t>
      </w:r>
    </w:p>
    <w:p>
      <w:pPr>
        <w:pStyle w:val="ListParagraph"/>
        <w:numPr>
          <w:ilvl w:val="0"/>
          <w:numId w:val="1"/>
        </w:numPr>
        <w:tabs>
          <w:tab w:pos="1727" w:val="left" w:leader="none"/>
        </w:tabs>
        <w:spacing w:line="269" w:lineRule="exact" w:before="0" w:after="0"/>
        <w:ind w:left="1727" w:right="0" w:hanging="529"/>
        <w:jc w:val="left"/>
        <w:rPr>
          <w:sz w:val="21"/>
        </w:rPr>
      </w:pPr>
      <w:r>
        <w:rPr>
          <w:spacing w:val="-3"/>
          <w:sz w:val="21"/>
        </w:rPr>
        <w:t>将其固有财产或者他人财产混同于基金财产从事证券投资。</w:t>
      </w:r>
    </w:p>
    <w:p>
      <w:pPr>
        <w:pStyle w:val="BodyText"/>
        <w:spacing w:before="7"/>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不公平地对待其管理的不同基金财产。</w:t>
      </w:r>
    </w:p>
    <w:p>
      <w:pPr>
        <w:pStyle w:val="BodyText"/>
        <w:spacing w:before="6"/>
        <w:rPr>
          <w:sz w:val="15"/>
        </w:rPr>
      </w:pPr>
    </w:p>
    <w:p>
      <w:pPr>
        <w:pStyle w:val="ListParagraph"/>
        <w:numPr>
          <w:ilvl w:val="0"/>
          <w:numId w:val="1"/>
        </w:numPr>
        <w:tabs>
          <w:tab w:pos="1727" w:val="left" w:leader="none"/>
        </w:tabs>
        <w:spacing w:line="240" w:lineRule="auto" w:before="1" w:after="0"/>
        <w:ind w:left="1727" w:right="0" w:hanging="529"/>
        <w:jc w:val="left"/>
        <w:rPr>
          <w:sz w:val="21"/>
        </w:rPr>
      </w:pPr>
      <w:r>
        <w:rPr>
          <w:spacing w:val="-3"/>
          <w:sz w:val="21"/>
        </w:rPr>
        <w:t>利用基金财产为基金份额持有人以外的第三人牟取利益。</w:t>
      </w:r>
    </w:p>
    <w:p>
      <w:pPr>
        <w:pStyle w:val="BodyText"/>
        <w:spacing w:before="6"/>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向基金份额持有人违规承诺收益或者承担损失。</w:t>
      </w:r>
    </w:p>
    <w:p>
      <w:pPr>
        <w:pStyle w:val="BodyText"/>
        <w:spacing w:before="7"/>
        <w:rPr>
          <w:sz w:val="15"/>
        </w:rPr>
      </w:pPr>
    </w:p>
    <w:p>
      <w:pPr>
        <w:pStyle w:val="ListParagraph"/>
        <w:numPr>
          <w:ilvl w:val="0"/>
          <w:numId w:val="1"/>
        </w:numPr>
        <w:tabs>
          <w:tab w:pos="1727" w:val="left" w:leader="none"/>
        </w:tabs>
        <w:spacing w:line="240" w:lineRule="auto" w:before="0" w:after="0"/>
        <w:ind w:left="1727" w:right="0" w:hanging="529"/>
        <w:jc w:val="left"/>
        <w:rPr>
          <w:sz w:val="21"/>
        </w:rPr>
      </w:pPr>
      <w:r>
        <w:rPr>
          <w:spacing w:val="-3"/>
          <w:sz w:val="21"/>
        </w:rPr>
        <w:t>依照法律、行政法规有关规定，由中国证监会规定禁止的其他行为。</w:t>
      </w:r>
    </w:p>
    <w:p>
      <w:pPr>
        <w:pStyle w:val="BodyText"/>
        <w:spacing w:before="7"/>
        <w:rPr>
          <w:sz w:val="15"/>
        </w:rPr>
      </w:pPr>
    </w:p>
    <w:p>
      <w:pPr>
        <w:pStyle w:val="BodyText"/>
        <w:ind w:left="1198"/>
      </w:pPr>
      <w:r>
        <w:rPr>
          <w:rFonts w:ascii="Times New Roman" w:eastAsia="Times New Roman"/>
        </w:rPr>
        <w:t>4</w:t>
      </w:r>
      <w:r>
        <w:rPr/>
        <w:t>、本基金基金财产不得用于下列投资或者活动：</w:t>
      </w:r>
    </w:p>
    <w:p>
      <w:pPr>
        <w:pStyle w:val="BodyText"/>
        <w:spacing w:before="6"/>
        <w:rPr>
          <w:sz w:val="15"/>
        </w:rPr>
      </w:pPr>
    </w:p>
    <w:p>
      <w:pPr>
        <w:pStyle w:val="ListParagraph"/>
        <w:numPr>
          <w:ilvl w:val="0"/>
          <w:numId w:val="2"/>
        </w:numPr>
        <w:tabs>
          <w:tab w:pos="1727" w:val="left" w:leader="none"/>
        </w:tabs>
        <w:spacing w:line="240" w:lineRule="auto" w:before="1" w:after="0"/>
        <w:ind w:left="1727" w:right="0" w:hanging="529"/>
        <w:jc w:val="left"/>
        <w:rPr>
          <w:sz w:val="21"/>
        </w:rPr>
      </w:pPr>
      <w:r>
        <w:rPr>
          <w:spacing w:val="-3"/>
          <w:sz w:val="21"/>
        </w:rPr>
        <w:t>承销证券。</w:t>
      </w:r>
    </w:p>
    <w:p>
      <w:pPr>
        <w:pStyle w:val="BodyText"/>
        <w:spacing w:before="6"/>
        <w:rPr>
          <w:sz w:val="15"/>
        </w:rPr>
      </w:pPr>
    </w:p>
    <w:p>
      <w:pPr>
        <w:pStyle w:val="ListParagraph"/>
        <w:numPr>
          <w:ilvl w:val="0"/>
          <w:numId w:val="2"/>
        </w:numPr>
        <w:tabs>
          <w:tab w:pos="1727" w:val="left" w:leader="none"/>
        </w:tabs>
        <w:spacing w:line="240" w:lineRule="auto" w:before="0" w:after="0"/>
        <w:ind w:left="1727" w:right="0" w:hanging="529"/>
        <w:jc w:val="left"/>
        <w:rPr>
          <w:sz w:val="21"/>
        </w:rPr>
      </w:pPr>
      <w:r>
        <w:rPr>
          <w:spacing w:val="-3"/>
          <w:sz w:val="21"/>
        </w:rPr>
        <w:t>向他人贷款或者提供担保。</w:t>
      </w:r>
    </w:p>
    <w:p>
      <w:pPr>
        <w:pStyle w:val="BodyText"/>
        <w:spacing w:before="7"/>
        <w:rPr>
          <w:sz w:val="15"/>
        </w:rPr>
      </w:pPr>
    </w:p>
    <w:p>
      <w:pPr>
        <w:pStyle w:val="ListParagraph"/>
        <w:numPr>
          <w:ilvl w:val="0"/>
          <w:numId w:val="2"/>
        </w:numPr>
        <w:tabs>
          <w:tab w:pos="1727" w:val="left" w:leader="none"/>
        </w:tabs>
        <w:spacing w:line="240" w:lineRule="auto" w:before="1" w:after="0"/>
        <w:ind w:left="1727" w:right="0" w:hanging="529"/>
        <w:jc w:val="left"/>
        <w:rPr>
          <w:sz w:val="21"/>
        </w:rPr>
      </w:pPr>
      <w:r>
        <w:rPr>
          <w:spacing w:val="-3"/>
          <w:sz w:val="21"/>
        </w:rPr>
        <w:t>从事承担无限责任的投资。</w:t>
      </w:r>
    </w:p>
    <w:p>
      <w:pPr>
        <w:pStyle w:val="BodyText"/>
        <w:spacing w:before="6"/>
        <w:rPr>
          <w:sz w:val="15"/>
        </w:rPr>
      </w:pPr>
    </w:p>
    <w:p>
      <w:pPr>
        <w:pStyle w:val="ListParagraph"/>
        <w:numPr>
          <w:ilvl w:val="0"/>
          <w:numId w:val="2"/>
        </w:numPr>
        <w:tabs>
          <w:tab w:pos="1727" w:val="left" w:leader="none"/>
        </w:tabs>
        <w:spacing w:line="240" w:lineRule="auto" w:before="0" w:after="0"/>
        <w:ind w:left="1727" w:right="0" w:hanging="529"/>
        <w:jc w:val="left"/>
        <w:rPr>
          <w:sz w:val="21"/>
        </w:rPr>
      </w:pPr>
      <w:r>
        <w:rPr>
          <w:spacing w:val="-3"/>
          <w:sz w:val="21"/>
        </w:rPr>
        <w:t>买卖其他基金份额，但是国务院另有规定的除外。</w:t>
      </w:r>
    </w:p>
    <w:p>
      <w:pPr>
        <w:pStyle w:val="BodyText"/>
        <w:spacing w:before="7"/>
        <w:rPr>
          <w:sz w:val="15"/>
        </w:rPr>
      </w:pPr>
    </w:p>
    <w:p>
      <w:pPr>
        <w:pStyle w:val="ListParagraph"/>
        <w:numPr>
          <w:ilvl w:val="0"/>
          <w:numId w:val="2"/>
        </w:numPr>
        <w:tabs>
          <w:tab w:pos="1727" w:val="left" w:leader="none"/>
        </w:tabs>
        <w:spacing w:line="417" w:lineRule="auto" w:before="0" w:after="0"/>
        <w:ind w:left="778" w:right="889" w:firstLine="419"/>
        <w:jc w:val="left"/>
        <w:rPr>
          <w:sz w:val="21"/>
        </w:rPr>
      </w:pPr>
      <w:r>
        <w:rPr>
          <w:spacing w:val="-3"/>
          <w:sz w:val="21"/>
        </w:rPr>
        <w:t>向基金管理人、基金托管人出资或者买卖基金管理人、基金托管人发行的股票或者债券。</w:t>
      </w:r>
    </w:p>
    <w:p>
      <w:pPr>
        <w:pStyle w:val="ListParagraph"/>
        <w:numPr>
          <w:ilvl w:val="0"/>
          <w:numId w:val="2"/>
        </w:numPr>
        <w:tabs>
          <w:tab w:pos="1727" w:val="left" w:leader="none"/>
        </w:tabs>
        <w:spacing w:line="417" w:lineRule="auto" w:before="0" w:after="0"/>
        <w:ind w:left="778" w:right="889" w:firstLine="419"/>
        <w:jc w:val="left"/>
        <w:rPr>
          <w:sz w:val="21"/>
        </w:rPr>
      </w:pPr>
      <w:r>
        <w:rPr>
          <w:spacing w:val="-3"/>
          <w:sz w:val="21"/>
        </w:rPr>
        <w:t>买卖与基金管理人、基金托管人有控股关系的股东或者与基金管理人、基金托管人有其他重大利害关系的公司发行的证券或者承销期内承销的证券。</w:t>
      </w:r>
    </w:p>
    <w:p>
      <w:pPr>
        <w:pStyle w:val="ListParagraph"/>
        <w:numPr>
          <w:ilvl w:val="0"/>
          <w:numId w:val="2"/>
        </w:numPr>
        <w:tabs>
          <w:tab w:pos="1727" w:val="left" w:leader="none"/>
        </w:tabs>
        <w:spacing w:line="269" w:lineRule="exact" w:before="0" w:after="0"/>
        <w:ind w:left="1727" w:right="0" w:hanging="529"/>
        <w:jc w:val="left"/>
        <w:rPr>
          <w:sz w:val="21"/>
        </w:rPr>
      </w:pPr>
      <w:r>
        <w:rPr>
          <w:spacing w:val="-3"/>
          <w:sz w:val="21"/>
        </w:rPr>
        <w:t>从事内幕交易、操纵证券交易价格及其他不正当的证券交易活动。</w:t>
      </w:r>
    </w:p>
    <w:p>
      <w:pPr>
        <w:pStyle w:val="BodyText"/>
        <w:spacing w:before="7"/>
        <w:rPr>
          <w:sz w:val="15"/>
        </w:rPr>
      </w:pPr>
    </w:p>
    <w:p>
      <w:pPr>
        <w:pStyle w:val="ListParagraph"/>
        <w:numPr>
          <w:ilvl w:val="0"/>
          <w:numId w:val="2"/>
        </w:numPr>
        <w:tabs>
          <w:tab w:pos="1727" w:val="left" w:leader="none"/>
        </w:tabs>
        <w:spacing w:line="240" w:lineRule="auto" w:before="0" w:after="0"/>
        <w:ind w:left="1727" w:right="0" w:hanging="529"/>
        <w:jc w:val="left"/>
        <w:rPr>
          <w:sz w:val="21"/>
        </w:rPr>
      </w:pPr>
      <w:r>
        <w:rPr>
          <w:spacing w:val="-3"/>
          <w:sz w:val="21"/>
        </w:rPr>
        <w:t>依照法律、行政法规有关规定，由中国证监会规定禁止的其他活动。</w:t>
      </w:r>
    </w:p>
    <w:p>
      <w:pPr>
        <w:pStyle w:val="BodyText"/>
        <w:spacing w:before="7"/>
        <w:rPr>
          <w:sz w:val="15"/>
        </w:rPr>
      </w:pPr>
    </w:p>
    <w:p>
      <w:pPr>
        <w:pStyle w:val="BodyText"/>
        <w:ind w:left="1198"/>
      </w:pPr>
      <w:r>
        <w:rPr>
          <w:rFonts w:ascii="Times New Roman" w:eastAsia="Times New Roman"/>
        </w:rPr>
        <w:t>5</w:t>
      </w:r>
      <w:r>
        <w:rPr/>
        <w:t>、基金经理承诺</w:t>
      </w:r>
    </w:p>
    <w:p>
      <w:pPr>
        <w:pStyle w:val="BodyText"/>
        <w:spacing w:before="6"/>
        <w:rPr>
          <w:sz w:val="15"/>
        </w:rPr>
      </w:pPr>
    </w:p>
    <w:p>
      <w:pPr>
        <w:pStyle w:val="ListParagraph"/>
        <w:numPr>
          <w:ilvl w:val="0"/>
          <w:numId w:val="3"/>
        </w:numPr>
        <w:tabs>
          <w:tab w:pos="1727" w:val="left" w:leader="none"/>
        </w:tabs>
        <w:spacing w:line="417" w:lineRule="auto" w:before="1" w:after="0"/>
        <w:ind w:left="778" w:right="889" w:firstLine="419"/>
        <w:jc w:val="left"/>
        <w:rPr>
          <w:sz w:val="21"/>
        </w:rPr>
      </w:pPr>
      <w:r>
        <w:rPr>
          <w:spacing w:val="-3"/>
          <w:sz w:val="21"/>
        </w:rPr>
        <w:t>依照有关法律、法规和基金合同的规定，本着谨慎的原则为基金份额持有人谋取利益。</w:t>
      </w:r>
    </w:p>
    <w:p>
      <w:pPr>
        <w:pStyle w:val="ListParagraph"/>
        <w:numPr>
          <w:ilvl w:val="0"/>
          <w:numId w:val="3"/>
        </w:numPr>
        <w:tabs>
          <w:tab w:pos="1727" w:val="left" w:leader="none"/>
        </w:tabs>
        <w:spacing w:line="417" w:lineRule="auto" w:before="0" w:after="0"/>
        <w:ind w:left="778" w:right="889" w:firstLine="419"/>
        <w:jc w:val="left"/>
        <w:rPr>
          <w:sz w:val="21"/>
        </w:rPr>
      </w:pPr>
      <w:r>
        <w:rPr>
          <w:spacing w:val="-3"/>
          <w:sz w:val="21"/>
        </w:rPr>
        <w:t>不利用职务之便为自己、被代理人、被代表人、受雇人或任何其他第三人谋取不当利益。</w:t>
      </w:r>
    </w:p>
    <w:p>
      <w:pPr>
        <w:pStyle w:val="ListParagraph"/>
        <w:numPr>
          <w:ilvl w:val="0"/>
          <w:numId w:val="3"/>
        </w:numPr>
        <w:tabs>
          <w:tab w:pos="1727" w:val="left" w:leader="none"/>
        </w:tabs>
        <w:spacing w:line="417" w:lineRule="auto" w:before="0" w:after="0"/>
        <w:ind w:left="778" w:right="889" w:firstLine="419"/>
        <w:jc w:val="left"/>
        <w:rPr>
          <w:sz w:val="21"/>
        </w:rPr>
      </w:pPr>
      <w:r>
        <w:rPr>
          <w:spacing w:val="-3"/>
          <w:sz w:val="21"/>
        </w:rPr>
        <w:t>不泄漏在任职期间知悉的有关证券、基金的商业秘密，尚未依法公开的基金投资内容、基金投资计划等信息。</w:t>
      </w:r>
    </w:p>
    <w:p>
      <w:pPr>
        <w:pStyle w:val="BodyText"/>
        <w:ind w:left="1198"/>
      </w:pPr>
      <w:r>
        <w:rPr/>
        <w:t>（五）基金管理人的内部控制制度</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9"/>
        </w:rPr>
        <w:t>基金管理人根据全面性原则、有效性原则、独立性原则、相互制约原则、防火墙原则和成本收益原则建立了一套比较完整的内部控制体系。该内部控制体系由一系列业务管理制度</w:t>
      </w:r>
      <w:r>
        <w:rPr>
          <w:spacing w:val="-5"/>
        </w:rPr>
        <w:t>及相应的业务处理、控制程序组成，具体包括控制环境、风险评估、控制活动、信息沟通、</w:t>
      </w:r>
      <w:r>
        <w:rPr>
          <w:w w:val="100"/>
        </w:rPr>
        <w:t>内部监控等要素。公司已经通过了</w:t>
      </w:r>
      <w:r>
        <w:rPr>
          <w:rFonts w:ascii="Times New Roman" w:eastAsia="Times New Roman"/>
          <w:spacing w:val="-4"/>
          <w:w w:val="100"/>
        </w:rPr>
        <w:t>I</w:t>
      </w:r>
      <w:r>
        <w:rPr>
          <w:rFonts w:ascii="Times New Roman" w:eastAsia="Times New Roman"/>
          <w:w w:val="100"/>
        </w:rPr>
        <w:t>S</w:t>
      </w:r>
      <w:r>
        <w:rPr>
          <w:rFonts w:ascii="Times New Roman" w:eastAsia="Times New Roman"/>
          <w:spacing w:val="-2"/>
          <w:w w:val="100"/>
        </w:rPr>
        <w:t>A</w:t>
      </w:r>
      <w:r>
        <w:rPr>
          <w:rFonts w:ascii="Times New Roman" w:eastAsia="Times New Roman"/>
          <w:w w:val="100"/>
        </w:rPr>
        <w:t>E3</w:t>
      </w:r>
      <w:r>
        <w:rPr>
          <w:rFonts w:ascii="Times New Roman" w:eastAsia="Times New Roman"/>
          <w:spacing w:val="-2"/>
          <w:w w:val="100"/>
        </w:rPr>
        <w:t>4</w:t>
      </w:r>
      <w:r>
        <w:rPr>
          <w:rFonts w:ascii="Times New Roman" w:eastAsia="Times New Roman"/>
          <w:w w:val="100"/>
        </w:rPr>
        <w:t>02</w:t>
      </w:r>
      <w:r>
        <w:rPr>
          <w:spacing w:val="-104"/>
          <w:w w:val="100"/>
        </w:rPr>
        <w:t>（</w:t>
      </w:r>
      <w:r>
        <w:rPr>
          <w:w w:val="100"/>
        </w:rPr>
        <w:t>《鉴证业务国际准则第</w:t>
      </w:r>
      <w:r>
        <w:rPr>
          <w:rFonts w:ascii="Times New Roman" w:eastAsia="Times New Roman"/>
          <w:w w:val="100"/>
        </w:rPr>
        <w:t>3</w:t>
      </w:r>
      <w:r>
        <w:rPr>
          <w:rFonts w:ascii="Times New Roman" w:eastAsia="Times New Roman"/>
          <w:spacing w:val="-3"/>
          <w:w w:val="100"/>
        </w:rPr>
        <w:t>4</w:t>
      </w:r>
      <w:r>
        <w:rPr>
          <w:rFonts w:ascii="Times New Roman" w:eastAsia="Times New Roman"/>
          <w:w w:val="100"/>
        </w:rPr>
        <w:t>0</w:t>
      </w:r>
      <w:r>
        <w:rPr>
          <w:rFonts w:ascii="Times New Roman" w:eastAsia="Times New Roman"/>
          <w:spacing w:val="2"/>
          <w:w w:val="100"/>
        </w:rPr>
        <w:t>2</w:t>
      </w:r>
      <w:r>
        <w:rPr>
          <w:spacing w:val="-53"/>
          <w:w w:val="100"/>
        </w:rPr>
        <w:t>号》</w:t>
      </w:r>
      <w:r>
        <w:rPr>
          <w:spacing w:val="2"/>
          <w:w w:val="100"/>
        </w:rPr>
        <w:t>）</w:t>
      </w:r>
      <w:r>
        <w:rPr>
          <w:w w:val="100"/>
        </w:rPr>
        <w:t>认证，获得</w:t>
      </w:r>
      <w:r>
        <w:rPr>
          <w:spacing w:val="-3"/>
        </w:rPr>
        <w:t>无保留意见的控制设计合理性及运行有效性的报告。</w:t>
      </w:r>
    </w:p>
    <w:p>
      <w:pPr>
        <w:pStyle w:val="BodyText"/>
        <w:spacing w:line="268" w:lineRule="exact"/>
        <w:ind w:left="1198"/>
      </w:pPr>
      <w:r>
        <w:rPr>
          <w:rFonts w:ascii="Times New Roman" w:eastAsia="Times New Roman"/>
        </w:rPr>
        <w:t>1</w:t>
      </w:r>
      <w:r>
        <w:rPr/>
        <w:t>、控制环境</w:t>
      </w:r>
    </w:p>
    <w:p>
      <w:pPr>
        <w:pStyle w:val="BodyText"/>
        <w:spacing w:before="7"/>
        <w:rPr>
          <w:sz w:val="15"/>
        </w:rPr>
      </w:pPr>
    </w:p>
    <w:p>
      <w:pPr>
        <w:pStyle w:val="BodyText"/>
        <w:spacing w:line="417" w:lineRule="auto"/>
        <w:ind w:left="778" w:right="889" w:firstLine="419"/>
      </w:pPr>
      <w:r>
        <w:rPr>
          <w:spacing w:val="-8"/>
        </w:rPr>
        <w:t>良好的控制环境包括科学的公司治理、有效的监督管理、合理的组织结构和有力的控制文化。</w:t>
      </w:r>
    </w:p>
    <w:p>
      <w:pPr>
        <w:pStyle w:val="ListParagraph"/>
        <w:numPr>
          <w:ilvl w:val="0"/>
          <w:numId w:val="4"/>
        </w:numPr>
        <w:tabs>
          <w:tab w:pos="1727" w:val="left" w:leader="none"/>
        </w:tabs>
        <w:spacing w:line="417" w:lineRule="auto" w:before="0" w:after="0"/>
        <w:ind w:left="778" w:right="891" w:firstLine="419"/>
        <w:jc w:val="left"/>
        <w:rPr>
          <w:sz w:val="21"/>
        </w:rPr>
      </w:pPr>
      <w:r>
        <w:rPr>
          <w:spacing w:val="-6"/>
          <w:sz w:val="21"/>
        </w:rPr>
        <w:t>公司引入了独立董事制度，目前有独立董事</w:t>
      </w:r>
      <w:r>
        <w:rPr>
          <w:rFonts w:ascii="Times New Roman" w:eastAsia="Times New Roman"/>
          <w:spacing w:val="-3"/>
          <w:sz w:val="21"/>
        </w:rPr>
        <w:t>3</w:t>
      </w:r>
      <w:r>
        <w:rPr>
          <w:spacing w:val="-7"/>
          <w:sz w:val="21"/>
        </w:rPr>
        <w:t>名。董事会下设审计委员会等专门 </w:t>
      </w:r>
      <w:r>
        <w:rPr>
          <w:spacing w:val="-3"/>
          <w:sz w:val="21"/>
        </w:rPr>
        <w:t>委员会。公司管理层设立了投资决策委员会、风险管理委员会等专业委员会。</w:t>
      </w:r>
    </w:p>
    <w:p>
      <w:pPr>
        <w:pStyle w:val="ListParagraph"/>
        <w:numPr>
          <w:ilvl w:val="0"/>
          <w:numId w:val="4"/>
        </w:numPr>
        <w:tabs>
          <w:tab w:pos="1727" w:val="left" w:leader="none"/>
        </w:tabs>
        <w:spacing w:line="417" w:lineRule="auto" w:before="0" w:after="0"/>
        <w:ind w:left="778" w:right="889" w:firstLine="419"/>
        <w:jc w:val="left"/>
        <w:rPr>
          <w:sz w:val="21"/>
        </w:rPr>
      </w:pPr>
      <w:r>
        <w:rPr>
          <w:spacing w:val="-3"/>
          <w:sz w:val="21"/>
        </w:rPr>
        <w:t>公司各部门之间有明确的授权分工，既互相合作，又互相核对和制衡，形成了合理的组织结构。</w:t>
      </w:r>
    </w:p>
    <w:p>
      <w:pPr>
        <w:pStyle w:val="ListParagraph"/>
        <w:numPr>
          <w:ilvl w:val="0"/>
          <w:numId w:val="4"/>
        </w:numPr>
        <w:tabs>
          <w:tab w:pos="1727" w:val="left" w:leader="none"/>
        </w:tabs>
        <w:spacing w:line="417" w:lineRule="auto" w:before="0" w:after="0"/>
        <w:ind w:left="778" w:right="889" w:firstLine="419"/>
        <w:jc w:val="left"/>
        <w:rPr>
          <w:sz w:val="21"/>
        </w:rPr>
      </w:pPr>
      <w:r>
        <w:rPr>
          <w:spacing w:val="-3"/>
          <w:sz w:val="21"/>
        </w:rPr>
        <w:t>公司坚持稳健经营和规范运作，重视员工的合规守法意识和职业道德的培养，并进行持续教育。</w:t>
      </w:r>
    </w:p>
    <w:p>
      <w:pPr>
        <w:pStyle w:val="BodyText"/>
        <w:ind w:left="1198"/>
      </w:pPr>
      <w:r>
        <w:rPr>
          <w:rFonts w:ascii="Times New Roman" w:eastAsia="Times New Roman"/>
        </w:rPr>
        <w:t>2</w:t>
      </w:r>
      <w:r>
        <w:rPr/>
        <w:t>、风险评估</w:t>
      </w:r>
    </w:p>
    <w:p>
      <w:pPr>
        <w:pStyle w:val="BodyText"/>
        <w:spacing w:before="6"/>
        <w:rPr>
          <w:sz w:val="15"/>
        </w:rPr>
      </w:pPr>
    </w:p>
    <w:p>
      <w:pPr>
        <w:pStyle w:val="BodyText"/>
        <w:spacing w:line="417" w:lineRule="auto"/>
        <w:ind w:left="778" w:right="800" w:firstLine="419"/>
      </w:pPr>
      <w:r>
        <w:rPr>
          <w:spacing w:val="-3"/>
        </w:rPr>
        <w:t>公司各层面和各业务部门在确定各自的目标后，对影响目标实现的风险因素进行分析。对于不可控风险，风险评估的目的是决定是否承担该风险或减少相关业务；对于可控风险， </w:t>
      </w:r>
      <w:r>
        <w:rPr>
          <w:spacing w:val="-7"/>
        </w:rPr>
        <w:t>风险评估的目的是分析如何通过制度安排来控制风险程度。风险评估还包括各业务部门对日</w:t>
      </w:r>
      <w:r>
        <w:rPr>
          <w:spacing w:val="-9"/>
        </w:rPr>
        <w:t>常工作中新出现的风险进行再评估并完善相应的制度，以及新业务设计过程中评估相关风险</w:t>
      </w:r>
      <w:r>
        <w:rPr>
          <w:spacing w:val="-5"/>
        </w:rPr>
        <w:t>并制定风险控制制度。</w:t>
      </w:r>
    </w:p>
    <w:p>
      <w:pPr>
        <w:pStyle w:val="BodyText"/>
        <w:spacing w:line="268" w:lineRule="exact"/>
        <w:ind w:left="1198"/>
      </w:pPr>
      <w:r>
        <w:rPr>
          <w:rFonts w:ascii="Times New Roman" w:eastAsia="Times New Roman"/>
        </w:rPr>
        <w:t>3</w:t>
      </w:r>
      <w:r>
        <w:rPr/>
        <w:t>、控制活动</w:t>
      </w:r>
    </w:p>
    <w:p>
      <w:pPr>
        <w:pStyle w:val="BodyText"/>
        <w:spacing w:before="8"/>
        <w:rPr>
          <w:sz w:val="15"/>
        </w:rPr>
      </w:pPr>
    </w:p>
    <w:p>
      <w:pPr>
        <w:pStyle w:val="BodyText"/>
        <w:spacing w:line="417" w:lineRule="auto"/>
        <w:ind w:left="778" w:right="890" w:firstLine="419"/>
        <w:jc w:val="both"/>
      </w:pPr>
      <w:r>
        <w:rPr>
          <w:spacing w:val="-10"/>
        </w:rPr>
        <w:t>公司对投资、会计、技术系统和人力资源等主要业务制定了严格的控制制度。在业务管</w:t>
      </w:r>
      <w:r>
        <w:rPr>
          <w:spacing w:val="-11"/>
        </w:rPr>
        <w:t>理制度上，做到了业务操作流程的科学、合理和标准化，并要求完整的记录、保存和严格的</w:t>
      </w:r>
      <w:r>
        <w:rPr>
          <w:spacing w:val="-12"/>
        </w:rPr>
        <w:t>检查、复核；在岗位责任制度上，内部岗位分工合理、职责明确，不相容的职务、岗位分离</w:t>
      </w:r>
      <w:r>
        <w:rPr>
          <w:spacing w:val="-6"/>
        </w:rPr>
        <w:t>设置，相互检查、相互制约。</w:t>
      </w:r>
    </w:p>
    <w:p>
      <w:pPr>
        <w:pStyle w:val="ListParagraph"/>
        <w:numPr>
          <w:ilvl w:val="0"/>
          <w:numId w:val="5"/>
        </w:numPr>
        <w:tabs>
          <w:tab w:pos="1727" w:val="left" w:leader="none"/>
        </w:tabs>
        <w:spacing w:line="268" w:lineRule="exact" w:before="0" w:after="0"/>
        <w:ind w:left="1727" w:right="0" w:hanging="529"/>
        <w:jc w:val="left"/>
        <w:rPr>
          <w:sz w:val="21"/>
        </w:rPr>
      </w:pPr>
      <w:r>
        <w:rPr>
          <w:spacing w:val="-3"/>
          <w:sz w:val="21"/>
        </w:rPr>
        <w:t>投资控制制度</w:t>
      </w:r>
    </w:p>
    <w:p>
      <w:pPr>
        <w:pStyle w:val="BodyText"/>
        <w:spacing w:before="6"/>
        <w:rPr>
          <w:sz w:val="15"/>
        </w:rPr>
      </w:pPr>
    </w:p>
    <w:p>
      <w:pPr>
        <w:pStyle w:val="BodyText"/>
        <w:spacing w:line="417" w:lineRule="auto" w:before="1"/>
        <w:ind w:left="778" w:right="889" w:firstLine="419"/>
      </w:pPr>
      <w:r>
        <w:rPr>
          <w:spacing w:val="-9"/>
        </w:rPr>
        <w:t>①投资决策与执行相分离。投资管理决策职能和交易执行职能严格隔离，实行集中交易</w:t>
      </w:r>
      <w:r>
        <w:rPr>
          <w:spacing w:val="-5"/>
        </w:rPr>
        <w:t>制度，建立和完善公平的交易分配制度，确保各投资组合享有公平的交易执行机会。</w:t>
      </w:r>
    </w:p>
    <w:p>
      <w:pPr>
        <w:pStyle w:val="BodyText"/>
        <w:spacing w:line="417" w:lineRule="auto"/>
        <w:ind w:left="778" w:right="889" w:firstLine="419"/>
      </w:pPr>
      <w:r>
        <w:rPr>
          <w:spacing w:val="-10"/>
        </w:rPr>
        <w:t>②投资授权控制。建立明确的投资决策授权制度，防止越权决策。投资决策委员会负责</w:t>
      </w:r>
      <w:r>
        <w:rPr>
          <w:spacing w:val="-9"/>
        </w:rPr>
        <w:t>制订基金投资组合的久期和类属配置政策；基金经理在投资决策委员会确定的范围内，负责</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8"/>
      </w:pPr>
      <w:r>
        <w:rPr>
          <w:spacing w:val="-10"/>
        </w:rPr>
        <w:t>确定与实施投资策略、建立和调整投资组合并下达投资指令，对于超过投资权限的操作需要</w:t>
      </w:r>
      <w:r>
        <w:rPr>
          <w:spacing w:val="-5"/>
        </w:rPr>
        <w:t>经过严格的审批程序；交易管理部负责交易执行。</w:t>
      </w:r>
    </w:p>
    <w:p>
      <w:pPr>
        <w:pStyle w:val="BodyText"/>
        <w:spacing w:line="417" w:lineRule="auto"/>
        <w:ind w:left="778" w:right="889" w:firstLine="419"/>
      </w:pPr>
      <w:r>
        <w:rPr>
          <w:spacing w:val="-10"/>
        </w:rPr>
        <w:t>③警示性控制。按照法规或公司规定设置各类资产投资比例的预警线，交易系统在投资</w:t>
      </w:r>
      <w:r>
        <w:rPr>
          <w:spacing w:val="-5"/>
        </w:rPr>
        <w:t>比例达到接近限制比例前的某一数值时自动预警。</w:t>
      </w:r>
    </w:p>
    <w:p>
      <w:pPr>
        <w:pStyle w:val="BodyText"/>
        <w:spacing w:line="417" w:lineRule="auto"/>
        <w:ind w:left="778" w:right="890" w:firstLine="419"/>
      </w:pPr>
      <w:r>
        <w:rPr>
          <w:spacing w:val="-11"/>
        </w:rPr>
        <w:t>④禁止性控制。根据法律、法规和公司相关规定，基金禁止投资受限制的证券并禁止从</w:t>
      </w:r>
      <w:r>
        <w:rPr>
          <w:spacing w:val="-6"/>
        </w:rPr>
        <w:t>事受限制的行为。交易系统通过预先的设定，对上述禁止进行自动提示和限制。</w:t>
      </w:r>
    </w:p>
    <w:p>
      <w:pPr>
        <w:pStyle w:val="BodyText"/>
        <w:spacing w:line="417" w:lineRule="auto"/>
        <w:ind w:left="778" w:right="783" w:firstLine="419"/>
      </w:pPr>
      <w:r>
        <w:rPr>
          <w:spacing w:val="-16"/>
        </w:rPr>
        <w:t>⑤多重监控和反馈。交易管理部对投资行为进行一线监控；风险管理部进行事中的监控； </w:t>
      </w:r>
      <w:r>
        <w:rPr>
          <w:spacing w:val="-7"/>
        </w:rPr>
        <w:t>监察稽核部门进行事后的监控。在监控中如发现异常情况将及时反馈并督促调整。</w:t>
      </w:r>
    </w:p>
    <w:p>
      <w:pPr>
        <w:pStyle w:val="ListParagraph"/>
        <w:numPr>
          <w:ilvl w:val="0"/>
          <w:numId w:val="5"/>
        </w:numPr>
        <w:tabs>
          <w:tab w:pos="1727" w:val="left" w:leader="none"/>
        </w:tabs>
        <w:spacing w:line="240" w:lineRule="auto" w:before="0" w:after="0"/>
        <w:ind w:left="1727" w:right="0" w:hanging="529"/>
        <w:jc w:val="left"/>
        <w:rPr>
          <w:sz w:val="21"/>
        </w:rPr>
      </w:pPr>
      <w:r>
        <w:rPr>
          <w:spacing w:val="-3"/>
          <w:sz w:val="21"/>
        </w:rPr>
        <w:t>会计控制制度</w:t>
      </w:r>
    </w:p>
    <w:p>
      <w:pPr>
        <w:pStyle w:val="BodyText"/>
        <w:spacing w:before="6"/>
        <w:rPr>
          <w:sz w:val="15"/>
        </w:rPr>
      </w:pPr>
    </w:p>
    <w:p>
      <w:pPr>
        <w:pStyle w:val="BodyText"/>
        <w:ind w:left="1198"/>
      </w:pPr>
      <w:r>
        <w:rPr/>
        <w:t>①建立了基金会计的工作制度及相应的操作和控制规程，确保会计业务有章可循。</w:t>
      </w:r>
    </w:p>
    <w:p>
      <w:pPr>
        <w:pStyle w:val="BodyText"/>
        <w:spacing w:before="7"/>
        <w:rPr>
          <w:sz w:val="15"/>
        </w:rPr>
      </w:pPr>
    </w:p>
    <w:p>
      <w:pPr>
        <w:pStyle w:val="BodyText"/>
        <w:spacing w:line="417" w:lineRule="auto"/>
        <w:ind w:left="778" w:right="890" w:firstLine="419"/>
      </w:pPr>
      <w:r>
        <w:rPr>
          <w:spacing w:val="-12"/>
        </w:rPr>
        <w:t>②按照相互制约原则，建立了基金会计业务的复核制度以及与托管人相关业务的相互核</w:t>
      </w:r>
      <w:r>
        <w:rPr>
          <w:spacing w:val="-6"/>
        </w:rPr>
        <w:t>查监督制度。</w:t>
      </w:r>
    </w:p>
    <w:p>
      <w:pPr>
        <w:pStyle w:val="BodyText"/>
        <w:spacing w:line="269" w:lineRule="exact"/>
        <w:ind w:left="1198"/>
      </w:pPr>
      <w:r>
        <w:rPr/>
        <w:t>③为了防范基金会计在资金头寸管理上出现透支风险，制定了资金头寸管理制度。</w:t>
      </w:r>
    </w:p>
    <w:p>
      <w:pPr>
        <w:pStyle w:val="BodyText"/>
        <w:spacing w:before="7"/>
        <w:rPr>
          <w:sz w:val="15"/>
        </w:rPr>
      </w:pPr>
    </w:p>
    <w:p>
      <w:pPr>
        <w:pStyle w:val="BodyText"/>
        <w:ind w:left="1198"/>
      </w:pPr>
      <w:r>
        <w:rPr/>
        <w:t>④制定了完善的档案保管和财务交接制度。</w:t>
      </w:r>
    </w:p>
    <w:p>
      <w:pPr>
        <w:pStyle w:val="BodyText"/>
        <w:spacing w:before="7"/>
        <w:rPr>
          <w:sz w:val="15"/>
        </w:rPr>
      </w:pPr>
    </w:p>
    <w:p>
      <w:pPr>
        <w:pStyle w:val="ListParagraph"/>
        <w:numPr>
          <w:ilvl w:val="0"/>
          <w:numId w:val="5"/>
        </w:numPr>
        <w:tabs>
          <w:tab w:pos="1727" w:val="left" w:leader="none"/>
        </w:tabs>
        <w:spacing w:line="240" w:lineRule="auto" w:before="0" w:after="0"/>
        <w:ind w:left="1727" w:right="0" w:hanging="529"/>
        <w:jc w:val="left"/>
        <w:rPr>
          <w:sz w:val="21"/>
        </w:rPr>
      </w:pPr>
      <w:r>
        <w:rPr>
          <w:spacing w:val="-3"/>
          <w:sz w:val="21"/>
        </w:rPr>
        <w:t>技术系统控制制度</w:t>
      </w:r>
    </w:p>
    <w:p>
      <w:pPr>
        <w:pStyle w:val="BodyText"/>
        <w:spacing w:before="6"/>
        <w:rPr>
          <w:sz w:val="15"/>
        </w:rPr>
      </w:pPr>
    </w:p>
    <w:p>
      <w:pPr>
        <w:pStyle w:val="BodyText"/>
        <w:spacing w:line="417" w:lineRule="auto" w:before="1"/>
        <w:ind w:left="778" w:right="889" w:firstLine="419"/>
        <w:jc w:val="both"/>
      </w:pPr>
      <w:r>
        <w:rPr>
          <w:spacing w:val="-8"/>
        </w:rPr>
        <w:t>为保证技术系统的安全稳定运行，公司对硬件设备的安全运行、数据传输与网络安全管</w:t>
      </w:r>
      <w:r>
        <w:rPr>
          <w:spacing w:val="-12"/>
        </w:rPr>
        <w:t>理、软硬件的维护、数据的备份、信息技术人员操作管理、危机处理等方面都制定了完善的制度。</w:t>
      </w:r>
    </w:p>
    <w:p>
      <w:pPr>
        <w:pStyle w:val="ListParagraph"/>
        <w:numPr>
          <w:ilvl w:val="0"/>
          <w:numId w:val="5"/>
        </w:numPr>
        <w:tabs>
          <w:tab w:pos="1727" w:val="left" w:leader="none"/>
        </w:tabs>
        <w:spacing w:line="269" w:lineRule="exact" w:before="0" w:after="0"/>
        <w:ind w:left="1727" w:right="0" w:hanging="529"/>
        <w:jc w:val="left"/>
        <w:rPr>
          <w:sz w:val="21"/>
        </w:rPr>
      </w:pPr>
      <w:r>
        <w:rPr>
          <w:spacing w:val="-3"/>
          <w:sz w:val="21"/>
        </w:rPr>
        <w:t>人力资源管理制度</w:t>
      </w:r>
    </w:p>
    <w:p>
      <w:pPr>
        <w:pStyle w:val="BodyText"/>
        <w:spacing w:before="6"/>
        <w:rPr>
          <w:sz w:val="15"/>
        </w:rPr>
      </w:pPr>
    </w:p>
    <w:p>
      <w:pPr>
        <w:pStyle w:val="BodyText"/>
        <w:spacing w:line="417" w:lineRule="auto"/>
        <w:ind w:left="778" w:right="891" w:firstLine="419"/>
      </w:pPr>
      <w:r>
        <w:rPr>
          <w:spacing w:val="-8"/>
        </w:rPr>
        <w:t>公司建立了科学的招聘解聘制度、培训制度、考核制度、薪酬制度等人事管理制度，确</w:t>
      </w:r>
      <w:r>
        <w:rPr>
          <w:spacing w:val="-5"/>
        </w:rPr>
        <w:t>保人力资源的有效管理。</w:t>
      </w:r>
    </w:p>
    <w:p>
      <w:pPr>
        <w:pStyle w:val="ListParagraph"/>
        <w:numPr>
          <w:ilvl w:val="0"/>
          <w:numId w:val="5"/>
        </w:numPr>
        <w:tabs>
          <w:tab w:pos="1727" w:val="left" w:leader="none"/>
        </w:tabs>
        <w:spacing w:line="240" w:lineRule="auto" w:before="1" w:after="0"/>
        <w:ind w:left="1727" w:right="0" w:hanging="529"/>
        <w:jc w:val="left"/>
        <w:rPr>
          <w:sz w:val="21"/>
        </w:rPr>
      </w:pPr>
      <w:r>
        <w:rPr>
          <w:spacing w:val="-2"/>
          <w:sz w:val="21"/>
        </w:rPr>
        <w:t>监察制度</w:t>
      </w:r>
    </w:p>
    <w:p>
      <w:pPr>
        <w:pStyle w:val="BodyText"/>
        <w:spacing w:before="6"/>
        <w:rPr>
          <w:sz w:val="15"/>
        </w:rPr>
      </w:pPr>
    </w:p>
    <w:p>
      <w:pPr>
        <w:pStyle w:val="BodyText"/>
        <w:spacing w:line="417" w:lineRule="auto"/>
        <w:ind w:left="778" w:right="889" w:firstLine="419"/>
      </w:pPr>
      <w:r>
        <w:rPr>
          <w:spacing w:val="-10"/>
        </w:rPr>
        <w:t>公司设立了监察部门，负责公司的法律事务和监察工作。监察制度包括违规行为的调查</w:t>
      </w:r>
      <w:r>
        <w:rPr>
          <w:spacing w:val="-5"/>
        </w:rPr>
        <w:t>程序和处理制度，以及对员工行为的监察。</w:t>
      </w:r>
    </w:p>
    <w:p>
      <w:pPr>
        <w:pStyle w:val="ListParagraph"/>
        <w:numPr>
          <w:ilvl w:val="0"/>
          <w:numId w:val="5"/>
        </w:numPr>
        <w:tabs>
          <w:tab w:pos="1727" w:val="left" w:leader="none"/>
        </w:tabs>
        <w:spacing w:line="269" w:lineRule="exact" w:before="0" w:after="0"/>
        <w:ind w:left="1727" w:right="0" w:hanging="529"/>
        <w:jc w:val="left"/>
        <w:rPr>
          <w:sz w:val="21"/>
        </w:rPr>
      </w:pPr>
      <w:r>
        <w:rPr>
          <w:spacing w:val="-3"/>
          <w:sz w:val="21"/>
        </w:rPr>
        <w:t>反洗钱制度</w:t>
      </w:r>
    </w:p>
    <w:p>
      <w:pPr>
        <w:pStyle w:val="BodyText"/>
        <w:spacing w:before="7"/>
        <w:rPr>
          <w:sz w:val="15"/>
        </w:rPr>
      </w:pPr>
    </w:p>
    <w:p>
      <w:pPr>
        <w:pStyle w:val="BodyText"/>
        <w:spacing w:line="417" w:lineRule="auto"/>
        <w:ind w:left="778" w:right="889" w:firstLine="419"/>
        <w:jc w:val="both"/>
      </w:pPr>
      <w:r>
        <w:rPr>
          <w:spacing w:val="-7"/>
        </w:rPr>
        <w:t>公司设立了反洗钱工作小组作为反洗钱工作的专门机构，指定专门人员负责反洗钱和反</w:t>
      </w:r>
      <w:r>
        <w:rPr>
          <w:spacing w:val="-10"/>
        </w:rPr>
        <w:t>恐融资合规管理工作；各相关部门设立了反洗钱岗位，配备反洗钱负责人员。除建立健全反</w:t>
      </w:r>
      <w:r>
        <w:rPr>
          <w:spacing w:val="-12"/>
        </w:rPr>
        <w:t>洗钱组织体系外，公司还制定了《反洗钱工作内部控制制度》及相关业务操作规程，确保依</w:t>
      </w:r>
      <w:r>
        <w:rPr>
          <w:spacing w:val="-6"/>
        </w:rPr>
        <w:t>法切实履行金融机构反洗钱义务。</w:t>
      </w:r>
    </w:p>
    <w:p>
      <w:pPr>
        <w:pStyle w:val="BodyText"/>
        <w:spacing w:line="269" w:lineRule="exact"/>
        <w:ind w:left="1198"/>
      </w:pPr>
      <w:r>
        <w:rPr>
          <w:rFonts w:ascii="Times New Roman" w:eastAsia="Times New Roman"/>
        </w:rPr>
        <w:t>4</w:t>
      </w:r>
      <w:r>
        <w:rPr/>
        <w:t>、信息沟通</w:t>
      </w:r>
    </w:p>
    <w:p>
      <w:pPr>
        <w:spacing w:after="0" w:line="269" w:lineRule="exact"/>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3"/>
        </w:rPr>
        <w:t>公司建立了内部办公自动化信息系统与业务汇报体系，通过建立有效的信息交流渠道， </w:t>
      </w:r>
      <w:r>
        <w:rPr>
          <w:spacing w:val="-7"/>
        </w:rPr>
        <w:t>公司员工及各级管理人员可以充分了解与其职责相关的信息，信息及时送交适当的人员进行</w:t>
      </w:r>
      <w:r>
        <w:rPr>
          <w:spacing w:val="-11"/>
        </w:rPr>
        <w:t>处理。目前公司业务均已做到了办公自动化，不同的人员根据其业务性质及层级具有不同的权限。</w:t>
      </w:r>
    </w:p>
    <w:p>
      <w:pPr>
        <w:pStyle w:val="BodyText"/>
        <w:spacing w:line="268" w:lineRule="exact"/>
        <w:ind w:left="1198"/>
      </w:pPr>
      <w:r>
        <w:rPr>
          <w:rFonts w:ascii="Times New Roman" w:eastAsia="Times New Roman"/>
        </w:rPr>
        <w:t>5</w:t>
      </w:r>
      <w:r>
        <w:rPr/>
        <w:t>、内部监控</w:t>
      </w:r>
    </w:p>
    <w:p>
      <w:pPr>
        <w:pStyle w:val="BodyText"/>
        <w:spacing w:before="7"/>
        <w:rPr>
          <w:sz w:val="15"/>
        </w:rPr>
      </w:pPr>
    </w:p>
    <w:p>
      <w:pPr>
        <w:pStyle w:val="BodyText"/>
        <w:spacing w:line="417" w:lineRule="auto"/>
        <w:ind w:left="778" w:right="889" w:firstLine="419"/>
        <w:jc w:val="both"/>
      </w:pPr>
      <w:r>
        <w:rPr>
          <w:spacing w:val="-8"/>
        </w:rPr>
        <w:t>公司设立了独立于各业务部门的稽核部门，通过定期或不定期检查，评价公司内部控制</w:t>
      </w:r>
      <w:r>
        <w:rPr>
          <w:spacing w:val="-12"/>
        </w:rPr>
        <w:t>制度合理性、完备性和有效性，监督公司各项内部控制制度的执行情况，确保公司各项经营</w:t>
      </w:r>
      <w:r>
        <w:rPr>
          <w:spacing w:val="-6"/>
        </w:rPr>
        <w:t>管理活动的有效运行。</w:t>
      </w:r>
    </w:p>
    <w:p>
      <w:pPr>
        <w:pStyle w:val="BodyText"/>
        <w:ind w:left="1198"/>
      </w:pPr>
      <w:r>
        <w:rPr>
          <w:rFonts w:ascii="Times New Roman" w:eastAsia="Times New Roman"/>
        </w:rPr>
        <w:t>6</w:t>
      </w:r>
      <w:r>
        <w:rPr/>
        <w:t>、基金管理人关于内部控制的声明</w:t>
      </w:r>
    </w:p>
    <w:p>
      <w:pPr>
        <w:pStyle w:val="BodyText"/>
        <w:spacing w:before="7"/>
        <w:rPr>
          <w:sz w:val="15"/>
        </w:rPr>
      </w:pPr>
    </w:p>
    <w:p>
      <w:pPr>
        <w:pStyle w:val="ListParagraph"/>
        <w:numPr>
          <w:ilvl w:val="0"/>
          <w:numId w:val="6"/>
        </w:numPr>
        <w:tabs>
          <w:tab w:pos="1727" w:val="left" w:leader="none"/>
        </w:tabs>
        <w:spacing w:line="240" w:lineRule="auto" w:before="0" w:after="0"/>
        <w:ind w:left="1727" w:right="0" w:hanging="529"/>
        <w:jc w:val="left"/>
        <w:rPr>
          <w:sz w:val="21"/>
        </w:rPr>
      </w:pPr>
      <w:r>
        <w:rPr>
          <w:spacing w:val="-3"/>
          <w:sz w:val="21"/>
        </w:rPr>
        <w:t>本公司确知建立、实施和维持内部控制制度是本公司董事会及管理层的责任。</w:t>
      </w:r>
    </w:p>
    <w:p>
      <w:pPr>
        <w:pStyle w:val="BodyText"/>
        <w:spacing w:before="6"/>
        <w:rPr>
          <w:sz w:val="15"/>
        </w:rPr>
      </w:pPr>
    </w:p>
    <w:p>
      <w:pPr>
        <w:pStyle w:val="ListParagraph"/>
        <w:numPr>
          <w:ilvl w:val="0"/>
          <w:numId w:val="6"/>
        </w:numPr>
        <w:tabs>
          <w:tab w:pos="1727" w:val="left" w:leader="none"/>
        </w:tabs>
        <w:spacing w:line="240" w:lineRule="auto" w:before="1" w:after="0"/>
        <w:ind w:left="1727" w:right="0" w:hanging="529"/>
        <w:jc w:val="left"/>
        <w:rPr>
          <w:sz w:val="21"/>
        </w:rPr>
      </w:pPr>
      <w:r>
        <w:rPr>
          <w:spacing w:val="-3"/>
          <w:sz w:val="21"/>
        </w:rPr>
        <w:t>上述关于内部控制的披露真实、准确。</w:t>
      </w:r>
    </w:p>
    <w:p>
      <w:pPr>
        <w:pStyle w:val="BodyText"/>
        <w:spacing w:before="6"/>
        <w:rPr>
          <w:sz w:val="15"/>
        </w:rPr>
      </w:pPr>
    </w:p>
    <w:p>
      <w:pPr>
        <w:pStyle w:val="ListParagraph"/>
        <w:numPr>
          <w:ilvl w:val="0"/>
          <w:numId w:val="6"/>
        </w:numPr>
        <w:tabs>
          <w:tab w:pos="1727" w:val="left" w:leader="none"/>
        </w:tabs>
        <w:spacing w:line="240" w:lineRule="auto" w:before="0" w:after="0"/>
        <w:ind w:left="1727" w:right="0" w:hanging="529"/>
        <w:jc w:val="left"/>
        <w:rPr>
          <w:sz w:val="21"/>
        </w:rPr>
      </w:pPr>
      <w:r>
        <w:rPr>
          <w:spacing w:val="-3"/>
          <w:sz w:val="21"/>
        </w:rPr>
        <w:t>本公司承诺将根据市场环境的变化及公司的发展不断完善内部控制制度。</w:t>
      </w:r>
    </w:p>
    <w:p>
      <w:pPr>
        <w:pStyle w:val="BodyText"/>
        <w:rPr>
          <w:sz w:val="22"/>
        </w:rPr>
      </w:pPr>
    </w:p>
    <w:p>
      <w:pPr>
        <w:pStyle w:val="Heading1"/>
        <w:spacing w:before="179"/>
      </w:pPr>
      <w:bookmarkStart w:name="_bookmark3" w:id="4"/>
      <w:bookmarkEnd w:id="4"/>
      <w:r>
        <w:rPr>
          <w:b w:val="0"/>
        </w:rPr>
      </w:r>
      <w:r>
        <w:rPr/>
        <w:t>四、基金托管人</w:t>
      </w:r>
    </w:p>
    <w:p>
      <w:pPr>
        <w:pStyle w:val="BodyText"/>
        <w:rPr>
          <w:b/>
          <w:sz w:val="20"/>
        </w:rPr>
      </w:pPr>
    </w:p>
    <w:p>
      <w:pPr>
        <w:pStyle w:val="BodyText"/>
        <w:spacing w:before="8"/>
        <w:rPr>
          <w:b/>
          <w:sz w:val="15"/>
        </w:rPr>
      </w:pPr>
    </w:p>
    <w:p>
      <w:pPr>
        <w:pStyle w:val="BodyText"/>
        <w:ind w:left="1198"/>
      </w:pPr>
      <w:r>
        <w:rPr/>
        <w:t>（一）基金托管人情况</w:t>
      </w:r>
    </w:p>
    <w:p>
      <w:pPr>
        <w:pStyle w:val="BodyText"/>
        <w:spacing w:before="6"/>
        <w:rPr>
          <w:sz w:val="15"/>
        </w:rPr>
      </w:pPr>
    </w:p>
    <w:p>
      <w:pPr>
        <w:pStyle w:val="BodyText"/>
        <w:ind w:left="1198"/>
      </w:pPr>
      <w:r>
        <w:rPr>
          <w:rFonts w:ascii="Times New Roman" w:eastAsia="Times New Roman"/>
        </w:rPr>
        <w:t>1</w:t>
      </w:r>
      <w:r>
        <w:rPr/>
        <w:t>、基本情况</w:t>
      </w:r>
    </w:p>
    <w:p>
      <w:pPr>
        <w:pStyle w:val="BodyText"/>
        <w:spacing w:before="7"/>
        <w:rPr>
          <w:sz w:val="15"/>
        </w:rPr>
      </w:pPr>
    </w:p>
    <w:p>
      <w:pPr>
        <w:pStyle w:val="BodyText"/>
        <w:spacing w:line="417" w:lineRule="auto"/>
        <w:ind w:left="1198" w:right="3600"/>
      </w:pPr>
      <w:r>
        <w:rPr/>
        <w:t>名称：中国建设银行股份有限公司</w:t>
      </w:r>
      <w:r>
        <w:rPr>
          <w:rFonts w:ascii="Times New Roman" w:eastAsia="Times New Roman"/>
        </w:rPr>
        <w:t>(</w:t>
      </w:r>
      <w:r>
        <w:rPr/>
        <w:t>简称：中国建设银行</w:t>
      </w:r>
      <w:r>
        <w:rPr>
          <w:rFonts w:ascii="Times New Roman" w:eastAsia="Times New Roman"/>
        </w:rPr>
        <w:t>) </w:t>
      </w:r>
      <w:r>
        <w:rPr/>
        <w:t>住所：北京市西城区金融大街</w:t>
      </w:r>
      <w:r>
        <w:rPr>
          <w:rFonts w:ascii="Times New Roman" w:eastAsia="Times New Roman"/>
        </w:rPr>
        <w:t>25</w:t>
      </w:r>
      <w:r>
        <w:rPr/>
        <w:t>号</w:t>
      </w:r>
    </w:p>
    <w:p>
      <w:pPr>
        <w:pStyle w:val="BodyText"/>
        <w:spacing w:line="417" w:lineRule="auto"/>
        <w:ind w:left="1198" w:right="4374"/>
      </w:pPr>
      <w:r>
        <w:rPr/>
        <w:t>办公地址：北京市西城区闹市口大街</w:t>
      </w:r>
      <w:r>
        <w:rPr>
          <w:rFonts w:ascii="Times New Roman" w:eastAsia="Times New Roman"/>
        </w:rPr>
        <w:t>1</w:t>
      </w:r>
      <w:r>
        <w:rPr/>
        <w:t>号院</w:t>
      </w:r>
      <w:r>
        <w:rPr>
          <w:rFonts w:ascii="Times New Roman" w:eastAsia="Times New Roman"/>
        </w:rPr>
        <w:t>1</w:t>
      </w:r>
      <w:r>
        <w:rPr/>
        <w:t>号楼法定代表人：田国立</w:t>
      </w:r>
    </w:p>
    <w:p>
      <w:pPr>
        <w:pStyle w:val="BodyText"/>
        <w:spacing w:line="417" w:lineRule="auto"/>
        <w:ind w:left="1198" w:right="6263"/>
      </w:pPr>
      <w:r>
        <w:rPr/>
        <w:t>成立时间：</w:t>
      </w:r>
      <w:r>
        <w:rPr>
          <w:rFonts w:ascii="Times New Roman" w:eastAsia="Times New Roman"/>
        </w:rPr>
        <w:t>2004</w:t>
      </w:r>
      <w:r>
        <w:rPr/>
        <w:t>年</w:t>
      </w:r>
      <w:r>
        <w:rPr>
          <w:rFonts w:ascii="Times New Roman" w:eastAsia="Times New Roman"/>
        </w:rPr>
        <w:t>09</w:t>
      </w:r>
      <w:r>
        <w:rPr/>
        <w:t>月</w:t>
      </w:r>
      <w:r>
        <w:rPr>
          <w:rFonts w:ascii="Times New Roman" w:eastAsia="Times New Roman"/>
        </w:rPr>
        <w:t>17</w:t>
      </w:r>
      <w:r>
        <w:rPr/>
        <w:t>日组织形式：股份有限公司</w:t>
      </w:r>
    </w:p>
    <w:p>
      <w:pPr>
        <w:pStyle w:val="BodyText"/>
        <w:spacing w:line="417" w:lineRule="auto"/>
        <w:ind w:left="1198" w:right="3320"/>
      </w:pPr>
      <w:r>
        <w:rPr/>
        <w:t>注册资本：贰仟伍佰亿壹仟零玖拾柒万柒仟肆佰捌拾陆元整存续期间：持续经营</w:t>
      </w:r>
    </w:p>
    <w:p>
      <w:pPr>
        <w:pStyle w:val="BodyText"/>
        <w:spacing w:line="417" w:lineRule="auto"/>
        <w:ind w:left="1198" w:right="3390"/>
      </w:pPr>
      <w:r>
        <w:rPr/>
        <w:t>基金托管资格批文及文号：中国证监会证监基字</w:t>
      </w:r>
      <w:r>
        <w:rPr>
          <w:rFonts w:ascii="Times New Roman" w:eastAsia="Times New Roman"/>
        </w:rPr>
        <w:t>[1998]12</w:t>
      </w:r>
      <w:r>
        <w:rPr/>
        <w:t>号联系人：周海新</w:t>
      </w:r>
    </w:p>
    <w:p>
      <w:pPr>
        <w:pStyle w:val="BodyText"/>
        <w:spacing w:line="269" w:lineRule="exact"/>
        <w:ind w:left="1198"/>
        <w:rPr>
          <w:rFonts w:ascii="Times New Roman" w:eastAsia="Times New Roman"/>
        </w:rPr>
      </w:pPr>
      <w:r>
        <w:rPr/>
        <w:t>联系电话：</w:t>
      </w:r>
      <w:r>
        <w:rPr>
          <w:rFonts w:ascii="Times New Roman" w:eastAsia="Times New Roman"/>
        </w:rPr>
        <w:t>(021)6063 7111</w:t>
      </w:r>
    </w:p>
    <w:p>
      <w:pPr>
        <w:pStyle w:val="BodyText"/>
        <w:spacing w:before="3"/>
        <w:rPr>
          <w:rFonts w:ascii="Times New Roman"/>
          <w:sz w:val="17"/>
        </w:rPr>
      </w:pPr>
    </w:p>
    <w:p>
      <w:pPr>
        <w:pStyle w:val="BodyText"/>
        <w:ind w:left="1198"/>
      </w:pPr>
      <w:r>
        <w:rPr>
          <w:rFonts w:ascii="Times New Roman" w:eastAsia="Times New Roman"/>
        </w:rPr>
        <w:t>2</w:t>
      </w:r>
      <w:r>
        <w:rPr/>
        <w:t>、主要人员情况</w:t>
      </w:r>
    </w:p>
    <w:p>
      <w:pPr>
        <w:pStyle w:val="BodyText"/>
        <w:spacing w:before="7"/>
        <w:rPr>
          <w:sz w:val="15"/>
        </w:rPr>
      </w:pPr>
    </w:p>
    <w:p>
      <w:pPr>
        <w:pStyle w:val="BodyText"/>
        <w:spacing w:line="417" w:lineRule="auto"/>
        <w:ind w:left="778" w:right="785" w:firstLine="419"/>
      </w:pPr>
      <w:r>
        <w:rPr>
          <w:spacing w:val="-12"/>
        </w:rPr>
        <w:t>中国建设银行总行设资产托管业务部，下设综合处、基金市场处、证券保险资产市场处、理财信托股权市场处、全球托管处、养老金托管处、新兴业务处、运营管理处、跨境托管运</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778" w:right="888"/>
        <w:jc w:val="both"/>
      </w:pPr>
      <w:r>
        <w:rPr>
          <w:spacing w:val="-9"/>
        </w:rPr>
        <w:t>营处、社保及大客户服务处、托管应用系统支持处、合规监督处等</w:t>
      </w:r>
      <w:r>
        <w:rPr>
          <w:rFonts w:ascii="Times New Roman" w:eastAsia="Times New Roman"/>
        </w:rPr>
        <w:t>12</w:t>
      </w:r>
      <w:r>
        <w:rPr>
          <w:spacing w:val="-7"/>
        </w:rPr>
        <w:t>个职能处室，在安徽合</w:t>
      </w:r>
      <w:r>
        <w:rPr>
          <w:spacing w:val="-5"/>
        </w:rPr>
        <w:t>肥设有托管运营中心，在上海设有托管运营中心上海分中心，共有员工</w:t>
      </w:r>
      <w:r>
        <w:rPr>
          <w:rFonts w:ascii="Times New Roman" w:eastAsia="Times New Roman"/>
        </w:rPr>
        <w:t>300</w:t>
      </w:r>
      <w:r>
        <w:rPr>
          <w:spacing w:val="-2"/>
        </w:rPr>
        <w:t>余人。自</w:t>
      </w:r>
      <w:r>
        <w:rPr>
          <w:rFonts w:ascii="Times New Roman" w:eastAsia="Times New Roman"/>
        </w:rPr>
        <w:t>2007</w:t>
      </w:r>
      <w:r>
        <w:rPr/>
        <w:t>年</w:t>
      </w:r>
      <w:r>
        <w:rPr>
          <w:spacing w:val="-10"/>
        </w:rPr>
        <w:t>起，托管部连续聘请外部会计师事务所对托管业务进行内部控制审计，并已经成为常规化的</w:t>
      </w:r>
      <w:r>
        <w:rPr>
          <w:spacing w:val="-5"/>
        </w:rPr>
        <w:t>内控工作手段。</w:t>
      </w:r>
    </w:p>
    <w:p>
      <w:pPr>
        <w:pStyle w:val="BodyText"/>
        <w:spacing w:line="268" w:lineRule="exact"/>
        <w:ind w:left="1198"/>
      </w:pPr>
      <w:r>
        <w:rPr>
          <w:rFonts w:ascii="Times New Roman" w:eastAsia="Times New Roman"/>
        </w:rPr>
        <w:t>3</w:t>
      </w:r>
      <w:r>
        <w:rPr/>
        <w:t>、基金托管业务经营情况</w:t>
      </w:r>
    </w:p>
    <w:p>
      <w:pPr>
        <w:pStyle w:val="BodyText"/>
        <w:spacing w:before="7"/>
        <w:rPr>
          <w:sz w:val="15"/>
        </w:rPr>
      </w:pPr>
    </w:p>
    <w:p>
      <w:pPr>
        <w:pStyle w:val="BodyText"/>
        <w:spacing w:line="417" w:lineRule="auto"/>
        <w:ind w:left="778" w:right="785" w:firstLine="419"/>
      </w:pPr>
      <w:r>
        <w:rPr>
          <w:spacing w:val="-7"/>
        </w:rPr>
        <w:t>作为国内首批开办证券投资基金托管业务的商业银行，中国建设银行一直秉持“以客户</w:t>
      </w:r>
      <w:r>
        <w:rPr>
          <w:spacing w:val="-11"/>
        </w:rPr>
        <w:t>为中心”的经营理念，不断加强风险管理和内部控制，严格履行托管人的各项职责，切实维</w:t>
      </w:r>
      <w:r>
        <w:rPr>
          <w:spacing w:val="-10"/>
        </w:rPr>
        <w:t>护资产持有人的合法权益，为资产委托人提供高质量的托管服务。经过多年稳步发展，中国</w:t>
      </w:r>
      <w:r>
        <w:rPr>
          <w:spacing w:val="-9"/>
        </w:rPr>
        <w:t>建设银行托管资产规模不断扩大，托管业务品种不断增加，已形成包括证券投资基金、社保</w:t>
      </w:r>
      <w:r>
        <w:rPr>
          <w:spacing w:val="-6"/>
        </w:rPr>
        <w:t>基金、保险资金、基本养老个人账户、</w:t>
      </w:r>
      <w:r>
        <w:rPr>
          <w:rFonts w:ascii="Times New Roman" w:hAnsi="Times New Roman" w:eastAsia="Times New Roman"/>
        </w:rPr>
        <w:t>(R)QFII</w:t>
      </w:r>
      <w:r>
        <w:rPr>
          <w:spacing w:val="-5"/>
        </w:rPr>
        <w:t>、</w:t>
      </w:r>
      <w:r>
        <w:rPr>
          <w:rFonts w:ascii="Times New Roman" w:hAnsi="Times New Roman" w:eastAsia="Times New Roman"/>
        </w:rPr>
        <w:t>(R)QDII</w:t>
      </w:r>
      <w:r>
        <w:rPr>
          <w:spacing w:val="-4"/>
        </w:rPr>
        <w:t>、企业年金、存托业务等产品在内</w:t>
      </w:r>
      <w:r>
        <w:rPr>
          <w:spacing w:val="-3"/>
        </w:rPr>
        <w:t>的托管业务体系，是目前国内托管业务品种最齐全的商业银行之一。截至</w:t>
      </w:r>
      <w:r>
        <w:rPr>
          <w:rFonts w:ascii="Times New Roman" w:hAnsi="Times New Roman" w:eastAsia="Times New Roman"/>
        </w:rPr>
        <w:t>2020</w:t>
      </w:r>
      <w:r>
        <w:rPr>
          <w:spacing w:val="-3"/>
        </w:rPr>
        <w:t>年二季度末， 中国建设银行已托管</w:t>
      </w:r>
      <w:r>
        <w:rPr>
          <w:rFonts w:ascii="Times New Roman" w:hAnsi="Times New Roman" w:eastAsia="Times New Roman"/>
        </w:rPr>
        <w:t>1000</w:t>
      </w:r>
      <w:r>
        <w:rPr>
          <w:spacing w:val="-12"/>
        </w:rPr>
        <w:t>只证券投资基金。中国建设银行专业高效的托管服务能力和业务水</w:t>
      </w:r>
      <w:r>
        <w:rPr>
          <w:spacing w:val="-15"/>
        </w:rPr>
        <w:t>平，赢得了业内的高度认同。中国建设银行先后</w:t>
      </w:r>
      <w:r>
        <w:rPr>
          <w:rFonts w:ascii="Times New Roman" w:hAnsi="Times New Roman" w:eastAsia="Times New Roman"/>
        </w:rPr>
        <w:t>9</w:t>
      </w:r>
      <w:r>
        <w:rPr>
          <w:spacing w:val="-11"/>
        </w:rPr>
        <w:t>次获得《全球托管人</w:t>
      </w:r>
      <w:r>
        <w:rPr>
          <w:spacing w:val="-28"/>
        </w:rPr>
        <w:t>》“中国最佳托管银行”、</w:t>
      </w:r>
      <w:r>
        <w:rPr>
          <w:rFonts w:ascii="Times New Roman" w:hAnsi="Times New Roman" w:eastAsia="Times New Roman"/>
          <w:spacing w:val="-28"/>
        </w:rPr>
        <w:t>4</w:t>
      </w:r>
      <w:r>
        <w:rPr>
          <w:spacing w:val="-15"/>
        </w:rPr>
        <w:t>次获得《财资</w:t>
      </w:r>
      <w:r>
        <w:rPr>
          <w:spacing w:val="-21"/>
        </w:rPr>
        <w:t>》“中国最佳次托管银行”、连续多年荣获中央国债登记结算有限责任公司</w:t>
      </w:r>
      <w:r>
        <w:rPr/>
        <w:t>（中</w:t>
      </w:r>
      <w:r>
        <w:rPr>
          <w:w w:val="100"/>
        </w:rPr>
        <w:t>债</w:t>
      </w:r>
      <w:r>
        <w:rPr>
          <w:spacing w:val="-106"/>
          <w:w w:val="100"/>
        </w:rPr>
        <w:t>）</w:t>
      </w:r>
      <w:r>
        <w:rPr>
          <w:spacing w:val="-11"/>
          <w:w w:val="100"/>
        </w:rPr>
        <w:t>“优秀资产托管机构”、银行间市场清算所股份有限公司</w:t>
      </w:r>
      <w:r>
        <w:rPr>
          <w:w w:val="100"/>
        </w:rPr>
        <w:t>（</w:t>
      </w:r>
      <w:r>
        <w:rPr>
          <w:spacing w:val="-2"/>
          <w:w w:val="100"/>
        </w:rPr>
        <w:t>上清所</w:t>
      </w:r>
      <w:r>
        <w:rPr>
          <w:spacing w:val="-106"/>
          <w:w w:val="100"/>
        </w:rPr>
        <w:t>）</w:t>
      </w:r>
      <w:r>
        <w:rPr>
          <w:spacing w:val="-3"/>
          <w:w w:val="100"/>
        </w:rPr>
        <w:t>“优秀托管银行”奖</w:t>
      </w:r>
      <w:r>
        <w:rPr>
          <w:spacing w:val="-3"/>
        </w:rPr>
        <w:t>项，并在</w:t>
      </w:r>
      <w:r>
        <w:rPr>
          <w:rFonts w:ascii="Times New Roman" w:hAnsi="Times New Roman" w:eastAsia="Times New Roman"/>
          <w:spacing w:val="-3"/>
        </w:rPr>
        <w:t>2016</w:t>
      </w:r>
      <w:r>
        <w:rPr>
          <w:spacing w:val="-7"/>
        </w:rPr>
        <w:t>年被《环球金融》评为中国市场唯一一家“最佳托管银行”、在</w:t>
      </w:r>
      <w:r>
        <w:rPr>
          <w:rFonts w:ascii="Times New Roman" w:hAnsi="Times New Roman" w:eastAsia="Times New Roman"/>
        </w:rPr>
        <w:t>2017</w:t>
      </w:r>
      <w:r>
        <w:rPr>
          <w:spacing w:val="-2"/>
        </w:rPr>
        <w:t>年及</w:t>
      </w:r>
      <w:r>
        <w:rPr>
          <w:rFonts w:ascii="Times New Roman" w:hAnsi="Times New Roman" w:eastAsia="Times New Roman"/>
        </w:rPr>
        <w:t>2019 </w:t>
      </w:r>
      <w:r>
        <w:rPr>
          <w:spacing w:val="-24"/>
        </w:rPr>
        <w:t>年分别荣获《亚洲银行家》“最佳托管系统实施奖”、“中国年度托管业务科技实施奖”。</w:t>
      </w:r>
    </w:p>
    <w:p>
      <w:pPr>
        <w:pStyle w:val="BodyText"/>
        <w:spacing w:line="268" w:lineRule="exact"/>
        <w:ind w:left="1198"/>
      </w:pPr>
      <w:r>
        <w:rPr/>
        <w:t>（二）基金托管人的内部控制制度</w:t>
      </w:r>
    </w:p>
    <w:p>
      <w:pPr>
        <w:pStyle w:val="BodyText"/>
        <w:spacing w:before="7"/>
        <w:rPr>
          <w:sz w:val="15"/>
        </w:rPr>
      </w:pPr>
    </w:p>
    <w:p>
      <w:pPr>
        <w:pStyle w:val="BodyText"/>
        <w:ind w:left="1198"/>
      </w:pPr>
      <w:r>
        <w:rPr>
          <w:rFonts w:ascii="Times New Roman" w:eastAsia="Times New Roman"/>
        </w:rPr>
        <w:t>1</w:t>
      </w:r>
      <w:r>
        <w:rPr/>
        <w:t>、内部控制目标</w:t>
      </w:r>
    </w:p>
    <w:p>
      <w:pPr>
        <w:pStyle w:val="BodyText"/>
        <w:spacing w:before="6"/>
        <w:rPr>
          <w:sz w:val="15"/>
        </w:rPr>
      </w:pPr>
    </w:p>
    <w:p>
      <w:pPr>
        <w:pStyle w:val="BodyText"/>
        <w:spacing w:line="417" w:lineRule="auto" w:before="1"/>
        <w:ind w:left="778" w:right="889" w:firstLine="419"/>
        <w:jc w:val="both"/>
      </w:pPr>
      <w:r>
        <w:rPr>
          <w:spacing w:val="-10"/>
        </w:rPr>
        <w:t>作为基金托管人，中国建设银行严格遵守国家有关托管业务的法律法规、行业监管规章</w:t>
      </w:r>
      <w:r>
        <w:rPr>
          <w:spacing w:val="-11"/>
        </w:rPr>
        <w:t>和本行内有关管理规定，守法经营、规范运作、严格检查，确保业务的稳健运行，保证基金</w:t>
      </w:r>
      <w:r>
        <w:rPr>
          <w:spacing w:val="-12"/>
        </w:rPr>
        <w:t>财产的安全完整，确保有关信息的真实、准确、完整、及时，保护基金份额持有人的合法权益。</w:t>
      </w:r>
    </w:p>
    <w:p>
      <w:pPr>
        <w:pStyle w:val="BodyText"/>
        <w:ind w:left="1198"/>
      </w:pPr>
      <w:r>
        <w:rPr>
          <w:rFonts w:ascii="Times New Roman" w:eastAsia="Times New Roman"/>
        </w:rPr>
        <w:t>2</w:t>
      </w:r>
      <w:r>
        <w:rPr/>
        <w:t>、内部控制组织结构</w:t>
      </w:r>
    </w:p>
    <w:p>
      <w:pPr>
        <w:pStyle w:val="BodyText"/>
        <w:spacing w:before="6"/>
        <w:rPr>
          <w:sz w:val="15"/>
        </w:rPr>
      </w:pPr>
    </w:p>
    <w:p>
      <w:pPr>
        <w:pStyle w:val="BodyText"/>
        <w:spacing w:line="417" w:lineRule="auto"/>
        <w:ind w:left="778" w:right="888" w:firstLine="419"/>
        <w:jc w:val="both"/>
      </w:pPr>
      <w:r>
        <w:rPr>
          <w:spacing w:val="-8"/>
        </w:rPr>
        <w:t>中国建设银行设有风险与内控管理委员会，负责全行风险管理与内部控制工作，对托管</w:t>
      </w:r>
      <w:r>
        <w:rPr>
          <w:spacing w:val="-11"/>
        </w:rPr>
        <w:t>业务风险控制工作进行检查指导。资产托管业务部配备了专职内控合规人员负责托管业务的</w:t>
      </w:r>
      <w:r>
        <w:rPr>
          <w:spacing w:val="-6"/>
        </w:rPr>
        <w:t>内控合规工作，具有独立行使内控合规工作职权和能力。</w:t>
      </w:r>
    </w:p>
    <w:p>
      <w:pPr>
        <w:pStyle w:val="BodyText"/>
        <w:spacing w:line="269" w:lineRule="exact"/>
        <w:ind w:left="1198"/>
      </w:pPr>
      <w:r>
        <w:rPr>
          <w:rFonts w:ascii="Times New Roman" w:eastAsia="Times New Roman"/>
        </w:rPr>
        <w:t>3</w:t>
      </w:r>
      <w:r>
        <w:rPr/>
        <w:t>、内部控制制度及措施</w:t>
      </w:r>
    </w:p>
    <w:p>
      <w:pPr>
        <w:pStyle w:val="BodyText"/>
        <w:spacing w:before="7"/>
        <w:rPr>
          <w:sz w:val="15"/>
        </w:rPr>
      </w:pPr>
    </w:p>
    <w:p>
      <w:pPr>
        <w:pStyle w:val="BodyText"/>
        <w:spacing w:line="417" w:lineRule="auto"/>
        <w:ind w:left="778" w:right="891" w:firstLine="419"/>
      </w:pPr>
      <w:r>
        <w:rPr>
          <w:spacing w:val="-8"/>
        </w:rPr>
        <w:t>资产托管业务部具备系统、完善的制度控制体系，建立了管理制度、控制制度、岗位职</w:t>
      </w:r>
      <w:r>
        <w:rPr>
          <w:spacing w:val="-11"/>
        </w:rPr>
        <w:t>责、业务操作流程，可以保证托管业务的规范操作和顺利进行；业务人员具备从业资格；业</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91"/>
        <w:jc w:val="both"/>
      </w:pPr>
      <w:r>
        <w:rPr>
          <w:spacing w:val="-10"/>
        </w:rPr>
        <w:t>务管理严格实行复核、审核、检查制度，授权工作实行集中控制，业务印章按规程保管、存</w:t>
      </w:r>
      <w:r>
        <w:rPr>
          <w:spacing w:val="-12"/>
        </w:rPr>
        <w:t>放、使用，账户资料严格保管，制约机制严格有效；业务操作区专门设置，封闭管理，实施</w:t>
      </w:r>
      <w:r>
        <w:rPr>
          <w:spacing w:val="-11"/>
        </w:rPr>
        <w:t>音像监控；业务信息由专职信息披露人负责，防止泄密；业务实现自动化操作，防止人为事</w:t>
      </w:r>
      <w:r>
        <w:rPr>
          <w:spacing w:val="-6"/>
        </w:rPr>
        <w:t>故的发生，技术系统完整、独立。</w:t>
      </w:r>
    </w:p>
    <w:p>
      <w:pPr>
        <w:pStyle w:val="BodyText"/>
        <w:spacing w:line="268" w:lineRule="exact"/>
        <w:ind w:left="1198"/>
      </w:pPr>
      <w:r>
        <w:rPr/>
        <w:t>（三）基金托管人对基金管理人运作基金进行监督的方法和程序</w:t>
      </w:r>
    </w:p>
    <w:p>
      <w:pPr>
        <w:pStyle w:val="BodyText"/>
        <w:spacing w:before="7"/>
        <w:rPr>
          <w:sz w:val="15"/>
        </w:rPr>
      </w:pPr>
    </w:p>
    <w:p>
      <w:pPr>
        <w:pStyle w:val="BodyText"/>
        <w:ind w:left="1198"/>
      </w:pPr>
      <w:r>
        <w:rPr>
          <w:rFonts w:ascii="Times New Roman" w:eastAsia="Times New Roman"/>
        </w:rPr>
        <w:t>1</w:t>
      </w:r>
      <w:r>
        <w:rPr/>
        <w:t>、监督方法</w:t>
      </w:r>
    </w:p>
    <w:p>
      <w:pPr>
        <w:pStyle w:val="BodyText"/>
        <w:spacing w:before="7"/>
        <w:rPr>
          <w:sz w:val="15"/>
        </w:rPr>
      </w:pPr>
    </w:p>
    <w:p>
      <w:pPr>
        <w:pStyle w:val="BodyText"/>
        <w:spacing w:line="417" w:lineRule="auto"/>
        <w:ind w:left="778" w:right="888" w:firstLine="419"/>
        <w:jc w:val="both"/>
      </w:pPr>
      <w:r>
        <w:rPr>
          <w:spacing w:val="-11"/>
        </w:rPr>
        <w:t>依照《基金法》及其配套法规和基金合同的约定，监督所托管基金的投资运作。利用自</w:t>
      </w:r>
      <w:r>
        <w:rPr>
          <w:spacing w:val="-12"/>
          <w:w w:val="100"/>
        </w:rPr>
        <w:t>行开发的“新一代托管应用监督子系统”，严格按照现行法律法规以及基金合同规定，对基</w:t>
      </w:r>
      <w:r>
        <w:rPr>
          <w:spacing w:val="-11"/>
        </w:rPr>
        <w:t>金管理人运作基金的投资比例、投资范围、投资组合等情况进行监督。在日常为基金投资运作所提供的基金清算和核算服务环节中，对基金管理人发送的投资指令、基金管理人对各基</w:t>
      </w:r>
      <w:r>
        <w:rPr>
          <w:spacing w:val="-6"/>
        </w:rPr>
        <w:t>金费用的提取与开支情况进行检查监督。</w:t>
      </w:r>
    </w:p>
    <w:p>
      <w:pPr>
        <w:pStyle w:val="BodyText"/>
        <w:spacing w:line="269" w:lineRule="exact"/>
        <w:ind w:left="1198"/>
      </w:pPr>
      <w:r>
        <w:rPr>
          <w:rFonts w:ascii="Times New Roman" w:eastAsia="Times New Roman"/>
        </w:rPr>
        <w:t>2</w:t>
      </w:r>
      <w:r>
        <w:rPr/>
        <w:t>、监督流程</w:t>
      </w:r>
    </w:p>
    <w:p>
      <w:pPr>
        <w:pStyle w:val="BodyText"/>
        <w:spacing w:before="6"/>
        <w:rPr>
          <w:sz w:val="15"/>
        </w:rPr>
      </w:pPr>
    </w:p>
    <w:p>
      <w:pPr>
        <w:pStyle w:val="ListParagraph"/>
        <w:numPr>
          <w:ilvl w:val="0"/>
          <w:numId w:val="7"/>
        </w:numPr>
        <w:tabs>
          <w:tab w:pos="1727" w:val="left" w:leader="none"/>
        </w:tabs>
        <w:spacing w:line="417" w:lineRule="auto" w:before="1" w:after="0"/>
        <w:ind w:left="778" w:right="889" w:firstLine="419"/>
        <w:jc w:val="both"/>
        <w:rPr>
          <w:sz w:val="21"/>
        </w:rPr>
      </w:pPr>
      <w:r>
        <w:rPr>
          <w:spacing w:val="-3"/>
          <w:sz w:val="21"/>
        </w:rPr>
        <w:t>每工作日按时通过新一代托管应用监督子系统，对各基金投资运作比例控制等情</w:t>
      </w:r>
      <w:r>
        <w:rPr>
          <w:spacing w:val="-10"/>
          <w:sz w:val="21"/>
        </w:rPr>
        <w:t>况进行监控，如发现投资异常情况，向基金管理人进行风险提示，与基金管理人进行情况核</w:t>
      </w:r>
      <w:r>
        <w:rPr>
          <w:spacing w:val="-5"/>
          <w:sz w:val="21"/>
        </w:rPr>
        <w:t>实，督促其纠正，如有重大异常事项及时报告中国证监会。</w:t>
      </w:r>
    </w:p>
    <w:p>
      <w:pPr>
        <w:pStyle w:val="ListParagraph"/>
        <w:numPr>
          <w:ilvl w:val="0"/>
          <w:numId w:val="7"/>
        </w:numPr>
        <w:tabs>
          <w:tab w:pos="1727" w:val="left" w:leader="none"/>
        </w:tabs>
        <w:spacing w:line="240" w:lineRule="auto" w:before="0" w:after="0"/>
        <w:ind w:left="1727" w:right="0" w:hanging="529"/>
        <w:jc w:val="left"/>
        <w:rPr>
          <w:sz w:val="21"/>
        </w:rPr>
      </w:pPr>
      <w:r>
        <w:rPr>
          <w:spacing w:val="-3"/>
          <w:sz w:val="21"/>
        </w:rPr>
        <w:t>收到基金管理人的划款指令后，对指令要素等内容进行核查。</w:t>
      </w:r>
    </w:p>
    <w:p>
      <w:pPr>
        <w:pStyle w:val="BodyText"/>
        <w:spacing w:before="6"/>
        <w:rPr>
          <w:sz w:val="15"/>
        </w:rPr>
      </w:pPr>
    </w:p>
    <w:p>
      <w:pPr>
        <w:pStyle w:val="ListParagraph"/>
        <w:numPr>
          <w:ilvl w:val="0"/>
          <w:numId w:val="7"/>
        </w:numPr>
        <w:tabs>
          <w:tab w:pos="1727" w:val="left" w:leader="none"/>
        </w:tabs>
        <w:spacing w:line="417" w:lineRule="auto" w:before="0" w:after="0"/>
        <w:ind w:left="778" w:right="889" w:firstLine="419"/>
        <w:jc w:val="left"/>
        <w:rPr>
          <w:sz w:val="21"/>
        </w:rPr>
      </w:pPr>
      <w:r>
        <w:rPr>
          <w:spacing w:val="-3"/>
          <w:sz w:val="21"/>
        </w:rPr>
        <w:t>通过技术或非技术手段发现基金涉嫌违规交易，电话或书面要求基金管理人进行解释或举证，如有必要将及时报告中国证监会。</w:t>
      </w:r>
    </w:p>
    <w:p>
      <w:pPr>
        <w:pStyle w:val="BodyText"/>
        <w:spacing w:before="5"/>
        <w:rPr>
          <w:sz w:val="20"/>
        </w:rPr>
      </w:pPr>
    </w:p>
    <w:p>
      <w:pPr>
        <w:pStyle w:val="Heading1"/>
      </w:pPr>
      <w:bookmarkStart w:name="_bookmark4" w:id="5"/>
      <w:bookmarkEnd w:id="5"/>
      <w:r>
        <w:rPr>
          <w:b w:val="0"/>
        </w:rPr>
      </w:r>
      <w:r>
        <w:rPr/>
        <w:t>五、相关服务机构</w:t>
      </w:r>
    </w:p>
    <w:p>
      <w:pPr>
        <w:pStyle w:val="BodyText"/>
        <w:rPr>
          <w:b/>
          <w:sz w:val="20"/>
        </w:rPr>
      </w:pPr>
    </w:p>
    <w:p>
      <w:pPr>
        <w:pStyle w:val="BodyText"/>
        <w:spacing w:before="7"/>
        <w:rPr>
          <w:b/>
          <w:sz w:val="15"/>
        </w:rPr>
      </w:pPr>
    </w:p>
    <w:p>
      <w:pPr>
        <w:pStyle w:val="BodyText"/>
        <w:ind w:left="1198"/>
      </w:pPr>
      <w:r>
        <w:rPr/>
        <w:t>（一）销售机构</w:t>
      </w:r>
    </w:p>
    <w:p>
      <w:pPr>
        <w:pStyle w:val="BodyText"/>
        <w:spacing w:before="8"/>
        <w:rPr>
          <w:sz w:val="15"/>
        </w:rPr>
      </w:pPr>
    </w:p>
    <w:p>
      <w:pPr>
        <w:pStyle w:val="BodyText"/>
        <w:spacing w:line="417" w:lineRule="auto"/>
        <w:ind w:left="1198" w:right="5317"/>
      </w:pPr>
      <w:r>
        <w:rPr>
          <w:rFonts w:ascii="Times New Roman" w:eastAsia="Times New Roman"/>
        </w:rPr>
        <w:t>1</w:t>
      </w:r>
      <w:r>
        <w:rPr/>
        <w:t>、直销机构：华夏基金管理有限公司住所：北京市顺义区安庆大街甲</w:t>
      </w:r>
      <w:r>
        <w:rPr>
          <w:rFonts w:ascii="Times New Roman" w:eastAsia="Times New Roman"/>
        </w:rPr>
        <w:t>3</w:t>
      </w:r>
      <w:r>
        <w:rPr/>
        <w:t>号院</w:t>
      </w:r>
    </w:p>
    <w:p>
      <w:pPr>
        <w:pStyle w:val="BodyText"/>
        <w:spacing w:line="417" w:lineRule="auto"/>
        <w:ind w:left="1198" w:right="3707"/>
      </w:pPr>
      <w:r>
        <w:rPr>
          <w:spacing w:val="-3"/>
        </w:rPr>
        <w:t>办公地址：北京市西城区金融大街</w:t>
      </w:r>
      <w:r>
        <w:rPr>
          <w:rFonts w:ascii="Times New Roman" w:eastAsia="Times New Roman"/>
        </w:rPr>
        <w:t>33</w:t>
      </w:r>
      <w:r>
        <w:rPr>
          <w:spacing w:val="-3"/>
        </w:rPr>
        <w:t>号通泰大厦</w:t>
      </w:r>
      <w:r>
        <w:rPr>
          <w:rFonts w:ascii="Times New Roman" w:eastAsia="Times New Roman"/>
        </w:rPr>
        <w:t>B</w:t>
      </w:r>
      <w:r>
        <w:rPr>
          <w:spacing w:val="-3"/>
        </w:rPr>
        <w:t>座</w:t>
      </w:r>
      <w:r>
        <w:rPr>
          <w:rFonts w:ascii="Times New Roman" w:eastAsia="Times New Roman"/>
        </w:rPr>
        <w:t>8</w:t>
      </w:r>
      <w:r>
        <w:rPr/>
        <w:t>层</w:t>
      </w:r>
      <w:r>
        <w:rPr>
          <w:spacing w:val="-3"/>
        </w:rPr>
        <w:t>法定代表人：杨明辉</w:t>
      </w:r>
    </w:p>
    <w:p>
      <w:pPr>
        <w:pStyle w:val="BodyText"/>
        <w:spacing w:line="417" w:lineRule="auto"/>
        <w:ind w:left="1198" w:right="6124"/>
        <w:rPr>
          <w:rFonts w:ascii="Times New Roman" w:eastAsia="Times New Roman"/>
        </w:rPr>
      </w:pPr>
      <w:r>
        <w:rPr>
          <w:spacing w:val="-3"/>
        </w:rPr>
        <w:t>客户服务电话：</w:t>
      </w:r>
      <w:r>
        <w:rPr>
          <w:rFonts w:ascii="Times New Roman" w:eastAsia="Times New Roman"/>
          <w:spacing w:val="-3"/>
        </w:rPr>
        <w:t>400-818-6666 </w:t>
      </w:r>
      <w:r>
        <w:rPr/>
        <w:t>传真：</w:t>
      </w:r>
      <w:r>
        <w:rPr>
          <w:rFonts w:ascii="Times New Roman" w:eastAsia="Times New Roman"/>
        </w:rPr>
        <w:t>010-63136700</w:t>
      </w:r>
    </w:p>
    <w:p>
      <w:pPr>
        <w:pStyle w:val="BodyText"/>
        <w:spacing w:line="269" w:lineRule="exact"/>
        <w:ind w:left="1198"/>
      </w:pPr>
      <w:r>
        <w:rPr/>
        <w:t>联系人：张德根</w:t>
      </w:r>
    </w:p>
    <w:p>
      <w:pPr>
        <w:pStyle w:val="BodyText"/>
        <w:spacing w:before="6"/>
        <w:rPr>
          <w:sz w:val="15"/>
        </w:rPr>
      </w:pPr>
    </w:p>
    <w:p>
      <w:pPr>
        <w:pStyle w:val="BodyText"/>
        <w:spacing w:line="417" w:lineRule="auto"/>
        <w:ind w:left="1198" w:right="6208"/>
      </w:pPr>
      <w:r>
        <w:rPr/>
        <w:t>网址：</w:t>
      </w:r>
      <w:hyperlink r:id="rId10">
        <w:r>
          <w:rPr>
            <w:rFonts w:ascii="Times New Roman" w:eastAsia="Times New Roman"/>
          </w:rPr>
          <w:t>www.ChinaAMC.com</w:t>
        </w:r>
      </w:hyperlink>
      <w:r>
        <w:rPr>
          <w:rFonts w:ascii="Times New Roman" w:eastAsia="Times New Roman"/>
        </w:rPr>
        <w:t> 2</w:t>
      </w:r>
      <w:r>
        <w:rPr/>
        <w:t>、代销机构：</w:t>
      </w:r>
    </w:p>
    <w:p>
      <w:pPr>
        <w:spacing w:after="0" w:line="417" w:lineRule="auto"/>
        <w:sectPr>
          <w:pgSz w:w="11910" w:h="16840"/>
          <w:pgMar w:header="877" w:footer="995" w:top="1280" w:bottom="1180" w:left="1020" w:right="900"/>
        </w:sectPr>
      </w:pPr>
    </w:p>
    <w:p>
      <w:pPr>
        <w:pStyle w:val="BodyText"/>
        <w:rPr>
          <w:sz w:val="12"/>
        </w:rPr>
      </w:pPr>
    </w:p>
    <w:p>
      <w:pPr>
        <w:pStyle w:val="ListParagraph"/>
        <w:numPr>
          <w:ilvl w:val="0"/>
          <w:numId w:val="8"/>
        </w:numPr>
        <w:tabs>
          <w:tab w:pos="1790" w:val="left" w:leader="none"/>
        </w:tabs>
        <w:spacing w:line="240" w:lineRule="auto" w:before="78" w:after="0"/>
        <w:ind w:left="1789" w:right="0" w:hanging="530"/>
        <w:jc w:val="left"/>
        <w:rPr>
          <w:sz w:val="21"/>
        </w:rPr>
      </w:pPr>
      <w:r>
        <w:rPr>
          <w:spacing w:val="-3"/>
          <w:sz w:val="21"/>
        </w:rPr>
        <w:t>中国工商银行股份有限公司</w:t>
      </w:r>
    </w:p>
    <w:p>
      <w:pPr>
        <w:pStyle w:val="BodyText"/>
        <w:spacing w:before="7"/>
        <w:rPr>
          <w:sz w:val="15"/>
        </w:rPr>
      </w:pPr>
    </w:p>
    <w:p>
      <w:pPr>
        <w:pStyle w:val="BodyText"/>
        <w:ind w:left="1260"/>
      </w:pPr>
      <w:r>
        <w:rPr/>
        <w:t>住所：北京市西城区复兴门内大街</w:t>
      </w:r>
      <w:r>
        <w:rPr>
          <w:rFonts w:ascii="Times New Roman" w:eastAsia="Times New Roman"/>
        </w:rPr>
        <w:t>55</w:t>
      </w:r>
      <w:r>
        <w:rPr/>
        <w:t>号</w:t>
      </w:r>
    </w:p>
    <w:p>
      <w:pPr>
        <w:pStyle w:val="BodyText"/>
        <w:spacing w:before="7"/>
        <w:rPr>
          <w:sz w:val="15"/>
        </w:rPr>
      </w:pPr>
    </w:p>
    <w:p>
      <w:pPr>
        <w:pStyle w:val="BodyText"/>
        <w:spacing w:line="417" w:lineRule="auto"/>
        <w:ind w:left="1260" w:right="4729"/>
      </w:pPr>
      <w:r>
        <w:rPr>
          <w:spacing w:val="-3"/>
        </w:rPr>
        <w:t>办公地址：北京市西城区复兴门内大街</w:t>
      </w:r>
      <w:r>
        <w:rPr>
          <w:rFonts w:ascii="Times New Roman" w:eastAsia="Times New Roman"/>
        </w:rPr>
        <w:t>55</w:t>
      </w:r>
      <w:r>
        <w:rPr>
          <w:spacing w:val="-12"/>
        </w:rPr>
        <w:t>号</w:t>
      </w:r>
      <w:r>
        <w:rPr>
          <w:spacing w:val="-3"/>
        </w:rPr>
        <w:t>法定代表人：陈四清</w:t>
      </w:r>
    </w:p>
    <w:p>
      <w:pPr>
        <w:pStyle w:val="BodyText"/>
        <w:spacing w:line="417" w:lineRule="auto"/>
        <w:ind w:left="1260" w:right="6727"/>
        <w:rPr>
          <w:rFonts w:ascii="Times New Roman" w:eastAsia="Times New Roman"/>
        </w:rPr>
      </w:pPr>
      <w:r>
        <w:rPr>
          <w:spacing w:val="-3"/>
        </w:rPr>
        <w:t>客户服务电话：</w:t>
      </w:r>
      <w:r>
        <w:rPr>
          <w:rFonts w:ascii="Times New Roman" w:eastAsia="Times New Roman"/>
          <w:spacing w:val="-4"/>
        </w:rPr>
        <w:t>95588 </w:t>
      </w:r>
      <w:r>
        <w:rPr/>
        <w:t>传真：</w:t>
      </w:r>
      <w:r>
        <w:rPr>
          <w:rFonts w:ascii="Times New Roman" w:eastAsia="Times New Roman"/>
        </w:rPr>
        <w:t>010-66107914</w:t>
      </w:r>
    </w:p>
    <w:p>
      <w:pPr>
        <w:pStyle w:val="BodyText"/>
        <w:spacing w:line="269" w:lineRule="exact"/>
        <w:ind w:left="1260"/>
      </w:pPr>
      <w:r>
        <w:rPr/>
        <w:t>联系人：王佺</w:t>
      </w:r>
    </w:p>
    <w:p>
      <w:pPr>
        <w:pStyle w:val="BodyText"/>
        <w:spacing w:before="7"/>
        <w:rPr>
          <w:sz w:val="15"/>
        </w:rPr>
      </w:pPr>
    </w:p>
    <w:p>
      <w:pPr>
        <w:pStyle w:val="BodyText"/>
        <w:ind w:left="1260"/>
        <w:rPr>
          <w:rFonts w:ascii="Times New Roman" w:eastAsia="Times New Roman"/>
        </w:rPr>
      </w:pPr>
      <w:r>
        <w:rPr/>
        <w:t>网址：</w:t>
      </w:r>
      <w:hyperlink r:id="rId11">
        <w:r>
          <w:rPr>
            <w:rFonts w:ascii="Times New Roman" w:eastAsia="Times New Roman"/>
          </w:rPr>
          <w:t>www.icbc.com.cn</w:t>
        </w:r>
      </w:hyperlink>
    </w:p>
    <w:p>
      <w:pPr>
        <w:pStyle w:val="BodyText"/>
        <w:spacing w:before="3"/>
        <w:rPr>
          <w:rFonts w:ascii="Times New Roman"/>
          <w:sz w:val="17"/>
        </w:rPr>
      </w:pPr>
    </w:p>
    <w:p>
      <w:pPr>
        <w:pStyle w:val="ListParagraph"/>
        <w:numPr>
          <w:ilvl w:val="0"/>
          <w:numId w:val="8"/>
        </w:numPr>
        <w:tabs>
          <w:tab w:pos="1790" w:val="left" w:leader="none"/>
        </w:tabs>
        <w:spacing w:line="240" w:lineRule="auto" w:before="0" w:after="0"/>
        <w:ind w:left="1789" w:right="0" w:hanging="530"/>
        <w:jc w:val="left"/>
        <w:rPr>
          <w:sz w:val="21"/>
        </w:rPr>
      </w:pPr>
      <w:r>
        <w:rPr>
          <w:spacing w:val="-3"/>
          <w:sz w:val="21"/>
        </w:rPr>
        <w:t>中国农业银行股份有限公司</w:t>
      </w:r>
    </w:p>
    <w:p>
      <w:pPr>
        <w:pStyle w:val="BodyText"/>
        <w:spacing w:before="7"/>
        <w:rPr>
          <w:sz w:val="15"/>
        </w:rPr>
      </w:pPr>
    </w:p>
    <w:p>
      <w:pPr>
        <w:pStyle w:val="BodyText"/>
        <w:ind w:left="1260"/>
      </w:pPr>
      <w:r>
        <w:rPr/>
        <w:t>住所：北京市东城区建国门内大街</w:t>
      </w:r>
      <w:r>
        <w:rPr>
          <w:rFonts w:ascii="Times New Roman" w:eastAsia="Times New Roman"/>
        </w:rPr>
        <w:t>69</w:t>
      </w:r>
      <w:r>
        <w:rPr/>
        <w:t>号</w:t>
      </w:r>
    </w:p>
    <w:p>
      <w:pPr>
        <w:pStyle w:val="BodyText"/>
        <w:spacing w:before="7"/>
        <w:rPr>
          <w:sz w:val="15"/>
        </w:rPr>
      </w:pPr>
    </w:p>
    <w:p>
      <w:pPr>
        <w:pStyle w:val="BodyText"/>
        <w:spacing w:line="417" w:lineRule="auto"/>
        <w:ind w:left="1260" w:right="4729"/>
      </w:pPr>
      <w:r>
        <w:rPr/>
        <w:t>办公地址：北京市东城区建国门内大街</w:t>
      </w:r>
      <w:r>
        <w:rPr>
          <w:rFonts w:ascii="Times New Roman" w:eastAsia="Times New Roman"/>
        </w:rPr>
        <w:t>69</w:t>
      </w:r>
      <w:r>
        <w:rPr/>
        <w:t>号法定代表人：周慕冰</w:t>
      </w:r>
    </w:p>
    <w:p>
      <w:pPr>
        <w:pStyle w:val="BodyText"/>
        <w:spacing w:line="417" w:lineRule="auto"/>
        <w:ind w:left="1260" w:right="6528"/>
        <w:rPr>
          <w:rFonts w:ascii="Times New Roman" w:eastAsia="Times New Roman"/>
        </w:rPr>
      </w:pPr>
      <w:r>
        <w:rPr>
          <w:spacing w:val="-2"/>
        </w:rPr>
        <w:t>客户服务电话：</w:t>
      </w:r>
      <w:r>
        <w:rPr>
          <w:rFonts w:ascii="Times New Roman" w:eastAsia="Times New Roman"/>
        </w:rPr>
        <w:t>95599 </w:t>
      </w:r>
      <w:r>
        <w:rPr>
          <w:spacing w:val="-3"/>
        </w:rPr>
        <w:t>联系人：客户服务中心网址：</w:t>
      </w:r>
      <w:hyperlink r:id="rId12">
        <w:r>
          <w:rPr>
            <w:rFonts w:ascii="Times New Roman" w:eastAsia="Times New Roman"/>
            <w:spacing w:val="-3"/>
          </w:rPr>
          <w:t>www.abchina.com</w:t>
        </w:r>
      </w:hyperlink>
    </w:p>
    <w:p>
      <w:pPr>
        <w:pStyle w:val="ListParagraph"/>
        <w:numPr>
          <w:ilvl w:val="0"/>
          <w:numId w:val="8"/>
        </w:numPr>
        <w:tabs>
          <w:tab w:pos="1790" w:val="left" w:leader="none"/>
        </w:tabs>
        <w:spacing w:line="240" w:lineRule="auto" w:before="0" w:after="0"/>
        <w:ind w:left="1789" w:right="0" w:hanging="530"/>
        <w:jc w:val="left"/>
        <w:rPr>
          <w:sz w:val="21"/>
        </w:rPr>
      </w:pPr>
      <w:r>
        <w:rPr>
          <w:spacing w:val="-3"/>
          <w:sz w:val="21"/>
        </w:rPr>
        <w:t>中国银行股份有限公司</w:t>
      </w:r>
    </w:p>
    <w:p>
      <w:pPr>
        <w:pStyle w:val="BodyText"/>
        <w:spacing w:before="6"/>
        <w:rPr>
          <w:sz w:val="15"/>
        </w:rPr>
      </w:pPr>
    </w:p>
    <w:p>
      <w:pPr>
        <w:pStyle w:val="BodyText"/>
        <w:ind w:left="1260"/>
      </w:pPr>
      <w:r>
        <w:rPr/>
        <w:t>住所：北京市西城区复兴门内大街</w:t>
      </w:r>
      <w:r>
        <w:rPr>
          <w:rFonts w:ascii="Times New Roman" w:eastAsia="Times New Roman"/>
        </w:rPr>
        <w:t>1</w:t>
      </w:r>
      <w:r>
        <w:rPr/>
        <w:t>号</w:t>
      </w:r>
    </w:p>
    <w:p>
      <w:pPr>
        <w:pStyle w:val="BodyText"/>
        <w:spacing w:before="7"/>
        <w:rPr>
          <w:sz w:val="15"/>
        </w:rPr>
      </w:pPr>
    </w:p>
    <w:p>
      <w:pPr>
        <w:pStyle w:val="BodyText"/>
        <w:spacing w:line="417" w:lineRule="auto"/>
        <w:ind w:left="1260" w:right="4835"/>
      </w:pPr>
      <w:r>
        <w:rPr/>
        <w:t>办公地址：北京市西城区复兴门内大街</w:t>
      </w:r>
      <w:r>
        <w:rPr>
          <w:rFonts w:ascii="Times New Roman" w:eastAsia="Times New Roman"/>
        </w:rPr>
        <w:t>1</w:t>
      </w:r>
      <w:r>
        <w:rPr/>
        <w:t>号法定代表人：刘连舸</w:t>
      </w:r>
    </w:p>
    <w:p>
      <w:pPr>
        <w:pStyle w:val="BodyText"/>
        <w:spacing w:line="417" w:lineRule="auto"/>
        <w:ind w:left="1260" w:right="6866"/>
        <w:rPr>
          <w:rFonts w:ascii="Times New Roman" w:eastAsia="Times New Roman"/>
        </w:rPr>
      </w:pPr>
      <w:r>
        <w:rPr/>
        <w:t>电话：</w:t>
      </w:r>
      <w:r>
        <w:rPr>
          <w:rFonts w:ascii="Times New Roman" w:eastAsia="Times New Roman"/>
        </w:rPr>
        <w:t>010-66596688 </w:t>
      </w:r>
      <w:r>
        <w:rPr/>
        <w:t>传真：</w:t>
      </w:r>
      <w:r>
        <w:rPr>
          <w:rFonts w:ascii="Times New Roman" w:eastAsia="Times New Roman"/>
        </w:rPr>
        <w:t>010-66593777</w:t>
      </w:r>
    </w:p>
    <w:p>
      <w:pPr>
        <w:pStyle w:val="BodyText"/>
        <w:spacing w:line="417" w:lineRule="auto"/>
        <w:ind w:left="1260" w:right="6621"/>
        <w:rPr>
          <w:rFonts w:ascii="Times New Roman" w:eastAsia="Times New Roman"/>
        </w:rPr>
      </w:pPr>
      <w:r>
        <w:rPr/>
        <w:t>联系人：客户服务中心网址：</w:t>
      </w:r>
      <w:hyperlink r:id="rId13">
        <w:r>
          <w:rPr>
            <w:rFonts w:ascii="Times New Roman" w:eastAsia="Times New Roman"/>
          </w:rPr>
          <w:t>www.boc.cn</w:t>
        </w:r>
      </w:hyperlink>
    </w:p>
    <w:p>
      <w:pPr>
        <w:pStyle w:val="BodyText"/>
        <w:spacing w:line="269" w:lineRule="exact"/>
        <w:ind w:left="1260"/>
        <w:rPr>
          <w:rFonts w:ascii="Times New Roman" w:eastAsia="Times New Roman"/>
        </w:rPr>
      </w:pPr>
      <w:r>
        <w:rPr/>
        <w:t>客户服务电话：</w:t>
      </w:r>
      <w:r>
        <w:rPr>
          <w:rFonts w:ascii="Times New Roman" w:eastAsia="Times New Roman"/>
        </w:rPr>
        <w:t>95566</w:t>
      </w:r>
    </w:p>
    <w:p>
      <w:pPr>
        <w:pStyle w:val="BodyText"/>
        <w:spacing w:before="3"/>
        <w:rPr>
          <w:rFonts w:ascii="Times New Roman"/>
          <w:sz w:val="17"/>
        </w:rPr>
      </w:pPr>
    </w:p>
    <w:p>
      <w:pPr>
        <w:pStyle w:val="ListParagraph"/>
        <w:numPr>
          <w:ilvl w:val="0"/>
          <w:numId w:val="8"/>
        </w:numPr>
        <w:tabs>
          <w:tab w:pos="1790" w:val="left" w:leader="none"/>
        </w:tabs>
        <w:spacing w:line="417" w:lineRule="auto" w:before="0" w:after="0"/>
        <w:ind w:left="1260" w:right="5569" w:firstLine="0"/>
        <w:jc w:val="left"/>
        <w:rPr>
          <w:sz w:val="21"/>
        </w:rPr>
      </w:pPr>
      <w:r>
        <w:rPr>
          <w:spacing w:val="-3"/>
          <w:sz w:val="21"/>
        </w:rPr>
        <w:t>中国建设银行股份有限公司住所：北京市西城区金融大街</w:t>
      </w:r>
      <w:r>
        <w:rPr>
          <w:rFonts w:ascii="Times New Roman" w:eastAsia="Times New Roman"/>
          <w:sz w:val="21"/>
        </w:rPr>
        <w:t>25</w:t>
      </w:r>
      <w:r>
        <w:rPr>
          <w:spacing w:val="-13"/>
          <w:sz w:val="21"/>
        </w:rPr>
        <w:t>号</w:t>
      </w:r>
    </w:p>
    <w:p>
      <w:pPr>
        <w:pStyle w:val="BodyText"/>
        <w:spacing w:line="417" w:lineRule="auto"/>
        <w:ind w:left="1260" w:right="4312"/>
      </w:pPr>
      <w:r>
        <w:rPr>
          <w:spacing w:val="-3"/>
        </w:rPr>
        <w:t>办公地址：北京市西城区闹市口大街</w:t>
      </w:r>
      <w:r>
        <w:rPr>
          <w:rFonts w:ascii="Times New Roman" w:eastAsia="Times New Roman"/>
        </w:rPr>
        <w:t>1</w:t>
      </w:r>
      <w:r>
        <w:rPr>
          <w:spacing w:val="-2"/>
        </w:rPr>
        <w:t>号院</w:t>
      </w:r>
      <w:r>
        <w:rPr>
          <w:rFonts w:ascii="Times New Roman" w:eastAsia="Times New Roman"/>
        </w:rPr>
        <w:t>1</w:t>
      </w:r>
      <w:r>
        <w:rPr>
          <w:spacing w:val="-9"/>
        </w:rPr>
        <w:t>号楼</w:t>
      </w:r>
      <w:r>
        <w:rPr>
          <w:spacing w:val="-3"/>
        </w:rPr>
        <w:t>法定代表人：田国立</w:t>
      </w:r>
    </w:p>
    <w:p>
      <w:pPr>
        <w:pStyle w:val="BodyText"/>
        <w:spacing w:line="417" w:lineRule="auto"/>
        <w:ind w:left="1260" w:right="6727"/>
        <w:rPr>
          <w:rFonts w:ascii="Times New Roman" w:eastAsia="Times New Roman"/>
        </w:rPr>
      </w:pPr>
      <w:r>
        <w:rPr>
          <w:spacing w:val="-3"/>
        </w:rPr>
        <w:t>客户服务电话：</w:t>
      </w:r>
      <w:r>
        <w:rPr>
          <w:rFonts w:ascii="Times New Roman" w:eastAsia="Times New Roman"/>
          <w:spacing w:val="-4"/>
        </w:rPr>
        <w:t>95533 </w:t>
      </w:r>
      <w:r>
        <w:rPr/>
        <w:t>传真：</w:t>
      </w:r>
      <w:r>
        <w:rPr>
          <w:rFonts w:ascii="Times New Roman" w:eastAsia="Times New Roman"/>
        </w:rPr>
        <w:t>010-66275654</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联系人：王嘉朔</w:t>
      </w:r>
    </w:p>
    <w:p>
      <w:pPr>
        <w:pStyle w:val="BodyText"/>
        <w:spacing w:before="6"/>
        <w:rPr>
          <w:sz w:val="15"/>
        </w:rPr>
      </w:pPr>
    </w:p>
    <w:p>
      <w:pPr>
        <w:pStyle w:val="BodyText"/>
        <w:ind w:left="1260"/>
        <w:rPr>
          <w:rFonts w:ascii="Times New Roman" w:eastAsia="Times New Roman"/>
        </w:rPr>
      </w:pPr>
      <w:r>
        <w:rPr/>
        <w:t>网址：</w:t>
      </w:r>
      <w:hyperlink r:id="rId14">
        <w:r>
          <w:rPr>
            <w:rFonts w:ascii="Times New Roman" w:eastAsia="Times New Roman"/>
          </w:rPr>
          <w:t>www.ccb.com</w:t>
        </w:r>
      </w:hyperlink>
    </w:p>
    <w:p>
      <w:pPr>
        <w:pStyle w:val="BodyText"/>
        <w:spacing w:before="4"/>
        <w:rPr>
          <w:rFonts w:ascii="Times New Roman"/>
          <w:sz w:val="17"/>
        </w:rPr>
      </w:pPr>
    </w:p>
    <w:p>
      <w:pPr>
        <w:pStyle w:val="ListParagraph"/>
        <w:numPr>
          <w:ilvl w:val="0"/>
          <w:numId w:val="8"/>
        </w:numPr>
        <w:tabs>
          <w:tab w:pos="1790" w:val="left" w:leader="none"/>
        </w:tabs>
        <w:spacing w:line="240" w:lineRule="auto" w:before="0" w:after="0"/>
        <w:ind w:left="1789" w:right="0" w:hanging="530"/>
        <w:jc w:val="left"/>
        <w:rPr>
          <w:sz w:val="21"/>
        </w:rPr>
      </w:pPr>
      <w:r>
        <w:rPr>
          <w:spacing w:val="-3"/>
          <w:sz w:val="21"/>
        </w:rPr>
        <w:t>交通银行股份有限公司</w:t>
      </w:r>
    </w:p>
    <w:p>
      <w:pPr>
        <w:pStyle w:val="BodyText"/>
        <w:spacing w:before="6"/>
        <w:rPr>
          <w:sz w:val="15"/>
        </w:rPr>
      </w:pPr>
    </w:p>
    <w:p>
      <w:pPr>
        <w:pStyle w:val="BodyText"/>
        <w:ind w:left="1260"/>
      </w:pPr>
      <w:r>
        <w:rPr/>
        <w:t>住所：上海市浦东新区银城中路</w:t>
      </w:r>
      <w:r>
        <w:rPr>
          <w:rFonts w:ascii="Times New Roman" w:eastAsia="Times New Roman"/>
        </w:rPr>
        <w:t>188</w:t>
      </w:r>
      <w:r>
        <w:rPr/>
        <w:t>号</w:t>
      </w:r>
    </w:p>
    <w:p>
      <w:pPr>
        <w:pStyle w:val="BodyText"/>
        <w:spacing w:before="7"/>
        <w:rPr>
          <w:sz w:val="15"/>
        </w:rPr>
      </w:pPr>
    </w:p>
    <w:p>
      <w:pPr>
        <w:pStyle w:val="BodyText"/>
        <w:spacing w:line="417" w:lineRule="auto"/>
        <w:ind w:left="1260" w:right="4835"/>
      </w:pPr>
      <w:r>
        <w:rPr/>
        <w:t>办公地址：上海市浦东新区银城中路</w:t>
      </w:r>
      <w:r>
        <w:rPr>
          <w:rFonts w:ascii="Times New Roman" w:eastAsia="Times New Roman"/>
        </w:rPr>
        <w:t>188</w:t>
      </w:r>
      <w:r>
        <w:rPr/>
        <w:t>号法定代表人：任德奇</w:t>
      </w:r>
    </w:p>
    <w:p>
      <w:pPr>
        <w:pStyle w:val="BodyText"/>
        <w:spacing w:line="417" w:lineRule="auto"/>
        <w:ind w:left="1260" w:right="6866"/>
        <w:rPr>
          <w:rFonts w:ascii="Times New Roman" w:eastAsia="Times New Roman"/>
        </w:rPr>
      </w:pPr>
      <w:r>
        <w:rPr/>
        <w:t>电话：</w:t>
      </w:r>
      <w:r>
        <w:rPr>
          <w:rFonts w:ascii="Times New Roman" w:eastAsia="Times New Roman"/>
        </w:rPr>
        <w:t>021-58781234 </w:t>
      </w:r>
      <w:r>
        <w:rPr/>
        <w:t>传真：</w:t>
      </w:r>
      <w:r>
        <w:rPr>
          <w:rFonts w:ascii="Times New Roman" w:eastAsia="Times New Roman"/>
        </w:rPr>
        <w:t>021-58408483</w:t>
      </w:r>
    </w:p>
    <w:p>
      <w:pPr>
        <w:pStyle w:val="BodyText"/>
        <w:ind w:left="1260"/>
      </w:pPr>
      <w:r>
        <w:rPr/>
        <w:t>联系人：陈旭</w:t>
      </w:r>
    </w:p>
    <w:p>
      <w:pPr>
        <w:pStyle w:val="BodyText"/>
        <w:spacing w:before="7"/>
        <w:rPr>
          <w:sz w:val="15"/>
        </w:rPr>
      </w:pPr>
    </w:p>
    <w:p>
      <w:pPr>
        <w:pStyle w:val="BodyText"/>
        <w:spacing w:line="417" w:lineRule="auto"/>
        <w:ind w:left="1260" w:right="6208"/>
        <w:rPr>
          <w:rFonts w:ascii="Times New Roman" w:eastAsia="Times New Roman"/>
        </w:rPr>
      </w:pPr>
      <w:r>
        <w:rPr/>
        <w:t>网址：</w:t>
      </w:r>
      <w:hyperlink r:id="rId15">
        <w:r>
          <w:rPr>
            <w:rFonts w:ascii="Times New Roman" w:eastAsia="Times New Roman"/>
          </w:rPr>
          <w:t>www.bankcomm.com </w:t>
        </w:r>
      </w:hyperlink>
      <w:r>
        <w:rPr/>
        <w:t>客户服务电话：</w:t>
      </w:r>
      <w:r>
        <w:rPr>
          <w:rFonts w:ascii="Times New Roman" w:eastAsia="Times New Roman"/>
        </w:rPr>
        <w:t>95559</w:t>
      </w:r>
    </w:p>
    <w:p>
      <w:pPr>
        <w:pStyle w:val="ListParagraph"/>
        <w:numPr>
          <w:ilvl w:val="0"/>
          <w:numId w:val="8"/>
        </w:numPr>
        <w:tabs>
          <w:tab w:pos="1790" w:val="left" w:leader="none"/>
        </w:tabs>
        <w:spacing w:line="269" w:lineRule="exact" w:before="0" w:after="0"/>
        <w:ind w:left="1789" w:right="0" w:hanging="530"/>
        <w:jc w:val="left"/>
        <w:rPr>
          <w:sz w:val="21"/>
        </w:rPr>
      </w:pPr>
      <w:r>
        <w:rPr>
          <w:spacing w:val="-3"/>
          <w:sz w:val="21"/>
        </w:rPr>
        <w:t>招商银行股份有限公司</w:t>
      </w:r>
    </w:p>
    <w:p>
      <w:pPr>
        <w:pStyle w:val="BodyText"/>
        <w:spacing w:before="6"/>
        <w:rPr>
          <w:sz w:val="15"/>
        </w:rPr>
      </w:pPr>
    </w:p>
    <w:p>
      <w:pPr>
        <w:pStyle w:val="BodyText"/>
        <w:spacing w:before="1"/>
        <w:ind w:left="1260"/>
      </w:pPr>
      <w:r>
        <w:rPr/>
        <w:t>住所：深圳市深南大道</w:t>
      </w:r>
      <w:r>
        <w:rPr>
          <w:rFonts w:ascii="Times New Roman" w:eastAsia="Times New Roman"/>
        </w:rPr>
        <w:t>7088</w:t>
      </w:r>
      <w:r>
        <w:rPr/>
        <w:t>号招商银行大厦</w:t>
      </w:r>
    </w:p>
    <w:p>
      <w:pPr>
        <w:pStyle w:val="BodyText"/>
        <w:spacing w:before="6"/>
        <w:rPr>
          <w:sz w:val="15"/>
        </w:rPr>
      </w:pPr>
    </w:p>
    <w:p>
      <w:pPr>
        <w:pStyle w:val="BodyText"/>
        <w:spacing w:line="417" w:lineRule="auto"/>
        <w:ind w:left="1260" w:right="4309"/>
      </w:pPr>
      <w:r>
        <w:rPr/>
        <w:t>办公地址：深圳市深南大道</w:t>
      </w:r>
      <w:r>
        <w:rPr>
          <w:rFonts w:ascii="Times New Roman" w:eastAsia="Times New Roman"/>
        </w:rPr>
        <w:t>7088</w:t>
      </w:r>
      <w:r>
        <w:rPr/>
        <w:t>号招商银行大厦法定代表人：李建红</w:t>
      </w:r>
    </w:p>
    <w:p>
      <w:pPr>
        <w:pStyle w:val="BodyText"/>
        <w:spacing w:line="417" w:lineRule="auto"/>
        <w:ind w:left="1260" w:right="6760"/>
        <w:rPr>
          <w:rFonts w:ascii="Times New Roman" w:eastAsia="Times New Roman"/>
        </w:rPr>
      </w:pPr>
      <w:r>
        <w:rPr/>
        <w:t>电话：</w:t>
      </w:r>
      <w:r>
        <w:rPr>
          <w:rFonts w:ascii="Times New Roman" w:eastAsia="Times New Roman"/>
        </w:rPr>
        <w:t>0755-83198888 </w:t>
      </w:r>
      <w:r>
        <w:rPr/>
        <w:t>传真：</w:t>
      </w:r>
      <w:r>
        <w:rPr>
          <w:rFonts w:ascii="Times New Roman" w:eastAsia="Times New Roman"/>
        </w:rPr>
        <w:t>0755-83195109</w:t>
      </w:r>
    </w:p>
    <w:p>
      <w:pPr>
        <w:pStyle w:val="BodyText"/>
        <w:spacing w:line="269" w:lineRule="exact"/>
        <w:ind w:left="1260"/>
      </w:pPr>
      <w:r>
        <w:rPr/>
        <w:t>联系人：邓炯鹏</w:t>
      </w:r>
    </w:p>
    <w:p>
      <w:pPr>
        <w:pStyle w:val="BodyText"/>
        <w:spacing w:before="7"/>
        <w:rPr>
          <w:sz w:val="15"/>
        </w:rPr>
      </w:pPr>
    </w:p>
    <w:p>
      <w:pPr>
        <w:pStyle w:val="BodyText"/>
        <w:spacing w:line="417" w:lineRule="auto"/>
        <w:ind w:left="1260" w:right="6323"/>
        <w:rPr>
          <w:rFonts w:ascii="Times New Roman" w:eastAsia="Times New Roman"/>
        </w:rPr>
      </w:pPr>
      <w:r>
        <w:rPr/>
        <w:t>网址：</w:t>
      </w:r>
      <w:hyperlink r:id="rId16">
        <w:r>
          <w:rPr>
            <w:rFonts w:ascii="Times New Roman" w:eastAsia="Times New Roman"/>
          </w:rPr>
          <w:t>www.cmbchina.com </w:t>
        </w:r>
      </w:hyperlink>
      <w:r>
        <w:rPr/>
        <w:t>客户服务电话：</w:t>
      </w:r>
      <w:r>
        <w:rPr>
          <w:rFonts w:ascii="Times New Roman" w:eastAsia="Times New Roman"/>
        </w:rPr>
        <w:t>95555</w:t>
      </w:r>
    </w:p>
    <w:p>
      <w:pPr>
        <w:pStyle w:val="ListParagraph"/>
        <w:numPr>
          <w:ilvl w:val="0"/>
          <w:numId w:val="8"/>
        </w:numPr>
        <w:tabs>
          <w:tab w:pos="1790" w:val="left" w:leader="none"/>
        </w:tabs>
        <w:spacing w:line="269" w:lineRule="exact" w:before="0" w:after="0"/>
        <w:ind w:left="1789" w:right="0" w:hanging="530"/>
        <w:jc w:val="left"/>
        <w:rPr>
          <w:sz w:val="21"/>
        </w:rPr>
      </w:pPr>
      <w:r>
        <w:rPr>
          <w:spacing w:val="-3"/>
          <w:sz w:val="21"/>
        </w:rPr>
        <w:t>中信银行股份有限公司</w:t>
      </w:r>
    </w:p>
    <w:p>
      <w:pPr>
        <w:pStyle w:val="BodyText"/>
        <w:spacing w:before="7"/>
        <w:rPr>
          <w:sz w:val="15"/>
        </w:rPr>
      </w:pPr>
    </w:p>
    <w:p>
      <w:pPr>
        <w:pStyle w:val="BodyText"/>
        <w:spacing w:before="1"/>
        <w:ind w:left="1260"/>
      </w:pPr>
      <w:r>
        <w:rPr/>
        <w:t>住所：北京市东城区朝阳门北大街</w:t>
      </w:r>
      <w:r>
        <w:rPr>
          <w:rFonts w:ascii="Times New Roman" w:eastAsia="Times New Roman"/>
        </w:rPr>
        <w:t>8</w:t>
      </w:r>
      <w:r>
        <w:rPr/>
        <w:t>号富华大厦</w:t>
      </w:r>
      <w:r>
        <w:rPr>
          <w:rFonts w:ascii="Times New Roman" w:eastAsia="Times New Roman"/>
        </w:rPr>
        <w:t>C</w:t>
      </w:r>
      <w:r>
        <w:rPr/>
        <w:t>座</w:t>
      </w:r>
    </w:p>
    <w:p>
      <w:pPr>
        <w:pStyle w:val="BodyText"/>
        <w:spacing w:before="6"/>
        <w:rPr>
          <w:sz w:val="15"/>
        </w:rPr>
      </w:pPr>
    </w:p>
    <w:p>
      <w:pPr>
        <w:pStyle w:val="BodyText"/>
        <w:spacing w:line="417" w:lineRule="auto"/>
        <w:ind w:left="1260" w:right="3644"/>
      </w:pPr>
      <w:r>
        <w:rPr/>
        <w:t>办公地址：北京市东城区朝阳门北大街</w:t>
      </w:r>
      <w:r>
        <w:rPr>
          <w:rFonts w:ascii="Times New Roman" w:eastAsia="Times New Roman"/>
        </w:rPr>
        <w:t>8</w:t>
      </w:r>
      <w:r>
        <w:rPr/>
        <w:t>号富华大厦</w:t>
      </w:r>
      <w:r>
        <w:rPr>
          <w:rFonts w:ascii="Times New Roman" w:eastAsia="Times New Roman"/>
        </w:rPr>
        <w:t>C</w:t>
      </w:r>
      <w:r>
        <w:rPr/>
        <w:t>座法定代表人：李庆萍</w:t>
      </w:r>
    </w:p>
    <w:p>
      <w:pPr>
        <w:pStyle w:val="BodyText"/>
        <w:spacing w:line="417" w:lineRule="auto"/>
        <w:ind w:left="1260" w:right="6866"/>
        <w:rPr>
          <w:rFonts w:ascii="Times New Roman" w:eastAsia="Times New Roman"/>
        </w:rPr>
      </w:pPr>
      <w:r>
        <w:rPr/>
        <w:t>电话：</w:t>
      </w:r>
      <w:r>
        <w:rPr>
          <w:rFonts w:ascii="Times New Roman" w:eastAsia="Times New Roman"/>
        </w:rPr>
        <w:t>010-65556689 </w:t>
      </w:r>
      <w:r>
        <w:rPr/>
        <w:t>传真：</w:t>
      </w:r>
      <w:r>
        <w:rPr>
          <w:rFonts w:ascii="Times New Roman" w:eastAsia="Times New Roman"/>
        </w:rPr>
        <w:t>010-65550827</w:t>
      </w:r>
    </w:p>
    <w:p>
      <w:pPr>
        <w:pStyle w:val="BodyText"/>
        <w:spacing w:line="269" w:lineRule="exact"/>
        <w:ind w:left="1260"/>
      </w:pPr>
      <w:r>
        <w:rPr/>
        <w:t>联系人：方爽</w:t>
      </w:r>
    </w:p>
    <w:p>
      <w:pPr>
        <w:pStyle w:val="BodyText"/>
        <w:spacing w:before="7"/>
        <w:rPr>
          <w:sz w:val="15"/>
        </w:rPr>
      </w:pPr>
    </w:p>
    <w:p>
      <w:pPr>
        <w:pStyle w:val="BodyText"/>
        <w:spacing w:line="417" w:lineRule="auto"/>
        <w:ind w:left="1260" w:right="6727"/>
        <w:rPr>
          <w:rFonts w:ascii="Times New Roman" w:eastAsia="Times New Roman"/>
        </w:rPr>
      </w:pPr>
      <w:r>
        <w:rPr/>
        <w:t>网址：</w:t>
      </w:r>
      <w:r>
        <w:rPr>
          <w:rFonts w:ascii="Times New Roman" w:eastAsia="Times New Roman"/>
        </w:rPr>
        <w:t>bank.ecitic.com </w:t>
      </w:r>
      <w:r>
        <w:rPr/>
        <w:t>客户服务电话：</w:t>
      </w:r>
      <w:r>
        <w:rPr>
          <w:rFonts w:ascii="Times New Roman" w:eastAsia="Times New Roman"/>
        </w:rPr>
        <w:t>95558</w:t>
      </w:r>
    </w:p>
    <w:p>
      <w:pPr>
        <w:pStyle w:val="ListParagraph"/>
        <w:numPr>
          <w:ilvl w:val="0"/>
          <w:numId w:val="8"/>
        </w:numPr>
        <w:tabs>
          <w:tab w:pos="1790" w:val="left" w:leader="none"/>
        </w:tabs>
        <w:spacing w:line="240" w:lineRule="auto" w:before="0" w:after="0"/>
        <w:ind w:left="1789" w:right="0" w:hanging="530"/>
        <w:jc w:val="left"/>
        <w:rPr>
          <w:sz w:val="21"/>
        </w:rPr>
      </w:pPr>
      <w:r>
        <w:rPr>
          <w:spacing w:val="-3"/>
          <w:sz w:val="21"/>
        </w:rPr>
        <w:t>上海浦东发展银行股份有限公司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before="78"/>
        <w:ind w:left="1260"/>
      </w:pPr>
      <w:r>
        <w:rPr/>
        <w:t>住所：上海市中山东一路</w:t>
      </w:r>
      <w:r>
        <w:rPr>
          <w:rFonts w:ascii="Times New Roman" w:eastAsia="Times New Roman"/>
        </w:rPr>
        <w:t>12</w:t>
      </w:r>
      <w:r>
        <w:rPr/>
        <w:t>号</w:t>
      </w:r>
    </w:p>
    <w:p>
      <w:pPr>
        <w:pStyle w:val="BodyText"/>
        <w:spacing w:before="7"/>
        <w:rPr>
          <w:sz w:val="15"/>
        </w:rPr>
      </w:pPr>
    </w:p>
    <w:p>
      <w:pPr>
        <w:pStyle w:val="BodyText"/>
        <w:spacing w:line="417" w:lineRule="auto"/>
        <w:ind w:left="1260" w:right="5675"/>
      </w:pPr>
      <w:r>
        <w:rPr/>
        <w:t>办公地址：上海市北京东路</w:t>
      </w:r>
      <w:r>
        <w:rPr>
          <w:rFonts w:ascii="Times New Roman" w:eastAsia="Times New Roman"/>
        </w:rPr>
        <w:t>689</w:t>
      </w:r>
      <w:r>
        <w:rPr/>
        <w:t>号法定代表人：郑杨</w:t>
      </w:r>
    </w:p>
    <w:p>
      <w:pPr>
        <w:pStyle w:val="BodyText"/>
        <w:spacing w:line="417" w:lineRule="auto"/>
        <w:ind w:left="1260" w:right="6866"/>
        <w:rPr>
          <w:rFonts w:ascii="Times New Roman" w:eastAsia="Times New Roman"/>
        </w:rPr>
      </w:pPr>
      <w:r>
        <w:rPr/>
        <w:t>电话：</w:t>
      </w:r>
      <w:r>
        <w:rPr>
          <w:rFonts w:ascii="Times New Roman" w:eastAsia="Times New Roman"/>
        </w:rPr>
        <w:t>021-61618888 </w:t>
      </w:r>
      <w:r>
        <w:rPr/>
        <w:t>传真：</w:t>
      </w:r>
      <w:r>
        <w:rPr>
          <w:rFonts w:ascii="Times New Roman" w:eastAsia="Times New Roman"/>
        </w:rPr>
        <w:t>021-63602431</w:t>
      </w:r>
    </w:p>
    <w:p>
      <w:pPr>
        <w:pStyle w:val="BodyText"/>
        <w:spacing w:line="417" w:lineRule="auto"/>
        <w:ind w:left="1260" w:right="6494"/>
        <w:rPr>
          <w:rFonts w:ascii="Times New Roman" w:eastAsia="Times New Roman"/>
        </w:rPr>
      </w:pPr>
      <w:r>
        <w:rPr/>
        <w:t>联系人：高天、汤嘉惠网址：</w:t>
      </w:r>
      <w:hyperlink r:id="rId17">
        <w:r>
          <w:rPr>
            <w:rFonts w:ascii="Times New Roman" w:eastAsia="Times New Roman"/>
          </w:rPr>
          <w:t>www.spdb.com.cn </w:t>
        </w:r>
      </w:hyperlink>
      <w:r>
        <w:rPr/>
        <w:t>客户服务电话：</w:t>
      </w:r>
      <w:r>
        <w:rPr>
          <w:rFonts w:ascii="Times New Roman" w:eastAsia="Times New Roman"/>
        </w:rPr>
        <w:t>95528</w:t>
      </w:r>
    </w:p>
    <w:p>
      <w:pPr>
        <w:pStyle w:val="ListParagraph"/>
        <w:numPr>
          <w:ilvl w:val="0"/>
          <w:numId w:val="8"/>
        </w:numPr>
        <w:tabs>
          <w:tab w:pos="1790" w:val="left" w:leader="none"/>
        </w:tabs>
        <w:spacing w:line="417" w:lineRule="auto" w:before="0" w:after="0"/>
        <w:ind w:left="1260" w:right="6097" w:firstLine="0"/>
        <w:jc w:val="left"/>
        <w:rPr>
          <w:sz w:val="21"/>
        </w:rPr>
      </w:pPr>
      <w:r>
        <w:rPr>
          <w:spacing w:val="-4"/>
          <w:sz w:val="21"/>
        </w:rPr>
        <w:t>兴业银行股份有限公司</w:t>
      </w:r>
      <w:r>
        <w:rPr>
          <w:spacing w:val="-3"/>
          <w:sz w:val="21"/>
        </w:rPr>
        <w:t>住所：福州市湖东路</w:t>
      </w:r>
      <w:r>
        <w:rPr>
          <w:rFonts w:ascii="Times New Roman" w:eastAsia="Times New Roman"/>
          <w:sz w:val="21"/>
        </w:rPr>
        <w:t>154</w:t>
      </w:r>
      <w:r>
        <w:rPr>
          <w:sz w:val="21"/>
        </w:rPr>
        <w:t>号</w:t>
      </w:r>
    </w:p>
    <w:p>
      <w:pPr>
        <w:pStyle w:val="BodyText"/>
        <w:spacing w:line="417" w:lineRule="auto"/>
        <w:ind w:left="1260" w:right="5886"/>
      </w:pPr>
      <w:r>
        <w:rPr/>
        <w:t>办公地址：福州市湖东路</w:t>
      </w:r>
      <w:r>
        <w:rPr>
          <w:rFonts w:ascii="Times New Roman" w:eastAsia="Times New Roman"/>
        </w:rPr>
        <w:t>154</w:t>
      </w:r>
      <w:r>
        <w:rPr/>
        <w:t>号法定代表人：高建平</w:t>
      </w:r>
    </w:p>
    <w:p>
      <w:pPr>
        <w:pStyle w:val="BodyText"/>
        <w:spacing w:line="417" w:lineRule="auto"/>
        <w:ind w:left="1260" w:right="6760"/>
        <w:rPr>
          <w:rFonts w:ascii="Times New Roman" w:eastAsia="Times New Roman"/>
        </w:rPr>
      </w:pPr>
      <w:r>
        <w:rPr/>
        <w:t>电话：</w:t>
      </w:r>
      <w:r>
        <w:rPr>
          <w:rFonts w:ascii="Times New Roman" w:eastAsia="Times New Roman"/>
        </w:rPr>
        <w:t>0591-87839338 </w:t>
      </w:r>
      <w:r>
        <w:rPr/>
        <w:t>传真：</w:t>
      </w:r>
      <w:r>
        <w:rPr>
          <w:rFonts w:ascii="Times New Roman" w:eastAsia="Times New Roman"/>
        </w:rPr>
        <w:t>0591-87841932</w:t>
      </w:r>
    </w:p>
    <w:p>
      <w:pPr>
        <w:pStyle w:val="BodyText"/>
        <w:ind w:left="1260"/>
      </w:pPr>
      <w:r>
        <w:rPr/>
        <w:t>联系人：梁曦</w:t>
      </w:r>
    </w:p>
    <w:p>
      <w:pPr>
        <w:pStyle w:val="BodyText"/>
        <w:spacing w:before="5"/>
        <w:rPr>
          <w:sz w:val="15"/>
        </w:rPr>
      </w:pPr>
    </w:p>
    <w:p>
      <w:pPr>
        <w:pStyle w:val="BodyText"/>
        <w:spacing w:line="417" w:lineRule="auto" w:before="1"/>
        <w:ind w:left="1260" w:right="6633"/>
        <w:rPr>
          <w:rFonts w:ascii="Times New Roman" w:eastAsia="Times New Roman"/>
        </w:rPr>
      </w:pPr>
      <w:r>
        <w:rPr/>
        <w:t>网址：</w:t>
      </w:r>
      <w:hyperlink r:id="rId18">
        <w:r>
          <w:rPr>
            <w:rFonts w:ascii="Times New Roman" w:eastAsia="Times New Roman"/>
          </w:rPr>
          <w:t>www.cib.com.cn </w:t>
        </w:r>
      </w:hyperlink>
      <w:r>
        <w:rPr/>
        <w:t>客户服务电话：</w:t>
      </w:r>
      <w:r>
        <w:rPr>
          <w:rFonts w:ascii="Times New Roman" w:eastAsia="Times New Roman"/>
        </w:rPr>
        <w:t>95561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中国光大银行股份有限公司</w:t>
      </w:r>
    </w:p>
    <w:p>
      <w:pPr>
        <w:pStyle w:val="BodyText"/>
        <w:spacing w:before="6"/>
        <w:rPr>
          <w:sz w:val="15"/>
        </w:rPr>
      </w:pPr>
    </w:p>
    <w:p>
      <w:pPr>
        <w:pStyle w:val="BodyText"/>
        <w:spacing w:line="417" w:lineRule="auto"/>
        <w:ind w:left="1260" w:right="3258"/>
      </w:pPr>
      <w:r>
        <w:rPr>
          <w:spacing w:val="-3"/>
        </w:rPr>
        <w:t>住所：北京市西城区太平桥大街</w:t>
      </w:r>
      <w:r>
        <w:rPr>
          <w:rFonts w:ascii="Times New Roman" w:eastAsia="Times New Roman"/>
        </w:rPr>
        <w:t>25</w:t>
      </w:r>
      <w:r>
        <w:rPr>
          <w:spacing w:val="-3"/>
        </w:rPr>
        <w:t>号、甲</w:t>
      </w:r>
      <w:r>
        <w:rPr>
          <w:rFonts w:ascii="Times New Roman" w:eastAsia="Times New Roman"/>
        </w:rPr>
        <w:t>25</w:t>
      </w:r>
      <w:r>
        <w:rPr>
          <w:spacing w:val="-3"/>
        </w:rPr>
        <w:t>号中国光大中心办公地址：北京市西城区太平桥大街</w:t>
      </w:r>
      <w:r>
        <w:rPr>
          <w:rFonts w:ascii="Times New Roman" w:eastAsia="Times New Roman"/>
        </w:rPr>
        <w:t>25</w:t>
      </w:r>
      <w:r>
        <w:rPr>
          <w:spacing w:val="-3"/>
        </w:rPr>
        <w:t>号中国光大中心</w:t>
      </w:r>
    </w:p>
    <w:p>
      <w:pPr>
        <w:pStyle w:val="BodyText"/>
        <w:spacing w:line="417" w:lineRule="auto"/>
        <w:ind w:left="1260" w:right="6830"/>
        <w:jc w:val="both"/>
        <w:rPr>
          <w:rFonts w:ascii="Times New Roman" w:eastAsia="Times New Roman"/>
        </w:rPr>
      </w:pPr>
      <w:r>
        <w:rPr/>
        <w:t>法定代表人：李晓鹏电话：</w:t>
      </w:r>
      <w:r>
        <w:rPr>
          <w:rFonts w:ascii="Times New Roman" w:eastAsia="Times New Roman"/>
        </w:rPr>
        <w:t>010-63636153 </w:t>
      </w:r>
      <w:r>
        <w:rPr/>
        <w:t>传真：</w:t>
      </w:r>
      <w:r>
        <w:rPr>
          <w:rFonts w:ascii="Times New Roman" w:eastAsia="Times New Roman"/>
        </w:rPr>
        <w:t>010-63639709</w:t>
      </w:r>
    </w:p>
    <w:p>
      <w:pPr>
        <w:pStyle w:val="BodyText"/>
        <w:ind w:left="1260"/>
      </w:pPr>
      <w:r>
        <w:rPr/>
        <w:t>联系人：朱红</w:t>
      </w:r>
    </w:p>
    <w:p>
      <w:pPr>
        <w:pStyle w:val="BodyText"/>
        <w:spacing w:before="7"/>
        <w:rPr>
          <w:sz w:val="15"/>
        </w:rPr>
      </w:pPr>
    </w:p>
    <w:p>
      <w:pPr>
        <w:pStyle w:val="BodyText"/>
        <w:spacing w:line="417" w:lineRule="auto"/>
        <w:ind w:left="1260" w:right="6440"/>
        <w:rPr>
          <w:rFonts w:ascii="Times New Roman" w:eastAsia="Times New Roman"/>
        </w:rPr>
      </w:pPr>
      <w:r>
        <w:rPr/>
        <w:t>网址：</w:t>
      </w:r>
      <w:hyperlink r:id="rId19">
        <w:r>
          <w:rPr>
            <w:rFonts w:ascii="Times New Roman" w:eastAsia="Times New Roman"/>
          </w:rPr>
          <w:t>www.cebbank.com </w:t>
        </w:r>
      </w:hyperlink>
      <w:r>
        <w:rPr/>
        <w:t>客户服务电话：</w:t>
      </w:r>
      <w:r>
        <w:rPr>
          <w:rFonts w:ascii="Times New Roman" w:eastAsia="Times New Roman"/>
        </w:rPr>
        <w:t>95595</w:t>
      </w:r>
    </w:p>
    <w:p>
      <w:pPr>
        <w:pStyle w:val="ListParagraph"/>
        <w:numPr>
          <w:ilvl w:val="0"/>
          <w:numId w:val="8"/>
        </w:numPr>
        <w:tabs>
          <w:tab w:pos="1886" w:val="left" w:leader="none"/>
        </w:tabs>
        <w:spacing w:line="269" w:lineRule="exact" w:before="0" w:after="0"/>
        <w:ind w:left="1885" w:right="0" w:hanging="626"/>
        <w:jc w:val="left"/>
        <w:rPr>
          <w:sz w:val="21"/>
        </w:rPr>
      </w:pPr>
      <w:r>
        <w:rPr>
          <w:spacing w:val="-3"/>
          <w:sz w:val="21"/>
        </w:rPr>
        <w:t>中国民生银行股份有限公司</w:t>
      </w:r>
    </w:p>
    <w:p>
      <w:pPr>
        <w:pStyle w:val="BodyText"/>
        <w:spacing w:before="6"/>
        <w:rPr>
          <w:sz w:val="15"/>
        </w:rPr>
      </w:pPr>
    </w:p>
    <w:p>
      <w:pPr>
        <w:pStyle w:val="BodyText"/>
        <w:spacing w:before="1"/>
        <w:ind w:left="1260"/>
      </w:pPr>
      <w:r>
        <w:rPr/>
        <w:t>住所：北京市西城区复兴门内大街</w:t>
      </w:r>
      <w:r>
        <w:rPr>
          <w:rFonts w:ascii="Times New Roman" w:eastAsia="Times New Roman"/>
        </w:rPr>
        <w:t>2</w:t>
      </w:r>
      <w:r>
        <w:rPr/>
        <w:t>号</w:t>
      </w:r>
    </w:p>
    <w:p>
      <w:pPr>
        <w:pStyle w:val="BodyText"/>
        <w:spacing w:before="7"/>
        <w:rPr>
          <w:sz w:val="15"/>
        </w:rPr>
      </w:pPr>
    </w:p>
    <w:p>
      <w:pPr>
        <w:pStyle w:val="BodyText"/>
        <w:spacing w:line="417" w:lineRule="auto"/>
        <w:ind w:left="1260" w:right="4835"/>
      </w:pPr>
      <w:r>
        <w:rPr/>
        <w:t>办公地址：北京市西城区复兴门内大街</w:t>
      </w:r>
      <w:r>
        <w:rPr>
          <w:rFonts w:ascii="Times New Roman" w:eastAsia="Times New Roman"/>
        </w:rPr>
        <w:t>2</w:t>
      </w:r>
      <w:r>
        <w:rPr/>
        <w:t>号法定代表人：董文标</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1260" w:right="6727"/>
        <w:rPr>
          <w:rFonts w:ascii="Times New Roman" w:eastAsia="Times New Roman"/>
        </w:rPr>
      </w:pPr>
      <w:r>
        <w:rPr/>
        <w:t>客户服务电话：</w:t>
      </w:r>
      <w:r>
        <w:rPr>
          <w:rFonts w:ascii="Times New Roman" w:eastAsia="Times New Roman"/>
        </w:rPr>
        <w:t>95568 </w:t>
      </w:r>
      <w:r>
        <w:rPr/>
        <w:t>传真：</w:t>
      </w:r>
      <w:r>
        <w:rPr>
          <w:rFonts w:ascii="Times New Roman" w:eastAsia="Times New Roman"/>
        </w:rPr>
        <w:t>010-57092611</w:t>
      </w:r>
    </w:p>
    <w:p>
      <w:pPr>
        <w:pStyle w:val="BodyText"/>
        <w:spacing w:line="269" w:lineRule="exact"/>
        <w:ind w:left="1260"/>
      </w:pPr>
      <w:r>
        <w:rPr/>
        <w:t>联系人：董云巍</w:t>
      </w:r>
    </w:p>
    <w:p>
      <w:pPr>
        <w:pStyle w:val="BodyText"/>
        <w:spacing w:before="7"/>
        <w:rPr>
          <w:sz w:val="15"/>
        </w:rPr>
      </w:pPr>
    </w:p>
    <w:p>
      <w:pPr>
        <w:pStyle w:val="BodyText"/>
        <w:ind w:left="1260"/>
        <w:rPr>
          <w:rFonts w:ascii="Times New Roman" w:eastAsia="Times New Roman"/>
        </w:rPr>
      </w:pPr>
      <w:r>
        <w:rPr/>
        <w:t>网址：</w:t>
      </w:r>
      <w:hyperlink r:id="rId20">
        <w:r>
          <w:rPr>
            <w:rFonts w:ascii="Times New Roman" w:eastAsia="Times New Roman"/>
          </w:rPr>
          <w:t>www.cmbc.com.cn</w:t>
        </w:r>
      </w:hyperlink>
    </w:p>
    <w:p>
      <w:pPr>
        <w:pStyle w:val="BodyText"/>
        <w:spacing w:before="3"/>
        <w:rPr>
          <w:rFonts w:ascii="Times New Roman"/>
          <w:sz w:val="17"/>
        </w:rPr>
      </w:pPr>
    </w:p>
    <w:p>
      <w:pPr>
        <w:pStyle w:val="ListParagraph"/>
        <w:numPr>
          <w:ilvl w:val="0"/>
          <w:numId w:val="8"/>
        </w:numPr>
        <w:tabs>
          <w:tab w:pos="1895" w:val="left" w:leader="none"/>
        </w:tabs>
        <w:spacing w:line="417" w:lineRule="auto" w:before="0" w:after="0"/>
        <w:ind w:left="1260" w:right="5044" w:firstLine="0"/>
        <w:jc w:val="left"/>
        <w:rPr>
          <w:sz w:val="21"/>
        </w:rPr>
      </w:pPr>
      <w:r>
        <w:rPr>
          <w:spacing w:val="-3"/>
          <w:sz w:val="21"/>
        </w:rPr>
        <w:t>中国邮政储蓄银行股份有限公司住所：北京市西城区宣武门西大街</w:t>
      </w:r>
      <w:r>
        <w:rPr>
          <w:rFonts w:ascii="Times New Roman" w:eastAsia="Times New Roman"/>
          <w:sz w:val="21"/>
        </w:rPr>
        <w:t>131</w:t>
      </w:r>
      <w:r>
        <w:rPr>
          <w:spacing w:val="-12"/>
          <w:sz w:val="21"/>
        </w:rPr>
        <w:t>号</w:t>
      </w:r>
      <w:r>
        <w:rPr>
          <w:spacing w:val="-3"/>
          <w:sz w:val="21"/>
        </w:rPr>
        <w:t>办公地址：北京市西城区金融大街</w:t>
      </w:r>
      <w:r>
        <w:rPr>
          <w:rFonts w:ascii="Times New Roman" w:eastAsia="Times New Roman"/>
          <w:spacing w:val="-3"/>
          <w:sz w:val="21"/>
        </w:rPr>
        <w:t>3</w:t>
      </w:r>
      <w:r>
        <w:rPr>
          <w:sz w:val="21"/>
        </w:rPr>
        <w:t>号 </w:t>
      </w:r>
      <w:r>
        <w:rPr>
          <w:spacing w:val="-3"/>
          <w:sz w:val="21"/>
        </w:rPr>
        <w:t>法定代表人：刘安东</w:t>
      </w:r>
    </w:p>
    <w:p>
      <w:pPr>
        <w:pStyle w:val="BodyText"/>
        <w:spacing w:line="417" w:lineRule="auto"/>
        <w:ind w:left="1260" w:right="6727"/>
        <w:rPr>
          <w:rFonts w:ascii="Times New Roman" w:eastAsia="Times New Roman"/>
        </w:rPr>
      </w:pPr>
      <w:r>
        <w:rPr/>
        <w:t>客户服务电话：</w:t>
      </w:r>
      <w:r>
        <w:rPr>
          <w:rFonts w:ascii="Times New Roman" w:eastAsia="Times New Roman"/>
        </w:rPr>
        <w:t>95580 </w:t>
      </w:r>
      <w:r>
        <w:rPr/>
        <w:t>传真：</w:t>
      </w:r>
      <w:r>
        <w:rPr>
          <w:rFonts w:ascii="Times New Roman" w:eastAsia="Times New Roman"/>
        </w:rPr>
        <w:t>010-68858117</w:t>
      </w:r>
    </w:p>
    <w:p>
      <w:pPr>
        <w:pStyle w:val="BodyText"/>
        <w:spacing w:line="269" w:lineRule="exact"/>
        <w:ind w:left="1260"/>
      </w:pPr>
      <w:r>
        <w:rPr/>
        <w:t>联系人：陈春林</w:t>
      </w:r>
    </w:p>
    <w:p>
      <w:pPr>
        <w:pStyle w:val="BodyText"/>
        <w:spacing w:before="7"/>
        <w:rPr>
          <w:sz w:val="15"/>
        </w:rPr>
      </w:pPr>
    </w:p>
    <w:p>
      <w:pPr>
        <w:pStyle w:val="BodyText"/>
        <w:ind w:left="1260"/>
        <w:rPr>
          <w:rFonts w:ascii="Times New Roman" w:eastAsia="Times New Roman"/>
        </w:rPr>
      </w:pPr>
      <w:r>
        <w:rPr/>
        <w:t>网址：</w:t>
      </w:r>
      <w:hyperlink r:id="rId21">
        <w:r>
          <w:rPr>
            <w:rFonts w:ascii="Times New Roman" w:eastAsia="Times New Roman"/>
          </w:rPr>
          <w:t>www.psbc.com</w:t>
        </w:r>
      </w:hyperlink>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北京银行股份有限公司</w:t>
      </w:r>
    </w:p>
    <w:p>
      <w:pPr>
        <w:pStyle w:val="BodyText"/>
        <w:spacing w:before="6"/>
        <w:rPr>
          <w:sz w:val="15"/>
        </w:rPr>
      </w:pPr>
    </w:p>
    <w:p>
      <w:pPr>
        <w:pStyle w:val="BodyText"/>
        <w:spacing w:line="417" w:lineRule="auto"/>
        <w:ind w:left="1260" w:right="4938"/>
        <w:jc w:val="both"/>
      </w:pPr>
      <w:r>
        <w:rPr/>
        <w:t>住所：北京市西城区金融大街甲</w:t>
      </w:r>
      <w:r>
        <w:rPr>
          <w:rFonts w:ascii="Times New Roman" w:eastAsia="Times New Roman"/>
        </w:rPr>
        <w:t>17</w:t>
      </w:r>
      <w:r>
        <w:rPr/>
        <w:t>号首层办公地址：北京市西城区金融大街丙</w:t>
      </w:r>
      <w:r>
        <w:rPr>
          <w:rFonts w:ascii="Times New Roman" w:eastAsia="Times New Roman"/>
        </w:rPr>
        <w:t>17</w:t>
      </w:r>
      <w:r>
        <w:rPr/>
        <w:t>号法定代表人：闫冰竹</w:t>
      </w:r>
    </w:p>
    <w:p>
      <w:pPr>
        <w:pStyle w:val="BodyText"/>
        <w:spacing w:line="417" w:lineRule="auto"/>
        <w:ind w:left="1260" w:right="6866"/>
        <w:rPr>
          <w:rFonts w:ascii="Times New Roman" w:eastAsia="Times New Roman"/>
        </w:rPr>
      </w:pPr>
      <w:r>
        <w:rPr/>
        <w:t>电话：</w:t>
      </w:r>
      <w:r>
        <w:rPr>
          <w:rFonts w:ascii="Times New Roman" w:eastAsia="Times New Roman"/>
        </w:rPr>
        <w:t>010-66223587 </w:t>
      </w:r>
      <w:r>
        <w:rPr/>
        <w:t>传真：</w:t>
      </w:r>
      <w:r>
        <w:rPr>
          <w:rFonts w:ascii="Times New Roman" w:eastAsia="Times New Roman"/>
        </w:rPr>
        <w:t>010-66226045</w:t>
      </w:r>
    </w:p>
    <w:p>
      <w:pPr>
        <w:pStyle w:val="BodyText"/>
        <w:spacing w:line="269" w:lineRule="exact"/>
        <w:ind w:left="1260"/>
      </w:pPr>
      <w:r>
        <w:rPr/>
        <w:t>联系人：谢小华</w:t>
      </w:r>
    </w:p>
    <w:p>
      <w:pPr>
        <w:pStyle w:val="BodyText"/>
        <w:spacing w:before="7"/>
        <w:rPr>
          <w:sz w:val="15"/>
        </w:rPr>
      </w:pPr>
    </w:p>
    <w:p>
      <w:pPr>
        <w:pStyle w:val="BodyText"/>
        <w:spacing w:line="417" w:lineRule="auto"/>
        <w:ind w:left="1260" w:right="5724"/>
        <w:rPr>
          <w:rFonts w:ascii="Times New Roman" w:eastAsia="Times New Roman"/>
        </w:rPr>
      </w:pPr>
      <w:r>
        <w:rPr/>
        <w:t>网址：</w:t>
      </w:r>
      <w:hyperlink r:id="rId22">
        <w:r>
          <w:rPr>
            <w:rFonts w:ascii="Times New Roman" w:eastAsia="Times New Roman"/>
          </w:rPr>
          <w:t>www.bankofbeijing.com.cn </w:t>
        </w:r>
      </w:hyperlink>
      <w:r>
        <w:rPr/>
        <w:t>客户服务电话：</w:t>
      </w:r>
      <w:r>
        <w:rPr>
          <w:rFonts w:ascii="Times New Roman" w:eastAsia="Times New Roman"/>
        </w:rPr>
        <w:t>95526</w:t>
      </w: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华夏银行股份有限公司</w:t>
      </w:r>
    </w:p>
    <w:p>
      <w:pPr>
        <w:pStyle w:val="BodyText"/>
        <w:spacing w:before="7"/>
        <w:rPr>
          <w:sz w:val="15"/>
        </w:rPr>
      </w:pPr>
    </w:p>
    <w:p>
      <w:pPr>
        <w:pStyle w:val="BodyText"/>
        <w:ind w:left="1260"/>
      </w:pPr>
      <w:r>
        <w:rPr/>
        <w:t>住所：北京市东城区建国门内大街</w:t>
      </w:r>
      <w:r>
        <w:rPr>
          <w:rFonts w:ascii="Times New Roman" w:eastAsia="Times New Roman"/>
        </w:rPr>
        <w:t>22</w:t>
      </w:r>
      <w:r>
        <w:rPr/>
        <w:t>号</w:t>
      </w:r>
    </w:p>
    <w:p>
      <w:pPr>
        <w:pStyle w:val="BodyText"/>
        <w:spacing w:before="7"/>
        <w:rPr>
          <w:sz w:val="15"/>
        </w:rPr>
      </w:pPr>
    </w:p>
    <w:p>
      <w:pPr>
        <w:pStyle w:val="BodyText"/>
        <w:spacing w:line="417" w:lineRule="auto"/>
        <w:ind w:left="1260" w:right="4729"/>
      </w:pPr>
      <w:r>
        <w:rPr/>
        <w:t>办公地址：北京市东城区建国门内大街</w:t>
      </w:r>
      <w:r>
        <w:rPr>
          <w:rFonts w:ascii="Times New Roman" w:eastAsia="Times New Roman"/>
        </w:rPr>
        <w:t>22</w:t>
      </w:r>
      <w:r>
        <w:rPr/>
        <w:t>号法定代表人：吴建</w:t>
      </w:r>
    </w:p>
    <w:p>
      <w:pPr>
        <w:pStyle w:val="BodyText"/>
        <w:spacing w:line="417" w:lineRule="auto"/>
        <w:ind w:left="1260" w:right="6866"/>
        <w:rPr>
          <w:rFonts w:ascii="Times New Roman" w:eastAsia="Times New Roman"/>
        </w:rPr>
      </w:pPr>
      <w:r>
        <w:rPr/>
        <w:t>电话：</w:t>
      </w:r>
      <w:r>
        <w:rPr>
          <w:rFonts w:ascii="Times New Roman" w:eastAsia="Times New Roman"/>
        </w:rPr>
        <w:t>010-85238670 </w:t>
      </w:r>
      <w:r>
        <w:rPr/>
        <w:t>传真：</w:t>
      </w:r>
      <w:r>
        <w:rPr>
          <w:rFonts w:ascii="Times New Roman" w:eastAsia="Times New Roman"/>
        </w:rPr>
        <w:t>010-85238680</w:t>
      </w:r>
    </w:p>
    <w:p>
      <w:pPr>
        <w:pStyle w:val="BodyText"/>
        <w:spacing w:line="269" w:lineRule="exact"/>
        <w:ind w:left="1260"/>
      </w:pPr>
      <w:r>
        <w:rPr/>
        <w:t>联系人：李慧</w:t>
      </w:r>
    </w:p>
    <w:p>
      <w:pPr>
        <w:pStyle w:val="BodyText"/>
        <w:spacing w:before="6"/>
        <w:rPr>
          <w:sz w:val="15"/>
        </w:rPr>
      </w:pPr>
    </w:p>
    <w:p>
      <w:pPr>
        <w:pStyle w:val="BodyText"/>
        <w:spacing w:line="417" w:lineRule="auto" w:before="1"/>
        <w:ind w:left="1260" w:right="6575"/>
        <w:rPr>
          <w:rFonts w:ascii="Times New Roman" w:eastAsia="Times New Roman"/>
        </w:rPr>
      </w:pPr>
      <w:r>
        <w:rPr/>
        <w:t>网址：</w:t>
      </w:r>
      <w:hyperlink r:id="rId23">
        <w:r>
          <w:rPr>
            <w:rFonts w:ascii="Times New Roman" w:eastAsia="Times New Roman"/>
          </w:rPr>
          <w:t>www.hxb.com.cn </w:t>
        </w:r>
      </w:hyperlink>
      <w:r>
        <w:rPr/>
        <w:t>客户服务电话：</w:t>
      </w:r>
      <w:r>
        <w:rPr>
          <w:rFonts w:ascii="Times New Roman" w:eastAsia="Times New Roman"/>
        </w:rPr>
        <w:t>95577</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240" w:lineRule="auto" w:before="79" w:after="0"/>
        <w:ind w:left="1895" w:right="0" w:hanging="635"/>
        <w:jc w:val="left"/>
        <w:rPr>
          <w:sz w:val="21"/>
        </w:rPr>
      </w:pPr>
      <w:r>
        <w:rPr>
          <w:spacing w:val="-3"/>
          <w:sz w:val="21"/>
        </w:rPr>
        <w:t>上海银行股份有限公司</w:t>
      </w:r>
    </w:p>
    <w:p>
      <w:pPr>
        <w:pStyle w:val="BodyText"/>
        <w:spacing w:before="6"/>
        <w:rPr>
          <w:sz w:val="15"/>
        </w:rPr>
      </w:pPr>
    </w:p>
    <w:p>
      <w:pPr>
        <w:pStyle w:val="BodyText"/>
        <w:ind w:left="1260"/>
      </w:pPr>
      <w:r>
        <w:rPr/>
        <w:t>住所：上海市浦东新区银城中路</w:t>
      </w:r>
      <w:r>
        <w:rPr>
          <w:rFonts w:ascii="Times New Roman" w:eastAsia="Times New Roman"/>
        </w:rPr>
        <w:t>168</w:t>
      </w:r>
      <w:r>
        <w:rPr/>
        <w:t>号</w:t>
      </w:r>
    </w:p>
    <w:p>
      <w:pPr>
        <w:pStyle w:val="BodyText"/>
        <w:spacing w:before="7"/>
        <w:rPr>
          <w:sz w:val="15"/>
        </w:rPr>
      </w:pPr>
    </w:p>
    <w:p>
      <w:pPr>
        <w:pStyle w:val="BodyText"/>
        <w:spacing w:line="417" w:lineRule="auto"/>
        <w:ind w:left="1260" w:right="4835"/>
      </w:pPr>
      <w:r>
        <w:rPr/>
        <w:t>办公地址：上海市浦东新区银城中路</w:t>
      </w:r>
      <w:r>
        <w:rPr>
          <w:rFonts w:ascii="Times New Roman" w:eastAsia="Times New Roman"/>
        </w:rPr>
        <w:t>168</w:t>
      </w:r>
      <w:r>
        <w:rPr/>
        <w:t>号法定代表人：金煜</w:t>
      </w:r>
    </w:p>
    <w:p>
      <w:pPr>
        <w:pStyle w:val="BodyText"/>
        <w:spacing w:line="417" w:lineRule="auto"/>
        <w:ind w:left="1260" w:right="6866"/>
        <w:rPr>
          <w:rFonts w:ascii="Times New Roman" w:eastAsia="Times New Roman"/>
        </w:rPr>
      </w:pPr>
      <w:r>
        <w:rPr/>
        <w:t>电话：</w:t>
      </w:r>
      <w:r>
        <w:rPr>
          <w:rFonts w:ascii="Times New Roman" w:eastAsia="Times New Roman"/>
        </w:rPr>
        <w:t>021-68475888 </w:t>
      </w:r>
      <w:r>
        <w:rPr/>
        <w:t>传真：</w:t>
      </w:r>
      <w:r>
        <w:rPr>
          <w:rFonts w:ascii="Times New Roman" w:eastAsia="Times New Roman"/>
        </w:rPr>
        <w:t>021-68476111</w:t>
      </w:r>
    </w:p>
    <w:p>
      <w:pPr>
        <w:pStyle w:val="BodyText"/>
        <w:spacing w:line="269" w:lineRule="exact"/>
        <w:ind w:left="1260"/>
      </w:pPr>
      <w:r>
        <w:rPr/>
        <w:t>联系人：王笑</w:t>
      </w:r>
    </w:p>
    <w:p>
      <w:pPr>
        <w:pStyle w:val="BodyText"/>
        <w:spacing w:before="7"/>
        <w:rPr>
          <w:sz w:val="15"/>
        </w:rPr>
      </w:pPr>
    </w:p>
    <w:p>
      <w:pPr>
        <w:pStyle w:val="BodyText"/>
        <w:spacing w:line="417" w:lineRule="auto"/>
        <w:ind w:left="1260" w:right="6360"/>
        <w:rPr>
          <w:rFonts w:ascii="Times New Roman" w:eastAsia="Times New Roman"/>
        </w:rPr>
      </w:pPr>
      <w:r>
        <w:rPr/>
        <w:t>网址：</w:t>
      </w:r>
      <w:hyperlink r:id="rId24">
        <w:r>
          <w:rPr>
            <w:rFonts w:ascii="Times New Roman" w:eastAsia="Times New Roman"/>
          </w:rPr>
          <w:t>http://www.bosc.cn/ </w:t>
        </w:r>
      </w:hyperlink>
      <w:r>
        <w:rPr/>
        <w:t>客户服务电话：</w:t>
      </w:r>
      <w:r>
        <w:rPr>
          <w:rFonts w:ascii="Times New Roman" w:eastAsia="Times New Roman"/>
        </w:rPr>
        <w:t>95594</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广发银行股份有限公司</w:t>
      </w:r>
    </w:p>
    <w:p>
      <w:pPr>
        <w:pStyle w:val="BodyText"/>
        <w:spacing w:before="7"/>
        <w:rPr>
          <w:sz w:val="15"/>
        </w:rPr>
      </w:pPr>
    </w:p>
    <w:p>
      <w:pPr>
        <w:pStyle w:val="BodyText"/>
        <w:ind w:left="1260"/>
      </w:pPr>
      <w:r>
        <w:rPr/>
        <w:t>住所：广州市越秀区东风东路</w:t>
      </w:r>
      <w:r>
        <w:rPr>
          <w:rFonts w:ascii="Times New Roman" w:eastAsia="Times New Roman"/>
        </w:rPr>
        <w:t>713</w:t>
      </w:r>
      <w:r>
        <w:rPr/>
        <w:t>号</w:t>
      </w:r>
    </w:p>
    <w:p>
      <w:pPr>
        <w:pStyle w:val="BodyText"/>
        <w:spacing w:before="6"/>
        <w:rPr>
          <w:sz w:val="15"/>
        </w:rPr>
      </w:pPr>
    </w:p>
    <w:p>
      <w:pPr>
        <w:pStyle w:val="BodyText"/>
        <w:spacing w:line="417" w:lineRule="auto" w:before="1"/>
        <w:ind w:left="1260" w:right="5044"/>
      </w:pPr>
      <w:r>
        <w:rPr>
          <w:spacing w:val="-3"/>
        </w:rPr>
        <w:t>办公地址：广州市越秀区东风东路</w:t>
      </w:r>
      <w:r>
        <w:rPr>
          <w:rFonts w:ascii="Times New Roman" w:eastAsia="Times New Roman"/>
        </w:rPr>
        <w:t>713</w:t>
      </w:r>
      <w:r>
        <w:rPr>
          <w:spacing w:val="-12"/>
        </w:rPr>
        <w:t>号</w:t>
      </w:r>
      <w:r>
        <w:rPr>
          <w:spacing w:val="-3"/>
        </w:rPr>
        <w:t>法定代表人：杨明生</w:t>
      </w:r>
    </w:p>
    <w:p>
      <w:pPr>
        <w:pStyle w:val="BodyText"/>
        <w:spacing w:line="417" w:lineRule="auto"/>
        <w:ind w:left="1260" w:right="5507"/>
        <w:rPr>
          <w:rFonts w:ascii="Times New Roman" w:eastAsia="Times New Roman"/>
        </w:rPr>
      </w:pPr>
      <w:r>
        <w:rPr/>
        <w:t>电话：</w:t>
      </w:r>
      <w:r>
        <w:rPr>
          <w:rFonts w:ascii="Times New Roman" w:eastAsia="Times New Roman"/>
        </w:rPr>
        <w:t>020-38321207</w:t>
      </w:r>
      <w:r>
        <w:rPr/>
        <w:t>、</w:t>
      </w:r>
      <w:r>
        <w:rPr>
          <w:rFonts w:ascii="Times New Roman" w:eastAsia="Times New Roman"/>
          <w:spacing w:val="-4"/>
        </w:rPr>
        <w:t>15011838290 </w:t>
      </w:r>
      <w:r>
        <w:rPr/>
        <w:t>传真：</w:t>
      </w:r>
      <w:r>
        <w:rPr>
          <w:rFonts w:ascii="Times New Roman" w:eastAsia="Times New Roman"/>
        </w:rPr>
        <w:t>020-87310955</w:t>
      </w:r>
    </w:p>
    <w:p>
      <w:pPr>
        <w:pStyle w:val="BodyText"/>
        <w:ind w:left="1260"/>
      </w:pPr>
      <w:r>
        <w:rPr/>
        <w:t>联系人：韩鹏</w:t>
      </w:r>
    </w:p>
    <w:p>
      <w:pPr>
        <w:pStyle w:val="BodyText"/>
        <w:spacing w:before="6"/>
        <w:rPr>
          <w:sz w:val="15"/>
        </w:rPr>
      </w:pPr>
    </w:p>
    <w:p>
      <w:pPr>
        <w:pStyle w:val="BodyText"/>
        <w:spacing w:line="417" w:lineRule="auto"/>
        <w:ind w:left="1260" w:right="6061"/>
        <w:rPr>
          <w:rFonts w:ascii="Times New Roman" w:eastAsia="Times New Roman"/>
        </w:rPr>
      </w:pPr>
      <w:r>
        <w:rPr/>
        <w:t>网址：</w:t>
      </w:r>
      <w:hyperlink r:id="rId25">
        <w:r>
          <w:rPr>
            <w:rFonts w:ascii="Times New Roman" w:eastAsia="Times New Roman"/>
          </w:rPr>
          <w:t>www.cgbchina.com.cn </w:t>
        </w:r>
      </w:hyperlink>
      <w:r>
        <w:rPr/>
        <w:t>客户服务电话：</w:t>
      </w:r>
      <w:r>
        <w:rPr>
          <w:rFonts w:ascii="Times New Roman" w:eastAsia="Times New Roman"/>
        </w:rPr>
        <w:t>400-830-8003</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平安银行股份有限公司</w:t>
      </w:r>
    </w:p>
    <w:p>
      <w:pPr>
        <w:pStyle w:val="BodyText"/>
        <w:spacing w:before="7"/>
        <w:rPr>
          <w:sz w:val="15"/>
        </w:rPr>
      </w:pPr>
    </w:p>
    <w:p>
      <w:pPr>
        <w:pStyle w:val="BodyText"/>
        <w:ind w:left="1260"/>
      </w:pPr>
      <w:r>
        <w:rPr/>
        <w:t>住所：广东省深圳市深南东路</w:t>
      </w:r>
      <w:r>
        <w:rPr>
          <w:rFonts w:ascii="Times New Roman" w:eastAsia="Times New Roman"/>
        </w:rPr>
        <w:t>5047</w:t>
      </w:r>
      <w:r>
        <w:rPr/>
        <w:t>号</w:t>
      </w:r>
    </w:p>
    <w:p>
      <w:pPr>
        <w:pStyle w:val="BodyText"/>
        <w:spacing w:before="6"/>
        <w:rPr>
          <w:sz w:val="15"/>
        </w:rPr>
      </w:pPr>
    </w:p>
    <w:p>
      <w:pPr>
        <w:pStyle w:val="BodyText"/>
        <w:spacing w:line="417" w:lineRule="auto"/>
        <w:ind w:left="1260" w:right="4938"/>
      </w:pPr>
      <w:r>
        <w:rPr/>
        <w:t>办公地址：广东省深圳市深南东路</w:t>
      </w:r>
      <w:r>
        <w:rPr>
          <w:rFonts w:ascii="Times New Roman" w:eastAsia="Times New Roman"/>
        </w:rPr>
        <w:t>5047</w:t>
      </w:r>
      <w:r>
        <w:rPr/>
        <w:t>号法定代表人：孙建一</w:t>
      </w:r>
    </w:p>
    <w:p>
      <w:pPr>
        <w:pStyle w:val="BodyText"/>
        <w:spacing w:line="417" w:lineRule="auto" w:before="1"/>
        <w:ind w:left="1260" w:right="6760"/>
        <w:rPr>
          <w:rFonts w:ascii="Times New Roman" w:eastAsia="Times New Roman"/>
        </w:rPr>
      </w:pPr>
      <w:r>
        <w:rPr/>
        <w:t>电话：</w:t>
      </w:r>
      <w:r>
        <w:rPr>
          <w:rFonts w:ascii="Times New Roman" w:eastAsia="Times New Roman"/>
        </w:rPr>
        <w:t>0755-82088888 </w:t>
      </w:r>
      <w:r>
        <w:rPr/>
        <w:t>传真：</w:t>
      </w:r>
      <w:r>
        <w:rPr>
          <w:rFonts w:ascii="Times New Roman" w:eastAsia="Times New Roman"/>
        </w:rPr>
        <w:t>0755-25841098</w:t>
      </w:r>
    </w:p>
    <w:p>
      <w:pPr>
        <w:pStyle w:val="BodyText"/>
        <w:spacing w:line="269" w:lineRule="exact"/>
        <w:ind w:left="1260"/>
      </w:pPr>
      <w:r>
        <w:rPr/>
        <w:t>联系人：张莉</w:t>
      </w:r>
    </w:p>
    <w:p>
      <w:pPr>
        <w:pStyle w:val="BodyText"/>
        <w:spacing w:before="6"/>
        <w:rPr>
          <w:sz w:val="15"/>
        </w:rPr>
      </w:pPr>
    </w:p>
    <w:p>
      <w:pPr>
        <w:pStyle w:val="BodyText"/>
        <w:spacing w:line="417" w:lineRule="auto" w:before="1"/>
        <w:ind w:left="1260" w:right="6520"/>
        <w:rPr>
          <w:rFonts w:ascii="Times New Roman" w:eastAsia="Times New Roman"/>
        </w:rPr>
      </w:pPr>
      <w:r>
        <w:rPr/>
        <w:t>网址：</w:t>
      </w:r>
      <w:r>
        <w:rPr>
          <w:rFonts w:ascii="Times New Roman" w:eastAsia="Times New Roman"/>
        </w:rPr>
        <w:t>bank.pingan.com </w:t>
      </w:r>
      <w:r>
        <w:rPr/>
        <w:t>客户服务电话：</w:t>
      </w:r>
      <w:r>
        <w:rPr>
          <w:rFonts w:ascii="Times New Roman" w:eastAsia="Times New Roman"/>
        </w:rPr>
        <w:t>95511-3</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宁波银行股份有限公司</w:t>
      </w:r>
    </w:p>
    <w:p>
      <w:pPr>
        <w:pStyle w:val="BodyText"/>
        <w:spacing w:before="6"/>
        <w:rPr>
          <w:sz w:val="15"/>
        </w:rPr>
      </w:pPr>
    </w:p>
    <w:p>
      <w:pPr>
        <w:pStyle w:val="BodyText"/>
        <w:spacing w:before="1"/>
        <w:ind w:left="1260"/>
      </w:pPr>
      <w:r>
        <w:rPr/>
        <w:t>住所：宁波市鄞州区宁南南路</w:t>
      </w:r>
      <w:r>
        <w:rPr>
          <w:rFonts w:ascii="Times New Roman" w:eastAsia="Times New Roman"/>
        </w:rPr>
        <w:t>700</w:t>
      </w:r>
      <w:r>
        <w:rPr/>
        <w:t>号</w:t>
      </w:r>
    </w:p>
    <w:p>
      <w:pPr>
        <w:pStyle w:val="BodyText"/>
        <w:spacing w:before="6"/>
        <w:rPr>
          <w:sz w:val="15"/>
        </w:rPr>
      </w:pPr>
    </w:p>
    <w:p>
      <w:pPr>
        <w:pStyle w:val="BodyText"/>
        <w:ind w:left="1260"/>
      </w:pPr>
      <w:r>
        <w:rPr/>
        <w:t>办公地址：宁波市鄞州区宁南南路</w:t>
      </w:r>
      <w:r>
        <w:rPr>
          <w:rFonts w:ascii="Times New Roman" w:eastAsia="Times New Roman"/>
        </w:rPr>
        <w:t>700</w:t>
      </w:r>
      <w:r>
        <w:rPr/>
        <w:t>号</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760"/>
        <w:rPr>
          <w:rFonts w:ascii="Times New Roman" w:eastAsia="Times New Roman"/>
        </w:rPr>
      </w:pPr>
      <w:r>
        <w:rPr/>
        <w:t>法定代表人：陆华裕电话：</w:t>
      </w:r>
      <w:r>
        <w:rPr>
          <w:rFonts w:ascii="Times New Roman" w:eastAsia="Times New Roman"/>
        </w:rPr>
        <w:t>0574-89068340 </w:t>
      </w:r>
      <w:r>
        <w:rPr/>
        <w:t>传真：</w:t>
      </w:r>
      <w:r>
        <w:rPr>
          <w:rFonts w:ascii="Times New Roman" w:eastAsia="Times New Roman"/>
        </w:rPr>
        <w:t>0574-87050024</w:t>
      </w:r>
    </w:p>
    <w:p>
      <w:pPr>
        <w:pStyle w:val="BodyText"/>
        <w:spacing w:line="417" w:lineRule="auto"/>
        <w:ind w:left="1260" w:right="6938"/>
        <w:rPr>
          <w:rFonts w:ascii="Times New Roman" w:eastAsia="Times New Roman"/>
        </w:rPr>
      </w:pPr>
      <w:r>
        <w:rPr>
          <w:spacing w:val="-2"/>
        </w:rPr>
        <w:t>联系人：胡技勋  </w:t>
      </w:r>
      <w:r>
        <w:rPr>
          <w:spacing w:val="-3"/>
        </w:rPr>
        <w:t>网址：</w:t>
      </w:r>
      <w:hyperlink r:id="rId26">
        <w:r>
          <w:rPr>
            <w:rFonts w:ascii="Times New Roman" w:eastAsia="Times New Roman"/>
            <w:spacing w:val="-4"/>
          </w:rPr>
          <w:t>www.nbcb.cn</w:t>
        </w:r>
      </w:hyperlink>
    </w:p>
    <w:p>
      <w:pPr>
        <w:pStyle w:val="BodyText"/>
        <w:spacing w:line="269" w:lineRule="exact"/>
        <w:ind w:left="1260"/>
        <w:rPr>
          <w:rFonts w:ascii="Times New Roman" w:eastAsia="Times New Roman"/>
        </w:rPr>
      </w:pPr>
      <w:r>
        <w:rPr/>
        <w:t>客户服务电话：</w:t>
      </w:r>
      <w:r>
        <w:rPr>
          <w:rFonts w:ascii="Times New Roman" w:eastAsia="Times New Roman"/>
        </w:rPr>
        <w:t>95574</w:t>
      </w:r>
    </w:p>
    <w:p>
      <w:pPr>
        <w:pStyle w:val="BodyText"/>
        <w:spacing w:before="3"/>
        <w:rPr>
          <w:rFonts w:ascii="Times New Roman"/>
          <w:sz w:val="17"/>
        </w:rPr>
      </w:pPr>
    </w:p>
    <w:p>
      <w:pPr>
        <w:pStyle w:val="ListParagraph"/>
        <w:numPr>
          <w:ilvl w:val="0"/>
          <w:numId w:val="8"/>
        </w:numPr>
        <w:tabs>
          <w:tab w:pos="1895" w:val="left" w:leader="none"/>
        </w:tabs>
        <w:spacing w:line="417" w:lineRule="auto" w:before="0" w:after="0"/>
        <w:ind w:left="1260" w:right="5149" w:firstLine="0"/>
        <w:jc w:val="left"/>
        <w:rPr>
          <w:sz w:val="21"/>
        </w:rPr>
      </w:pPr>
      <w:r>
        <w:rPr>
          <w:spacing w:val="-4"/>
          <w:sz w:val="21"/>
        </w:rPr>
        <w:t>上海农村商业银行股份有限公司</w:t>
      </w:r>
      <w:r>
        <w:rPr>
          <w:spacing w:val="-3"/>
          <w:sz w:val="21"/>
        </w:rPr>
        <w:t>住所：上海市浦东新区浦东大道</w:t>
      </w:r>
      <w:r>
        <w:rPr>
          <w:rFonts w:ascii="Times New Roman" w:eastAsia="Times New Roman"/>
          <w:sz w:val="21"/>
        </w:rPr>
        <w:t>981</w:t>
      </w:r>
      <w:r>
        <w:rPr>
          <w:sz w:val="21"/>
        </w:rPr>
        <w:t>号</w:t>
      </w:r>
    </w:p>
    <w:p>
      <w:pPr>
        <w:pStyle w:val="BodyText"/>
        <w:spacing w:line="417" w:lineRule="auto"/>
        <w:ind w:left="1260" w:right="3786"/>
      </w:pPr>
      <w:r>
        <w:rPr/>
        <w:t>办公地址：上海市银城中路</w:t>
      </w:r>
      <w:r>
        <w:rPr>
          <w:rFonts w:ascii="Times New Roman" w:eastAsia="Times New Roman"/>
        </w:rPr>
        <w:t>8</w:t>
      </w:r>
      <w:r>
        <w:rPr/>
        <w:t>号中融碧玉蓝天大厦</w:t>
      </w:r>
      <w:r>
        <w:rPr>
          <w:rFonts w:ascii="Times New Roman" w:eastAsia="Times New Roman"/>
        </w:rPr>
        <w:t>15</w:t>
      </w:r>
      <w:r>
        <w:rPr/>
        <w:t>层法定代表人：胡平西</w:t>
      </w:r>
    </w:p>
    <w:p>
      <w:pPr>
        <w:pStyle w:val="BodyText"/>
        <w:spacing w:line="417" w:lineRule="auto"/>
        <w:ind w:left="1260" w:right="6866"/>
        <w:rPr>
          <w:rFonts w:ascii="Times New Roman" w:eastAsia="Times New Roman"/>
        </w:rPr>
      </w:pPr>
      <w:r>
        <w:rPr/>
        <w:t>电话：</w:t>
      </w:r>
      <w:r>
        <w:rPr>
          <w:rFonts w:ascii="Times New Roman" w:eastAsia="Times New Roman"/>
        </w:rPr>
        <w:t>021-38523692 </w:t>
      </w:r>
      <w:r>
        <w:rPr/>
        <w:t>传真：</w:t>
      </w:r>
      <w:r>
        <w:rPr>
          <w:rFonts w:ascii="Times New Roman" w:eastAsia="Times New Roman"/>
        </w:rPr>
        <w:t>021-50105124</w:t>
      </w:r>
    </w:p>
    <w:p>
      <w:pPr>
        <w:pStyle w:val="BodyText"/>
        <w:spacing w:line="269" w:lineRule="exact"/>
        <w:ind w:left="1260"/>
      </w:pPr>
      <w:r>
        <w:rPr/>
        <w:t>联系人：施传荣</w:t>
      </w:r>
    </w:p>
    <w:p>
      <w:pPr>
        <w:pStyle w:val="BodyText"/>
        <w:spacing w:before="7"/>
        <w:rPr>
          <w:sz w:val="15"/>
        </w:rPr>
      </w:pPr>
    </w:p>
    <w:p>
      <w:pPr>
        <w:pStyle w:val="BodyText"/>
        <w:ind w:left="1260"/>
        <w:rPr>
          <w:rFonts w:ascii="Times New Roman" w:eastAsia="Times New Roman"/>
        </w:rPr>
      </w:pPr>
      <w:r>
        <w:rPr/>
        <w:t>网址：</w:t>
      </w:r>
      <w:hyperlink r:id="rId27">
        <w:r>
          <w:rPr>
            <w:rFonts w:ascii="Times New Roman" w:eastAsia="Times New Roman"/>
          </w:rPr>
          <w:t>www.srcb.com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021-962999</w:t>
      </w:r>
    </w:p>
    <w:p>
      <w:pPr>
        <w:pStyle w:val="BodyText"/>
        <w:spacing w:before="3"/>
        <w:rPr>
          <w:rFonts w:ascii="Times New Roman"/>
          <w:sz w:val="17"/>
        </w:rPr>
      </w:pPr>
    </w:p>
    <w:p>
      <w:pPr>
        <w:pStyle w:val="ListParagraph"/>
        <w:numPr>
          <w:ilvl w:val="0"/>
          <w:numId w:val="8"/>
        </w:numPr>
        <w:tabs>
          <w:tab w:pos="1895" w:val="left" w:leader="none"/>
        </w:tabs>
        <w:spacing w:line="417" w:lineRule="auto" w:before="0" w:after="0"/>
        <w:ind w:left="1260" w:right="4938" w:firstLine="0"/>
        <w:jc w:val="left"/>
        <w:rPr>
          <w:sz w:val="21"/>
        </w:rPr>
      </w:pPr>
      <w:r>
        <w:rPr>
          <w:spacing w:val="-3"/>
          <w:sz w:val="21"/>
        </w:rPr>
        <w:t>北京农村商业银行股份有限公司 住所：北京市西城区月坛南街</w:t>
      </w:r>
      <w:r>
        <w:rPr>
          <w:rFonts w:ascii="Times New Roman" w:eastAsia="Times New Roman"/>
          <w:spacing w:val="-3"/>
          <w:sz w:val="21"/>
        </w:rPr>
        <w:t>1</w:t>
      </w:r>
      <w:r>
        <w:rPr>
          <w:sz w:val="21"/>
        </w:rPr>
        <w:t>号院</w:t>
      </w:r>
      <w:r>
        <w:rPr>
          <w:rFonts w:ascii="Times New Roman" w:eastAsia="Times New Roman"/>
          <w:spacing w:val="-3"/>
          <w:sz w:val="21"/>
        </w:rPr>
        <w:t>2</w:t>
      </w:r>
      <w:r>
        <w:rPr>
          <w:spacing w:val="-7"/>
          <w:sz w:val="21"/>
        </w:rPr>
        <w:t>号楼</w:t>
      </w:r>
    </w:p>
    <w:p>
      <w:pPr>
        <w:pStyle w:val="BodyText"/>
        <w:spacing w:line="417" w:lineRule="auto"/>
        <w:ind w:left="1260" w:right="4518"/>
      </w:pPr>
      <w:r>
        <w:rPr/>
        <w:t>办公地址：北京市西城区月坛南街</w:t>
      </w:r>
      <w:r>
        <w:rPr>
          <w:rFonts w:ascii="Times New Roman" w:eastAsia="Times New Roman"/>
        </w:rPr>
        <w:t>1</w:t>
      </w:r>
      <w:r>
        <w:rPr/>
        <w:t>号院</w:t>
      </w:r>
      <w:r>
        <w:rPr>
          <w:rFonts w:ascii="Times New Roman" w:eastAsia="Times New Roman"/>
        </w:rPr>
        <w:t>2</w:t>
      </w:r>
      <w:r>
        <w:rPr/>
        <w:t>号楼法定代表人：王金山</w:t>
      </w:r>
    </w:p>
    <w:p>
      <w:pPr>
        <w:pStyle w:val="BodyText"/>
        <w:spacing w:line="417" w:lineRule="auto"/>
        <w:ind w:left="1260" w:right="6866"/>
        <w:rPr>
          <w:rFonts w:ascii="Times New Roman" w:eastAsia="Times New Roman"/>
        </w:rPr>
      </w:pPr>
      <w:r>
        <w:rPr/>
        <w:t>电话：</w:t>
      </w:r>
      <w:r>
        <w:rPr>
          <w:rFonts w:ascii="Times New Roman" w:eastAsia="Times New Roman"/>
        </w:rPr>
        <w:t>010-89198762 </w:t>
      </w:r>
      <w:r>
        <w:rPr/>
        <w:t>传真：</w:t>
      </w:r>
      <w:r>
        <w:rPr>
          <w:rFonts w:ascii="Times New Roman" w:eastAsia="Times New Roman"/>
        </w:rPr>
        <w:t>010-89198678</w:t>
      </w:r>
    </w:p>
    <w:p>
      <w:pPr>
        <w:pStyle w:val="BodyText"/>
        <w:ind w:left="1260"/>
      </w:pPr>
      <w:r>
        <w:rPr/>
        <w:t>联系人：鲁娟</w:t>
      </w:r>
    </w:p>
    <w:p>
      <w:pPr>
        <w:pStyle w:val="BodyText"/>
        <w:spacing w:before="6"/>
        <w:rPr>
          <w:sz w:val="15"/>
        </w:rPr>
      </w:pPr>
    </w:p>
    <w:p>
      <w:pPr>
        <w:pStyle w:val="BodyText"/>
        <w:spacing w:line="417" w:lineRule="auto" w:before="1"/>
        <w:ind w:left="1260" w:right="6727"/>
        <w:rPr>
          <w:rFonts w:ascii="Times New Roman" w:eastAsia="Times New Roman"/>
        </w:rPr>
      </w:pPr>
      <w:r>
        <w:rPr/>
        <w:t>网址：</w:t>
      </w:r>
      <w:hyperlink r:id="rId28">
        <w:r>
          <w:rPr>
            <w:rFonts w:ascii="Times New Roman" w:eastAsia="Times New Roman"/>
          </w:rPr>
          <w:t>www.bjrcb.com </w:t>
        </w:r>
      </w:hyperlink>
      <w:r>
        <w:rPr/>
        <w:t>客户服务电话：</w:t>
      </w:r>
      <w:r>
        <w:rPr>
          <w:rFonts w:ascii="Times New Roman" w:eastAsia="Times New Roman"/>
        </w:rPr>
        <w:t>96198</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青岛银行股份有限公司</w:t>
      </w:r>
    </w:p>
    <w:p>
      <w:pPr>
        <w:pStyle w:val="BodyText"/>
        <w:spacing w:before="6"/>
        <w:rPr>
          <w:sz w:val="15"/>
        </w:rPr>
      </w:pPr>
    </w:p>
    <w:p>
      <w:pPr>
        <w:pStyle w:val="BodyText"/>
        <w:ind w:left="1260"/>
      </w:pPr>
      <w:r>
        <w:rPr/>
        <w:t>住所：青岛市市南区香港中路</w:t>
      </w:r>
      <w:r>
        <w:rPr>
          <w:rFonts w:ascii="Times New Roman" w:eastAsia="Times New Roman"/>
        </w:rPr>
        <w:t>68</w:t>
      </w:r>
      <w:r>
        <w:rPr/>
        <w:t>号华普大厦</w:t>
      </w:r>
    </w:p>
    <w:p>
      <w:pPr>
        <w:pStyle w:val="BodyText"/>
        <w:spacing w:before="7"/>
        <w:rPr>
          <w:sz w:val="15"/>
        </w:rPr>
      </w:pPr>
    </w:p>
    <w:p>
      <w:pPr>
        <w:pStyle w:val="BodyText"/>
        <w:spacing w:line="417" w:lineRule="auto"/>
        <w:ind w:left="1260" w:right="4309"/>
      </w:pPr>
      <w:r>
        <w:rPr/>
        <w:t>办公地址：青岛市市南区香港中路</w:t>
      </w:r>
      <w:r>
        <w:rPr>
          <w:rFonts w:ascii="Times New Roman" w:eastAsia="Times New Roman"/>
        </w:rPr>
        <w:t>68</w:t>
      </w:r>
      <w:r>
        <w:rPr/>
        <w:t>号华普大厦法定代表人：郭少泉</w:t>
      </w:r>
    </w:p>
    <w:p>
      <w:pPr>
        <w:pStyle w:val="BodyText"/>
        <w:spacing w:line="417" w:lineRule="auto"/>
        <w:ind w:left="1260" w:right="6760"/>
        <w:rPr>
          <w:rFonts w:ascii="Times New Roman" w:eastAsia="Times New Roman"/>
        </w:rPr>
      </w:pPr>
      <w:r>
        <w:rPr/>
        <w:t>电话：</w:t>
      </w:r>
      <w:r>
        <w:rPr>
          <w:rFonts w:ascii="Times New Roman" w:eastAsia="Times New Roman"/>
        </w:rPr>
        <w:t>0532-85709749 </w:t>
      </w:r>
      <w:r>
        <w:rPr/>
        <w:t>传真：</w:t>
      </w:r>
      <w:r>
        <w:rPr>
          <w:rFonts w:ascii="Times New Roman" w:eastAsia="Times New Roman"/>
        </w:rPr>
        <w:t>0532-85709839</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联系人：赵蓓蓓</w:t>
      </w:r>
    </w:p>
    <w:p>
      <w:pPr>
        <w:pStyle w:val="BodyText"/>
        <w:spacing w:before="6"/>
        <w:rPr>
          <w:sz w:val="15"/>
        </w:rPr>
      </w:pPr>
    </w:p>
    <w:p>
      <w:pPr>
        <w:pStyle w:val="BodyText"/>
        <w:ind w:left="1260"/>
        <w:rPr>
          <w:rFonts w:ascii="Times New Roman" w:eastAsia="Times New Roman"/>
        </w:rPr>
      </w:pPr>
      <w:r>
        <w:rPr/>
        <w:t>网址：</w:t>
      </w:r>
      <w:hyperlink r:id="rId29">
        <w:r>
          <w:rPr>
            <w:rFonts w:ascii="Times New Roman" w:eastAsia="Times New Roman"/>
          </w:rPr>
          <w:t>www.qdccb.com</w:t>
        </w:r>
      </w:hyperlink>
    </w:p>
    <w:p>
      <w:pPr>
        <w:pStyle w:val="BodyText"/>
        <w:spacing w:before="4"/>
        <w:rPr>
          <w:rFonts w:ascii="Times New Roman"/>
          <w:sz w:val="17"/>
        </w:rPr>
      </w:pPr>
    </w:p>
    <w:p>
      <w:pPr>
        <w:pStyle w:val="BodyText"/>
        <w:ind w:left="1260"/>
      </w:pPr>
      <w:r>
        <w:rPr>
          <w:spacing w:val="-2"/>
        </w:rPr>
        <w:t>客户服务电话：</w:t>
      </w:r>
      <w:r>
        <w:rPr>
          <w:rFonts w:ascii="Times New Roman" w:eastAsia="Times New Roman"/>
        </w:rPr>
        <w:t>96588</w:t>
      </w:r>
      <w:r>
        <w:rPr/>
        <w:t>（</w:t>
      </w:r>
      <w:r>
        <w:rPr>
          <w:spacing w:val="-2"/>
        </w:rPr>
        <w:t>青岛</w:t>
      </w:r>
      <w:r>
        <w:rPr>
          <w:spacing w:val="-106"/>
        </w:rPr>
        <w:t>）</w:t>
      </w:r>
      <w:r>
        <w:rPr/>
        <w:t>、</w:t>
      </w:r>
      <w:r>
        <w:rPr>
          <w:rFonts w:ascii="Times New Roman" w:eastAsia="Times New Roman"/>
        </w:rPr>
        <w:t>400-669-6588</w:t>
      </w:r>
      <w:r>
        <w:rPr/>
        <w:t>（</w:t>
      </w:r>
      <w:r>
        <w:rPr>
          <w:spacing w:val="-3"/>
        </w:rPr>
        <w:t>全国</w:t>
      </w:r>
      <w:r>
        <w:rPr/>
        <w:t>）</w:t>
      </w:r>
    </w:p>
    <w:p>
      <w:pPr>
        <w:pStyle w:val="BodyText"/>
        <w:spacing w:before="6"/>
        <w:rPr>
          <w:sz w:val="15"/>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徽商银行股份有限公司</w:t>
      </w:r>
    </w:p>
    <w:p>
      <w:pPr>
        <w:pStyle w:val="BodyText"/>
        <w:spacing w:before="7"/>
        <w:rPr>
          <w:sz w:val="15"/>
        </w:rPr>
      </w:pPr>
    </w:p>
    <w:p>
      <w:pPr>
        <w:pStyle w:val="BodyText"/>
        <w:ind w:left="1260"/>
      </w:pPr>
      <w:r>
        <w:rPr/>
        <w:t>住所：合肥市安庆路</w:t>
      </w:r>
      <w:r>
        <w:rPr>
          <w:rFonts w:ascii="Times New Roman" w:eastAsia="Times New Roman"/>
        </w:rPr>
        <w:t>79</w:t>
      </w:r>
      <w:r>
        <w:rPr/>
        <w:t>号天徽大厦</w:t>
      </w:r>
      <w:r>
        <w:rPr>
          <w:rFonts w:ascii="Times New Roman" w:eastAsia="Times New Roman"/>
        </w:rPr>
        <w:t>A</w:t>
      </w:r>
      <w:r>
        <w:rPr/>
        <w:t>座</w:t>
      </w:r>
    </w:p>
    <w:p>
      <w:pPr>
        <w:pStyle w:val="BodyText"/>
        <w:spacing w:before="7"/>
        <w:rPr>
          <w:sz w:val="15"/>
        </w:rPr>
      </w:pPr>
    </w:p>
    <w:p>
      <w:pPr>
        <w:pStyle w:val="BodyText"/>
        <w:spacing w:line="417" w:lineRule="auto"/>
        <w:ind w:left="1260" w:right="4789"/>
      </w:pPr>
      <w:r>
        <w:rPr/>
        <w:t>办公地址：合肥市安庆路</w:t>
      </w:r>
      <w:r>
        <w:rPr>
          <w:rFonts w:ascii="Times New Roman" w:eastAsia="Times New Roman"/>
        </w:rPr>
        <w:t>79</w:t>
      </w:r>
      <w:r>
        <w:rPr/>
        <w:t>号天徽大厦</w:t>
      </w:r>
      <w:r>
        <w:rPr>
          <w:rFonts w:ascii="Times New Roman" w:eastAsia="Times New Roman"/>
        </w:rPr>
        <w:t>A</w:t>
      </w:r>
      <w:r>
        <w:rPr/>
        <w:t>座法定代表人：李宏鸣</w:t>
      </w:r>
    </w:p>
    <w:p>
      <w:pPr>
        <w:pStyle w:val="BodyText"/>
        <w:spacing w:line="417" w:lineRule="auto"/>
        <w:ind w:left="1260" w:right="6760"/>
        <w:rPr>
          <w:rFonts w:ascii="Times New Roman" w:eastAsia="Times New Roman"/>
        </w:rPr>
      </w:pPr>
      <w:r>
        <w:rPr/>
        <w:t>电话：</w:t>
      </w:r>
      <w:r>
        <w:rPr>
          <w:rFonts w:ascii="Times New Roman" w:eastAsia="Times New Roman"/>
        </w:rPr>
        <w:t>0551-62667635 </w:t>
      </w:r>
      <w:r>
        <w:rPr/>
        <w:t>传真：</w:t>
      </w:r>
      <w:r>
        <w:rPr>
          <w:rFonts w:ascii="Times New Roman" w:eastAsia="Times New Roman"/>
        </w:rPr>
        <w:t>0551-62667684</w:t>
      </w:r>
    </w:p>
    <w:p>
      <w:pPr>
        <w:pStyle w:val="BodyText"/>
        <w:spacing w:line="269" w:lineRule="exact"/>
        <w:ind w:left="1260"/>
      </w:pPr>
      <w:r>
        <w:rPr/>
        <w:t>联系人：叶卓伟</w:t>
      </w:r>
    </w:p>
    <w:p>
      <w:pPr>
        <w:pStyle w:val="BodyText"/>
        <w:spacing w:before="7"/>
        <w:rPr>
          <w:sz w:val="15"/>
        </w:rPr>
      </w:pPr>
    </w:p>
    <w:p>
      <w:pPr>
        <w:pStyle w:val="BodyText"/>
        <w:ind w:left="1260"/>
        <w:rPr>
          <w:rFonts w:ascii="Times New Roman" w:eastAsia="Times New Roman"/>
        </w:rPr>
      </w:pPr>
      <w:r>
        <w:rPr/>
        <w:t>网址：</w:t>
      </w:r>
      <w:hyperlink r:id="rId30">
        <w:r>
          <w:rPr>
            <w:rFonts w:ascii="Times New Roman" w:eastAsia="Times New Roman"/>
          </w:rPr>
          <w:t>www.hsbank.com.cn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400-889-6588</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浙商银行股份有限公司</w:t>
      </w:r>
    </w:p>
    <w:p>
      <w:pPr>
        <w:pStyle w:val="BodyText"/>
        <w:spacing w:before="6"/>
        <w:rPr>
          <w:sz w:val="15"/>
        </w:rPr>
      </w:pPr>
    </w:p>
    <w:p>
      <w:pPr>
        <w:pStyle w:val="BodyText"/>
        <w:spacing w:before="1"/>
        <w:ind w:left="1260"/>
      </w:pPr>
      <w:r>
        <w:rPr/>
        <w:t>住所：杭州市萧山区鸿宁路</w:t>
      </w:r>
      <w:r>
        <w:rPr>
          <w:rFonts w:ascii="Times New Roman" w:eastAsia="Times New Roman"/>
        </w:rPr>
        <w:t>1788</w:t>
      </w:r>
      <w:r>
        <w:rPr/>
        <w:t>号</w:t>
      </w:r>
    </w:p>
    <w:p>
      <w:pPr>
        <w:pStyle w:val="BodyText"/>
        <w:spacing w:before="7"/>
        <w:rPr>
          <w:sz w:val="15"/>
        </w:rPr>
      </w:pPr>
    </w:p>
    <w:p>
      <w:pPr>
        <w:pStyle w:val="BodyText"/>
        <w:spacing w:line="417" w:lineRule="auto"/>
        <w:ind w:left="1260" w:right="4624"/>
      </w:pPr>
      <w:r>
        <w:rPr/>
        <w:t>办公地址：浙江省杭州市下城区延安路</w:t>
      </w:r>
      <w:r>
        <w:rPr>
          <w:rFonts w:ascii="Times New Roman" w:eastAsia="Times New Roman"/>
        </w:rPr>
        <w:t>368</w:t>
      </w:r>
      <w:r>
        <w:rPr/>
        <w:t>号法定代表人：沈仁康</w:t>
      </w:r>
    </w:p>
    <w:p>
      <w:pPr>
        <w:pStyle w:val="BodyText"/>
        <w:spacing w:line="417" w:lineRule="auto"/>
        <w:ind w:left="1260" w:right="6760"/>
        <w:rPr>
          <w:rFonts w:ascii="Times New Roman" w:eastAsia="Times New Roman"/>
        </w:rPr>
      </w:pPr>
      <w:r>
        <w:rPr/>
        <w:t>电话：</w:t>
      </w:r>
      <w:r>
        <w:rPr>
          <w:rFonts w:ascii="Times New Roman" w:eastAsia="Times New Roman"/>
        </w:rPr>
        <w:t>0571-87659546 </w:t>
      </w:r>
      <w:r>
        <w:rPr/>
        <w:t>传真：</w:t>
      </w:r>
      <w:r>
        <w:rPr>
          <w:rFonts w:ascii="Times New Roman" w:eastAsia="Times New Roman"/>
        </w:rPr>
        <w:t>0571-87659188</w:t>
      </w:r>
    </w:p>
    <w:p>
      <w:pPr>
        <w:pStyle w:val="BodyText"/>
        <w:spacing w:line="269" w:lineRule="exact"/>
        <w:ind w:left="1260"/>
      </w:pPr>
      <w:r>
        <w:rPr/>
        <w:t>联系人：毛真海</w:t>
      </w:r>
    </w:p>
    <w:p>
      <w:pPr>
        <w:pStyle w:val="BodyText"/>
        <w:spacing w:before="6"/>
        <w:rPr>
          <w:sz w:val="15"/>
        </w:rPr>
      </w:pPr>
    </w:p>
    <w:p>
      <w:pPr>
        <w:pStyle w:val="BodyText"/>
        <w:spacing w:line="417" w:lineRule="auto"/>
        <w:ind w:left="1260" w:right="6544"/>
        <w:rPr>
          <w:rFonts w:ascii="Times New Roman" w:eastAsia="Times New Roman"/>
        </w:rPr>
      </w:pPr>
      <w:r>
        <w:rPr/>
        <w:t>网址：</w:t>
      </w:r>
      <w:hyperlink r:id="rId31">
        <w:r>
          <w:rPr>
            <w:rFonts w:ascii="Times New Roman" w:eastAsia="Times New Roman"/>
          </w:rPr>
          <w:t>www.czbank.com </w:t>
        </w:r>
      </w:hyperlink>
      <w:r>
        <w:rPr/>
        <w:t>客户服务电话：</w:t>
      </w:r>
      <w:r>
        <w:rPr>
          <w:rFonts w:ascii="Times New Roman" w:eastAsia="Times New Roman"/>
        </w:rPr>
        <w:t>95527</w:t>
      </w:r>
    </w:p>
    <w:p>
      <w:pPr>
        <w:pStyle w:val="ListParagraph"/>
        <w:numPr>
          <w:ilvl w:val="0"/>
          <w:numId w:val="8"/>
        </w:numPr>
        <w:tabs>
          <w:tab w:pos="1895" w:val="left" w:leader="none"/>
        </w:tabs>
        <w:spacing w:line="417" w:lineRule="auto" w:before="0" w:after="0"/>
        <w:ind w:left="1260" w:right="5778" w:firstLine="0"/>
        <w:jc w:val="left"/>
        <w:rPr>
          <w:sz w:val="21"/>
        </w:rPr>
      </w:pPr>
      <w:r>
        <w:rPr>
          <w:spacing w:val="-3"/>
          <w:sz w:val="21"/>
        </w:rPr>
        <w:t>东莞银行股份有限公司 住所：东莞市莞城区体育路</w:t>
      </w:r>
      <w:r>
        <w:rPr>
          <w:rFonts w:ascii="Times New Roman" w:eastAsia="Times New Roman"/>
          <w:sz w:val="21"/>
        </w:rPr>
        <w:t>21</w:t>
      </w:r>
      <w:r>
        <w:rPr>
          <w:spacing w:val="-14"/>
          <w:sz w:val="21"/>
        </w:rPr>
        <w:t>号</w:t>
      </w:r>
    </w:p>
    <w:p>
      <w:pPr>
        <w:pStyle w:val="BodyText"/>
        <w:spacing w:line="417" w:lineRule="auto"/>
        <w:ind w:left="1260" w:right="5358"/>
      </w:pPr>
      <w:r>
        <w:rPr/>
        <w:t>办公地址：东莞市莞城区体育路</w:t>
      </w:r>
      <w:r>
        <w:rPr>
          <w:rFonts w:ascii="Times New Roman" w:eastAsia="Times New Roman"/>
        </w:rPr>
        <w:t>21</w:t>
      </w:r>
      <w:r>
        <w:rPr/>
        <w:t>号法定代表人：卢国锋</w:t>
      </w:r>
    </w:p>
    <w:p>
      <w:pPr>
        <w:pStyle w:val="BodyText"/>
        <w:spacing w:line="417" w:lineRule="auto"/>
        <w:ind w:left="1260" w:right="6760"/>
        <w:rPr>
          <w:rFonts w:ascii="Times New Roman" w:eastAsia="Times New Roman"/>
        </w:rPr>
      </w:pPr>
      <w:r>
        <w:rPr/>
        <w:t>电话：</w:t>
      </w:r>
      <w:r>
        <w:rPr>
          <w:rFonts w:ascii="Times New Roman" w:eastAsia="Times New Roman"/>
        </w:rPr>
        <w:t>0769-22865177 </w:t>
      </w:r>
      <w:r>
        <w:rPr/>
        <w:t>传真：</w:t>
      </w:r>
      <w:r>
        <w:rPr>
          <w:rFonts w:ascii="Times New Roman" w:eastAsia="Times New Roman"/>
        </w:rPr>
        <w:t>0769-23156406</w:t>
      </w:r>
    </w:p>
    <w:p>
      <w:pPr>
        <w:pStyle w:val="BodyText"/>
        <w:spacing w:line="269" w:lineRule="exact"/>
        <w:ind w:left="1260"/>
      </w:pPr>
      <w:r>
        <w:rPr/>
        <w:t>联系人：朱杰霞</w:t>
      </w:r>
    </w:p>
    <w:p>
      <w:pPr>
        <w:pStyle w:val="BodyText"/>
        <w:spacing w:before="7"/>
        <w:rPr>
          <w:sz w:val="15"/>
        </w:rPr>
      </w:pPr>
    </w:p>
    <w:p>
      <w:pPr>
        <w:pStyle w:val="BodyText"/>
        <w:spacing w:line="417" w:lineRule="auto"/>
        <w:ind w:left="1260" w:right="6068"/>
        <w:rPr>
          <w:rFonts w:ascii="Times New Roman" w:eastAsia="Times New Roman"/>
        </w:rPr>
      </w:pPr>
      <w:r>
        <w:rPr/>
        <w:t>网址：</w:t>
      </w:r>
      <w:hyperlink r:id="rId32">
        <w:r>
          <w:rPr>
            <w:rFonts w:ascii="Times New Roman" w:eastAsia="Times New Roman"/>
          </w:rPr>
          <w:t>www.dongguanbank.cn </w:t>
        </w:r>
      </w:hyperlink>
      <w:r>
        <w:rPr/>
        <w:t>客户服务电话：</w:t>
      </w:r>
      <w:r>
        <w:rPr>
          <w:rFonts w:ascii="Times New Roman" w:eastAsia="Times New Roman"/>
        </w:rPr>
        <w:t>0769-956033</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240" w:lineRule="auto" w:before="79" w:after="0"/>
        <w:ind w:left="1895" w:right="0" w:hanging="635"/>
        <w:jc w:val="left"/>
        <w:rPr>
          <w:sz w:val="21"/>
        </w:rPr>
      </w:pPr>
      <w:r>
        <w:rPr>
          <w:spacing w:val="-3"/>
          <w:sz w:val="21"/>
        </w:rPr>
        <w:t>杭州银行股份有限公司</w:t>
      </w:r>
    </w:p>
    <w:p>
      <w:pPr>
        <w:pStyle w:val="BodyText"/>
        <w:spacing w:before="6"/>
        <w:rPr>
          <w:sz w:val="15"/>
        </w:rPr>
      </w:pPr>
    </w:p>
    <w:p>
      <w:pPr>
        <w:pStyle w:val="BodyText"/>
        <w:ind w:left="1260"/>
      </w:pPr>
      <w:r>
        <w:rPr/>
        <w:t>住所：杭州市庆春路</w:t>
      </w:r>
      <w:r>
        <w:rPr>
          <w:rFonts w:ascii="Times New Roman" w:eastAsia="Times New Roman"/>
        </w:rPr>
        <w:t>46</w:t>
      </w:r>
      <w:r>
        <w:rPr/>
        <w:t>号杭州银行大厦</w:t>
      </w:r>
    </w:p>
    <w:p>
      <w:pPr>
        <w:pStyle w:val="BodyText"/>
        <w:spacing w:before="7"/>
        <w:rPr>
          <w:sz w:val="15"/>
        </w:rPr>
      </w:pPr>
    </w:p>
    <w:p>
      <w:pPr>
        <w:pStyle w:val="BodyText"/>
        <w:spacing w:line="417" w:lineRule="auto"/>
        <w:ind w:left="1260" w:right="4731"/>
      </w:pPr>
      <w:r>
        <w:rPr/>
        <w:t>办公地址：杭州市庆春路</w:t>
      </w:r>
      <w:r>
        <w:rPr>
          <w:rFonts w:ascii="Times New Roman" w:eastAsia="Times New Roman"/>
        </w:rPr>
        <w:t>46</w:t>
      </w:r>
      <w:r>
        <w:rPr/>
        <w:t>号杭州银行大厦法定代表人：吴太普</w:t>
      </w:r>
    </w:p>
    <w:p>
      <w:pPr>
        <w:pStyle w:val="BodyText"/>
        <w:spacing w:line="417" w:lineRule="auto"/>
        <w:ind w:left="1260" w:right="6760"/>
        <w:rPr>
          <w:rFonts w:ascii="Times New Roman" w:eastAsia="Times New Roman"/>
        </w:rPr>
      </w:pPr>
      <w:r>
        <w:rPr/>
        <w:t>电话：</w:t>
      </w:r>
      <w:r>
        <w:rPr>
          <w:rFonts w:ascii="Times New Roman" w:eastAsia="Times New Roman"/>
        </w:rPr>
        <w:t>0571-85108195 </w:t>
      </w:r>
      <w:r>
        <w:rPr/>
        <w:t>传真：</w:t>
      </w:r>
      <w:r>
        <w:rPr>
          <w:rFonts w:ascii="Times New Roman" w:eastAsia="Times New Roman"/>
        </w:rPr>
        <w:t>0571-85106576</w:t>
      </w:r>
    </w:p>
    <w:p>
      <w:pPr>
        <w:pStyle w:val="BodyText"/>
        <w:spacing w:line="269" w:lineRule="exact"/>
        <w:ind w:left="1260"/>
      </w:pPr>
      <w:r>
        <w:rPr/>
        <w:t>联系人：陈振峰</w:t>
      </w:r>
    </w:p>
    <w:p>
      <w:pPr>
        <w:pStyle w:val="BodyText"/>
        <w:spacing w:before="7"/>
        <w:rPr>
          <w:sz w:val="15"/>
        </w:rPr>
      </w:pPr>
    </w:p>
    <w:p>
      <w:pPr>
        <w:pStyle w:val="BodyText"/>
        <w:ind w:left="1260"/>
        <w:rPr>
          <w:rFonts w:ascii="Times New Roman" w:eastAsia="Times New Roman"/>
        </w:rPr>
      </w:pPr>
      <w:r>
        <w:rPr/>
        <w:t>网址：</w:t>
      </w:r>
      <w:hyperlink r:id="rId33">
        <w:r>
          <w:rPr>
            <w:rFonts w:ascii="Times New Roman" w:eastAsia="Times New Roman"/>
          </w:rPr>
          <w:t>www.hzbank.com.cn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400-888-8508</w:t>
      </w:r>
    </w:p>
    <w:p>
      <w:pPr>
        <w:pStyle w:val="BodyText"/>
        <w:spacing w:before="4"/>
        <w:rPr>
          <w:rFonts w:ascii="Times New Roman"/>
          <w:sz w:val="17"/>
        </w:rPr>
      </w:pPr>
    </w:p>
    <w:p>
      <w:pPr>
        <w:pStyle w:val="ListParagraph"/>
        <w:numPr>
          <w:ilvl w:val="0"/>
          <w:numId w:val="8"/>
        </w:numPr>
        <w:tabs>
          <w:tab w:pos="1895" w:val="left" w:leader="none"/>
        </w:tabs>
        <w:spacing w:line="417" w:lineRule="auto" w:before="0" w:after="0"/>
        <w:ind w:left="1260" w:right="5778" w:firstLine="0"/>
        <w:jc w:val="left"/>
        <w:rPr>
          <w:sz w:val="21"/>
        </w:rPr>
      </w:pPr>
      <w:r>
        <w:rPr>
          <w:spacing w:val="-3"/>
          <w:sz w:val="21"/>
        </w:rPr>
        <w:t>南京银行股份有限公司 住所：南京市白下区淮海路</w:t>
      </w:r>
      <w:r>
        <w:rPr>
          <w:rFonts w:ascii="Times New Roman" w:eastAsia="Times New Roman"/>
          <w:sz w:val="21"/>
        </w:rPr>
        <w:t>50</w:t>
      </w:r>
      <w:r>
        <w:rPr>
          <w:spacing w:val="-14"/>
          <w:sz w:val="21"/>
        </w:rPr>
        <w:t>号</w:t>
      </w:r>
    </w:p>
    <w:p>
      <w:pPr>
        <w:pStyle w:val="BodyText"/>
        <w:spacing w:line="417" w:lineRule="auto"/>
        <w:ind w:left="1260" w:right="5358"/>
      </w:pPr>
      <w:r>
        <w:rPr/>
        <w:t>办公地址：南京市白下区淮海路</w:t>
      </w:r>
      <w:r>
        <w:rPr>
          <w:rFonts w:ascii="Times New Roman" w:eastAsia="Times New Roman"/>
        </w:rPr>
        <w:t>50</w:t>
      </w:r>
      <w:r>
        <w:rPr/>
        <w:t>号法定代表人：林复</w:t>
      </w:r>
    </w:p>
    <w:p>
      <w:pPr>
        <w:pStyle w:val="BodyText"/>
        <w:spacing w:line="417" w:lineRule="auto"/>
        <w:ind w:left="1260" w:right="6866"/>
        <w:rPr>
          <w:rFonts w:ascii="Times New Roman" w:eastAsia="Times New Roman"/>
        </w:rPr>
      </w:pPr>
      <w:r>
        <w:rPr/>
        <w:t>电话：</w:t>
      </w:r>
      <w:r>
        <w:rPr>
          <w:rFonts w:ascii="Times New Roman" w:eastAsia="Times New Roman"/>
        </w:rPr>
        <w:t>025-84544021 </w:t>
      </w:r>
      <w:r>
        <w:rPr/>
        <w:t>传真：</w:t>
      </w:r>
      <w:r>
        <w:rPr>
          <w:rFonts w:ascii="Times New Roman" w:eastAsia="Times New Roman"/>
        </w:rPr>
        <w:t>025-84544129</w:t>
      </w:r>
    </w:p>
    <w:p>
      <w:pPr>
        <w:pStyle w:val="BodyText"/>
        <w:ind w:left="1260"/>
      </w:pPr>
      <w:r>
        <w:rPr/>
        <w:t>联系人：翁俊</w:t>
      </w:r>
    </w:p>
    <w:p>
      <w:pPr>
        <w:pStyle w:val="BodyText"/>
        <w:spacing w:before="6"/>
        <w:rPr>
          <w:sz w:val="15"/>
        </w:rPr>
      </w:pPr>
    </w:p>
    <w:p>
      <w:pPr>
        <w:pStyle w:val="BodyText"/>
        <w:spacing w:line="417" w:lineRule="auto"/>
        <w:ind w:left="1260" w:right="6529"/>
        <w:rPr>
          <w:rFonts w:ascii="Times New Roman" w:eastAsia="Times New Roman"/>
        </w:rPr>
      </w:pPr>
      <w:r>
        <w:rPr/>
        <w:t>网址：</w:t>
      </w:r>
      <w:hyperlink r:id="rId34">
        <w:r>
          <w:rPr>
            <w:rFonts w:ascii="Times New Roman" w:eastAsia="Times New Roman"/>
          </w:rPr>
          <w:t>www.njcb.com.cn </w:t>
        </w:r>
      </w:hyperlink>
      <w:r>
        <w:rPr/>
        <w:t>客户服务电话：</w:t>
      </w:r>
      <w:r>
        <w:rPr>
          <w:rFonts w:ascii="Times New Roman" w:eastAsia="Times New Roman"/>
        </w:rPr>
        <w:t>95302</w:t>
      </w:r>
    </w:p>
    <w:p>
      <w:pPr>
        <w:pStyle w:val="ListParagraph"/>
        <w:numPr>
          <w:ilvl w:val="0"/>
          <w:numId w:val="8"/>
        </w:numPr>
        <w:tabs>
          <w:tab w:pos="1895" w:val="left" w:leader="none"/>
        </w:tabs>
        <w:spacing w:line="417" w:lineRule="auto" w:before="0" w:after="0"/>
        <w:ind w:left="1260" w:right="5675" w:firstLine="0"/>
        <w:jc w:val="left"/>
        <w:rPr>
          <w:sz w:val="21"/>
        </w:rPr>
      </w:pPr>
      <w:r>
        <w:rPr>
          <w:spacing w:val="-3"/>
          <w:sz w:val="21"/>
        </w:rPr>
        <w:t>临商银行股份有限公司  住所：山东省临沂市沂蒙路</w:t>
      </w:r>
      <w:r>
        <w:rPr>
          <w:rFonts w:ascii="Times New Roman" w:eastAsia="Times New Roman"/>
          <w:sz w:val="21"/>
        </w:rPr>
        <w:t>336</w:t>
      </w:r>
      <w:r>
        <w:rPr>
          <w:spacing w:val="-13"/>
          <w:sz w:val="21"/>
        </w:rPr>
        <w:t>号</w:t>
      </w:r>
    </w:p>
    <w:p>
      <w:pPr>
        <w:pStyle w:val="BodyText"/>
        <w:spacing w:line="417" w:lineRule="auto"/>
        <w:ind w:left="1260" w:right="5255"/>
      </w:pPr>
      <w:r>
        <w:rPr/>
        <w:t>办公地址：山东省临沂市沂蒙路</w:t>
      </w:r>
      <w:r>
        <w:rPr>
          <w:rFonts w:ascii="Times New Roman" w:eastAsia="Times New Roman"/>
        </w:rPr>
        <w:t>336</w:t>
      </w:r>
      <w:r>
        <w:rPr/>
        <w:t>号法定代表人：王傢玉</w:t>
      </w:r>
    </w:p>
    <w:p>
      <w:pPr>
        <w:pStyle w:val="BodyText"/>
        <w:spacing w:line="417" w:lineRule="auto"/>
        <w:ind w:left="1260" w:right="6866"/>
        <w:rPr>
          <w:rFonts w:ascii="Times New Roman" w:eastAsia="Times New Roman"/>
        </w:rPr>
      </w:pPr>
      <w:r>
        <w:rPr/>
        <w:t>电话：</w:t>
      </w:r>
      <w:r>
        <w:rPr>
          <w:rFonts w:ascii="Times New Roman" w:eastAsia="Times New Roman"/>
        </w:rPr>
        <w:t>0539-7877780 </w:t>
      </w:r>
      <w:r>
        <w:rPr/>
        <w:t>传真：</w:t>
      </w:r>
      <w:r>
        <w:rPr>
          <w:rFonts w:ascii="Times New Roman" w:eastAsia="Times New Roman"/>
        </w:rPr>
        <w:t>0539-8051127</w:t>
      </w:r>
    </w:p>
    <w:p>
      <w:pPr>
        <w:pStyle w:val="BodyText"/>
        <w:spacing w:line="269" w:lineRule="exact"/>
        <w:ind w:left="1260"/>
      </w:pPr>
      <w:r>
        <w:rPr/>
        <w:t>联系人：吕芳芳</w:t>
      </w:r>
    </w:p>
    <w:p>
      <w:pPr>
        <w:pStyle w:val="BodyText"/>
        <w:spacing w:before="6"/>
        <w:rPr>
          <w:sz w:val="15"/>
        </w:rPr>
      </w:pPr>
    </w:p>
    <w:p>
      <w:pPr>
        <w:pStyle w:val="BodyText"/>
        <w:ind w:left="1260"/>
        <w:rPr>
          <w:rFonts w:ascii="Times New Roman" w:eastAsia="Times New Roman"/>
        </w:rPr>
      </w:pPr>
      <w:r>
        <w:rPr/>
        <w:t>网址：</w:t>
      </w:r>
      <w:hyperlink r:id="rId35">
        <w:r>
          <w:rPr>
            <w:rFonts w:ascii="Times New Roman" w:eastAsia="Times New Roman"/>
          </w:rPr>
          <w:t>www.lsbchina.com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400-699-6588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温州银行股份有限公司</w:t>
      </w:r>
    </w:p>
    <w:p>
      <w:pPr>
        <w:pStyle w:val="BodyText"/>
        <w:spacing w:before="7"/>
        <w:rPr>
          <w:sz w:val="15"/>
        </w:rPr>
      </w:pPr>
    </w:p>
    <w:p>
      <w:pPr>
        <w:pStyle w:val="BodyText"/>
        <w:ind w:left="1260"/>
      </w:pPr>
      <w:r>
        <w:rPr/>
        <w:t>住所：温州市车站大道华海广场</w:t>
      </w:r>
      <w:r>
        <w:rPr>
          <w:rFonts w:ascii="Times New Roman" w:eastAsia="Times New Roman"/>
        </w:rPr>
        <w:t>1</w:t>
      </w:r>
      <w:r>
        <w:rPr/>
        <w:t>号楼</w:t>
      </w:r>
    </w:p>
    <w:p>
      <w:pPr>
        <w:pStyle w:val="BodyText"/>
        <w:spacing w:before="7"/>
        <w:rPr>
          <w:sz w:val="15"/>
        </w:rPr>
      </w:pPr>
    </w:p>
    <w:p>
      <w:pPr>
        <w:pStyle w:val="BodyText"/>
        <w:ind w:left="1260"/>
      </w:pPr>
      <w:r>
        <w:rPr/>
        <w:t>办公地址：温州市车站大道华海广场</w:t>
      </w:r>
      <w:r>
        <w:rPr>
          <w:rFonts w:ascii="Times New Roman" w:eastAsia="Times New Roman"/>
        </w:rPr>
        <w:t>1</w:t>
      </w:r>
      <w:r>
        <w:rPr/>
        <w:t>号楼</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760"/>
        <w:rPr>
          <w:rFonts w:ascii="Times New Roman" w:eastAsia="Times New Roman"/>
        </w:rPr>
      </w:pPr>
      <w:r>
        <w:rPr/>
        <w:t>法定代表人：夏瑞洲电话：</w:t>
      </w:r>
      <w:r>
        <w:rPr>
          <w:rFonts w:ascii="Times New Roman" w:eastAsia="Times New Roman"/>
        </w:rPr>
        <w:t>0577-88990082 </w:t>
      </w:r>
      <w:r>
        <w:rPr/>
        <w:t>传真：</w:t>
      </w:r>
      <w:r>
        <w:rPr>
          <w:rFonts w:ascii="Times New Roman" w:eastAsia="Times New Roman"/>
        </w:rPr>
        <w:t>0577-88995217</w:t>
      </w:r>
    </w:p>
    <w:p>
      <w:pPr>
        <w:pStyle w:val="BodyText"/>
        <w:spacing w:line="269" w:lineRule="exact"/>
        <w:ind w:left="1260"/>
      </w:pPr>
      <w:r>
        <w:rPr/>
        <w:t>联系人：林波</w:t>
      </w:r>
    </w:p>
    <w:p>
      <w:pPr>
        <w:pStyle w:val="BodyText"/>
        <w:spacing w:before="7"/>
        <w:rPr>
          <w:sz w:val="15"/>
        </w:rPr>
      </w:pPr>
    </w:p>
    <w:p>
      <w:pPr>
        <w:pStyle w:val="BodyText"/>
        <w:ind w:left="1260"/>
        <w:rPr>
          <w:rFonts w:ascii="Times New Roman" w:eastAsia="Times New Roman"/>
        </w:rPr>
      </w:pPr>
      <w:r>
        <w:rPr/>
        <w:t>网址：</w:t>
      </w:r>
      <w:hyperlink r:id="rId36">
        <w:r>
          <w:rPr>
            <w:rFonts w:ascii="Times New Roman" w:eastAsia="Times New Roman"/>
          </w:rPr>
          <w:t>www.wzbank.cn</w:t>
        </w:r>
      </w:hyperlink>
    </w:p>
    <w:p>
      <w:pPr>
        <w:pStyle w:val="BodyText"/>
        <w:spacing w:before="3"/>
        <w:rPr>
          <w:rFonts w:ascii="Times New Roman"/>
          <w:sz w:val="17"/>
        </w:rPr>
      </w:pPr>
    </w:p>
    <w:p>
      <w:pPr>
        <w:pStyle w:val="BodyText"/>
        <w:ind w:left="1260"/>
      </w:pPr>
      <w:r>
        <w:rPr>
          <w:spacing w:val="-2"/>
        </w:rPr>
        <w:t>客户服务电话：</w:t>
      </w:r>
      <w:r>
        <w:rPr>
          <w:rFonts w:ascii="Times New Roman" w:eastAsia="Times New Roman"/>
        </w:rPr>
        <w:t>96699</w:t>
      </w:r>
      <w:r>
        <w:rPr/>
        <w:t>（</w:t>
      </w:r>
      <w:r>
        <w:rPr>
          <w:spacing w:val="-3"/>
        </w:rPr>
        <w:t>浙江和上海地区</w:t>
      </w:r>
      <w:r>
        <w:rPr>
          <w:spacing w:val="-108"/>
        </w:rPr>
        <w:t>）</w:t>
      </w:r>
      <w:r>
        <w:rPr/>
        <w:t>、</w:t>
      </w:r>
      <w:r>
        <w:rPr>
          <w:rFonts w:ascii="Times New Roman" w:eastAsia="Times New Roman"/>
        </w:rPr>
        <w:t>0577-96699</w:t>
      </w:r>
      <w:r>
        <w:rPr/>
        <w:t>（</w:t>
      </w:r>
      <w:r>
        <w:rPr>
          <w:spacing w:val="-3"/>
        </w:rPr>
        <w:t>其他地区</w:t>
      </w:r>
      <w:r>
        <w:rPr/>
        <w:t>）</w:t>
      </w:r>
    </w:p>
    <w:p>
      <w:pPr>
        <w:pStyle w:val="BodyText"/>
        <w:spacing w:before="7"/>
        <w:rPr>
          <w:sz w:val="15"/>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汉口银行股份有限公司</w:t>
      </w:r>
    </w:p>
    <w:p>
      <w:pPr>
        <w:pStyle w:val="BodyText"/>
        <w:spacing w:before="7"/>
        <w:rPr>
          <w:sz w:val="15"/>
        </w:rPr>
      </w:pPr>
    </w:p>
    <w:p>
      <w:pPr>
        <w:pStyle w:val="BodyText"/>
        <w:spacing w:before="1"/>
        <w:ind w:left="1260"/>
      </w:pPr>
      <w:r>
        <w:rPr/>
        <w:t>住所：武汉市江汉区建设大道</w:t>
      </w:r>
      <w:r>
        <w:rPr>
          <w:rFonts w:ascii="Times New Roman" w:eastAsia="Times New Roman"/>
        </w:rPr>
        <w:t>933</w:t>
      </w:r>
      <w:r>
        <w:rPr/>
        <w:t>号武汉商业银行大厦</w:t>
      </w:r>
    </w:p>
    <w:p>
      <w:pPr>
        <w:pStyle w:val="BodyText"/>
        <w:spacing w:before="6"/>
        <w:rPr>
          <w:sz w:val="15"/>
        </w:rPr>
      </w:pPr>
    </w:p>
    <w:p>
      <w:pPr>
        <w:pStyle w:val="BodyText"/>
        <w:spacing w:line="417" w:lineRule="auto"/>
        <w:ind w:left="1260" w:right="3363"/>
      </w:pPr>
      <w:r>
        <w:rPr/>
        <w:t>办公地址：武汉市江汉区建设大道</w:t>
      </w:r>
      <w:r>
        <w:rPr>
          <w:rFonts w:ascii="Times New Roman" w:eastAsia="Times New Roman"/>
        </w:rPr>
        <w:t>933</w:t>
      </w:r>
      <w:r>
        <w:rPr/>
        <w:t>号武汉商业银行大厦法定代表人：陈新民</w:t>
      </w:r>
    </w:p>
    <w:p>
      <w:pPr>
        <w:pStyle w:val="BodyText"/>
        <w:spacing w:line="417" w:lineRule="auto"/>
        <w:ind w:left="1260" w:right="6866"/>
        <w:rPr>
          <w:rFonts w:ascii="Times New Roman" w:eastAsia="Times New Roman"/>
        </w:rPr>
      </w:pPr>
      <w:r>
        <w:rPr/>
        <w:t>电话：</w:t>
      </w:r>
      <w:r>
        <w:rPr>
          <w:rFonts w:ascii="Times New Roman" w:eastAsia="Times New Roman"/>
        </w:rPr>
        <w:t>027-82656867 </w:t>
      </w:r>
      <w:r>
        <w:rPr/>
        <w:t>传真：</w:t>
      </w:r>
      <w:r>
        <w:rPr>
          <w:rFonts w:ascii="Times New Roman" w:eastAsia="Times New Roman"/>
        </w:rPr>
        <w:t>027-82656236</w:t>
      </w:r>
    </w:p>
    <w:p>
      <w:pPr>
        <w:pStyle w:val="BodyText"/>
        <w:spacing w:line="269" w:lineRule="exact"/>
        <w:ind w:left="1260"/>
      </w:pPr>
      <w:r>
        <w:rPr/>
        <w:t>联系人：黄慧琼</w:t>
      </w:r>
    </w:p>
    <w:p>
      <w:pPr>
        <w:pStyle w:val="BodyText"/>
        <w:spacing w:before="7"/>
        <w:rPr>
          <w:sz w:val="15"/>
        </w:rPr>
      </w:pPr>
    </w:p>
    <w:p>
      <w:pPr>
        <w:pStyle w:val="BodyText"/>
        <w:ind w:left="1260"/>
        <w:rPr>
          <w:rFonts w:ascii="Times New Roman" w:eastAsia="Times New Roman"/>
        </w:rPr>
      </w:pPr>
      <w:r>
        <w:rPr/>
        <w:t>网址：</w:t>
      </w:r>
      <w:hyperlink r:id="rId37">
        <w:r>
          <w:rPr>
            <w:rFonts w:ascii="Times New Roman" w:eastAsia="Times New Roman"/>
          </w:rPr>
          <w:t>www.hkbchina.com</w:t>
        </w:r>
      </w:hyperlink>
    </w:p>
    <w:p>
      <w:pPr>
        <w:pStyle w:val="BodyText"/>
        <w:spacing w:before="3"/>
        <w:rPr>
          <w:rFonts w:ascii="Times New Roman"/>
          <w:sz w:val="17"/>
        </w:rPr>
      </w:pPr>
    </w:p>
    <w:p>
      <w:pPr>
        <w:pStyle w:val="BodyText"/>
        <w:spacing w:before="1"/>
        <w:ind w:left="1260"/>
      </w:pPr>
      <w:r>
        <w:rPr>
          <w:spacing w:val="-2"/>
        </w:rPr>
        <w:t>客户服务电话：</w:t>
      </w:r>
      <w:r>
        <w:rPr>
          <w:rFonts w:ascii="Times New Roman" w:eastAsia="Times New Roman"/>
        </w:rPr>
        <w:t>96558</w:t>
      </w:r>
      <w:r>
        <w:rPr/>
        <w:t>（</w:t>
      </w:r>
      <w:r>
        <w:rPr>
          <w:spacing w:val="-2"/>
        </w:rPr>
        <w:t>武汉</w:t>
      </w:r>
      <w:r>
        <w:rPr>
          <w:spacing w:val="-106"/>
        </w:rPr>
        <w:t>）</w:t>
      </w:r>
      <w:r>
        <w:rPr/>
        <w:t>、</w:t>
      </w:r>
      <w:r>
        <w:rPr>
          <w:rFonts w:ascii="Times New Roman" w:eastAsia="Times New Roman"/>
        </w:rPr>
        <w:t>400-609-6558</w:t>
      </w:r>
      <w:r>
        <w:rPr/>
        <w:t>（</w:t>
      </w:r>
      <w:r>
        <w:rPr>
          <w:spacing w:val="-3"/>
        </w:rPr>
        <w:t>全国</w:t>
      </w:r>
      <w:r>
        <w:rPr/>
        <w:t>）</w:t>
      </w:r>
    </w:p>
    <w:p>
      <w:pPr>
        <w:pStyle w:val="BodyText"/>
        <w:spacing w:before="6"/>
        <w:rPr>
          <w:sz w:val="15"/>
        </w:rPr>
      </w:pPr>
    </w:p>
    <w:p>
      <w:pPr>
        <w:pStyle w:val="ListParagraph"/>
        <w:numPr>
          <w:ilvl w:val="0"/>
          <w:numId w:val="8"/>
        </w:numPr>
        <w:tabs>
          <w:tab w:pos="1895" w:val="left" w:leader="none"/>
        </w:tabs>
        <w:spacing w:line="417" w:lineRule="auto" w:before="0" w:after="0"/>
        <w:ind w:left="1260" w:right="5990" w:firstLine="0"/>
        <w:jc w:val="left"/>
        <w:rPr>
          <w:sz w:val="21"/>
        </w:rPr>
      </w:pPr>
      <w:r>
        <w:rPr>
          <w:spacing w:val="-5"/>
          <w:sz w:val="21"/>
        </w:rPr>
        <w:t>江苏银行股份有限公司</w:t>
      </w:r>
      <w:r>
        <w:rPr>
          <w:spacing w:val="-3"/>
          <w:sz w:val="21"/>
        </w:rPr>
        <w:t>住所：南京市中华路</w:t>
      </w:r>
      <w:r>
        <w:rPr>
          <w:rFonts w:ascii="Times New Roman" w:eastAsia="Times New Roman"/>
          <w:sz w:val="21"/>
        </w:rPr>
        <w:t>26</w:t>
      </w:r>
      <w:r>
        <w:rPr>
          <w:sz w:val="21"/>
        </w:rPr>
        <w:t>号</w:t>
      </w:r>
    </w:p>
    <w:p>
      <w:pPr>
        <w:pStyle w:val="BodyText"/>
        <w:spacing w:line="417" w:lineRule="auto"/>
        <w:ind w:left="1260" w:right="5992"/>
      </w:pPr>
      <w:r>
        <w:rPr/>
        <w:t>办公地址：南京市中华路</w:t>
      </w:r>
      <w:r>
        <w:rPr>
          <w:rFonts w:ascii="Times New Roman" w:eastAsia="Times New Roman"/>
        </w:rPr>
        <w:t>26</w:t>
      </w:r>
      <w:r>
        <w:rPr/>
        <w:t>号法定代表人：夏平</w:t>
      </w:r>
    </w:p>
    <w:p>
      <w:pPr>
        <w:pStyle w:val="BodyText"/>
        <w:spacing w:line="417" w:lineRule="auto"/>
        <w:ind w:left="1260" w:right="6866"/>
        <w:rPr>
          <w:rFonts w:ascii="Times New Roman" w:eastAsia="Times New Roman"/>
        </w:rPr>
      </w:pPr>
      <w:r>
        <w:rPr/>
        <w:t>电话：</w:t>
      </w:r>
      <w:r>
        <w:rPr>
          <w:rFonts w:ascii="Times New Roman" w:eastAsia="Times New Roman"/>
        </w:rPr>
        <w:t>025-58588167 </w:t>
      </w:r>
      <w:r>
        <w:rPr/>
        <w:t>传真：</w:t>
      </w:r>
      <w:r>
        <w:rPr>
          <w:rFonts w:ascii="Times New Roman" w:eastAsia="Times New Roman"/>
        </w:rPr>
        <w:t>025-58588164</w:t>
      </w:r>
    </w:p>
    <w:p>
      <w:pPr>
        <w:pStyle w:val="BodyText"/>
        <w:ind w:left="1260"/>
      </w:pPr>
      <w:r>
        <w:rPr/>
        <w:t>联系人：田春慧</w:t>
      </w:r>
    </w:p>
    <w:p>
      <w:pPr>
        <w:pStyle w:val="BodyText"/>
        <w:spacing w:before="6"/>
        <w:rPr>
          <w:sz w:val="15"/>
        </w:rPr>
      </w:pPr>
    </w:p>
    <w:p>
      <w:pPr>
        <w:pStyle w:val="BodyText"/>
        <w:spacing w:line="417" w:lineRule="auto" w:before="1"/>
        <w:ind w:left="1260" w:right="6604"/>
        <w:rPr>
          <w:rFonts w:ascii="Times New Roman" w:eastAsia="Times New Roman"/>
        </w:rPr>
      </w:pPr>
      <w:r>
        <w:rPr/>
        <w:t>网址：</w:t>
      </w:r>
      <w:hyperlink r:id="rId38">
        <w:r>
          <w:rPr>
            <w:rFonts w:ascii="Times New Roman" w:eastAsia="Times New Roman"/>
          </w:rPr>
          <w:t>www.jsbchina.cn </w:t>
        </w:r>
      </w:hyperlink>
      <w:r>
        <w:rPr/>
        <w:t>客户服务电话：</w:t>
      </w:r>
      <w:r>
        <w:rPr>
          <w:rFonts w:ascii="Times New Roman" w:eastAsia="Times New Roman"/>
        </w:rPr>
        <w:t>95319</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渤海银行股份有限公司</w:t>
      </w:r>
    </w:p>
    <w:p>
      <w:pPr>
        <w:pStyle w:val="BodyText"/>
        <w:spacing w:before="6"/>
        <w:rPr>
          <w:sz w:val="15"/>
        </w:rPr>
      </w:pPr>
    </w:p>
    <w:p>
      <w:pPr>
        <w:pStyle w:val="BodyText"/>
        <w:ind w:left="1260"/>
      </w:pPr>
      <w:r>
        <w:rPr/>
        <w:t>住所：天津市河东区海河东路</w:t>
      </w:r>
      <w:r>
        <w:rPr>
          <w:rFonts w:ascii="Times New Roman" w:eastAsia="Times New Roman"/>
        </w:rPr>
        <w:t>218</w:t>
      </w:r>
      <w:r>
        <w:rPr/>
        <w:t>号</w:t>
      </w:r>
    </w:p>
    <w:p>
      <w:pPr>
        <w:pStyle w:val="BodyText"/>
        <w:spacing w:before="7"/>
        <w:rPr>
          <w:sz w:val="15"/>
        </w:rPr>
      </w:pPr>
    </w:p>
    <w:p>
      <w:pPr>
        <w:pStyle w:val="BodyText"/>
        <w:spacing w:line="417" w:lineRule="auto"/>
        <w:ind w:left="1260" w:right="5044"/>
      </w:pPr>
      <w:r>
        <w:rPr>
          <w:spacing w:val="-3"/>
        </w:rPr>
        <w:t>办公地址：天津市河东区海河东路</w:t>
      </w:r>
      <w:r>
        <w:rPr>
          <w:rFonts w:ascii="Times New Roman" w:eastAsia="Times New Roman"/>
        </w:rPr>
        <w:t>218</w:t>
      </w:r>
      <w:r>
        <w:rPr>
          <w:spacing w:val="-12"/>
        </w:rPr>
        <w:t>号</w:t>
      </w:r>
      <w:r>
        <w:rPr>
          <w:spacing w:val="-3"/>
        </w:rPr>
        <w:t>法定代表人：李伏安</w:t>
      </w:r>
    </w:p>
    <w:p>
      <w:pPr>
        <w:pStyle w:val="BodyText"/>
        <w:ind w:left="1260"/>
        <w:rPr>
          <w:rFonts w:ascii="Times New Roman" w:eastAsia="Times New Roman"/>
        </w:rPr>
      </w:pPr>
      <w:r>
        <w:rPr>
          <w:spacing w:val="-1"/>
        </w:rPr>
        <w:t>电话：</w:t>
      </w:r>
      <w:r>
        <w:rPr>
          <w:rFonts w:ascii="Times New Roman" w:eastAsia="Times New Roman"/>
          <w:spacing w:val="-1"/>
        </w:rPr>
        <w:t>022-58316666</w:t>
      </w:r>
    </w:p>
    <w:p>
      <w:pPr>
        <w:pStyle w:val="BodyText"/>
        <w:spacing w:before="3"/>
        <w:rPr>
          <w:rFonts w:ascii="Times New Roman"/>
          <w:sz w:val="17"/>
        </w:rPr>
      </w:pPr>
    </w:p>
    <w:p>
      <w:pPr>
        <w:pStyle w:val="BodyText"/>
        <w:spacing w:before="1"/>
        <w:ind w:left="1260"/>
        <w:rPr>
          <w:rFonts w:ascii="Times New Roman" w:eastAsia="Times New Roman"/>
        </w:rPr>
      </w:pPr>
      <w:r>
        <w:rPr/>
        <w:t>传真：</w:t>
      </w:r>
      <w:r>
        <w:rPr>
          <w:rFonts w:ascii="Times New Roman" w:eastAsia="Times New Roman"/>
        </w:rPr>
        <w:t>-</w:t>
      </w:r>
    </w:p>
    <w:p>
      <w:pPr>
        <w:spacing w:after="0"/>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联系人：潘鹏程</w:t>
      </w:r>
    </w:p>
    <w:p>
      <w:pPr>
        <w:pStyle w:val="BodyText"/>
        <w:spacing w:before="6"/>
        <w:rPr>
          <w:sz w:val="15"/>
        </w:rPr>
      </w:pPr>
    </w:p>
    <w:p>
      <w:pPr>
        <w:pStyle w:val="BodyText"/>
        <w:spacing w:line="417" w:lineRule="auto"/>
        <w:ind w:left="1260" w:right="6482"/>
        <w:rPr>
          <w:rFonts w:ascii="Times New Roman" w:eastAsia="Times New Roman"/>
        </w:rPr>
      </w:pPr>
      <w:r>
        <w:rPr/>
        <w:t>网址：</w:t>
      </w:r>
      <w:hyperlink r:id="rId39">
        <w:r>
          <w:rPr>
            <w:rFonts w:ascii="Times New Roman" w:eastAsia="Times New Roman"/>
          </w:rPr>
          <w:t>www.cbhb.com.cn </w:t>
        </w:r>
      </w:hyperlink>
      <w:r>
        <w:rPr/>
        <w:t>客户服务电话：</w:t>
      </w:r>
      <w:r>
        <w:rPr>
          <w:rFonts w:ascii="Times New Roman" w:eastAsia="Times New Roman"/>
        </w:rPr>
        <w:t>95541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洛阳银行股份有限公司</w:t>
      </w:r>
    </w:p>
    <w:p>
      <w:pPr>
        <w:pStyle w:val="BodyText"/>
        <w:spacing w:before="7"/>
        <w:rPr>
          <w:sz w:val="15"/>
        </w:rPr>
      </w:pPr>
    </w:p>
    <w:p>
      <w:pPr>
        <w:pStyle w:val="BodyText"/>
        <w:ind w:left="1260"/>
      </w:pPr>
      <w:r>
        <w:rPr/>
        <w:t>住所：洛阳市洛阳新区开元大道与通济街交叉口</w:t>
      </w:r>
    </w:p>
    <w:p>
      <w:pPr>
        <w:pStyle w:val="BodyText"/>
        <w:spacing w:before="7"/>
        <w:rPr>
          <w:sz w:val="15"/>
        </w:rPr>
      </w:pPr>
    </w:p>
    <w:p>
      <w:pPr>
        <w:pStyle w:val="BodyText"/>
        <w:spacing w:line="417" w:lineRule="auto"/>
        <w:ind w:left="1260" w:right="3260"/>
      </w:pPr>
      <w:r>
        <w:rPr/>
        <w:t>办公地址：洛阳市洛龙区开元大道</w:t>
      </w:r>
      <w:r>
        <w:rPr>
          <w:rFonts w:ascii="Times New Roman" w:eastAsia="Times New Roman"/>
        </w:rPr>
        <w:t>256</w:t>
      </w:r>
      <w:r>
        <w:rPr/>
        <w:t>号洛阳银行三楼</w:t>
      </w:r>
      <w:r>
        <w:rPr>
          <w:rFonts w:ascii="Times New Roman" w:eastAsia="Times New Roman"/>
        </w:rPr>
        <w:t>306</w:t>
      </w:r>
      <w:r>
        <w:rPr/>
        <w:t>室法定代表人：王建甫</w:t>
      </w:r>
    </w:p>
    <w:p>
      <w:pPr>
        <w:pStyle w:val="BodyText"/>
        <w:spacing w:line="417" w:lineRule="auto"/>
        <w:ind w:left="1260" w:right="6760"/>
        <w:rPr>
          <w:rFonts w:ascii="Times New Roman" w:eastAsia="Times New Roman"/>
        </w:rPr>
      </w:pPr>
      <w:r>
        <w:rPr/>
        <w:t>电话：</w:t>
      </w:r>
      <w:r>
        <w:rPr>
          <w:rFonts w:ascii="Times New Roman" w:eastAsia="Times New Roman"/>
        </w:rPr>
        <w:t>0379-65921977 </w:t>
      </w:r>
      <w:r>
        <w:rPr/>
        <w:t>传真：</w:t>
      </w:r>
      <w:r>
        <w:rPr>
          <w:rFonts w:ascii="Times New Roman" w:eastAsia="Times New Roman"/>
        </w:rPr>
        <w:t>0379-65921869</w:t>
      </w:r>
    </w:p>
    <w:p>
      <w:pPr>
        <w:pStyle w:val="BodyText"/>
        <w:spacing w:line="269" w:lineRule="exact"/>
        <w:ind w:left="1260"/>
      </w:pPr>
      <w:r>
        <w:rPr/>
        <w:t>联系人：董鹏程</w:t>
      </w:r>
    </w:p>
    <w:p>
      <w:pPr>
        <w:pStyle w:val="BodyText"/>
        <w:spacing w:before="7"/>
        <w:rPr>
          <w:sz w:val="15"/>
        </w:rPr>
      </w:pPr>
    </w:p>
    <w:p>
      <w:pPr>
        <w:pStyle w:val="BodyText"/>
        <w:spacing w:line="417" w:lineRule="auto"/>
        <w:ind w:left="1260" w:right="5631"/>
        <w:rPr>
          <w:rFonts w:ascii="Times New Roman" w:eastAsia="Times New Roman"/>
        </w:rPr>
      </w:pPr>
      <w:r>
        <w:rPr/>
        <w:t>网址：</w:t>
      </w:r>
      <w:hyperlink r:id="rId40">
        <w:r>
          <w:rPr>
            <w:rFonts w:ascii="Times New Roman" w:eastAsia="Times New Roman"/>
          </w:rPr>
          <w:t>www.bankofluoyang.com.cn </w:t>
        </w:r>
      </w:hyperlink>
      <w:r>
        <w:rPr/>
        <w:t>客户服务电话：</w:t>
      </w:r>
      <w:r>
        <w:rPr>
          <w:rFonts w:ascii="Times New Roman" w:eastAsia="Times New Roman"/>
        </w:rPr>
        <w:t>0379-96699</w:t>
      </w:r>
    </w:p>
    <w:p>
      <w:pPr>
        <w:pStyle w:val="ListParagraph"/>
        <w:numPr>
          <w:ilvl w:val="0"/>
          <w:numId w:val="8"/>
        </w:numPr>
        <w:tabs>
          <w:tab w:pos="1895" w:val="left" w:leader="none"/>
        </w:tabs>
        <w:spacing w:line="417" w:lineRule="auto" w:before="0" w:after="0"/>
        <w:ind w:left="1260" w:right="4938" w:firstLine="0"/>
        <w:jc w:val="left"/>
        <w:rPr>
          <w:sz w:val="21"/>
        </w:rPr>
      </w:pPr>
      <w:r>
        <w:rPr>
          <w:spacing w:val="-4"/>
          <w:sz w:val="21"/>
        </w:rPr>
        <w:t>乌鲁木齐市商业银行股份有限公司</w:t>
      </w:r>
      <w:r>
        <w:rPr>
          <w:spacing w:val="-3"/>
          <w:sz w:val="21"/>
        </w:rPr>
        <w:t>住所：乌鲁木齐市新华北路</w:t>
      </w:r>
      <w:r>
        <w:rPr>
          <w:rFonts w:ascii="Times New Roman" w:eastAsia="Times New Roman"/>
          <w:sz w:val="21"/>
        </w:rPr>
        <w:t>8</w:t>
      </w:r>
      <w:r>
        <w:rPr>
          <w:sz w:val="21"/>
        </w:rPr>
        <w:t>号</w:t>
      </w:r>
    </w:p>
    <w:p>
      <w:pPr>
        <w:pStyle w:val="BodyText"/>
        <w:spacing w:line="417" w:lineRule="auto"/>
        <w:ind w:left="1260" w:right="5464"/>
      </w:pPr>
      <w:r>
        <w:rPr/>
        <w:t>办公地址：乌鲁木齐市新华北路</w:t>
      </w:r>
      <w:r>
        <w:rPr>
          <w:rFonts w:ascii="Times New Roman" w:eastAsia="Times New Roman"/>
        </w:rPr>
        <w:t>8</w:t>
      </w:r>
      <w:r>
        <w:rPr/>
        <w:t>号法定代表人：农惠臣</w:t>
      </w:r>
    </w:p>
    <w:p>
      <w:pPr>
        <w:pStyle w:val="BodyText"/>
        <w:spacing w:line="417" w:lineRule="auto"/>
        <w:ind w:left="1260" w:right="6866"/>
        <w:rPr>
          <w:rFonts w:ascii="Times New Roman" w:eastAsia="Times New Roman"/>
        </w:rPr>
      </w:pPr>
      <w:r>
        <w:rPr/>
        <w:t>电话：</w:t>
      </w:r>
      <w:r>
        <w:rPr>
          <w:rFonts w:ascii="Times New Roman" w:eastAsia="Times New Roman"/>
        </w:rPr>
        <w:t>0991-8824667 </w:t>
      </w:r>
      <w:r>
        <w:rPr/>
        <w:t>传真：</w:t>
      </w:r>
      <w:r>
        <w:rPr>
          <w:rFonts w:ascii="Times New Roman" w:eastAsia="Times New Roman"/>
        </w:rPr>
        <w:t>0991-8824667</w:t>
      </w:r>
    </w:p>
    <w:p>
      <w:pPr>
        <w:pStyle w:val="BodyText"/>
        <w:spacing w:line="269" w:lineRule="exact"/>
        <w:ind w:left="1260"/>
      </w:pPr>
      <w:r>
        <w:rPr/>
        <w:t>联系人：何佳</w:t>
      </w:r>
    </w:p>
    <w:p>
      <w:pPr>
        <w:pStyle w:val="BodyText"/>
        <w:spacing w:before="6"/>
        <w:rPr>
          <w:sz w:val="15"/>
        </w:rPr>
      </w:pPr>
    </w:p>
    <w:p>
      <w:pPr>
        <w:pStyle w:val="BodyText"/>
        <w:ind w:left="1260"/>
        <w:rPr>
          <w:rFonts w:ascii="Times New Roman" w:eastAsia="Times New Roman"/>
        </w:rPr>
      </w:pPr>
      <w:r>
        <w:rPr/>
        <w:t>网址：</w:t>
      </w:r>
      <w:hyperlink r:id="rId41">
        <w:r>
          <w:rPr>
            <w:rFonts w:ascii="Times New Roman" w:eastAsia="Times New Roman"/>
          </w:rPr>
          <w:t>www.uccb.com.cn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0991-96518</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烟台银行股份有限公司</w:t>
      </w:r>
    </w:p>
    <w:p>
      <w:pPr>
        <w:pStyle w:val="BodyText"/>
        <w:spacing w:before="7"/>
        <w:rPr>
          <w:sz w:val="15"/>
        </w:rPr>
      </w:pPr>
    </w:p>
    <w:p>
      <w:pPr>
        <w:pStyle w:val="BodyText"/>
        <w:ind w:left="1260"/>
      </w:pPr>
      <w:r>
        <w:rPr/>
        <w:t>住所：山东省烟台市芝罘区海港路</w:t>
      </w:r>
      <w:r>
        <w:rPr>
          <w:rFonts w:ascii="Times New Roman" w:eastAsia="Times New Roman"/>
        </w:rPr>
        <w:t>25</w:t>
      </w:r>
      <w:r>
        <w:rPr/>
        <w:t>号</w:t>
      </w:r>
    </w:p>
    <w:p>
      <w:pPr>
        <w:pStyle w:val="BodyText"/>
        <w:spacing w:before="7"/>
        <w:rPr>
          <w:sz w:val="15"/>
        </w:rPr>
      </w:pPr>
    </w:p>
    <w:p>
      <w:pPr>
        <w:pStyle w:val="BodyText"/>
        <w:spacing w:line="417" w:lineRule="auto"/>
        <w:ind w:left="1260" w:right="4729"/>
      </w:pPr>
      <w:r>
        <w:rPr/>
        <w:t>办公地址：山东省烟台市芝罘区海港路</w:t>
      </w:r>
      <w:r>
        <w:rPr>
          <w:rFonts w:ascii="Times New Roman" w:eastAsia="Times New Roman"/>
        </w:rPr>
        <w:t>25</w:t>
      </w:r>
      <w:r>
        <w:rPr/>
        <w:t>号法定代表人：叶文君</w:t>
      </w:r>
    </w:p>
    <w:p>
      <w:pPr>
        <w:pStyle w:val="BodyText"/>
        <w:spacing w:line="417" w:lineRule="auto"/>
        <w:ind w:left="1260" w:right="6866"/>
        <w:rPr>
          <w:rFonts w:ascii="Times New Roman" w:eastAsia="Times New Roman"/>
        </w:rPr>
      </w:pPr>
      <w:r>
        <w:rPr/>
        <w:t>电话：</w:t>
      </w:r>
      <w:r>
        <w:rPr>
          <w:rFonts w:ascii="Times New Roman" w:eastAsia="Times New Roman"/>
        </w:rPr>
        <w:t>0535-6699660 </w:t>
      </w:r>
      <w:r>
        <w:rPr/>
        <w:t>传真：</w:t>
      </w:r>
      <w:r>
        <w:rPr>
          <w:rFonts w:ascii="Times New Roman" w:eastAsia="Times New Roman"/>
        </w:rPr>
        <w:t>0535-6699884</w:t>
      </w:r>
    </w:p>
    <w:p>
      <w:pPr>
        <w:pStyle w:val="BodyText"/>
        <w:spacing w:line="269" w:lineRule="exact"/>
        <w:ind w:left="1260"/>
      </w:pPr>
      <w:r>
        <w:rPr/>
        <w:t>联系人：王淑华</w:t>
      </w:r>
    </w:p>
    <w:p>
      <w:pPr>
        <w:pStyle w:val="BodyText"/>
        <w:spacing w:before="7"/>
        <w:rPr>
          <w:sz w:val="15"/>
        </w:rPr>
      </w:pPr>
    </w:p>
    <w:p>
      <w:pPr>
        <w:pStyle w:val="BodyText"/>
        <w:ind w:left="1260"/>
        <w:rPr>
          <w:rFonts w:ascii="Times New Roman" w:eastAsia="Times New Roman"/>
        </w:rPr>
      </w:pPr>
      <w:r>
        <w:rPr/>
        <w:t>网址：</w:t>
      </w:r>
      <w:hyperlink r:id="rId42">
        <w:r>
          <w:rPr>
            <w:rFonts w:ascii="Times New Roman" w:eastAsia="Times New Roman"/>
          </w:rPr>
          <w:t>www.yantaibank.net</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400-831-1777</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240" w:lineRule="auto" w:before="79" w:after="0"/>
        <w:ind w:left="1895" w:right="0" w:hanging="635"/>
        <w:jc w:val="left"/>
        <w:rPr>
          <w:sz w:val="21"/>
        </w:rPr>
      </w:pPr>
      <w:r>
        <w:rPr>
          <w:spacing w:val="-3"/>
          <w:sz w:val="21"/>
        </w:rPr>
        <w:t>大连银行股份有限公司</w:t>
      </w:r>
    </w:p>
    <w:p>
      <w:pPr>
        <w:pStyle w:val="BodyText"/>
        <w:spacing w:before="6"/>
        <w:rPr>
          <w:sz w:val="15"/>
        </w:rPr>
      </w:pPr>
    </w:p>
    <w:p>
      <w:pPr>
        <w:pStyle w:val="BodyText"/>
        <w:ind w:left="1260"/>
      </w:pPr>
      <w:r>
        <w:rPr/>
        <w:t>住所：辽宁省大连市中山区中山路</w:t>
      </w:r>
      <w:r>
        <w:rPr>
          <w:rFonts w:ascii="Times New Roman" w:eastAsia="Times New Roman"/>
        </w:rPr>
        <w:t>88</w:t>
      </w:r>
      <w:r>
        <w:rPr/>
        <w:t>号</w:t>
      </w:r>
    </w:p>
    <w:p>
      <w:pPr>
        <w:pStyle w:val="BodyText"/>
        <w:spacing w:before="7"/>
        <w:rPr>
          <w:sz w:val="15"/>
        </w:rPr>
      </w:pPr>
    </w:p>
    <w:p>
      <w:pPr>
        <w:pStyle w:val="BodyText"/>
        <w:spacing w:line="417" w:lineRule="auto"/>
        <w:ind w:left="1260" w:right="4729"/>
      </w:pPr>
      <w:r>
        <w:rPr/>
        <w:t>办公地址：辽宁省大连市中山区中山路</w:t>
      </w:r>
      <w:r>
        <w:rPr>
          <w:rFonts w:ascii="Times New Roman" w:eastAsia="Times New Roman"/>
        </w:rPr>
        <w:t>88</w:t>
      </w:r>
      <w:r>
        <w:rPr/>
        <w:t>号法定代表人：陈占维</w:t>
      </w:r>
    </w:p>
    <w:p>
      <w:pPr>
        <w:pStyle w:val="BodyText"/>
        <w:spacing w:line="417" w:lineRule="auto"/>
        <w:ind w:left="1260" w:right="6770"/>
        <w:rPr>
          <w:rFonts w:ascii="Times New Roman" w:eastAsia="Times New Roman"/>
        </w:rPr>
      </w:pPr>
      <w:r>
        <w:rPr/>
        <w:t>电话：</w:t>
      </w:r>
      <w:r>
        <w:rPr>
          <w:rFonts w:ascii="Times New Roman" w:eastAsia="Times New Roman"/>
        </w:rPr>
        <w:t>0411-82356627 </w:t>
      </w:r>
      <w:r>
        <w:rPr/>
        <w:t>传真：</w:t>
      </w:r>
      <w:r>
        <w:rPr>
          <w:rFonts w:ascii="Times New Roman" w:eastAsia="Times New Roman"/>
        </w:rPr>
        <w:t>0411-82356590</w:t>
      </w:r>
    </w:p>
    <w:p>
      <w:pPr>
        <w:pStyle w:val="BodyText"/>
        <w:spacing w:line="269" w:lineRule="exact"/>
        <w:ind w:left="1260"/>
      </w:pPr>
      <w:r>
        <w:rPr/>
        <w:t>联系人：李格格</w:t>
      </w:r>
    </w:p>
    <w:p>
      <w:pPr>
        <w:pStyle w:val="BodyText"/>
        <w:spacing w:before="7"/>
        <w:rPr>
          <w:sz w:val="15"/>
        </w:rPr>
      </w:pPr>
    </w:p>
    <w:p>
      <w:pPr>
        <w:pStyle w:val="BodyText"/>
        <w:ind w:left="1260"/>
        <w:rPr>
          <w:rFonts w:ascii="Times New Roman" w:eastAsia="Times New Roman"/>
        </w:rPr>
      </w:pPr>
      <w:r>
        <w:rPr/>
        <w:t>网址：</w:t>
      </w:r>
      <w:hyperlink r:id="rId43">
        <w:r>
          <w:rPr>
            <w:rFonts w:ascii="Times New Roman" w:eastAsia="Times New Roman"/>
          </w:rPr>
          <w:t>www.bankofdl.com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400-664-0099</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河北银行股份有限公司</w:t>
      </w:r>
    </w:p>
    <w:p>
      <w:pPr>
        <w:pStyle w:val="BodyText"/>
        <w:spacing w:before="6"/>
        <w:rPr>
          <w:sz w:val="15"/>
        </w:rPr>
      </w:pPr>
    </w:p>
    <w:p>
      <w:pPr>
        <w:pStyle w:val="BodyText"/>
        <w:spacing w:before="1"/>
        <w:ind w:left="1260"/>
      </w:pPr>
      <w:r>
        <w:rPr/>
        <w:t>住所：河北省石家庄市平安北大街</w:t>
      </w:r>
      <w:r>
        <w:rPr>
          <w:rFonts w:ascii="Times New Roman" w:eastAsia="Times New Roman"/>
        </w:rPr>
        <w:t>28</w:t>
      </w:r>
      <w:r>
        <w:rPr/>
        <w:t>号</w:t>
      </w:r>
    </w:p>
    <w:p>
      <w:pPr>
        <w:pStyle w:val="BodyText"/>
        <w:spacing w:before="6"/>
        <w:rPr>
          <w:sz w:val="15"/>
        </w:rPr>
      </w:pPr>
    </w:p>
    <w:p>
      <w:pPr>
        <w:pStyle w:val="BodyText"/>
        <w:spacing w:line="417" w:lineRule="auto"/>
        <w:ind w:left="1260" w:right="4729"/>
      </w:pPr>
      <w:r>
        <w:rPr/>
        <w:t>办公地址：河北省石家庄市平安北大街</w:t>
      </w:r>
      <w:r>
        <w:rPr>
          <w:rFonts w:ascii="Times New Roman" w:eastAsia="Times New Roman"/>
        </w:rPr>
        <w:t>28</w:t>
      </w:r>
      <w:r>
        <w:rPr/>
        <w:t>号法定代表人：乔志强</w:t>
      </w:r>
    </w:p>
    <w:p>
      <w:pPr>
        <w:pStyle w:val="BodyText"/>
        <w:spacing w:line="417" w:lineRule="auto"/>
        <w:ind w:left="1260" w:right="6770"/>
        <w:rPr>
          <w:rFonts w:ascii="Times New Roman" w:eastAsia="Times New Roman"/>
        </w:rPr>
      </w:pPr>
      <w:r>
        <w:rPr/>
        <w:t>电话：</w:t>
      </w:r>
      <w:r>
        <w:rPr>
          <w:rFonts w:ascii="Times New Roman" w:eastAsia="Times New Roman"/>
        </w:rPr>
        <w:t>0311-88627522 </w:t>
      </w:r>
      <w:r>
        <w:rPr/>
        <w:t>传真：</w:t>
      </w:r>
      <w:r>
        <w:rPr>
          <w:rFonts w:ascii="Times New Roman" w:eastAsia="Times New Roman"/>
        </w:rPr>
        <w:t>0311-88627027</w:t>
      </w:r>
    </w:p>
    <w:p>
      <w:pPr>
        <w:pStyle w:val="BodyText"/>
        <w:ind w:left="1260"/>
      </w:pPr>
      <w:r>
        <w:rPr/>
        <w:t>联系人：王栋</w:t>
      </w:r>
    </w:p>
    <w:p>
      <w:pPr>
        <w:pStyle w:val="BodyText"/>
        <w:spacing w:before="7"/>
        <w:rPr>
          <w:sz w:val="15"/>
        </w:rPr>
      </w:pPr>
    </w:p>
    <w:p>
      <w:pPr>
        <w:pStyle w:val="BodyText"/>
        <w:ind w:left="1260"/>
        <w:rPr>
          <w:rFonts w:ascii="Times New Roman" w:eastAsia="Times New Roman"/>
        </w:rPr>
      </w:pPr>
      <w:r>
        <w:rPr/>
        <w:t>网址：</w:t>
      </w:r>
      <w:hyperlink r:id="rId44">
        <w:r>
          <w:rPr>
            <w:rFonts w:ascii="Times New Roman" w:eastAsia="Times New Roman"/>
          </w:rPr>
          <w:t>www.hebbank.com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400-612-9999</w:t>
      </w:r>
    </w:p>
    <w:p>
      <w:pPr>
        <w:pStyle w:val="BodyText"/>
        <w:spacing w:before="4"/>
        <w:rPr>
          <w:rFonts w:ascii="Times New Roman"/>
          <w:sz w:val="17"/>
        </w:rPr>
      </w:pPr>
    </w:p>
    <w:p>
      <w:pPr>
        <w:pStyle w:val="ListParagraph"/>
        <w:numPr>
          <w:ilvl w:val="0"/>
          <w:numId w:val="8"/>
        </w:numPr>
        <w:tabs>
          <w:tab w:pos="1895" w:val="left" w:leader="none"/>
        </w:tabs>
        <w:spacing w:line="417" w:lineRule="auto" w:before="0" w:after="0"/>
        <w:ind w:left="1260" w:right="4729" w:firstLine="0"/>
        <w:jc w:val="left"/>
        <w:rPr>
          <w:sz w:val="21"/>
        </w:rPr>
      </w:pPr>
      <w:r>
        <w:rPr>
          <w:spacing w:val="-4"/>
          <w:sz w:val="21"/>
        </w:rPr>
        <w:t>江苏苏州农村商业银行股份有限公司</w:t>
      </w:r>
      <w:r>
        <w:rPr>
          <w:spacing w:val="-3"/>
          <w:sz w:val="21"/>
        </w:rPr>
        <w:t>住所：江苏省苏州市吴江区中山南路</w:t>
      </w:r>
      <w:r>
        <w:rPr>
          <w:rFonts w:ascii="Times New Roman" w:eastAsia="Times New Roman"/>
          <w:sz w:val="21"/>
        </w:rPr>
        <w:t>1777</w:t>
      </w:r>
      <w:r>
        <w:rPr>
          <w:spacing w:val="-12"/>
          <w:sz w:val="21"/>
        </w:rPr>
        <w:t>号</w:t>
      </w:r>
    </w:p>
    <w:p>
      <w:pPr>
        <w:pStyle w:val="BodyText"/>
        <w:spacing w:line="417" w:lineRule="auto"/>
        <w:ind w:left="1260" w:right="4309"/>
      </w:pPr>
      <w:r>
        <w:rPr/>
        <w:t>办公地址：江苏省苏州市吴江区中山南路</w:t>
      </w:r>
      <w:r>
        <w:rPr>
          <w:rFonts w:ascii="Times New Roman" w:eastAsia="Times New Roman"/>
        </w:rPr>
        <w:t>1777</w:t>
      </w:r>
      <w:r>
        <w:rPr/>
        <w:t>号法定代表人：魏礼亚</w:t>
      </w:r>
    </w:p>
    <w:p>
      <w:pPr>
        <w:pStyle w:val="BodyText"/>
        <w:spacing w:line="417" w:lineRule="auto"/>
        <w:ind w:left="1260" w:right="6760"/>
        <w:rPr>
          <w:rFonts w:ascii="Times New Roman" w:eastAsia="Times New Roman"/>
        </w:rPr>
      </w:pPr>
      <w:r>
        <w:rPr/>
        <w:t>电话：</w:t>
      </w:r>
      <w:r>
        <w:rPr>
          <w:rFonts w:ascii="Times New Roman" w:eastAsia="Times New Roman"/>
        </w:rPr>
        <w:t>0512-63969209 </w:t>
      </w:r>
      <w:r>
        <w:rPr/>
        <w:t>传真：</w:t>
      </w:r>
      <w:r>
        <w:rPr>
          <w:rFonts w:ascii="Times New Roman" w:eastAsia="Times New Roman"/>
        </w:rPr>
        <w:t>0512-63969209</w:t>
      </w:r>
    </w:p>
    <w:p>
      <w:pPr>
        <w:pStyle w:val="BodyText"/>
        <w:spacing w:line="269" w:lineRule="exact"/>
        <w:ind w:left="1260"/>
      </w:pPr>
      <w:r>
        <w:rPr/>
        <w:t>联系人：葛晓亮</w:t>
      </w:r>
    </w:p>
    <w:p>
      <w:pPr>
        <w:pStyle w:val="BodyText"/>
        <w:spacing w:before="6"/>
        <w:rPr>
          <w:sz w:val="15"/>
        </w:rPr>
      </w:pPr>
    </w:p>
    <w:p>
      <w:pPr>
        <w:pStyle w:val="BodyText"/>
        <w:ind w:left="1260"/>
        <w:rPr>
          <w:rFonts w:ascii="Times New Roman" w:eastAsia="Times New Roman"/>
        </w:rPr>
      </w:pPr>
      <w:r>
        <w:rPr/>
        <w:t>网址：</w:t>
      </w:r>
      <w:hyperlink r:id="rId45">
        <w:r>
          <w:rPr>
            <w:rFonts w:ascii="Times New Roman" w:eastAsia="Times New Roman"/>
          </w:rPr>
          <w:t>http://www.szrcb.com</w:t>
        </w:r>
      </w:hyperlink>
    </w:p>
    <w:p>
      <w:pPr>
        <w:pStyle w:val="BodyText"/>
        <w:spacing w:before="4"/>
        <w:rPr>
          <w:rFonts w:ascii="Times New Roman"/>
          <w:sz w:val="17"/>
        </w:rPr>
      </w:pPr>
    </w:p>
    <w:p>
      <w:pPr>
        <w:pStyle w:val="BodyText"/>
        <w:ind w:left="1260"/>
      </w:pPr>
      <w:r>
        <w:rPr>
          <w:spacing w:val="-2"/>
        </w:rPr>
        <w:t>客户服务电话：</w:t>
      </w:r>
      <w:r>
        <w:rPr>
          <w:rFonts w:ascii="Times New Roman" w:eastAsia="Times New Roman"/>
        </w:rPr>
        <w:t>96068</w:t>
      </w:r>
      <w:r>
        <w:rPr/>
        <w:t>（</w:t>
      </w:r>
      <w:r>
        <w:rPr>
          <w:spacing w:val="-3"/>
        </w:rPr>
        <w:t>江苏省内</w:t>
      </w:r>
      <w:r>
        <w:rPr>
          <w:spacing w:val="-106"/>
        </w:rPr>
        <w:t>）</w:t>
      </w:r>
      <w:r>
        <w:rPr/>
        <w:t>、</w:t>
      </w:r>
      <w:r>
        <w:rPr>
          <w:rFonts w:ascii="Times New Roman" w:eastAsia="Times New Roman"/>
        </w:rPr>
        <w:t>4008696068</w:t>
      </w:r>
      <w:r>
        <w:rPr/>
        <w:t>（</w:t>
      </w:r>
      <w:r>
        <w:rPr>
          <w:spacing w:val="-3"/>
        </w:rPr>
        <w:t>江苏省外</w:t>
      </w:r>
      <w:r>
        <w:rPr/>
        <w:t>）</w:t>
      </w:r>
    </w:p>
    <w:p>
      <w:pPr>
        <w:pStyle w:val="BodyText"/>
        <w:spacing w:before="7"/>
        <w:rPr>
          <w:sz w:val="15"/>
        </w:rPr>
      </w:pPr>
    </w:p>
    <w:p>
      <w:pPr>
        <w:pStyle w:val="ListParagraph"/>
        <w:numPr>
          <w:ilvl w:val="0"/>
          <w:numId w:val="8"/>
        </w:numPr>
        <w:tabs>
          <w:tab w:pos="1895" w:val="left" w:leader="none"/>
        </w:tabs>
        <w:spacing w:line="417" w:lineRule="auto" w:before="0" w:after="0"/>
        <w:ind w:left="1260" w:right="5778" w:firstLine="0"/>
        <w:jc w:val="left"/>
        <w:rPr>
          <w:sz w:val="21"/>
        </w:rPr>
      </w:pPr>
      <w:r>
        <w:rPr>
          <w:spacing w:val="-3"/>
          <w:sz w:val="21"/>
        </w:rPr>
        <w:t>西安银行股份有限公司 住所：陕西省西安市高新路</w:t>
      </w:r>
      <w:r>
        <w:rPr>
          <w:rFonts w:ascii="Times New Roman" w:eastAsia="Times New Roman"/>
          <w:sz w:val="21"/>
        </w:rPr>
        <w:t>60</w:t>
      </w:r>
      <w:r>
        <w:rPr>
          <w:spacing w:val="-14"/>
          <w:sz w:val="21"/>
        </w:rPr>
        <w:t>号</w:t>
      </w:r>
    </w:p>
    <w:p>
      <w:pPr>
        <w:pStyle w:val="BodyText"/>
        <w:ind w:left="1260"/>
      </w:pPr>
      <w:r>
        <w:rPr/>
        <w:t>办公地址：陕西省西安市高新路</w:t>
      </w:r>
      <w:r>
        <w:rPr>
          <w:rFonts w:ascii="Times New Roman" w:eastAsia="Times New Roman"/>
        </w:rPr>
        <w:t>60</w:t>
      </w:r>
      <w:r>
        <w:rPr/>
        <w:t>号</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04"/>
        <w:rPr>
          <w:rFonts w:ascii="Times New Roman" w:eastAsia="Times New Roman"/>
        </w:rPr>
      </w:pPr>
      <w:r>
        <w:rPr/>
        <w:t>法定代表人：郭军电话：</w:t>
      </w:r>
      <w:r>
        <w:rPr>
          <w:rFonts w:ascii="Times New Roman" w:eastAsia="Times New Roman"/>
        </w:rPr>
        <w:t>029-88992881 </w:t>
      </w:r>
      <w:r>
        <w:rPr/>
        <w:t>传真：</w:t>
      </w:r>
      <w:r>
        <w:rPr>
          <w:rFonts w:ascii="Times New Roman" w:eastAsia="Times New Roman"/>
        </w:rPr>
        <w:t>029-88992475</w:t>
      </w:r>
    </w:p>
    <w:p>
      <w:pPr>
        <w:pStyle w:val="BodyText"/>
        <w:spacing w:line="269" w:lineRule="exact"/>
        <w:ind w:left="1260"/>
      </w:pPr>
      <w:r>
        <w:rPr/>
        <w:t>联系人：白智</w:t>
      </w:r>
    </w:p>
    <w:p>
      <w:pPr>
        <w:pStyle w:val="BodyText"/>
        <w:spacing w:before="7"/>
        <w:rPr>
          <w:sz w:val="15"/>
        </w:rPr>
      </w:pPr>
    </w:p>
    <w:p>
      <w:pPr>
        <w:pStyle w:val="BodyText"/>
        <w:ind w:left="1260"/>
        <w:rPr>
          <w:rFonts w:ascii="Times New Roman" w:eastAsia="Times New Roman"/>
        </w:rPr>
      </w:pPr>
      <w:r>
        <w:rPr/>
        <w:t>网址：</w:t>
      </w:r>
      <w:hyperlink r:id="rId46">
        <w:r>
          <w:rPr>
            <w:rFonts w:ascii="Times New Roman" w:eastAsia="Times New Roman"/>
          </w:rPr>
          <w:t>www.xacbank.com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400-869-6779</w:t>
      </w:r>
    </w:p>
    <w:p>
      <w:pPr>
        <w:pStyle w:val="BodyText"/>
        <w:spacing w:before="4"/>
        <w:rPr>
          <w:rFonts w:ascii="Times New Roman"/>
          <w:sz w:val="17"/>
        </w:rPr>
      </w:pPr>
    </w:p>
    <w:p>
      <w:pPr>
        <w:pStyle w:val="ListParagraph"/>
        <w:numPr>
          <w:ilvl w:val="0"/>
          <w:numId w:val="8"/>
        </w:numPr>
        <w:tabs>
          <w:tab w:pos="1895" w:val="left" w:leader="none"/>
        </w:tabs>
        <w:spacing w:line="417" w:lineRule="auto" w:before="0" w:after="0"/>
        <w:ind w:left="1260" w:right="4729" w:firstLine="0"/>
        <w:jc w:val="left"/>
        <w:rPr>
          <w:sz w:val="21"/>
        </w:rPr>
      </w:pPr>
      <w:r>
        <w:rPr>
          <w:spacing w:val="-4"/>
          <w:sz w:val="21"/>
        </w:rPr>
        <w:t>江苏江南农村商业银行股份有限公司</w:t>
      </w:r>
      <w:r>
        <w:rPr>
          <w:spacing w:val="-3"/>
          <w:sz w:val="21"/>
        </w:rPr>
        <w:t>住所：江苏省常州市和平中路</w:t>
      </w:r>
      <w:r>
        <w:rPr>
          <w:rFonts w:ascii="Times New Roman" w:eastAsia="Times New Roman"/>
          <w:sz w:val="21"/>
        </w:rPr>
        <w:t>413</w:t>
      </w:r>
      <w:r>
        <w:rPr>
          <w:sz w:val="21"/>
        </w:rPr>
        <w:t>号</w:t>
      </w:r>
    </w:p>
    <w:p>
      <w:pPr>
        <w:pStyle w:val="BodyText"/>
        <w:spacing w:line="417" w:lineRule="auto"/>
        <w:ind w:left="1260" w:right="5044"/>
      </w:pPr>
      <w:r>
        <w:rPr/>
        <w:t>办公地址：江苏省常州市和平中路</w:t>
      </w:r>
      <w:r>
        <w:rPr>
          <w:rFonts w:ascii="Times New Roman" w:eastAsia="Times New Roman"/>
        </w:rPr>
        <w:t>413</w:t>
      </w:r>
      <w:r>
        <w:rPr/>
        <w:t>号法定代表人：陆向阳</w:t>
      </w:r>
    </w:p>
    <w:p>
      <w:pPr>
        <w:pStyle w:val="BodyText"/>
        <w:spacing w:line="417" w:lineRule="auto"/>
        <w:ind w:left="1260" w:right="6760"/>
        <w:rPr>
          <w:rFonts w:ascii="Times New Roman" w:eastAsia="Times New Roman"/>
        </w:rPr>
      </w:pPr>
      <w:r>
        <w:rPr/>
        <w:t>电话：</w:t>
      </w:r>
      <w:r>
        <w:rPr>
          <w:rFonts w:ascii="Times New Roman" w:eastAsia="Times New Roman"/>
        </w:rPr>
        <w:t>0519-80585939 </w:t>
      </w:r>
      <w:r>
        <w:rPr/>
        <w:t>传真：</w:t>
      </w:r>
      <w:r>
        <w:rPr>
          <w:rFonts w:ascii="Times New Roman" w:eastAsia="Times New Roman"/>
        </w:rPr>
        <w:t>0519-89995170</w:t>
      </w:r>
    </w:p>
    <w:p>
      <w:pPr>
        <w:pStyle w:val="BodyText"/>
        <w:spacing w:line="269" w:lineRule="exact"/>
        <w:ind w:left="1260"/>
      </w:pPr>
      <w:r>
        <w:rPr/>
        <w:t>联系人：蒋娇</w:t>
      </w:r>
    </w:p>
    <w:p>
      <w:pPr>
        <w:pStyle w:val="BodyText"/>
        <w:spacing w:before="6"/>
        <w:rPr>
          <w:sz w:val="15"/>
        </w:rPr>
      </w:pPr>
    </w:p>
    <w:p>
      <w:pPr>
        <w:pStyle w:val="BodyText"/>
        <w:spacing w:line="417" w:lineRule="auto" w:before="1"/>
        <w:ind w:left="1260" w:right="6236"/>
        <w:rPr>
          <w:rFonts w:ascii="Times New Roman" w:eastAsia="Times New Roman"/>
        </w:rPr>
      </w:pPr>
      <w:r>
        <w:rPr/>
        <w:t>网址：</w:t>
      </w:r>
      <w:hyperlink r:id="rId47">
        <w:r>
          <w:rPr>
            <w:rFonts w:ascii="Times New Roman" w:eastAsia="Times New Roman"/>
          </w:rPr>
          <w:t>www.jnbank.com.cn </w:t>
        </w:r>
      </w:hyperlink>
      <w:r>
        <w:rPr/>
        <w:t>客户服务电话：</w:t>
      </w:r>
      <w:r>
        <w:rPr>
          <w:rFonts w:ascii="Times New Roman" w:eastAsia="Times New Roman"/>
        </w:rPr>
        <w:t>0519-96005</w:t>
      </w: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包商银行股份有限公司</w:t>
      </w:r>
    </w:p>
    <w:p>
      <w:pPr>
        <w:pStyle w:val="BodyText"/>
        <w:spacing w:before="6"/>
        <w:rPr>
          <w:sz w:val="15"/>
        </w:rPr>
      </w:pPr>
    </w:p>
    <w:p>
      <w:pPr>
        <w:pStyle w:val="BodyText"/>
        <w:ind w:left="1260"/>
      </w:pPr>
      <w:r>
        <w:rPr/>
        <w:t>住所：内蒙古包头市青山区钢铁大街</w:t>
      </w:r>
      <w:r>
        <w:rPr>
          <w:rFonts w:ascii="Times New Roman" w:eastAsia="Times New Roman"/>
        </w:rPr>
        <w:t>6</w:t>
      </w:r>
      <w:r>
        <w:rPr/>
        <w:t>号</w:t>
      </w:r>
    </w:p>
    <w:p>
      <w:pPr>
        <w:pStyle w:val="BodyText"/>
        <w:spacing w:before="7"/>
        <w:rPr>
          <w:sz w:val="15"/>
        </w:rPr>
      </w:pPr>
    </w:p>
    <w:p>
      <w:pPr>
        <w:pStyle w:val="BodyText"/>
        <w:spacing w:line="417" w:lineRule="auto"/>
        <w:ind w:left="1260" w:right="4624"/>
      </w:pPr>
      <w:r>
        <w:rPr/>
        <w:t>办公地址：内蒙古包头市青山区钢铁大街</w:t>
      </w:r>
      <w:r>
        <w:rPr>
          <w:rFonts w:ascii="Times New Roman" w:eastAsia="Times New Roman"/>
        </w:rPr>
        <w:t>6</w:t>
      </w:r>
      <w:r>
        <w:rPr/>
        <w:t>号法定代表人：李镇西</w:t>
      </w:r>
    </w:p>
    <w:p>
      <w:pPr>
        <w:pStyle w:val="BodyText"/>
        <w:spacing w:line="417" w:lineRule="auto"/>
        <w:ind w:left="1260" w:right="6866"/>
        <w:rPr>
          <w:rFonts w:ascii="Times New Roman" w:eastAsia="Times New Roman"/>
        </w:rPr>
      </w:pPr>
      <w:r>
        <w:rPr/>
        <w:t>电话：</w:t>
      </w:r>
      <w:r>
        <w:rPr>
          <w:rFonts w:ascii="Times New Roman" w:eastAsia="Times New Roman"/>
        </w:rPr>
        <w:t>0472-5189051 </w:t>
      </w:r>
      <w:r>
        <w:rPr/>
        <w:t>传真：</w:t>
      </w:r>
      <w:r>
        <w:rPr>
          <w:rFonts w:ascii="Times New Roman" w:eastAsia="Times New Roman"/>
        </w:rPr>
        <w:t>0472-5189057</w:t>
      </w:r>
    </w:p>
    <w:p>
      <w:pPr>
        <w:pStyle w:val="BodyText"/>
        <w:ind w:left="1260"/>
      </w:pPr>
      <w:r>
        <w:rPr/>
        <w:t>联系人：刘芳</w:t>
      </w:r>
    </w:p>
    <w:p>
      <w:pPr>
        <w:pStyle w:val="BodyText"/>
        <w:spacing w:before="7"/>
        <w:rPr>
          <w:sz w:val="15"/>
        </w:rPr>
      </w:pPr>
    </w:p>
    <w:p>
      <w:pPr>
        <w:pStyle w:val="BodyText"/>
        <w:ind w:left="1260"/>
        <w:rPr>
          <w:rFonts w:ascii="Times New Roman" w:eastAsia="Times New Roman"/>
        </w:rPr>
      </w:pPr>
      <w:r>
        <w:rPr/>
        <w:t>网址：</w:t>
      </w:r>
      <w:hyperlink r:id="rId48">
        <w:r>
          <w:rPr>
            <w:rFonts w:ascii="Times New Roman" w:eastAsia="Times New Roman"/>
          </w:rPr>
          <w:t>www.bsb.com.cn</w:t>
        </w:r>
      </w:hyperlink>
    </w:p>
    <w:p>
      <w:pPr>
        <w:pStyle w:val="BodyText"/>
        <w:spacing w:before="3"/>
        <w:rPr>
          <w:rFonts w:ascii="Times New Roman"/>
          <w:sz w:val="17"/>
        </w:rPr>
      </w:pPr>
    </w:p>
    <w:p>
      <w:pPr>
        <w:pStyle w:val="BodyText"/>
        <w:ind w:left="1260"/>
      </w:pPr>
      <w:r>
        <w:rPr>
          <w:spacing w:val="-3"/>
        </w:rPr>
        <w:t>客户服务电话：</w:t>
      </w:r>
      <w:r>
        <w:rPr>
          <w:rFonts w:ascii="Times New Roman" w:eastAsia="Times New Roman"/>
          <w:spacing w:val="-6"/>
        </w:rPr>
        <w:t>96016</w:t>
      </w:r>
      <w:r>
        <w:rPr>
          <w:spacing w:val="-6"/>
        </w:rPr>
        <w:t>（</w:t>
      </w:r>
      <w:r>
        <w:rPr>
          <w:spacing w:val="-5"/>
        </w:rPr>
        <w:t>内蒙古、北京</w:t>
      </w:r>
      <w:r>
        <w:rPr>
          <w:spacing w:val="-106"/>
        </w:rPr>
        <w:t>）</w:t>
      </w:r>
      <w:r>
        <w:rPr>
          <w:spacing w:val="-15"/>
        </w:rPr>
        <w:t>、</w:t>
      </w:r>
      <w:r>
        <w:rPr>
          <w:rFonts w:ascii="Times New Roman" w:eastAsia="Times New Roman"/>
          <w:spacing w:val="-4"/>
        </w:rPr>
        <w:t>967210</w:t>
      </w:r>
      <w:r>
        <w:rPr>
          <w:spacing w:val="-4"/>
        </w:rPr>
        <w:t>（</w:t>
      </w:r>
      <w:r>
        <w:rPr>
          <w:spacing w:val="-5"/>
        </w:rPr>
        <w:t>宁波、深圳</w:t>
      </w:r>
      <w:r>
        <w:rPr>
          <w:spacing w:val="-108"/>
        </w:rPr>
        <w:t>）</w:t>
      </w:r>
      <w:r>
        <w:rPr>
          <w:spacing w:val="-15"/>
        </w:rPr>
        <w:t>、</w:t>
      </w:r>
      <w:r>
        <w:rPr>
          <w:rFonts w:ascii="Times New Roman" w:eastAsia="Times New Roman"/>
        </w:rPr>
        <w:t>028-65558555</w:t>
      </w:r>
      <w:r>
        <w:rPr/>
        <w:t>（</w:t>
      </w:r>
      <w:r>
        <w:rPr>
          <w:spacing w:val="-2"/>
        </w:rPr>
        <w:t>成都</w:t>
      </w:r>
      <w:r>
        <w:rPr/>
        <w:t>）</w:t>
      </w:r>
    </w:p>
    <w:p>
      <w:pPr>
        <w:pStyle w:val="BodyText"/>
        <w:spacing w:before="7"/>
        <w:rPr>
          <w:sz w:val="15"/>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厦门银行股份有限公司</w:t>
      </w:r>
    </w:p>
    <w:p>
      <w:pPr>
        <w:pStyle w:val="BodyText"/>
        <w:spacing w:before="7"/>
        <w:rPr>
          <w:sz w:val="15"/>
        </w:rPr>
      </w:pPr>
    </w:p>
    <w:p>
      <w:pPr>
        <w:pStyle w:val="BodyText"/>
        <w:ind w:left="1260"/>
      </w:pPr>
      <w:r>
        <w:rPr/>
        <w:t>住所：厦门市湖滨北路</w:t>
      </w:r>
      <w:r>
        <w:rPr>
          <w:rFonts w:ascii="Times New Roman" w:eastAsia="Times New Roman"/>
        </w:rPr>
        <w:t>101</w:t>
      </w:r>
      <w:r>
        <w:rPr/>
        <w:t>号商业银行大厦</w:t>
      </w:r>
    </w:p>
    <w:p>
      <w:pPr>
        <w:pStyle w:val="BodyText"/>
        <w:spacing w:before="6"/>
        <w:rPr>
          <w:sz w:val="15"/>
        </w:rPr>
      </w:pPr>
    </w:p>
    <w:p>
      <w:pPr>
        <w:pStyle w:val="BodyText"/>
        <w:spacing w:line="417" w:lineRule="auto" w:before="1"/>
        <w:ind w:left="1260" w:right="4415"/>
      </w:pPr>
      <w:r>
        <w:rPr/>
        <w:t>办公地址：厦门市湖滨北路</w:t>
      </w:r>
      <w:r>
        <w:rPr>
          <w:rFonts w:ascii="Times New Roman" w:eastAsia="Times New Roman"/>
        </w:rPr>
        <w:t>101</w:t>
      </w:r>
      <w:r>
        <w:rPr/>
        <w:t>号商业银行大厦法定代表人：吴世群</w:t>
      </w:r>
    </w:p>
    <w:p>
      <w:pPr>
        <w:pStyle w:val="BodyText"/>
        <w:spacing w:line="417" w:lineRule="auto"/>
        <w:ind w:left="1260" w:right="6866"/>
        <w:rPr>
          <w:rFonts w:ascii="Times New Roman" w:eastAsia="Times New Roman"/>
        </w:rPr>
      </w:pPr>
      <w:r>
        <w:rPr/>
        <w:t>电话：</w:t>
      </w:r>
      <w:r>
        <w:rPr>
          <w:rFonts w:ascii="Times New Roman" w:eastAsia="Times New Roman"/>
        </w:rPr>
        <w:t>0592-5310251 </w:t>
      </w:r>
      <w:r>
        <w:rPr/>
        <w:t>传真：</w:t>
      </w:r>
      <w:r>
        <w:rPr>
          <w:rFonts w:ascii="Times New Roman" w:eastAsia="Times New Roman"/>
        </w:rPr>
        <w:t>0592-5373973</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联系人：孙瑜</w:t>
      </w:r>
    </w:p>
    <w:p>
      <w:pPr>
        <w:pStyle w:val="BodyText"/>
        <w:spacing w:before="6"/>
        <w:rPr>
          <w:sz w:val="15"/>
        </w:rPr>
      </w:pPr>
    </w:p>
    <w:p>
      <w:pPr>
        <w:pStyle w:val="BodyText"/>
        <w:ind w:left="1260"/>
        <w:rPr>
          <w:rFonts w:ascii="Times New Roman" w:eastAsia="Times New Roman"/>
        </w:rPr>
      </w:pPr>
      <w:r>
        <w:rPr/>
        <w:t>网址：</w:t>
      </w:r>
      <w:hyperlink r:id="rId49">
        <w:r>
          <w:rPr>
            <w:rFonts w:ascii="Times New Roman" w:eastAsia="Times New Roman"/>
          </w:rPr>
          <w:t>www.xmccb.com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400-858-8888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吉林银行股份有限公司</w:t>
      </w:r>
    </w:p>
    <w:p>
      <w:pPr>
        <w:pStyle w:val="BodyText"/>
        <w:spacing w:before="7"/>
        <w:rPr>
          <w:sz w:val="15"/>
        </w:rPr>
      </w:pPr>
    </w:p>
    <w:p>
      <w:pPr>
        <w:pStyle w:val="BodyText"/>
        <w:ind w:left="1260"/>
      </w:pPr>
      <w:r>
        <w:rPr/>
        <w:t>住所：吉林省长春市经济开发区</w:t>
      </w:r>
      <w:r>
        <w:rPr>
          <w:rFonts w:ascii="Times New Roman" w:eastAsia="Times New Roman"/>
        </w:rPr>
        <w:t>1817</w:t>
      </w:r>
      <w:r>
        <w:rPr/>
        <w:t>号</w:t>
      </w:r>
    </w:p>
    <w:p>
      <w:pPr>
        <w:pStyle w:val="BodyText"/>
        <w:spacing w:before="6"/>
        <w:rPr>
          <w:sz w:val="15"/>
        </w:rPr>
      </w:pPr>
    </w:p>
    <w:p>
      <w:pPr>
        <w:pStyle w:val="BodyText"/>
        <w:spacing w:line="417" w:lineRule="auto" w:before="1"/>
        <w:ind w:left="1260" w:right="4729"/>
      </w:pPr>
      <w:r>
        <w:rPr/>
        <w:t>办公地址：吉林省长春市经济开发区</w:t>
      </w:r>
      <w:r>
        <w:rPr>
          <w:rFonts w:ascii="Times New Roman" w:eastAsia="Times New Roman"/>
        </w:rPr>
        <w:t>1817</w:t>
      </w:r>
      <w:r>
        <w:rPr/>
        <w:t>号法定代表人：唐国兴</w:t>
      </w:r>
    </w:p>
    <w:p>
      <w:pPr>
        <w:pStyle w:val="BodyText"/>
        <w:spacing w:line="417" w:lineRule="auto"/>
        <w:ind w:left="1260" w:right="6760"/>
        <w:rPr>
          <w:rFonts w:ascii="Times New Roman" w:eastAsia="Times New Roman"/>
        </w:rPr>
      </w:pPr>
      <w:r>
        <w:rPr/>
        <w:t>电话：</w:t>
      </w:r>
      <w:r>
        <w:rPr>
          <w:rFonts w:ascii="Times New Roman" w:eastAsia="Times New Roman"/>
        </w:rPr>
        <w:t>0431-84999627 </w:t>
      </w:r>
      <w:r>
        <w:rPr/>
        <w:t>传真：</w:t>
      </w:r>
      <w:r>
        <w:rPr>
          <w:rFonts w:ascii="Times New Roman" w:eastAsia="Times New Roman"/>
        </w:rPr>
        <w:t>0431-84992649</w:t>
      </w:r>
    </w:p>
    <w:p>
      <w:pPr>
        <w:pStyle w:val="BodyText"/>
        <w:spacing w:line="269" w:lineRule="exact"/>
        <w:ind w:left="1260"/>
      </w:pPr>
      <w:r>
        <w:rPr/>
        <w:t>联系人：孙琦</w:t>
      </w:r>
    </w:p>
    <w:p>
      <w:pPr>
        <w:pStyle w:val="BodyText"/>
        <w:spacing w:before="6"/>
        <w:rPr>
          <w:sz w:val="15"/>
        </w:rPr>
      </w:pPr>
    </w:p>
    <w:p>
      <w:pPr>
        <w:pStyle w:val="BodyText"/>
        <w:spacing w:before="1"/>
        <w:ind w:left="1260"/>
        <w:rPr>
          <w:rFonts w:ascii="Times New Roman" w:eastAsia="Times New Roman"/>
        </w:rPr>
      </w:pPr>
      <w:r>
        <w:rPr/>
        <w:t>网址：</w:t>
      </w:r>
      <w:hyperlink r:id="rId50">
        <w:r>
          <w:rPr>
            <w:rFonts w:ascii="Times New Roman" w:eastAsia="Times New Roman"/>
          </w:rPr>
          <w:t>www.jlbank.com.cn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400-889-6666</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苏州银行股份有限公司</w:t>
      </w:r>
    </w:p>
    <w:p>
      <w:pPr>
        <w:pStyle w:val="BodyText"/>
        <w:spacing w:before="6"/>
        <w:rPr>
          <w:sz w:val="15"/>
        </w:rPr>
      </w:pPr>
    </w:p>
    <w:p>
      <w:pPr>
        <w:pStyle w:val="BodyText"/>
        <w:ind w:left="1260"/>
      </w:pPr>
      <w:r>
        <w:rPr/>
        <w:t>住所：江苏省苏州市工业园区钟园路</w:t>
      </w:r>
      <w:r>
        <w:rPr>
          <w:rFonts w:ascii="Times New Roman" w:eastAsia="Times New Roman"/>
        </w:rPr>
        <w:t>728</w:t>
      </w:r>
      <w:r>
        <w:rPr/>
        <w:t>号</w:t>
      </w:r>
    </w:p>
    <w:p>
      <w:pPr>
        <w:pStyle w:val="BodyText"/>
        <w:spacing w:before="7"/>
        <w:rPr>
          <w:sz w:val="15"/>
        </w:rPr>
      </w:pPr>
    </w:p>
    <w:p>
      <w:pPr>
        <w:pStyle w:val="BodyText"/>
        <w:spacing w:line="417" w:lineRule="auto"/>
        <w:ind w:left="1260" w:right="4415"/>
      </w:pPr>
      <w:r>
        <w:rPr/>
        <w:t>办公地址：江苏省苏州市工业园区钟园路</w:t>
      </w:r>
      <w:r>
        <w:rPr>
          <w:rFonts w:ascii="Times New Roman" w:eastAsia="Times New Roman"/>
        </w:rPr>
        <w:t>728</w:t>
      </w:r>
      <w:r>
        <w:rPr/>
        <w:t>号法定代表人：王兰凤</w:t>
      </w:r>
    </w:p>
    <w:p>
      <w:pPr>
        <w:pStyle w:val="BodyText"/>
        <w:spacing w:line="269" w:lineRule="exact"/>
        <w:ind w:left="1260"/>
        <w:rPr>
          <w:rFonts w:ascii="Times New Roman" w:eastAsia="Times New Roman"/>
        </w:rPr>
      </w:pPr>
      <w:r>
        <w:rPr/>
        <w:t>电话：</w:t>
      </w:r>
      <w:r>
        <w:rPr>
          <w:rFonts w:ascii="Times New Roman" w:eastAsia="Times New Roman"/>
        </w:rPr>
        <w:t>0512-69868373</w:t>
      </w:r>
    </w:p>
    <w:p>
      <w:pPr>
        <w:pStyle w:val="BodyText"/>
        <w:spacing w:before="4"/>
        <w:rPr>
          <w:rFonts w:ascii="Times New Roman"/>
          <w:sz w:val="17"/>
        </w:rPr>
      </w:pPr>
    </w:p>
    <w:p>
      <w:pPr>
        <w:pStyle w:val="BodyText"/>
        <w:ind w:left="1260"/>
      </w:pPr>
      <w:r>
        <w:rPr/>
        <w:t>联系人：吴骏</w:t>
      </w:r>
    </w:p>
    <w:p>
      <w:pPr>
        <w:pStyle w:val="BodyText"/>
        <w:spacing w:before="7"/>
        <w:rPr>
          <w:sz w:val="15"/>
        </w:rPr>
      </w:pPr>
    </w:p>
    <w:p>
      <w:pPr>
        <w:pStyle w:val="BodyText"/>
        <w:spacing w:line="417" w:lineRule="auto"/>
        <w:ind w:left="1260" w:right="6138"/>
        <w:rPr>
          <w:rFonts w:ascii="Times New Roman" w:eastAsia="Times New Roman"/>
        </w:rPr>
      </w:pPr>
      <w:r>
        <w:rPr/>
        <w:t>网址：</w:t>
      </w:r>
      <w:hyperlink r:id="rId51">
        <w:r>
          <w:rPr>
            <w:rFonts w:ascii="Times New Roman" w:eastAsia="Times New Roman"/>
          </w:rPr>
          <w:t>www.suzhoubank.com </w:t>
        </w:r>
      </w:hyperlink>
      <w:r>
        <w:rPr/>
        <w:t>客户服务电话：</w:t>
      </w:r>
      <w:r>
        <w:rPr>
          <w:rFonts w:ascii="Times New Roman" w:eastAsia="Times New Roman"/>
        </w:rPr>
        <w:t>96067</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渣打银行</w:t>
      </w:r>
      <w:r>
        <w:rPr>
          <w:sz w:val="21"/>
        </w:rPr>
        <w:t>（</w:t>
      </w:r>
      <w:r>
        <w:rPr>
          <w:spacing w:val="-2"/>
          <w:sz w:val="21"/>
        </w:rPr>
        <w:t>中国</w:t>
      </w:r>
      <w:r>
        <w:rPr>
          <w:spacing w:val="-3"/>
          <w:sz w:val="21"/>
        </w:rPr>
        <w:t>）</w:t>
      </w:r>
      <w:r>
        <w:rPr>
          <w:spacing w:val="-1"/>
          <w:sz w:val="21"/>
        </w:rPr>
        <w:t>有限公司</w:t>
      </w:r>
    </w:p>
    <w:p>
      <w:pPr>
        <w:pStyle w:val="BodyText"/>
        <w:spacing w:before="7"/>
        <w:rPr>
          <w:sz w:val="15"/>
        </w:rPr>
      </w:pPr>
    </w:p>
    <w:p>
      <w:pPr>
        <w:pStyle w:val="BodyText"/>
        <w:ind w:left="1260"/>
      </w:pPr>
      <w:r>
        <w:rPr/>
        <w:t>住所：上海市浦东新区世纪大道</w:t>
      </w:r>
      <w:r>
        <w:rPr>
          <w:rFonts w:ascii="Times New Roman" w:eastAsia="Times New Roman"/>
        </w:rPr>
        <w:t>201</w:t>
      </w:r>
      <w:r>
        <w:rPr/>
        <w:t>号渣打大厦</w:t>
      </w:r>
    </w:p>
    <w:p>
      <w:pPr>
        <w:pStyle w:val="BodyText"/>
        <w:spacing w:before="7"/>
        <w:rPr>
          <w:sz w:val="15"/>
        </w:rPr>
      </w:pPr>
    </w:p>
    <w:p>
      <w:pPr>
        <w:pStyle w:val="BodyText"/>
        <w:spacing w:line="417" w:lineRule="auto"/>
        <w:ind w:left="1260" w:right="3363"/>
      </w:pPr>
      <w:r>
        <w:rPr/>
        <w:t>办公地址：上海市浦东新区福山路</w:t>
      </w:r>
      <w:r>
        <w:rPr>
          <w:rFonts w:ascii="Times New Roman" w:eastAsia="Times New Roman"/>
        </w:rPr>
        <w:t>500</w:t>
      </w:r>
      <w:r>
        <w:rPr/>
        <w:t>号城建国际中心</w:t>
      </w:r>
      <w:r>
        <w:rPr>
          <w:rFonts w:ascii="Times New Roman" w:eastAsia="Times New Roman"/>
        </w:rPr>
        <w:t>23</w:t>
      </w:r>
      <w:r>
        <w:rPr/>
        <w:t>楼法定代表人：张晓蕾</w:t>
      </w:r>
    </w:p>
    <w:p>
      <w:pPr>
        <w:pStyle w:val="BodyText"/>
        <w:spacing w:line="417" w:lineRule="auto"/>
        <w:ind w:left="1260" w:right="6866"/>
        <w:rPr>
          <w:rFonts w:ascii="Times New Roman" w:eastAsia="Times New Roman"/>
        </w:rPr>
      </w:pPr>
      <w:r>
        <w:rPr/>
        <w:t>电话：</w:t>
      </w:r>
      <w:r>
        <w:rPr>
          <w:rFonts w:ascii="Times New Roman" w:eastAsia="Times New Roman"/>
        </w:rPr>
        <w:t>021-50163812 </w:t>
      </w:r>
      <w:r>
        <w:rPr/>
        <w:t>传真：</w:t>
      </w:r>
      <w:r>
        <w:rPr>
          <w:rFonts w:ascii="Times New Roman" w:eastAsia="Times New Roman"/>
        </w:rPr>
        <w:t>021-50162407</w:t>
      </w:r>
    </w:p>
    <w:p>
      <w:pPr>
        <w:pStyle w:val="BodyText"/>
        <w:spacing w:line="269" w:lineRule="exact"/>
        <w:ind w:left="1260"/>
      </w:pPr>
      <w:r>
        <w:rPr/>
        <w:t>联系人：乌彬</w:t>
      </w:r>
    </w:p>
    <w:p>
      <w:pPr>
        <w:pStyle w:val="BodyText"/>
        <w:spacing w:before="6"/>
        <w:rPr>
          <w:sz w:val="15"/>
        </w:rPr>
      </w:pPr>
    </w:p>
    <w:p>
      <w:pPr>
        <w:pStyle w:val="BodyText"/>
        <w:ind w:left="1260"/>
        <w:rPr>
          <w:rFonts w:ascii="Times New Roman" w:eastAsia="Times New Roman"/>
        </w:rPr>
      </w:pPr>
      <w:r>
        <w:rPr/>
        <w:t>网址：</w:t>
      </w:r>
      <w:hyperlink r:id="rId52">
        <w:r>
          <w:rPr>
            <w:rFonts w:ascii="Times New Roman" w:eastAsia="Times New Roman"/>
          </w:rPr>
          <w:t>www.sc.com/cn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800-820-8088</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恒生银行</w:t>
      </w:r>
      <w:r>
        <w:rPr>
          <w:sz w:val="21"/>
        </w:rPr>
        <w:t>（</w:t>
      </w:r>
      <w:r>
        <w:rPr>
          <w:spacing w:val="-2"/>
          <w:sz w:val="21"/>
        </w:rPr>
        <w:t>中国</w:t>
      </w:r>
      <w:r>
        <w:rPr>
          <w:spacing w:val="-3"/>
          <w:sz w:val="21"/>
        </w:rPr>
        <w:t>）</w:t>
      </w:r>
      <w:r>
        <w:rPr>
          <w:spacing w:val="-1"/>
          <w:sz w:val="21"/>
        </w:rPr>
        <w:t>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before="78"/>
        <w:ind w:left="1260"/>
      </w:pPr>
      <w:r>
        <w:rPr/>
        <w:t>住所：上海市浦东新区陆家嘴环路</w:t>
      </w:r>
      <w:r>
        <w:rPr>
          <w:rFonts w:ascii="Times New Roman" w:eastAsia="Times New Roman"/>
        </w:rPr>
        <w:t>1000</w:t>
      </w:r>
      <w:r>
        <w:rPr/>
        <w:t>号恒生银行大厦</w:t>
      </w:r>
      <w:r>
        <w:rPr>
          <w:rFonts w:ascii="Times New Roman" w:eastAsia="Times New Roman"/>
        </w:rPr>
        <w:t>34</w:t>
      </w:r>
      <w:r>
        <w:rPr/>
        <w:t>楼、</w:t>
      </w:r>
      <w:r>
        <w:rPr>
          <w:rFonts w:ascii="Times New Roman" w:eastAsia="Times New Roman"/>
        </w:rPr>
        <w:t>36</w:t>
      </w:r>
      <w:r>
        <w:rPr/>
        <w:t>楼及上海市浦东南路</w:t>
      </w:r>
    </w:p>
    <w:p>
      <w:pPr>
        <w:pStyle w:val="BodyText"/>
        <w:spacing w:before="7"/>
        <w:rPr>
          <w:sz w:val="15"/>
        </w:rPr>
      </w:pPr>
    </w:p>
    <w:p>
      <w:pPr>
        <w:pStyle w:val="BodyText"/>
        <w:ind w:left="778"/>
      </w:pPr>
      <w:r>
        <w:rPr>
          <w:rFonts w:ascii="Times New Roman" w:eastAsia="Times New Roman"/>
        </w:rPr>
        <w:t>528</w:t>
      </w:r>
      <w:r>
        <w:rPr/>
        <w:t>号证券大厦</w:t>
      </w:r>
      <w:r>
        <w:rPr>
          <w:rFonts w:ascii="Times New Roman" w:eastAsia="Times New Roman"/>
        </w:rPr>
        <w:t>27</w:t>
      </w:r>
      <w:r>
        <w:rPr/>
        <w:t>楼</w:t>
      </w:r>
    </w:p>
    <w:p>
      <w:pPr>
        <w:pStyle w:val="BodyText"/>
        <w:spacing w:before="7"/>
        <w:rPr>
          <w:sz w:val="15"/>
        </w:rPr>
      </w:pPr>
    </w:p>
    <w:p>
      <w:pPr>
        <w:pStyle w:val="BodyText"/>
        <w:spacing w:line="417" w:lineRule="auto"/>
        <w:ind w:left="778" w:right="892" w:firstLine="482"/>
      </w:pPr>
      <w:r>
        <w:rPr/>
        <w:t>办公地址：上海市浦东新区陆家嘴环路</w:t>
      </w:r>
      <w:r>
        <w:rPr>
          <w:rFonts w:ascii="Times New Roman" w:eastAsia="Times New Roman"/>
        </w:rPr>
        <w:t>1000</w:t>
      </w:r>
      <w:r>
        <w:rPr/>
        <w:t>号恒生银行大厦</w:t>
      </w:r>
      <w:r>
        <w:rPr>
          <w:rFonts w:ascii="Times New Roman" w:eastAsia="Times New Roman"/>
        </w:rPr>
        <w:t>34</w:t>
      </w:r>
      <w:r>
        <w:rPr/>
        <w:t>楼、</w:t>
      </w:r>
      <w:r>
        <w:rPr>
          <w:rFonts w:ascii="Times New Roman" w:eastAsia="Times New Roman"/>
        </w:rPr>
        <w:t>36</w:t>
      </w:r>
      <w:r>
        <w:rPr/>
        <w:t>楼及上海市浦东南路</w:t>
      </w:r>
      <w:r>
        <w:rPr>
          <w:rFonts w:ascii="Times New Roman" w:eastAsia="Times New Roman"/>
        </w:rPr>
        <w:t>528</w:t>
      </w:r>
      <w:r>
        <w:rPr/>
        <w:t>号证券大厦</w:t>
      </w:r>
      <w:r>
        <w:rPr>
          <w:rFonts w:ascii="Times New Roman" w:eastAsia="Times New Roman"/>
        </w:rPr>
        <w:t>27</w:t>
      </w:r>
      <w:r>
        <w:rPr/>
        <w:t>楼</w:t>
      </w:r>
    </w:p>
    <w:p>
      <w:pPr>
        <w:pStyle w:val="BodyText"/>
        <w:spacing w:line="417" w:lineRule="auto"/>
        <w:ind w:left="1260" w:right="6830"/>
        <w:jc w:val="both"/>
        <w:rPr>
          <w:rFonts w:ascii="Times New Roman" w:eastAsia="Times New Roman"/>
        </w:rPr>
      </w:pPr>
      <w:r>
        <w:rPr/>
        <w:t>法定代表人：李慧敏电话：</w:t>
      </w:r>
      <w:r>
        <w:rPr>
          <w:rFonts w:ascii="Times New Roman" w:eastAsia="Times New Roman"/>
        </w:rPr>
        <w:t>021-38658644 </w:t>
      </w:r>
      <w:r>
        <w:rPr/>
        <w:t>传真：</w:t>
      </w:r>
      <w:r>
        <w:rPr>
          <w:rFonts w:ascii="Times New Roman" w:eastAsia="Times New Roman"/>
        </w:rPr>
        <w:t>021-68828880</w:t>
      </w:r>
    </w:p>
    <w:p>
      <w:pPr>
        <w:pStyle w:val="BodyText"/>
        <w:ind w:left="1260"/>
      </w:pPr>
      <w:r>
        <w:rPr/>
        <w:t>联系人：叶馨雯</w:t>
      </w:r>
    </w:p>
    <w:p>
      <w:pPr>
        <w:pStyle w:val="BodyText"/>
        <w:spacing w:before="6"/>
        <w:rPr>
          <w:sz w:val="15"/>
        </w:rPr>
      </w:pPr>
    </w:p>
    <w:p>
      <w:pPr>
        <w:pStyle w:val="BodyText"/>
        <w:ind w:left="1260"/>
        <w:rPr>
          <w:rFonts w:ascii="Times New Roman" w:eastAsia="Times New Roman"/>
        </w:rPr>
      </w:pPr>
      <w:r>
        <w:rPr/>
        <w:t>网址：</w:t>
      </w:r>
      <w:hyperlink r:id="rId53">
        <w:r>
          <w:rPr>
            <w:rFonts w:ascii="Times New Roman" w:eastAsia="Times New Roman"/>
          </w:rPr>
          <w:t>www.hangseng.com.cn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800-830-8008</w:t>
      </w:r>
      <w:r>
        <w:rPr/>
        <w:t>、</w:t>
      </w:r>
      <w:r>
        <w:rPr>
          <w:rFonts w:ascii="Times New Roman" w:eastAsia="Times New Roman"/>
        </w:rPr>
        <w:t>400-830-8008</w:t>
      </w:r>
    </w:p>
    <w:p>
      <w:pPr>
        <w:pStyle w:val="BodyText"/>
        <w:spacing w:before="3"/>
        <w:rPr>
          <w:rFonts w:ascii="Times New Roman"/>
          <w:sz w:val="17"/>
        </w:rPr>
      </w:pPr>
    </w:p>
    <w:p>
      <w:pPr>
        <w:pStyle w:val="ListParagraph"/>
        <w:numPr>
          <w:ilvl w:val="0"/>
          <w:numId w:val="8"/>
        </w:numPr>
        <w:tabs>
          <w:tab w:pos="1895" w:val="left" w:leader="none"/>
        </w:tabs>
        <w:spacing w:line="417" w:lineRule="auto" w:before="0" w:after="0"/>
        <w:ind w:left="1260" w:right="5884" w:firstLine="0"/>
        <w:jc w:val="left"/>
        <w:rPr>
          <w:sz w:val="21"/>
        </w:rPr>
      </w:pPr>
      <w:r>
        <w:rPr>
          <w:spacing w:val="-3"/>
          <w:sz w:val="21"/>
        </w:rPr>
        <w:t>泉州银行股份有限公司住所：泉州市丰泽区云鹿路</w:t>
      </w:r>
      <w:r>
        <w:rPr>
          <w:rFonts w:ascii="Times New Roman" w:eastAsia="Times New Roman"/>
          <w:sz w:val="21"/>
        </w:rPr>
        <w:t>3</w:t>
      </w:r>
      <w:r>
        <w:rPr>
          <w:spacing w:val="-14"/>
          <w:sz w:val="21"/>
        </w:rPr>
        <w:t>号</w:t>
      </w:r>
    </w:p>
    <w:p>
      <w:pPr>
        <w:pStyle w:val="BodyText"/>
        <w:spacing w:line="417" w:lineRule="auto"/>
        <w:ind w:left="1260" w:right="5464"/>
      </w:pPr>
      <w:r>
        <w:rPr/>
        <w:t>办公地址：泉州市丰泽区云鹿路</w:t>
      </w:r>
      <w:r>
        <w:rPr>
          <w:rFonts w:ascii="Times New Roman" w:eastAsia="Times New Roman"/>
        </w:rPr>
        <w:t>3</w:t>
      </w:r>
      <w:r>
        <w:rPr/>
        <w:t>号法定代表人：傅子能</w:t>
      </w:r>
    </w:p>
    <w:p>
      <w:pPr>
        <w:pStyle w:val="BodyText"/>
        <w:spacing w:line="417" w:lineRule="auto"/>
        <w:ind w:left="1260" w:right="6760"/>
        <w:rPr>
          <w:rFonts w:ascii="Times New Roman" w:eastAsia="Times New Roman"/>
        </w:rPr>
      </w:pPr>
      <w:r>
        <w:rPr/>
        <w:t>电话：</w:t>
      </w:r>
      <w:r>
        <w:rPr>
          <w:rFonts w:ascii="Times New Roman" w:eastAsia="Times New Roman"/>
        </w:rPr>
        <w:t>0595-22551071 </w:t>
      </w:r>
      <w:r>
        <w:rPr/>
        <w:t>传真：</w:t>
      </w:r>
      <w:r>
        <w:rPr>
          <w:rFonts w:ascii="Times New Roman" w:eastAsia="Times New Roman"/>
        </w:rPr>
        <w:t>0595-22578871</w:t>
      </w:r>
    </w:p>
    <w:p>
      <w:pPr>
        <w:pStyle w:val="BodyText"/>
        <w:spacing w:line="269" w:lineRule="exact"/>
        <w:ind w:left="1260"/>
      </w:pPr>
      <w:r>
        <w:rPr/>
        <w:t>联系人：董培姗</w:t>
      </w:r>
    </w:p>
    <w:p>
      <w:pPr>
        <w:pStyle w:val="BodyText"/>
        <w:spacing w:before="6"/>
        <w:rPr>
          <w:sz w:val="15"/>
        </w:rPr>
      </w:pPr>
    </w:p>
    <w:p>
      <w:pPr>
        <w:pStyle w:val="BodyText"/>
        <w:spacing w:before="1"/>
        <w:ind w:left="1260"/>
        <w:rPr>
          <w:rFonts w:ascii="Times New Roman" w:eastAsia="Times New Roman"/>
        </w:rPr>
      </w:pPr>
      <w:r>
        <w:rPr/>
        <w:t>网址：</w:t>
      </w:r>
      <w:hyperlink r:id="rId54">
        <w:r>
          <w:rPr>
            <w:rFonts w:ascii="Times New Roman" w:eastAsia="Times New Roman"/>
          </w:rPr>
          <w:t>www. </w:t>
        </w:r>
      </w:hyperlink>
      <w:r>
        <w:rPr>
          <w:rFonts w:ascii="Times New Roman" w:eastAsia="Times New Roman"/>
        </w:rPr>
        <w:t>qzccbank.com</w:t>
      </w:r>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400-889-6312</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华融湘江银行股份有限公司</w:t>
      </w:r>
    </w:p>
    <w:p>
      <w:pPr>
        <w:pStyle w:val="BodyText"/>
        <w:spacing w:before="6"/>
        <w:rPr>
          <w:sz w:val="15"/>
        </w:rPr>
      </w:pPr>
    </w:p>
    <w:p>
      <w:pPr>
        <w:pStyle w:val="BodyText"/>
        <w:ind w:left="1260"/>
      </w:pPr>
      <w:r>
        <w:rPr/>
        <w:t>住所：湖南省长沙市天心区芙蓉南路二段</w:t>
      </w:r>
      <w:r>
        <w:rPr>
          <w:rFonts w:ascii="Times New Roman" w:eastAsia="Times New Roman"/>
        </w:rPr>
        <w:t>828</w:t>
      </w:r>
      <w:r>
        <w:rPr/>
        <w:t>号鑫远杰座</w:t>
      </w:r>
    </w:p>
    <w:p>
      <w:pPr>
        <w:pStyle w:val="BodyText"/>
        <w:spacing w:before="7"/>
        <w:rPr>
          <w:sz w:val="15"/>
        </w:rPr>
      </w:pPr>
    </w:p>
    <w:p>
      <w:pPr>
        <w:pStyle w:val="BodyText"/>
        <w:spacing w:line="417" w:lineRule="auto" w:before="1"/>
        <w:ind w:left="1260" w:right="2314"/>
      </w:pPr>
      <w:r>
        <w:rPr/>
        <w:t>办公地址：湖南省长沙市雨花区湘府东路二段</w:t>
      </w:r>
      <w:r>
        <w:rPr>
          <w:rFonts w:ascii="Times New Roman" w:eastAsia="Times New Roman"/>
        </w:rPr>
        <w:t>208</w:t>
      </w:r>
      <w:r>
        <w:rPr/>
        <w:t>号万境财智中心南栋法定代表人：张永宏</w:t>
      </w:r>
    </w:p>
    <w:p>
      <w:pPr>
        <w:pStyle w:val="BodyText"/>
        <w:spacing w:line="417" w:lineRule="auto"/>
        <w:ind w:left="1260" w:right="6760"/>
        <w:rPr>
          <w:rFonts w:ascii="Times New Roman" w:eastAsia="Times New Roman"/>
        </w:rPr>
      </w:pPr>
      <w:r>
        <w:rPr/>
        <w:t>电话：</w:t>
      </w:r>
      <w:r>
        <w:rPr>
          <w:rFonts w:ascii="Times New Roman" w:eastAsia="Times New Roman"/>
        </w:rPr>
        <w:t>0731-89828592 </w:t>
      </w:r>
      <w:r>
        <w:rPr/>
        <w:t>传真：</w:t>
      </w:r>
      <w:r>
        <w:rPr>
          <w:rFonts w:ascii="Times New Roman" w:eastAsia="Times New Roman"/>
        </w:rPr>
        <w:t>0731-89828806</w:t>
      </w:r>
    </w:p>
    <w:p>
      <w:pPr>
        <w:pStyle w:val="BodyText"/>
        <w:spacing w:line="269" w:lineRule="exact"/>
        <w:ind w:left="1260"/>
      </w:pPr>
      <w:r>
        <w:rPr/>
        <w:t>联系人：曾玉姣</w:t>
      </w:r>
    </w:p>
    <w:p>
      <w:pPr>
        <w:pStyle w:val="BodyText"/>
        <w:spacing w:before="6"/>
        <w:rPr>
          <w:sz w:val="15"/>
        </w:rPr>
      </w:pPr>
    </w:p>
    <w:p>
      <w:pPr>
        <w:pStyle w:val="BodyText"/>
        <w:spacing w:line="417" w:lineRule="auto"/>
        <w:ind w:left="1260" w:right="6143"/>
        <w:rPr>
          <w:rFonts w:ascii="Times New Roman" w:eastAsia="Times New Roman"/>
        </w:rPr>
      </w:pPr>
      <w:r>
        <w:rPr/>
        <w:t>网址：</w:t>
      </w:r>
      <w:hyperlink r:id="rId55">
        <w:r>
          <w:rPr>
            <w:rFonts w:ascii="Times New Roman" w:eastAsia="Times New Roman"/>
          </w:rPr>
          <w:t>www.hrxjbank.com.cn </w:t>
        </w:r>
      </w:hyperlink>
      <w:r>
        <w:rPr/>
        <w:t>客户服务电话：</w:t>
      </w:r>
      <w:r>
        <w:rPr>
          <w:rFonts w:ascii="Times New Roman" w:eastAsia="Times New Roman"/>
        </w:rPr>
        <w:t>0731-96599</w:t>
      </w:r>
    </w:p>
    <w:p>
      <w:pPr>
        <w:pStyle w:val="ListParagraph"/>
        <w:numPr>
          <w:ilvl w:val="0"/>
          <w:numId w:val="8"/>
        </w:numPr>
        <w:tabs>
          <w:tab w:pos="1895" w:val="left" w:leader="none"/>
        </w:tabs>
        <w:spacing w:line="417" w:lineRule="auto" w:before="0" w:after="0"/>
        <w:ind w:left="1260" w:right="4835" w:firstLine="0"/>
        <w:jc w:val="left"/>
        <w:rPr>
          <w:sz w:val="21"/>
        </w:rPr>
      </w:pPr>
      <w:r>
        <w:rPr>
          <w:spacing w:val="-3"/>
          <w:sz w:val="21"/>
        </w:rPr>
        <w:t>青岛农村商业银行股份有限公司  住所：山东省青岛市崂山区香港东路</w:t>
      </w:r>
      <w:r>
        <w:rPr>
          <w:rFonts w:ascii="Times New Roman" w:eastAsia="Times New Roman"/>
          <w:sz w:val="21"/>
        </w:rPr>
        <w:t>109</w:t>
      </w:r>
      <w:r>
        <w:rPr>
          <w:spacing w:val="-12"/>
          <w:sz w:val="21"/>
        </w:rPr>
        <w:t>号</w:t>
      </w:r>
    </w:p>
    <w:p>
      <w:pPr>
        <w:spacing w:after="0" w:line="417" w:lineRule="auto"/>
        <w:jc w:val="left"/>
        <w:rPr>
          <w:sz w:val="21"/>
        </w:rPr>
        <w:sectPr>
          <w:pgSz w:w="11910" w:h="16840"/>
          <w:pgMar w:header="877" w:footer="995" w:top="1280" w:bottom="1180" w:left="1020" w:right="900"/>
        </w:sectPr>
      </w:pPr>
    </w:p>
    <w:p>
      <w:pPr>
        <w:pStyle w:val="BodyText"/>
        <w:rPr>
          <w:sz w:val="12"/>
        </w:rPr>
      </w:pPr>
    </w:p>
    <w:p>
      <w:pPr>
        <w:pStyle w:val="BodyText"/>
        <w:spacing w:line="417" w:lineRule="auto" w:before="78"/>
        <w:ind w:left="1260" w:right="4415"/>
      </w:pPr>
      <w:r>
        <w:rPr/>
        <w:t>办公地址：山东省青岛市崂山区香港东路</w:t>
      </w:r>
      <w:r>
        <w:rPr>
          <w:rFonts w:ascii="Times New Roman" w:eastAsia="Times New Roman"/>
        </w:rPr>
        <w:t>109</w:t>
      </w:r>
      <w:r>
        <w:rPr/>
        <w:t>号法定代表人：刘仲生</w:t>
      </w:r>
    </w:p>
    <w:p>
      <w:pPr>
        <w:pStyle w:val="BodyText"/>
        <w:spacing w:line="417" w:lineRule="auto"/>
        <w:ind w:left="1260" w:right="6760"/>
        <w:rPr>
          <w:rFonts w:ascii="Times New Roman" w:eastAsia="Times New Roman"/>
        </w:rPr>
      </w:pPr>
      <w:r>
        <w:rPr/>
        <w:t>电话：</w:t>
      </w:r>
      <w:r>
        <w:rPr>
          <w:rFonts w:ascii="Times New Roman" w:eastAsia="Times New Roman"/>
        </w:rPr>
        <w:t>0532-66957228 </w:t>
      </w:r>
      <w:r>
        <w:rPr/>
        <w:t>传真：</w:t>
      </w:r>
      <w:r>
        <w:rPr>
          <w:rFonts w:ascii="Times New Roman" w:eastAsia="Times New Roman"/>
        </w:rPr>
        <w:t>0532-85933730</w:t>
      </w:r>
    </w:p>
    <w:p>
      <w:pPr>
        <w:pStyle w:val="BodyText"/>
        <w:spacing w:line="269" w:lineRule="exact"/>
        <w:ind w:left="1260"/>
      </w:pPr>
      <w:r>
        <w:rPr/>
        <w:t>联系人：李洪姣</w:t>
      </w:r>
    </w:p>
    <w:p>
      <w:pPr>
        <w:pStyle w:val="BodyText"/>
        <w:spacing w:before="6"/>
        <w:rPr>
          <w:sz w:val="15"/>
        </w:rPr>
      </w:pPr>
    </w:p>
    <w:p>
      <w:pPr>
        <w:pStyle w:val="BodyText"/>
        <w:spacing w:before="1"/>
        <w:ind w:left="1260"/>
        <w:rPr>
          <w:rFonts w:ascii="Times New Roman" w:eastAsia="Times New Roman"/>
        </w:rPr>
      </w:pPr>
      <w:r>
        <w:rPr/>
        <w:t>网址：</w:t>
      </w:r>
      <w:hyperlink r:id="rId56">
        <w:r>
          <w:rPr>
            <w:rFonts w:ascii="Times New Roman" w:eastAsia="Times New Roman"/>
          </w:rPr>
          <w:t>www.qrcb.com.cn</w:t>
        </w:r>
      </w:hyperlink>
    </w:p>
    <w:p>
      <w:pPr>
        <w:pStyle w:val="BodyText"/>
        <w:spacing w:before="3"/>
        <w:rPr>
          <w:rFonts w:ascii="Times New Roman"/>
          <w:sz w:val="17"/>
        </w:rPr>
      </w:pPr>
    </w:p>
    <w:p>
      <w:pPr>
        <w:pStyle w:val="BodyText"/>
        <w:ind w:left="1260"/>
      </w:pPr>
      <w:r>
        <w:rPr>
          <w:spacing w:val="-2"/>
        </w:rPr>
        <w:t>客户服务电话：</w:t>
      </w:r>
      <w:r>
        <w:rPr>
          <w:rFonts w:ascii="Times New Roman" w:eastAsia="Times New Roman"/>
        </w:rPr>
        <w:t>400-11-96668</w:t>
      </w:r>
      <w:r>
        <w:rPr/>
        <w:t>（</w:t>
      </w:r>
      <w:r>
        <w:rPr>
          <w:spacing w:val="-2"/>
        </w:rPr>
        <w:t>全国</w:t>
      </w:r>
      <w:r>
        <w:rPr>
          <w:spacing w:val="-108"/>
        </w:rPr>
        <w:t>）</w:t>
      </w:r>
      <w:r>
        <w:rPr/>
        <w:t>、</w:t>
      </w:r>
      <w:r>
        <w:rPr>
          <w:rFonts w:ascii="Times New Roman" w:eastAsia="Times New Roman"/>
        </w:rPr>
        <w:t>96668</w:t>
      </w:r>
      <w:r>
        <w:rPr/>
        <w:t>（</w:t>
      </w:r>
      <w:r>
        <w:rPr>
          <w:spacing w:val="-2"/>
        </w:rPr>
        <w:t>青岛</w:t>
      </w:r>
      <w:r>
        <w:rPr/>
        <w:t>）</w:t>
      </w:r>
    </w:p>
    <w:p>
      <w:pPr>
        <w:pStyle w:val="BodyText"/>
        <w:spacing w:before="7"/>
        <w:rPr>
          <w:sz w:val="15"/>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深圳前海微众银行股份有限公司</w:t>
      </w:r>
    </w:p>
    <w:p>
      <w:pPr>
        <w:pStyle w:val="BodyText"/>
        <w:spacing w:before="7"/>
        <w:rPr>
          <w:sz w:val="15"/>
        </w:rPr>
      </w:pPr>
    </w:p>
    <w:p>
      <w:pPr>
        <w:pStyle w:val="BodyText"/>
        <w:ind w:left="1260"/>
      </w:pPr>
      <w:r>
        <w:rPr/>
        <w:t>住所：深圳市前海深港合作区前湾一路</w:t>
      </w:r>
      <w:r>
        <w:rPr>
          <w:rFonts w:ascii="Times New Roman" w:eastAsia="Times New Roman"/>
        </w:rPr>
        <w:t>1</w:t>
      </w:r>
      <w:r>
        <w:rPr/>
        <w:t>号</w:t>
      </w:r>
      <w:r>
        <w:rPr>
          <w:rFonts w:ascii="Times New Roman" w:eastAsia="Times New Roman"/>
        </w:rPr>
        <w:t>A</w:t>
      </w:r>
      <w:r>
        <w:rPr/>
        <w:t>栋</w:t>
      </w:r>
      <w:r>
        <w:rPr>
          <w:rFonts w:ascii="Times New Roman" w:eastAsia="Times New Roman"/>
        </w:rPr>
        <w:t>201</w:t>
      </w:r>
      <w:r>
        <w:rPr/>
        <w:t>室（入驻深圳市前海商务秘书有限公</w:t>
      </w:r>
    </w:p>
    <w:p>
      <w:pPr>
        <w:pStyle w:val="BodyText"/>
        <w:spacing w:before="12"/>
        <w:rPr>
          <w:sz w:val="9"/>
        </w:rPr>
      </w:pPr>
    </w:p>
    <w:p>
      <w:pPr>
        <w:pStyle w:val="BodyText"/>
        <w:spacing w:before="72"/>
        <w:ind w:left="778"/>
      </w:pPr>
      <w:r>
        <w:rPr/>
        <w:t>司）</w:t>
      </w:r>
    </w:p>
    <w:p>
      <w:pPr>
        <w:pStyle w:val="BodyText"/>
        <w:spacing w:before="5"/>
        <w:rPr>
          <w:sz w:val="9"/>
        </w:rPr>
      </w:pPr>
    </w:p>
    <w:p>
      <w:pPr>
        <w:pStyle w:val="BodyText"/>
        <w:spacing w:line="417" w:lineRule="auto" w:before="78"/>
        <w:ind w:left="1260" w:right="1950"/>
      </w:pPr>
      <w:r>
        <w:rPr/>
        <w:t>办公地址：广东省深圳市南山区沙河西路</w:t>
      </w:r>
      <w:r>
        <w:rPr>
          <w:rFonts w:ascii="Times New Roman" w:eastAsia="Times New Roman"/>
        </w:rPr>
        <w:t>1819</w:t>
      </w:r>
      <w:r>
        <w:rPr/>
        <w:t>号深圳湾科技生态园</w:t>
      </w:r>
      <w:r>
        <w:rPr>
          <w:rFonts w:ascii="Times New Roman" w:eastAsia="Times New Roman"/>
        </w:rPr>
        <w:t>7</w:t>
      </w:r>
      <w:r>
        <w:rPr/>
        <w:t>栋</w:t>
      </w:r>
      <w:r>
        <w:rPr>
          <w:rFonts w:ascii="Times New Roman" w:eastAsia="Times New Roman"/>
        </w:rPr>
        <w:t>A</w:t>
      </w:r>
      <w:r>
        <w:rPr/>
        <w:t>座法定代表人：顾敏</w:t>
      </w:r>
    </w:p>
    <w:p>
      <w:pPr>
        <w:pStyle w:val="BodyText"/>
        <w:spacing w:line="417" w:lineRule="auto"/>
        <w:ind w:left="1260" w:right="6760"/>
        <w:rPr>
          <w:rFonts w:ascii="Times New Roman" w:eastAsia="Times New Roman"/>
        </w:rPr>
      </w:pPr>
      <w:r>
        <w:rPr/>
        <w:t>电话：</w:t>
      </w:r>
      <w:r>
        <w:rPr>
          <w:rFonts w:ascii="Times New Roman" w:eastAsia="Times New Roman"/>
        </w:rPr>
        <w:t>0755-89462603 </w:t>
      </w:r>
      <w:r>
        <w:rPr/>
        <w:t>传真：</w:t>
      </w:r>
      <w:r>
        <w:rPr>
          <w:rFonts w:ascii="Times New Roman" w:eastAsia="Times New Roman"/>
        </w:rPr>
        <w:t>0755-86700688</w:t>
      </w:r>
    </w:p>
    <w:p>
      <w:pPr>
        <w:pStyle w:val="BodyText"/>
        <w:ind w:left="1260"/>
      </w:pPr>
      <w:r>
        <w:rPr/>
        <w:t>联系人：张驰</w:t>
      </w:r>
    </w:p>
    <w:p>
      <w:pPr>
        <w:pStyle w:val="BodyText"/>
        <w:spacing w:before="7"/>
        <w:rPr>
          <w:sz w:val="15"/>
        </w:rPr>
      </w:pPr>
    </w:p>
    <w:p>
      <w:pPr>
        <w:pStyle w:val="BodyText"/>
        <w:spacing w:line="417" w:lineRule="auto"/>
        <w:ind w:left="1260" w:right="5986"/>
        <w:rPr>
          <w:rFonts w:ascii="Times New Roman" w:eastAsia="Times New Roman"/>
        </w:rPr>
      </w:pPr>
      <w:r>
        <w:rPr/>
        <w:t>网址：</w:t>
      </w:r>
      <w:hyperlink r:id="rId57">
        <w:r>
          <w:rPr>
            <w:rFonts w:ascii="Times New Roman" w:eastAsia="Times New Roman"/>
          </w:rPr>
          <w:t>http://www.webank.com </w:t>
        </w:r>
      </w:hyperlink>
      <w:r>
        <w:rPr/>
        <w:t>客户服务电话：</w:t>
      </w:r>
      <w:r>
        <w:rPr>
          <w:rFonts w:ascii="Times New Roman" w:eastAsia="Times New Roman"/>
        </w:rPr>
        <w:t>400-999-8800</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中原银行股份有限公司</w:t>
      </w:r>
    </w:p>
    <w:p>
      <w:pPr>
        <w:pStyle w:val="BodyText"/>
        <w:spacing w:before="7"/>
        <w:rPr>
          <w:sz w:val="15"/>
        </w:rPr>
      </w:pPr>
    </w:p>
    <w:p>
      <w:pPr>
        <w:pStyle w:val="BodyText"/>
        <w:ind w:left="1260"/>
      </w:pPr>
      <w:r>
        <w:rPr/>
        <w:t>住所：河南省郑州市郑东新区</w:t>
      </w:r>
      <w:r>
        <w:rPr>
          <w:rFonts w:ascii="Times New Roman" w:eastAsia="Times New Roman"/>
        </w:rPr>
        <w:t>CBD</w:t>
      </w:r>
      <w:r>
        <w:rPr/>
        <w:t>商务外环路</w:t>
      </w:r>
      <w:r>
        <w:rPr>
          <w:rFonts w:ascii="Times New Roman" w:eastAsia="Times New Roman"/>
        </w:rPr>
        <w:t>23</w:t>
      </w:r>
      <w:r>
        <w:rPr/>
        <w:t>号中科金座</w:t>
      </w:r>
    </w:p>
    <w:p>
      <w:pPr>
        <w:pStyle w:val="BodyText"/>
        <w:spacing w:before="6"/>
        <w:rPr>
          <w:sz w:val="15"/>
        </w:rPr>
      </w:pPr>
    </w:p>
    <w:p>
      <w:pPr>
        <w:pStyle w:val="BodyText"/>
        <w:spacing w:line="417" w:lineRule="auto"/>
        <w:ind w:left="1260" w:right="2828"/>
      </w:pPr>
      <w:r>
        <w:rPr/>
        <w:t>办公地址：河南省郑州市郑东新区</w:t>
      </w:r>
      <w:r>
        <w:rPr>
          <w:rFonts w:ascii="Times New Roman" w:eastAsia="Times New Roman"/>
        </w:rPr>
        <w:t>CBD</w:t>
      </w:r>
      <w:r>
        <w:rPr/>
        <w:t>商务外环路</w:t>
      </w:r>
      <w:r>
        <w:rPr>
          <w:rFonts w:ascii="Times New Roman" w:eastAsia="Times New Roman"/>
        </w:rPr>
        <w:t>23</w:t>
      </w:r>
      <w:r>
        <w:rPr/>
        <w:t>号中科金座法定代表人：窦荣兴</w:t>
      </w:r>
    </w:p>
    <w:p>
      <w:pPr>
        <w:pStyle w:val="BodyText"/>
        <w:spacing w:line="417" w:lineRule="auto" w:before="1"/>
        <w:ind w:left="1260" w:right="6760"/>
        <w:rPr>
          <w:rFonts w:ascii="Times New Roman" w:eastAsia="Times New Roman"/>
        </w:rPr>
      </w:pPr>
      <w:r>
        <w:rPr/>
        <w:t>电话：</w:t>
      </w:r>
      <w:r>
        <w:rPr>
          <w:rFonts w:ascii="Times New Roman" w:eastAsia="Times New Roman"/>
        </w:rPr>
        <w:t>0371-85517710 </w:t>
      </w:r>
      <w:r>
        <w:rPr/>
        <w:t>传真：</w:t>
      </w:r>
      <w:r>
        <w:rPr>
          <w:rFonts w:ascii="Times New Roman" w:eastAsia="Times New Roman"/>
        </w:rPr>
        <w:t>0371-85519869</w:t>
      </w:r>
    </w:p>
    <w:p>
      <w:pPr>
        <w:pStyle w:val="BodyText"/>
        <w:spacing w:line="269" w:lineRule="exact"/>
        <w:ind w:left="1260"/>
      </w:pPr>
      <w:r>
        <w:rPr/>
        <w:t>联系人：牛映雪</w:t>
      </w:r>
    </w:p>
    <w:p>
      <w:pPr>
        <w:pStyle w:val="BodyText"/>
        <w:spacing w:before="6"/>
        <w:rPr>
          <w:sz w:val="15"/>
        </w:rPr>
      </w:pPr>
    </w:p>
    <w:p>
      <w:pPr>
        <w:pStyle w:val="BodyText"/>
        <w:spacing w:line="417" w:lineRule="auto"/>
        <w:ind w:left="1260" w:right="6284"/>
        <w:rPr>
          <w:rFonts w:ascii="Times New Roman" w:eastAsia="Times New Roman"/>
        </w:rPr>
      </w:pPr>
      <w:r>
        <w:rPr/>
        <w:t>网址：</w:t>
      </w:r>
      <w:hyperlink r:id="rId58">
        <w:r>
          <w:rPr>
            <w:rFonts w:ascii="Times New Roman" w:eastAsia="Times New Roman"/>
          </w:rPr>
          <w:t>www.zybank.com.cn </w:t>
        </w:r>
      </w:hyperlink>
      <w:r>
        <w:rPr/>
        <w:t>客户服务电话：</w:t>
      </w:r>
      <w:r>
        <w:rPr>
          <w:rFonts w:ascii="Times New Roman" w:eastAsia="Times New Roman"/>
        </w:rPr>
        <w:t>95186</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天相投资顾问有限公司</w:t>
      </w:r>
    </w:p>
    <w:p>
      <w:pPr>
        <w:pStyle w:val="BodyText"/>
        <w:spacing w:before="7"/>
        <w:rPr>
          <w:sz w:val="15"/>
        </w:rPr>
      </w:pPr>
    </w:p>
    <w:p>
      <w:pPr>
        <w:pStyle w:val="BodyText"/>
        <w:spacing w:line="417" w:lineRule="auto"/>
        <w:ind w:left="1260" w:right="4003"/>
      </w:pPr>
      <w:r>
        <w:rPr/>
        <w:t>住所：北京市西城区金融街</w:t>
      </w:r>
      <w:r>
        <w:rPr>
          <w:rFonts w:ascii="Times New Roman" w:eastAsia="Times New Roman"/>
        </w:rPr>
        <w:t>19</w:t>
      </w:r>
      <w:r>
        <w:rPr/>
        <w:t>号富凯大厦</w:t>
      </w:r>
      <w:r>
        <w:rPr>
          <w:rFonts w:ascii="Times New Roman" w:eastAsia="Times New Roman"/>
        </w:rPr>
        <w:t>B</w:t>
      </w:r>
      <w:r>
        <w:rPr/>
        <w:t>座</w:t>
      </w:r>
      <w:r>
        <w:rPr>
          <w:rFonts w:ascii="Times New Roman" w:eastAsia="Times New Roman"/>
        </w:rPr>
        <w:t>701 </w:t>
      </w:r>
      <w:r>
        <w:rPr/>
        <w:t>办公地址：北京市西城区新街口外大街</w:t>
      </w:r>
      <w:r>
        <w:rPr>
          <w:rFonts w:ascii="Times New Roman" w:eastAsia="Times New Roman"/>
        </w:rPr>
        <w:t>28</w:t>
      </w:r>
      <w:r>
        <w:rPr/>
        <w:t>号</w:t>
      </w:r>
      <w:r>
        <w:rPr>
          <w:rFonts w:ascii="Times New Roman" w:eastAsia="Times New Roman"/>
        </w:rPr>
        <w:t>C</w:t>
      </w:r>
      <w:r>
        <w:rPr/>
        <w:t>座</w:t>
      </w:r>
      <w:r>
        <w:rPr>
          <w:rFonts w:ascii="Times New Roman" w:eastAsia="Times New Roman"/>
        </w:rPr>
        <w:t>5</w:t>
      </w:r>
      <w:r>
        <w:rPr/>
        <w:t>层法定代表人：林义相</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1260" w:right="6866"/>
        <w:rPr>
          <w:rFonts w:ascii="Times New Roman" w:eastAsia="Times New Roman"/>
        </w:rPr>
      </w:pPr>
      <w:r>
        <w:rPr/>
        <w:t>电话：</w:t>
      </w:r>
      <w:r>
        <w:rPr>
          <w:rFonts w:ascii="Times New Roman" w:eastAsia="Times New Roman"/>
        </w:rPr>
        <w:t>010-66045529 </w:t>
      </w:r>
      <w:r>
        <w:rPr/>
        <w:t>传真：</w:t>
      </w:r>
      <w:r>
        <w:rPr>
          <w:rFonts w:ascii="Times New Roman" w:eastAsia="Times New Roman"/>
        </w:rPr>
        <w:t>010-66045518</w:t>
      </w:r>
    </w:p>
    <w:p>
      <w:pPr>
        <w:pStyle w:val="BodyText"/>
        <w:spacing w:line="269" w:lineRule="exact"/>
        <w:ind w:left="1260"/>
      </w:pPr>
      <w:r>
        <w:rPr/>
        <w:t>联系人：尹伶</w:t>
      </w:r>
    </w:p>
    <w:p>
      <w:pPr>
        <w:pStyle w:val="BodyText"/>
        <w:spacing w:before="7"/>
        <w:rPr>
          <w:sz w:val="15"/>
        </w:rPr>
      </w:pPr>
    </w:p>
    <w:p>
      <w:pPr>
        <w:pStyle w:val="BodyText"/>
        <w:ind w:left="1260"/>
        <w:rPr>
          <w:rFonts w:ascii="Times New Roman" w:eastAsia="Times New Roman"/>
        </w:rPr>
      </w:pPr>
      <w:r>
        <w:rPr/>
        <w:t>网址：</w:t>
      </w:r>
      <w:hyperlink r:id="rId59">
        <w:r>
          <w:rPr>
            <w:rFonts w:ascii="Times New Roman" w:eastAsia="Times New Roman"/>
          </w:rPr>
          <w:t>www.txsec.com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010-66045678</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鼎信汇金</w:t>
      </w:r>
      <w:r>
        <w:rPr>
          <w:sz w:val="21"/>
        </w:rPr>
        <w:t>（</w:t>
      </w:r>
      <w:r>
        <w:rPr>
          <w:spacing w:val="-2"/>
          <w:sz w:val="21"/>
        </w:rPr>
        <w:t>北京</w:t>
      </w:r>
      <w:r>
        <w:rPr>
          <w:spacing w:val="-3"/>
          <w:sz w:val="21"/>
        </w:rPr>
        <w:t>）投资管理有限公司</w:t>
      </w:r>
    </w:p>
    <w:p>
      <w:pPr>
        <w:pStyle w:val="BodyText"/>
        <w:spacing w:before="6"/>
        <w:rPr>
          <w:sz w:val="15"/>
        </w:rPr>
      </w:pPr>
    </w:p>
    <w:p>
      <w:pPr>
        <w:pStyle w:val="BodyText"/>
        <w:spacing w:before="1"/>
        <w:ind w:left="1260"/>
      </w:pPr>
      <w:r>
        <w:rPr/>
        <w:t>住所：北京市朝阳区霄云路</w:t>
      </w:r>
      <w:r>
        <w:rPr>
          <w:rFonts w:ascii="Times New Roman" w:eastAsia="Times New Roman"/>
        </w:rPr>
        <w:t>40</w:t>
      </w:r>
      <w:r>
        <w:rPr/>
        <w:t>号院</w:t>
      </w:r>
      <w:r>
        <w:rPr>
          <w:rFonts w:ascii="Times New Roman" w:eastAsia="Times New Roman"/>
        </w:rPr>
        <w:t>1</w:t>
      </w:r>
      <w:r>
        <w:rPr/>
        <w:t>号楼</w:t>
      </w:r>
      <w:r>
        <w:rPr>
          <w:rFonts w:ascii="Times New Roman" w:eastAsia="Times New Roman"/>
        </w:rPr>
        <w:t>3</w:t>
      </w:r>
      <w:r>
        <w:rPr/>
        <w:t>层</w:t>
      </w:r>
      <w:r>
        <w:rPr>
          <w:rFonts w:ascii="Times New Roman" w:eastAsia="Times New Roman"/>
        </w:rPr>
        <w:t>306</w:t>
      </w:r>
      <w:r>
        <w:rPr/>
        <w:t>室</w:t>
      </w:r>
    </w:p>
    <w:p>
      <w:pPr>
        <w:pStyle w:val="BodyText"/>
        <w:spacing w:before="7"/>
        <w:rPr>
          <w:sz w:val="15"/>
        </w:rPr>
      </w:pPr>
    </w:p>
    <w:p>
      <w:pPr>
        <w:pStyle w:val="BodyText"/>
        <w:spacing w:line="417" w:lineRule="auto"/>
        <w:ind w:left="1260" w:right="3786"/>
      </w:pPr>
      <w:r>
        <w:rPr/>
        <w:t>办公地址：北京市朝阳区霄云路</w:t>
      </w:r>
      <w:r>
        <w:rPr>
          <w:rFonts w:ascii="Times New Roman" w:eastAsia="Times New Roman"/>
        </w:rPr>
        <w:t>40</w:t>
      </w:r>
      <w:r>
        <w:rPr/>
        <w:t>号院</w:t>
      </w:r>
      <w:r>
        <w:rPr>
          <w:rFonts w:ascii="Times New Roman" w:eastAsia="Times New Roman"/>
        </w:rPr>
        <w:t>1</w:t>
      </w:r>
      <w:r>
        <w:rPr/>
        <w:t>号楼</w:t>
      </w:r>
      <w:r>
        <w:rPr>
          <w:rFonts w:ascii="Times New Roman" w:eastAsia="Times New Roman"/>
        </w:rPr>
        <w:t>3</w:t>
      </w:r>
      <w:r>
        <w:rPr/>
        <w:t>层</w:t>
      </w:r>
      <w:r>
        <w:rPr>
          <w:rFonts w:ascii="Times New Roman" w:eastAsia="Times New Roman"/>
        </w:rPr>
        <w:t>306</w:t>
      </w:r>
      <w:r>
        <w:rPr/>
        <w:t>室法定代表人：齐凌峰</w:t>
      </w:r>
    </w:p>
    <w:p>
      <w:pPr>
        <w:pStyle w:val="BodyText"/>
        <w:spacing w:line="417" w:lineRule="auto"/>
        <w:ind w:left="1260" w:right="6866"/>
        <w:rPr>
          <w:rFonts w:ascii="Times New Roman" w:eastAsia="Times New Roman"/>
        </w:rPr>
      </w:pPr>
      <w:r>
        <w:rPr/>
        <w:t>电话：</w:t>
      </w:r>
      <w:r>
        <w:rPr>
          <w:rFonts w:ascii="Times New Roman" w:eastAsia="Times New Roman"/>
        </w:rPr>
        <w:t>010-82050520 </w:t>
      </w:r>
      <w:r>
        <w:rPr/>
        <w:t>传真：</w:t>
      </w:r>
      <w:r>
        <w:rPr>
          <w:rFonts w:ascii="Times New Roman" w:eastAsia="Times New Roman"/>
        </w:rPr>
        <w:t>010-82086110</w:t>
      </w:r>
    </w:p>
    <w:p>
      <w:pPr>
        <w:pStyle w:val="BodyText"/>
        <w:spacing w:line="269" w:lineRule="exact"/>
        <w:ind w:left="1260"/>
      </w:pPr>
      <w:r>
        <w:rPr/>
        <w:t>联系人：阮志凌</w:t>
      </w:r>
    </w:p>
    <w:p>
      <w:pPr>
        <w:pStyle w:val="BodyText"/>
        <w:spacing w:before="6"/>
        <w:rPr>
          <w:sz w:val="15"/>
        </w:rPr>
      </w:pPr>
    </w:p>
    <w:p>
      <w:pPr>
        <w:pStyle w:val="BodyText"/>
        <w:ind w:left="1260"/>
        <w:rPr>
          <w:rFonts w:ascii="Times New Roman" w:eastAsia="Times New Roman"/>
        </w:rPr>
      </w:pPr>
      <w:r>
        <w:rPr/>
        <w:t>网址：</w:t>
      </w:r>
      <w:hyperlink r:id="rId60">
        <w:r>
          <w:rPr>
            <w:rFonts w:ascii="Times New Roman" w:eastAsia="Times New Roman"/>
          </w:rPr>
          <w:t>www.9ifund.com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400-158-5050</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深圳市新兰德证券投资咨询有限公司</w:t>
      </w:r>
    </w:p>
    <w:p>
      <w:pPr>
        <w:pStyle w:val="BodyText"/>
        <w:spacing w:before="6"/>
        <w:rPr>
          <w:sz w:val="15"/>
        </w:rPr>
      </w:pPr>
    </w:p>
    <w:p>
      <w:pPr>
        <w:pStyle w:val="BodyText"/>
        <w:spacing w:line="417" w:lineRule="auto"/>
        <w:ind w:left="1260" w:right="3154"/>
      </w:pPr>
      <w:r>
        <w:rPr>
          <w:spacing w:val="-3"/>
        </w:rPr>
        <w:t>住所：深圳市福田区福田街道民田路</w:t>
      </w:r>
      <w:r>
        <w:rPr>
          <w:rFonts w:ascii="Times New Roman" w:eastAsia="Times New Roman"/>
        </w:rPr>
        <w:t>178</w:t>
      </w:r>
      <w:r>
        <w:rPr>
          <w:spacing w:val="-3"/>
        </w:rPr>
        <w:t>号华融大厦</w:t>
      </w:r>
      <w:r>
        <w:rPr>
          <w:rFonts w:ascii="Times New Roman" w:eastAsia="Times New Roman"/>
        </w:rPr>
        <w:t>27</w:t>
      </w:r>
      <w:r>
        <w:rPr/>
        <w:t>层</w:t>
      </w:r>
      <w:r>
        <w:rPr>
          <w:rFonts w:ascii="Times New Roman" w:eastAsia="Times New Roman"/>
        </w:rPr>
        <w:t>2704 </w:t>
      </w:r>
      <w:r>
        <w:rPr>
          <w:spacing w:val="-3"/>
        </w:rPr>
        <w:t>办公地址：北京市西城区宣武门外大街</w:t>
      </w:r>
      <w:r>
        <w:rPr>
          <w:rFonts w:ascii="Times New Roman" w:eastAsia="Times New Roman"/>
        </w:rPr>
        <w:t>28</w:t>
      </w:r>
      <w:r>
        <w:rPr>
          <w:spacing w:val="-3"/>
        </w:rPr>
        <w:t>号富卓大厦</w:t>
      </w:r>
      <w:r>
        <w:rPr>
          <w:rFonts w:ascii="Times New Roman" w:eastAsia="Times New Roman"/>
        </w:rPr>
        <w:t>16</w:t>
      </w:r>
      <w:r>
        <w:rPr/>
        <w:t>层  </w:t>
      </w:r>
      <w:r>
        <w:rPr>
          <w:spacing w:val="-3"/>
        </w:rPr>
        <w:t>法定代表人：洪弘</w:t>
      </w:r>
    </w:p>
    <w:p>
      <w:pPr>
        <w:pStyle w:val="BodyText"/>
        <w:spacing w:line="417" w:lineRule="auto"/>
        <w:ind w:left="1260" w:right="6866"/>
        <w:rPr>
          <w:rFonts w:ascii="Times New Roman" w:eastAsia="Times New Roman"/>
        </w:rPr>
      </w:pPr>
      <w:r>
        <w:rPr/>
        <w:t>电话：</w:t>
      </w:r>
      <w:r>
        <w:rPr>
          <w:rFonts w:ascii="Times New Roman" w:eastAsia="Times New Roman"/>
        </w:rPr>
        <w:t>010-83363101 </w:t>
      </w:r>
      <w:r>
        <w:rPr/>
        <w:t>传真：</w:t>
      </w:r>
      <w:r>
        <w:rPr>
          <w:rFonts w:ascii="Times New Roman" w:eastAsia="Times New Roman"/>
        </w:rPr>
        <w:t>010-83363072</w:t>
      </w:r>
    </w:p>
    <w:p>
      <w:pPr>
        <w:pStyle w:val="BodyText"/>
        <w:spacing w:line="269" w:lineRule="exact"/>
        <w:ind w:left="1260"/>
      </w:pPr>
      <w:r>
        <w:rPr/>
        <w:t>联系人：文雯</w:t>
      </w:r>
    </w:p>
    <w:p>
      <w:pPr>
        <w:pStyle w:val="BodyText"/>
        <w:spacing w:before="7"/>
        <w:rPr>
          <w:sz w:val="15"/>
        </w:rPr>
      </w:pPr>
    </w:p>
    <w:p>
      <w:pPr>
        <w:pStyle w:val="BodyText"/>
        <w:ind w:left="1260"/>
        <w:rPr>
          <w:rFonts w:ascii="Times New Roman" w:eastAsia="Times New Roman"/>
        </w:rPr>
      </w:pPr>
      <w:r>
        <w:rPr/>
        <w:t>网址：</w:t>
      </w:r>
      <w:hyperlink r:id="rId61">
        <w:r>
          <w:rPr>
            <w:rFonts w:ascii="Times New Roman" w:eastAsia="Times New Roman"/>
          </w:rPr>
          <w:t>http://8.jrj.com.cn/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400-166-1188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和讯信息科技有限公司</w:t>
      </w:r>
    </w:p>
    <w:p>
      <w:pPr>
        <w:pStyle w:val="BodyText"/>
        <w:spacing w:before="7"/>
        <w:rPr>
          <w:sz w:val="15"/>
        </w:rPr>
      </w:pPr>
    </w:p>
    <w:p>
      <w:pPr>
        <w:pStyle w:val="BodyText"/>
        <w:ind w:left="1260"/>
      </w:pPr>
      <w:r>
        <w:rPr/>
        <w:t>住所：北京市朝外大街</w:t>
      </w:r>
      <w:r>
        <w:rPr>
          <w:rFonts w:ascii="Times New Roman" w:eastAsia="Times New Roman"/>
        </w:rPr>
        <w:t>22</w:t>
      </w:r>
      <w:r>
        <w:rPr/>
        <w:t>号泛利大厦</w:t>
      </w:r>
      <w:r>
        <w:rPr>
          <w:rFonts w:ascii="Times New Roman" w:eastAsia="Times New Roman"/>
        </w:rPr>
        <w:t>10</w:t>
      </w:r>
      <w:r>
        <w:rPr/>
        <w:t>层</w:t>
      </w:r>
    </w:p>
    <w:p>
      <w:pPr>
        <w:pStyle w:val="BodyText"/>
        <w:spacing w:before="7"/>
        <w:rPr>
          <w:sz w:val="15"/>
        </w:rPr>
      </w:pPr>
    </w:p>
    <w:p>
      <w:pPr>
        <w:pStyle w:val="BodyText"/>
        <w:spacing w:line="417" w:lineRule="auto"/>
        <w:ind w:left="1260" w:right="4518"/>
      </w:pPr>
      <w:r>
        <w:rPr/>
        <w:t>办公地址：北京市朝外大街</w:t>
      </w:r>
      <w:r>
        <w:rPr>
          <w:rFonts w:ascii="Times New Roman" w:eastAsia="Times New Roman"/>
        </w:rPr>
        <w:t>22</w:t>
      </w:r>
      <w:r>
        <w:rPr/>
        <w:t>号泛利大厦</w:t>
      </w:r>
      <w:r>
        <w:rPr>
          <w:rFonts w:ascii="Times New Roman" w:eastAsia="Times New Roman"/>
        </w:rPr>
        <w:t>10</w:t>
      </w:r>
      <w:r>
        <w:rPr/>
        <w:t>层法定代表人：王莉</w:t>
      </w:r>
    </w:p>
    <w:p>
      <w:pPr>
        <w:pStyle w:val="BodyText"/>
        <w:spacing w:line="417" w:lineRule="auto"/>
        <w:ind w:left="1260" w:right="6866"/>
        <w:rPr>
          <w:rFonts w:ascii="Times New Roman" w:eastAsia="Times New Roman"/>
        </w:rPr>
      </w:pPr>
      <w:r>
        <w:rPr/>
        <w:t>电话：</w:t>
      </w:r>
      <w:r>
        <w:rPr>
          <w:rFonts w:ascii="Times New Roman" w:eastAsia="Times New Roman"/>
        </w:rPr>
        <w:t>021-20835787 </w:t>
      </w:r>
      <w:r>
        <w:rPr/>
        <w:t>传真：</w:t>
      </w:r>
      <w:r>
        <w:rPr>
          <w:rFonts w:ascii="Times New Roman" w:eastAsia="Times New Roman"/>
        </w:rPr>
        <w:t>010-85657357</w:t>
      </w:r>
    </w:p>
    <w:p>
      <w:pPr>
        <w:pStyle w:val="BodyText"/>
        <w:ind w:left="1260"/>
      </w:pPr>
      <w:r>
        <w:rPr/>
        <w:t>联系人：吴卫东</w:t>
      </w:r>
    </w:p>
    <w:p>
      <w:pPr>
        <w:spacing w:after="0"/>
        <w:sectPr>
          <w:pgSz w:w="11910" w:h="16840"/>
          <w:pgMar w:header="877" w:footer="995" w:top="1280" w:bottom="1180" w:left="1020" w:right="900"/>
        </w:sectPr>
      </w:pPr>
    </w:p>
    <w:p>
      <w:pPr>
        <w:pStyle w:val="BodyText"/>
        <w:rPr>
          <w:sz w:val="12"/>
        </w:rPr>
      </w:pPr>
    </w:p>
    <w:p>
      <w:pPr>
        <w:pStyle w:val="BodyText"/>
        <w:spacing w:before="78"/>
        <w:ind w:left="1260"/>
        <w:rPr>
          <w:rFonts w:ascii="Times New Roman" w:eastAsia="Times New Roman"/>
        </w:rPr>
      </w:pPr>
      <w:r>
        <w:rPr/>
        <w:t>网址：</w:t>
      </w:r>
      <w:r>
        <w:rPr>
          <w:rFonts w:ascii="Times New Roman" w:eastAsia="Times New Roman"/>
        </w:rPr>
        <w:t>licaike.hexun.com</w:t>
      </w:r>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400-920-0022</w:t>
      </w:r>
      <w:r>
        <w:rPr/>
        <w:t>、</w:t>
      </w:r>
      <w:r>
        <w:rPr>
          <w:rFonts w:ascii="Times New Roman" w:eastAsia="Times New Roman"/>
        </w:rPr>
        <w:t>021-20835588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江苏汇林保大基金销售有限公司</w:t>
      </w:r>
    </w:p>
    <w:p>
      <w:pPr>
        <w:pStyle w:val="BodyText"/>
        <w:spacing w:before="7"/>
        <w:rPr>
          <w:sz w:val="15"/>
        </w:rPr>
      </w:pPr>
    </w:p>
    <w:p>
      <w:pPr>
        <w:pStyle w:val="BodyText"/>
        <w:ind w:left="1260"/>
      </w:pPr>
      <w:r>
        <w:rPr/>
        <w:t>住所：南京市高淳区经济开发区古檀大道</w:t>
      </w:r>
      <w:r>
        <w:rPr>
          <w:rFonts w:ascii="Times New Roman" w:eastAsia="Times New Roman"/>
        </w:rPr>
        <w:t>47</w:t>
      </w:r>
      <w:r>
        <w:rPr/>
        <w:t>号</w:t>
      </w:r>
    </w:p>
    <w:p>
      <w:pPr>
        <w:pStyle w:val="BodyText"/>
        <w:spacing w:before="6"/>
        <w:rPr>
          <w:sz w:val="15"/>
        </w:rPr>
      </w:pPr>
    </w:p>
    <w:p>
      <w:pPr>
        <w:pStyle w:val="BodyText"/>
        <w:spacing w:line="417" w:lineRule="auto" w:before="1"/>
        <w:ind w:left="1260" w:right="3363"/>
      </w:pPr>
      <w:r>
        <w:rPr/>
        <w:t>办公地址：南京市鼓楼区中山北路</w:t>
      </w:r>
      <w:r>
        <w:rPr>
          <w:rFonts w:ascii="Times New Roman" w:eastAsia="Times New Roman"/>
        </w:rPr>
        <w:t>2</w:t>
      </w:r>
      <w:r>
        <w:rPr/>
        <w:t>号绿地紫峰大厦</w:t>
      </w:r>
      <w:r>
        <w:rPr>
          <w:rFonts w:ascii="Times New Roman" w:eastAsia="Times New Roman"/>
        </w:rPr>
        <w:t>2005</w:t>
      </w:r>
      <w:r>
        <w:rPr/>
        <w:t>室法定代表人：吴言林</w:t>
      </w:r>
    </w:p>
    <w:p>
      <w:pPr>
        <w:pStyle w:val="BodyText"/>
        <w:spacing w:line="269" w:lineRule="exact"/>
        <w:ind w:left="1260"/>
        <w:rPr>
          <w:rFonts w:ascii="Times New Roman" w:eastAsia="Times New Roman"/>
        </w:rPr>
      </w:pPr>
      <w:r>
        <w:rPr/>
        <w:t>电话：</w:t>
      </w:r>
      <w:r>
        <w:rPr>
          <w:rFonts w:ascii="Times New Roman" w:eastAsia="Times New Roman"/>
        </w:rPr>
        <w:t>025-66046166</w:t>
      </w:r>
      <w:r>
        <w:rPr/>
        <w:t>转</w:t>
      </w:r>
      <w:r>
        <w:rPr>
          <w:rFonts w:ascii="Times New Roman" w:eastAsia="Times New Roman"/>
        </w:rPr>
        <w:t>837</w:t>
      </w:r>
    </w:p>
    <w:p>
      <w:pPr>
        <w:pStyle w:val="BodyText"/>
        <w:spacing w:before="4"/>
        <w:rPr>
          <w:rFonts w:ascii="Times New Roman"/>
          <w:sz w:val="17"/>
        </w:rPr>
      </w:pPr>
    </w:p>
    <w:p>
      <w:pPr>
        <w:pStyle w:val="BodyText"/>
        <w:ind w:left="1260"/>
      </w:pPr>
      <w:r>
        <w:rPr/>
        <w:t>联系人：孙平</w:t>
      </w:r>
    </w:p>
    <w:p>
      <w:pPr>
        <w:pStyle w:val="BodyText"/>
        <w:spacing w:before="6"/>
        <w:rPr>
          <w:sz w:val="15"/>
        </w:rPr>
      </w:pPr>
    </w:p>
    <w:p>
      <w:pPr>
        <w:pStyle w:val="BodyText"/>
        <w:ind w:left="1260"/>
        <w:rPr>
          <w:rFonts w:ascii="Times New Roman" w:eastAsia="Times New Roman"/>
        </w:rPr>
      </w:pPr>
      <w:r>
        <w:rPr/>
        <w:t>网址：</w:t>
      </w:r>
      <w:hyperlink r:id="rId62">
        <w:r>
          <w:rPr>
            <w:rFonts w:ascii="Times New Roman" w:eastAsia="Times New Roman"/>
          </w:rPr>
          <w:t>www.huilinbd.com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025-66046166</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上海挖财基金销售有限公司</w:t>
      </w:r>
    </w:p>
    <w:p>
      <w:pPr>
        <w:pStyle w:val="BodyText"/>
        <w:spacing w:before="7"/>
        <w:rPr>
          <w:sz w:val="15"/>
        </w:rPr>
      </w:pPr>
    </w:p>
    <w:p>
      <w:pPr>
        <w:pStyle w:val="BodyText"/>
        <w:ind w:left="1260"/>
      </w:pPr>
      <w:r>
        <w:rPr/>
        <w:t>住所：中国（上海）自由贸易试验区杨高南路</w:t>
      </w:r>
      <w:r>
        <w:rPr>
          <w:rFonts w:ascii="Times New Roman" w:eastAsia="Times New Roman"/>
        </w:rPr>
        <w:t>799</w:t>
      </w:r>
      <w:r>
        <w:rPr/>
        <w:t>号</w:t>
      </w:r>
      <w:r>
        <w:rPr>
          <w:rFonts w:ascii="Times New Roman" w:eastAsia="Times New Roman"/>
        </w:rPr>
        <w:t>5</w:t>
      </w:r>
      <w:r>
        <w:rPr/>
        <w:t>层</w:t>
      </w:r>
      <w:r>
        <w:rPr>
          <w:rFonts w:ascii="Times New Roman" w:eastAsia="Times New Roman"/>
        </w:rPr>
        <w:t>01</w:t>
      </w:r>
      <w:r>
        <w:rPr/>
        <w:t>、</w:t>
      </w:r>
      <w:r>
        <w:rPr>
          <w:rFonts w:ascii="Times New Roman" w:eastAsia="Times New Roman"/>
        </w:rPr>
        <w:t>02</w:t>
      </w:r>
      <w:r>
        <w:rPr/>
        <w:t>、</w:t>
      </w:r>
      <w:r>
        <w:rPr>
          <w:rFonts w:ascii="Times New Roman" w:eastAsia="Times New Roman"/>
        </w:rPr>
        <w:t>03</w:t>
      </w:r>
      <w:r>
        <w:rPr/>
        <w:t>室</w:t>
      </w:r>
    </w:p>
    <w:p>
      <w:pPr>
        <w:pStyle w:val="BodyText"/>
        <w:spacing w:before="7"/>
        <w:rPr>
          <w:sz w:val="15"/>
        </w:rPr>
      </w:pPr>
    </w:p>
    <w:p>
      <w:pPr>
        <w:pStyle w:val="BodyText"/>
        <w:spacing w:line="417" w:lineRule="auto"/>
        <w:ind w:left="1260" w:right="2000"/>
      </w:pPr>
      <w:r>
        <w:rPr/>
        <w:t>办公地址：中国（上海）自由贸易试验区杨高南路</w:t>
      </w:r>
      <w:r>
        <w:rPr>
          <w:rFonts w:ascii="Times New Roman" w:eastAsia="Times New Roman"/>
        </w:rPr>
        <w:t>799</w:t>
      </w:r>
      <w:r>
        <w:rPr/>
        <w:t>号</w:t>
      </w:r>
      <w:r>
        <w:rPr>
          <w:rFonts w:ascii="Times New Roman" w:eastAsia="Times New Roman"/>
        </w:rPr>
        <w:t>5</w:t>
      </w:r>
      <w:r>
        <w:rPr/>
        <w:t>层</w:t>
      </w:r>
      <w:r>
        <w:rPr>
          <w:rFonts w:ascii="Times New Roman" w:eastAsia="Times New Roman"/>
        </w:rPr>
        <w:t>01</w:t>
      </w:r>
      <w:r>
        <w:rPr/>
        <w:t>、</w:t>
      </w:r>
      <w:r>
        <w:rPr>
          <w:rFonts w:ascii="Times New Roman" w:eastAsia="Times New Roman"/>
        </w:rPr>
        <w:t>02</w:t>
      </w:r>
      <w:r>
        <w:rPr/>
        <w:t>、</w:t>
      </w:r>
      <w:r>
        <w:rPr>
          <w:rFonts w:ascii="Times New Roman" w:eastAsia="Times New Roman"/>
        </w:rPr>
        <w:t>03</w:t>
      </w:r>
      <w:r>
        <w:rPr/>
        <w:t>室法定代表人：胡燕亮</w:t>
      </w:r>
    </w:p>
    <w:p>
      <w:pPr>
        <w:pStyle w:val="BodyText"/>
        <w:spacing w:line="417" w:lineRule="auto"/>
        <w:ind w:left="1260" w:right="6866"/>
        <w:rPr>
          <w:rFonts w:ascii="Times New Roman" w:eastAsia="Times New Roman"/>
        </w:rPr>
      </w:pPr>
      <w:r>
        <w:rPr/>
        <w:t>电话：</w:t>
      </w:r>
      <w:r>
        <w:rPr>
          <w:rFonts w:ascii="Times New Roman" w:eastAsia="Times New Roman"/>
        </w:rPr>
        <w:t>021-50810687 </w:t>
      </w:r>
      <w:r>
        <w:rPr/>
        <w:t>传真：</w:t>
      </w:r>
      <w:r>
        <w:rPr>
          <w:rFonts w:ascii="Times New Roman" w:eastAsia="Times New Roman"/>
        </w:rPr>
        <w:t>021-58300279</w:t>
      </w:r>
    </w:p>
    <w:p>
      <w:pPr>
        <w:pStyle w:val="BodyText"/>
        <w:spacing w:line="269" w:lineRule="exact"/>
        <w:ind w:left="1260"/>
      </w:pPr>
      <w:r>
        <w:rPr/>
        <w:t>联系人：李娟</w:t>
      </w:r>
    </w:p>
    <w:p>
      <w:pPr>
        <w:pStyle w:val="BodyText"/>
        <w:spacing w:before="6"/>
        <w:rPr>
          <w:sz w:val="15"/>
        </w:rPr>
      </w:pPr>
    </w:p>
    <w:p>
      <w:pPr>
        <w:pStyle w:val="BodyText"/>
        <w:spacing w:before="1"/>
        <w:ind w:left="1260"/>
        <w:rPr>
          <w:rFonts w:ascii="Times New Roman" w:eastAsia="Times New Roman"/>
        </w:rPr>
      </w:pPr>
      <w:r>
        <w:rPr/>
        <w:t>网址：</w:t>
      </w:r>
      <w:hyperlink r:id="rId63">
        <w:r>
          <w:rPr>
            <w:rFonts w:ascii="Times New Roman" w:eastAsia="Times New Roman"/>
          </w:rPr>
          <w:t>www.wacaijijin.com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021-50810673</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喜鹊财富基金销售有限公司</w:t>
      </w:r>
    </w:p>
    <w:p>
      <w:pPr>
        <w:pStyle w:val="BodyText"/>
        <w:spacing w:before="6"/>
        <w:rPr>
          <w:sz w:val="15"/>
        </w:rPr>
      </w:pPr>
    </w:p>
    <w:p>
      <w:pPr>
        <w:pStyle w:val="BodyText"/>
        <w:ind w:left="1260"/>
      </w:pPr>
      <w:r>
        <w:rPr/>
        <w:t>住所：西藏拉萨市柳梧新区柳梧大厦</w:t>
      </w:r>
      <w:r>
        <w:rPr>
          <w:rFonts w:ascii="Times New Roman" w:eastAsia="Times New Roman"/>
        </w:rPr>
        <w:t>1513</w:t>
      </w:r>
      <w:r>
        <w:rPr/>
        <w:t>室</w:t>
      </w:r>
    </w:p>
    <w:p>
      <w:pPr>
        <w:pStyle w:val="BodyText"/>
        <w:spacing w:before="8"/>
        <w:rPr>
          <w:sz w:val="15"/>
        </w:rPr>
      </w:pPr>
    </w:p>
    <w:p>
      <w:pPr>
        <w:pStyle w:val="BodyText"/>
        <w:spacing w:line="417" w:lineRule="auto"/>
        <w:ind w:left="1260" w:right="4309"/>
      </w:pPr>
      <w:r>
        <w:rPr/>
        <w:t>办公地址：西藏拉萨市柳梧新区柳梧大厦</w:t>
      </w:r>
      <w:r>
        <w:rPr>
          <w:rFonts w:ascii="Times New Roman" w:eastAsia="Times New Roman"/>
        </w:rPr>
        <w:t>1513</w:t>
      </w:r>
      <w:r>
        <w:rPr/>
        <w:t>室法定代表人：陈皓</w:t>
      </w:r>
    </w:p>
    <w:p>
      <w:pPr>
        <w:pStyle w:val="BodyText"/>
        <w:spacing w:line="417" w:lineRule="auto"/>
        <w:ind w:left="1260" w:right="5651"/>
        <w:rPr>
          <w:rFonts w:ascii="Times New Roman" w:eastAsia="Times New Roman"/>
        </w:rPr>
      </w:pPr>
      <w:r>
        <w:rPr/>
        <w:t>电话：</w:t>
      </w:r>
      <w:r>
        <w:rPr>
          <w:rFonts w:ascii="Times New Roman" w:eastAsia="Times New Roman"/>
        </w:rPr>
        <w:t>010-58349088/18600730680 </w:t>
      </w:r>
      <w:r>
        <w:rPr/>
        <w:t>传真：</w:t>
      </w:r>
      <w:r>
        <w:rPr>
          <w:rFonts w:ascii="Times New Roman" w:eastAsia="Times New Roman"/>
        </w:rPr>
        <w:t>010-88371180</w:t>
      </w:r>
    </w:p>
    <w:p>
      <w:pPr>
        <w:pStyle w:val="BodyText"/>
        <w:spacing w:line="269" w:lineRule="exact"/>
        <w:ind w:left="1260"/>
      </w:pPr>
      <w:r>
        <w:rPr/>
        <w:t>联系人：张萌</w:t>
      </w:r>
    </w:p>
    <w:p>
      <w:pPr>
        <w:pStyle w:val="BodyText"/>
        <w:spacing w:before="6"/>
        <w:rPr>
          <w:sz w:val="15"/>
        </w:rPr>
      </w:pPr>
    </w:p>
    <w:p>
      <w:pPr>
        <w:pStyle w:val="BodyText"/>
        <w:ind w:left="1260"/>
        <w:rPr>
          <w:rFonts w:ascii="Times New Roman" w:eastAsia="Times New Roman"/>
        </w:rPr>
      </w:pPr>
      <w:r>
        <w:rPr/>
        <w:t>网址：</w:t>
      </w:r>
      <w:hyperlink r:id="rId64">
        <w:r>
          <w:rPr>
            <w:rFonts w:ascii="Times New Roman" w:eastAsia="Times New Roman"/>
          </w:rPr>
          <w:t>www.xiquefund.com</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400-699-7719</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腾安基金销售</w:t>
      </w:r>
      <w:r>
        <w:rPr>
          <w:sz w:val="21"/>
        </w:rPr>
        <w:t>（</w:t>
      </w:r>
      <w:r>
        <w:rPr>
          <w:spacing w:val="-2"/>
          <w:sz w:val="21"/>
        </w:rPr>
        <w:t>深圳</w:t>
      </w:r>
      <w:r>
        <w:rPr>
          <w:sz w:val="21"/>
        </w:rPr>
        <w:t>）</w:t>
      </w:r>
      <w:r>
        <w:rPr>
          <w:spacing w:val="-3"/>
          <w:sz w:val="21"/>
        </w:rPr>
        <w:t>有限公司</w:t>
      </w:r>
    </w:p>
    <w:p>
      <w:pPr>
        <w:pStyle w:val="BodyText"/>
        <w:spacing w:before="7"/>
        <w:rPr>
          <w:sz w:val="15"/>
        </w:rPr>
      </w:pPr>
    </w:p>
    <w:p>
      <w:pPr>
        <w:pStyle w:val="BodyText"/>
        <w:ind w:left="1260"/>
      </w:pPr>
      <w:r>
        <w:rPr/>
        <w:t>住所：深圳市前海深港合作区前湾一路</w:t>
      </w:r>
      <w:r>
        <w:rPr>
          <w:rFonts w:ascii="Times New Roman" w:eastAsia="Times New Roman"/>
        </w:rPr>
        <w:t>1</w:t>
      </w:r>
      <w:r>
        <w:rPr/>
        <w:t>号</w:t>
      </w:r>
      <w:r>
        <w:rPr>
          <w:rFonts w:ascii="Times New Roman" w:eastAsia="Times New Roman"/>
        </w:rPr>
        <w:t>A</w:t>
      </w:r>
      <w:r>
        <w:rPr/>
        <w:t>栋</w:t>
      </w:r>
      <w:r>
        <w:rPr>
          <w:rFonts w:ascii="Times New Roman" w:eastAsia="Times New Roman"/>
        </w:rPr>
        <w:t>201</w:t>
      </w:r>
      <w:r>
        <w:rPr/>
        <w:t>室（入驻深圳市前海商务秘书有限公</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778"/>
      </w:pPr>
      <w:r>
        <w:rPr/>
        <w:t>司）</w:t>
      </w:r>
    </w:p>
    <w:p>
      <w:pPr>
        <w:pStyle w:val="BodyText"/>
        <w:spacing w:before="5"/>
        <w:rPr>
          <w:sz w:val="9"/>
        </w:rPr>
      </w:pPr>
    </w:p>
    <w:p>
      <w:pPr>
        <w:pStyle w:val="BodyText"/>
        <w:spacing w:line="417" w:lineRule="auto" w:before="79"/>
        <w:ind w:left="1260" w:right="3467"/>
      </w:pPr>
      <w:r>
        <w:rPr/>
        <w:t>办公地址：深圳市南山区天海二路</w:t>
      </w:r>
      <w:r>
        <w:rPr>
          <w:rFonts w:ascii="Times New Roman" w:eastAsia="Times New Roman"/>
        </w:rPr>
        <w:t>33</w:t>
      </w:r>
      <w:r>
        <w:rPr/>
        <w:t>号腾讯海滨大厦</w:t>
      </w:r>
      <w:r>
        <w:rPr>
          <w:rFonts w:ascii="Times New Roman" w:eastAsia="Times New Roman"/>
        </w:rPr>
        <w:t>15</w:t>
      </w:r>
      <w:r>
        <w:rPr/>
        <w:t>楼法定代表人：刘明军</w:t>
      </w:r>
    </w:p>
    <w:p>
      <w:pPr>
        <w:pStyle w:val="BodyText"/>
        <w:spacing w:line="269" w:lineRule="exact"/>
        <w:ind w:left="1260"/>
        <w:rPr>
          <w:rFonts w:ascii="Times New Roman" w:eastAsia="Times New Roman"/>
        </w:rPr>
      </w:pPr>
      <w:r>
        <w:rPr/>
        <w:t>电话：</w:t>
      </w:r>
      <w:r>
        <w:rPr>
          <w:rFonts w:ascii="Times New Roman" w:eastAsia="Times New Roman"/>
        </w:rPr>
        <w:t>0755-86013388</w:t>
      </w:r>
      <w:r>
        <w:rPr/>
        <w:t>转</w:t>
      </w:r>
      <w:r>
        <w:rPr>
          <w:rFonts w:ascii="Times New Roman" w:eastAsia="Times New Roman"/>
        </w:rPr>
        <w:t>80618</w:t>
      </w:r>
    </w:p>
    <w:p>
      <w:pPr>
        <w:pStyle w:val="BodyText"/>
        <w:spacing w:before="3"/>
        <w:rPr>
          <w:rFonts w:ascii="Times New Roman"/>
          <w:sz w:val="17"/>
        </w:rPr>
      </w:pPr>
    </w:p>
    <w:p>
      <w:pPr>
        <w:pStyle w:val="BodyText"/>
        <w:ind w:left="1260"/>
      </w:pPr>
      <w:r>
        <w:rPr/>
        <w:t>联系人：谭广锋</w:t>
      </w:r>
    </w:p>
    <w:p>
      <w:pPr>
        <w:pStyle w:val="BodyText"/>
        <w:spacing w:before="7"/>
        <w:rPr>
          <w:sz w:val="15"/>
        </w:rPr>
      </w:pPr>
    </w:p>
    <w:p>
      <w:pPr>
        <w:pStyle w:val="BodyText"/>
        <w:spacing w:line="417" w:lineRule="auto"/>
        <w:ind w:left="1260" w:right="6150"/>
        <w:rPr>
          <w:rFonts w:ascii="Times New Roman" w:eastAsia="Times New Roman"/>
        </w:rPr>
      </w:pPr>
      <w:r>
        <w:rPr/>
        <w:t>网址：</w:t>
      </w:r>
      <w:hyperlink r:id="rId65">
        <w:r>
          <w:rPr>
            <w:rFonts w:ascii="Times New Roman" w:eastAsia="Times New Roman"/>
          </w:rPr>
          <w:t>www.tenganxinxi.com </w:t>
        </w:r>
      </w:hyperlink>
      <w:r>
        <w:rPr/>
        <w:t>客户服务电话：</w:t>
      </w:r>
      <w:r>
        <w:rPr>
          <w:rFonts w:ascii="Times New Roman" w:eastAsia="Times New Roman"/>
        </w:rPr>
        <w:t>95017</w:t>
      </w: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北京度小满基金销售有限公司</w:t>
      </w:r>
    </w:p>
    <w:p>
      <w:pPr>
        <w:pStyle w:val="BodyText"/>
        <w:spacing w:before="7"/>
        <w:rPr>
          <w:sz w:val="15"/>
        </w:rPr>
      </w:pPr>
    </w:p>
    <w:p>
      <w:pPr>
        <w:pStyle w:val="BodyText"/>
        <w:spacing w:line="417" w:lineRule="auto"/>
        <w:ind w:left="1260" w:right="3363"/>
      </w:pPr>
      <w:r>
        <w:rPr/>
        <w:t>住所：北京市海淀区西北旺东路</w:t>
      </w:r>
      <w:r>
        <w:rPr>
          <w:rFonts w:ascii="Times New Roman" w:eastAsia="Times New Roman"/>
        </w:rPr>
        <w:t>10</w:t>
      </w:r>
      <w:r>
        <w:rPr/>
        <w:t>号院西区</w:t>
      </w:r>
      <w:r>
        <w:rPr>
          <w:rFonts w:ascii="Times New Roman" w:eastAsia="Times New Roman"/>
        </w:rPr>
        <w:t>4</w:t>
      </w:r>
      <w:r>
        <w:rPr/>
        <w:t>号楼</w:t>
      </w:r>
      <w:r>
        <w:rPr>
          <w:rFonts w:ascii="Times New Roman" w:eastAsia="Times New Roman"/>
        </w:rPr>
        <w:t>1</w:t>
      </w:r>
      <w:r>
        <w:rPr/>
        <w:t>层</w:t>
      </w:r>
      <w:r>
        <w:rPr>
          <w:rFonts w:ascii="Times New Roman" w:eastAsia="Times New Roman"/>
        </w:rPr>
        <w:t>103</w:t>
      </w:r>
      <w:r>
        <w:rPr/>
        <w:t>室办公地址：北京市海淀区西北旺东路</w:t>
      </w:r>
      <w:r>
        <w:rPr>
          <w:rFonts w:ascii="Times New Roman" w:eastAsia="Times New Roman"/>
        </w:rPr>
        <w:t>10</w:t>
      </w:r>
      <w:r>
        <w:rPr/>
        <w:t>号院西区</w:t>
      </w:r>
      <w:r>
        <w:rPr>
          <w:rFonts w:ascii="Times New Roman" w:eastAsia="Times New Roman"/>
        </w:rPr>
        <w:t>4</w:t>
      </w:r>
      <w:r>
        <w:rPr/>
        <w:t>号楼</w:t>
      </w:r>
    </w:p>
    <w:p>
      <w:pPr>
        <w:pStyle w:val="BodyText"/>
        <w:spacing w:line="417" w:lineRule="auto"/>
        <w:ind w:left="1260" w:right="6804"/>
        <w:rPr>
          <w:rFonts w:ascii="Times New Roman" w:eastAsia="Times New Roman"/>
        </w:rPr>
      </w:pPr>
      <w:r>
        <w:rPr/>
        <w:t>法定代表人：葛新电话：</w:t>
      </w:r>
      <w:r>
        <w:rPr>
          <w:rFonts w:ascii="Times New Roman" w:eastAsia="Times New Roman"/>
        </w:rPr>
        <w:t>010-59403028 </w:t>
      </w:r>
      <w:r>
        <w:rPr/>
        <w:t>传真：</w:t>
      </w:r>
      <w:r>
        <w:rPr>
          <w:rFonts w:ascii="Times New Roman" w:eastAsia="Times New Roman"/>
        </w:rPr>
        <w:t>010-59403027</w:t>
      </w:r>
    </w:p>
    <w:p>
      <w:pPr>
        <w:pStyle w:val="BodyText"/>
        <w:spacing w:line="269" w:lineRule="exact"/>
        <w:ind w:left="1260"/>
      </w:pPr>
      <w:r>
        <w:rPr/>
        <w:t>联系人：孙博超</w:t>
      </w:r>
    </w:p>
    <w:p>
      <w:pPr>
        <w:pStyle w:val="BodyText"/>
        <w:spacing w:before="7"/>
        <w:rPr>
          <w:sz w:val="15"/>
        </w:rPr>
      </w:pPr>
    </w:p>
    <w:p>
      <w:pPr>
        <w:pStyle w:val="BodyText"/>
        <w:spacing w:line="417" w:lineRule="auto"/>
        <w:ind w:left="1260" w:right="6126"/>
        <w:rPr>
          <w:rFonts w:ascii="Times New Roman" w:eastAsia="Times New Roman"/>
        </w:rPr>
      </w:pPr>
      <w:r>
        <w:rPr/>
        <w:t>网址：</w:t>
      </w:r>
      <w:hyperlink r:id="rId66">
        <w:r>
          <w:rPr>
            <w:rFonts w:ascii="Times New Roman" w:eastAsia="Times New Roman"/>
          </w:rPr>
          <w:t>www.baiyingfund.com </w:t>
        </w:r>
      </w:hyperlink>
      <w:r>
        <w:rPr/>
        <w:t>客户服务电话：</w:t>
      </w:r>
      <w:r>
        <w:rPr>
          <w:rFonts w:ascii="Times New Roman" w:eastAsia="Times New Roman"/>
        </w:rPr>
        <w:t>95055-4</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诺亚正行基金销售有限公司</w:t>
      </w:r>
    </w:p>
    <w:p>
      <w:pPr>
        <w:pStyle w:val="BodyText"/>
        <w:spacing w:before="6"/>
        <w:rPr>
          <w:sz w:val="15"/>
        </w:rPr>
      </w:pPr>
    </w:p>
    <w:p>
      <w:pPr>
        <w:pStyle w:val="BodyText"/>
        <w:spacing w:before="1"/>
        <w:ind w:left="1260"/>
      </w:pPr>
      <w:r>
        <w:rPr/>
        <w:t>住所：上海市虹口区飞虹路</w:t>
      </w:r>
      <w:r>
        <w:rPr>
          <w:rFonts w:ascii="Times New Roman" w:eastAsia="Times New Roman"/>
        </w:rPr>
        <w:t>360</w:t>
      </w:r>
      <w:r>
        <w:rPr/>
        <w:t>弄</w:t>
      </w:r>
      <w:r>
        <w:rPr>
          <w:rFonts w:ascii="Times New Roman" w:eastAsia="Times New Roman"/>
        </w:rPr>
        <w:t>9</w:t>
      </w:r>
      <w:r>
        <w:rPr/>
        <w:t>号</w:t>
      </w:r>
      <w:r>
        <w:rPr>
          <w:rFonts w:ascii="Times New Roman" w:eastAsia="Times New Roman"/>
        </w:rPr>
        <w:t>3724</w:t>
      </w:r>
      <w:r>
        <w:rPr/>
        <w:t>室</w:t>
      </w:r>
    </w:p>
    <w:p>
      <w:pPr>
        <w:pStyle w:val="BodyText"/>
        <w:spacing w:before="6"/>
        <w:rPr>
          <w:sz w:val="15"/>
        </w:rPr>
      </w:pPr>
    </w:p>
    <w:p>
      <w:pPr>
        <w:pStyle w:val="BodyText"/>
        <w:spacing w:line="417" w:lineRule="auto"/>
        <w:ind w:left="1260" w:right="3644"/>
      </w:pPr>
      <w:r>
        <w:rPr/>
        <w:t>办公地址：上海市杨浦区昆明路</w:t>
      </w:r>
      <w:r>
        <w:rPr>
          <w:rFonts w:ascii="Times New Roman" w:eastAsia="Times New Roman"/>
        </w:rPr>
        <w:t>508</w:t>
      </w:r>
      <w:r>
        <w:rPr/>
        <w:t>号北美广场</w:t>
      </w:r>
      <w:r>
        <w:rPr>
          <w:rFonts w:ascii="Times New Roman" w:eastAsia="Times New Roman"/>
        </w:rPr>
        <w:t>B</w:t>
      </w:r>
      <w:r>
        <w:rPr/>
        <w:t>座</w:t>
      </w:r>
      <w:r>
        <w:rPr>
          <w:rFonts w:ascii="Times New Roman" w:eastAsia="Times New Roman"/>
        </w:rPr>
        <w:t>12</w:t>
      </w:r>
      <w:r>
        <w:rPr/>
        <w:t>楼法定代表人：汪静波</w:t>
      </w:r>
    </w:p>
    <w:p>
      <w:pPr>
        <w:pStyle w:val="BodyText"/>
        <w:spacing w:line="417" w:lineRule="auto"/>
        <w:ind w:left="1260" w:right="6866"/>
        <w:rPr>
          <w:rFonts w:ascii="Times New Roman" w:eastAsia="Times New Roman"/>
        </w:rPr>
      </w:pPr>
      <w:r>
        <w:rPr/>
        <w:t>电话：</w:t>
      </w:r>
      <w:r>
        <w:rPr>
          <w:rFonts w:ascii="Times New Roman" w:eastAsia="Times New Roman"/>
        </w:rPr>
        <w:t>021-38509680 </w:t>
      </w:r>
      <w:r>
        <w:rPr/>
        <w:t>传真：</w:t>
      </w:r>
      <w:r>
        <w:rPr>
          <w:rFonts w:ascii="Times New Roman" w:eastAsia="Times New Roman"/>
        </w:rPr>
        <w:t>021-38509777</w:t>
      </w:r>
    </w:p>
    <w:p>
      <w:pPr>
        <w:pStyle w:val="BodyText"/>
        <w:ind w:left="1260"/>
      </w:pPr>
      <w:r>
        <w:rPr/>
        <w:t>联系人：张裕</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67">
        <w:r>
          <w:rPr>
            <w:rFonts w:ascii="Times New Roman" w:eastAsia="Times New Roman"/>
          </w:rPr>
          <w:t>www.noah-fund.com</w:t>
        </w:r>
      </w:hyperlink>
      <w:r>
        <w:rPr>
          <w:rFonts w:ascii="Times New Roman" w:eastAsia="Times New Roman"/>
        </w:rPr>
        <w:t> </w:t>
      </w:r>
      <w:r>
        <w:rPr>
          <w:spacing w:val="-3"/>
        </w:rPr>
        <w:t>客户服务电话：</w:t>
      </w:r>
      <w:r>
        <w:rPr>
          <w:rFonts w:ascii="Times New Roman" w:eastAsia="Times New Roman"/>
          <w:spacing w:val="-1"/>
        </w:rPr>
        <w:t>400-821-5399</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深圳众禄基金销售股份有限公司</w:t>
      </w:r>
    </w:p>
    <w:p>
      <w:pPr>
        <w:pStyle w:val="BodyText"/>
        <w:spacing w:before="7"/>
        <w:rPr>
          <w:sz w:val="15"/>
        </w:rPr>
      </w:pPr>
    </w:p>
    <w:p>
      <w:pPr>
        <w:pStyle w:val="BodyText"/>
        <w:ind w:left="1260"/>
        <w:rPr>
          <w:rFonts w:ascii="Times New Roman" w:eastAsia="Times New Roman"/>
        </w:rPr>
      </w:pPr>
      <w:r>
        <w:rPr/>
        <w:t>住所：深圳市罗湖区梨园路物资控股置地大厦</w:t>
      </w:r>
      <w:r>
        <w:rPr>
          <w:rFonts w:ascii="Times New Roman" w:eastAsia="Times New Roman"/>
        </w:rPr>
        <w:t>8</w:t>
      </w:r>
      <w:r>
        <w:rPr/>
        <w:t>楼</w:t>
      </w:r>
      <w:r>
        <w:rPr>
          <w:rFonts w:ascii="Times New Roman" w:eastAsia="Times New Roman"/>
        </w:rPr>
        <w:t>801</w:t>
      </w:r>
    </w:p>
    <w:p>
      <w:pPr>
        <w:pStyle w:val="BodyText"/>
        <w:spacing w:before="3"/>
        <w:rPr>
          <w:rFonts w:ascii="Times New Roman"/>
          <w:sz w:val="17"/>
        </w:rPr>
      </w:pPr>
    </w:p>
    <w:p>
      <w:pPr>
        <w:pStyle w:val="BodyText"/>
        <w:spacing w:line="417" w:lineRule="auto"/>
        <w:ind w:left="1260" w:right="3469"/>
      </w:pPr>
      <w:r>
        <w:rPr/>
        <w:t>办公地址：深圳市罗湖区梨园路物资控股置地大厦</w:t>
      </w:r>
      <w:r>
        <w:rPr>
          <w:rFonts w:ascii="Times New Roman" w:eastAsia="Times New Roman"/>
        </w:rPr>
        <w:t>8</w:t>
      </w:r>
      <w:r>
        <w:rPr/>
        <w:t>楼</w:t>
      </w:r>
      <w:r>
        <w:rPr>
          <w:rFonts w:ascii="Times New Roman" w:eastAsia="Times New Roman"/>
        </w:rPr>
        <w:t>801 </w:t>
      </w:r>
      <w:r>
        <w:rPr/>
        <w:t>法定代表人：薛峰</w:t>
      </w:r>
    </w:p>
    <w:p>
      <w:pPr>
        <w:pStyle w:val="BodyText"/>
        <w:ind w:left="1260"/>
        <w:rPr>
          <w:rFonts w:ascii="Times New Roman" w:eastAsia="Times New Roman"/>
        </w:rPr>
      </w:pPr>
      <w:r>
        <w:rPr/>
        <w:t>电话：</w:t>
      </w:r>
      <w:r>
        <w:rPr>
          <w:rFonts w:ascii="Times New Roman" w:eastAsia="Times New Roman"/>
        </w:rPr>
        <w:t>0755-33227950</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传真：</w:t>
      </w:r>
      <w:r>
        <w:rPr>
          <w:rFonts w:ascii="Times New Roman" w:eastAsia="Times New Roman"/>
        </w:rPr>
        <w:t>0755-33227951</w:t>
      </w:r>
    </w:p>
    <w:p>
      <w:pPr>
        <w:pStyle w:val="BodyText"/>
        <w:spacing w:before="3"/>
        <w:rPr>
          <w:rFonts w:ascii="Times New Roman"/>
          <w:sz w:val="17"/>
        </w:rPr>
      </w:pPr>
    </w:p>
    <w:p>
      <w:pPr>
        <w:pStyle w:val="BodyText"/>
        <w:ind w:left="1260"/>
      </w:pPr>
      <w:r>
        <w:rPr/>
        <w:t>联系人：童彩平</w:t>
      </w:r>
    </w:p>
    <w:p>
      <w:pPr>
        <w:pStyle w:val="BodyText"/>
        <w:spacing w:before="7"/>
        <w:rPr>
          <w:sz w:val="15"/>
        </w:rPr>
      </w:pPr>
    </w:p>
    <w:p>
      <w:pPr>
        <w:pStyle w:val="BodyText"/>
        <w:ind w:left="1260"/>
        <w:rPr>
          <w:rFonts w:ascii="Times New Roman" w:eastAsia="Times New Roman"/>
        </w:rPr>
      </w:pPr>
      <w:r>
        <w:rPr/>
        <w:t>网址：</w:t>
      </w:r>
      <w:hyperlink r:id="rId68">
        <w:r>
          <w:rPr>
            <w:rFonts w:ascii="Times New Roman" w:eastAsia="Times New Roman"/>
          </w:rPr>
          <w:t>www.zlfund.cn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4006-788-887</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上海天天基金销售有限公司</w:t>
      </w:r>
    </w:p>
    <w:p>
      <w:pPr>
        <w:pStyle w:val="BodyText"/>
        <w:spacing w:before="6"/>
        <w:rPr>
          <w:sz w:val="15"/>
        </w:rPr>
      </w:pPr>
    </w:p>
    <w:p>
      <w:pPr>
        <w:pStyle w:val="BodyText"/>
        <w:ind w:left="1260"/>
      </w:pPr>
      <w:r>
        <w:rPr/>
        <w:t>住所：上海市徐汇区龙田路</w:t>
      </w:r>
      <w:r>
        <w:rPr>
          <w:rFonts w:ascii="Times New Roman" w:eastAsia="Times New Roman"/>
        </w:rPr>
        <w:t>190</w:t>
      </w:r>
      <w:r>
        <w:rPr/>
        <w:t>号</w:t>
      </w:r>
      <w:r>
        <w:rPr>
          <w:rFonts w:ascii="Times New Roman" w:eastAsia="Times New Roman"/>
        </w:rPr>
        <w:t>2</w:t>
      </w:r>
      <w:r>
        <w:rPr/>
        <w:t>号楼</w:t>
      </w:r>
    </w:p>
    <w:p>
      <w:pPr>
        <w:pStyle w:val="BodyText"/>
        <w:spacing w:before="7"/>
        <w:rPr>
          <w:sz w:val="15"/>
        </w:rPr>
      </w:pPr>
    </w:p>
    <w:p>
      <w:pPr>
        <w:pStyle w:val="BodyText"/>
        <w:spacing w:line="417" w:lineRule="auto"/>
        <w:ind w:left="1260" w:right="3467"/>
      </w:pPr>
      <w:r>
        <w:rPr/>
        <w:t>办公地址：上海市徐汇区宛平南路</w:t>
      </w:r>
      <w:r>
        <w:rPr>
          <w:rFonts w:ascii="Times New Roman" w:eastAsia="Times New Roman"/>
        </w:rPr>
        <w:t>88</w:t>
      </w:r>
      <w:r>
        <w:rPr/>
        <w:t>号金座东方财富大厦法定代表人：其实</w:t>
      </w:r>
    </w:p>
    <w:p>
      <w:pPr>
        <w:pStyle w:val="BodyText"/>
        <w:ind w:left="1260"/>
        <w:rPr>
          <w:rFonts w:ascii="Times New Roman" w:eastAsia="Times New Roman"/>
        </w:rPr>
      </w:pPr>
      <w:r>
        <w:rPr/>
        <w:t>电话：</w:t>
      </w:r>
      <w:r>
        <w:rPr>
          <w:rFonts w:ascii="Times New Roman" w:eastAsia="Times New Roman"/>
        </w:rPr>
        <w:t>95021</w:t>
      </w:r>
    </w:p>
    <w:p>
      <w:pPr>
        <w:pStyle w:val="BodyText"/>
        <w:spacing w:before="4"/>
        <w:rPr>
          <w:rFonts w:ascii="Times New Roman"/>
          <w:sz w:val="17"/>
        </w:rPr>
      </w:pPr>
    </w:p>
    <w:p>
      <w:pPr>
        <w:pStyle w:val="BodyText"/>
        <w:ind w:left="1260"/>
        <w:rPr>
          <w:rFonts w:ascii="Times New Roman" w:eastAsia="Times New Roman"/>
        </w:rPr>
      </w:pPr>
      <w:r>
        <w:rPr/>
        <w:t>传真：</w:t>
      </w:r>
      <w:r>
        <w:rPr>
          <w:rFonts w:ascii="Times New Roman" w:eastAsia="Times New Roman"/>
        </w:rPr>
        <w:t>021-64385308</w:t>
      </w:r>
    </w:p>
    <w:p>
      <w:pPr>
        <w:pStyle w:val="BodyText"/>
        <w:spacing w:before="3"/>
        <w:rPr>
          <w:rFonts w:ascii="Times New Roman"/>
          <w:sz w:val="17"/>
        </w:rPr>
      </w:pPr>
    </w:p>
    <w:p>
      <w:pPr>
        <w:pStyle w:val="BodyText"/>
        <w:ind w:left="1260"/>
      </w:pPr>
      <w:r>
        <w:rPr/>
        <w:t>联系人：屠彦洋</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69">
        <w:r>
          <w:rPr>
            <w:rFonts w:ascii="Times New Roman" w:eastAsia="Times New Roman"/>
          </w:rPr>
          <w:t>www.1234567.com.cn </w:t>
        </w:r>
      </w:hyperlink>
      <w:r>
        <w:rPr/>
        <w:t>客户服务电话：</w:t>
      </w:r>
      <w:r>
        <w:rPr>
          <w:rFonts w:ascii="Times New Roman" w:eastAsia="Times New Roman"/>
        </w:rPr>
        <w:t>400-181-8188</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上海好买基金销售有限公司</w:t>
      </w:r>
    </w:p>
    <w:p>
      <w:pPr>
        <w:pStyle w:val="BodyText"/>
        <w:spacing w:before="7"/>
        <w:rPr>
          <w:sz w:val="15"/>
        </w:rPr>
      </w:pPr>
    </w:p>
    <w:p>
      <w:pPr>
        <w:pStyle w:val="BodyText"/>
        <w:ind w:left="1260"/>
      </w:pPr>
      <w:r>
        <w:rPr/>
        <w:t>住所：上海市虹口区场中路</w:t>
      </w:r>
      <w:r>
        <w:rPr>
          <w:rFonts w:ascii="Times New Roman" w:eastAsia="Times New Roman"/>
        </w:rPr>
        <w:t>685</w:t>
      </w:r>
      <w:r>
        <w:rPr/>
        <w:t>弄</w:t>
      </w:r>
      <w:r>
        <w:rPr>
          <w:rFonts w:ascii="Times New Roman" w:eastAsia="Times New Roman"/>
        </w:rPr>
        <w:t>37</w:t>
      </w:r>
      <w:r>
        <w:rPr/>
        <w:t>号</w:t>
      </w:r>
      <w:r>
        <w:rPr>
          <w:rFonts w:ascii="Times New Roman" w:eastAsia="Times New Roman"/>
        </w:rPr>
        <w:t>4</w:t>
      </w:r>
      <w:r>
        <w:rPr/>
        <w:t>号楼</w:t>
      </w:r>
      <w:r>
        <w:rPr>
          <w:rFonts w:ascii="Times New Roman" w:eastAsia="Times New Roman"/>
        </w:rPr>
        <w:t>449</w:t>
      </w:r>
      <w:r>
        <w:rPr/>
        <w:t>室</w:t>
      </w:r>
    </w:p>
    <w:p>
      <w:pPr>
        <w:pStyle w:val="BodyText"/>
        <w:spacing w:before="7"/>
        <w:rPr>
          <w:sz w:val="15"/>
        </w:rPr>
      </w:pPr>
    </w:p>
    <w:p>
      <w:pPr>
        <w:pStyle w:val="BodyText"/>
        <w:spacing w:line="417" w:lineRule="auto"/>
        <w:ind w:left="1260" w:right="2068"/>
      </w:pPr>
      <w:r>
        <w:rPr/>
        <w:t>办公地址：上海市浦东新区浦东南路</w:t>
      </w:r>
      <w:r>
        <w:rPr>
          <w:rFonts w:ascii="Times New Roman" w:eastAsia="Times New Roman"/>
        </w:rPr>
        <w:t>1118</w:t>
      </w:r>
      <w:r>
        <w:rPr/>
        <w:t>号鄂尔多斯国际大厦</w:t>
      </w:r>
      <w:r>
        <w:rPr>
          <w:rFonts w:ascii="Times New Roman" w:eastAsia="Times New Roman"/>
        </w:rPr>
        <w:t>903~906</w:t>
      </w:r>
      <w:r>
        <w:rPr/>
        <w:t>室法定代表人：杨文斌</w:t>
      </w:r>
    </w:p>
    <w:p>
      <w:pPr>
        <w:pStyle w:val="BodyText"/>
        <w:spacing w:line="417" w:lineRule="auto"/>
        <w:ind w:left="1260" w:right="6866"/>
        <w:rPr>
          <w:rFonts w:ascii="Times New Roman" w:eastAsia="Times New Roman"/>
        </w:rPr>
      </w:pPr>
      <w:r>
        <w:rPr/>
        <w:t>电话：</w:t>
      </w:r>
      <w:r>
        <w:rPr>
          <w:rFonts w:ascii="Times New Roman" w:eastAsia="Times New Roman"/>
        </w:rPr>
        <w:t>021-20613635 </w:t>
      </w:r>
      <w:r>
        <w:rPr/>
        <w:t>传真：</w:t>
      </w:r>
      <w:r>
        <w:rPr>
          <w:rFonts w:ascii="Times New Roman" w:eastAsia="Times New Roman"/>
        </w:rPr>
        <w:t>021-68596916</w:t>
      </w:r>
    </w:p>
    <w:p>
      <w:pPr>
        <w:pStyle w:val="BodyText"/>
        <w:spacing w:line="269" w:lineRule="exact"/>
        <w:ind w:left="1260"/>
      </w:pPr>
      <w:r>
        <w:rPr/>
        <w:t>联系人：周天雪</w:t>
      </w:r>
    </w:p>
    <w:p>
      <w:pPr>
        <w:pStyle w:val="BodyText"/>
        <w:spacing w:before="6"/>
        <w:rPr>
          <w:sz w:val="15"/>
        </w:rPr>
      </w:pPr>
    </w:p>
    <w:p>
      <w:pPr>
        <w:pStyle w:val="BodyText"/>
        <w:ind w:left="1260"/>
        <w:rPr>
          <w:rFonts w:ascii="Times New Roman" w:eastAsia="Times New Roman"/>
        </w:rPr>
      </w:pPr>
      <w:r>
        <w:rPr/>
        <w:t>网址：</w:t>
      </w:r>
      <w:hyperlink r:id="rId70">
        <w:r>
          <w:rPr>
            <w:rFonts w:ascii="Times New Roman" w:eastAsia="Times New Roman"/>
          </w:rPr>
          <w:t>www.ehowbuy.com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400-700-9665</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2"/>
          <w:sz w:val="21"/>
        </w:rPr>
        <w:t>蚂蚁</w:t>
      </w:r>
      <w:r>
        <w:rPr>
          <w:sz w:val="21"/>
        </w:rPr>
        <w:t>（</w:t>
      </w:r>
      <w:r>
        <w:rPr>
          <w:spacing w:val="-2"/>
          <w:sz w:val="21"/>
        </w:rPr>
        <w:t>杭州</w:t>
      </w:r>
      <w:r>
        <w:rPr>
          <w:spacing w:val="-3"/>
          <w:sz w:val="21"/>
        </w:rPr>
        <w:t>）基金销售有限公司</w:t>
      </w:r>
    </w:p>
    <w:p>
      <w:pPr>
        <w:pStyle w:val="BodyText"/>
        <w:spacing w:before="6"/>
        <w:rPr>
          <w:sz w:val="15"/>
        </w:rPr>
      </w:pPr>
    </w:p>
    <w:p>
      <w:pPr>
        <w:pStyle w:val="BodyText"/>
        <w:spacing w:line="417" w:lineRule="auto" w:before="1"/>
        <w:ind w:left="1260" w:right="2840"/>
        <w:jc w:val="both"/>
      </w:pPr>
      <w:r>
        <w:rPr/>
        <w:t>住所：浙江省杭州市余杭区五常街道文一西路</w:t>
      </w:r>
      <w:r>
        <w:rPr>
          <w:rFonts w:ascii="Times New Roman" w:eastAsia="Times New Roman"/>
        </w:rPr>
        <w:t>969</w:t>
      </w:r>
      <w:r>
        <w:rPr/>
        <w:t>号</w:t>
      </w:r>
      <w:r>
        <w:rPr>
          <w:rFonts w:ascii="Times New Roman" w:eastAsia="Times New Roman"/>
        </w:rPr>
        <w:t>3</w:t>
      </w:r>
      <w:r>
        <w:rPr/>
        <w:t>幢</w:t>
      </w:r>
      <w:r>
        <w:rPr>
          <w:rFonts w:ascii="Times New Roman" w:eastAsia="Times New Roman"/>
        </w:rPr>
        <w:t>5</w:t>
      </w:r>
      <w:r>
        <w:rPr/>
        <w:t>层</w:t>
      </w:r>
      <w:r>
        <w:rPr>
          <w:rFonts w:ascii="Times New Roman" w:eastAsia="Times New Roman"/>
        </w:rPr>
        <w:t>599</w:t>
      </w:r>
      <w:r>
        <w:rPr/>
        <w:t>室办公地址：浙江省杭州市西湖区万塘路</w:t>
      </w:r>
      <w:r>
        <w:rPr>
          <w:rFonts w:ascii="Times New Roman" w:eastAsia="Times New Roman"/>
        </w:rPr>
        <w:t>18</w:t>
      </w:r>
      <w:r>
        <w:rPr/>
        <w:t>号黄龙时代广场</w:t>
      </w:r>
      <w:r>
        <w:rPr>
          <w:rFonts w:ascii="Times New Roman" w:eastAsia="Times New Roman"/>
        </w:rPr>
        <w:t>B</w:t>
      </w:r>
      <w:r>
        <w:rPr/>
        <w:t>座</w:t>
      </w:r>
      <w:r>
        <w:rPr>
          <w:rFonts w:ascii="Times New Roman" w:eastAsia="Times New Roman"/>
        </w:rPr>
        <w:t>6F </w:t>
      </w:r>
      <w:r>
        <w:rPr/>
        <w:t>法定代表人：祖国明</w:t>
      </w:r>
    </w:p>
    <w:p>
      <w:pPr>
        <w:pStyle w:val="BodyText"/>
        <w:spacing w:line="269" w:lineRule="exact"/>
        <w:ind w:left="1260"/>
        <w:rPr>
          <w:rFonts w:ascii="Times New Roman" w:eastAsia="Times New Roman"/>
        </w:rPr>
      </w:pPr>
      <w:r>
        <w:rPr/>
        <w:t>电话：</w:t>
      </w:r>
      <w:r>
        <w:rPr>
          <w:rFonts w:ascii="Times New Roman" w:eastAsia="Times New Roman"/>
        </w:rPr>
        <w:t>18205712248</w:t>
      </w:r>
    </w:p>
    <w:p>
      <w:pPr>
        <w:pStyle w:val="BodyText"/>
        <w:spacing w:before="3"/>
        <w:rPr>
          <w:rFonts w:ascii="Times New Roman"/>
          <w:sz w:val="17"/>
        </w:rPr>
      </w:pPr>
    </w:p>
    <w:p>
      <w:pPr>
        <w:pStyle w:val="BodyText"/>
        <w:ind w:left="1260"/>
      </w:pPr>
      <w:r>
        <w:rPr/>
        <w:t>联系人：韩爱斌</w:t>
      </w:r>
    </w:p>
    <w:p>
      <w:pPr>
        <w:pStyle w:val="BodyText"/>
        <w:spacing w:before="7"/>
        <w:rPr>
          <w:sz w:val="15"/>
        </w:rPr>
      </w:pPr>
    </w:p>
    <w:p>
      <w:pPr>
        <w:pStyle w:val="BodyText"/>
        <w:ind w:left="1260"/>
        <w:rPr>
          <w:rFonts w:ascii="Times New Roman" w:eastAsia="Times New Roman"/>
        </w:rPr>
      </w:pPr>
      <w:r>
        <w:rPr/>
        <w:t>网址：</w:t>
      </w:r>
      <w:hyperlink r:id="rId71">
        <w:r>
          <w:rPr>
            <w:rFonts w:ascii="Times New Roman" w:eastAsia="Times New Roman"/>
          </w:rPr>
          <w:t>www.fund123.cn</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4000-766-123</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240" w:lineRule="auto" w:before="79" w:after="0"/>
        <w:ind w:left="1895" w:right="0" w:hanging="635"/>
        <w:jc w:val="left"/>
        <w:rPr>
          <w:sz w:val="21"/>
        </w:rPr>
      </w:pPr>
      <w:r>
        <w:rPr>
          <w:spacing w:val="-3"/>
          <w:sz w:val="21"/>
        </w:rPr>
        <w:t>上海长量基金销售有限公司</w:t>
      </w:r>
    </w:p>
    <w:p>
      <w:pPr>
        <w:pStyle w:val="BodyText"/>
        <w:spacing w:before="6"/>
        <w:rPr>
          <w:sz w:val="15"/>
        </w:rPr>
      </w:pPr>
    </w:p>
    <w:p>
      <w:pPr>
        <w:pStyle w:val="BodyText"/>
        <w:ind w:left="1260"/>
      </w:pPr>
      <w:r>
        <w:rPr/>
        <w:t>住所：上海市浦东新区高翔路</w:t>
      </w:r>
      <w:r>
        <w:rPr>
          <w:rFonts w:ascii="Times New Roman" w:eastAsia="Times New Roman"/>
        </w:rPr>
        <w:t>526</w:t>
      </w:r>
      <w:r>
        <w:rPr/>
        <w:t>号</w:t>
      </w:r>
      <w:r>
        <w:rPr>
          <w:rFonts w:ascii="Times New Roman" w:eastAsia="Times New Roman"/>
        </w:rPr>
        <w:t>2</w:t>
      </w:r>
      <w:r>
        <w:rPr/>
        <w:t>幢</w:t>
      </w:r>
      <w:r>
        <w:rPr>
          <w:rFonts w:ascii="Times New Roman" w:eastAsia="Times New Roman"/>
        </w:rPr>
        <w:t>220</w:t>
      </w:r>
      <w:r>
        <w:rPr/>
        <w:t>室</w:t>
      </w:r>
    </w:p>
    <w:p>
      <w:pPr>
        <w:pStyle w:val="BodyText"/>
        <w:spacing w:before="7"/>
        <w:rPr>
          <w:sz w:val="15"/>
        </w:rPr>
      </w:pPr>
    </w:p>
    <w:p>
      <w:pPr>
        <w:pStyle w:val="BodyText"/>
        <w:spacing w:line="417" w:lineRule="auto"/>
        <w:ind w:left="1260" w:right="3224"/>
      </w:pPr>
      <w:r>
        <w:rPr/>
        <w:t>办公地址：上海市浦东新区浦东大道</w:t>
      </w:r>
      <w:r>
        <w:rPr>
          <w:rFonts w:ascii="Times New Roman" w:eastAsia="Times New Roman"/>
        </w:rPr>
        <w:t>555</w:t>
      </w:r>
      <w:r>
        <w:rPr/>
        <w:t>号裕景国际</w:t>
      </w:r>
      <w:r>
        <w:rPr>
          <w:rFonts w:ascii="Times New Roman" w:eastAsia="Times New Roman"/>
        </w:rPr>
        <w:t>B</w:t>
      </w:r>
      <w:r>
        <w:rPr/>
        <w:t>座</w:t>
      </w:r>
      <w:r>
        <w:rPr>
          <w:rFonts w:ascii="Times New Roman" w:eastAsia="Times New Roman"/>
        </w:rPr>
        <w:t>16</w:t>
      </w:r>
      <w:r>
        <w:rPr/>
        <w:t>层法定代表人：张跃伟</w:t>
      </w:r>
    </w:p>
    <w:p>
      <w:pPr>
        <w:pStyle w:val="BodyText"/>
        <w:spacing w:line="417" w:lineRule="auto"/>
        <w:ind w:left="1260" w:right="6866"/>
        <w:rPr>
          <w:rFonts w:ascii="Times New Roman" w:eastAsia="Times New Roman"/>
        </w:rPr>
      </w:pPr>
      <w:r>
        <w:rPr/>
        <w:t>电话：</w:t>
      </w:r>
      <w:r>
        <w:rPr>
          <w:rFonts w:ascii="Times New Roman" w:eastAsia="Times New Roman"/>
        </w:rPr>
        <w:t>021-20691832 </w:t>
      </w:r>
      <w:r>
        <w:rPr/>
        <w:t>传真：</w:t>
      </w:r>
      <w:r>
        <w:rPr>
          <w:rFonts w:ascii="Times New Roman" w:eastAsia="Times New Roman"/>
        </w:rPr>
        <w:t>021-20691861</w:t>
      </w:r>
    </w:p>
    <w:p>
      <w:pPr>
        <w:pStyle w:val="BodyText"/>
        <w:spacing w:line="269" w:lineRule="exact"/>
        <w:ind w:left="1260"/>
      </w:pPr>
      <w:r>
        <w:rPr/>
        <w:t>联系人：黄辉</w:t>
      </w:r>
    </w:p>
    <w:p>
      <w:pPr>
        <w:pStyle w:val="BodyText"/>
        <w:spacing w:before="7"/>
        <w:rPr>
          <w:sz w:val="15"/>
        </w:rPr>
      </w:pPr>
    </w:p>
    <w:p>
      <w:pPr>
        <w:pStyle w:val="BodyText"/>
        <w:ind w:left="1260"/>
        <w:rPr>
          <w:rFonts w:ascii="Times New Roman" w:eastAsia="Times New Roman"/>
        </w:rPr>
      </w:pPr>
      <w:r>
        <w:rPr/>
        <w:t>网址：</w:t>
      </w:r>
      <w:hyperlink r:id="rId72">
        <w:r>
          <w:rPr>
            <w:rFonts w:ascii="Times New Roman" w:eastAsia="Times New Roman"/>
          </w:rPr>
          <w:t>www.erichfund.com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400-820-2899</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浙江同花顺基金销售有限公司</w:t>
      </w:r>
    </w:p>
    <w:p>
      <w:pPr>
        <w:pStyle w:val="BodyText"/>
        <w:spacing w:before="6"/>
        <w:rPr>
          <w:sz w:val="15"/>
        </w:rPr>
      </w:pPr>
    </w:p>
    <w:p>
      <w:pPr>
        <w:pStyle w:val="BodyText"/>
        <w:spacing w:before="1"/>
        <w:ind w:left="1260"/>
      </w:pPr>
      <w:r>
        <w:rPr/>
        <w:t>住所：浙江省杭州市文二西路一号元茂大厦</w:t>
      </w:r>
      <w:r>
        <w:rPr>
          <w:rFonts w:ascii="Times New Roman" w:eastAsia="Times New Roman"/>
        </w:rPr>
        <w:t>903</w:t>
      </w:r>
      <w:r>
        <w:rPr/>
        <w:t>室</w:t>
      </w:r>
    </w:p>
    <w:p>
      <w:pPr>
        <w:pStyle w:val="BodyText"/>
        <w:spacing w:before="6"/>
        <w:rPr>
          <w:sz w:val="15"/>
        </w:rPr>
      </w:pPr>
    </w:p>
    <w:p>
      <w:pPr>
        <w:pStyle w:val="BodyText"/>
        <w:spacing w:line="417" w:lineRule="auto"/>
        <w:ind w:left="1260" w:right="2523"/>
      </w:pPr>
      <w:r>
        <w:rPr/>
        <w:t>办公地址：浙江省杭州市余杭区五常街道同顺街</w:t>
      </w:r>
      <w:r>
        <w:rPr>
          <w:rFonts w:ascii="Times New Roman" w:eastAsia="Times New Roman"/>
        </w:rPr>
        <w:t>18</w:t>
      </w:r>
      <w:r>
        <w:rPr/>
        <w:t>号同花顺大楼</w:t>
      </w:r>
      <w:r>
        <w:rPr>
          <w:rFonts w:ascii="Times New Roman" w:eastAsia="Times New Roman"/>
        </w:rPr>
        <w:t>4</w:t>
      </w:r>
      <w:r>
        <w:rPr/>
        <w:t>层法定代表人：凌顺平</w:t>
      </w:r>
    </w:p>
    <w:p>
      <w:pPr>
        <w:pStyle w:val="BodyText"/>
        <w:spacing w:line="417" w:lineRule="auto"/>
        <w:ind w:left="1260" w:right="6280"/>
        <w:rPr>
          <w:rFonts w:ascii="Times New Roman" w:eastAsia="Times New Roman"/>
        </w:rPr>
      </w:pPr>
      <w:r>
        <w:rPr/>
        <w:t>电话：</w:t>
      </w:r>
      <w:r>
        <w:rPr>
          <w:rFonts w:ascii="Times New Roman" w:eastAsia="Times New Roman"/>
        </w:rPr>
        <w:t>0571-88911818-8653 </w:t>
      </w:r>
      <w:r>
        <w:rPr/>
        <w:t>传真：</w:t>
      </w:r>
      <w:r>
        <w:rPr>
          <w:rFonts w:ascii="Times New Roman" w:eastAsia="Times New Roman"/>
        </w:rPr>
        <w:t>0571-86800423</w:t>
      </w:r>
    </w:p>
    <w:p>
      <w:pPr>
        <w:pStyle w:val="BodyText"/>
        <w:ind w:left="1260"/>
      </w:pPr>
      <w:r>
        <w:rPr/>
        <w:t>联系人：吴强</w:t>
      </w:r>
    </w:p>
    <w:p>
      <w:pPr>
        <w:pStyle w:val="BodyText"/>
        <w:spacing w:before="7"/>
        <w:rPr>
          <w:sz w:val="15"/>
        </w:rPr>
      </w:pPr>
    </w:p>
    <w:p>
      <w:pPr>
        <w:pStyle w:val="BodyText"/>
        <w:ind w:left="1260"/>
        <w:rPr>
          <w:rFonts w:ascii="Times New Roman" w:eastAsia="Times New Roman"/>
        </w:rPr>
      </w:pPr>
      <w:r>
        <w:rPr/>
        <w:t>网址：</w:t>
      </w:r>
      <w:hyperlink r:id="rId73">
        <w:r>
          <w:rPr>
            <w:rFonts w:ascii="Times New Roman" w:eastAsia="Times New Roman"/>
          </w:rPr>
          <w:t>www.5ifund.com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400-877-3772</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北京展恒基金销售有限公司</w:t>
      </w:r>
    </w:p>
    <w:p>
      <w:pPr>
        <w:pStyle w:val="BodyText"/>
        <w:spacing w:before="6"/>
        <w:rPr>
          <w:sz w:val="15"/>
        </w:rPr>
      </w:pPr>
    </w:p>
    <w:p>
      <w:pPr>
        <w:pStyle w:val="BodyText"/>
        <w:spacing w:before="1"/>
        <w:ind w:left="1260"/>
      </w:pPr>
      <w:r>
        <w:rPr/>
        <w:t>住所：北京市顺义区后沙峪镇安富街</w:t>
      </w:r>
      <w:r>
        <w:rPr>
          <w:rFonts w:ascii="Times New Roman" w:eastAsia="Times New Roman"/>
        </w:rPr>
        <w:t>6</w:t>
      </w:r>
      <w:r>
        <w:rPr/>
        <w:t>号</w:t>
      </w:r>
    </w:p>
    <w:p>
      <w:pPr>
        <w:pStyle w:val="BodyText"/>
        <w:spacing w:before="6"/>
        <w:rPr>
          <w:sz w:val="15"/>
        </w:rPr>
      </w:pPr>
    </w:p>
    <w:p>
      <w:pPr>
        <w:pStyle w:val="BodyText"/>
        <w:spacing w:line="417" w:lineRule="auto"/>
        <w:ind w:left="1260" w:right="4098"/>
      </w:pPr>
      <w:r>
        <w:rPr>
          <w:spacing w:val="-3"/>
        </w:rPr>
        <w:t>办公地址：北京市朝阳区华严北里</w:t>
      </w:r>
      <w:r>
        <w:rPr>
          <w:rFonts w:ascii="Times New Roman" w:eastAsia="Times New Roman"/>
          <w:spacing w:val="-3"/>
        </w:rPr>
        <w:t>2</w:t>
      </w:r>
      <w:r>
        <w:rPr>
          <w:spacing w:val="-3"/>
        </w:rPr>
        <w:t>号民建大厦</w:t>
      </w:r>
      <w:r>
        <w:rPr>
          <w:rFonts w:ascii="Times New Roman" w:eastAsia="Times New Roman"/>
        </w:rPr>
        <w:t>6</w:t>
      </w:r>
      <w:r>
        <w:rPr>
          <w:spacing w:val="-11"/>
        </w:rPr>
        <w:t>层</w:t>
      </w:r>
      <w:r>
        <w:rPr>
          <w:spacing w:val="-3"/>
        </w:rPr>
        <w:t>法定代表人：闫振杰</w:t>
      </w:r>
    </w:p>
    <w:p>
      <w:pPr>
        <w:pStyle w:val="BodyText"/>
        <w:spacing w:line="417" w:lineRule="auto" w:before="1"/>
        <w:ind w:left="1260" w:right="6376"/>
        <w:rPr>
          <w:rFonts w:ascii="Times New Roman" w:eastAsia="Times New Roman"/>
        </w:rPr>
      </w:pPr>
      <w:r>
        <w:rPr>
          <w:spacing w:val="-1"/>
        </w:rPr>
        <w:t>电话：</w:t>
      </w:r>
      <w:r>
        <w:rPr>
          <w:rFonts w:ascii="Times New Roman" w:eastAsia="Times New Roman"/>
          <w:spacing w:val="-1"/>
        </w:rPr>
        <w:t>010-62020088-6006 </w:t>
      </w:r>
      <w:r>
        <w:rPr/>
        <w:t>传真：</w:t>
      </w:r>
      <w:r>
        <w:rPr>
          <w:rFonts w:ascii="Times New Roman" w:eastAsia="Times New Roman"/>
        </w:rPr>
        <w:t>010-62020355</w:t>
      </w:r>
    </w:p>
    <w:p>
      <w:pPr>
        <w:pStyle w:val="BodyText"/>
        <w:spacing w:line="269" w:lineRule="exact"/>
        <w:ind w:left="1260"/>
      </w:pPr>
      <w:r>
        <w:rPr/>
        <w:t>联系人：翟飞飞</w:t>
      </w:r>
    </w:p>
    <w:p>
      <w:pPr>
        <w:pStyle w:val="BodyText"/>
        <w:spacing w:before="6"/>
        <w:rPr>
          <w:sz w:val="15"/>
        </w:rPr>
      </w:pPr>
    </w:p>
    <w:p>
      <w:pPr>
        <w:pStyle w:val="BodyText"/>
        <w:ind w:left="1260"/>
        <w:rPr>
          <w:rFonts w:ascii="Times New Roman" w:eastAsia="Times New Roman"/>
        </w:rPr>
      </w:pPr>
      <w:r>
        <w:rPr/>
        <w:t>网址：</w:t>
      </w:r>
      <w:hyperlink r:id="rId74">
        <w:r>
          <w:rPr>
            <w:rFonts w:ascii="Times New Roman" w:eastAsia="Times New Roman"/>
          </w:rPr>
          <w:t>www.myfund.com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400-888-6661</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上海利得基金销售有限公司</w:t>
      </w:r>
    </w:p>
    <w:p>
      <w:pPr>
        <w:pStyle w:val="BodyText"/>
        <w:spacing w:before="7"/>
        <w:rPr>
          <w:sz w:val="15"/>
        </w:rPr>
      </w:pPr>
    </w:p>
    <w:p>
      <w:pPr>
        <w:pStyle w:val="BodyText"/>
        <w:ind w:left="1260"/>
      </w:pPr>
      <w:r>
        <w:rPr/>
        <w:t>住所：上海市宝山区蕴川路</w:t>
      </w:r>
      <w:r>
        <w:rPr>
          <w:rFonts w:ascii="Times New Roman" w:eastAsia="Times New Roman"/>
        </w:rPr>
        <w:t>5475</w:t>
      </w:r>
      <w:r>
        <w:rPr/>
        <w:t>号</w:t>
      </w:r>
      <w:r>
        <w:rPr>
          <w:rFonts w:ascii="Times New Roman" w:eastAsia="Times New Roman"/>
        </w:rPr>
        <w:t>1033</w:t>
      </w:r>
      <w:r>
        <w:rPr/>
        <w:t>室</w:t>
      </w:r>
    </w:p>
    <w:p>
      <w:pPr>
        <w:pStyle w:val="BodyText"/>
        <w:spacing w:before="7"/>
        <w:rPr>
          <w:sz w:val="15"/>
        </w:rPr>
      </w:pPr>
    </w:p>
    <w:p>
      <w:pPr>
        <w:pStyle w:val="BodyText"/>
        <w:ind w:left="1260"/>
      </w:pPr>
      <w:r>
        <w:rPr/>
        <w:t>办公地址：上海市虹口区东大名路</w:t>
      </w:r>
      <w:r>
        <w:rPr>
          <w:rFonts w:ascii="Times New Roman" w:eastAsia="Times New Roman"/>
        </w:rPr>
        <w:t>1098</w:t>
      </w:r>
      <w:r>
        <w:rPr/>
        <w:t>号</w:t>
      </w:r>
      <w:r>
        <w:rPr>
          <w:rFonts w:ascii="Times New Roman" w:eastAsia="Times New Roman"/>
        </w:rPr>
        <w:t>53</w:t>
      </w:r>
      <w:r>
        <w:rPr/>
        <w:t>楼</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30"/>
        <w:jc w:val="both"/>
        <w:rPr>
          <w:rFonts w:ascii="Times New Roman" w:eastAsia="Times New Roman"/>
        </w:rPr>
      </w:pPr>
      <w:r>
        <w:rPr/>
        <w:t>法定代表人：沈继伟电话：</w:t>
      </w:r>
      <w:r>
        <w:rPr>
          <w:rFonts w:ascii="Times New Roman" w:eastAsia="Times New Roman"/>
        </w:rPr>
        <w:t>021-50583533 </w:t>
      </w:r>
      <w:r>
        <w:rPr/>
        <w:t>传真：</w:t>
      </w:r>
      <w:r>
        <w:rPr>
          <w:rFonts w:ascii="Times New Roman" w:eastAsia="Times New Roman"/>
        </w:rPr>
        <w:t>021-61101630</w:t>
      </w:r>
    </w:p>
    <w:p>
      <w:pPr>
        <w:pStyle w:val="BodyText"/>
        <w:spacing w:line="269" w:lineRule="exact"/>
        <w:ind w:left="1260"/>
      </w:pPr>
      <w:r>
        <w:rPr/>
        <w:t>联系人：曹怡晨</w:t>
      </w:r>
    </w:p>
    <w:p>
      <w:pPr>
        <w:pStyle w:val="BodyText"/>
        <w:spacing w:before="7"/>
        <w:rPr>
          <w:sz w:val="15"/>
        </w:rPr>
      </w:pPr>
    </w:p>
    <w:p>
      <w:pPr>
        <w:pStyle w:val="BodyText"/>
        <w:spacing w:line="417" w:lineRule="auto"/>
        <w:ind w:left="1260" w:right="5597"/>
        <w:rPr>
          <w:rFonts w:ascii="Times New Roman" w:eastAsia="Times New Roman"/>
        </w:rPr>
      </w:pPr>
      <w:r>
        <w:rPr/>
        <w:t>网址：</w:t>
      </w:r>
      <w:hyperlink r:id="rId75">
        <w:r>
          <w:rPr>
            <w:rFonts w:ascii="Times New Roman" w:eastAsia="Times New Roman"/>
          </w:rPr>
          <w:t>http://www.leadfund.com.cn/ </w:t>
        </w:r>
      </w:hyperlink>
      <w:r>
        <w:rPr/>
        <w:t>客户服务电话：</w:t>
      </w:r>
      <w:r>
        <w:rPr>
          <w:rFonts w:ascii="Times New Roman" w:eastAsia="Times New Roman"/>
        </w:rPr>
        <w:t>95733</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浙江金观诚基金销售有限公司</w:t>
      </w:r>
    </w:p>
    <w:p>
      <w:pPr>
        <w:pStyle w:val="BodyText"/>
        <w:spacing w:before="7"/>
        <w:rPr>
          <w:sz w:val="15"/>
        </w:rPr>
      </w:pPr>
    </w:p>
    <w:p>
      <w:pPr>
        <w:pStyle w:val="BodyText"/>
        <w:spacing w:line="417" w:lineRule="auto"/>
        <w:ind w:left="1260" w:right="3047"/>
      </w:pPr>
      <w:r>
        <w:rPr/>
        <w:t>住所：杭州市拱墅区登云路</w:t>
      </w:r>
      <w:r>
        <w:rPr>
          <w:rFonts w:ascii="Times New Roman" w:eastAsia="Times New Roman"/>
        </w:rPr>
        <w:t>45</w:t>
      </w:r>
      <w:r>
        <w:rPr/>
        <w:t>号（锦昌大厦）</w:t>
      </w:r>
      <w:r>
        <w:rPr>
          <w:rFonts w:ascii="Times New Roman" w:eastAsia="Times New Roman"/>
        </w:rPr>
        <w:t>1</w:t>
      </w:r>
      <w:r>
        <w:rPr/>
        <w:t>幢</w:t>
      </w:r>
      <w:r>
        <w:rPr>
          <w:rFonts w:ascii="Times New Roman" w:eastAsia="Times New Roman"/>
        </w:rPr>
        <w:t>10</w:t>
      </w:r>
      <w:r>
        <w:rPr/>
        <w:t>楼</w:t>
      </w:r>
      <w:r>
        <w:rPr>
          <w:rFonts w:ascii="Times New Roman" w:eastAsia="Times New Roman"/>
        </w:rPr>
        <w:t>1001</w:t>
      </w:r>
      <w:r>
        <w:rPr/>
        <w:t>室办公地址：杭州市拱墅区登云路</w:t>
      </w:r>
      <w:r>
        <w:rPr>
          <w:rFonts w:ascii="Times New Roman" w:eastAsia="Times New Roman"/>
        </w:rPr>
        <w:t>45</w:t>
      </w:r>
      <w:r>
        <w:rPr/>
        <w:t>号锦昌大厦一楼金观诚财富法定代表人：徐黎云</w:t>
      </w:r>
    </w:p>
    <w:p>
      <w:pPr>
        <w:pStyle w:val="BodyText"/>
        <w:spacing w:line="417" w:lineRule="auto"/>
        <w:ind w:left="1260" w:right="6760"/>
        <w:rPr>
          <w:rFonts w:ascii="Times New Roman" w:eastAsia="Times New Roman"/>
        </w:rPr>
      </w:pPr>
      <w:r>
        <w:rPr/>
        <w:t>电话：</w:t>
      </w:r>
      <w:r>
        <w:rPr>
          <w:rFonts w:ascii="Times New Roman" w:eastAsia="Times New Roman"/>
        </w:rPr>
        <w:t>0571-88337717 </w:t>
      </w:r>
      <w:r>
        <w:rPr/>
        <w:t>传真：</w:t>
      </w:r>
      <w:r>
        <w:rPr>
          <w:rFonts w:ascii="Times New Roman" w:eastAsia="Times New Roman"/>
        </w:rPr>
        <w:t>0571-88337666</w:t>
      </w:r>
    </w:p>
    <w:p>
      <w:pPr>
        <w:pStyle w:val="BodyText"/>
        <w:spacing w:line="269" w:lineRule="exact"/>
        <w:ind w:left="1260"/>
      </w:pPr>
      <w:r>
        <w:rPr/>
        <w:t>联系人：孙成岩</w:t>
      </w:r>
    </w:p>
    <w:p>
      <w:pPr>
        <w:pStyle w:val="BodyText"/>
        <w:spacing w:before="6"/>
        <w:rPr>
          <w:sz w:val="15"/>
        </w:rPr>
      </w:pPr>
    </w:p>
    <w:p>
      <w:pPr>
        <w:pStyle w:val="BodyText"/>
        <w:spacing w:line="417" w:lineRule="auto" w:before="1"/>
        <w:ind w:left="1260" w:right="5962"/>
        <w:rPr>
          <w:rFonts w:ascii="Times New Roman" w:eastAsia="Times New Roman"/>
        </w:rPr>
      </w:pPr>
      <w:r>
        <w:rPr/>
        <w:t>网址：</w:t>
      </w:r>
      <w:hyperlink r:id="rId76">
        <w:r>
          <w:rPr>
            <w:rFonts w:ascii="Times New Roman" w:eastAsia="Times New Roman"/>
          </w:rPr>
          <w:t>www.jincheng-fund.com </w:t>
        </w:r>
      </w:hyperlink>
      <w:r>
        <w:rPr/>
        <w:t>客户服务电话：</w:t>
      </w:r>
      <w:r>
        <w:rPr>
          <w:rFonts w:ascii="Times New Roman" w:eastAsia="Times New Roman"/>
        </w:rPr>
        <w:t>400-068-0058</w:t>
      </w: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嘉实财富管理有限公司</w:t>
      </w:r>
    </w:p>
    <w:p>
      <w:pPr>
        <w:pStyle w:val="BodyText"/>
        <w:spacing w:before="6"/>
        <w:rPr>
          <w:sz w:val="15"/>
        </w:rPr>
      </w:pPr>
    </w:p>
    <w:p>
      <w:pPr>
        <w:pStyle w:val="BodyText"/>
        <w:spacing w:line="417" w:lineRule="auto"/>
        <w:ind w:left="1260" w:right="1613"/>
      </w:pPr>
      <w:r>
        <w:rPr/>
        <w:t>住所：上海市浦东新区世纪大道</w:t>
      </w:r>
      <w:r>
        <w:rPr>
          <w:rFonts w:ascii="Times New Roman" w:eastAsia="Times New Roman"/>
        </w:rPr>
        <w:t>8</w:t>
      </w:r>
      <w:r>
        <w:rPr/>
        <w:t>号上海国金中心办公楼二期</w:t>
      </w:r>
      <w:r>
        <w:rPr>
          <w:rFonts w:ascii="Times New Roman" w:eastAsia="Times New Roman"/>
        </w:rPr>
        <w:t>53</w:t>
      </w:r>
      <w:r>
        <w:rPr/>
        <w:t>层</w:t>
      </w:r>
      <w:r>
        <w:rPr>
          <w:rFonts w:ascii="Times New Roman" w:eastAsia="Times New Roman"/>
        </w:rPr>
        <w:t>5312-15</w:t>
      </w:r>
      <w:r>
        <w:rPr/>
        <w:t>单元办公地址：北京市朝阳区建国路</w:t>
      </w:r>
      <w:r>
        <w:rPr>
          <w:rFonts w:ascii="Times New Roman" w:eastAsia="Times New Roman"/>
        </w:rPr>
        <w:t>91</w:t>
      </w:r>
      <w:r>
        <w:rPr/>
        <w:t>号金地中心</w:t>
      </w:r>
      <w:r>
        <w:rPr>
          <w:rFonts w:ascii="Times New Roman" w:eastAsia="Times New Roman"/>
        </w:rPr>
        <w:t>A</w:t>
      </w:r>
      <w:r>
        <w:rPr/>
        <w:t>座</w:t>
      </w:r>
      <w:r>
        <w:rPr>
          <w:rFonts w:ascii="Times New Roman" w:eastAsia="Times New Roman"/>
        </w:rPr>
        <w:t>6</w:t>
      </w:r>
      <w:r>
        <w:rPr/>
        <w:t>层</w:t>
      </w:r>
    </w:p>
    <w:p>
      <w:pPr>
        <w:pStyle w:val="BodyText"/>
        <w:spacing w:line="417" w:lineRule="auto"/>
        <w:ind w:left="1260" w:right="6830"/>
        <w:jc w:val="both"/>
        <w:rPr>
          <w:rFonts w:ascii="Times New Roman" w:eastAsia="Times New Roman"/>
        </w:rPr>
      </w:pPr>
      <w:r>
        <w:rPr/>
        <w:t>法定代表人：赵学军电话：</w:t>
      </w:r>
      <w:r>
        <w:rPr>
          <w:rFonts w:ascii="Times New Roman" w:eastAsia="Times New Roman"/>
        </w:rPr>
        <w:t>010-85097570 </w:t>
      </w:r>
      <w:r>
        <w:rPr/>
        <w:t>传真：</w:t>
      </w:r>
      <w:r>
        <w:rPr>
          <w:rFonts w:ascii="Times New Roman" w:eastAsia="Times New Roman"/>
        </w:rPr>
        <w:t>010-85097308</w:t>
      </w:r>
    </w:p>
    <w:p>
      <w:pPr>
        <w:pStyle w:val="BodyText"/>
        <w:ind w:left="1260"/>
      </w:pPr>
      <w:r>
        <w:rPr/>
        <w:t>联系人：余永键</w:t>
      </w:r>
    </w:p>
    <w:p>
      <w:pPr>
        <w:pStyle w:val="BodyText"/>
        <w:spacing w:before="7"/>
        <w:rPr>
          <w:sz w:val="15"/>
        </w:rPr>
      </w:pPr>
    </w:p>
    <w:p>
      <w:pPr>
        <w:pStyle w:val="BodyText"/>
        <w:ind w:left="1260"/>
        <w:rPr>
          <w:rFonts w:ascii="Times New Roman" w:eastAsia="Times New Roman"/>
        </w:rPr>
      </w:pPr>
      <w:r>
        <w:rPr/>
        <w:t>网址：</w:t>
      </w:r>
      <w:hyperlink r:id="rId77">
        <w:r>
          <w:rPr>
            <w:rFonts w:ascii="Times New Roman" w:eastAsia="Times New Roman"/>
          </w:rPr>
          <w:t>www.harvestwm.cn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400-021-8850</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乾道盈泰基金销售</w:t>
      </w:r>
      <w:r>
        <w:rPr>
          <w:sz w:val="21"/>
        </w:rPr>
        <w:t>（</w:t>
      </w:r>
      <w:r>
        <w:rPr>
          <w:spacing w:val="-2"/>
          <w:sz w:val="21"/>
        </w:rPr>
        <w:t>北京</w:t>
      </w:r>
      <w:r>
        <w:rPr>
          <w:sz w:val="21"/>
        </w:rPr>
        <w:t>）</w:t>
      </w:r>
      <w:r>
        <w:rPr>
          <w:spacing w:val="-3"/>
          <w:sz w:val="21"/>
        </w:rPr>
        <w:t>有限公司</w:t>
      </w:r>
    </w:p>
    <w:p>
      <w:pPr>
        <w:pStyle w:val="BodyText"/>
        <w:spacing w:before="6"/>
        <w:rPr>
          <w:sz w:val="15"/>
        </w:rPr>
      </w:pPr>
    </w:p>
    <w:p>
      <w:pPr>
        <w:pStyle w:val="BodyText"/>
        <w:spacing w:before="1"/>
        <w:ind w:left="1260"/>
      </w:pPr>
      <w:r>
        <w:rPr/>
        <w:t>住所：北京市海淀区东北旺村南</w:t>
      </w:r>
      <w:r>
        <w:rPr>
          <w:rFonts w:ascii="Times New Roman" w:eastAsia="Times New Roman"/>
        </w:rPr>
        <w:t>1</w:t>
      </w:r>
      <w:r>
        <w:rPr/>
        <w:t>号楼</w:t>
      </w:r>
      <w:r>
        <w:rPr>
          <w:rFonts w:ascii="Times New Roman" w:eastAsia="Times New Roman"/>
        </w:rPr>
        <w:t>7</w:t>
      </w:r>
      <w:r>
        <w:rPr/>
        <w:t>层</w:t>
      </w:r>
      <w:r>
        <w:rPr>
          <w:rFonts w:ascii="Times New Roman" w:eastAsia="Times New Roman"/>
        </w:rPr>
        <w:t>7117</w:t>
      </w:r>
      <w:r>
        <w:rPr/>
        <w:t>室</w:t>
      </w:r>
    </w:p>
    <w:p>
      <w:pPr>
        <w:pStyle w:val="BodyText"/>
        <w:spacing w:before="6"/>
        <w:rPr>
          <w:sz w:val="15"/>
        </w:rPr>
      </w:pPr>
    </w:p>
    <w:p>
      <w:pPr>
        <w:pStyle w:val="BodyText"/>
        <w:spacing w:line="417" w:lineRule="auto"/>
        <w:ind w:left="1260" w:right="3680"/>
      </w:pPr>
      <w:r>
        <w:rPr/>
        <w:t>办公地址：北京市西城区德外大街合生财富广场</w:t>
      </w:r>
      <w:r>
        <w:rPr>
          <w:rFonts w:ascii="Times New Roman" w:eastAsia="Times New Roman"/>
        </w:rPr>
        <w:t>1302</w:t>
      </w:r>
      <w:r>
        <w:rPr/>
        <w:t>室法定代表人：王兴吉</w:t>
      </w:r>
    </w:p>
    <w:p>
      <w:pPr>
        <w:pStyle w:val="BodyText"/>
        <w:spacing w:line="417" w:lineRule="auto"/>
        <w:ind w:left="1260" w:right="6866"/>
        <w:rPr>
          <w:rFonts w:ascii="Times New Roman" w:eastAsia="Times New Roman"/>
        </w:rPr>
      </w:pPr>
      <w:r>
        <w:rPr/>
        <w:t>电话：</w:t>
      </w:r>
      <w:r>
        <w:rPr>
          <w:rFonts w:ascii="Times New Roman" w:eastAsia="Times New Roman"/>
        </w:rPr>
        <w:t>010-62062880 </w:t>
      </w:r>
      <w:r>
        <w:rPr/>
        <w:t>传真：</w:t>
      </w:r>
      <w:r>
        <w:rPr>
          <w:rFonts w:ascii="Times New Roman" w:eastAsia="Times New Roman"/>
        </w:rPr>
        <w:t>010-82057741</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联系人：高雪超</w:t>
      </w:r>
    </w:p>
    <w:p>
      <w:pPr>
        <w:pStyle w:val="BodyText"/>
        <w:spacing w:before="6"/>
        <w:rPr>
          <w:sz w:val="15"/>
        </w:rPr>
      </w:pPr>
    </w:p>
    <w:p>
      <w:pPr>
        <w:pStyle w:val="BodyText"/>
        <w:spacing w:line="417" w:lineRule="auto"/>
        <w:ind w:left="1260" w:right="6149"/>
        <w:rPr>
          <w:rFonts w:ascii="Times New Roman" w:eastAsia="Times New Roman"/>
        </w:rPr>
      </w:pPr>
      <w:r>
        <w:rPr/>
        <w:t>网 址 ：</w:t>
      </w:r>
      <w:hyperlink r:id="rId78">
        <w:r>
          <w:rPr>
            <w:rFonts w:ascii="Times New Roman" w:eastAsia="Times New Roman"/>
          </w:rPr>
          <w:t>www.qiandaojr.com</w:t>
        </w:r>
      </w:hyperlink>
      <w:r>
        <w:rPr>
          <w:rFonts w:ascii="Times New Roman" w:eastAsia="Times New Roman"/>
        </w:rPr>
        <w:t> </w:t>
      </w:r>
      <w:r>
        <w:rPr/>
        <w:t>客户服务电话：</w:t>
      </w:r>
      <w:r>
        <w:rPr>
          <w:rFonts w:ascii="Times New Roman" w:eastAsia="Times New Roman"/>
        </w:rPr>
        <w:t>4000888080</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北京创金启富基金销售有限公司</w:t>
      </w:r>
    </w:p>
    <w:p>
      <w:pPr>
        <w:pStyle w:val="BodyText"/>
        <w:spacing w:before="7"/>
        <w:rPr>
          <w:sz w:val="15"/>
        </w:rPr>
      </w:pPr>
    </w:p>
    <w:p>
      <w:pPr>
        <w:pStyle w:val="BodyText"/>
        <w:ind w:left="1260"/>
      </w:pPr>
      <w:r>
        <w:rPr/>
        <w:t>住所：北京市西城区白纸坊东街</w:t>
      </w:r>
      <w:r>
        <w:rPr>
          <w:rFonts w:ascii="Times New Roman" w:eastAsia="Times New Roman"/>
        </w:rPr>
        <w:t>2</w:t>
      </w:r>
      <w:r>
        <w:rPr/>
        <w:t>号院</w:t>
      </w:r>
      <w:r>
        <w:rPr>
          <w:rFonts w:ascii="Times New Roman" w:eastAsia="Times New Roman"/>
        </w:rPr>
        <w:t>6</w:t>
      </w:r>
      <w:r>
        <w:rPr/>
        <w:t>号楼</w:t>
      </w:r>
      <w:r>
        <w:rPr>
          <w:rFonts w:ascii="Times New Roman" w:eastAsia="Times New Roman"/>
        </w:rPr>
        <w:t>712</w:t>
      </w:r>
      <w:r>
        <w:rPr/>
        <w:t>室</w:t>
      </w:r>
    </w:p>
    <w:p>
      <w:pPr>
        <w:pStyle w:val="BodyText"/>
        <w:spacing w:before="7"/>
        <w:rPr>
          <w:sz w:val="15"/>
        </w:rPr>
      </w:pPr>
    </w:p>
    <w:p>
      <w:pPr>
        <w:pStyle w:val="BodyText"/>
        <w:spacing w:line="417" w:lineRule="auto"/>
        <w:ind w:left="1260" w:right="3786"/>
      </w:pPr>
      <w:r>
        <w:rPr/>
        <w:t>办公地址：北京市西城区白纸坊东街</w:t>
      </w:r>
      <w:r>
        <w:rPr>
          <w:rFonts w:ascii="Times New Roman" w:eastAsia="Times New Roman"/>
        </w:rPr>
        <w:t>2</w:t>
      </w:r>
      <w:r>
        <w:rPr/>
        <w:t>号院</w:t>
      </w:r>
      <w:r>
        <w:rPr>
          <w:rFonts w:ascii="Times New Roman" w:eastAsia="Times New Roman"/>
        </w:rPr>
        <w:t>6</w:t>
      </w:r>
      <w:r>
        <w:rPr/>
        <w:t>号楼</w:t>
      </w:r>
      <w:r>
        <w:rPr>
          <w:rFonts w:ascii="Times New Roman" w:eastAsia="Times New Roman"/>
        </w:rPr>
        <w:t>712</w:t>
      </w:r>
      <w:r>
        <w:rPr/>
        <w:t>室法定代表人：梁蓉</w:t>
      </w:r>
    </w:p>
    <w:p>
      <w:pPr>
        <w:pStyle w:val="BodyText"/>
        <w:spacing w:line="417" w:lineRule="auto"/>
        <w:ind w:left="1260" w:right="6481"/>
        <w:rPr>
          <w:rFonts w:ascii="Times New Roman" w:eastAsia="Times New Roman"/>
        </w:rPr>
      </w:pPr>
      <w:r>
        <w:rPr/>
        <w:t>电话：</w:t>
      </w:r>
      <w:r>
        <w:rPr>
          <w:rFonts w:ascii="Times New Roman" w:eastAsia="Times New Roman"/>
        </w:rPr>
        <w:t>010-66154828-809 </w:t>
      </w:r>
      <w:r>
        <w:rPr/>
        <w:t>传真：</w:t>
      </w:r>
      <w:r>
        <w:rPr>
          <w:rFonts w:ascii="Times New Roman" w:eastAsia="Times New Roman"/>
        </w:rPr>
        <w:t>010-88067526</w:t>
      </w:r>
    </w:p>
    <w:p>
      <w:pPr>
        <w:pStyle w:val="BodyText"/>
        <w:spacing w:line="269" w:lineRule="exact"/>
        <w:ind w:left="1260"/>
      </w:pPr>
      <w:r>
        <w:rPr/>
        <w:t>联系人：马浩</w:t>
      </w:r>
    </w:p>
    <w:p>
      <w:pPr>
        <w:pStyle w:val="BodyText"/>
        <w:spacing w:before="7"/>
        <w:rPr>
          <w:sz w:val="15"/>
        </w:rPr>
      </w:pPr>
    </w:p>
    <w:p>
      <w:pPr>
        <w:pStyle w:val="BodyText"/>
        <w:ind w:left="1260"/>
        <w:rPr>
          <w:rFonts w:ascii="Times New Roman" w:eastAsia="Times New Roman"/>
        </w:rPr>
      </w:pPr>
      <w:r>
        <w:rPr/>
        <w:t>网址：</w:t>
      </w:r>
      <w:hyperlink r:id="rId79">
        <w:r>
          <w:rPr>
            <w:rFonts w:ascii="Times New Roman" w:eastAsia="Times New Roman"/>
          </w:rPr>
          <w:t>www.5irich.com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400-6262-818</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泛华普益基金销售有限公司</w:t>
      </w:r>
    </w:p>
    <w:p>
      <w:pPr>
        <w:pStyle w:val="BodyText"/>
        <w:spacing w:before="6"/>
        <w:rPr>
          <w:sz w:val="15"/>
        </w:rPr>
      </w:pPr>
    </w:p>
    <w:p>
      <w:pPr>
        <w:pStyle w:val="BodyText"/>
        <w:ind w:left="1260"/>
      </w:pPr>
      <w:r>
        <w:rPr/>
        <w:t>住所：成都市成华区建设路</w:t>
      </w:r>
      <w:r>
        <w:rPr>
          <w:rFonts w:ascii="Times New Roman" w:eastAsia="Times New Roman"/>
        </w:rPr>
        <w:t>9</w:t>
      </w:r>
      <w:r>
        <w:rPr/>
        <w:t>号高地中心</w:t>
      </w:r>
      <w:r>
        <w:rPr>
          <w:rFonts w:ascii="Times New Roman" w:eastAsia="Times New Roman"/>
        </w:rPr>
        <w:t>1101</w:t>
      </w:r>
      <w:r>
        <w:rPr/>
        <w:t>室</w:t>
      </w:r>
    </w:p>
    <w:p>
      <w:pPr>
        <w:pStyle w:val="BodyText"/>
        <w:spacing w:before="7"/>
        <w:rPr>
          <w:sz w:val="15"/>
        </w:rPr>
      </w:pPr>
    </w:p>
    <w:p>
      <w:pPr>
        <w:pStyle w:val="BodyText"/>
        <w:spacing w:line="417" w:lineRule="auto" w:before="1"/>
        <w:ind w:left="1260" w:right="1544"/>
      </w:pPr>
      <w:r>
        <w:rPr/>
        <w:t>办公地址：成都市金牛区花照壁西顺街</w:t>
      </w:r>
      <w:r>
        <w:rPr>
          <w:rFonts w:ascii="Times New Roman" w:eastAsia="Times New Roman"/>
        </w:rPr>
        <w:t>399</w:t>
      </w:r>
      <w:r>
        <w:rPr/>
        <w:t>号</w:t>
      </w:r>
      <w:r>
        <w:rPr>
          <w:rFonts w:ascii="Times New Roman" w:eastAsia="Times New Roman"/>
        </w:rPr>
        <w:t>1</w:t>
      </w:r>
      <w:r>
        <w:rPr/>
        <w:t>栋</w:t>
      </w:r>
      <w:r>
        <w:rPr>
          <w:rFonts w:ascii="Times New Roman" w:eastAsia="Times New Roman"/>
        </w:rPr>
        <w:t>1</w:t>
      </w:r>
      <w:r>
        <w:rPr/>
        <w:t>单元龙湖西宸天街</w:t>
      </w:r>
      <w:r>
        <w:rPr>
          <w:rFonts w:ascii="Times New Roman" w:eastAsia="Times New Roman"/>
        </w:rPr>
        <w:t>B</w:t>
      </w:r>
      <w:r>
        <w:rPr/>
        <w:t>座</w:t>
      </w:r>
      <w:r>
        <w:rPr>
          <w:rFonts w:ascii="Times New Roman" w:eastAsia="Times New Roman"/>
        </w:rPr>
        <w:t>1201</w:t>
      </w:r>
      <w:r>
        <w:rPr/>
        <w:t>号法定代表人：于海锋</w:t>
      </w:r>
    </w:p>
    <w:p>
      <w:pPr>
        <w:pStyle w:val="BodyText"/>
        <w:spacing w:line="269" w:lineRule="exact"/>
        <w:ind w:left="1260"/>
        <w:rPr>
          <w:rFonts w:ascii="Times New Roman" w:eastAsia="Times New Roman"/>
        </w:rPr>
      </w:pPr>
      <w:r>
        <w:rPr/>
        <w:t>电话：</w:t>
      </w:r>
      <w:r>
        <w:rPr>
          <w:rFonts w:ascii="Times New Roman" w:eastAsia="Times New Roman"/>
        </w:rPr>
        <w:t>13910181936</w:t>
      </w:r>
    </w:p>
    <w:p>
      <w:pPr>
        <w:pStyle w:val="BodyText"/>
        <w:spacing w:before="3"/>
        <w:rPr>
          <w:rFonts w:ascii="Times New Roman"/>
          <w:sz w:val="17"/>
        </w:rPr>
      </w:pPr>
    </w:p>
    <w:p>
      <w:pPr>
        <w:pStyle w:val="BodyText"/>
        <w:ind w:left="1260"/>
        <w:rPr>
          <w:rFonts w:ascii="Times New Roman" w:eastAsia="Times New Roman"/>
        </w:rPr>
      </w:pPr>
      <w:r>
        <w:rPr/>
        <w:t>传真：</w:t>
      </w:r>
      <w:r>
        <w:rPr>
          <w:rFonts w:ascii="Times New Roman" w:eastAsia="Times New Roman"/>
        </w:rPr>
        <w:t>-</w:t>
      </w:r>
    </w:p>
    <w:p>
      <w:pPr>
        <w:pStyle w:val="BodyText"/>
        <w:spacing w:before="3"/>
        <w:rPr>
          <w:rFonts w:ascii="Times New Roman"/>
          <w:sz w:val="17"/>
        </w:rPr>
      </w:pPr>
    </w:p>
    <w:p>
      <w:pPr>
        <w:pStyle w:val="BodyText"/>
        <w:ind w:left="1260"/>
      </w:pPr>
      <w:r>
        <w:rPr/>
        <w:t>联系人：隋亚方</w:t>
      </w:r>
    </w:p>
    <w:p>
      <w:pPr>
        <w:pStyle w:val="BodyText"/>
        <w:spacing w:before="7"/>
        <w:rPr>
          <w:sz w:val="15"/>
        </w:rPr>
      </w:pPr>
    </w:p>
    <w:p>
      <w:pPr>
        <w:pStyle w:val="BodyText"/>
        <w:spacing w:line="417" w:lineRule="auto"/>
        <w:ind w:left="1260" w:right="5741"/>
        <w:rPr>
          <w:rFonts w:ascii="Times New Roman" w:eastAsia="Times New Roman"/>
        </w:rPr>
      </w:pPr>
      <w:r>
        <w:rPr/>
        <w:t>网址：</w:t>
      </w:r>
      <w:r>
        <w:rPr>
          <w:rFonts w:ascii="Times New Roman" w:eastAsia="Times New Roman"/>
        </w:rPr>
        <w:t>https://</w:t>
      </w:r>
      <w:hyperlink r:id="rId80">
        <w:r>
          <w:rPr>
            <w:rFonts w:ascii="Times New Roman" w:eastAsia="Times New Roman"/>
          </w:rPr>
          <w:t>www.puyifund.com/ </w:t>
        </w:r>
      </w:hyperlink>
      <w:r>
        <w:rPr/>
        <w:t>客户服务电话：</w:t>
      </w:r>
      <w:r>
        <w:rPr>
          <w:rFonts w:ascii="Times New Roman" w:eastAsia="Times New Roman"/>
        </w:rPr>
        <w:t>400-080-3388</w:t>
      </w:r>
    </w:p>
    <w:p>
      <w:pPr>
        <w:pStyle w:val="ListParagraph"/>
        <w:numPr>
          <w:ilvl w:val="0"/>
          <w:numId w:val="8"/>
        </w:numPr>
        <w:tabs>
          <w:tab w:pos="1895" w:val="left" w:leader="none"/>
        </w:tabs>
        <w:spacing w:line="417" w:lineRule="auto" w:before="1" w:after="0"/>
        <w:ind w:left="1260" w:right="4415" w:firstLine="0"/>
        <w:jc w:val="left"/>
        <w:rPr>
          <w:rFonts w:ascii="Times New Roman" w:eastAsia="Times New Roman"/>
          <w:sz w:val="21"/>
        </w:rPr>
      </w:pPr>
      <w:r>
        <w:rPr>
          <w:spacing w:val="-3"/>
          <w:sz w:val="21"/>
        </w:rPr>
        <w:t>宜信普泽</w:t>
      </w:r>
      <w:r>
        <w:rPr>
          <w:sz w:val="21"/>
        </w:rPr>
        <w:t>（</w:t>
      </w:r>
      <w:r>
        <w:rPr>
          <w:spacing w:val="-2"/>
          <w:sz w:val="21"/>
        </w:rPr>
        <w:t>北京</w:t>
      </w:r>
      <w:r>
        <w:rPr>
          <w:spacing w:val="-3"/>
          <w:sz w:val="21"/>
        </w:rPr>
        <w:t>）基金销售有限公司  住所：北京市朝阳区建国路</w:t>
      </w:r>
      <w:r>
        <w:rPr>
          <w:rFonts w:ascii="Times New Roman" w:eastAsia="Times New Roman"/>
          <w:sz w:val="21"/>
        </w:rPr>
        <w:t>88</w:t>
      </w:r>
      <w:r>
        <w:rPr>
          <w:spacing w:val="-3"/>
          <w:sz w:val="21"/>
        </w:rPr>
        <w:t>号</w:t>
      </w:r>
      <w:r>
        <w:rPr>
          <w:rFonts w:ascii="Times New Roman" w:eastAsia="Times New Roman"/>
          <w:sz w:val="21"/>
        </w:rPr>
        <w:t>9</w:t>
      </w:r>
      <w:r>
        <w:rPr>
          <w:spacing w:val="-2"/>
          <w:sz w:val="21"/>
        </w:rPr>
        <w:t>号楼</w:t>
      </w:r>
      <w:r>
        <w:rPr>
          <w:rFonts w:ascii="Times New Roman" w:eastAsia="Times New Roman"/>
          <w:sz w:val="21"/>
        </w:rPr>
        <w:t>15</w:t>
      </w:r>
      <w:r>
        <w:rPr>
          <w:sz w:val="21"/>
        </w:rPr>
        <w:t>层</w:t>
      </w:r>
      <w:r>
        <w:rPr>
          <w:rFonts w:ascii="Times New Roman" w:eastAsia="Times New Roman"/>
          <w:spacing w:val="-4"/>
          <w:sz w:val="21"/>
        </w:rPr>
        <w:t>1809</w:t>
      </w:r>
    </w:p>
    <w:p>
      <w:pPr>
        <w:pStyle w:val="BodyText"/>
        <w:spacing w:line="417" w:lineRule="auto"/>
        <w:ind w:left="1260" w:right="2965"/>
      </w:pPr>
      <w:r>
        <w:rPr/>
        <w:t>办公地址：北京市朝阳区建国路</w:t>
      </w:r>
      <w:r>
        <w:rPr>
          <w:rFonts w:ascii="Times New Roman" w:eastAsia="Times New Roman"/>
        </w:rPr>
        <w:t>88</w:t>
      </w:r>
      <w:r>
        <w:rPr/>
        <w:t>号</w:t>
      </w:r>
      <w:r>
        <w:rPr>
          <w:rFonts w:ascii="Times New Roman" w:eastAsia="Times New Roman"/>
        </w:rPr>
        <w:t>SOHO</w:t>
      </w:r>
      <w:r>
        <w:rPr/>
        <w:t>现代城</w:t>
      </w:r>
      <w:r>
        <w:rPr>
          <w:rFonts w:ascii="Times New Roman" w:eastAsia="Times New Roman"/>
        </w:rPr>
        <w:t>C</w:t>
      </w:r>
      <w:r>
        <w:rPr/>
        <w:t>座</w:t>
      </w:r>
      <w:r>
        <w:rPr>
          <w:rFonts w:ascii="Times New Roman" w:eastAsia="Times New Roman"/>
        </w:rPr>
        <w:t>18</w:t>
      </w:r>
      <w:r>
        <w:rPr/>
        <w:t>层</w:t>
      </w:r>
      <w:r>
        <w:rPr>
          <w:rFonts w:ascii="Times New Roman" w:eastAsia="Times New Roman"/>
        </w:rPr>
        <w:t>1809 </w:t>
      </w:r>
      <w:r>
        <w:rPr/>
        <w:t>法定代表人：沈伟桦</w:t>
      </w:r>
    </w:p>
    <w:p>
      <w:pPr>
        <w:pStyle w:val="BodyText"/>
        <w:spacing w:line="417" w:lineRule="auto"/>
        <w:ind w:left="1260" w:right="6866"/>
        <w:rPr>
          <w:rFonts w:ascii="Times New Roman" w:eastAsia="Times New Roman"/>
        </w:rPr>
      </w:pPr>
      <w:r>
        <w:rPr/>
        <w:t>电话：</w:t>
      </w:r>
      <w:r>
        <w:rPr>
          <w:rFonts w:ascii="Times New Roman" w:eastAsia="Times New Roman"/>
        </w:rPr>
        <w:t>010-52855713 </w:t>
      </w:r>
      <w:r>
        <w:rPr/>
        <w:t>传真：</w:t>
      </w:r>
      <w:r>
        <w:rPr>
          <w:rFonts w:ascii="Times New Roman" w:eastAsia="Times New Roman"/>
        </w:rPr>
        <w:t>010-85894285</w:t>
      </w:r>
    </w:p>
    <w:p>
      <w:pPr>
        <w:pStyle w:val="BodyText"/>
        <w:spacing w:line="269" w:lineRule="exact"/>
        <w:ind w:left="1260"/>
      </w:pPr>
      <w:r>
        <w:rPr/>
        <w:t>联系人：程刚</w:t>
      </w:r>
    </w:p>
    <w:p>
      <w:pPr>
        <w:pStyle w:val="BodyText"/>
        <w:spacing w:before="6"/>
        <w:rPr>
          <w:sz w:val="15"/>
        </w:rPr>
      </w:pPr>
    </w:p>
    <w:p>
      <w:pPr>
        <w:pStyle w:val="BodyText"/>
        <w:ind w:left="1260"/>
        <w:rPr>
          <w:rFonts w:ascii="Times New Roman" w:eastAsia="Times New Roman"/>
        </w:rPr>
      </w:pPr>
      <w:r>
        <w:rPr/>
        <w:t>网址：</w:t>
      </w:r>
      <w:hyperlink r:id="rId81">
        <w:r>
          <w:rPr>
            <w:rFonts w:ascii="Times New Roman" w:eastAsia="Times New Roman"/>
          </w:rPr>
          <w:t>www.yixinfund.com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400-609-9200</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417" w:lineRule="auto" w:before="79" w:after="0"/>
        <w:ind w:left="1260" w:right="5500" w:firstLine="0"/>
        <w:jc w:val="left"/>
        <w:rPr>
          <w:sz w:val="21"/>
        </w:rPr>
      </w:pPr>
      <w:r>
        <w:rPr>
          <w:spacing w:val="-3"/>
          <w:sz w:val="21"/>
        </w:rPr>
        <w:t>南京苏宁基金销售有限公司住所：南京市玄武区苏宁大道</w:t>
      </w:r>
      <w:r>
        <w:rPr>
          <w:rFonts w:ascii="Times New Roman" w:eastAsia="Times New Roman"/>
          <w:sz w:val="21"/>
        </w:rPr>
        <w:t>1-5</w:t>
      </w:r>
      <w:r>
        <w:rPr>
          <w:spacing w:val="-13"/>
          <w:sz w:val="21"/>
        </w:rPr>
        <w:t>号</w:t>
      </w:r>
    </w:p>
    <w:p>
      <w:pPr>
        <w:pStyle w:val="BodyText"/>
        <w:spacing w:line="417" w:lineRule="auto"/>
        <w:ind w:left="1260" w:right="4729"/>
      </w:pPr>
      <w:r>
        <w:rPr/>
        <w:t>办公地址：南京市玄武区苏宁大道苏宁总部法定代表人：刘汉青</w:t>
      </w:r>
    </w:p>
    <w:p>
      <w:pPr>
        <w:pStyle w:val="BodyText"/>
        <w:spacing w:line="417" w:lineRule="auto"/>
        <w:ind w:left="1260" w:right="6167"/>
        <w:rPr>
          <w:rFonts w:ascii="Times New Roman" w:eastAsia="Times New Roman"/>
        </w:rPr>
      </w:pPr>
      <w:r>
        <w:rPr/>
        <w:t>电话：</w:t>
      </w:r>
      <w:r>
        <w:rPr>
          <w:rFonts w:ascii="Times New Roman" w:eastAsia="Times New Roman"/>
        </w:rPr>
        <w:t>025-66996699-887226 </w:t>
      </w:r>
      <w:r>
        <w:rPr/>
        <w:t>传真：</w:t>
      </w:r>
      <w:r>
        <w:rPr>
          <w:rFonts w:ascii="Times New Roman" w:eastAsia="Times New Roman"/>
        </w:rPr>
        <w:t>025-66008800-887226</w:t>
      </w:r>
    </w:p>
    <w:p>
      <w:pPr>
        <w:pStyle w:val="BodyText"/>
        <w:spacing w:line="269" w:lineRule="exact"/>
        <w:ind w:left="1260"/>
      </w:pPr>
      <w:r>
        <w:rPr/>
        <w:t>联系人：王峰</w:t>
      </w:r>
    </w:p>
    <w:p>
      <w:pPr>
        <w:pStyle w:val="BodyText"/>
        <w:spacing w:before="6"/>
        <w:rPr>
          <w:sz w:val="15"/>
        </w:rPr>
      </w:pPr>
    </w:p>
    <w:p>
      <w:pPr>
        <w:pStyle w:val="BodyText"/>
        <w:spacing w:line="417" w:lineRule="auto"/>
        <w:ind w:left="1260" w:right="6615"/>
        <w:rPr>
          <w:rFonts w:ascii="Times New Roman" w:eastAsia="Times New Roman"/>
        </w:rPr>
      </w:pPr>
      <w:r>
        <w:rPr/>
        <w:t>网址：</w:t>
      </w:r>
      <w:hyperlink r:id="rId82">
        <w:r>
          <w:rPr>
            <w:rFonts w:ascii="Times New Roman" w:eastAsia="Times New Roman"/>
          </w:rPr>
          <w:t>www.snjijin.com </w:t>
        </w:r>
      </w:hyperlink>
      <w:r>
        <w:rPr/>
        <w:t>客户服务电话：</w:t>
      </w:r>
      <w:r>
        <w:rPr>
          <w:rFonts w:ascii="Times New Roman" w:eastAsia="Times New Roman"/>
        </w:rPr>
        <w:t>95177</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浦领基金销售有限公司</w:t>
      </w:r>
    </w:p>
    <w:p>
      <w:pPr>
        <w:pStyle w:val="BodyText"/>
        <w:spacing w:before="7"/>
        <w:rPr>
          <w:sz w:val="15"/>
        </w:rPr>
      </w:pPr>
    </w:p>
    <w:p>
      <w:pPr>
        <w:pStyle w:val="BodyText"/>
        <w:spacing w:line="417" w:lineRule="auto"/>
        <w:ind w:left="1260" w:right="3575"/>
      </w:pPr>
      <w:r>
        <w:rPr/>
        <w:t>住所：北京市朝阳区望京东园四区</w:t>
      </w:r>
      <w:r>
        <w:rPr>
          <w:rFonts w:ascii="Times New Roman" w:eastAsia="Times New Roman"/>
        </w:rPr>
        <w:t>2</w:t>
      </w:r>
      <w:r>
        <w:rPr/>
        <w:t>号楼</w:t>
      </w:r>
      <w:r>
        <w:rPr>
          <w:rFonts w:ascii="Times New Roman" w:eastAsia="Times New Roman"/>
        </w:rPr>
        <w:t>10</w:t>
      </w:r>
      <w:r>
        <w:rPr/>
        <w:t>层</w:t>
      </w:r>
      <w:r>
        <w:rPr>
          <w:rFonts w:ascii="Times New Roman" w:eastAsia="Times New Roman"/>
        </w:rPr>
        <w:t>1001</w:t>
      </w:r>
      <w:r>
        <w:rPr/>
        <w:t>号</w:t>
      </w:r>
      <w:r>
        <w:rPr>
          <w:rFonts w:ascii="Times New Roman" w:eastAsia="Times New Roman"/>
        </w:rPr>
        <w:t>04</w:t>
      </w:r>
      <w:r>
        <w:rPr/>
        <w:t>室办公地址：北京市朝阳区望京中航资本大厦</w:t>
      </w:r>
      <w:r>
        <w:rPr>
          <w:rFonts w:ascii="Times New Roman" w:eastAsia="Times New Roman"/>
        </w:rPr>
        <w:t>10</w:t>
      </w:r>
      <w:r>
        <w:rPr/>
        <w:t>层</w:t>
      </w:r>
    </w:p>
    <w:p>
      <w:pPr>
        <w:pStyle w:val="BodyText"/>
        <w:spacing w:line="417" w:lineRule="auto"/>
        <w:ind w:left="1260" w:right="6830"/>
        <w:jc w:val="both"/>
        <w:rPr>
          <w:rFonts w:ascii="Times New Roman" w:eastAsia="Times New Roman"/>
        </w:rPr>
      </w:pPr>
      <w:r>
        <w:rPr/>
        <w:t>法定代表人：聂婉君电话：</w:t>
      </w:r>
      <w:r>
        <w:rPr>
          <w:rFonts w:ascii="Times New Roman" w:eastAsia="Times New Roman"/>
        </w:rPr>
        <w:t>010-59497361 </w:t>
      </w:r>
      <w:r>
        <w:rPr/>
        <w:t>传真：</w:t>
      </w:r>
      <w:r>
        <w:rPr>
          <w:rFonts w:ascii="Times New Roman" w:eastAsia="Times New Roman"/>
        </w:rPr>
        <w:t>010-64788016</w:t>
      </w:r>
    </w:p>
    <w:p>
      <w:pPr>
        <w:pStyle w:val="BodyText"/>
        <w:ind w:left="1260"/>
      </w:pPr>
      <w:r>
        <w:rPr/>
        <w:t>联系人：李艳</w:t>
      </w:r>
    </w:p>
    <w:p>
      <w:pPr>
        <w:pStyle w:val="BodyText"/>
        <w:spacing w:before="6"/>
        <w:rPr>
          <w:sz w:val="15"/>
        </w:rPr>
      </w:pPr>
    </w:p>
    <w:p>
      <w:pPr>
        <w:pStyle w:val="BodyText"/>
        <w:ind w:left="1260"/>
        <w:rPr>
          <w:rFonts w:ascii="Times New Roman" w:eastAsia="Times New Roman"/>
        </w:rPr>
      </w:pPr>
      <w:r>
        <w:rPr/>
        <w:t>网址：</w:t>
      </w:r>
      <w:hyperlink r:id="rId83">
        <w:r>
          <w:rPr>
            <w:rFonts w:ascii="Times New Roman" w:eastAsia="Times New Roman"/>
          </w:rPr>
          <w:t>www.zscffund.com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400-012-5899</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深圳腾元基金销售有限公司</w:t>
      </w:r>
    </w:p>
    <w:p>
      <w:pPr>
        <w:pStyle w:val="BodyText"/>
        <w:spacing w:before="7"/>
        <w:rPr>
          <w:sz w:val="15"/>
        </w:rPr>
      </w:pPr>
    </w:p>
    <w:p>
      <w:pPr>
        <w:pStyle w:val="BodyText"/>
        <w:ind w:left="1260"/>
      </w:pPr>
      <w:r>
        <w:rPr/>
        <w:t>住所：深圳市福田区金田路</w:t>
      </w:r>
      <w:r>
        <w:rPr>
          <w:rFonts w:ascii="Times New Roman" w:eastAsia="Times New Roman"/>
        </w:rPr>
        <w:t>2028</w:t>
      </w:r>
      <w:r>
        <w:rPr/>
        <w:t>号卓越世纪中心</w:t>
      </w:r>
      <w:r>
        <w:rPr>
          <w:rFonts w:ascii="Times New Roman" w:eastAsia="Times New Roman"/>
        </w:rPr>
        <w:t>1</w:t>
      </w:r>
      <w:r>
        <w:rPr/>
        <w:t>号楼</w:t>
      </w:r>
      <w:r>
        <w:rPr>
          <w:rFonts w:ascii="Times New Roman" w:eastAsia="Times New Roman"/>
        </w:rPr>
        <w:t>1806-1808</w:t>
      </w:r>
      <w:r>
        <w:rPr/>
        <w:t>单元</w:t>
      </w:r>
    </w:p>
    <w:p>
      <w:pPr>
        <w:pStyle w:val="BodyText"/>
        <w:spacing w:before="6"/>
        <w:rPr>
          <w:sz w:val="15"/>
        </w:rPr>
      </w:pPr>
    </w:p>
    <w:p>
      <w:pPr>
        <w:pStyle w:val="BodyText"/>
        <w:spacing w:line="417" w:lineRule="auto" w:before="1"/>
        <w:ind w:left="1260" w:right="2036"/>
      </w:pPr>
      <w:r>
        <w:rPr/>
        <w:t>办公地址：深圳市福田区金田路</w:t>
      </w:r>
      <w:r>
        <w:rPr>
          <w:rFonts w:ascii="Times New Roman" w:eastAsia="Times New Roman"/>
        </w:rPr>
        <w:t>2028</w:t>
      </w:r>
      <w:r>
        <w:rPr/>
        <w:t>号卓越世纪中心</w:t>
      </w:r>
      <w:r>
        <w:rPr>
          <w:rFonts w:ascii="Times New Roman" w:eastAsia="Times New Roman"/>
        </w:rPr>
        <w:t>1</w:t>
      </w:r>
      <w:r>
        <w:rPr/>
        <w:t>号楼</w:t>
      </w:r>
      <w:r>
        <w:rPr>
          <w:rFonts w:ascii="Times New Roman" w:eastAsia="Times New Roman"/>
        </w:rPr>
        <w:t>1806-1808</w:t>
      </w:r>
      <w:r>
        <w:rPr/>
        <w:t>单元法定代表人：曾革</w:t>
      </w:r>
    </w:p>
    <w:p>
      <w:pPr>
        <w:pStyle w:val="BodyText"/>
        <w:spacing w:line="417" w:lineRule="auto"/>
        <w:ind w:left="1260" w:right="6760"/>
        <w:rPr>
          <w:rFonts w:ascii="Times New Roman" w:eastAsia="Times New Roman"/>
        </w:rPr>
      </w:pPr>
      <w:r>
        <w:rPr/>
        <w:t>电话：</w:t>
      </w:r>
      <w:r>
        <w:rPr>
          <w:rFonts w:ascii="Times New Roman" w:eastAsia="Times New Roman"/>
        </w:rPr>
        <w:t>0755-33376853 </w:t>
      </w:r>
      <w:r>
        <w:rPr/>
        <w:t>传真：</w:t>
      </w:r>
      <w:r>
        <w:rPr>
          <w:rFonts w:ascii="Times New Roman" w:eastAsia="Times New Roman"/>
        </w:rPr>
        <w:t>0755-33065516</w:t>
      </w:r>
    </w:p>
    <w:p>
      <w:pPr>
        <w:pStyle w:val="BodyText"/>
        <w:spacing w:line="269" w:lineRule="exact"/>
        <w:ind w:left="1260"/>
      </w:pPr>
      <w:r>
        <w:rPr/>
        <w:t>联系人：鄢萌莎</w:t>
      </w:r>
    </w:p>
    <w:p>
      <w:pPr>
        <w:pStyle w:val="BodyText"/>
        <w:spacing w:before="6"/>
        <w:rPr>
          <w:sz w:val="15"/>
        </w:rPr>
      </w:pPr>
    </w:p>
    <w:p>
      <w:pPr>
        <w:pStyle w:val="BodyText"/>
        <w:spacing w:line="417" w:lineRule="auto" w:before="1"/>
        <w:ind w:left="1260" w:right="6061"/>
        <w:rPr>
          <w:rFonts w:ascii="Times New Roman" w:eastAsia="Times New Roman"/>
        </w:rPr>
      </w:pPr>
      <w:r>
        <w:rPr/>
        <w:t>网址：</w:t>
      </w:r>
      <w:hyperlink r:id="rId84">
        <w:r>
          <w:rPr>
            <w:rFonts w:ascii="Times New Roman" w:eastAsia="Times New Roman"/>
          </w:rPr>
          <w:t>www.tenyuanfund.com </w:t>
        </w:r>
      </w:hyperlink>
      <w:r>
        <w:rPr/>
        <w:t>客户服务电话：</w:t>
      </w:r>
      <w:r>
        <w:rPr>
          <w:rFonts w:ascii="Times New Roman" w:eastAsia="Times New Roman"/>
        </w:rPr>
        <w:t>400-687-7899</w:t>
      </w:r>
    </w:p>
    <w:p>
      <w:pPr>
        <w:pStyle w:val="ListParagraph"/>
        <w:numPr>
          <w:ilvl w:val="0"/>
          <w:numId w:val="8"/>
        </w:numPr>
        <w:tabs>
          <w:tab w:pos="1895" w:val="left" w:leader="none"/>
        </w:tabs>
        <w:spacing w:line="417" w:lineRule="auto" w:before="0" w:after="0"/>
        <w:ind w:left="1260" w:right="4624" w:firstLine="0"/>
        <w:jc w:val="left"/>
        <w:rPr>
          <w:sz w:val="21"/>
        </w:rPr>
      </w:pPr>
      <w:r>
        <w:rPr>
          <w:spacing w:val="-3"/>
          <w:sz w:val="21"/>
        </w:rPr>
        <w:t>通华财富</w:t>
      </w:r>
      <w:r>
        <w:rPr>
          <w:sz w:val="21"/>
        </w:rPr>
        <w:t>（</w:t>
      </w:r>
      <w:r>
        <w:rPr>
          <w:spacing w:val="-2"/>
          <w:sz w:val="21"/>
        </w:rPr>
        <w:t>上海</w:t>
      </w:r>
      <w:r>
        <w:rPr>
          <w:spacing w:val="-3"/>
          <w:sz w:val="21"/>
        </w:rPr>
        <w:t>）基金销售有限公司住所：上海市虹口区同丰路</w:t>
      </w:r>
      <w:r>
        <w:rPr>
          <w:rFonts w:ascii="Times New Roman" w:eastAsia="Times New Roman"/>
          <w:sz w:val="21"/>
        </w:rPr>
        <w:t>667</w:t>
      </w:r>
      <w:r>
        <w:rPr>
          <w:sz w:val="21"/>
        </w:rPr>
        <w:t>弄</w:t>
      </w:r>
      <w:r>
        <w:rPr>
          <w:rFonts w:ascii="Times New Roman" w:eastAsia="Times New Roman"/>
          <w:sz w:val="21"/>
        </w:rPr>
        <w:t>107</w:t>
      </w:r>
      <w:r>
        <w:rPr>
          <w:sz w:val="21"/>
        </w:rPr>
        <w:t>号</w:t>
      </w:r>
      <w:r>
        <w:rPr>
          <w:rFonts w:ascii="Times New Roman" w:eastAsia="Times New Roman"/>
          <w:sz w:val="21"/>
        </w:rPr>
        <w:t>201</w:t>
      </w:r>
      <w:r>
        <w:rPr>
          <w:spacing w:val="-11"/>
          <w:sz w:val="21"/>
        </w:rPr>
        <w:t>室</w:t>
      </w:r>
    </w:p>
    <w:p>
      <w:pPr>
        <w:pStyle w:val="BodyText"/>
        <w:ind w:left="1260"/>
      </w:pPr>
      <w:r>
        <w:rPr/>
        <w:t>办公地址：上海市浦东新区金沪路</w:t>
      </w:r>
      <w:r>
        <w:rPr>
          <w:rFonts w:ascii="Times New Roman" w:eastAsia="Times New Roman"/>
        </w:rPr>
        <w:t>55</w:t>
      </w:r>
      <w:r>
        <w:rPr/>
        <w:t>号通华科技大厦</w:t>
      </w:r>
      <w:r>
        <w:rPr>
          <w:rFonts w:ascii="Times New Roman" w:eastAsia="Times New Roman"/>
        </w:rPr>
        <w:t>2</w:t>
      </w:r>
      <w:r>
        <w:rPr/>
        <w:t>层</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30"/>
        <w:jc w:val="both"/>
        <w:rPr>
          <w:rFonts w:ascii="Times New Roman" w:eastAsia="Times New Roman"/>
        </w:rPr>
      </w:pPr>
      <w:r>
        <w:rPr/>
        <w:t>法定代表人：沈丹义电话：</w:t>
      </w:r>
      <w:r>
        <w:rPr>
          <w:rFonts w:ascii="Times New Roman" w:eastAsia="Times New Roman"/>
        </w:rPr>
        <w:t>021-60818757 </w:t>
      </w:r>
      <w:r>
        <w:rPr/>
        <w:t>传真：</w:t>
      </w:r>
      <w:r>
        <w:rPr>
          <w:rFonts w:ascii="Times New Roman" w:eastAsia="Times New Roman"/>
        </w:rPr>
        <w:t>021-60810695</w:t>
      </w:r>
    </w:p>
    <w:p>
      <w:pPr>
        <w:pStyle w:val="BodyText"/>
        <w:spacing w:line="269" w:lineRule="exact"/>
        <w:ind w:left="1260"/>
      </w:pPr>
      <w:r>
        <w:rPr/>
        <w:t>联系人：周晶</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85">
        <w:r>
          <w:rPr>
            <w:rFonts w:ascii="Times New Roman" w:eastAsia="Times New Roman"/>
          </w:rPr>
          <w:t>www.tonghuafund.com </w:t>
        </w:r>
      </w:hyperlink>
      <w:r>
        <w:rPr/>
        <w:t>客户服务电话：</w:t>
      </w:r>
      <w:r>
        <w:rPr>
          <w:rFonts w:ascii="Times New Roman" w:eastAsia="Times New Roman"/>
        </w:rPr>
        <w:t>400-101-9301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北京恒天明泽基金销售有限公司</w:t>
      </w:r>
    </w:p>
    <w:p>
      <w:pPr>
        <w:pStyle w:val="BodyText"/>
        <w:spacing w:before="7"/>
        <w:rPr>
          <w:sz w:val="15"/>
        </w:rPr>
      </w:pPr>
    </w:p>
    <w:p>
      <w:pPr>
        <w:pStyle w:val="BodyText"/>
        <w:ind w:left="1260"/>
      </w:pPr>
      <w:r>
        <w:rPr/>
        <w:t>住所：北京市经济技术开发区宏达北路</w:t>
      </w:r>
      <w:r>
        <w:rPr>
          <w:rFonts w:ascii="Times New Roman" w:eastAsia="Times New Roman"/>
        </w:rPr>
        <w:t>10</w:t>
      </w:r>
      <w:r>
        <w:rPr/>
        <w:t>号五层</w:t>
      </w:r>
      <w:r>
        <w:rPr>
          <w:rFonts w:ascii="Times New Roman" w:eastAsia="Times New Roman"/>
        </w:rPr>
        <w:t>5122</w:t>
      </w:r>
      <w:r>
        <w:rPr/>
        <w:t>室</w:t>
      </w:r>
    </w:p>
    <w:p>
      <w:pPr>
        <w:pStyle w:val="BodyText"/>
        <w:spacing w:before="7"/>
        <w:rPr>
          <w:sz w:val="15"/>
        </w:rPr>
      </w:pPr>
    </w:p>
    <w:p>
      <w:pPr>
        <w:pStyle w:val="BodyText"/>
        <w:spacing w:line="417" w:lineRule="auto"/>
        <w:ind w:left="1260" w:right="3315"/>
      </w:pPr>
      <w:r>
        <w:rPr/>
        <w:t>办公地址：北京市朝阳区东三环中路</w:t>
      </w:r>
      <w:r>
        <w:rPr>
          <w:rFonts w:ascii="Times New Roman" w:eastAsia="Times New Roman"/>
        </w:rPr>
        <w:t>20</w:t>
      </w:r>
      <w:r>
        <w:rPr/>
        <w:t>号乐成中心</w:t>
      </w:r>
      <w:r>
        <w:rPr>
          <w:rFonts w:ascii="Times New Roman" w:eastAsia="Times New Roman"/>
        </w:rPr>
        <w:t>A</w:t>
      </w:r>
      <w:r>
        <w:rPr/>
        <w:t>座</w:t>
      </w:r>
      <w:r>
        <w:rPr>
          <w:rFonts w:ascii="Times New Roman" w:eastAsia="Times New Roman"/>
        </w:rPr>
        <w:t>23</w:t>
      </w:r>
      <w:r>
        <w:rPr/>
        <w:t>层法定代表人：梁越</w:t>
      </w:r>
    </w:p>
    <w:p>
      <w:pPr>
        <w:pStyle w:val="BodyText"/>
        <w:spacing w:line="417" w:lineRule="auto"/>
        <w:ind w:left="1260" w:right="6866"/>
        <w:rPr>
          <w:rFonts w:ascii="Times New Roman" w:eastAsia="Times New Roman"/>
        </w:rPr>
      </w:pPr>
      <w:r>
        <w:rPr/>
        <w:t>电话：</w:t>
      </w:r>
      <w:r>
        <w:rPr>
          <w:rFonts w:ascii="Times New Roman" w:eastAsia="Times New Roman"/>
        </w:rPr>
        <w:t>13501068175 </w:t>
      </w:r>
      <w:r>
        <w:rPr/>
        <w:t>传真：</w:t>
      </w:r>
      <w:r>
        <w:rPr>
          <w:rFonts w:ascii="Times New Roman" w:eastAsia="Times New Roman"/>
        </w:rPr>
        <w:t>010-56810630</w:t>
      </w:r>
    </w:p>
    <w:p>
      <w:pPr>
        <w:pStyle w:val="BodyText"/>
        <w:spacing w:line="269" w:lineRule="exact"/>
        <w:ind w:left="1260"/>
      </w:pPr>
      <w:r>
        <w:rPr/>
        <w:t>联系人：马鹏程</w:t>
      </w:r>
    </w:p>
    <w:p>
      <w:pPr>
        <w:pStyle w:val="BodyText"/>
        <w:spacing w:before="6"/>
        <w:rPr>
          <w:sz w:val="15"/>
        </w:rPr>
      </w:pPr>
    </w:p>
    <w:p>
      <w:pPr>
        <w:pStyle w:val="BodyText"/>
        <w:spacing w:before="1"/>
        <w:ind w:left="1260"/>
        <w:rPr>
          <w:rFonts w:ascii="Times New Roman" w:eastAsia="Times New Roman"/>
        </w:rPr>
      </w:pPr>
      <w:r>
        <w:rPr/>
        <w:t>网址：</w:t>
      </w:r>
      <w:hyperlink r:id="rId86">
        <w:r>
          <w:rPr>
            <w:rFonts w:ascii="Times New Roman" w:eastAsia="Times New Roman"/>
          </w:rPr>
          <w:t>www.chtwm.com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400-898-0618</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深圳宜投基金销售有限公司</w:t>
      </w:r>
    </w:p>
    <w:p>
      <w:pPr>
        <w:pStyle w:val="BodyText"/>
        <w:spacing w:before="6"/>
        <w:rPr>
          <w:sz w:val="15"/>
        </w:rPr>
      </w:pPr>
    </w:p>
    <w:p>
      <w:pPr>
        <w:pStyle w:val="BodyText"/>
        <w:spacing w:before="1"/>
        <w:ind w:left="1260"/>
      </w:pPr>
      <w:r>
        <w:rPr/>
        <w:t>住所：深圳市前海深港合作区前湾一路鲤鱼门街</w:t>
      </w:r>
      <w:r>
        <w:rPr>
          <w:rFonts w:ascii="Times New Roman" w:eastAsia="Times New Roman"/>
        </w:rPr>
        <w:t>1</w:t>
      </w:r>
      <w:r>
        <w:rPr/>
        <w:t>号前海深港合作区管理局综合办公楼</w:t>
      </w:r>
    </w:p>
    <w:p>
      <w:pPr>
        <w:pStyle w:val="BodyText"/>
        <w:spacing w:before="6"/>
        <w:rPr>
          <w:sz w:val="15"/>
        </w:rPr>
      </w:pPr>
    </w:p>
    <w:p>
      <w:pPr>
        <w:pStyle w:val="BodyText"/>
        <w:ind w:left="778"/>
      </w:pPr>
      <w:r>
        <w:rPr>
          <w:rFonts w:ascii="Times New Roman" w:eastAsia="Times New Roman"/>
        </w:rPr>
        <w:t>A</w:t>
      </w:r>
      <w:r>
        <w:rPr/>
        <w:t>栋</w:t>
      </w:r>
      <w:r>
        <w:rPr>
          <w:rFonts w:ascii="Times New Roman" w:eastAsia="Times New Roman"/>
        </w:rPr>
        <w:t>201</w:t>
      </w:r>
      <w:r>
        <w:rPr/>
        <w:t>室（入驻深圳市前海商务秘书有限公司）</w:t>
      </w:r>
    </w:p>
    <w:p>
      <w:pPr>
        <w:pStyle w:val="BodyText"/>
        <w:spacing w:before="7"/>
        <w:rPr>
          <w:sz w:val="15"/>
        </w:rPr>
      </w:pPr>
    </w:p>
    <w:p>
      <w:pPr>
        <w:pStyle w:val="BodyText"/>
        <w:spacing w:line="417" w:lineRule="auto"/>
        <w:ind w:left="1260" w:right="3467"/>
      </w:pPr>
      <w:r>
        <w:rPr/>
        <w:t>办公地址：深圳市福田区金田路</w:t>
      </w:r>
      <w:r>
        <w:rPr>
          <w:rFonts w:ascii="Times New Roman" w:eastAsia="Times New Roman"/>
        </w:rPr>
        <w:t>2028</w:t>
      </w:r>
      <w:r>
        <w:rPr/>
        <w:t>号皇岗商务中心</w:t>
      </w:r>
      <w:r>
        <w:rPr>
          <w:rFonts w:ascii="Times New Roman" w:eastAsia="Times New Roman"/>
        </w:rPr>
        <w:t>2405 </w:t>
      </w:r>
      <w:r>
        <w:rPr/>
        <w:t>法定代表人：华建强</w:t>
      </w:r>
    </w:p>
    <w:p>
      <w:pPr>
        <w:pStyle w:val="BodyText"/>
        <w:spacing w:line="417" w:lineRule="auto"/>
        <w:ind w:left="1260" w:right="6760"/>
        <w:rPr>
          <w:rFonts w:ascii="Times New Roman" w:eastAsia="Times New Roman"/>
        </w:rPr>
      </w:pPr>
      <w:r>
        <w:rPr/>
        <w:t>电话：</w:t>
      </w:r>
      <w:r>
        <w:rPr>
          <w:rFonts w:ascii="Times New Roman" w:eastAsia="Times New Roman"/>
        </w:rPr>
        <w:t>0755-23919681 </w:t>
      </w:r>
      <w:r>
        <w:rPr/>
        <w:t>传真：</w:t>
      </w:r>
      <w:r>
        <w:rPr>
          <w:rFonts w:ascii="Times New Roman" w:eastAsia="Times New Roman"/>
        </w:rPr>
        <w:t>0755-88603185</w:t>
      </w:r>
    </w:p>
    <w:p>
      <w:pPr>
        <w:pStyle w:val="BodyText"/>
        <w:ind w:left="1260"/>
      </w:pPr>
      <w:r>
        <w:rPr/>
        <w:t>联系人：马文静</w:t>
      </w:r>
    </w:p>
    <w:p>
      <w:pPr>
        <w:pStyle w:val="BodyText"/>
        <w:spacing w:before="7"/>
        <w:rPr>
          <w:sz w:val="15"/>
        </w:rPr>
      </w:pPr>
    </w:p>
    <w:p>
      <w:pPr>
        <w:pStyle w:val="BodyText"/>
        <w:ind w:left="1260"/>
        <w:rPr>
          <w:rFonts w:ascii="Times New Roman" w:eastAsia="Times New Roman"/>
        </w:rPr>
      </w:pPr>
      <w:r>
        <w:rPr/>
        <w:t>网址：</w:t>
      </w:r>
      <w:hyperlink r:id="rId87">
        <w:r>
          <w:rPr>
            <w:rFonts w:ascii="Times New Roman" w:eastAsia="Times New Roman"/>
          </w:rPr>
          <w:t>www.yitfund.com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400-895-5811</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北京汇成基金销售有限公司</w:t>
      </w:r>
    </w:p>
    <w:p>
      <w:pPr>
        <w:pStyle w:val="BodyText"/>
        <w:spacing w:before="6"/>
        <w:rPr>
          <w:sz w:val="15"/>
        </w:rPr>
      </w:pPr>
    </w:p>
    <w:p>
      <w:pPr>
        <w:pStyle w:val="BodyText"/>
        <w:ind w:left="1260"/>
        <w:rPr>
          <w:rFonts w:ascii="Times New Roman" w:eastAsia="Times New Roman"/>
        </w:rPr>
      </w:pPr>
      <w:r>
        <w:rPr/>
        <w:t>住所：北京市海淀区中关村大街</w:t>
      </w:r>
      <w:r>
        <w:rPr>
          <w:rFonts w:ascii="Times New Roman" w:eastAsia="Times New Roman"/>
        </w:rPr>
        <w:t>11</w:t>
      </w:r>
      <w:r>
        <w:rPr/>
        <w:t>号</w:t>
      </w:r>
      <w:r>
        <w:rPr>
          <w:rFonts w:ascii="Times New Roman" w:eastAsia="Times New Roman"/>
        </w:rPr>
        <w:t>11</w:t>
      </w:r>
      <w:r>
        <w:rPr/>
        <w:t>层</w:t>
      </w:r>
      <w:r>
        <w:rPr>
          <w:rFonts w:ascii="Times New Roman" w:eastAsia="Times New Roman"/>
        </w:rPr>
        <w:t>1108</w:t>
      </w:r>
    </w:p>
    <w:p>
      <w:pPr>
        <w:pStyle w:val="BodyText"/>
        <w:spacing w:before="4"/>
        <w:rPr>
          <w:rFonts w:ascii="Times New Roman"/>
          <w:sz w:val="17"/>
        </w:rPr>
      </w:pPr>
    </w:p>
    <w:p>
      <w:pPr>
        <w:pStyle w:val="BodyText"/>
        <w:spacing w:line="417" w:lineRule="auto"/>
        <w:ind w:left="1260" w:right="4122"/>
      </w:pPr>
      <w:r>
        <w:rPr>
          <w:spacing w:val="-3"/>
        </w:rPr>
        <w:t>办公地址：北京市海淀区中关村大街</w:t>
      </w:r>
      <w:r>
        <w:rPr>
          <w:rFonts w:ascii="Times New Roman" w:eastAsia="Times New Roman"/>
          <w:spacing w:val="-6"/>
        </w:rPr>
        <w:t>11</w:t>
      </w:r>
      <w:r>
        <w:rPr/>
        <w:t>号</w:t>
      </w:r>
      <w:r>
        <w:rPr>
          <w:rFonts w:ascii="Times New Roman" w:eastAsia="Times New Roman"/>
          <w:spacing w:val="-6"/>
        </w:rPr>
        <w:t>11</w:t>
      </w:r>
      <w:r>
        <w:rPr/>
        <w:t>层</w:t>
      </w:r>
      <w:r>
        <w:rPr>
          <w:rFonts w:ascii="Times New Roman" w:eastAsia="Times New Roman"/>
          <w:spacing w:val="-3"/>
        </w:rPr>
        <w:t>1108 </w:t>
      </w:r>
      <w:r>
        <w:rPr>
          <w:spacing w:val="-3"/>
        </w:rPr>
        <w:t>法定代表人：王伟刚</w:t>
      </w:r>
    </w:p>
    <w:p>
      <w:pPr>
        <w:pStyle w:val="BodyText"/>
        <w:ind w:left="1260"/>
        <w:rPr>
          <w:rFonts w:ascii="Times New Roman" w:eastAsia="Times New Roman"/>
        </w:rPr>
      </w:pPr>
      <w:r>
        <w:rPr>
          <w:spacing w:val="-1"/>
        </w:rPr>
        <w:t>电话：</w:t>
      </w:r>
      <w:r>
        <w:rPr>
          <w:rFonts w:ascii="Times New Roman" w:eastAsia="Times New Roman"/>
          <w:spacing w:val="-1"/>
        </w:rPr>
        <w:t>010-56282140</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传真：</w:t>
      </w:r>
      <w:r>
        <w:rPr>
          <w:rFonts w:ascii="Times New Roman" w:eastAsia="Times New Roman"/>
        </w:rPr>
        <w:t>010-62680827</w:t>
      </w:r>
    </w:p>
    <w:p>
      <w:pPr>
        <w:pStyle w:val="BodyText"/>
        <w:spacing w:before="3"/>
        <w:rPr>
          <w:rFonts w:ascii="Times New Roman"/>
          <w:sz w:val="17"/>
        </w:rPr>
      </w:pPr>
    </w:p>
    <w:p>
      <w:pPr>
        <w:pStyle w:val="BodyText"/>
        <w:ind w:left="1260"/>
      </w:pPr>
      <w:r>
        <w:rPr/>
        <w:t>联系人：丁向坤</w:t>
      </w:r>
    </w:p>
    <w:p>
      <w:pPr>
        <w:pStyle w:val="BodyText"/>
        <w:spacing w:before="7"/>
        <w:rPr>
          <w:sz w:val="15"/>
        </w:rPr>
      </w:pPr>
    </w:p>
    <w:p>
      <w:pPr>
        <w:pStyle w:val="BodyText"/>
        <w:ind w:left="1260"/>
        <w:rPr>
          <w:rFonts w:ascii="Times New Roman" w:eastAsia="Times New Roman"/>
        </w:rPr>
      </w:pPr>
      <w:r>
        <w:rPr/>
        <w:t>网址： </w:t>
      </w:r>
      <w:hyperlink r:id="rId88">
        <w:r>
          <w:rPr>
            <w:rFonts w:ascii="Times New Roman" w:eastAsia="Times New Roman"/>
          </w:rPr>
          <w:t>www.hcjijin.com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400-619-9059</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北京晟视天下投资管理有限公司</w:t>
      </w:r>
    </w:p>
    <w:p>
      <w:pPr>
        <w:pStyle w:val="BodyText"/>
        <w:spacing w:before="6"/>
        <w:rPr>
          <w:sz w:val="15"/>
        </w:rPr>
      </w:pPr>
    </w:p>
    <w:p>
      <w:pPr>
        <w:pStyle w:val="BodyText"/>
        <w:ind w:left="1260"/>
      </w:pPr>
      <w:r>
        <w:rPr/>
        <w:t>住所：北京市怀柔区九渡河镇黄坎村</w:t>
      </w:r>
      <w:r>
        <w:rPr>
          <w:rFonts w:ascii="Times New Roman" w:eastAsia="Times New Roman"/>
        </w:rPr>
        <w:t>735</w:t>
      </w:r>
      <w:r>
        <w:rPr/>
        <w:t>号</w:t>
      </w:r>
      <w:r>
        <w:rPr>
          <w:rFonts w:ascii="Times New Roman" w:eastAsia="Times New Roman"/>
        </w:rPr>
        <w:t>03</w:t>
      </w:r>
      <w:r>
        <w:rPr/>
        <w:t>室</w:t>
      </w:r>
    </w:p>
    <w:p>
      <w:pPr>
        <w:pStyle w:val="BodyText"/>
        <w:spacing w:before="7"/>
        <w:rPr>
          <w:sz w:val="15"/>
        </w:rPr>
      </w:pPr>
    </w:p>
    <w:p>
      <w:pPr>
        <w:pStyle w:val="BodyText"/>
        <w:spacing w:line="417" w:lineRule="auto"/>
        <w:ind w:left="1260" w:right="3421"/>
      </w:pPr>
      <w:r>
        <w:rPr/>
        <w:t>办公地址：北京市朝阳区朝外大街甲</w:t>
      </w:r>
      <w:r>
        <w:rPr>
          <w:rFonts w:ascii="Times New Roman" w:eastAsia="Times New Roman"/>
        </w:rPr>
        <w:t>6</w:t>
      </w:r>
      <w:r>
        <w:rPr/>
        <w:t>号万通中心</w:t>
      </w:r>
      <w:r>
        <w:rPr>
          <w:rFonts w:ascii="Times New Roman" w:eastAsia="Times New Roman"/>
        </w:rPr>
        <w:t>D</w:t>
      </w:r>
      <w:r>
        <w:rPr/>
        <w:t>座</w:t>
      </w:r>
      <w:r>
        <w:rPr>
          <w:rFonts w:ascii="Times New Roman" w:eastAsia="Times New Roman"/>
        </w:rPr>
        <w:t>21</w:t>
      </w:r>
      <w:r>
        <w:rPr/>
        <w:t>层法定代表人：蒋煜</w:t>
      </w:r>
    </w:p>
    <w:p>
      <w:pPr>
        <w:pStyle w:val="BodyText"/>
        <w:spacing w:line="417" w:lineRule="auto"/>
        <w:ind w:left="1260" w:right="6866"/>
        <w:rPr>
          <w:rFonts w:ascii="Times New Roman" w:eastAsia="Times New Roman"/>
        </w:rPr>
      </w:pPr>
      <w:r>
        <w:rPr/>
        <w:t>电话：</w:t>
      </w:r>
      <w:r>
        <w:rPr>
          <w:rFonts w:ascii="Times New Roman" w:eastAsia="Times New Roman"/>
        </w:rPr>
        <w:t>010-58170806 </w:t>
      </w:r>
      <w:r>
        <w:rPr/>
        <w:t>传真：</w:t>
      </w:r>
      <w:r>
        <w:rPr>
          <w:rFonts w:ascii="Times New Roman" w:eastAsia="Times New Roman"/>
        </w:rPr>
        <w:t>010-58170910</w:t>
      </w:r>
    </w:p>
    <w:p>
      <w:pPr>
        <w:pStyle w:val="BodyText"/>
        <w:spacing w:line="269" w:lineRule="exact"/>
        <w:ind w:left="1260"/>
      </w:pPr>
      <w:r>
        <w:rPr/>
        <w:t>联系人：蒋煜</w:t>
      </w:r>
    </w:p>
    <w:p>
      <w:pPr>
        <w:pStyle w:val="BodyText"/>
        <w:spacing w:before="7"/>
        <w:rPr>
          <w:sz w:val="15"/>
        </w:rPr>
      </w:pPr>
    </w:p>
    <w:p>
      <w:pPr>
        <w:pStyle w:val="BodyText"/>
        <w:spacing w:line="417" w:lineRule="auto"/>
        <w:ind w:left="1260" w:right="5754"/>
        <w:rPr>
          <w:rFonts w:ascii="Times New Roman" w:eastAsia="Times New Roman"/>
        </w:rPr>
      </w:pPr>
      <w:r>
        <w:rPr/>
        <w:t>网址：</w:t>
      </w:r>
      <w:hyperlink r:id="rId89">
        <w:r>
          <w:rPr>
            <w:rFonts w:ascii="Times New Roman" w:eastAsia="Times New Roman"/>
          </w:rPr>
          <w:t>www.shengshiview.com.cn </w:t>
        </w:r>
      </w:hyperlink>
      <w:r>
        <w:rPr/>
        <w:t>客户服务电话：</w:t>
      </w:r>
      <w:r>
        <w:rPr>
          <w:rFonts w:ascii="Times New Roman" w:eastAsia="Times New Roman"/>
        </w:rPr>
        <w:t>010-58170761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北京钱景基金销售有限公司</w:t>
      </w:r>
    </w:p>
    <w:p>
      <w:pPr>
        <w:pStyle w:val="BodyText"/>
        <w:spacing w:before="7"/>
        <w:rPr>
          <w:sz w:val="15"/>
        </w:rPr>
      </w:pPr>
    </w:p>
    <w:p>
      <w:pPr>
        <w:pStyle w:val="BodyText"/>
        <w:ind w:left="1260"/>
        <w:rPr>
          <w:rFonts w:ascii="Times New Roman" w:eastAsia="Times New Roman"/>
        </w:rPr>
      </w:pPr>
      <w:r>
        <w:rPr/>
        <w:t>住所：北京市海淀区丹棱街</w:t>
      </w:r>
      <w:r>
        <w:rPr>
          <w:rFonts w:ascii="Times New Roman" w:eastAsia="Times New Roman"/>
        </w:rPr>
        <w:t>6</w:t>
      </w:r>
      <w:r>
        <w:rPr/>
        <w:t>号</w:t>
      </w:r>
      <w:r>
        <w:rPr>
          <w:rFonts w:ascii="Times New Roman" w:eastAsia="Times New Roman"/>
        </w:rPr>
        <w:t>1</w:t>
      </w:r>
      <w:r>
        <w:rPr/>
        <w:t>幢</w:t>
      </w:r>
      <w:r>
        <w:rPr>
          <w:rFonts w:ascii="Times New Roman" w:eastAsia="Times New Roman"/>
        </w:rPr>
        <w:t>9</w:t>
      </w:r>
      <w:r>
        <w:rPr/>
        <w:t>层</w:t>
      </w:r>
      <w:r>
        <w:rPr>
          <w:rFonts w:ascii="Times New Roman" w:eastAsia="Times New Roman"/>
        </w:rPr>
        <w:t>1008-1012</w:t>
      </w:r>
    </w:p>
    <w:p>
      <w:pPr>
        <w:pStyle w:val="BodyText"/>
        <w:spacing w:before="4"/>
        <w:rPr>
          <w:rFonts w:ascii="Times New Roman"/>
          <w:sz w:val="17"/>
        </w:rPr>
      </w:pPr>
    </w:p>
    <w:p>
      <w:pPr>
        <w:pStyle w:val="BodyText"/>
        <w:spacing w:line="417" w:lineRule="auto"/>
        <w:ind w:left="1260" w:right="3925"/>
      </w:pPr>
      <w:r>
        <w:rPr/>
        <w:t>办公地址：北京市海淀区丹棱街</w:t>
      </w:r>
      <w:r>
        <w:rPr>
          <w:rFonts w:ascii="Times New Roman" w:eastAsia="Times New Roman"/>
        </w:rPr>
        <w:t>6</w:t>
      </w:r>
      <w:r>
        <w:rPr/>
        <w:t>号</w:t>
      </w:r>
      <w:r>
        <w:rPr>
          <w:rFonts w:ascii="Times New Roman" w:eastAsia="Times New Roman"/>
        </w:rPr>
        <w:t>1</w:t>
      </w:r>
      <w:r>
        <w:rPr/>
        <w:t>幢</w:t>
      </w:r>
      <w:r>
        <w:rPr>
          <w:rFonts w:ascii="Times New Roman" w:eastAsia="Times New Roman"/>
        </w:rPr>
        <w:t>9</w:t>
      </w:r>
      <w:r>
        <w:rPr/>
        <w:t>层</w:t>
      </w:r>
      <w:r>
        <w:rPr>
          <w:rFonts w:ascii="Times New Roman" w:eastAsia="Times New Roman"/>
        </w:rPr>
        <w:t>1008-1012 </w:t>
      </w:r>
      <w:r>
        <w:rPr/>
        <w:t>法定代表人：赵荣春</w:t>
      </w:r>
    </w:p>
    <w:p>
      <w:pPr>
        <w:pStyle w:val="BodyText"/>
        <w:spacing w:line="417" w:lineRule="auto"/>
        <w:ind w:left="1260" w:right="6866"/>
        <w:rPr>
          <w:rFonts w:ascii="Times New Roman" w:eastAsia="Times New Roman"/>
        </w:rPr>
      </w:pPr>
      <w:r>
        <w:rPr/>
        <w:t>电话：</w:t>
      </w:r>
      <w:r>
        <w:rPr>
          <w:rFonts w:ascii="Times New Roman" w:eastAsia="Times New Roman"/>
        </w:rPr>
        <w:t>010-57418829 </w:t>
      </w:r>
      <w:r>
        <w:rPr/>
        <w:t>传真：</w:t>
      </w:r>
      <w:r>
        <w:rPr>
          <w:rFonts w:ascii="Times New Roman" w:eastAsia="Times New Roman"/>
        </w:rPr>
        <w:t>010-57569671</w:t>
      </w:r>
    </w:p>
    <w:p>
      <w:pPr>
        <w:pStyle w:val="BodyText"/>
        <w:spacing w:line="269" w:lineRule="exact"/>
        <w:ind w:left="1260"/>
      </w:pPr>
      <w:r>
        <w:rPr/>
        <w:t>联系人：魏争</w:t>
      </w:r>
    </w:p>
    <w:p>
      <w:pPr>
        <w:pStyle w:val="BodyText"/>
        <w:spacing w:before="6"/>
        <w:rPr>
          <w:sz w:val="15"/>
        </w:rPr>
      </w:pPr>
    </w:p>
    <w:p>
      <w:pPr>
        <w:pStyle w:val="BodyText"/>
        <w:ind w:left="1260"/>
        <w:rPr>
          <w:rFonts w:ascii="Times New Roman" w:eastAsia="Times New Roman"/>
        </w:rPr>
      </w:pPr>
      <w:r>
        <w:rPr/>
        <w:t>网址：</w:t>
      </w:r>
      <w:hyperlink r:id="rId90">
        <w:r>
          <w:rPr>
            <w:rFonts w:ascii="Times New Roman" w:eastAsia="Times New Roman"/>
          </w:rPr>
          <w:t>www.niuji.net</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400-893-6885</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北京唐鼎耀华基金销售有限公司</w:t>
      </w:r>
    </w:p>
    <w:p>
      <w:pPr>
        <w:pStyle w:val="BodyText"/>
        <w:spacing w:before="6"/>
        <w:rPr>
          <w:sz w:val="15"/>
        </w:rPr>
      </w:pPr>
    </w:p>
    <w:p>
      <w:pPr>
        <w:pStyle w:val="BodyText"/>
        <w:spacing w:line="417" w:lineRule="auto"/>
        <w:ind w:left="1260" w:right="3469"/>
      </w:pPr>
      <w:r>
        <w:rPr>
          <w:spacing w:val="-3"/>
        </w:rPr>
        <w:t>住所：北京市延庆县延庆经济开发区百泉街</w:t>
      </w:r>
      <w:r>
        <w:rPr>
          <w:rFonts w:ascii="Times New Roman" w:eastAsia="Times New Roman"/>
        </w:rPr>
        <w:t>10</w:t>
      </w:r>
      <w:r>
        <w:rPr/>
        <w:t>号</w:t>
      </w:r>
      <w:r>
        <w:rPr>
          <w:rFonts w:ascii="Times New Roman" w:eastAsia="Times New Roman"/>
          <w:spacing w:val="-3"/>
        </w:rPr>
        <w:t>2</w:t>
      </w:r>
      <w:r>
        <w:rPr>
          <w:spacing w:val="-3"/>
        </w:rPr>
        <w:t>栋</w:t>
      </w:r>
      <w:r>
        <w:rPr>
          <w:rFonts w:ascii="Times New Roman" w:eastAsia="Times New Roman"/>
        </w:rPr>
        <w:t>236</w:t>
      </w:r>
      <w:r>
        <w:rPr/>
        <w:t>室</w:t>
      </w:r>
      <w:r>
        <w:rPr>
          <w:spacing w:val="-3"/>
        </w:rPr>
        <w:t>办公地址：北京市朝阳区建国门外大街</w:t>
      </w:r>
      <w:r>
        <w:rPr>
          <w:rFonts w:ascii="Times New Roman" w:eastAsia="Times New Roman"/>
        </w:rPr>
        <w:t>19</w:t>
      </w:r>
      <w:r>
        <w:rPr>
          <w:spacing w:val="-3"/>
        </w:rPr>
        <w:t>号</w:t>
      </w:r>
      <w:r>
        <w:rPr>
          <w:rFonts w:ascii="Times New Roman" w:eastAsia="Times New Roman"/>
        </w:rPr>
        <w:t>A</w:t>
      </w:r>
      <w:r>
        <w:rPr/>
        <w:t>座</w:t>
      </w:r>
      <w:r>
        <w:rPr>
          <w:rFonts w:ascii="Times New Roman" w:eastAsia="Times New Roman"/>
        </w:rPr>
        <w:t>1505</w:t>
      </w:r>
      <w:r>
        <w:rPr/>
        <w:t>室 </w:t>
      </w:r>
      <w:r>
        <w:rPr>
          <w:spacing w:val="-3"/>
        </w:rPr>
        <w:t>法定代表人：张冠宇</w:t>
      </w:r>
    </w:p>
    <w:p>
      <w:pPr>
        <w:pStyle w:val="BodyText"/>
        <w:spacing w:line="269" w:lineRule="exact"/>
        <w:ind w:left="1260"/>
        <w:rPr>
          <w:rFonts w:ascii="Times New Roman" w:eastAsia="Times New Roman"/>
        </w:rPr>
      </w:pPr>
      <w:r>
        <w:rPr>
          <w:spacing w:val="-1"/>
        </w:rPr>
        <w:t>电话：</w:t>
      </w:r>
      <w:r>
        <w:rPr>
          <w:rFonts w:ascii="Times New Roman" w:eastAsia="Times New Roman"/>
          <w:spacing w:val="-1"/>
        </w:rPr>
        <w:t>010-85932810</w:t>
      </w:r>
    </w:p>
    <w:p>
      <w:pPr>
        <w:pStyle w:val="BodyText"/>
        <w:spacing w:before="4"/>
        <w:rPr>
          <w:rFonts w:ascii="Times New Roman"/>
          <w:sz w:val="17"/>
        </w:rPr>
      </w:pPr>
    </w:p>
    <w:p>
      <w:pPr>
        <w:pStyle w:val="BodyText"/>
        <w:ind w:left="1260"/>
      </w:pPr>
      <w:r>
        <w:rPr/>
        <w:t>联系人：王丽敏</w:t>
      </w:r>
    </w:p>
    <w:p>
      <w:pPr>
        <w:pStyle w:val="BodyText"/>
        <w:spacing w:before="7"/>
        <w:rPr>
          <w:sz w:val="15"/>
        </w:rPr>
      </w:pPr>
    </w:p>
    <w:p>
      <w:pPr>
        <w:pStyle w:val="BodyText"/>
        <w:spacing w:line="417" w:lineRule="auto"/>
        <w:ind w:left="1260" w:right="5741"/>
        <w:rPr>
          <w:rFonts w:ascii="Times New Roman" w:eastAsia="Times New Roman"/>
        </w:rPr>
      </w:pPr>
      <w:r>
        <w:rPr/>
        <w:t>网址：</w:t>
      </w:r>
      <w:r>
        <w:rPr>
          <w:rFonts w:ascii="Times New Roman" w:eastAsia="Times New Roman"/>
        </w:rPr>
        <w:t>https://</w:t>
      </w:r>
      <w:hyperlink r:id="rId91">
        <w:r>
          <w:rPr>
            <w:rFonts w:ascii="Times New Roman" w:eastAsia="Times New Roman"/>
          </w:rPr>
          <w:t>www.tdyhfund.com/ </w:t>
        </w:r>
      </w:hyperlink>
      <w:r>
        <w:rPr/>
        <w:t>客户服务电话：</w:t>
      </w:r>
      <w:r>
        <w:rPr>
          <w:rFonts w:ascii="Times New Roman" w:eastAsia="Times New Roman"/>
        </w:rPr>
        <w:t>400-819-9868</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895" w:val="left" w:leader="none"/>
        </w:tabs>
        <w:spacing w:line="240" w:lineRule="auto" w:before="79" w:after="0"/>
        <w:ind w:left="1895" w:right="0" w:hanging="635"/>
        <w:jc w:val="left"/>
        <w:rPr>
          <w:sz w:val="21"/>
        </w:rPr>
      </w:pPr>
      <w:r>
        <w:rPr>
          <w:spacing w:val="-3"/>
          <w:sz w:val="21"/>
        </w:rPr>
        <w:t>北京植信基金销售有限公司</w:t>
      </w:r>
    </w:p>
    <w:p>
      <w:pPr>
        <w:pStyle w:val="BodyText"/>
        <w:spacing w:before="6"/>
        <w:rPr>
          <w:sz w:val="15"/>
        </w:rPr>
      </w:pPr>
    </w:p>
    <w:p>
      <w:pPr>
        <w:pStyle w:val="BodyText"/>
        <w:spacing w:line="417" w:lineRule="auto"/>
        <w:ind w:left="1260" w:right="4312"/>
        <w:jc w:val="both"/>
      </w:pPr>
      <w:r>
        <w:rPr/>
        <w:t>住所：北京市密云县兴盛南路</w:t>
      </w:r>
      <w:r>
        <w:rPr>
          <w:rFonts w:ascii="Times New Roman" w:eastAsia="Times New Roman"/>
        </w:rPr>
        <w:t>8</w:t>
      </w:r>
      <w:r>
        <w:rPr/>
        <w:t>号院</w:t>
      </w:r>
      <w:r>
        <w:rPr>
          <w:rFonts w:ascii="Times New Roman" w:eastAsia="Times New Roman"/>
        </w:rPr>
        <w:t>2</w:t>
      </w:r>
      <w:r>
        <w:rPr/>
        <w:t>号楼</w:t>
      </w:r>
      <w:r>
        <w:rPr>
          <w:rFonts w:ascii="Times New Roman" w:eastAsia="Times New Roman"/>
        </w:rPr>
        <w:t>106-67 </w:t>
      </w:r>
      <w:r>
        <w:rPr/>
        <w:t>办公地址：北京市朝阳区盛世龙源国食苑</w:t>
      </w:r>
      <w:r>
        <w:rPr>
          <w:rFonts w:ascii="Times New Roman" w:eastAsia="Times New Roman"/>
        </w:rPr>
        <w:t>10</w:t>
      </w:r>
      <w:r>
        <w:rPr/>
        <w:t>号楼法定代表人：王军辉</w:t>
      </w:r>
    </w:p>
    <w:p>
      <w:pPr>
        <w:pStyle w:val="BodyText"/>
        <w:spacing w:line="417" w:lineRule="auto"/>
        <w:ind w:left="1260" w:right="6061"/>
      </w:pPr>
      <w:r>
        <w:rPr/>
        <w:t>客户服务电话：</w:t>
      </w:r>
      <w:r>
        <w:rPr>
          <w:rFonts w:ascii="Times New Roman" w:eastAsia="Times New Roman"/>
        </w:rPr>
        <w:t>400-680-2123 </w:t>
      </w:r>
      <w:r>
        <w:rPr/>
        <w:t>联系人：吴鹏</w:t>
      </w:r>
    </w:p>
    <w:p>
      <w:pPr>
        <w:pStyle w:val="BodyText"/>
        <w:spacing w:line="269" w:lineRule="exact"/>
        <w:ind w:left="1260"/>
        <w:rPr>
          <w:rFonts w:ascii="Times New Roman" w:eastAsia="Times New Roman"/>
        </w:rPr>
      </w:pPr>
      <w:r>
        <w:rPr/>
        <w:t>网址：</w:t>
      </w:r>
      <w:hyperlink r:id="rId92">
        <w:r>
          <w:rPr>
            <w:rFonts w:ascii="Times New Roman" w:eastAsia="Times New Roman"/>
          </w:rPr>
          <w:t>www.zhixin-inv.com</w:t>
        </w:r>
      </w:hyperlink>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海银基金销售有限公司</w:t>
      </w:r>
    </w:p>
    <w:p>
      <w:pPr>
        <w:pStyle w:val="BodyText"/>
        <w:spacing w:before="6"/>
        <w:rPr>
          <w:sz w:val="15"/>
        </w:rPr>
      </w:pPr>
    </w:p>
    <w:p>
      <w:pPr>
        <w:pStyle w:val="BodyText"/>
        <w:spacing w:before="1"/>
        <w:ind w:left="1260"/>
      </w:pPr>
      <w:r>
        <w:rPr/>
        <w:t>住所：上海市自由贸易试验区银城中路</w:t>
      </w:r>
      <w:r>
        <w:rPr>
          <w:rFonts w:ascii="Times New Roman" w:eastAsia="Times New Roman"/>
        </w:rPr>
        <w:t>8</w:t>
      </w:r>
      <w:r>
        <w:rPr/>
        <w:t>号</w:t>
      </w:r>
      <w:r>
        <w:rPr>
          <w:rFonts w:ascii="Times New Roman" w:eastAsia="Times New Roman"/>
        </w:rPr>
        <w:t>4</w:t>
      </w:r>
      <w:r>
        <w:rPr/>
        <w:t>楼</w:t>
      </w:r>
    </w:p>
    <w:p>
      <w:pPr>
        <w:pStyle w:val="BodyText"/>
        <w:spacing w:before="6"/>
        <w:rPr>
          <w:sz w:val="15"/>
        </w:rPr>
      </w:pPr>
    </w:p>
    <w:p>
      <w:pPr>
        <w:pStyle w:val="BodyText"/>
        <w:spacing w:line="417" w:lineRule="auto"/>
        <w:ind w:left="1260" w:right="4098"/>
      </w:pPr>
      <w:r>
        <w:rPr/>
        <w:t>办公地址：上海市自由贸易试验区银城中路</w:t>
      </w:r>
      <w:r>
        <w:rPr>
          <w:rFonts w:ascii="Times New Roman" w:eastAsia="Times New Roman"/>
        </w:rPr>
        <w:t>8</w:t>
      </w:r>
      <w:r>
        <w:rPr/>
        <w:t>号</w:t>
      </w:r>
      <w:r>
        <w:rPr>
          <w:rFonts w:ascii="Times New Roman" w:eastAsia="Times New Roman"/>
        </w:rPr>
        <w:t>4</w:t>
      </w:r>
      <w:r>
        <w:rPr/>
        <w:t>楼法定代表人：惠晓川</w:t>
      </w:r>
    </w:p>
    <w:p>
      <w:pPr>
        <w:pStyle w:val="BodyText"/>
        <w:spacing w:line="417" w:lineRule="auto"/>
        <w:ind w:left="1260" w:right="6866"/>
        <w:rPr>
          <w:rFonts w:ascii="Times New Roman" w:eastAsia="Times New Roman"/>
        </w:rPr>
      </w:pPr>
      <w:r>
        <w:rPr/>
        <w:t>电话：</w:t>
      </w:r>
      <w:r>
        <w:rPr>
          <w:rFonts w:ascii="Times New Roman" w:eastAsia="Times New Roman"/>
        </w:rPr>
        <w:t>021-80134149 </w:t>
      </w:r>
      <w:r>
        <w:rPr/>
        <w:t>传真：</w:t>
      </w:r>
      <w:r>
        <w:rPr>
          <w:rFonts w:ascii="Times New Roman" w:eastAsia="Times New Roman"/>
        </w:rPr>
        <w:t>021-80133413</w:t>
      </w:r>
    </w:p>
    <w:p>
      <w:pPr>
        <w:pStyle w:val="BodyText"/>
        <w:spacing w:line="269" w:lineRule="exact"/>
        <w:ind w:left="1260"/>
      </w:pPr>
      <w:r>
        <w:rPr/>
        <w:t>联系人：秦琼</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93">
        <w:r>
          <w:rPr>
            <w:rFonts w:ascii="Times New Roman" w:eastAsia="Times New Roman"/>
          </w:rPr>
          <w:t>www.fundhaiyin.com</w:t>
        </w:r>
      </w:hyperlink>
      <w:r>
        <w:rPr>
          <w:rFonts w:ascii="Times New Roman" w:eastAsia="Times New Roman"/>
        </w:rPr>
        <w:t> </w:t>
      </w:r>
      <w:r>
        <w:rPr>
          <w:spacing w:val="-3"/>
        </w:rPr>
        <w:t>客户服务电话：</w:t>
      </w:r>
      <w:r>
        <w:rPr>
          <w:rFonts w:ascii="Times New Roman" w:eastAsia="Times New Roman"/>
          <w:spacing w:val="-1"/>
        </w:rPr>
        <w:t>400-808-1016</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上海久富财富管理有限公司</w:t>
      </w:r>
    </w:p>
    <w:p>
      <w:pPr>
        <w:pStyle w:val="BodyText"/>
        <w:spacing w:before="7"/>
        <w:rPr>
          <w:sz w:val="15"/>
        </w:rPr>
      </w:pPr>
    </w:p>
    <w:p>
      <w:pPr>
        <w:pStyle w:val="BodyText"/>
        <w:ind w:left="1260"/>
      </w:pPr>
      <w:r>
        <w:rPr/>
        <w:t>住所：上海市浦东新区莱阳路</w:t>
      </w:r>
      <w:r>
        <w:rPr>
          <w:rFonts w:ascii="Times New Roman" w:eastAsia="Times New Roman"/>
        </w:rPr>
        <w:t>2819</w:t>
      </w:r>
      <w:r>
        <w:rPr/>
        <w:t>号</w:t>
      </w:r>
      <w:r>
        <w:rPr>
          <w:rFonts w:ascii="Times New Roman" w:eastAsia="Times New Roman"/>
        </w:rPr>
        <w:t>1</w:t>
      </w:r>
      <w:r>
        <w:rPr/>
        <w:t>幢</w:t>
      </w:r>
      <w:r>
        <w:rPr>
          <w:rFonts w:ascii="Times New Roman" w:eastAsia="Times New Roman"/>
        </w:rPr>
        <w:t>109</w:t>
      </w:r>
      <w:r>
        <w:rPr/>
        <w:t>室</w:t>
      </w:r>
    </w:p>
    <w:p>
      <w:pPr>
        <w:pStyle w:val="BodyText"/>
        <w:spacing w:before="6"/>
        <w:rPr>
          <w:sz w:val="15"/>
        </w:rPr>
      </w:pPr>
    </w:p>
    <w:p>
      <w:pPr>
        <w:pStyle w:val="BodyText"/>
        <w:spacing w:line="417" w:lineRule="auto" w:before="1"/>
        <w:ind w:left="1260" w:right="3469"/>
      </w:pPr>
      <w:r>
        <w:rPr>
          <w:spacing w:val="-3"/>
        </w:rPr>
        <w:t>办公地址：上海市浦东新区民生路</w:t>
      </w:r>
      <w:r>
        <w:rPr>
          <w:rFonts w:ascii="Times New Roman" w:eastAsia="Times New Roman"/>
        </w:rPr>
        <w:t>1403</w:t>
      </w:r>
      <w:r>
        <w:rPr>
          <w:spacing w:val="-3"/>
        </w:rPr>
        <w:t>号信息大厦</w:t>
      </w:r>
      <w:r>
        <w:rPr>
          <w:rFonts w:ascii="Times New Roman" w:eastAsia="Times New Roman"/>
        </w:rPr>
        <w:t>1215</w:t>
      </w:r>
      <w:r>
        <w:rPr/>
        <w:t>室</w:t>
      </w:r>
      <w:r>
        <w:rPr>
          <w:spacing w:val="-3"/>
        </w:rPr>
        <w:t>法定代表人：赵惠蓉</w:t>
      </w:r>
    </w:p>
    <w:p>
      <w:pPr>
        <w:pStyle w:val="BodyText"/>
        <w:spacing w:line="417" w:lineRule="auto"/>
        <w:ind w:left="1260" w:right="6340"/>
        <w:rPr>
          <w:rFonts w:ascii="Times New Roman" w:eastAsia="Times New Roman"/>
        </w:rPr>
      </w:pPr>
      <w:r>
        <w:rPr/>
        <w:t>电话：</w:t>
      </w:r>
      <w:r>
        <w:rPr>
          <w:rFonts w:ascii="Times New Roman" w:eastAsia="Times New Roman"/>
        </w:rPr>
        <w:t>021-68682279</w:t>
      </w:r>
      <w:r>
        <w:rPr/>
        <w:t>转</w:t>
      </w:r>
      <w:r>
        <w:rPr>
          <w:rFonts w:ascii="Times New Roman" w:eastAsia="Times New Roman"/>
          <w:spacing w:val="-6"/>
        </w:rPr>
        <w:t>604 </w:t>
      </w:r>
      <w:r>
        <w:rPr/>
        <w:t>传真：</w:t>
      </w:r>
      <w:r>
        <w:rPr>
          <w:rFonts w:ascii="Times New Roman" w:eastAsia="Times New Roman"/>
        </w:rPr>
        <w:t>021-68682297</w:t>
      </w:r>
    </w:p>
    <w:p>
      <w:pPr>
        <w:pStyle w:val="BodyText"/>
        <w:ind w:left="1260"/>
      </w:pPr>
      <w:r>
        <w:rPr/>
        <w:t>联系人：潘静洁</w:t>
      </w:r>
    </w:p>
    <w:p>
      <w:pPr>
        <w:pStyle w:val="BodyText"/>
        <w:spacing w:before="6"/>
        <w:rPr>
          <w:sz w:val="15"/>
        </w:rPr>
      </w:pPr>
    </w:p>
    <w:p>
      <w:pPr>
        <w:pStyle w:val="BodyText"/>
        <w:ind w:left="1260"/>
        <w:rPr>
          <w:rFonts w:ascii="Times New Roman" w:eastAsia="Times New Roman"/>
        </w:rPr>
      </w:pPr>
      <w:r>
        <w:rPr/>
        <w:t>网址：</w:t>
      </w:r>
      <w:hyperlink r:id="rId94">
        <w:r>
          <w:rPr>
            <w:rFonts w:ascii="Times New Roman" w:eastAsia="Times New Roman"/>
          </w:rPr>
          <w:t>www.jfcta.com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400-021-9898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天津国美基金销售有限公司</w:t>
      </w:r>
    </w:p>
    <w:p>
      <w:pPr>
        <w:pStyle w:val="BodyText"/>
        <w:spacing w:before="7"/>
        <w:rPr>
          <w:sz w:val="15"/>
        </w:rPr>
      </w:pPr>
    </w:p>
    <w:p>
      <w:pPr>
        <w:pStyle w:val="BodyText"/>
        <w:spacing w:line="417" w:lineRule="auto"/>
        <w:ind w:left="1260" w:right="1776"/>
      </w:pPr>
      <w:r>
        <w:rPr/>
        <w:t>住所：天津经济技术开发区南港工业区综合服务区办公楼</w:t>
      </w:r>
      <w:r>
        <w:rPr>
          <w:rFonts w:ascii="Times New Roman" w:eastAsia="Times New Roman"/>
        </w:rPr>
        <w:t>D</w:t>
      </w:r>
      <w:r>
        <w:rPr/>
        <w:t>座二层</w:t>
      </w:r>
      <w:r>
        <w:rPr>
          <w:rFonts w:ascii="Times New Roman" w:eastAsia="Times New Roman"/>
        </w:rPr>
        <w:t>202-124</w:t>
      </w:r>
      <w:r>
        <w:rPr/>
        <w:t>室办公地址：北京市朝阳区霄云路</w:t>
      </w:r>
      <w:r>
        <w:rPr>
          <w:rFonts w:ascii="Times New Roman" w:eastAsia="Times New Roman"/>
        </w:rPr>
        <w:t>26</w:t>
      </w:r>
      <w:r>
        <w:rPr/>
        <w:t>号鹏润大厦</w:t>
      </w:r>
      <w:r>
        <w:rPr>
          <w:rFonts w:ascii="Times New Roman" w:eastAsia="Times New Roman"/>
        </w:rPr>
        <w:t>B</w:t>
      </w:r>
      <w:r>
        <w:rPr/>
        <w:t>座</w:t>
      </w:r>
      <w:r>
        <w:rPr>
          <w:rFonts w:ascii="Times New Roman" w:eastAsia="Times New Roman"/>
        </w:rPr>
        <w:t>9</w:t>
      </w:r>
      <w:r>
        <w:rPr/>
        <w:t>层</w:t>
      </w:r>
    </w:p>
    <w:p>
      <w:pPr>
        <w:pStyle w:val="BodyText"/>
        <w:spacing w:line="417" w:lineRule="auto"/>
        <w:ind w:left="1260" w:right="6830"/>
        <w:rPr>
          <w:rFonts w:ascii="Times New Roman" w:eastAsia="Times New Roman"/>
        </w:rPr>
      </w:pPr>
      <w:r>
        <w:rPr/>
        <w:t>法定代表人：丁东华电话：</w:t>
      </w:r>
      <w:r>
        <w:rPr>
          <w:rFonts w:ascii="Times New Roman" w:eastAsia="Times New Roman"/>
        </w:rPr>
        <w:t>010-59287984</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传真：</w:t>
      </w:r>
      <w:r>
        <w:rPr>
          <w:rFonts w:ascii="Times New Roman" w:eastAsia="Times New Roman"/>
        </w:rPr>
        <w:t>010-59287825</w:t>
      </w:r>
    </w:p>
    <w:p>
      <w:pPr>
        <w:pStyle w:val="BodyText"/>
        <w:spacing w:before="3"/>
        <w:rPr>
          <w:rFonts w:ascii="Times New Roman"/>
          <w:sz w:val="17"/>
        </w:rPr>
      </w:pPr>
    </w:p>
    <w:p>
      <w:pPr>
        <w:pStyle w:val="BodyText"/>
        <w:ind w:left="1260"/>
      </w:pPr>
      <w:r>
        <w:rPr/>
        <w:t>联系人：郭宝亮</w:t>
      </w:r>
    </w:p>
    <w:p>
      <w:pPr>
        <w:pStyle w:val="BodyText"/>
        <w:spacing w:before="7"/>
        <w:rPr>
          <w:sz w:val="15"/>
        </w:rPr>
      </w:pPr>
    </w:p>
    <w:p>
      <w:pPr>
        <w:pStyle w:val="BodyText"/>
        <w:spacing w:line="417" w:lineRule="auto"/>
        <w:ind w:left="1260" w:right="6034"/>
        <w:rPr>
          <w:rFonts w:ascii="Times New Roman" w:eastAsia="Times New Roman"/>
        </w:rPr>
      </w:pPr>
      <w:r>
        <w:rPr/>
        <w:t>网 址 ：</w:t>
      </w:r>
      <w:hyperlink r:id="rId95">
        <w:r>
          <w:rPr>
            <w:rFonts w:ascii="Times New Roman" w:eastAsia="Times New Roman"/>
          </w:rPr>
          <w:t>www.gomefund.com</w:t>
        </w:r>
      </w:hyperlink>
      <w:r>
        <w:rPr>
          <w:rFonts w:ascii="Times New Roman" w:eastAsia="Times New Roman"/>
        </w:rPr>
        <w:t> </w:t>
      </w:r>
      <w:r>
        <w:rPr/>
        <w:t>客户服务电话：</w:t>
      </w:r>
      <w:r>
        <w:rPr>
          <w:rFonts w:ascii="Times New Roman" w:eastAsia="Times New Roman"/>
        </w:rPr>
        <w:t>400-111-0889</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上海大智慧基金销售有限公司</w:t>
      </w:r>
    </w:p>
    <w:p>
      <w:pPr>
        <w:pStyle w:val="BodyText"/>
        <w:spacing w:before="6"/>
        <w:rPr>
          <w:sz w:val="15"/>
        </w:rPr>
      </w:pPr>
    </w:p>
    <w:p>
      <w:pPr>
        <w:pStyle w:val="BodyText"/>
        <w:ind w:left="1260"/>
      </w:pPr>
      <w:r>
        <w:rPr/>
        <w:t>住所：中国（上海）自由贸易试验区杨高南路</w:t>
      </w:r>
      <w:r>
        <w:rPr>
          <w:rFonts w:ascii="Times New Roman" w:eastAsia="Times New Roman"/>
        </w:rPr>
        <w:t>428</w:t>
      </w:r>
      <w:r>
        <w:rPr/>
        <w:t>号</w:t>
      </w:r>
      <w:r>
        <w:rPr>
          <w:rFonts w:ascii="Times New Roman" w:eastAsia="Times New Roman"/>
        </w:rPr>
        <w:t>1</w:t>
      </w:r>
      <w:r>
        <w:rPr/>
        <w:t>号楼</w:t>
      </w:r>
      <w:r>
        <w:rPr>
          <w:rFonts w:ascii="Times New Roman" w:eastAsia="Times New Roman"/>
        </w:rPr>
        <w:t>1102</w:t>
      </w:r>
      <w:r>
        <w:rPr/>
        <w:t>单元</w:t>
      </w:r>
    </w:p>
    <w:p>
      <w:pPr>
        <w:pStyle w:val="BodyText"/>
        <w:spacing w:before="7"/>
        <w:rPr>
          <w:sz w:val="15"/>
        </w:rPr>
      </w:pPr>
    </w:p>
    <w:p>
      <w:pPr>
        <w:pStyle w:val="BodyText"/>
        <w:spacing w:line="417" w:lineRule="auto"/>
        <w:ind w:left="1260" w:right="2216"/>
      </w:pPr>
      <w:r>
        <w:rPr/>
        <w:t>办公地址：中国（上海）自由贸易试验区杨高南路</w:t>
      </w:r>
      <w:r>
        <w:rPr>
          <w:rFonts w:ascii="Times New Roman" w:eastAsia="Times New Roman"/>
        </w:rPr>
        <w:t>428</w:t>
      </w:r>
      <w:r>
        <w:rPr/>
        <w:t>号</w:t>
      </w:r>
      <w:r>
        <w:rPr>
          <w:rFonts w:ascii="Times New Roman" w:eastAsia="Times New Roman"/>
        </w:rPr>
        <w:t>1</w:t>
      </w:r>
      <w:r>
        <w:rPr/>
        <w:t>号楼</w:t>
      </w:r>
      <w:r>
        <w:rPr>
          <w:rFonts w:ascii="Times New Roman" w:eastAsia="Times New Roman"/>
        </w:rPr>
        <w:t>1102</w:t>
      </w:r>
      <w:r>
        <w:rPr/>
        <w:t>单元法定代表人：申健</w:t>
      </w:r>
    </w:p>
    <w:p>
      <w:pPr>
        <w:pStyle w:val="BodyText"/>
        <w:spacing w:line="417" w:lineRule="auto"/>
        <w:ind w:left="1260" w:right="6866"/>
        <w:rPr>
          <w:rFonts w:ascii="Times New Roman" w:eastAsia="Times New Roman"/>
        </w:rPr>
      </w:pPr>
      <w:r>
        <w:rPr/>
        <w:t>电话：</w:t>
      </w:r>
      <w:r>
        <w:rPr>
          <w:rFonts w:ascii="Times New Roman" w:eastAsia="Times New Roman"/>
        </w:rPr>
        <w:t>18017373527 </w:t>
      </w:r>
      <w:r>
        <w:rPr/>
        <w:t>传真：</w:t>
      </w:r>
      <w:r>
        <w:rPr>
          <w:rFonts w:ascii="Times New Roman" w:eastAsia="Times New Roman"/>
        </w:rPr>
        <w:t>021-20219923</w:t>
      </w:r>
    </w:p>
    <w:p>
      <w:pPr>
        <w:pStyle w:val="BodyText"/>
        <w:spacing w:line="269" w:lineRule="exact"/>
        <w:ind w:left="1260"/>
      </w:pPr>
      <w:r>
        <w:rPr/>
        <w:t>联系人：张蜓</w:t>
      </w:r>
    </w:p>
    <w:p>
      <w:pPr>
        <w:pStyle w:val="BodyText"/>
        <w:spacing w:before="7"/>
        <w:rPr>
          <w:sz w:val="15"/>
        </w:rPr>
      </w:pPr>
    </w:p>
    <w:p>
      <w:pPr>
        <w:pStyle w:val="BodyText"/>
        <w:spacing w:line="417" w:lineRule="auto"/>
        <w:ind w:left="1260" w:right="6025"/>
        <w:rPr>
          <w:rFonts w:ascii="Times New Roman" w:eastAsia="Times New Roman"/>
        </w:rPr>
      </w:pPr>
      <w:r>
        <w:rPr/>
        <w:t>网址：</w:t>
      </w:r>
      <w:r>
        <w:rPr>
          <w:rFonts w:ascii="Times New Roman" w:eastAsia="Times New Roman"/>
        </w:rPr>
        <w:t>https://</w:t>
      </w:r>
      <w:hyperlink r:id="rId96">
        <w:r>
          <w:rPr>
            <w:rFonts w:ascii="Times New Roman" w:eastAsia="Times New Roman"/>
          </w:rPr>
          <w:t>www.wg.com.cn/ </w:t>
        </w:r>
      </w:hyperlink>
      <w:r>
        <w:rPr/>
        <w:t>客户服务电话：</w:t>
      </w:r>
      <w:r>
        <w:rPr>
          <w:rFonts w:ascii="Times New Roman" w:eastAsia="Times New Roman"/>
        </w:rPr>
        <w:t>021-20292031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北京新浪仓石基金销售有限公司</w:t>
      </w:r>
    </w:p>
    <w:p>
      <w:pPr>
        <w:pStyle w:val="BodyText"/>
        <w:spacing w:before="7"/>
        <w:rPr>
          <w:sz w:val="15"/>
        </w:rPr>
      </w:pPr>
    </w:p>
    <w:p>
      <w:pPr>
        <w:pStyle w:val="BodyText"/>
        <w:spacing w:line="417" w:lineRule="auto"/>
        <w:ind w:left="778" w:right="892" w:firstLine="482"/>
      </w:pPr>
      <w:r>
        <w:rPr/>
        <w:t>住所：北京市海淀区东北旺西路中关村软件园二期（西扩）</w:t>
      </w:r>
      <w:r>
        <w:rPr>
          <w:rFonts w:ascii="Times New Roman" w:eastAsia="Times New Roman"/>
        </w:rPr>
        <w:t>N-1</w:t>
      </w:r>
      <w:r>
        <w:rPr/>
        <w:t>、</w:t>
      </w:r>
      <w:r>
        <w:rPr>
          <w:rFonts w:ascii="Times New Roman" w:eastAsia="Times New Roman"/>
        </w:rPr>
        <w:t>N-2</w:t>
      </w:r>
      <w:r>
        <w:rPr/>
        <w:t>地块新浪总部科研楼</w:t>
      </w:r>
      <w:r>
        <w:rPr>
          <w:rFonts w:ascii="Times New Roman" w:eastAsia="Times New Roman"/>
        </w:rPr>
        <w:t>5</w:t>
      </w:r>
      <w:r>
        <w:rPr/>
        <w:t>层</w:t>
      </w:r>
      <w:r>
        <w:rPr>
          <w:rFonts w:ascii="Times New Roman" w:eastAsia="Times New Roman"/>
        </w:rPr>
        <w:t>518</w:t>
      </w:r>
      <w:r>
        <w:rPr/>
        <w:t>室</w:t>
      </w:r>
    </w:p>
    <w:p>
      <w:pPr>
        <w:pStyle w:val="BodyText"/>
        <w:spacing w:line="417" w:lineRule="auto"/>
        <w:ind w:left="1260" w:right="2595"/>
      </w:pPr>
      <w:r>
        <w:rPr/>
        <w:t>办公地址：北京市海淀区西北旺东路</w:t>
      </w:r>
      <w:r>
        <w:rPr>
          <w:rFonts w:ascii="Times New Roman" w:eastAsia="Times New Roman"/>
        </w:rPr>
        <w:t>10</w:t>
      </w:r>
      <w:r>
        <w:rPr/>
        <w:t>号院东区</w:t>
      </w:r>
      <w:r>
        <w:rPr>
          <w:rFonts w:ascii="Times New Roman" w:eastAsia="Times New Roman"/>
        </w:rPr>
        <w:t>3</w:t>
      </w:r>
      <w:r>
        <w:rPr/>
        <w:t>号楼为明大厦</w:t>
      </w:r>
      <w:r>
        <w:rPr>
          <w:rFonts w:ascii="Times New Roman" w:eastAsia="Times New Roman"/>
        </w:rPr>
        <w:t>C</w:t>
      </w:r>
      <w:r>
        <w:rPr/>
        <w:t>座法定代表人：赵芯蕊</w:t>
      </w:r>
    </w:p>
    <w:p>
      <w:pPr>
        <w:pStyle w:val="BodyText"/>
        <w:spacing w:line="417" w:lineRule="auto"/>
        <w:ind w:left="1260" w:right="6866"/>
        <w:rPr>
          <w:rFonts w:ascii="Times New Roman" w:eastAsia="Times New Roman"/>
        </w:rPr>
      </w:pPr>
      <w:r>
        <w:rPr/>
        <w:t>电话：</w:t>
      </w:r>
      <w:r>
        <w:rPr>
          <w:rFonts w:ascii="Times New Roman" w:eastAsia="Times New Roman"/>
        </w:rPr>
        <w:t>010-62625768 </w:t>
      </w:r>
      <w:r>
        <w:rPr/>
        <w:t>传真：</w:t>
      </w:r>
      <w:r>
        <w:rPr>
          <w:rFonts w:ascii="Times New Roman" w:eastAsia="Times New Roman"/>
        </w:rPr>
        <w:t>010-62676582</w:t>
      </w:r>
    </w:p>
    <w:p>
      <w:pPr>
        <w:pStyle w:val="BodyText"/>
        <w:spacing w:line="269" w:lineRule="exact"/>
        <w:ind w:left="1260"/>
      </w:pPr>
      <w:r>
        <w:rPr/>
        <w:t>联系人：赵芯蕊</w:t>
      </w:r>
    </w:p>
    <w:p>
      <w:pPr>
        <w:pStyle w:val="BodyText"/>
        <w:spacing w:before="7"/>
        <w:rPr>
          <w:sz w:val="15"/>
        </w:rPr>
      </w:pPr>
    </w:p>
    <w:p>
      <w:pPr>
        <w:pStyle w:val="BodyText"/>
        <w:ind w:left="1260"/>
        <w:rPr>
          <w:rFonts w:ascii="Times New Roman" w:eastAsia="Times New Roman"/>
        </w:rPr>
      </w:pPr>
      <w:r>
        <w:rPr/>
        <w:t>网址：</w:t>
      </w:r>
      <w:hyperlink r:id="rId97">
        <w:r>
          <w:rPr>
            <w:rFonts w:ascii="Times New Roman" w:eastAsia="Times New Roman"/>
          </w:rPr>
          <w:t>www.xincai.com</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010-62675369</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北京辉腾汇富基金销售有限公司</w:t>
      </w:r>
    </w:p>
    <w:p>
      <w:pPr>
        <w:pStyle w:val="BodyText"/>
        <w:spacing w:before="7"/>
        <w:rPr>
          <w:sz w:val="15"/>
        </w:rPr>
      </w:pPr>
    </w:p>
    <w:p>
      <w:pPr>
        <w:pStyle w:val="BodyText"/>
        <w:ind w:left="1260"/>
        <w:rPr>
          <w:rFonts w:ascii="Times New Roman" w:eastAsia="Times New Roman"/>
        </w:rPr>
      </w:pPr>
      <w:r>
        <w:rPr/>
        <w:t>住所：北京市东城区朝阳门北大街</w:t>
      </w:r>
      <w:r>
        <w:rPr>
          <w:rFonts w:ascii="Times New Roman" w:eastAsia="Times New Roman"/>
        </w:rPr>
        <w:t>8</w:t>
      </w:r>
      <w:r>
        <w:rPr/>
        <w:t>号</w:t>
      </w:r>
      <w:r>
        <w:rPr>
          <w:rFonts w:ascii="Times New Roman" w:eastAsia="Times New Roman"/>
        </w:rPr>
        <w:t>2-2-1</w:t>
      </w:r>
    </w:p>
    <w:p>
      <w:pPr>
        <w:pStyle w:val="BodyText"/>
        <w:spacing w:before="3"/>
        <w:rPr>
          <w:rFonts w:ascii="Times New Roman"/>
          <w:sz w:val="17"/>
        </w:rPr>
      </w:pPr>
    </w:p>
    <w:p>
      <w:pPr>
        <w:pStyle w:val="BodyText"/>
        <w:spacing w:line="417" w:lineRule="auto"/>
        <w:ind w:left="1260" w:right="3110"/>
      </w:pPr>
      <w:r>
        <w:rPr/>
        <w:t>办公地址：北京市东城区朝阳门北大街</w:t>
      </w:r>
      <w:r>
        <w:rPr>
          <w:rFonts w:ascii="Times New Roman" w:eastAsia="Times New Roman"/>
        </w:rPr>
        <w:t>8</w:t>
      </w:r>
      <w:r>
        <w:rPr/>
        <w:t>号富华大厦</w:t>
      </w:r>
      <w:r>
        <w:rPr>
          <w:rFonts w:ascii="Times New Roman" w:eastAsia="Times New Roman"/>
        </w:rPr>
        <w:t>F</w:t>
      </w:r>
      <w:r>
        <w:rPr/>
        <w:t>座</w:t>
      </w:r>
      <w:r>
        <w:rPr>
          <w:rFonts w:ascii="Times New Roman" w:eastAsia="Times New Roman"/>
        </w:rPr>
        <w:t>12</w:t>
      </w:r>
      <w:r>
        <w:rPr/>
        <w:t>层</w:t>
      </w:r>
      <w:r>
        <w:rPr>
          <w:rFonts w:ascii="Times New Roman" w:eastAsia="Times New Roman"/>
        </w:rPr>
        <w:t>B </w:t>
      </w:r>
      <w:r>
        <w:rPr/>
        <w:t>法定代表人：许宁</w:t>
      </w:r>
    </w:p>
    <w:p>
      <w:pPr>
        <w:pStyle w:val="BodyText"/>
        <w:spacing w:line="417" w:lineRule="auto"/>
        <w:ind w:left="1260" w:right="6866"/>
        <w:rPr>
          <w:rFonts w:ascii="Times New Roman" w:eastAsia="Times New Roman"/>
        </w:rPr>
      </w:pPr>
      <w:r>
        <w:rPr/>
        <w:t>电话：</w:t>
      </w:r>
      <w:r>
        <w:rPr>
          <w:rFonts w:ascii="Times New Roman" w:eastAsia="Times New Roman"/>
        </w:rPr>
        <w:t>010-85610733 </w:t>
      </w:r>
      <w:r>
        <w:rPr/>
        <w:t>传真：</w:t>
      </w:r>
      <w:r>
        <w:rPr>
          <w:rFonts w:ascii="Times New Roman" w:eastAsia="Times New Roman"/>
        </w:rPr>
        <w:t>010-85622351</w:t>
      </w:r>
    </w:p>
    <w:p>
      <w:pPr>
        <w:pStyle w:val="BodyText"/>
        <w:ind w:left="1260"/>
      </w:pPr>
      <w:r>
        <w:rPr/>
        <w:t>联系人：彭雪琳</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1260" w:right="5952"/>
        <w:rPr>
          <w:rFonts w:ascii="Times New Roman" w:eastAsia="Times New Roman"/>
        </w:rPr>
      </w:pPr>
      <w:r>
        <w:rPr/>
        <w:t>网址：</w:t>
      </w:r>
      <w:r>
        <w:rPr>
          <w:rFonts w:ascii="Times New Roman" w:eastAsia="Times New Roman"/>
        </w:rPr>
        <w:t>https://</w:t>
      </w:r>
      <w:hyperlink r:id="rId98">
        <w:r>
          <w:rPr>
            <w:rFonts w:ascii="Times New Roman" w:eastAsia="Times New Roman"/>
          </w:rPr>
          <w:t>www.htfund.com/ </w:t>
        </w:r>
      </w:hyperlink>
      <w:r>
        <w:rPr/>
        <w:t>客户服务电话：</w:t>
      </w:r>
      <w:r>
        <w:rPr>
          <w:rFonts w:ascii="Times New Roman" w:eastAsia="Times New Roman"/>
        </w:rPr>
        <w:t>400-829-1218</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济安财富</w:t>
      </w:r>
      <w:r>
        <w:rPr>
          <w:sz w:val="21"/>
        </w:rPr>
        <w:t>（</w:t>
      </w:r>
      <w:r>
        <w:rPr>
          <w:spacing w:val="-2"/>
          <w:sz w:val="21"/>
        </w:rPr>
        <w:t>北京</w:t>
      </w:r>
      <w:r>
        <w:rPr>
          <w:spacing w:val="-3"/>
          <w:sz w:val="21"/>
        </w:rPr>
        <w:t>）基金销售有限公司</w:t>
      </w:r>
    </w:p>
    <w:p>
      <w:pPr>
        <w:pStyle w:val="BodyText"/>
        <w:spacing w:before="7"/>
        <w:rPr>
          <w:sz w:val="15"/>
        </w:rPr>
      </w:pPr>
    </w:p>
    <w:p>
      <w:pPr>
        <w:pStyle w:val="BodyText"/>
        <w:ind w:left="1260"/>
        <w:rPr>
          <w:rFonts w:ascii="Times New Roman" w:eastAsia="Times New Roman"/>
        </w:rPr>
      </w:pPr>
      <w:r>
        <w:rPr/>
        <w:t>住所：北京市朝阳区太阳宫中路</w:t>
      </w:r>
      <w:r>
        <w:rPr>
          <w:rFonts w:ascii="Times New Roman" w:eastAsia="Times New Roman"/>
        </w:rPr>
        <w:t>16</w:t>
      </w:r>
      <w:r>
        <w:rPr/>
        <w:t>号院</w:t>
      </w:r>
      <w:r>
        <w:rPr>
          <w:rFonts w:ascii="Times New Roman" w:eastAsia="Times New Roman"/>
        </w:rPr>
        <w:t>1</w:t>
      </w:r>
      <w:r>
        <w:rPr/>
        <w:t>号楼</w:t>
      </w:r>
      <w:r>
        <w:rPr>
          <w:rFonts w:ascii="Times New Roman" w:eastAsia="Times New Roman"/>
        </w:rPr>
        <w:t>3</w:t>
      </w:r>
      <w:r>
        <w:rPr/>
        <w:t>层</w:t>
      </w:r>
      <w:r>
        <w:rPr>
          <w:rFonts w:ascii="Times New Roman" w:eastAsia="Times New Roman"/>
        </w:rPr>
        <w:t>307</w:t>
      </w:r>
    </w:p>
    <w:p>
      <w:pPr>
        <w:pStyle w:val="BodyText"/>
        <w:spacing w:before="3"/>
        <w:rPr>
          <w:rFonts w:ascii="Times New Roman"/>
          <w:sz w:val="17"/>
        </w:rPr>
      </w:pPr>
    </w:p>
    <w:p>
      <w:pPr>
        <w:pStyle w:val="BodyText"/>
        <w:spacing w:line="417" w:lineRule="auto"/>
        <w:ind w:left="1260" w:right="3572"/>
      </w:pPr>
      <w:r>
        <w:rPr/>
        <w:t>办公地址：北京市朝阳区太阳宫中路</w:t>
      </w:r>
      <w:r>
        <w:rPr>
          <w:rFonts w:ascii="Times New Roman" w:eastAsia="Times New Roman"/>
        </w:rPr>
        <w:t>16</w:t>
      </w:r>
      <w:r>
        <w:rPr/>
        <w:t>号院</w:t>
      </w:r>
      <w:r>
        <w:rPr>
          <w:rFonts w:ascii="Times New Roman" w:eastAsia="Times New Roman"/>
        </w:rPr>
        <w:t>1</w:t>
      </w:r>
      <w:r>
        <w:rPr/>
        <w:t>号楼</w:t>
      </w:r>
      <w:r>
        <w:rPr>
          <w:rFonts w:ascii="Times New Roman" w:eastAsia="Times New Roman"/>
        </w:rPr>
        <w:t>3</w:t>
      </w:r>
      <w:r>
        <w:rPr/>
        <w:t>层</w:t>
      </w:r>
      <w:r>
        <w:rPr>
          <w:rFonts w:ascii="Times New Roman" w:eastAsia="Times New Roman"/>
        </w:rPr>
        <w:t>307 </w:t>
      </w:r>
      <w:r>
        <w:rPr/>
        <w:t>法定代表人：杨健</w:t>
      </w:r>
    </w:p>
    <w:p>
      <w:pPr>
        <w:pStyle w:val="BodyText"/>
        <w:spacing w:line="417" w:lineRule="auto"/>
        <w:ind w:left="1260" w:right="6866"/>
        <w:rPr>
          <w:rFonts w:ascii="Times New Roman" w:eastAsia="Times New Roman"/>
        </w:rPr>
      </w:pPr>
      <w:r>
        <w:rPr/>
        <w:t>电话：</w:t>
      </w:r>
      <w:r>
        <w:rPr>
          <w:rFonts w:ascii="Times New Roman" w:eastAsia="Times New Roman"/>
        </w:rPr>
        <w:t>010-65309516 </w:t>
      </w:r>
      <w:r>
        <w:rPr/>
        <w:t>传真：</w:t>
      </w:r>
      <w:r>
        <w:rPr>
          <w:rFonts w:ascii="Times New Roman" w:eastAsia="Times New Roman"/>
        </w:rPr>
        <w:t>010-65330699</w:t>
      </w:r>
    </w:p>
    <w:p>
      <w:pPr>
        <w:pStyle w:val="BodyText"/>
        <w:ind w:left="1260"/>
      </w:pPr>
      <w:r>
        <w:rPr/>
        <w:t>联系人：李海燕</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99">
        <w:r>
          <w:rPr>
            <w:rFonts w:ascii="Times New Roman" w:eastAsia="Times New Roman"/>
          </w:rPr>
          <w:t>www.jianfortune.com</w:t>
        </w:r>
      </w:hyperlink>
      <w:r>
        <w:rPr>
          <w:rFonts w:ascii="Times New Roman" w:eastAsia="Times New Roman"/>
        </w:rPr>
        <w:t> </w:t>
      </w:r>
      <w:r>
        <w:rPr/>
        <w:t>客户服务电话：</w:t>
      </w:r>
      <w:r>
        <w:rPr>
          <w:rFonts w:ascii="Times New Roman" w:eastAsia="Times New Roman"/>
        </w:rPr>
        <w:t>400-673-7010</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上海万得基金销售有限公司</w:t>
      </w:r>
    </w:p>
    <w:p>
      <w:pPr>
        <w:pStyle w:val="BodyText"/>
        <w:spacing w:before="7"/>
        <w:rPr>
          <w:sz w:val="15"/>
        </w:rPr>
      </w:pPr>
    </w:p>
    <w:p>
      <w:pPr>
        <w:pStyle w:val="BodyText"/>
        <w:spacing w:line="417" w:lineRule="auto"/>
        <w:ind w:left="1260" w:right="3474"/>
      </w:pPr>
      <w:r>
        <w:rPr/>
        <w:t>住所：中国（上海）自由贸易试验区福山路</w:t>
      </w:r>
      <w:r>
        <w:rPr>
          <w:rFonts w:ascii="Times New Roman" w:eastAsia="Times New Roman"/>
        </w:rPr>
        <w:t>33</w:t>
      </w:r>
      <w:r>
        <w:rPr/>
        <w:t>号</w:t>
      </w:r>
      <w:r>
        <w:rPr>
          <w:rFonts w:ascii="Times New Roman" w:eastAsia="Times New Roman"/>
        </w:rPr>
        <w:t>11</w:t>
      </w:r>
      <w:r>
        <w:rPr/>
        <w:t>楼</w:t>
      </w:r>
      <w:r>
        <w:rPr>
          <w:rFonts w:ascii="Times New Roman" w:eastAsia="Times New Roman"/>
        </w:rPr>
        <w:t>B</w:t>
      </w:r>
      <w:r>
        <w:rPr/>
        <w:t>座办公地址：上海市浦东新区浦明路</w:t>
      </w:r>
      <w:r>
        <w:rPr>
          <w:rFonts w:ascii="Times New Roman" w:eastAsia="Times New Roman"/>
        </w:rPr>
        <w:t>1500</w:t>
      </w:r>
      <w:r>
        <w:rPr/>
        <w:t>号万得大厦</w:t>
      </w:r>
      <w:r>
        <w:rPr>
          <w:rFonts w:ascii="Times New Roman" w:eastAsia="Times New Roman"/>
        </w:rPr>
        <w:t>11</w:t>
      </w:r>
      <w:r>
        <w:rPr/>
        <w:t>楼法定代表人：黄祎</w:t>
      </w:r>
    </w:p>
    <w:p>
      <w:pPr>
        <w:pStyle w:val="BodyText"/>
        <w:spacing w:line="417" w:lineRule="auto"/>
        <w:ind w:left="1260" w:right="6866"/>
        <w:rPr>
          <w:rFonts w:ascii="Times New Roman" w:eastAsia="Times New Roman"/>
        </w:rPr>
      </w:pPr>
      <w:r>
        <w:rPr/>
        <w:t>电话：</w:t>
      </w:r>
      <w:r>
        <w:rPr>
          <w:rFonts w:ascii="Times New Roman" w:eastAsia="Times New Roman"/>
        </w:rPr>
        <w:t>021-50712782 </w:t>
      </w:r>
      <w:r>
        <w:rPr/>
        <w:t>传真：</w:t>
      </w:r>
      <w:r>
        <w:rPr>
          <w:rFonts w:ascii="Times New Roman" w:eastAsia="Times New Roman"/>
        </w:rPr>
        <w:t>021-50710161</w:t>
      </w:r>
    </w:p>
    <w:p>
      <w:pPr>
        <w:pStyle w:val="BodyText"/>
        <w:spacing w:line="269" w:lineRule="exact"/>
        <w:ind w:left="1260"/>
      </w:pPr>
      <w:r>
        <w:rPr/>
        <w:t>联系人：徐亚丹</w:t>
      </w:r>
    </w:p>
    <w:p>
      <w:pPr>
        <w:pStyle w:val="BodyText"/>
        <w:spacing w:before="6"/>
        <w:rPr>
          <w:sz w:val="15"/>
        </w:rPr>
      </w:pPr>
    </w:p>
    <w:p>
      <w:pPr>
        <w:pStyle w:val="BodyText"/>
        <w:spacing w:line="417" w:lineRule="auto" w:before="1"/>
        <w:ind w:left="1260" w:right="6061"/>
        <w:rPr>
          <w:rFonts w:ascii="Times New Roman" w:eastAsia="Times New Roman"/>
        </w:rPr>
      </w:pPr>
      <w:r>
        <w:rPr/>
        <w:t>网址：</w:t>
      </w:r>
      <w:hyperlink r:id="rId100">
        <w:r>
          <w:rPr>
            <w:rFonts w:ascii="Times New Roman" w:eastAsia="Times New Roman"/>
          </w:rPr>
          <w:t>www.520fund.com.cn </w:t>
        </w:r>
      </w:hyperlink>
      <w:r>
        <w:rPr/>
        <w:t>客户服务电话：</w:t>
      </w:r>
      <w:r>
        <w:rPr>
          <w:rFonts w:ascii="Times New Roman" w:eastAsia="Times New Roman"/>
        </w:rPr>
        <w:t>400-799-1888</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凤凰金信</w:t>
      </w:r>
      <w:r>
        <w:rPr>
          <w:sz w:val="21"/>
        </w:rPr>
        <w:t>（</w:t>
      </w:r>
      <w:r>
        <w:rPr>
          <w:spacing w:val="-2"/>
          <w:sz w:val="21"/>
        </w:rPr>
        <w:t>银川</w:t>
      </w:r>
      <w:r>
        <w:rPr>
          <w:spacing w:val="-3"/>
          <w:sz w:val="21"/>
        </w:rPr>
        <w:t>）基金销售有限公司</w:t>
      </w:r>
    </w:p>
    <w:p>
      <w:pPr>
        <w:pStyle w:val="BodyText"/>
        <w:spacing w:before="7"/>
        <w:rPr>
          <w:sz w:val="15"/>
        </w:rPr>
      </w:pPr>
    </w:p>
    <w:p>
      <w:pPr>
        <w:pStyle w:val="BodyText"/>
        <w:spacing w:line="417" w:lineRule="auto"/>
        <w:ind w:left="1260" w:right="785"/>
      </w:pPr>
      <w:r>
        <w:rPr>
          <w:spacing w:val="-10"/>
        </w:rPr>
        <w:t>住所：宁夏回族自治区银川市金凤区阅海湾中央商务区万寿路</w:t>
      </w:r>
      <w:r>
        <w:rPr>
          <w:rFonts w:ascii="Times New Roman" w:eastAsia="Times New Roman"/>
        </w:rPr>
        <w:t>142</w:t>
      </w:r>
      <w:r>
        <w:rPr/>
        <w:t>号</w:t>
      </w:r>
      <w:r>
        <w:rPr>
          <w:rFonts w:ascii="Times New Roman" w:eastAsia="Times New Roman"/>
        </w:rPr>
        <w:t>14</w:t>
      </w:r>
      <w:r>
        <w:rPr/>
        <w:t>层</w:t>
      </w:r>
      <w:r>
        <w:rPr>
          <w:rFonts w:ascii="Times New Roman" w:eastAsia="Times New Roman"/>
          <w:spacing w:val="-8"/>
        </w:rPr>
        <w:t>1402</w:t>
      </w:r>
      <w:r>
        <w:rPr>
          <w:spacing w:val="-8"/>
        </w:rPr>
        <w:t>（</w:t>
      </w:r>
      <w:r>
        <w:rPr>
          <w:rFonts w:ascii="Times New Roman" w:eastAsia="Times New Roman"/>
          <w:spacing w:val="-8"/>
        </w:rPr>
        <w:t>750000</w:t>
      </w:r>
      <w:r>
        <w:rPr>
          <w:spacing w:val="-8"/>
        </w:rPr>
        <w:t>） </w:t>
      </w:r>
      <w:r>
        <w:rPr>
          <w:spacing w:val="-3"/>
        </w:rPr>
        <w:t>办公地址：北京市朝阳区紫月路</w:t>
      </w:r>
      <w:r>
        <w:rPr>
          <w:rFonts w:ascii="Times New Roman" w:eastAsia="Times New Roman"/>
        </w:rPr>
        <w:t>18</w:t>
      </w:r>
      <w:r>
        <w:rPr>
          <w:spacing w:val="-3"/>
        </w:rPr>
        <w:t>号院朝来高科技产业园</w:t>
      </w:r>
      <w:r>
        <w:rPr>
          <w:rFonts w:ascii="Times New Roman" w:eastAsia="Times New Roman"/>
        </w:rPr>
        <w:t>18</w:t>
      </w:r>
      <w:r>
        <w:rPr>
          <w:spacing w:val="-2"/>
        </w:rPr>
        <w:t>号楼</w:t>
      </w:r>
      <w:r>
        <w:rPr/>
        <w:t>（</w:t>
      </w:r>
      <w:r>
        <w:rPr>
          <w:rFonts w:ascii="Times New Roman" w:eastAsia="Times New Roman"/>
        </w:rPr>
        <w:t>100000</w:t>
      </w:r>
      <w:r>
        <w:rPr/>
        <w:t>）</w:t>
      </w:r>
    </w:p>
    <w:p>
      <w:pPr>
        <w:pStyle w:val="BodyText"/>
        <w:spacing w:line="417" w:lineRule="auto"/>
        <w:ind w:left="1260" w:right="6804"/>
        <w:rPr>
          <w:rFonts w:ascii="Times New Roman" w:eastAsia="Times New Roman"/>
        </w:rPr>
      </w:pPr>
      <w:r>
        <w:rPr/>
        <w:t>法定代表人：程刚电话：</w:t>
      </w:r>
      <w:r>
        <w:rPr>
          <w:rFonts w:ascii="Times New Roman" w:eastAsia="Times New Roman"/>
        </w:rPr>
        <w:t>010-58160168 </w:t>
      </w:r>
      <w:r>
        <w:rPr/>
        <w:t>传真：</w:t>
      </w:r>
      <w:r>
        <w:rPr>
          <w:rFonts w:ascii="Times New Roman" w:eastAsia="Times New Roman"/>
        </w:rPr>
        <w:t>010-58160173</w:t>
      </w:r>
    </w:p>
    <w:p>
      <w:pPr>
        <w:pStyle w:val="BodyText"/>
        <w:spacing w:line="269" w:lineRule="exact"/>
        <w:ind w:left="1260"/>
      </w:pPr>
      <w:r>
        <w:rPr/>
        <w:t>联系人：张旭</w:t>
      </w:r>
    </w:p>
    <w:p>
      <w:pPr>
        <w:pStyle w:val="BodyText"/>
        <w:spacing w:before="6"/>
        <w:rPr>
          <w:sz w:val="15"/>
        </w:rPr>
      </w:pPr>
    </w:p>
    <w:p>
      <w:pPr>
        <w:pStyle w:val="BodyText"/>
        <w:ind w:left="1260"/>
        <w:rPr>
          <w:rFonts w:ascii="Times New Roman" w:eastAsia="Times New Roman"/>
        </w:rPr>
      </w:pPr>
      <w:r>
        <w:rPr/>
        <w:t>网址：</w:t>
      </w:r>
      <w:hyperlink r:id="rId101">
        <w:r>
          <w:rPr>
            <w:rFonts w:ascii="Times New Roman" w:eastAsia="Times New Roman"/>
          </w:rPr>
          <w:t>www.fengfd.com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400-810-5919</w:t>
      </w:r>
    </w:p>
    <w:p>
      <w:pPr>
        <w:pStyle w:val="BodyText"/>
        <w:spacing w:before="3"/>
        <w:rPr>
          <w:rFonts w:ascii="Times New Roman"/>
          <w:sz w:val="17"/>
        </w:rPr>
      </w:pPr>
    </w:p>
    <w:p>
      <w:pPr>
        <w:pStyle w:val="ListParagraph"/>
        <w:numPr>
          <w:ilvl w:val="0"/>
          <w:numId w:val="8"/>
        </w:numPr>
        <w:tabs>
          <w:tab w:pos="1895" w:val="left" w:leader="none"/>
        </w:tabs>
        <w:spacing w:line="240" w:lineRule="auto" w:before="1" w:after="0"/>
        <w:ind w:left="1895" w:right="0" w:hanging="635"/>
        <w:jc w:val="left"/>
        <w:rPr>
          <w:sz w:val="21"/>
        </w:rPr>
      </w:pPr>
      <w:r>
        <w:rPr>
          <w:spacing w:val="-3"/>
          <w:sz w:val="21"/>
        </w:rPr>
        <w:t>上海联泰基金销售有限公司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line="417" w:lineRule="auto" w:before="78"/>
        <w:ind w:left="1260" w:right="3155"/>
      </w:pPr>
      <w:r>
        <w:rPr/>
        <w:t>住所：中国（上海）自由贸易试验区富特北路</w:t>
      </w:r>
      <w:r>
        <w:rPr>
          <w:rFonts w:ascii="Times New Roman" w:eastAsia="Times New Roman"/>
        </w:rPr>
        <w:t>277</w:t>
      </w:r>
      <w:r>
        <w:rPr/>
        <w:t>号</w:t>
      </w:r>
      <w:r>
        <w:rPr>
          <w:rFonts w:ascii="Times New Roman" w:eastAsia="Times New Roman"/>
        </w:rPr>
        <w:t>3</w:t>
      </w:r>
      <w:r>
        <w:rPr/>
        <w:t>层</w:t>
      </w:r>
      <w:r>
        <w:rPr>
          <w:rFonts w:ascii="Times New Roman" w:eastAsia="Times New Roman"/>
        </w:rPr>
        <w:t>310</w:t>
      </w:r>
      <w:r>
        <w:rPr/>
        <w:t>室办公地址：中国（上海）长宁区福泉北路</w:t>
      </w:r>
      <w:r>
        <w:rPr>
          <w:rFonts w:ascii="Times New Roman" w:eastAsia="Times New Roman"/>
        </w:rPr>
        <w:t>518</w:t>
      </w:r>
      <w:r>
        <w:rPr/>
        <w:t>号</w:t>
      </w:r>
      <w:r>
        <w:rPr>
          <w:rFonts w:ascii="Times New Roman" w:eastAsia="Times New Roman"/>
        </w:rPr>
        <w:t>8</w:t>
      </w:r>
      <w:r>
        <w:rPr/>
        <w:t>座</w:t>
      </w:r>
      <w:r>
        <w:rPr>
          <w:rFonts w:ascii="Times New Roman" w:eastAsia="Times New Roman"/>
        </w:rPr>
        <w:t>3</w:t>
      </w:r>
      <w:r>
        <w:rPr/>
        <w:t>层</w:t>
      </w:r>
    </w:p>
    <w:p>
      <w:pPr>
        <w:pStyle w:val="BodyText"/>
        <w:spacing w:line="417" w:lineRule="auto"/>
        <w:ind w:left="1260" w:right="6830"/>
        <w:rPr>
          <w:rFonts w:ascii="Times New Roman" w:eastAsia="Times New Roman"/>
        </w:rPr>
      </w:pPr>
      <w:r>
        <w:rPr/>
        <w:t>法定代表人：尹彬彬电话：</w:t>
      </w:r>
      <w:r>
        <w:rPr>
          <w:rFonts w:ascii="Times New Roman" w:eastAsia="Times New Roman"/>
        </w:rPr>
        <w:t>15201924977 </w:t>
      </w:r>
      <w:r>
        <w:rPr/>
        <w:t>传真：</w:t>
      </w:r>
      <w:r>
        <w:rPr>
          <w:rFonts w:ascii="Times New Roman" w:eastAsia="Times New Roman"/>
        </w:rPr>
        <w:t>021-52975270</w:t>
      </w:r>
    </w:p>
    <w:p>
      <w:pPr>
        <w:pStyle w:val="BodyText"/>
        <w:spacing w:line="269" w:lineRule="exact"/>
        <w:ind w:left="1260"/>
      </w:pPr>
      <w:r>
        <w:rPr/>
        <w:t>联系人：兰敏</w:t>
      </w:r>
    </w:p>
    <w:p>
      <w:pPr>
        <w:pStyle w:val="BodyText"/>
        <w:spacing w:before="6"/>
        <w:rPr>
          <w:sz w:val="15"/>
        </w:rPr>
      </w:pPr>
    </w:p>
    <w:p>
      <w:pPr>
        <w:pStyle w:val="BodyText"/>
        <w:spacing w:before="1"/>
        <w:ind w:left="1260"/>
        <w:rPr>
          <w:rFonts w:ascii="Times New Roman" w:eastAsia="Times New Roman"/>
        </w:rPr>
      </w:pPr>
      <w:r>
        <w:rPr/>
        <w:t>网址：</w:t>
      </w:r>
      <w:hyperlink r:id="rId102">
        <w:r>
          <w:rPr>
            <w:rFonts w:ascii="Times New Roman" w:eastAsia="Times New Roman"/>
          </w:rPr>
          <w:t>www.66liantai.com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400-118-1188</w:t>
      </w:r>
    </w:p>
    <w:p>
      <w:pPr>
        <w:pStyle w:val="BodyText"/>
        <w:spacing w:before="3"/>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深圳市金海九州基金销售有限公司</w:t>
      </w:r>
    </w:p>
    <w:p>
      <w:pPr>
        <w:pStyle w:val="BodyText"/>
        <w:spacing w:before="7"/>
        <w:rPr>
          <w:sz w:val="15"/>
        </w:rPr>
      </w:pPr>
    </w:p>
    <w:p>
      <w:pPr>
        <w:pStyle w:val="BodyText"/>
        <w:ind w:left="1260"/>
      </w:pPr>
      <w:r>
        <w:rPr/>
        <w:t>住所：深圳市前海深港合作区前湾一路</w:t>
      </w:r>
      <w:r>
        <w:rPr>
          <w:rFonts w:ascii="Times New Roman" w:eastAsia="Times New Roman"/>
        </w:rPr>
        <w:t>1</w:t>
      </w:r>
      <w:r>
        <w:rPr/>
        <w:t>号</w:t>
      </w:r>
      <w:r>
        <w:rPr>
          <w:rFonts w:ascii="Times New Roman" w:eastAsia="Times New Roman"/>
        </w:rPr>
        <w:t>A</w:t>
      </w:r>
      <w:r>
        <w:rPr/>
        <w:t>栋</w:t>
      </w:r>
      <w:r>
        <w:rPr>
          <w:rFonts w:ascii="Times New Roman" w:eastAsia="Times New Roman"/>
        </w:rPr>
        <w:t>201</w:t>
      </w:r>
      <w:r>
        <w:rPr/>
        <w:t>室（入驻深圳市前海商务秘书有限公</w:t>
      </w:r>
    </w:p>
    <w:p>
      <w:pPr>
        <w:pStyle w:val="BodyText"/>
        <w:spacing w:before="12"/>
        <w:rPr>
          <w:sz w:val="9"/>
        </w:rPr>
      </w:pPr>
    </w:p>
    <w:p>
      <w:pPr>
        <w:pStyle w:val="BodyText"/>
        <w:spacing w:before="72"/>
        <w:ind w:left="778"/>
      </w:pPr>
      <w:r>
        <w:rPr/>
        <w:t>司）</w:t>
      </w:r>
    </w:p>
    <w:p>
      <w:pPr>
        <w:pStyle w:val="BodyText"/>
        <w:spacing w:before="5"/>
        <w:rPr>
          <w:sz w:val="9"/>
        </w:rPr>
      </w:pPr>
    </w:p>
    <w:p>
      <w:pPr>
        <w:pStyle w:val="BodyText"/>
        <w:spacing w:line="417" w:lineRule="auto" w:before="78"/>
        <w:ind w:left="1260" w:right="4107"/>
      </w:pPr>
      <w:r>
        <w:rPr/>
        <w:t>办公地址：深圳市福田区富德生命保险大厦</w:t>
      </w:r>
      <w:r>
        <w:rPr>
          <w:rFonts w:ascii="Times New Roman" w:eastAsia="Times New Roman"/>
        </w:rPr>
        <w:t>1106</w:t>
      </w:r>
      <w:r>
        <w:rPr/>
        <w:t>室法定代表人：彭维熙</w:t>
      </w:r>
    </w:p>
    <w:p>
      <w:pPr>
        <w:pStyle w:val="BodyText"/>
        <w:spacing w:line="417" w:lineRule="auto"/>
        <w:ind w:left="1260" w:right="6760"/>
        <w:rPr>
          <w:rFonts w:ascii="Times New Roman" w:eastAsia="Times New Roman"/>
        </w:rPr>
      </w:pPr>
      <w:r>
        <w:rPr/>
        <w:t>电话：</w:t>
      </w:r>
      <w:r>
        <w:rPr>
          <w:rFonts w:ascii="Times New Roman" w:eastAsia="Times New Roman"/>
        </w:rPr>
        <w:t>0755-81994266 </w:t>
      </w:r>
      <w:r>
        <w:rPr/>
        <w:t>传真：</w:t>
      </w:r>
      <w:r>
        <w:rPr>
          <w:rFonts w:ascii="Times New Roman" w:eastAsia="Times New Roman"/>
        </w:rPr>
        <w:t>0755-84333886</w:t>
      </w:r>
    </w:p>
    <w:p>
      <w:pPr>
        <w:pStyle w:val="BodyText"/>
        <w:ind w:left="1260"/>
      </w:pPr>
      <w:r>
        <w:rPr/>
        <w:t>联系人：彭维熙</w:t>
      </w:r>
    </w:p>
    <w:p>
      <w:pPr>
        <w:pStyle w:val="BodyText"/>
        <w:spacing w:before="6"/>
        <w:rPr>
          <w:sz w:val="15"/>
        </w:rPr>
      </w:pPr>
    </w:p>
    <w:p>
      <w:pPr>
        <w:pStyle w:val="BodyText"/>
        <w:spacing w:before="1"/>
        <w:ind w:left="1260"/>
        <w:rPr>
          <w:rFonts w:ascii="Times New Roman" w:eastAsia="Times New Roman"/>
        </w:rPr>
      </w:pPr>
      <w:r>
        <w:rPr/>
        <w:t>网址：</w:t>
      </w:r>
      <w:hyperlink r:id="rId103">
        <w:r>
          <w:rPr>
            <w:rFonts w:ascii="Times New Roman" w:eastAsia="Times New Roman"/>
          </w:rPr>
          <w:t>www.jhjzfund.com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400-099-3333</w:t>
      </w:r>
    </w:p>
    <w:p>
      <w:pPr>
        <w:pStyle w:val="BodyText"/>
        <w:spacing w:before="3"/>
        <w:rPr>
          <w:rFonts w:ascii="Times New Roman"/>
          <w:sz w:val="17"/>
        </w:rPr>
      </w:pPr>
    </w:p>
    <w:p>
      <w:pPr>
        <w:pStyle w:val="ListParagraph"/>
        <w:numPr>
          <w:ilvl w:val="0"/>
          <w:numId w:val="8"/>
        </w:numPr>
        <w:tabs>
          <w:tab w:pos="1895" w:val="left" w:leader="none"/>
        </w:tabs>
        <w:spacing w:line="417" w:lineRule="auto" w:before="1" w:after="0"/>
        <w:ind w:left="1260" w:right="4624" w:firstLine="0"/>
        <w:jc w:val="left"/>
        <w:rPr>
          <w:sz w:val="21"/>
        </w:rPr>
      </w:pPr>
      <w:r>
        <w:rPr>
          <w:spacing w:val="-3"/>
          <w:sz w:val="21"/>
        </w:rPr>
        <w:t>泰诚财富基金销售</w:t>
      </w:r>
      <w:r>
        <w:rPr>
          <w:sz w:val="21"/>
        </w:rPr>
        <w:t>（</w:t>
      </w:r>
      <w:r>
        <w:rPr>
          <w:spacing w:val="-2"/>
          <w:sz w:val="21"/>
        </w:rPr>
        <w:t>大连</w:t>
      </w:r>
      <w:r>
        <w:rPr>
          <w:sz w:val="21"/>
        </w:rPr>
        <w:t>）</w:t>
      </w:r>
      <w:r>
        <w:rPr>
          <w:spacing w:val="-3"/>
          <w:sz w:val="21"/>
        </w:rPr>
        <w:t>有限公司住所：辽宁省大连市沙河口区星海中龙园</w:t>
      </w:r>
      <w:r>
        <w:rPr>
          <w:rFonts w:ascii="Times New Roman" w:eastAsia="Times New Roman"/>
          <w:sz w:val="21"/>
        </w:rPr>
        <w:t>3</w:t>
      </w:r>
      <w:r>
        <w:rPr>
          <w:spacing w:val="-12"/>
          <w:sz w:val="21"/>
        </w:rPr>
        <w:t>号</w:t>
      </w:r>
    </w:p>
    <w:p>
      <w:pPr>
        <w:pStyle w:val="BodyText"/>
        <w:spacing w:line="417" w:lineRule="auto"/>
        <w:ind w:left="1260" w:right="4203"/>
      </w:pPr>
      <w:r>
        <w:rPr/>
        <w:t>办公地址：辽宁省大连市沙河口区星海中龙园</w:t>
      </w:r>
      <w:r>
        <w:rPr>
          <w:rFonts w:ascii="Times New Roman" w:eastAsia="Times New Roman"/>
        </w:rPr>
        <w:t>3</w:t>
      </w:r>
      <w:r>
        <w:rPr/>
        <w:t>号法定代表人：李春光</w:t>
      </w:r>
    </w:p>
    <w:p>
      <w:pPr>
        <w:pStyle w:val="BodyText"/>
        <w:spacing w:line="417" w:lineRule="auto"/>
        <w:ind w:left="1260" w:right="6385"/>
        <w:rPr>
          <w:rFonts w:ascii="Times New Roman" w:eastAsia="Times New Roman"/>
        </w:rPr>
      </w:pPr>
      <w:r>
        <w:rPr/>
        <w:t>电话：</w:t>
      </w:r>
      <w:r>
        <w:rPr>
          <w:rFonts w:ascii="Times New Roman" w:eastAsia="Times New Roman"/>
        </w:rPr>
        <w:t>0411-88891212-317 </w:t>
      </w:r>
      <w:r>
        <w:rPr/>
        <w:t>传真：</w:t>
      </w:r>
      <w:r>
        <w:rPr>
          <w:rFonts w:ascii="Times New Roman" w:eastAsia="Times New Roman"/>
        </w:rPr>
        <w:t>0411-84396536</w:t>
      </w:r>
    </w:p>
    <w:p>
      <w:pPr>
        <w:pStyle w:val="BodyText"/>
        <w:spacing w:line="269" w:lineRule="exact"/>
        <w:ind w:left="1260"/>
      </w:pPr>
      <w:r>
        <w:rPr/>
        <w:t>联系人：张晓辉</w:t>
      </w:r>
    </w:p>
    <w:p>
      <w:pPr>
        <w:pStyle w:val="BodyText"/>
        <w:spacing w:before="6"/>
        <w:rPr>
          <w:sz w:val="15"/>
        </w:rPr>
      </w:pPr>
    </w:p>
    <w:p>
      <w:pPr>
        <w:pStyle w:val="BodyText"/>
        <w:spacing w:line="417" w:lineRule="auto"/>
        <w:ind w:left="1260" w:right="6069"/>
        <w:rPr>
          <w:rFonts w:ascii="Times New Roman" w:eastAsia="Times New Roman"/>
        </w:rPr>
      </w:pPr>
      <w:r>
        <w:rPr/>
        <w:t>网址：</w:t>
      </w:r>
      <w:hyperlink r:id="rId104">
        <w:r>
          <w:rPr>
            <w:rFonts w:ascii="Times New Roman" w:eastAsia="Times New Roman"/>
          </w:rPr>
          <w:t>www.haojiyoujijin.com </w:t>
        </w:r>
      </w:hyperlink>
      <w:r>
        <w:rPr/>
        <w:t>客户服务电话：</w:t>
      </w:r>
      <w:r>
        <w:rPr>
          <w:rFonts w:ascii="Times New Roman" w:eastAsia="Times New Roman"/>
        </w:rPr>
        <w:t>400-0411-001</w:t>
      </w:r>
    </w:p>
    <w:p>
      <w:pPr>
        <w:pStyle w:val="ListParagraph"/>
        <w:numPr>
          <w:ilvl w:val="0"/>
          <w:numId w:val="8"/>
        </w:numPr>
        <w:tabs>
          <w:tab w:pos="1895" w:val="left" w:leader="none"/>
        </w:tabs>
        <w:spacing w:line="269" w:lineRule="exact" w:before="0" w:after="0"/>
        <w:ind w:left="1895" w:right="0" w:hanging="635"/>
        <w:jc w:val="left"/>
        <w:rPr>
          <w:sz w:val="21"/>
        </w:rPr>
      </w:pPr>
      <w:r>
        <w:rPr>
          <w:spacing w:val="-3"/>
          <w:sz w:val="21"/>
        </w:rPr>
        <w:t>上海汇付基金销售有限公司</w:t>
      </w:r>
    </w:p>
    <w:p>
      <w:pPr>
        <w:pStyle w:val="BodyText"/>
        <w:spacing w:before="7"/>
        <w:rPr>
          <w:sz w:val="15"/>
        </w:rPr>
      </w:pPr>
    </w:p>
    <w:p>
      <w:pPr>
        <w:pStyle w:val="BodyText"/>
        <w:ind w:left="1260"/>
      </w:pPr>
      <w:r>
        <w:rPr/>
        <w:t>住所：上海市黄浦区黄河路</w:t>
      </w:r>
      <w:r>
        <w:rPr>
          <w:rFonts w:ascii="Times New Roman" w:eastAsia="Times New Roman"/>
        </w:rPr>
        <w:t>333</w:t>
      </w:r>
      <w:r>
        <w:rPr/>
        <w:t>号</w:t>
      </w:r>
      <w:r>
        <w:rPr>
          <w:rFonts w:ascii="Times New Roman" w:eastAsia="Times New Roman"/>
        </w:rPr>
        <w:t>201</w:t>
      </w:r>
      <w:r>
        <w:rPr/>
        <w:t>室</w:t>
      </w:r>
      <w:r>
        <w:rPr>
          <w:rFonts w:ascii="Times New Roman" w:eastAsia="Times New Roman"/>
        </w:rPr>
        <w:t>A</w:t>
      </w:r>
      <w:r>
        <w:rPr/>
        <w:t>区</w:t>
      </w:r>
      <w:r>
        <w:rPr>
          <w:rFonts w:ascii="Times New Roman" w:eastAsia="Times New Roman"/>
        </w:rPr>
        <w:t>056</w:t>
      </w:r>
      <w:r>
        <w:rPr/>
        <w:t>单元</w:t>
      </w:r>
    </w:p>
    <w:p>
      <w:pPr>
        <w:pStyle w:val="BodyText"/>
        <w:spacing w:before="7"/>
        <w:rPr>
          <w:sz w:val="15"/>
        </w:rPr>
      </w:pPr>
    </w:p>
    <w:p>
      <w:pPr>
        <w:pStyle w:val="BodyText"/>
        <w:ind w:left="1260"/>
      </w:pPr>
      <w:r>
        <w:rPr/>
        <w:t>办公地址：上海市徐汇区宜山路</w:t>
      </w:r>
      <w:r>
        <w:rPr>
          <w:rFonts w:ascii="Times New Roman" w:eastAsia="Times New Roman"/>
        </w:rPr>
        <w:t>700</w:t>
      </w:r>
      <w:r>
        <w:rPr/>
        <w:t>号普天信息产业园</w:t>
      </w:r>
      <w:r>
        <w:rPr>
          <w:rFonts w:ascii="Times New Roman" w:eastAsia="Times New Roman"/>
        </w:rPr>
        <w:t>2</w:t>
      </w:r>
      <w:r>
        <w:rPr/>
        <w:t>期</w:t>
      </w:r>
      <w:r>
        <w:rPr>
          <w:rFonts w:ascii="Times New Roman" w:eastAsia="Times New Roman"/>
        </w:rPr>
        <w:t>C5</w:t>
      </w:r>
      <w:r>
        <w:rPr/>
        <w:t>栋</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04"/>
        <w:rPr>
          <w:rFonts w:ascii="Times New Roman" w:eastAsia="Times New Roman"/>
        </w:rPr>
      </w:pPr>
      <w:r>
        <w:rPr/>
        <w:t>法定代表人：金佶电话：</w:t>
      </w:r>
      <w:r>
        <w:rPr>
          <w:rFonts w:ascii="Times New Roman" w:eastAsia="Times New Roman"/>
        </w:rPr>
        <w:t>021-33323999 </w:t>
      </w:r>
      <w:r>
        <w:rPr/>
        <w:t>传真：</w:t>
      </w:r>
      <w:r>
        <w:rPr>
          <w:rFonts w:ascii="Times New Roman" w:eastAsia="Times New Roman"/>
        </w:rPr>
        <w:t>021-33323837</w:t>
      </w:r>
    </w:p>
    <w:p>
      <w:pPr>
        <w:pStyle w:val="BodyText"/>
        <w:spacing w:line="269" w:lineRule="exact"/>
        <w:ind w:left="1260"/>
      </w:pPr>
      <w:r>
        <w:rPr/>
        <w:t>联系人：甄宝林</w:t>
      </w:r>
    </w:p>
    <w:p>
      <w:pPr>
        <w:pStyle w:val="BodyText"/>
        <w:spacing w:before="7"/>
        <w:rPr>
          <w:sz w:val="15"/>
        </w:rPr>
      </w:pPr>
    </w:p>
    <w:p>
      <w:pPr>
        <w:pStyle w:val="BodyText"/>
        <w:ind w:left="1260"/>
        <w:rPr>
          <w:rFonts w:ascii="Times New Roman" w:eastAsia="Times New Roman"/>
        </w:rPr>
      </w:pPr>
      <w:r>
        <w:rPr/>
        <w:t>网址：</w:t>
      </w:r>
      <w:hyperlink r:id="rId105">
        <w:r>
          <w:rPr>
            <w:rFonts w:ascii="Times New Roman" w:eastAsia="Times New Roman"/>
          </w:rPr>
          <w:t>www.hotjijin.com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021-34013999</w:t>
      </w:r>
    </w:p>
    <w:p>
      <w:pPr>
        <w:pStyle w:val="BodyText"/>
        <w:spacing w:before="4"/>
        <w:rPr>
          <w:rFonts w:ascii="Times New Roman"/>
          <w:sz w:val="17"/>
        </w:rPr>
      </w:pPr>
    </w:p>
    <w:p>
      <w:pPr>
        <w:pStyle w:val="ListParagraph"/>
        <w:numPr>
          <w:ilvl w:val="0"/>
          <w:numId w:val="8"/>
        </w:numPr>
        <w:tabs>
          <w:tab w:pos="1895" w:val="left" w:leader="none"/>
        </w:tabs>
        <w:spacing w:line="240" w:lineRule="auto" w:before="0" w:after="0"/>
        <w:ind w:left="1895" w:right="0" w:hanging="635"/>
        <w:jc w:val="left"/>
        <w:rPr>
          <w:sz w:val="21"/>
        </w:rPr>
      </w:pPr>
      <w:r>
        <w:rPr>
          <w:spacing w:val="-3"/>
          <w:sz w:val="21"/>
        </w:rPr>
        <w:t>上海基煜基金销售有限公司</w:t>
      </w:r>
    </w:p>
    <w:p>
      <w:pPr>
        <w:pStyle w:val="BodyText"/>
        <w:spacing w:before="7"/>
        <w:rPr>
          <w:sz w:val="15"/>
        </w:rPr>
      </w:pPr>
    </w:p>
    <w:p>
      <w:pPr>
        <w:pStyle w:val="BodyText"/>
        <w:spacing w:line="417" w:lineRule="auto"/>
        <w:ind w:left="1260" w:right="1052"/>
      </w:pPr>
      <w:r>
        <w:rPr/>
        <w:t>住所：上海市崇明县长兴镇路潘园公路</w:t>
      </w:r>
      <w:r>
        <w:rPr>
          <w:rFonts w:ascii="Times New Roman" w:eastAsia="Times New Roman"/>
        </w:rPr>
        <w:t>1800</w:t>
      </w:r>
      <w:r>
        <w:rPr/>
        <w:t>号</w:t>
      </w:r>
      <w:r>
        <w:rPr>
          <w:rFonts w:ascii="Times New Roman" w:eastAsia="Times New Roman"/>
        </w:rPr>
        <w:t>2</w:t>
      </w:r>
      <w:r>
        <w:rPr/>
        <w:t>号楼</w:t>
      </w:r>
      <w:r>
        <w:rPr>
          <w:rFonts w:ascii="Times New Roman" w:eastAsia="Times New Roman"/>
        </w:rPr>
        <w:t>6153</w:t>
      </w:r>
      <w:r>
        <w:rPr/>
        <w:t>室（上海泰和经济发展区） 办公地址：上海市浦东新区银城中路</w:t>
      </w:r>
      <w:r>
        <w:rPr>
          <w:rFonts w:ascii="Times New Roman" w:eastAsia="Times New Roman"/>
        </w:rPr>
        <w:t>488</w:t>
      </w:r>
      <w:r>
        <w:rPr/>
        <w:t>号太平金融大厦</w:t>
      </w:r>
      <w:r>
        <w:rPr>
          <w:rFonts w:ascii="Times New Roman" w:eastAsia="Times New Roman"/>
        </w:rPr>
        <w:t>1503</w:t>
      </w:r>
      <w:r>
        <w:rPr/>
        <w:t>室</w:t>
      </w:r>
    </w:p>
    <w:p>
      <w:pPr>
        <w:pStyle w:val="BodyText"/>
        <w:spacing w:line="269" w:lineRule="exact"/>
        <w:ind w:left="1260"/>
      </w:pPr>
      <w:r>
        <w:rPr/>
        <w:t>法定代表人：王翔</w:t>
      </w:r>
    </w:p>
    <w:p>
      <w:pPr>
        <w:pStyle w:val="BodyText"/>
        <w:spacing w:before="7"/>
        <w:rPr>
          <w:sz w:val="15"/>
        </w:rPr>
      </w:pPr>
    </w:p>
    <w:p>
      <w:pPr>
        <w:pStyle w:val="BodyText"/>
        <w:spacing w:line="417" w:lineRule="auto"/>
        <w:ind w:left="1260" w:right="6448"/>
        <w:rPr>
          <w:rFonts w:ascii="Times New Roman" w:eastAsia="Times New Roman"/>
        </w:rPr>
      </w:pPr>
      <w:r>
        <w:rPr/>
        <w:t>电话：</w:t>
      </w:r>
      <w:r>
        <w:rPr>
          <w:rFonts w:ascii="Times New Roman" w:eastAsia="Times New Roman"/>
        </w:rPr>
        <w:t>021-35385521*210 </w:t>
      </w:r>
      <w:r>
        <w:rPr/>
        <w:t>传真：</w:t>
      </w:r>
      <w:r>
        <w:rPr>
          <w:rFonts w:ascii="Times New Roman" w:eastAsia="Times New Roman"/>
        </w:rPr>
        <w:t>021-55085991</w:t>
      </w:r>
    </w:p>
    <w:p>
      <w:pPr>
        <w:pStyle w:val="BodyText"/>
        <w:spacing w:line="269" w:lineRule="exact"/>
        <w:ind w:left="1260"/>
      </w:pPr>
      <w:r>
        <w:rPr/>
        <w:t>联系人：蓝杰</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106">
        <w:r>
          <w:rPr>
            <w:rFonts w:ascii="Times New Roman" w:eastAsia="Times New Roman"/>
          </w:rPr>
          <w:t>www.jiyufund.com.cn </w:t>
        </w:r>
      </w:hyperlink>
      <w:r>
        <w:rPr/>
        <w:t>客户服务电话：</w:t>
      </w:r>
      <w:r>
        <w:rPr>
          <w:rFonts w:ascii="Times New Roman" w:eastAsia="Times New Roman"/>
        </w:rPr>
        <w:t>400-820-5369</w:t>
      </w:r>
    </w:p>
    <w:p>
      <w:pPr>
        <w:pStyle w:val="ListParagraph"/>
        <w:numPr>
          <w:ilvl w:val="0"/>
          <w:numId w:val="8"/>
        </w:numPr>
        <w:tabs>
          <w:tab w:pos="1999" w:val="left" w:leader="none"/>
        </w:tabs>
        <w:spacing w:line="417" w:lineRule="auto" w:before="0" w:after="0"/>
        <w:ind w:left="1260" w:right="4835" w:firstLine="0"/>
        <w:jc w:val="left"/>
        <w:rPr>
          <w:sz w:val="21"/>
        </w:rPr>
      </w:pPr>
      <w:r>
        <w:rPr>
          <w:spacing w:val="-3"/>
          <w:sz w:val="21"/>
        </w:rPr>
        <w:t>上海中正达广基金销售有限公司 住所：上海市徐汇区龙腾大道</w:t>
      </w:r>
      <w:r>
        <w:rPr>
          <w:rFonts w:ascii="Times New Roman" w:eastAsia="Times New Roman"/>
          <w:sz w:val="21"/>
        </w:rPr>
        <w:t>2815</w:t>
      </w:r>
      <w:r>
        <w:rPr>
          <w:spacing w:val="-3"/>
          <w:sz w:val="21"/>
        </w:rPr>
        <w:t>号</w:t>
      </w:r>
      <w:r>
        <w:rPr>
          <w:rFonts w:ascii="Times New Roman" w:eastAsia="Times New Roman"/>
          <w:sz w:val="21"/>
        </w:rPr>
        <w:t>302</w:t>
      </w:r>
      <w:r>
        <w:rPr>
          <w:spacing w:val="-11"/>
          <w:sz w:val="21"/>
        </w:rPr>
        <w:t>室</w:t>
      </w:r>
    </w:p>
    <w:p>
      <w:pPr>
        <w:pStyle w:val="BodyText"/>
        <w:spacing w:line="417" w:lineRule="auto"/>
        <w:ind w:left="1260" w:right="4415"/>
      </w:pPr>
      <w:r>
        <w:rPr/>
        <w:t>办公地址：上海市徐汇区龙腾大道</w:t>
      </w:r>
      <w:r>
        <w:rPr>
          <w:rFonts w:ascii="Times New Roman" w:eastAsia="Times New Roman"/>
        </w:rPr>
        <w:t>2815</w:t>
      </w:r>
      <w:r>
        <w:rPr/>
        <w:t>号</w:t>
      </w:r>
      <w:r>
        <w:rPr>
          <w:rFonts w:ascii="Times New Roman" w:eastAsia="Times New Roman"/>
        </w:rPr>
        <w:t>302</w:t>
      </w:r>
      <w:r>
        <w:rPr/>
        <w:t>室法定代表人：黄欣</w:t>
      </w:r>
    </w:p>
    <w:p>
      <w:pPr>
        <w:pStyle w:val="BodyText"/>
        <w:spacing w:line="417" w:lineRule="auto"/>
        <w:ind w:left="1260" w:right="6481"/>
        <w:rPr>
          <w:rFonts w:ascii="Times New Roman" w:eastAsia="Times New Roman"/>
        </w:rPr>
      </w:pPr>
      <w:r>
        <w:rPr/>
        <w:t>电话：</w:t>
      </w:r>
      <w:r>
        <w:rPr>
          <w:rFonts w:ascii="Times New Roman" w:eastAsia="Times New Roman"/>
        </w:rPr>
        <w:t>021-33768132-801 </w:t>
      </w:r>
      <w:r>
        <w:rPr/>
        <w:t>传真：</w:t>
      </w:r>
      <w:r>
        <w:rPr>
          <w:rFonts w:ascii="Times New Roman" w:eastAsia="Times New Roman"/>
        </w:rPr>
        <w:t>021-33768132-802</w:t>
      </w:r>
    </w:p>
    <w:p>
      <w:pPr>
        <w:pStyle w:val="BodyText"/>
        <w:ind w:left="1260"/>
      </w:pPr>
      <w:r>
        <w:rPr/>
        <w:t>联系人：戴珉微</w:t>
      </w:r>
    </w:p>
    <w:p>
      <w:pPr>
        <w:pStyle w:val="BodyText"/>
        <w:spacing w:before="6"/>
        <w:rPr>
          <w:sz w:val="15"/>
        </w:rPr>
      </w:pPr>
    </w:p>
    <w:p>
      <w:pPr>
        <w:pStyle w:val="BodyText"/>
        <w:spacing w:line="417" w:lineRule="auto"/>
        <w:ind w:left="1260" w:right="5740"/>
        <w:rPr>
          <w:rFonts w:ascii="Times New Roman" w:eastAsia="Times New Roman"/>
        </w:rPr>
      </w:pPr>
      <w:r>
        <w:rPr/>
        <w:t>网址：</w:t>
      </w:r>
      <w:hyperlink r:id="rId107">
        <w:r>
          <w:rPr>
            <w:rFonts w:ascii="Times New Roman" w:eastAsia="Times New Roman"/>
          </w:rPr>
          <w:t>www.zhongzhengfund.com </w:t>
        </w:r>
      </w:hyperlink>
      <w:r>
        <w:rPr/>
        <w:t>客户服务电话：</w:t>
      </w:r>
      <w:r>
        <w:rPr>
          <w:rFonts w:ascii="Times New Roman" w:eastAsia="Times New Roman"/>
        </w:rPr>
        <w:t>400-6767-523</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北京虹点基金销售有限公司</w:t>
      </w:r>
    </w:p>
    <w:p>
      <w:pPr>
        <w:pStyle w:val="BodyText"/>
        <w:spacing w:before="7"/>
        <w:rPr>
          <w:sz w:val="15"/>
        </w:rPr>
      </w:pPr>
    </w:p>
    <w:p>
      <w:pPr>
        <w:pStyle w:val="BodyText"/>
        <w:ind w:left="1260"/>
      </w:pPr>
      <w:r>
        <w:rPr/>
        <w:t>住所：北京市朝阳区工人体育场北路甲</w:t>
      </w:r>
      <w:r>
        <w:rPr>
          <w:rFonts w:ascii="Times New Roman" w:eastAsia="Times New Roman"/>
        </w:rPr>
        <w:t>2</w:t>
      </w:r>
      <w:r>
        <w:rPr/>
        <w:t>号裙房</w:t>
      </w:r>
      <w:r>
        <w:rPr>
          <w:rFonts w:ascii="Times New Roman" w:eastAsia="Times New Roman"/>
        </w:rPr>
        <w:t>2</w:t>
      </w:r>
      <w:r>
        <w:rPr/>
        <w:t>层</w:t>
      </w:r>
      <w:r>
        <w:rPr>
          <w:rFonts w:ascii="Times New Roman" w:eastAsia="Times New Roman"/>
        </w:rPr>
        <w:t>222</w:t>
      </w:r>
      <w:r>
        <w:rPr/>
        <w:t>单元</w:t>
      </w:r>
    </w:p>
    <w:p>
      <w:pPr>
        <w:pStyle w:val="BodyText"/>
        <w:spacing w:before="6"/>
        <w:rPr>
          <w:sz w:val="15"/>
        </w:rPr>
      </w:pPr>
    </w:p>
    <w:p>
      <w:pPr>
        <w:pStyle w:val="BodyText"/>
        <w:spacing w:line="417" w:lineRule="auto" w:before="1"/>
        <w:ind w:left="1260" w:right="2943"/>
      </w:pPr>
      <w:r>
        <w:rPr/>
        <w:t>办公地址：北京市朝阳区工人体育场北路甲</w:t>
      </w:r>
      <w:r>
        <w:rPr>
          <w:rFonts w:ascii="Times New Roman" w:eastAsia="Times New Roman"/>
        </w:rPr>
        <w:t>2</w:t>
      </w:r>
      <w:r>
        <w:rPr/>
        <w:t>号裙房</w:t>
      </w:r>
      <w:r>
        <w:rPr>
          <w:rFonts w:ascii="Times New Roman" w:eastAsia="Times New Roman"/>
        </w:rPr>
        <w:t>2</w:t>
      </w:r>
      <w:r>
        <w:rPr/>
        <w:t>层</w:t>
      </w:r>
      <w:r>
        <w:rPr>
          <w:rFonts w:ascii="Times New Roman" w:eastAsia="Times New Roman"/>
        </w:rPr>
        <w:t>222</w:t>
      </w:r>
      <w:r>
        <w:rPr/>
        <w:t>单元法定代表人：郑毓栋</w:t>
      </w:r>
    </w:p>
    <w:p>
      <w:pPr>
        <w:pStyle w:val="BodyText"/>
        <w:spacing w:line="417" w:lineRule="auto"/>
        <w:ind w:left="1260" w:right="6866"/>
        <w:rPr>
          <w:rFonts w:ascii="Times New Roman" w:eastAsia="Times New Roman"/>
        </w:rPr>
      </w:pPr>
      <w:r>
        <w:rPr/>
        <w:t>电话：</w:t>
      </w:r>
      <w:r>
        <w:rPr>
          <w:rFonts w:ascii="Times New Roman" w:eastAsia="Times New Roman"/>
        </w:rPr>
        <w:t>010-65951887 </w:t>
      </w:r>
      <w:r>
        <w:rPr/>
        <w:t>传真：</w:t>
      </w:r>
      <w:r>
        <w:rPr>
          <w:rFonts w:ascii="Times New Roman" w:eastAsia="Times New Roman"/>
        </w:rPr>
        <w:t>010-65951887</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联系人：姜颖</w:t>
      </w:r>
    </w:p>
    <w:p>
      <w:pPr>
        <w:pStyle w:val="BodyText"/>
        <w:spacing w:before="6"/>
        <w:rPr>
          <w:sz w:val="15"/>
        </w:rPr>
      </w:pPr>
    </w:p>
    <w:p>
      <w:pPr>
        <w:pStyle w:val="BodyText"/>
        <w:spacing w:line="417" w:lineRule="auto"/>
        <w:ind w:left="1260" w:right="5974"/>
        <w:rPr>
          <w:rFonts w:ascii="Times New Roman" w:eastAsia="Times New Roman"/>
        </w:rPr>
      </w:pPr>
      <w:r>
        <w:rPr/>
        <w:t>网址：</w:t>
      </w:r>
      <w:hyperlink r:id="rId108">
        <w:r>
          <w:rPr>
            <w:rFonts w:ascii="Times New Roman" w:eastAsia="Times New Roman"/>
          </w:rPr>
          <w:t>www.hongdianfund.com </w:t>
        </w:r>
      </w:hyperlink>
      <w:r>
        <w:rPr/>
        <w:t>客户服务电话：</w:t>
      </w:r>
      <w:r>
        <w:rPr>
          <w:rFonts w:ascii="Times New Roman" w:eastAsia="Times New Roman"/>
        </w:rPr>
        <w:t>400-618-0707</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深圳富济基金销售有限公司</w:t>
      </w:r>
    </w:p>
    <w:p>
      <w:pPr>
        <w:pStyle w:val="BodyText"/>
        <w:spacing w:before="7"/>
        <w:rPr>
          <w:sz w:val="15"/>
        </w:rPr>
      </w:pPr>
    </w:p>
    <w:p>
      <w:pPr>
        <w:pStyle w:val="BodyText"/>
        <w:ind w:left="1260"/>
      </w:pPr>
      <w:r>
        <w:rPr/>
        <w:t>住所：深圳市福田区福田街道岗厦社区金田路</w:t>
      </w:r>
      <w:r>
        <w:rPr>
          <w:rFonts w:ascii="Times New Roman" w:eastAsia="Times New Roman"/>
        </w:rPr>
        <w:t>3088</w:t>
      </w:r>
      <w:r>
        <w:rPr/>
        <w:t>号中洲大厦</w:t>
      </w:r>
      <w:r>
        <w:rPr>
          <w:rFonts w:ascii="Times New Roman" w:eastAsia="Times New Roman"/>
        </w:rPr>
        <w:t>3203A</w:t>
      </w:r>
      <w:r>
        <w:rPr/>
        <w:t>单元</w:t>
      </w:r>
    </w:p>
    <w:p>
      <w:pPr>
        <w:pStyle w:val="BodyText"/>
        <w:spacing w:before="7"/>
        <w:rPr>
          <w:sz w:val="15"/>
        </w:rPr>
      </w:pPr>
    </w:p>
    <w:p>
      <w:pPr>
        <w:pStyle w:val="BodyText"/>
        <w:spacing w:line="417" w:lineRule="auto"/>
        <w:ind w:left="1260" w:right="1640"/>
      </w:pPr>
      <w:r>
        <w:rPr/>
        <w:t>办公地址：深圳市福田区福田街道岗厦社区金田路</w:t>
      </w:r>
      <w:r>
        <w:rPr>
          <w:rFonts w:ascii="Times New Roman" w:eastAsia="Times New Roman"/>
        </w:rPr>
        <w:t>3088</w:t>
      </w:r>
      <w:r>
        <w:rPr/>
        <w:t>号中洲大厦</w:t>
      </w:r>
      <w:r>
        <w:rPr>
          <w:rFonts w:ascii="Times New Roman" w:eastAsia="Times New Roman"/>
        </w:rPr>
        <w:t>3203A</w:t>
      </w:r>
      <w:r>
        <w:rPr/>
        <w:t>单元法定代表人：祝中村</w:t>
      </w:r>
    </w:p>
    <w:p>
      <w:pPr>
        <w:pStyle w:val="BodyText"/>
        <w:spacing w:line="417" w:lineRule="auto"/>
        <w:ind w:left="1260" w:right="6760"/>
        <w:rPr>
          <w:rFonts w:ascii="Times New Roman" w:eastAsia="Times New Roman"/>
        </w:rPr>
      </w:pPr>
      <w:r>
        <w:rPr/>
        <w:t>电话：</w:t>
      </w:r>
      <w:r>
        <w:rPr>
          <w:rFonts w:ascii="Times New Roman" w:eastAsia="Times New Roman"/>
        </w:rPr>
        <w:t>0755-83999907 </w:t>
      </w:r>
      <w:r>
        <w:rPr/>
        <w:t>传真：</w:t>
      </w:r>
      <w:r>
        <w:rPr>
          <w:rFonts w:ascii="Times New Roman" w:eastAsia="Times New Roman"/>
        </w:rPr>
        <w:t>0755-83999926</w:t>
      </w:r>
    </w:p>
    <w:p>
      <w:pPr>
        <w:pStyle w:val="BodyText"/>
        <w:spacing w:line="269" w:lineRule="exact"/>
        <w:ind w:left="1260"/>
      </w:pPr>
      <w:r>
        <w:rPr/>
        <w:t>联系人：曾瑶敏</w:t>
      </w:r>
    </w:p>
    <w:p>
      <w:pPr>
        <w:pStyle w:val="BodyText"/>
        <w:spacing w:before="7"/>
        <w:rPr>
          <w:sz w:val="15"/>
        </w:rPr>
      </w:pPr>
    </w:p>
    <w:p>
      <w:pPr>
        <w:pStyle w:val="BodyText"/>
        <w:ind w:left="1260"/>
        <w:rPr>
          <w:rFonts w:ascii="Times New Roman" w:eastAsia="Times New Roman"/>
        </w:rPr>
      </w:pPr>
      <w:r>
        <w:rPr/>
        <w:t>网址：</w:t>
      </w:r>
      <w:hyperlink r:id="rId109">
        <w:r>
          <w:rPr>
            <w:rFonts w:ascii="Times New Roman" w:eastAsia="Times New Roman"/>
          </w:rPr>
          <w:t>www.fujifund.cn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0755-83999907</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上海攀赢基金销售有限公司</w:t>
      </w:r>
    </w:p>
    <w:p>
      <w:pPr>
        <w:pStyle w:val="BodyText"/>
        <w:spacing w:before="6"/>
        <w:rPr>
          <w:sz w:val="15"/>
        </w:rPr>
      </w:pPr>
    </w:p>
    <w:p>
      <w:pPr>
        <w:pStyle w:val="BodyText"/>
        <w:ind w:left="1260"/>
      </w:pPr>
      <w:r>
        <w:rPr/>
        <w:t>住所：上海市闸北区广中西路</w:t>
      </w:r>
      <w:r>
        <w:rPr>
          <w:rFonts w:ascii="Times New Roman" w:eastAsia="Times New Roman"/>
        </w:rPr>
        <w:t>1207</w:t>
      </w:r>
      <w:r>
        <w:rPr/>
        <w:t>号</w:t>
      </w:r>
      <w:r>
        <w:rPr>
          <w:rFonts w:ascii="Times New Roman" w:eastAsia="Times New Roman"/>
        </w:rPr>
        <w:t>306</w:t>
      </w:r>
      <w:r>
        <w:rPr/>
        <w:t>室</w:t>
      </w:r>
    </w:p>
    <w:p>
      <w:pPr>
        <w:pStyle w:val="BodyText"/>
        <w:spacing w:before="7"/>
        <w:rPr>
          <w:sz w:val="15"/>
        </w:rPr>
      </w:pPr>
    </w:p>
    <w:p>
      <w:pPr>
        <w:pStyle w:val="BodyText"/>
        <w:spacing w:line="417" w:lineRule="auto" w:before="1"/>
        <w:ind w:left="1260" w:right="3687"/>
      </w:pPr>
      <w:r>
        <w:rPr/>
        <w:t>办公地址：上海市陆家嘴银城路</w:t>
      </w:r>
      <w:r>
        <w:rPr>
          <w:rFonts w:ascii="Times New Roman" w:eastAsia="Times New Roman"/>
        </w:rPr>
        <w:t>116</w:t>
      </w:r>
      <w:r>
        <w:rPr/>
        <w:t>号大华银行大厦</w:t>
      </w:r>
      <w:r>
        <w:rPr>
          <w:rFonts w:ascii="Times New Roman" w:eastAsia="Times New Roman"/>
        </w:rPr>
        <w:t>7</w:t>
      </w:r>
      <w:r>
        <w:rPr/>
        <w:t>楼法定代表人：沈茹意</w:t>
      </w:r>
    </w:p>
    <w:p>
      <w:pPr>
        <w:pStyle w:val="BodyText"/>
        <w:spacing w:line="417" w:lineRule="auto"/>
        <w:ind w:left="1260" w:right="6866"/>
        <w:rPr>
          <w:rFonts w:ascii="Times New Roman" w:eastAsia="Times New Roman"/>
        </w:rPr>
      </w:pPr>
      <w:r>
        <w:rPr/>
        <w:t>电话：</w:t>
      </w:r>
      <w:r>
        <w:rPr>
          <w:rFonts w:ascii="Times New Roman" w:eastAsia="Times New Roman"/>
        </w:rPr>
        <w:t>15317992110 </w:t>
      </w:r>
      <w:r>
        <w:rPr/>
        <w:t>传真：</w:t>
      </w:r>
      <w:r>
        <w:rPr>
          <w:rFonts w:ascii="Times New Roman" w:eastAsia="Times New Roman"/>
        </w:rPr>
        <w:t>021-68889283</w:t>
      </w:r>
    </w:p>
    <w:p>
      <w:pPr>
        <w:pStyle w:val="BodyText"/>
        <w:spacing w:line="269" w:lineRule="exact"/>
        <w:ind w:left="1260"/>
      </w:pPr>
      <w:r>
        <w:rPr/>
        <w:t>联系人：孟召社</w:t>
      </w:r>
    </w:p>
    <w:p>
      <w:pPr>
        <w:pStyle w:val="BodyText"/>
        <w:spacing w:before="6"/>
        <w:rPr>
          <w:sz w:val="15"/>
        </w:rPr>
      </w:pPr>
    </w:p>
    <w:p>
      <w:pPr>
        <w:pStyle w:val="BodyText"/>
        <w:ind w:left="1260"/>
        <w:rPr>
          <w:rFonts w:ascii="Times New Roman" w:eastAsia="Times New Roman"/>
        </w:rPr>
      </w:pPr>
      <w:r>
        <w:rPr/>
        <w:t>网址：</w:t>
      </w:r>
      <w:hyperlink r:id="rId110">
        <w:r>
          <w:rPr>
            <w:rFonts w:ascii="Times New Roman" w:eastAsia="Times New Roman"/>
          </w:rPr>
          <w:t>http://www.pytz.cn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021-68889082</w:t>
      </w:r>
    </w:p>
    <w:p>
      <w:pPr>
        <w:pStyle w:val="BodyText"/>
        <w:spacing w:before="4"/>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上海陆金所基金销售有限公司</w:t>
      </w:r>
    </w:p>
    <w:p>
      <w:pPr>
        <w:pStyle w:val="BodyText"/>
        <w:spacing w:before="6"/>
        <w:rPr>
          <w:sz w:val="15"/>
        </w:rPr>
      </w:pPr>
    </w:p>
    <w:p>
      <w:pPr>
        <w:pStyle w:val="BodyText"/>
        <w:spacing w:line="417" w:lineRule="auto"/>
        <w:ind w:left="1260" w:right="3891"/>
      </w:pPr>
      <w:r>
        <w:rPr/>
        <w:t>住所：上海市浦东新区陆家嘴环路</w:t>
      </w:r>
      <w:r>
        <w:rPr>
          <w:rFonts w:ascii="Times New Roman" w:eastAsia="Times New Roman"/>
        </w:rPr>
        <w:t>1333</w:t>
      </w:r>
      <w:r>
        <w:rPr/>
        <w:t>号</w:t>
      </w:r>
      <w:r>
        <w:rPr>
          <w:rFonts w:ascii="Times New Roman" w:eastAsia="Times New Roman"/>
        </w:rPr>
        <w:t>14</w:t>
      </w:r>
      <w:r>
        <w:rPr/>
        <w:t>楼</w:t>
      </w:r>
      <w:r>
        <w:rPr>
          <w:rFonts w:ascii="Times New Roman" w:eastAsia="Times New Roman"/>
        </w:rPr>
        <w:t>09</w:t>
      </w:r>
      <w:r>
        <w:rPr/>
        <w:t>单元办公地址：上海市浦东新区陆家嘴环路</w:t>
      </w:r>
      <w:r>
        <w:rPr>
          <w:rFonts w:ascii="Times New Roman" w:eastAsia="Times New Roman"/>
        </w:rPr>
        <w:t>1333</w:t>
      </w:r>
      <w:r>
        <w:rPr/>
        <w:t>号</w:t>
      </w:r>
    </w:p>
    <w:p>
      <w:pPr>
        <w:pStyle w:val="BodyText"/>
        <w:spacing w:line="417" w:lineRule="auto"/>
        <w:ind w:left="1260" w:right="6830"/>
        <w:jc w:val="both"/>
        <w:rPr>
          <w:rFonts w:ascii="Times New Roman" w:eastAsia="Times New Roman"/>
        </w:rPr>
      </w:pPr>
      <w:r>
        <w:rPr/>
        <w:t>法定代表人：王之光电话：</w:t>
      </w:r>
      <w:r>
        <w:rPr>
          <w:rFonts w:ascii="Times New Roman" w:eastAsia="Times New Roman"/>
        </w:rPr>
        <w:t>021-20665952 </w:t>
      </w:r>
      <w:r>
        <w:rPr/>
        <w:t>传真：</w:t>
      </w:r>
      <w:r>
        <w:rPr>
          <w:rFonts w:ascii="Times New Roman" w:eastAsia="Times New Roman"/>
        </w:rPr>
        <w:t>021-22066653</w:t>
      </w:r>
    </w:p>
    <w:p>
      <w:pPr>
        <w:pStyle w:val="BodyText"/>
        <w:spacing w:line="269" w:lineRule="exact"/>
        <w:ind w:left="1260"/>
      </w:pPr>
      <w:r>
        <w:rPr/>
        <w:t>联系人：宁博宇</w:t>
      </w:r>
    </w:p>
    <w:p>
      <w:pPr>
        <w:pStyle w:val="BodyText"/>
        <w:spacing w:before="7"/>
        <w:rPr>
          <w:sz w:val="15"/>
        </w:rPr>
      </w:pPr>
    </w:p>
    <w:p>
      <w:pPr>
        <w:pStyle w:val="BodyText"/>
        <w:ind w:left="1260"/>
        <w:rPr>
          <w:rFonts w:ascii="Times New Roman" w:eastAsia="Times New Roman"/>
        </w:rPr>
      </w:pPr>
      <w:r>
        <w:rPr/>
        <w:t>网址：</w:t>
      </w:r>
      <w:hyperlink r:id="rId111">
        <w:r>
          <w:rPr>
            <w:rFonts w:ascii="Times New Roman" w:eastAsia="Times New Roman"/>
          </w:rPr>
          <w:t>www.lufunds.com</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400-821-9031</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999" w:val="left" w:leader="none"/>
        </w:tabs>
        <w:spacing w:line="240" w:lineRule="auto" w:before="79" w:after="0"/>
        <w:ind w:left="1998" w:right="0" w:hanging="739"/>
        <w:jc w:val="left"/>
        <w:rPr>
          <w:sz w:val="21"/>
        </w:rPr>
      </w:pPr>
      <w:r>
        <w:rPr>
          <w:spacing w:val="-3"/>
          <w:sz w:val="21"/>
        </w:rPr>
        <w:t>大泰金石基金销售有限公司</w:t>
      </w:r>
    </w:p>
    <w:p>
      <w:pPr>
        <w:pStyle w:val="BodyText"/>
        <w:spacing w:before="6"/>
        <w:rPr>
          <w:sz w:val="15"/>
        </w:rPr>
      </w:pPr>
    </w:p>
    <w:p>
      <w:pPr>
        <w:pStyle w:val="BodyText"/>
        <w:spacing w:line="417" w:lineRule="auto"/>
        <w:ind w:left="1260" w:right="2523"/>
      </w:pPr>
      <w:r>
        <w:rPr/>
        <w:t>住所：南京市建邺区江东中路</w:t>
      </w:r>
      <w:r>
        <w:rPr>
          <w:rFonts w:ascii="Times New Roman" w:eastAsia="Times New Roman"/>
        </w:rPr>
        <w:t>222</w:t>
      </w:r>
      <w:r>
        <w:rPr/>
        <w:t>号南京奥体中心现代五项馆</w:t>
      </w:r>
      <w:r>
        <w:rPr>
          <w:rFonts w:ascii="Times New Roman" w:eastAsia="Times New Roman"/>
        </w:rPr>
        <w:t>2105</w:t>
      </w:r>
      <w:r>
        <w:rPr/>
        <w:t>室办公地址：上海市浦东新区峨山路</w:t>
      </w:r>
      <w:r>
        <w:rPr>
          <w:rFonts w:ascii="Times New Roman" w:eastAsia="Times New Roman"/>
        </w:rPr>
        <w:t>505</w:t>
      </w:r>
      <w:r>
        <w:rPr/>
        <w:t>号东方纯一大厦</w:t>
      </w:r>
      <w:r>
        <w:rPr>
          <w:rFonts w:ascii="Times New Roman" w:eastAsia="Times New Roman"/>
        </w:rPr>
        <w:t>15</w:t>
      </w:r>
      <w:r>
        <w:rPr/>
        <w:t>楼</w:t>
      </w:r>
    </w:p>
    <w:p>
      <w:pPr>
        <w:pStyle w:val="BodyText"/>
        <w:spacing w:line="417" w:lineRule="auto"/>
        <w:ind w:left="1260" w:right="6830"/>
        <w:rPr>
          <w:rFonts w:ascii="Times New Roman" w:eastAsia="Times New Roman"/>
        </w:rPr>
      </w:pPr>
      <w:r>
        <w:rPr/>
        <w:t>法定代表人：袁顾明电话：</w:t>
      </w:r>
      <w:r>
        <w:rPr>
          <w:rFonts w:ascii="Times New Roman" w:eastAsia="Times New Roman"/>
        </w:rPr>
        <w:t>13671788303 </w:t>
      </w:r>
      <w:r>
        <w:rPr/>
        <w:t>传真：</w:t>
      </w:r>
      <w:r>
        <w:rPr>
          <w:rFonts w:ascii="Times New Roman" w:eastAsia="Times New Roman"/>
        </w:rPr>
        <w:t>021-20324199</w:t>
      </w:r>
    </w:p>
    <w:p>
      <w:pPr>
        <w:pStyle w:val="BodyText"/>
        <w:spacing w:line="269" w:lineRule="exact"/>
        <w:ind w:left="1260"/>
      </w:pPr>
      <w:r>
        <w:rPr/>
        <w:t>联系人：刘璐</w:t>
      </w:r>
    </w:p>
    <w:p>
      <w:pPr>
        <w:pStyle w:val="BodyText"/>
        <w:spacing w:before="7"/>
        <w:rPr>
          <w:sz w:val="15"/>
        </w:rPr>
      </w:pPr>
    </w:p>
    <w:p>
      <w:pPr>
        <w:pStyle w:val="BodyText"/>
        <w:ind w:left="1260"/>
        <w:rPr>
          <w:rFonts w:ascii="Times New Roman" w:eastAsia="Times New Roman"/>
        </w:rPr>
      </w:pPr>
      <w:r>
        <w:rPr/>
        <w:t>网址：</w:t>
      </w:r>
      <w:hyperlink r:id="rId112">
        <w:r>
          <w:rPr>
            <w:rFonts w:ascii="Times New Roman" w:eastAsia="Times New Roman"/>
          </w:rPr>
          <w:t>www.dtfunds.com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400-928-2266</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珠海盈米基金销售有限公司</w:t>
      </w:r>
    </w:p>
    <w:p>
      <w:pPr>
        <w:pStyle w:val="BodyText"/>
        <w:spacing w:before="7"/>
        <w:rPr>
          <w:sz w:val="15"/>
        </w:rPr>
      </w:pPr>
    </w:p>
    <w:p>
      <w:pPr>
        <w:pStyle w:val="BodyText"/>
        <w:ind w:left="1260"/>
        <w:rPr>
          <w:rFonts w:ascii="Times New Roman" w:eastAsia="Times New Roman"/>
        </w:rPr>
      </w:pPr>
      <w:r>
        <w:rPr/>
        <w:t>住所：珠海市横琴新区宝华路</w:t>
      </w:r>
      <w:r>
        <w:rPr>
          <w:rFonts w:ascii="Times New Roman" w:eastAsia="Times New Roman"/>
        </w:rPr>
        <w:t>6</w:t>
      </w:r>
      <w:r>
        <w:rPr/>
        <w:t>号</w:t>
      </w:r>
      <w:r>
        <w:rPr>
          <w:rFonts w:ascii="Times New Roman" w:eastAsia="Times New Roman"/>
        </w:rPr>
        <w:t>105</w:t>
      </w:r>
      <w:r>
        <w:rPr/>
        <w:t>室</w:t>
      </w:r>
      <w:r>
        <w:rPr>
          <w:rFonts w:ascii="Times New Roman" w:eastAsia="Times New Roman"/>
        </w:rPr>
        <w:t>-3491</w:t>
      </w:r>
    </w:p>
    <w:p>
      <w:pPr>
        <w:pStyle w:val="BodyText"/>
        <w:spacing w:before="3"/>
        <w:rPr>
          <w:rFonts w:ascii="Times New Roman"/>
          <w:sz w:val="17"/>
        </w:rPr>
      </w:pPr>
    </w:p>
    <w:p>
      <w:pPr>
        <w:pStyle w:val="BodyText"/>
        <w:spacing w:line="417" w:lineRule="auto"/>
        <w:ind w:left="1260" w:right="1685"/>
      </w:pPr>
      <w:r>
        <w:rPr/>
        <w:t>办公地址：广东省广州市海珠区琶洲大道东</w:t>
      </w:r>
      <w:r>
        <w:rPr>
          <w:rFonts w:ascii="Times New Roman" w:eastAsia="Times New Roman"/>
        </w:rPr>
        <w:t>1</w:t>
      </w:r>
      <w:r>
        <w:rPr/>
        <w:t>号保利国际广场南塔</w:t>
      </w:r>
      <w:r>
        <w:rPr>
          <w:rFonts w:ascii="Times New Roman" w:eastAsia="Times New Roman"/>
        </w:rPr>
        <w:t>B1201-1203 </w:t>
      </w:r>
      <w:r>
        <w:rPr/>
        <w:t>法定代表人：肖雯</w:t>
      </w:r>
    </w:p>
    <w:p>
      <w:pPr>
        <w:pStyle w:val="BodyText"/>
        <w:spacing w:line="417" w:lineRule="auto"/>
        <w:ind w:left="1260" w:right="6866"/>
        <w:rPr>
          <w:rFonts w:ascii="Times New Roman" w:eastAsia="Times New Roman"/>
        </w:rPr>
      </w:pPr>
      <w:r>
        <w:rPr/>
        <w:t>电话：</w:t>
      </w:r>
      <w:r>
        <w:rPr>
          <w:rFonts w:ascii="Times New Roman" w:eastAsia="Times New Roman"/>
        </w:rPr>
        <w:t>020-89629021 </w:t>
      </w:r>
      <w:r>
        <w:rPr/>
        <w:t>传真：</w:t>
      </w:r>
      <w:r>
        <w:rPr>
          <w:rFonts w:ascii="Times New Roman" w:eastAsia="Times New Roman"/>
        </w:rPr>
        <w:t>020-89629011</w:t>
      </w:r>
    </w:p>
    <w:p>
      <w:pPr>
        <w:pStyle w:val="BodyText"/>
        <w:ind w:left="1260"/>
      </w:pPr>
      <w:r>
        <w:rPr/>
        <w:t>联系人：吴煜浩</w:t>
      </w:r>
    </w:p>
    <w:p>
      <w:pPr>
        <w:pStyle w:val="BodyText"/>
        <w:spacing w:before="7"/>
        <w:rPr>
          <w:sz w:val="15"/>
        </w:rPr>
      </w:pPr>
    </w:p>
    <w:p>
      <w:pPr>
        <w:pStyle w:val="BodyText"/>
        <w:ind w:left="1260"/>
        <w:rPr>
          <w:rFonts w:ascii="Times New Roman" w:eastAsia="Times New Roman"/>
        </w:rPr>
      </w:pPr>
      <w:r>
        <w:rPr/>
        <w:t>网址：</w:t>
      </w:r>
      <w:hyperlink r:id="rId113">
        <w:r>
          <w:rPr>
            <w:rFonts w:ascii="Times New Roman" w:eastAsia="Times New Roman"/>
          </w:rPr>
          <w:t>www.yingmi.cn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020-89629066</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和耕传承基金销售有限公司</w:t>
      </w:r>
    </w:p>
    <w:p>
      <w:pPr>
        <w:pStyle w:val="BodyText"/>
        <w:spacing w:before="6"/>
        <w:rPr>
          <w:sz w:val="15"/>
        </w:rPr>
      </w:pPr>
    </w:p>
    <w:p>
      <w:pPr>
        <w:pStyle w:val="BodyText"/>
        <w:spacing w:before="1"/>
        <w:ind w:left="1260"/>
      </w:pPr>
      <w:r>
        <w:rPr/>
        <w:t>住所：河南自贸试验区郑州片区（郑东）东风东路东、康宁街北</w:t>
      </w:r>
      <w:r>
        <w:rPr>
          <w:rFonts w:ascii="Times New Roman" w:eastAsia="Times New Roman"/>
        </w:rPr>
        <w:t>6</w:t>
      </w:r>
      <w:r>
        <w:rPr/>
        <w:t>号楼</w:t>
      </w:r>
      <w:r>
        <w:rPr>
          <w:rFonts w:ascii="Times New Roman" w:eastAsia="Times New Roman"/>
        </w:rPr>
        <w:t>6</w:t>
      </w:r>
      <w:r>
        <w:rPr/>
        <w:t>楼</w:t>
      </w:r>
      <w:r>
        <w:rPr>
          <w:rFonts w:ascii="Times New Roman" w:eastAsia="Times New Roman"/>
        </w:rPr>
        <w:t>602</w:t>
      </w:r>
      <w:r>
        <w:rPr/>
        <w:t>、</w:t>
      </w:r>
      <w:r>
        <w:rPr>
          <w:rFonts w:ascii="Times New Roman" w:eastAsia="Times New Roman"/>
        </w:rPr>
        <w:t>603</w:t>
      </w:r>
      <w:r>
        <w:rPr/>
        <w:t>房</w:t>
      </w:r>
    </w:p>
    <w:p>
      <w:pPr>
        <w:pStyle w:val="BodyText"/>
        <w:spacing w:before="11"/>
        <w:rPr>
          <w:sz w:val="9"/>
        </w:rPr>
      </w:pPr>
    </w:p>
    <w:p>
      <w:pPr>
        <w:pStyle w:val="BodyText"/>
        <w:spacing w:before="72"/>
        <w:ind w:left="778"/>
      </w:pPr>
      <w:r>
        <w:rPr>
          <w:w w:val="100"/>
        </w:rPr>
        <w:t>间</w:t>
      </w:r>
    </w:p>
    <w:p>
      <w:pPr>
        <w:pStyle w:val="BodyText"/>
        <w:spacing w:before="6"/>
        <w:rPr>
          <w:sz w:val="9"/>
        </w:rPr>
      </w:pPr>
    </w:p>
    <w:p>
      <w:pPr>
        <w:pStyle w:val="BodyText"/>
        <w:spacing w:line="417" w:lineRule="auto" w:before="78"/>
        <w:ind w:left="1260" w:right="3680"/>
      </w:pPr>
      <w:r>
        <w:rPr/>
        <w:t>办公地址：北京市朝阳区酒仙桥路</w:t>
      </w:r>
      <w:r>
        <w:rPr>
          <w:rFonts w:ascii="Times New Roman" w:eastAsia="Times New Roman"/>
        </w:rPr>
        <w:t>6</w:t>
      </w:r>
      <w:r>
        <w:rPr/>
        <w:t>号院国际电子城</w:t>
      </w:r>
      <w:r>
        <w:rPr>
          <w:rFonts w:ascii="Times New Roman" w:eastAsia="Times New Roman"/>
        </w:rPr>
        <w:t>b</w:t>
      </w:r>
      <w:r>
        <w:rPr/>
        <w:t>座法定代表人：王旋</w:t>
      </w:r>
    </w:p>
    <w:p>
      <w:pPr>
        <w:pStyle w:val="BodyText"/>
        <w:spacing w:line="417" w:lineRule="auto"/>
        <w:ind w:left="1260" w:right="6760"/>
        <w:rPr>
          <w:rFonts w:ascii="Times New Roman" w:eastAsia="Times New Roman"/>
        </w:rPr>
      </w:pPr>
      <w:r>
        <w:rPr/>
        <w:t>电话：</w:t>
      </w:r>
      <w:r>
        <w:rPr>
          <w:rFonts w:ascii="Times New Roman" w:eastAsia="Times New Roman"/>
        </w:rPr>
        <w:t>0371-85518396 </w:t>
      </w:r>
      <w:r>
        <w:rPr/>
        <w:t>传真：</w:t>
      </w:r>
      <w:r>
        <w:rPr>
          <w:rFonts w:ascii="Times New Roman" w:eastAsia="Times New Roman"/>
        </w:rPr>
        <w:t>0371-85518397</w:t>
      </w:r>
    </w:p>
    <w:p>
      <w:pPr>
        <w:pStyle w:val="BodyText"/>
        <w:spacing w:line="269" w:lineRule="exact"/>
        <w:ind w:left="1260"/>
      </w:pPr>
      <w:r>
        <w:rPr/>
        <w:t>联系人：胡静华</w:t>
      </w:r>
    </w:p>
    <w:p>
      <w:pPr>
        <w:pStyle w:val="BodyText"/>
        <w:spacing w:before="7"/>
        <w:rPr>
          <w:sz w:val="15"/>
        </w:rPr>
      </w:pPr>
    </w:p>
    <w:p>
      <w:pPr>
        <w:pStyle w:val="BodyText"/>
        <w:ind w:left="1260"/>
        <w:rPr>
          <w:rFonts w:ascii="Times New Roman" w:eastAsia="Times New Roman"/>
        </w:rPr>
      </w:pPr>
      <w:r>
        <w:rPr/>
        <w:t>网址：</w:t>
      </w:r>
      <w:hyperlink r:id="rId114">
        <w:r>
          <w:rPr>
            <w:rFonts w:ascii="Times New Roman" w:eastAsia="Times New Roman"/>
          </w:rPr>
          <w:t>www.hgccpb.com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4000-555-671</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奕丰基金销售有限公司</w:t>
      </w:r>
    </w:p>
    <w:p>
      <w:pPr>
        <w:pStyle w:val="BodyText"/>
        <w:spacing w:before="7"/>
        <w:rPr>
          <w:sz w:val="15"/>
        </w:rPr>
      </w:pPr>
    </w:p>
    <w:p>
      <w:pPr>
        <w:pStyle w:val="BodyText"/>
        <w:ind w:left="1260"/>
      </w:pPr>
      <w:r>
        <w:rPr/>
        <w:t>住所：深圳市前海深港合作区前湾一路</w:t>
      </w:r>
      <w:r>
        <w:rPr>
          <w:rFonts w:ascii="Times New Roman" w:eastAsia="Times New Roman"/>
        </w:rPr>
        <w:t>1</w:t>
      </w:r>
      <w:r>
        <w:rPr/>
        <w:t>号</w:t>
      </w:r>
      <w:r>
        <w:rPr>
          <w:rFonts w:ascii="Times New Roman" w:eastAsia="Times New Roman"/>
        </w:rPr>
        <w:t>A</w:t>
      </w:r>
      <w:r>
        <w:rPr/>
        <w:t>栋</w:t>
      </w:r>
      <w:r>
        <w:rPr>
          <w:rFonts w:ascii="Times New Roman" w:eastAsia="Times New Roman"/>
        </w:rPr>
        <w:t>201</w:t>
      </w:r>
      <w:r>
        <w:rPr/>
        <w:t>室</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1260" w:right="2898"/>
        <w:rPr>
          <w:rFonts w:ascii="Times New Roman" w:eastAsia="Times New Roman"/>
        </w:rPr>
      </w:pPr>
      <w:r>
        <w:rPr/>
        <w:t>办公地址：深圳市南山区海德三道航天科技广场</w:t>
      </w:r>
      <w:r>
        <w:rPr>
          <w:rFonts w:ascii="Times New Roman" w:eastAsia="Times New Roman"/>
        </w:rPr>
        <w:t>A</w:t>
      </w:r>
      <w:r>
        <w:rPr/>
        <w:t>座</w:t>
      </w:r>
      <w:r>
        <w:rPr>
          <w:rFonts w:ascii="Times New Roman" w:eastAsia="Times New Roman"/>
        </w:rPr>
        <w:t>17</w:t>
      </w:r>
      <w:r>
        <w:rPr/>
        <w:t>楼</w:t>
      </w:r>
      <w:r>
        <w:rPr>
          <w:rFonts w:ascii="Times New Roman" w:eastAsia="Times New Roman"/>
        </w:rPr>
        <w:t>1704</w:t>
      </w:r>
      <w:r>
        <w:rPr/>
        <w:t>室法定代表人：</w:t>
      </w:r>
      <w:r>
        <w:rPr>
          <w:rFonts w:ascii="Times New Roman" w:eastAsia="Times New Roman"/>
        </w:rPr>
        <w:t>TEO WEE HOWE</w:t>
      </w:r>
    </w:p>
    <w:p>
      <w:pPr>
        <w:pStyle w:val="BodyText"/>
        <w:spacing w:line="417" w:lineRule="auto"/>
        <w:ind w:left="1260" w:right="6760"/>
        <w:rPr>
          <w:rFonts w:ascii="Times New Roman" w:eastAsia="Times New Roman"/>
        </w:rPr>
      </w:pPr>
      <w:r>
        <w:rPr/>
        <w:t>电话：</w:t>
      </w:r>
      <w:r>
        <w:rPr>
          <w:rFonts w:ascii="Times New Roman" w:eastAsia="Times New Roman"/>
        </w:rPr>
        <w:t>0755-89460507 </w:t>
      </w:r>
      <w:r>
        <w:rPr/>
        <w:t>传真：</w:t>
      </w:r>
      <w:r>
        <w:rPr>
          <w:rFonts w:ascii="Times New Roman" w:eastAsia="Times New Roman"/>
        </w:rPr>
        <w:t>0755-21674453</w:t>
      </w:r>
    </w:p>
    <w:p>
      <w:pPr>
        <w:pStyle w:val="BodyText"/>
        <w:spacing w:line="269" w:lineRule="exact"/>
        <w:ind w:left="1260"/>
      </w:pPr>
      <w:r>
        <w:rPr/>
        <w:t>联系人：叶健</w:t>
      </w:r>
    </w:p>
    <w:p>
      <w:pPr>
        <w:pStyle w:val="BodyText"/>
        <w:spacing w:before="6"/>
        <w:rPr>
          <w:sz w:val="15"/>
        </w:rPr>
      </w:pPr>
    </w:p>
    <w:p>
      <w:pPr>
        <w:pStyle w:val="BodyText"/>
        <w:spacing w:before="1"/>
        <w:ind w:left="1260"/>
        <w:rPr>
          <w:rFonts w:ascii="Times New Roman" w:eastAsia="Times New Roman"/>
        </w:rPr>
      </w:pPr>
      <w:r>
        <w:rPr/>
        <w:t>网址：</w:t>
      </w:r>
      <w:hyperlink r:id="rId115">
        <w:r>
          <w:rPr>
            <w:rFonts w:ascii="Times New Roman" w:eastAsia="Times New Roman"/>
          </w:rPr>
          <w:t>www.ifastps.com.cn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400-684-0500</w:t>
      </w:r>
    </w:p>
    <w:p>
      <w:pPr>
        <w:pStyle w:val="BodyText"/>
        <w:spacing w:before="4"/>
        <w:rPr>
          <w:rFonts w:ascii="Times New Roman"/>
          <w:sz w:val="17"/>
        </w:rPr>
      </w:pPr>
    </w:p>
    <w:p>
      <w:pPr>
        <w:pStyle w:val="ListParagraph"/>
        <w:numPr>
          <w:ilvl w:val="0"/>
          <w:numId w:val="8"/>
        </w:numPr>
        <w:tabs>
          <w:tab w:pos="1999" w:val="left" w:leader="none"/>
        </w:tabs>
        <w:spacing w:line="417" w:lineRule="auto" w:before="0" w:after="0"/>
        <w:ind w:left="1260" w:right="4626" w:firstLine="0"/>
        <w:jc w:val="left"/>
        <w:rPr>
          <w:sz w:val="21"/>
        </w:rPr>
      </w:pPr>
      <w:r>
        <w:rPr>
          <w:spacing w:val="-3"/>
          <w:sz w:val="21"/>
        </w:rPr>
        <w:t>中证金牛（</w:t>
      </w:r>
      <w:r>
        <w:rPr>
          <w:spacing w:val="-2"/>
          <w:sz w:val="21"/>
        </w:rPr>
        <w:t>北京</w:t>
      </w:r>
      <w:r>
        <w:rPr>
          <w:spacing w:val="-3"/>
          <w:sz w:val="21"/>
        </w:rPr>
        <w:t>）</w:t>
      </w:r>
      <w:r>
        <w:rPr>
          <w:spacing w:val="-4"/>
          <w:sz w:val="21"/>
        </w:rPr>
        <w:t>投资咨询有限公司</w:t>
      </w:r>
      <w:r>
        <w:rPr>
          <w:spacing w:val="-3"/>
          <w:sz w:val="21"/>
        </w:rPr>
        <w:t>住所：北京市丰台区东管头</w:t>
      </w:r>
      <w:r>
        <w:rPr>
          <w:rFonts w:ascii="Times New Roman" w:eastAsia="Times New Roman"/>
          <w:sz w:val="21"/>
        </w:rPr>
        <w:t>1</w:t>
      </w:r>
      <w:r>
        <w:rPr>
          <w:sz w:val="21"/>
        </w:rPr>
        <w:t>号</w:t>
      </w:r>
      <w:r>
        <w:rPr>
          <w:rFonts w:ascii="Times New Roman" w:eastAsia="Times New Roman"/>
          <w:spacing w:val="-3"/>
          <w:sz w:val="21"/>
        </w:rPr>
        <w:t>2</w:t>
      </w:r>
      <w:r>
        <w:rPr>
          <w:spacing w:val="-2"/>
          <w:sz w:val="21"/>
        </w:rPr>
        <w:t>号楼</w:t>
      </w:r>
      <w:r>
        <w:rPr>
          <w:rFonts w:ascii="Times New Roman" w:eastAsia="Times New Roman"/>
          <w:sz w:val="21"/>
        </w:rPr>
        <w:t>2-45</w:t>
      </w:r>
      <w:r>
        <w:rPr>
          <w:sz w:val="21"/>
        </w:rPr>
        <w:t>室</w:t>
      </w:r>
    </w:p>
    <w:p>
      <w:pPr>
        <w:pStyle w:val="BodyText"/>
        <w:spacing w:line="417" w:lineRule="auto"/>
        <w:ind w:left="1260" w:right="2792"/>
      </w:pPr>
      <w:r>
        <w:rPr/>
        <w:t>办公地址：北京市宣武门外大街甲一号新华社第三工作区</w:t>
      </w:r>
      <w:r>
        <w:rPr>
          <w:rFonts w:ascii="Times New Roman" w:eastAsia="Times New Roman"/>
        </w:rPr>
        <w:t>A</w:t>
      </w:r>
      <w:r>
        <w:rPr/>
        <w:t>座</w:t>
      </w:r>
      <w:r>
        <w:rPr>
          <w:rFonts w:ascii="Times New Roman" w:eastAsia="Times New Roman"/>
        </w:rPr>
        <w:t>5</w:t>
      </w:r>
      <w:r>
        <w:rPr/>
        <w:t>层法定代表人：钱昊旻</w:t>
      </w:r>
    </w:p>
    <w:p>
      <w:pPr>
        <w:pStyle w:val="BodyText"/>
        <w:spacing w:line="417" w:lineRule="auto"/>
        <w:ind w:left="1260" w:right="6866"/>
        <w:rPr>
          <w:rFonts w:ascii="Times New Roman" w:eastAsia="Times New Roman"/>
        </w:rPr>
      </w:pPr>
      <w:r>
        <w:rPr/>
        <w:t>电话：</w:t>
      </w:r>
      <w:r>
        <w:rPr>
          <w:rFonts w:ascii="Times New Roman" w:eastAsia="Times New Roman"/>
        </w:rPr>
        <w:t>010-59336519 </w:t>
      </w:r>
      <w:r>
        <w:rPr/>
        <w:t>传真：</w:t>
      </w:r>
      <w:r>
        <w:rPr>
          <w:rFonts w:ascii="Times New Roman" w:eastAsia="Times New Roman"/>
        </w:rPr>
        <w:t>010-59336500</w:t>
      </w:r>
    </w:p>
    <w:p>
      <w:pPr>
        <w:pStyle w:val="BodyText"/>
        <w:spacing w:line="269" w:lineRule="exact"/>
        <w:ind w:left="1260"/>
      </w:pPr>
      <w:r>
        <w:rPr/>
        <w:t>联系人：孙雯</w:t>
      </w:r>
    </w:p>
    <w:p>
      <w:pPr>
        <w:pStyle w:val="BodyText"/>
        <w:spacing w:before="6"/>
        <w:rPr>
          <w:sz w:val="15"/>
        </w:rPr>
      </w:pPr>
    </w:p>
    <w:p>
      <w:pPr>
        <w:pStyle w:val="BodyText"/>
        <w:spacing w:before="1"/>
        <w:ind w:left="1260"/>
        <w:rPr>
          <w:rFonts w:ascii="Times New Roman" w:eastAsia="Times New Roman"/>
        </w:rPr>
      </w:pPr>
      <w:r>
        <w:rPr/>
        <w:t>网址：</w:t>
      </w:r>
      <w:hyperlink r:id="rId116">
        <w:r>
          <w:rPr>
            <w:rFonts w:ascii="Times New Roman" w:eastAsia="Times New Roman"/>
          </w:rPr>
          <w:t>www.jnlc.com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4008-909-998</w:t>
      </w:r>
    </w:p>
    <w:p>
      <w:pPr>
        <w:pStyle w:val="BodyText"/>
        <w:spacing w:before="3"/>
        <w:rPr>
          <w:rFonts w:ascii="Times New Roman"/>
          <w:sz w:val="17"/>
        </w:rPr>
      </w:pPr>
    </w:p>
    <w:p>
      <w:pPr>
        <w:pStyle w:val="ListParagraph"/>
        <w:numPr>
          <w:ilvl w:val="0"/>
          <w:numId w:val="8"/>
        </w:numPr>
        <w:tabs>
          <w:tab w:pos="1991" w:val="left" w:leader="none"/>
        </w:tabs>
        <w:spacing w:line="240" w:lineRule="auto" w:before="1" w:after="0"/>
        <w:ind w:left="1991" w:right="0" w:hanging="731"/>
        <w:jc w:val="left"/>
        <w:rPr>
          <w:sz w:val="21"/>
        </w:rPr>
      </w:pPr>
      <w:r>
        <w:rPr>
          <w:spacing w:val="-3"/>
          <w:sz w:val="21"/>
        </w:rPr>
        <w:t>京东肯特瑞基金销售有限公司</w:t>
      </w:r>
    </w:p>
    <w:p>
      <w:pPr>
        <w:pStyle w:val="BodyText"/>
        <w:spacing w:before="6"/>
        <w:rPr>
          <w:sz w:val="15"/>
        </w:rPr>
      </w:pPr>
    </w:p>
    <w:p>
      <w:pPr>
        <w:pStyle w:val="BodyText"/>
        <w:ind w:left="1260"/>
        <w:rPr>
          <w:rFonts w:ascii="Times New Roman" w:eastAsia="Times New Roman"/>
        </w:rPr>
      </w:pPr>
      <w:r>
        <w:rPr/>
        <w:t>住所：北京市海淀区显龙山路</w:t>
      </w:r>
      <w:r>
        <w:rPr>
          <w:rFonts w:ascii="Times New Roman" w:eastAsia="Times New Roman"/>
        </w:rPr>
        <w:t>19</w:t>
      </w:r>
      <w:r>
        <w:rPr/>
        <w:t>号</w:t>
      </w:r>
      <w:r>
        <w:rPr>
          <w:rFonts w:ascii="Times New Roman" w:eastAsia="Times New Roman"/>
        </w:rPr>
        <w:t>1</w:t>
      </w:r>
      <w:r>
        <w:rPr/>
        <w:t>幢</w:t>
      </w:r>
      <w:r>
        <w:rPr>
          <w:rFonts w:ascii="Times New Roman" w:eastAsia="Times New Roman"/>
        </w:rPr>
        <w:t>4</w:t>
      </w:r>
      <w:r>
        <w:rPr/>
        <w:t>层</w:t>
      </w:r>
      <w:r>
        <w:rPr>
          <w:rFonts w:ascii="Times New Roman" w:eastAsia="Times New Roman"/>
        </w:rPr>
        <w:t>1</w:t>
      </w:r>
      <w:r>
        <w:rPr/>
        <w:t>座</w:t>
      </w:r>
      <w:r>
        <w:rPr>
          <w:rFonts w:ascii="Times New Roman" w:eastAsia="Times New Roman"/>
        </w:rPr>
        <w:t>401</w:t>
      </w:r>
    </w:p>
    <w:p>
      <w:pPr>
        <w:pStyle w:val="BodyText"/>
        <w:spacing w:before="4"/>
        <w:rPr>
          <w:rFonts w:ascii="Times New Roman"/>
          <w:sz w:val="17"/>
        </w:rPr>
      </w:pPr>
    </w:p>
    <w:p>
      <w:pPr>
        <w:pStyle w:val="BodyText"/>
        <w:spacing w:line="417" w:lineRule="auto"/>
        <w:ind w:left="1260" w:right="1786"/>
      </w:pPr>
      <w:r>
        <w:rPr/>
        <w:t>办公地址：北京市大兴区亦庄经济开发区科创十一街十八号院京东集团总部法定代表人：江卉</w:t>
      </w:r>
    </w:p>
    <w:p>
      <w:pPr>
        <w:pStyle w:val="BodyText"/>
        <w:spacing w:line="417" w:lineRule="auto"/>
        <w:ind w:left="1260" w:right="6866"/>
        <w:rPr>
          <w:rFonts w:ascii="Times New Roman" w:eastAsia="Times New Roman"/>
        </w:rPr>
      </w:pPr>
      <w:r>
        <w:rPr/>
        <w:t>电话：</w:t>
      </w:r>
      <w:r>
        <w:rPr>
          <w:rFonts w:ascii="Times New Roman" w:eastAsia="Times New Roman"/>
        </w:rPr>
        <w:t>010-89188692 </w:t>
      </w:r>
      <w:r>
        <w:rPr/>
        <w:t>传真：</w:t>
      </w:r>
      <w:r>
        <w:rPr>
          <w:rFonts w:ascii="Times New Roman" w:eastAsia="Times New Roman"/>
        </w:rPr>
        <w:t>010-89180000</w:t>
      </w:r>
    </w:p>
    <w:p>
      <w:pPr>
        <w:pStyle w:val="BodyText"/>
        <w:ind w:left="1260"/>
      </w:pPr>
      <w:r>
        <w:rPr/>
        <w:t>联系人：黄立影</w:t>
      </w:r>
    </w:p>
    <w:p>
      <w:pPr>
        <w:pStyle w:val="BodyText"/>
        <w:spacing w:before="6"/>
        <w:rPr>
          <w:sz w:val="15"/>
        </w:rPr>
      </w:pPr>
    </w:p>
    <w:p>
      <w:pPr>
        <w:pStyle w:val="BodyText"/>
        <w:ind w:left="1260"/>
        <w:rPr>
          <w:rFonts w:ascii="Times New Roman" w:eastAsia="Times New Roman"/>
        </w:rPr>
      </w:pPr>
      <w:r>
        <w:rPr/>
        <w:t>网址：</w:t>
      </w:r>
      <w:hyperlink r:id="rId117">
        <w:r>
          <w:rPr>
            <w:rFonts w:ascii="Times New Roman" w:eastAsia="Times New Roman"/>
          </w:rPr>
          <w:t>http://fund.jd.com/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95118</w:t>
      </w:r>
      <w:r>
        <w:rPr/>
        <w:t>、</w:t>
      </w:r>
      <w:r>
        <w:rPr>
          <w:rFonts w:ascii="Times New Roman" w:eastAsia="Times New Roman"/>
        </w:rPr>
        <w:t>400-098-8511</w:t>
      </w:r>
    </w:p>
    <w:p>
      <w:pPr>
        <w:pStyle w:val="BodyText"/>
        <w:spacing w:before="3"/>
        <w:rPr>
          <w:rFonts w:ascii="Times New Roman"/>
          <w:sz w:val="17"/>
        </w:rPr>
      </w:pPr>
    </w:p>
    <w:p>
      <w:pPr>
        <w:pStyle w:val="ListParagraph"/>
        <w:numPr>
          <w:ilvl w:val="0"/>
          <w:numId w:val="8"/>
        </w:numPr>
        <w:tabs>
          <w:tab w:pos="1984" w:val="left" w:leader="none"/>
        </w:tabs>
        <w:spacing w:line="240" w:lineRule="auto" w:before="0" w:after="0"/>
        <w:ind w:left="1983" w:right="0" w:hanging="724"/>
        <w:jc w:val="left"/>
        <w:rPr>
          <w:sz w:val="21"/>
        </w:rPr>
      </w:pPr>
      <w:r>
        <w:rPr>
          <w:spacing w:val="-3"/>
          <w:sz w:val="21"/>
        </w:rPr>
        <w:t>大连网金基金销售有限公司</w:t>
      </w:r>
    </w:p>
    <w:p>
      <w:pPr>
        <w:pStyle w:val="BodyText"/>
        <w:spacing w:before="7"/>
        <w:rPr>
          <w:sz w:val="15"/>
        </w:rPr>
      </w:pPr>
    </w:p>
    <w:p>
      <w:pPr>
        <w:pStyle w:val="BodyText"/>
        <w:ind w:left="1260"/>
        <w:rPr>
          <w:rFonts w:ascii="Times New Roman" w:eastAsia="Times New Roman"/>
        </w:rPr>
      </w:pPr>
      <w:r>
        <w:rPr/>
        <w:t>住所：中国大连市沙河口区体坛路</w:t>
      </w:r>
      <w:r>
        <w:rPr>
          <w:rFonts w:ascii="Times New Roman" w:eastAsia="Times New Roman"/>
        </w:rPr>
        <w:t>22</w:t>
      </w:r>
      <w:r>
        <w:rPr/>
        <w:t>号诺德大厦</w:t>
      </w:r>
      <w:r>
        <w:rPr>
          <w:rFonts w:ascii="Times New Roman" w:eastAsia="Times New Roman"/>
        </w:rPr>
        <w:t>202</w:t>
      </w:r>
    </w:p>
    <w:p>
      <w:pPr>
        <w:pStyle w:val="BodyText"/>
        <w:spacing w:before="3"/>
        <w:rPr>
          <w:rFonts w:ascii="Times New Roman"/>
          <w:sz w:val="17"/>
        </w:rPr>
      </w:pPr>
    </w:p>
    <w:p>
      <w:pPr>
        <w:pStyle w:val="BodyText"/>
        <w:spacing w:line="417" w:lineRule="auto" w:before="1"/>
        <w:ind w:left="1260" w:right="3572"/>
      </w:pPr>
      <w:r>
        <w:rPr/>
        <w:t>办公地址：中国大连市沙河口区体坛路</w:t>
      </w:r>
      <w:r>
        <w:rPr>
          <w:rFonts w:ascii="Times New Roman" w:eastAsia="Times New Roman"/>
        </w:rPr>
        <w:t>22</w:t>
      </w:r>
      <w:r>
        <w:rPr/>
        <w:t>号诺德大厦</w:t>
      </w:r>
      <w:r>
        <w:rPr>
          <w:rFonts w:ascii="Times New Roman" w:eastAsia="Times New Roman"/>
        </w:rPr>
        <w:t>202 </w:t>
      </w:r>
      <w:r>
        <w:rPr/>
        <w:t>法定代表人：樊怀东</w:t>
      </w:r>
    </w:p>
    <w:p>
      <w:pPr>
        <w:pStyle w:val="BodyText"/>
        <w:ind w:left="1260"/>
        <w:rPr>
          <w:rFonts w:ascii="Times New Roman" w:eastAsia="Times New Roman"/>
        </w:rPr>
      </w:pPr>
      <w:r>
        <w:rPr/>
        <w:t>电话：</w:t>
      </w:r>
      <w:r>
        <w:rPr>
          <w:rFonts w:ascii="Times New Roman" w:eastAsia="Times New Roman"/>
        </w:rPr>
        <w:t>13522300698</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传真：</w:t>
      </w:r>
      <w:r>
        <w:rPr>
          <w:rFonts w:ascii="Times New Roman" w:eastAsia="Times New Roman"/>
        </w:rPr>
        <w:t>0411-39027835</w:t>
      </w:r>
    </w:p>
    <w:p>
      <w:pPr>
        <w:pStyle w:val="BodyText"/>
        <w:spacing w:before="3"/>
        <w:rPr>
          <w:rFonts w:ascii="Times New Roman"/>
          <w:sz w:val="17"/>
        </w:rPr>
      </w:pPr>
    </w:p>
    <w:p>
      <w:pPr>
        <w:pStyle w:val="BodyText"/>
        <w:ind w:left="1260"/>
      </w:pPr>
      <w:r>
        <w:rPr/>
        <w:t>联系人：王清臣</w:t>
      </w:r>
    </w:p>
    <w:p>
      <w:pPr>
        <w:pStyle w:val="BodyText"/>
        <w:spacing w:before="7"/>
        <w:rPr>
          <w:sz w:val="15"/>
        </w:rPr>
      </w:pPr>
    </w:p>
    <w:p>
      <w:pPr>
        <w:pStyle w:val="BodyText"/>
        <w:spacing w:line="417" w:lineRule="auto"/>
        <w:ind w:left="1260" w:right="5941"/>
        <w:rPr>
          <w:rFonts w:ascii="Times New Roman" w:eastAsia="Times New Roman"/>
        </w:rPr>
      </w:pPr>
      <w:r>
        <w:rPr/>
        <w:t>网址：</w:t>
      </w:r>
      <w:hyperlink r:id="rId118">
        <w:r>
          <w:rPr>
            <w:rFonts w:ascii="Times New Roman" w:eastAsia="Times New Roman"/>
          </w:rPr>
          <w:t>http://www.yibaijin.com/ </w:t>
        </w:r>
      </w:hyperlink>
      <w:r>
        <w:rPr/>
        <w:t>客户服务电话：</w:t>
      </w:r>
      <w:r>
        <w:rPr>
          <w:rFonts w:ascii="Times New Roman" w:eastAsia="Times New Roman"/>
        </w:rPr>
        <w:t>4000-899-100</w:t>
      </w:r>
    </w:p>
    <w:p>
      <w:pPr>
        <w:pStyle w:val="ListParagraph"/>
        <w:numPr>
          <w:ilvl w:val="0"/>
          <w:numId w:val="8"/>
        </w:numPr>
        <w:tabs>
          <w:tab w:pos="1991" w:val="left" w:leader="none"/>
        </w:tabs>
        <w:spacing w:line="417" w:lineRule="auto" w:before="0" w:after="0"/>
        <w:ind w:left="1260" w:right="4518" w:firstLine="0"/>
        <w:jc w:val="left"/>
        <w:rPr>
          <w:sz w:val="21"/>
        </w:rPr>
      </w:pPr>
      <w:r>
        <w:rPr>
          <w:spacing w:val="-3"/>
          <w:sz w:val="21"/>
        </w:rPr>
        <w:t>中民财富基金销售</w:t>
      </w:r>
      <w:r>
        <w:rPr>
          <w:sz w:val="21"/>
        </w:rPr>
        <w:t>（</w:t>
      </w:r>
      <w:r>
        <w:rPr>
          <w:spacing w:val="-2"/>
          <w:sz w:val="21"/>
        </w:rPr>
        <w:t>上海</w:t>
      </w:r>
      <w:r>
        <w:rPr>
          <w:sz w:val="21"/>
        </w:rPr>
        <w:t>）</w:t>
      </w:r>
      <w:r>
        <w:rPr>
          <w:spacing w:val="-3"/>
          <w:sz w:val="21"/>
        </w:rPr>
        <w:t>有限公司住所：上海市黄浦区中山南路</w:t>
      </w:r>
      <w:r>
        <w:rPr>
          <w:rFonts w:ascii="Times New Roman" w:eastAsia="Times New Roman"/>
          <w:sz w:val="21"/>
        </w:rPr>
        <w:t>100</w:t>
      </w:r>
      <w:r>
        <w:rPr>
          <w:sz w:val="21"/>
        </w:rPr>
        <w:t>号</w:t>
      </w:r>
      <w:r>
        <w:rPr>
          <w:rFonts w:ascii="Times New Roman" w:eastAsia="Times New Roman"/>
          <w:spacing w:val="-3"/>
          <w:sz w:val="21"/>
        </w:rPr>
        <w:t>7</w:t>
      </w:r>
      <w:r>
        <w:rPr>
          <w:sz w:val="21"/>
        </w:rPr>
        <w:t>层</w:t>
      </w:r>
      <w:r>
        <w:rPr>
          <w:rFonts w:ascii="Times New Roman" w:eastAsia="Times New Roman"/>
          <w:sz w:val="21"/>
        </w:rPr>
        <w:t>05</w:t>
      </w:r>
      <w:r>
        <w:rPr>
          <w:spacing w:val="-6"/>
          <w:sz w:val="21"/>
        </w:rPr>
        <w:t>单元</w:t>
      </w:r>
    </w:p>
    <w:p>
      <w:pPr>
        <w:pStyle w:val="BodyText"/>
        <w:spacing w:line="417" w:lineRule="auto"/>
        <w:ind w:left="1260" w:right="2533"/>
      </w:pPr>
      <w:r>
        <w:rPr/>
        <w:t>办公地址：上海市浦东新区民生路</w:t>
      </w:r>
      <w:r>
        <w:rPr>
          <w:rFonts w:ascii="Times New Roman" w:eastAsia="Times New Roman"/>
        </w:rPr>
        <w:t>1199</w:t>
      </w:r>
      <w:r>
        <w:rPr/>
        <w:t>弄证大五道口广场</w:t>
      </w:r>
      <w:r>
        <w:rPr>
          <w:rFonts w:ascii="Times New Roman" w:eastAsia="Times New Roman"/>
        </w:rPr>
        <w:t>1</w:t>
      </w:r>
      <w:r>
        <w:rPr/>
        <w:t>号楼</w:t>
      </w:r>
      <w:r>
        <w:rPr>
          <w:rFonts w:ascii="Times New Roman" w:eastAsia="Times New Roman"/>
        </w:rPr>
        <w:t>27</w:t>
      </w:r>
      <w:r>
        <w:rPr/>
        <w:t>层法定代表人：弭洪军</w:t>
      </w:r>
    </w:p>
    <w:p>
      <w:pPr>
        <w:pStyle w:val="BodyText"/>
        <w:spacing w:line="417" w:lineRule="auto"/>
        <w:ind w:left="1260" w:right="6866"/>
        <w:rPr>
          <w:rFonts w:ascii="Times New Roman" w:eastAsia="Times New Roman"/>
        </w:rPr>
      </w:pPr>
      <w:r>
        <w:rPr/>
        <w:t>电话：</w:t>
      </w:r>
      <w:r>
        <w:rPr>
          <w:rFonts w:ascii="Times New Roman" w:eastAsia="Times New Roman"/>
        </w:rPr>
        <w:t>021-33357030 </w:t>
      </w:r>
      <w:r>
        <w:rPr/>
        <w:t>传真：</w:t>
      </w:r>
      <w:r>
        <w:rPr>
          <w:rFonts w:ascii="Times New Roman" w:eastAsia="Times New Roman"/>
        </w:rPr>
        <w:t>021-63353736</w:t>
      </w:r>
    </w:p>
    <w:p>
      <w:pPr>
        <w:pStyle w:val="BodyText"/>
        <w:spacing w:line="269" w:lineRule="exact"/>
        <w:ind w:left="1260"/>
      </w:pPr>
      <w:r>
        <w:rPr/>
        <w:t>联系人：李娜</w:t>
      </w:r>
    </w:p>
    <w:p>
      <w:pPr>
        <w:pStyle w:val="BodyText"/>
        <w:spacing w:before="6"/>
        <w:rPr>
          <w:sz w:val="15"/>
        </w:rPr>
      </w:pPr>
    </w:p>
    <w:p>
      <w:pPr>
        <w:pStyle w:val="BodyText"/>
        <w:ind w:left="1260"/>
        <w:rPr>
          <w:rFonts w:ascii="Times New Roman" w:eastAsia="Times New Roman"/>
        </w:rPr>
      </w:pPr>
      <w:r>
        <w:rPr/>
        <w:t>网址：</w:t>
      </w:r>
      <w:hyperlink r:id="rId119">
        <w:r>
          <w:rPr>
            <w:rFonts w:ascii="Times New Roman" w:eastAsia="Times New Roman"/>
          </w:rPr>
          <w:t>www.cmiwm.com</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400-876-5716</w:t>
      </w:r>
    </w:p>
    <w:p>
      <w:pPr>
        <w:pStyle w:val="BodyText"/>
        <w:spacing w:before="3"/>
        <w:rPr>
          <w:rFonts w:ascii="Times New Roman"/>
          <w:sz w:val="17"/>
        </w:rPr>
      </w:pPr>
    </w:p>
    <w:p>
      <w:pPr>
        <w:pStyle w:val="ListParagraph"/>
        <w:numPr>
          <w:ilvl w:val="0"/>
          <w:numId w:val="8"/>
        </w:numPr>
        <w:tabs>
          <w:tab w:pos="1991" w:val="left" w:leader="none"/>
        </w:tabs>
        <w:spacing w:line="240" w:lineRule="auto" w:before="0" w:after="0"/>
        <w:ind w:left="1991" w:right="0" w:hanging="731"/>
        <w:jc w:val="left"/>
        <w:rPr>
          <w:sz w:val="21"/>
        </w:rPr>
      </w:pPr>
      <w:r>
        <w:rPr>
          <w:spacing w:val="-3"/>
          <w:sz w:val="21"/>
        </w:rPr>
        <w:t>深圳市金斧子基金销售有限公司</w:t>
      </w:r>
    </w:p>
    <w:p>
      <w:pPr>
        <w:pStyle w:val="BodyText"/>
        <w:spacing w:before="7"/>
        <w:rPr>
          <w:sz w:val="15"/>
        </w:rPr>
      </w:pPr>
    </w:p>
    <w:p>
      <w:pPr>
        <w:pStyle w:val="BodyText"/>
        <w:ind w:left="1260"/>
        <w:rPr>
          <w:rFonts w:ascii="Times New Roman" w:eastAsia="Times New Roman"/>
        </w:rPr>
      </w:pPr>
      <w:r>
        <w:rPr/>
        <w:t>住所：深圳市南山区粤海街道科技园中区科苑路</w:t>
      </w:r>
      <w:r>
        <w:rPr>
          <w:rFonts w:ascii="Times New Roman" w:eastAsia="Times New Roman"/>
        </w:rPr>
        <w:t>15</w:t>
      </w:r>
      <w:r>
        <w:rPr/>
        <w:t>号科兴科学园</w:t>
      </w:r>
      <w:r>
        <w:rPr>
          <w:rFonts w:ascii="Times New Roman" w:eastAsia="Times New Roman"/>
        </w:rPr>
        <w:t>B</w:t>
      </w:r>
      <w:r>
        <w:rPr/>
        <w:t>栋</w:t>
      </w:r>
      <w:r>
        <w:rPr>
          <w:rFonts w:ascii="Times New Roman" w:eastAsia="Times New Roman"/>
        </w:rPr>
        <w:t>3</w:t>
      </w:r>
      <w:r>
        <w:rPr/>
        <w:t>单元</w:t>
      </w:r>
      <w:r>
        <w:rPr>
          <w:rFonts w:ascii="Times New Roman" w:eastAsia="Times New Roman"/>
        </w:rPr>
        <w:t>11</w:t>
      </w:r>
      <w:r>
        <w:rPr/>
        <w:t>层</w:t>
      </w:r>
      <w:r>
        <w:rPr>
          <w:rFonts w:ascii="Times New Roman" w:eastAsia="Times New Roman"/>
        </w:rPr>
        <w:t>1108</w:t>
      </w:r>
    </w:p>
    <w:p>
      <w:pPr>
        <w:pStyle w:val="BodyText"/>
        <w:spacing w:before="6"/>
        <w:rPr>
          <w:rFonts w:ascii="Times New Roman"/>
          <w:sz w:val="10"/>
        </w:rPr>
      </w:pPr>
    </w:p>
    <w:p>
      <w:pPr>
        <w:pStyle w:val="BodyText"/>
        <w:spacing w:before="78"/>
        <w:ind w:left="367"/>
        <w:jc w:val="center"/>
      </w:pPr>
      <w:r>
        <w:rPr/>
        <w:t>办公地址：深圳市南山区粤海街道科技园中区科苑路</w:t>
      </w:r>
      <w:r>
        <w:rPr>
          <w:rFonts w:ascii="Times New Roman" w:eastAsia="Times New Roman"/>
        </w:rPr>
        <w:t>15</w:t>
      </w:r>
      <w:r>
        <w:rPr/>
        <w:t>号科兴科学园</w:t>
      </w:r>
      <w:r>
        <w:rPr>
          <w:rFonts w:ascii="Times New Roman" w:eastAsia="Times New Roman"/>
        </w:rPr>
        <w:t>B</w:t>
      </w:r>
      <w:r>
        <w:rPr/>
        <w:t>栋</w:t>
      </w:r>
      <w:r>
        <w:rPr>
          <w:rFonts w:ascii="Times New Roman" w:eastAsia="Times New Roman"/>
        </w:rPr>
        <w:t>3</w:t>
      </w:r>
      <w:r>
        <w:rPr/>
        <w:t>单元</w:t>
      </w:r>
      <w:r>
        <w:rPr>
          <w:rFonts w:ascii="Times New Roman" w:eastAsia="Times New Roman"/>
        </w:rPr>
        <w:t>11</w:t>
      </w:r>
      <w:r>
        <w:rPr/>
        <w:t>层</w:t>
      </w:r>
    </w:p>
    <w:p>
      <w:pPr>
        <w:pStyle w:val="BodyText"/>
        <w:spacing w:before="5"/>
        <w:rPr>
          <w:sz w:val="16"/>
        </w:rPr>
      </w:pPr>
    </w:p>
    <w:p>
      <w:pPr>
        <w:pStyle w:val="BodyText"/>
        <w:spacing w:before="1"/>
        <w:ind w:left="778"/>
        <w:rPr>
          <w:rFonts w:ascii="Times New Roman"/>
        </w:rPr>
      </w:pPr>
      <w:r>
        <w:rPr>
          <w:rFonts w:ascii="Times New Roman"/>
        </w:rPr>
        <w:t>1108</w:t>
      </w:r>
    </w:p>
    <w:p>
      <w:pPr>
        <w:pStyle w:val="BodyText"/>
        <w:spacing w:before="5"/>
        <w:rPr>
          <w:rFonts w:ascii="Times New Roman"/>
          <w:sz w:val="12"/>
        </w:rPr>
      </w:pPr>
    </w:p>
    <w:p>
      <w:pPr>
        <w:pStyle w:val="BodyText"/>
        <w:spacing w:line="417" w:lineRule="auto" w:before="72"/>
        <w:ind w:left="1260" w:right="6760"/>
        <w:rPr>
          <w:rFonts w:ascii="Times New Roman" w:eastAsia="Times New Roman"/>
        </w:rPr>
      </w:pPr>
      <w:r>
        <w:rPr/>
        <w:t>法定代表人：赖任军电话：</w:t>
      </w:r>
      <w:r>
        <w:rPr>
          <w:rFonts w:ascii="Times New Roman" w:eastAsia="Times New Roman"/>
        </w:rPr>
        <w:t>0755-84355914 </w:t>
      </w:r>
      <w:r>
        <w:rPr/>
        <w:t>传真：</w:t>
      </w:r>
      <w:r>
        <w:rPr>
          <w:rFonts w:ascii="Times New Roman" w:eastAsia="Times New Roman"/>
        </w:rPr>
        <w:t>0755-26920530</w:t>
      </w:r>
    </w:p>
    <w:p>
      <w:pPr>
        <w:pStyle w:val="BodyText"/>
        <w:spacing w:line="269" w:lineRule="exact"/>
        <w:ind w:left="1260"/>
      </w:pPr>
      <w:r>
        <w:rPr/>
        <w:t>联系人：陈丽霞</w:t>
      </w:r>
    </w:p>
    <w:p>
      <w:pPr>
        <w:pStyle w:val="BodyText"/>
        <w:spacing w:before="7"/>
        <w:rPr>
          <w:sz w:val="15"/>
        </w:rPr>
      </w:pPr>
    </w:p>
    <w:p>
      <w:pPr>
        <w:pStyle w:val="BodyText"/>
        <w:ind w:left="1260"/>
        <w:rPr>
          <w:rFonts w:ascii="Times New Roman" w:eastAsia="Times New Roman"/>
        </w:rPr>
      </w:pPr>
      <w:r>
        <w:rPr/>
        <w:t>网址：</w:t>
      </w:r>
      <w:hyperlink r:id="rId120">
        <w:r>
          <w:rPr>
            <w:rFonts w:ascii="Times New Roman" w:eastAsia="Times New Roman"/>
          </w:rPr>
          <w:t>www.jfzinv.com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400-9302-888</w:t>
      </w:r>
    </w:p>
    <w:p>
      <w:pPr>
        <w:pStyle w:val="BodyText"/>
        <w:spacing w:before="4"/>
        <w:rPr>
          <w:rFonts w:ascii="Times New Roman"/>
          <w:sz w:val="17"/>
        </w:rPr>
      </w:pPr>
    </w:p>
    <w:p>
      <w:pPr>
        <w:pStyle w:val="ListParagraph"/>
        <w:numPr>
          <w:ilvl w:val="0"/>
          <w:numId w:val="8"/>
        </w:numPr>
        <w:tabs>
          <w:tab w:pos="1991" w:val="left" w:leader="none"/>
        </w:tabs>
        <w:spacing w:line="240" w:lineRule="auto" w:before="0" w:after="0"/>
        <w:ind w:left="1991" w:right="0" w:hanging="731"/>
        <w:jc w:val="left"/>
        <w:rPr>
          <w:sz w:val="21"/>
        </w:rPr>
      </w:pPr>
      <w:r>
        <w:rPr>
          <w:spacing w:val="-3"/>
          <w:sz w:val="21"/>
        </w:rPr>
        <w:t>北京蛋卷基金销售有限公司</w:t>
      </w:r>
    </w:p>
    <w:p>
      <w:pPr>
        <w:pStyle w:val="BodyText"/>
        <w:spacing w:before="6"/>
        <w:rPr>
          <w:sz w:val="15"/>
        </w:rPr>
      </w:pPr>
    </w:p>
    <w:p>
      <w:pPr>
        <w:pStyle w:val="BodyText"/>
        <w:spacing w:before="1"/>
        <w:ind w:left="1260"/>
        <w:rPr>
          <w:rFonts w:ascii="Times New Roman" w:eastAsia="Times New Roman"/>
        </w:rPr>
      </w:pPr>
      <w:r>
        <w:rPr/>
        <w:t>住所：北京市朝阳区阜通东大街</w:t>
      </w:r>
      <w:r>
        <w:rPr>
          <w:rFonts w:ascii="Times New Roman" w:eastAsia="Times New Roman"/>
        </w:rPr>
        <w:t>1</w:t>
      </w:r>
      <w:r>
        <w:rPr/>
        <w:t>号院</w:t>
      </w:r>
      <w:r>
        <w:rPr>
          <w:rFonts w:ascii="Times New Roman" w:eastAsia="Times New Roman"/>
        </w:rPr>
        <w:t>6</w:t>
      </w:r>
      <w:r>
        <w:rPr/>
        <w:t>号楼</w:t>
      </w:r>
      <w:r>
        <w:rPr>
          <w:rFonts w:ascii="Times New Roman" w:eastAsia="Times New Roman"/>
        </w:rPr>
        <w:t>2</w:t>
      </w:r>
      <w:r>
        <w:rPr/>
        <w:t>单元</w:t>
      </w:r>
      <w:r>
        <w:rPr>
          <w:rFonts w:ascii="Times New Roman" w:eastAsia="Times New Roman"/>
        </w:rPr>
        <w:t>21</w:t>
      </w:r>
      <w:r>
        <w:rPr/>
        <w:t>层</w:t>
      </w:r>
      <w:r>
        <w:rPr>
          <w:rFonts w:ascii="Times New Roman" w:eastAsia="Times New Roman"/>
        </w:rPr>
        <w:t>222507</w:t>
      </w:r>
    </w:p>
    <w:p>
      <w:pPr>
        <w:pStyle w:val="BodyText"/>
        <w:spacing w:before="3"/>
        <w:rPr>
          <w:rFonts w:ascii="Times New Roman"/>
          <w:sz w:val="17"/>
        </w:rPr>
      </w:pPr>
    </w:p>
    <w:p>
      <w:pPr>
        <w:pStyle w:val="BodyText"/>
        <w:spacing w:line="417" w:lineRule="auto"/>
        <w:ind w:left="1260" w:right="2734"/>
      </w:pPr>
      <w:r>
        <w:rPr/>
        <w:t>办公地址：北京市朝阳区阜通东大街</w:t>
      </w:r>
      <w:r>
        <w:rPr>
          <w:rFonts w:ascii="Times New Roman" w:eastAsia="Times New Roman"/>
        </w:rPr>
        <w:t>1</w:t>
      </w:r>
      <w:r>
        <w:rPr/>
        <w:t>号院</w:t>
      </w:r>
      <w:r>
        <w:rPr>
          <w:rFonts w:ascii="Times New Roman" w:eastAsia="Times New Roman"/>
        </w:rPr>
        <w:t>6</w:t>
      </w:r>
      <w:r>
        <w:rPr/>
        <w:t>号楼</w:t>
      </w:r>
      <w:r>
        <w:rPr>
          <w:rFonts w:ascii="Times New Roman" w:eastAsia="Times New Roman"/>
        </w:rPr>
        <w:t>2</w:t>
      </w:r>
      <w:r>
        <w:rPr/>
        <w:t>单元</w:t>
      </w:r>
      <w:r>
        <w:rPr>
          <w:rFonts w:ascii="Times New Roman" w:eastAsia="Times New Roman"/>
        </w:rPr>
        <w:t>21</w:t>
      </w:r>
      <w:r>
        <w:rPr/>
        <w:t>层</w:t>
      </w:r>
      <w:r>
        <w:rPr>
          <w:rFonts w:ascii="Times New Roman" w:eastAsia="Times New Roman"/>
        </w:rPr>
        <w:t>222507 </w:t>
      </w:r>
      <w:r>
        <w:rPr/>
        <w:t>法定代表人：钟斐斐</w:t>
      </w:r>
    </w:p>
    <w:p>
      <w:pPr>
        <w:pStyle w:val="BodyText"/>
        <w:spacing w:line="417" w:lineRule="auto"/>
        <w:ind w:left="1260" w:right="6866"/>
        <w:rPr>
          <w:rFonts w:ascii="Times New Roman" w:eastAsia="Times New Roman"/>
        </w:rPr>
      </w:pPr>
      <w:r>
        <w:rPr/>
        <w:t>电话：</w:t>
      </w:r>
      <w:r>
        <w:rPr>
          <w:rFonts w:ascii="Times New Roman" w:eastAsia="Times New Roman"/>
        </w:rPr>
        <w:t>010-61840688 </w:t>
      </w:r>
      <w:r>
        <w:rPr/>
        <w:t>传真：</w:t>
      </w:r>
      <w:r>
        <w:rPr>
          <w:rFonts w:ascii="Times New Roman" w:eastAsia="Times New Roman"/>
        </w:rPr>
        <w:t>010-61840699</w:t>
      </w:r>
    </w:p>
    <w:p>
      <w:pPr>
        <w:pStyle w:val="BodyText"/>
        <w:ind w:left="1260"/>
      </w:pPr>
      <w:r>
        <w:rPr/>
        <w:t>联系人：袁永姣</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1260" w:right="6061"/>
        <w:rPr>
          <w:rFonts w:ascii="Times New Roman" w:eastAsia="Times New Roman"/>
        </w:rPr>
      </w:pPr>
      <w:r>
        <w:rPr/>
        <w:t>网址：</w:t>
      </w:r>
      <w:r>
        <w:rPr>
          <w:rFonts w:ascii="Times New Roman" w:eastAsia="Times New Roman"/>
        </w:rPr>
        <w:t>https://danjuanapp.com </w:t>
      </w:r>
      <w:r>
        <w:rPr/>
        <w:t>客户服务电话：</w:t>
      </w:r>
      <w:r>
        <w:rPr>
          <w:rFonts w:ascii="Times New Roman" w:eastAsia="Times New Roman"/>
        </w:rPr>
        <w:t>400-159-9288</w:t>
      </w:r>
    </w:p>
    <w:p>
      <w:pPr>
        <w:pStyle w:val="ListParagraph"/>
        <w:numPr>
          <w:ilvl w:val="0"/>
          <w:numId w:val="8"/>
        </w:numPr>
        <w:tabs>
          <w:tab w:pos="1991" w:val="left" w:leader="none"/>
        </w:tabs>
        <w:spacing w:line="269" w:lineRule="exact" w:before="0" w:after="0"/>
        <w:ind w:left="1991" w:right="0" w:hanging="731"/>
        <w:jc w:val="left"/>
        <w:rPr>
          <w:sz w:val="21"/>
        </w:rPr>
      </w:pPr>
      <w:r>
        <w:rPr>
          <w:spacing w:val="-3"/>
          <w:sz w:val="21"/>
        </w:rPr>
        <w:t>上海中欧财富基金销售有限公司</w:t>
      </w:r>
    </w:p>
    <w:p>
      <w:pPr>
        <w:pStyle w:val="BodyText"/>
        <w:spacing w:before="7"/>
        <w:rPr>
          <w:sz w:val="15"/>
        </w:rPr>
      </w:pPr>
    </w:p>
    <w:p>
      <w:pPr>
        <w:pStyle w:val="BodyText"/>
        <w:spacing w:line="417" w:lineRule="auto"/>
        <w:ind w:left="1260" w:right="3143"/>
      </w:pPr>
      <w:r>
        <w:rPr/>
        <w:t>住所：中国（上海）自由贸易试验区陆家嘴环路</w:t>
      </w:r>
      <w:r>
        <w:rPr>
          <w:rFonts w:ascii="Times New Roman" w:eastAsia="Times New Roman"/>
        </w:rPr>
        <w:t>333</w:t>
      </w:r>
      <w:r>
        <w:rPr/>
        <w:t>号</w:t>
      </w:r>
      <w:r>
        <w:rPr>
          <w:rFonts w:ascii="Times New Roman" w:eastAsia="Times New Roman"/>
        </w:rPr>
        <w:t>729S</w:t>
      </w:r>
      <w:r>
        <w:rPr/>
        <w:t>室办公地址：上海市虹口区公平路</w:t>
      </w:r>
      <w:r>
        <w:rPr>
          <w:rFonts w:ascii="Times New Roman" w:eastAsia="Times New Roman"/>
        </w:rPr>
        <w:t>18</w:t>
      </w:r>
      <w:r>
        <w:rPr/>
        <w:t>号</w:t>
      </w:r>
      <w:r>
        <w:rPr>
          <w:rFonts w:ascii="Times New Roman" w:eastAsia="Times New Roman"/>
        </w:rPr>
        <w:t>8</w:t>
      </w:r>
      <w:r>
        <w:rPr/>
        <w:t>栋嘉昱大厦</w:t>
      </w:r>
      <w:r>
        <w:rPr>
          <w:rFonts w:ascii="Times New Roman" w:eastAsia="Times New Roman"/>
        </w:rPr>
        <w:t>6</w:t>
      </w:r>
      <w:r>
        <w:rPr/>
        <w:t>层</w:t>
      </w:r>
    </w:p>
    <w:p>
      <w:pPr>
        <w:pStyle w:val="BodyText"/>
        <w:spacing w:line="269" w:lineRule="exact"/>
        <w:ind w:left="1260"/>
      </w:pPr>
      <w:r>
        <w:rPr/>
        <w:t>法定代表人：许欣</w:t>
      </w:r>
    </w:p>
    <w:p>
      <w:pPr>
        <w:pStyle w:val="BodyText"/>
        <w:spacing w:before="7"/>
        <w:rPr>
          <w:sz w:val="15"/>
        </w:rPr>
      </w:pPr>
    </w:p>
    <w:p>
      <w:pPr>
        <w:pStyle w:val="BodyText"/>
        <w:spacing w:line="417" w:lineRule="auto"/>
        <w:ind w:left="1260" w:right="6376"/>
        <w:rPr>
          <w:rFonts w:ascii="Times New Roman" w:eastAsia="Times New Roman"/>
        </w:rPr>
      </w:pPr>
      <w:r>
        <w:rPr/>
        <w:t>电话：</w:t>
      </w:r>
      <w:r>
        <w:rPr>
          <w:rFonts w:ascii="Times New Roman" w:eastAsia="Times New Roman"/>
        </w:rPr>
        <w:t>021-68609600-5952 </w:t>
      </w:r>
      <w:r>
        <w:rPr/>
        <w:t>传真：</w:t>
      </w:r>
      <w:r>
        <w:rPr>
          <w:rFonts w:ascii="Times New Roman" w:eastAsia="Times New Roman"/>
        </w:rPr>
        <w:t>021-33830351</w:t>
      </w:r>
    </w:p>
    <w:p>
      <w:pPr>
        <w:pStyle w:val="BodyText"/>
        <w:ind w:left="1260"/>
      </w:pPr>
      <w:r>
        <w:rPr/>
        <w:t>联系人：黎静</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121">
        <w:r>
          <w:rPr>
            <w:rFonts w:ascii="Times New Roman" w:eastAsia="Times New Roman"/>
          </w:rPr>
          <w:t>www.qiangungun.com </w:t>
        </w:r>
      </w:hyperlink>
      <w:r>
        <w:rPr/>
        <w:t>客户服务电话：</w:t>
      </w:r>
      <w:r>
        <w:rPr>
          <w:rFonts w:ascii="Times New Roman" w:eastAsia="Times New Roman"/>
        </w:rPr>
        <w:t>400-700-9700</w:t>
      </w:r>
    </w:p>
    <w:p>
      <w:pPr>
        <w:pStyle w:val="ListParagraph"/>
        <w:numPr>
          <w:ilvl w:val="0"/>
          <w:numId w:val="8"/>
        </w:numPr>
        <w:tabs>
          <w:tab w:pos="1991" w:val="left" w:leader="none"/>
        </w:tabs>
        <w:spacing w:line="269" w:lineRule="exact" w:before="0" w:after="0"/>
        <w:ind w:left="1991" w:right="0" w:hanging="731"/>
        <w:jc w:val="left"/>
        <w:rPr>
          <w:sz w:val="21"/>
        </w:rPr>
      </w:pPr>
      <w:r>
        <w:rPr>
          <w:spacing w:val="-3"/>
          <w:sz w:val="21"/>
        </w:rPr>
        <w:t>天津万家财富资产管理有限公司</w:t>
      </w:r>
    </w:p>
    <w:p>
      <w:pPr>
        <w:pStyle w:val="BodyText"/>
        <w:spacing w:before="6"/>
        <w:rPr>
          <w:sz w:val="15"/>
        </w:rPr>
      </w:pPr>
    </w:p>
    <w:p>
      <w:pPr>
        <w:pStyle w:val="BodyText"/>
        <w:spacing w:line="417" w:lineRule="auto" w:before="1"/>
        <w:ind w:left="1260" w:right="1613"/>
      </w:pPr>
      <w:r>
        <w:rPr/>
        <w:t>住所：天津自贸区（中心商务区）迎宾大道</w:t>
      </w:r>
      <w:r>
        <w:rPr>
          <w:rFonts w:ascii="Times New Roman" w:eastAsia="Times New Roman"/>
        </w:rPr>
        <w:t>1988</w:t>
      </w:r>
      <w:r>
        <w:rPr/>
        <w:t>号滨海浙商大厦公寓</w:t>
      </w:r>
      <w:r>
        <w:rPr>
          <w:rFonts w:ascii="Times New Roman" w:eastAsia="Times New Roman"/>
        </w:rPr>
        <w:t>2-2413</w:t>
      </w:r>
      <w:r>
        <w:rPr/>
        <w:t>室办公地址：北京市西城区丰盛胡同</w:t>
      </w:r>
      <w:r>
        <w:rPr>
          <w:rFonts w:ascii="Times New Roman" w:eastAsia="Times New Roman"/>
        </w:rPr>
        <w:t>28</w:t>
      </w:r>
      <w:r>
        <w:rPr/>
        <w:t>号太平洋保险大厦</w:t>
      </w:r>
      <w:r>
        <w:rPr>
          <w:rFonts w:ascii="Times New Roman" w:eastAsia="Times New Roman"/>
        </w:rPr>
        <w:t>5</w:t>
      </w:r>
      <w:r>
        <w:rPr/>
        <w:t>层</w:t>
      </w:r>
    </w:p>
    <w:p>
      <w:pPr>
        <w:pStyle w:val="BodyText"/>
        <w:spacing w:line="417" w:lineRule="auto"/>
        <w:ind w:left="1260" w:right="6830"/>
        <w:rPr>
          <w:rFonts w:ascii="Times New Roman" w:eastAsia="Times New Roman"/>
        </w:rPr>
      </w:pPr>
      <w:r>
        <w:rPr/>
        <w:t>法定代表人：李修辞电话：</w:t>
      </w:r>
      <w:r>
        <w:rPr>
          <w:rFonts w:ascii="Times New Roman" w:eastAsia="Times New Roman"/>
        </w:rPr>
        <w:t>18511290872 </w:t>
      </w:r>
      <w:r>
        <w:rPr/>
        <w:t>传真：</w:t>
      </w:r>
      <w:r>
        <w:rPr>
          <w:rFonts w:ascii="Times New Roman" w:eastAsia="Times New Roman"/>
        </w:rPr>
        <w:t>010-59013828</w:t>
      </w:r>
    </w:p>
    <w:p>
      <w:pPr>
        <w:pStyle w:val="BodyText"/>
        <w:spacing w:line="269" w:lineRule="exact"/>
        <w:ind w:left="1260"/>
      </w:pPr>
      <w:r>
        <w:rPr/>
        <w:t>联系人：邵玉磊</w:t>
      </w:r>
    </w:p>
    <w:p>
      <w:pPr>
        <w:pStyle w:val="BodyText"/>
        <w:spacing w:before="6"/>
        <w:rPr>
          <w:sz w:val="15"/>
        </w:rPr>
      </w:pPr>
    </w:p>
    <w:p>
      <w:pPr>
        <w:pStyle w:val="BodyText"/>
        <w:spacing w:line="417" w:lineRule="auto"/>
        <w:ind w:left="1260" w:right="6025"/>
        <w:rPr>
          <w:rFonts w:ascii="Times New Roman" w:eastAsia="Times New Roman"/>
        </w:rPr>
      </w:pPr>
      <w:r>
        <w:rPr/>
        <w:t>网址：</w:t>
      </w:r>
      <w:hyperlink r:id="rId122">
        <w:r>
          <w:rPr>
            <w:rFonts w:ascii="Times New Roman" w:eastAsia="Times New Roman"/>
          </w:rPr>
          <w:t>www.wanjiawealth.com </w:t>
        </w:r>
      </w:hyperlink>
      <w:r>
        <w:rPr/>
        <w:t>客户服务电话：</w:t>
      </w:r>
      <w:r>
        <w:rPr>
          <w:rFonts w:ascii="Times New Roman" w:eastAsia="Times New Roman"/>
        </w:rPr>
        <w:t>010-59013842</w:t>
      </w:r>
    </w:p>
    <w:p>
      <w:pPr>
        <w:pStyle w:val="ListParagraph"/>
        <w:numPr>
          <w:ilvl w:val="0"/>
          <w:numId w:val="8"/>
        </w:numPr>
        <w:tabs>
          <w:tab w:pos="1991" w:val="left" w:leader="none"/>
        </w:tabs>
        <w:spacing w:line="269" w:lineRule="exact" w:before="0" w:after="0"/>
        <w:ind w:left="1991" w:right="0" w:hanging="731"/>
        <w:jc w:val="left"/>
        <w:rPr>
          <w:sz w:val="21"/>
        </w:rPr>
      </w:pPr>
      <w:r>
        <w:rPr>
          <w:spacing w:val="-3"/>
          <w:sz w:val="21"/>
        </w:rPr>
        <w:t>上海华夏财富投资管理有限公司</w:t>
      </w:r>
    </w:p>
    <w:p>
      <w:pPr>
        <w:pStyle w:val="BodyText"/>
        <w:spacing w:before="7"/>
        <w:rPr>
          <w:sz w:val="15"/>
        </w:rPr>
      </w:pPr>
    </w:p>
    <w:p>
      <w:pPr>
        <w:pStyle w:val="BodyText"/>
        <w:spacing w:before="1"/>
        <w:ind w:left="1260"/>
      </w:pPr>
      <w:r>
        <w:rPr/>
        <w:t>住所：上海市虹口区东大名路</w:t>
      </w:r>
      <w:r>
        <w:rPr>
          <w:rFonts w:ascii="Times New Roman" w:eastAsia="Times New Roman"/>
        </w:rPr>
        <w:t>687</w:t>
      </w:r>
      <w:r>
        <w:rPr/>
        <w:t>号一幢二楼</w:t>
      </w:r>
      <w:r>
        <w:rPr>
          <w:rFonts w:ascii="Times New Roman" w:eastAsia="Times New Roman"/>
        </w:rPr>
        <w:t>268</w:t>
      </w:r>
      <w:r>
        <w:rPr/>
        <w:t>室</w:t>
      </w:r>
    </w:p>
    <w:p>
      <w:pPr>
        <w:pStyle w:val="BodyText"/>
        <w:spacing w:before="6"/>
        <w:rPr>
          <w:sz w:val="15"/>
        </w:rPr>
      </w:pPr>
    </w:p>
    <w:p>
      <w:pPr>
        <w:pStyle w:val="BodyText"/>
        <w:spacing w:line="417" w:lineRule="auto"/>
        <w:ind w:left="1260" w:right="3644"/>
      </w:pPr>
      <w:r>
        <w:rPr/>
        <w:t>办公地址：北京市西城区金融大街</w:t>
      </w:r>
      <w:r>
        <w:rPr>
          <w:rFonts w:ascii="Times New Roman" w:eastAsia="Times New Roman"/>
        </w:rPr>
        <w:t>33</w:t>
      </w:r>
      <w:r>
        <w:rPr/>
        <w:t>号通泰大厦</w:t>
      </w:r>
      <w:r>
        <w:rPr>
          <w:rFonts w:ascii="Times New Roman" w:eastAsia="Times New Roman"/>
        </w:rPr>
        <w:t>B</w:t>
      </w:r>
      <w:r>
        <w:rPr/>
        <w:t>座</w:t>
      </w:r>
      <w:r>
        <w:rPr>
          <w:rFonts w:ascii="Times New Roman" w:eastAsia="Times New Roman"/>
        </w:rPr>
        <w:t>8</w:t>
      </w:r>
      <w:r>
        <w:rPr/>
        <w:t>层法定代表人：毛淮平</w:t>
      </w:r>
    </w:p>
    <w:p>
      <w:pPr>
        <w:pStyle w:val="BodyText"/>
        <w:spacing w:line="417" w:lineRule="auto"/>
        <w:ind w:left="1260" w:right="6866"/>
        <w:rPr>
          <w:rFonts w:ascii="Times New Roman" w:eastAsia="Times New Roman"/>
        </w:rPr>
      </w:pPr>
      <w:r>
        <w:rPr/>
        <w:t>电话：</w:t>
      </w:r>
      <w:r>
        <w:rPr>
          <w:rFonts w:ascii="Times New Roman" w:eastAsia="Times New Roman"/>
        </w:rPr>
        <w:t>010-88066326 </w:t>
      </w:r>
      <w:r>
        <w:rPr/>
        <w:t>传真：</w:t>
      </w:r>
      <w:r>
        <w:rPr>
          <w:rFonts w:ascii="Times New Roman" w:eastAsia="Times New Roman"/>
        </w:rPr>
        <w:t>010-63136184</w:t>
      </w:r>
    </w:p>
    <w:p>
      <w:pPr>
        <w:pStyle w:val="BodyText"/>
        <w:spacing w:line="269" w:lineRule="exact"/>
        <w:ind w:left="1260"/>
      </w:pPr>
      <w:r>
        <w:rPr/>
        <w:t>联系人：张静怡</w:t>
      </w:r>
    </w:p>
    <w:p>
      <w:pPr>
        <w:pStyle w:val="BodyText"/>
        <w:spacing w:before="7"/>
        <w:rPr>
          <w:sz w:val="15"/>
        </w:rPr>
      </w:pPr>
    </w:p>
    <w:p>
      <w:pPr>
        <w:pStyle w:val="BodyText"/>
        <w:spacing w:line="417" w:lineRule="auto"/>
        <w:ind w:left="1260" w:right="6061"/>
        <w:rPr>
          <w:rFonts w:ascii="Times New Roman" w:eastAsia="Times New Roman"/>
        </w:rPr>
      </w:pPr>
      <w:r>
        <w:rPr/>
        <w:t>网址：</w:t>
      </w:r>
      <w:hyperlink r:id="rId123">
        <w:r>
          <w:rPr>
            <w:rFonts w:ascii="Times New Roman" w:eastAsia="Times New Roman"/>
          </w:rPr>
          <w:t>www.amcfortune.com </w:t>
        </w:r>
      </w:hyperlink>
      <w:r>
        <w:rPr/>
        <w:t>客户服务电话：</w:t>
      </w:r>
      <w:r>
        <w:rPr>
          <w:rFonts w:ascii="Times New Roman" w:eastAsia="Times New Roman"/>
        </w:rPr>
        <w:t>400-817-5666</w:t>
      </w:r>
    </w:p>
    <w:p>
      <w:pPr>
        <w:pStyle w:val="ListParagraph"/>
        <w:numPr>
          <w:ilvl w:val="0"/>
          <w:numId w:val="8"/>
        </w:numPr>
        <w:tabs>
          <w:tab w:pos="1991" w:val="left" w:leader="none"/>
        </w:tabs>
        <w:spacing w:line="240" w:lineRule="auto" w:before="0" w:after="0"/>
        <w:ind w:left="1991" w:right="0" w:hanging="731"/>
        <w:jc w:val="left"/>
        <w:rPr>
          <w:sz w:val="21"/>
        </w:rPr>
      </w:pPr>
      <w:r>
        <w:rPr>
          <w:spacing w:val="-3"/>
          <w:sz w:val="21"/>
        </w:rPr>
        <w:t>中信期货有限公司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line="417" w:lineRule="auto" w:before="78"/>
        <w:ind w:left="1260" w:right="888"/>
        <w:rPr>
          <w:rFonts w:ascii="Times New Roman" w:eastAsia="Times New Roman"/>
        </w:rPr>
      </w:pPr>
      <w:r>
        <w:rPr>
          <w:spacing w:val="-3"/>
        </w:rPr>
        <w:t>住所：深圳市福田区中心三路</w:t>
      </w:r>
      <w:r>
        <w:rPr>
          <w:rFonts w:ascii="Times New Roman" w:eastAsia="Times New Roman"/>
          <w:spacing w:val="-3"/>
        </w:rPr>
        <w:t>8</w:t>
      </w:r>
      <w:r>
        <w:rPr>
          <w:spacing w:val="-3"/>
        </w:rPr>
        <w:t>号卓越时代广场（</w:t>
      </w:r>
      <w:r>
        <w:rPr>
          <w:spacing w:val="-2"/>
        </w:rPr>
        <w:t>二期</w:t>
      </w:r>
      <w:r>
        <w:rPr/>
        <w:t>）</w:t>
      </w:r>
      <w:r>
        <w:rPr>
          <w:spacing w:val="-2"/>
        </w:rPr>
        <w:t>北座</w:t>
      </w:r>
      <w:r>
        <w:rPr>
          <w:rFonts w:ascii="Times New Roman" w:eastAsia="Times New Roman"/>
        </w:rPr>
        <w:t>13</w:t>
      </w:r>
      <w:r>
        <w:rPr/>
        <w:t>层</w:t>
      </w:r>
      <w:r>
        <w:rPr>
          <w:rFonts w:ascii="Times New Roman" w:eastAsia="Times New Roman"/>
        </w:rPr>
        <w:t>1301-1305</w:t>
      </w:r>
      <w:r>
        <w:rPr>
          <w:spacing w:val="-3"/>
        </w:rPr>
        <w:t>、</w:t>
      </w:r>
      <w:r>
        <w:rPr>
          <w:rFonts w:ascii="Times New Roman" w:eastAsia="Times New Roman"/>
        </w:rPr>
        <w:t>14</w:t>
      </w:r>
      <w:r>
        <w:rPr/>
        <w:t>层  办公地址：深圳市福田区中心三路</w:t>
      </w:r>
      <w:r>
        <w:rPr>
          <w:rFonts w:ascii="Times New Roman" w:eastAsia="Times New Roman"/>
        </w:rPr>
        <w:t>8</w:t>
      </w:r>
      <w:r>
        <w:rPr/>
        <w:t>号卓越时代广场（二期）</w:t>
      </w:r>
      <w:r>
        <w:rPr>
          <w:spacing w:val="2"/>
        </w:rPr>
        <w:t>北座</w:t>
      </w:r>
      <w:r>
        <w:rPr>
          <w:rFonts w:ascii="Times New Roman" w:eastAsia="Times New Roman"/>
        </w:rPr>
        <w:t>13</w:t>
      </w:r>
      <w:r>
        <w:rPr/>
        <w:t>层</w:t>
      </w:r>
      <w:r>
        <w:rPr>
          <w:rFonts w:ascii="Times New Roman" w:eastAsia="Times New Roman"/>
        </w:rPr>
        <w:t>1301-1305</w:t>
      </w:r>
      <w:r>
        <w:rPr/>
        <w:t>、</w:t>
      </w:r>
      <w:r>
        <w:rPr>
          <w:rFonts w:ascii="Times New Roman" w:eastAsia="Times New Roman"/>
          <w:spacing w:val="-6"/>
        </w:rPr>
        <w:t>14</w:t>
      </w:r>
    </w:p>
    <w:p>
      <w:pPr>
        <w:pStyle w:val="BodyText"/>
        <w:ind w:left="778"/>
      </w:pPr>
      <w:r>
        <w:rPr>
          <w:w w:val="100"/>
        </w:rPr>
        <w:t>层</w:t>
      </w:r>
    </w:p>
    <w:p>
      <w:pPr>
        <w:pStyle w:val="BodyText"/>
        <w:spacing w:before="12"/>
        <w:rPr>
          <w:sz w:val="9"/>
        </w:rPr>
      </w:pPr>
    </w:p>
    <w:p>
      <w:pPr>
        <w:pStyle w:val="BodyText"/>
        <w:spacing w:line="417" w:lineRule="auto" w:before="72"/>
        <w:ind w:left="1260" w:right="6707"/>
        <w:rPr>
          <w:rFonts w:ascii="Times New Roman" w:eastAsia="Times New Roman"/>
        </w:rPr>
      </w:pPr>
      <w:r>
        <w:rPr/>
        <w:t>法定代表人：张皓 电话：</w:t>
      </w:r>
      <w:r>
        <w:rPr>
          <w:rFonts w:ascii="Times New Roman" w:eastAsia="Times New Roman"/>
        </w:rPr>
        <w:t>010-60833754 </w:t>
      </w:r>
      <w:r>
        <w:rPr/>
        <w:t>传真：</w:t>
      </w:r>
      <w:r>
        <w:rPr>
          <w:rFonts w:ascii="Times New Roman" w:eastAsia="Times New Roman"/>
        </w:rPr>
        <w:t>0755-83217421</w:t>
      </w:r>
    </w:p>
    <w:p>
      <w:pPr>
        <w:pStyle w:val="BodyText"/>
        <w:spacing w:line="269" w:lineRule="exact"/>
        <w:ind w:left="1260"/>
      </w:pPr>
      <w:r>
        <w:rPr/>
        <w:t>联系人：刘宏莹</w:t>
      </w:r>
    </w:p>
    <w:p>
      <w:pPr>
        <w:pStyle w:val="BodyText"/>
        <w:spacing w:before="7"/>
        <w:rPr>
          <w:sz w:val="15"/>
        </w:rPr>
      </w:pPr>
    </w:p>
    <w:p>
      <w:pPr>
        <w:pStyle w:val="BodyText"/>
        <w:ind w:left="1260"/>
        <w:rPr>
          <w:rFonts w:ascii="Times New Roman" w:eastAsia="Times New Roman"/>
        </w:rPr>
      </w:pPr>
      <w:r>
        <w:rPr/>
        <w:t>网址：</w:t>
      </w:r>
      <w:hyperlink r:id="rId124">
        <w:r>
          <w:rPr>
            <w:rFonts w:ascii="Times New Roman" w:eastAsia="Times New Roman"/>
          </w:rPr>
          <w:t>www.citicsf.com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400-990-8826</w:t>
      </w:r>
    </w:p>
    <w:p>
      <w:pPr>
        <w:pStyle w:val="BodyText"/>
        <w:spacing w:before="4"/>
        <w:rPr>
          <w:rFonts w:ascii="Times New Roman"/>
          <w:sz w:val="17"/>
        </w:rPr>
      </w:pPr>
    </w:p>
    <w:p>
      <w:pPr>
        <w:pStyle w:val="ListParagraph"/>
        <w:numPr>
          <w:ilvl w:val="0"/>
          <w:numId w:val="8"/>
        </w:numPr>
        <w:tabs>
          <w:tab w:pos="1991" w:val="left" w:leader="none"/>
        </w:tabs>
        <w:spacing w:line="417" w:lineRule="auto" w:before="0" w:after="0"/>
        <w:ind w:left="1260" w:right="5894" w:firstLine="0"/>
        <w:jc w:val="left"/>
        <w:rPr>
          <w:sz w:val="21"/>
        </w:rPr>
      </w:pPr>
      <w:r>
        <w:rPr>
          <w:spacing w:val="-4"/>
          <w:sz w:val="21"/>
        </w:rPr>
        <w:t>弘业期货股份有限公司</w:t>
      </w:r>
      <w:r>
        <w:rPr>
          <w:spacing w:val="-3"/>
          <w:sz w:val="21"/>
        </w:rPr>
        <w:t>住所：南京市中华路</w:t>
      </w:r>
      <w:r>
        <w:rPr>
          <w:rFonts w:ascii="Times New Roman" w:eastAsia="Times New Roman"/>
          <w:sz w:val="21"/>
        </w:rPr>
        <w:t>50</w:t>
      </w:r>
      <w:r>
        <w:rPr>
          <w:sz w:val="21"/>
        </w:rPr>
        <w:t>号</w:t>
      </w:r>
    </w:p>
    <w:p>
      <w:pPr>
        <w:pStyle w:val="BodyText"/>
        <w:spacing w:line="417" w:lineRule="auto"/>
        <w:ind w:left="1260" w:right="5152"/>
      </w:pPr>
      <w:r>
        <w:rPr/>
        <w:t>办公地址：南京市中华路</w:t>
      </w:r>
      <w:r>
        <w:rPr>
          <w:rFonts w:ascii="Times New Roman" w:eastAsia="Times New Roman"/>
        </w:rPr>
        <w:t>50</w:t>
      </w:r>
      <w:r>
        <w:rPr/>
        <w:t>号弘业大厦法定代表人：周剑秋</w:t>
      </w:r>
    </w:p>
    <w:p>
      <w:pPr>
        <w:pStyle w:val="BodyText"/>
        <w:spacing w:line="417" w:lineRule="auto"/>
        <w:ind w:left="1260" w:right="6866"/>
        <w:rPr>
          <w:rFonts w:ascii="Times New Roman" w:eastAsia="Times New Roman"/>
        </w:rPr>
      </w:pPr>
      <w:r>
        <w:rPr/>
        <w:t>电话：</w:t>
      </w:r>
      <w:r>
        <w:rPr>
          <w:rFonts w:ascii="Times New Roman" w:eastAsia="Times New Roman"/>
        </w:rPr>
        <w:t>025-52278981 </w:t>
      </w:r>
      <w:r>
        <w:rPr/>
        <w:t>传真：</w:t>
      </w:r>
      <w:r>
        <w:rPr>
          <w:rFonts w:ascii="Times New Roman" w:eastAsia="Times New Roman"/>
        </w:rPr>
        <w:t>025-52278733</w:t>
      </w:r>
    </w:p>
    <w:p>
      <w:pPr>
        <w:pStyle w:val="BodyText"/>
        <w:ind w:left="1260"/>
      </w:pPr>
      <w:r>
        <w:rPr/>
        <w:t>联系人：张苏怡</w:t>
      </w:r>
    </w:p>
    <w:p>
      <w:pPr>
        <w:pStyle w:val="BodyText"/>
        <w:spacing w:before="6"/>
        <w:rPr>
          <w:sz w:val="15"/>
        </w:rPr>
      </w:pPr>
    </w:p>
    <w:p>
      <w:pPr>
        <w:pStyle w:val="BodyText"/>
        <w:ind w:left="1260"/>
        <w:rPr>
          <w:rFonts w:ascii="Times New Roman" w:eastAsia="Times New Roman"/>
        </w:rPr>
      </w:pPr>
      <w:r>
        <w:rPr/>
        <w:t>网址：</w:t>
      </w:r>
      <w:hyperlink r:id="rId125">
        <w:r>
          <w:rPr>
            <w:rFonts w:ascii="Times New Roman" w:eastAsia="Times New Roman"/>
          </w:rPr>
          <w:t>www.ftol.com.cn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400-828-8288</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国泰君安证券股份有限公司</w:t>
      </w:r>
    </w:p>
    <w:p>
      <w:pPr>
        <w:pStyle w:val="BodyText"/>
        <w:spacing w:before="6"/>
        <w:rPr>
          <w:sz w:val="15"/>
        </w:rPr>
      </w:pPr>
    </w:p>
    <w:p>
      <w:pPr>
        <w:pStyle w:val="BodyText"/>
        <w:spacing w:before="1"/>
        <w:ind w:left="1260"/>
      </w:pPr>
      <w:r>
        <w:rPr/>
        <w:t>住所：中国（上海）自由贸易试验区商城路</w:t>
      </w:r>
      <w:r>
        <w:rPr>
          <w:rFonts w:ascii="Times New Roman" w:eastAsia="Times New Roman"/>
        </w:rPr>
        <w:t>618</w:t>
      </w:r>
      <w:r>
        <w:rPr/>
        <w:t>号</w:t>
      </w:r>
    </w:p>
    <w:p>
      <w:pPr>
        <w:pStyle w:val="BodyText"/>
        <w:spacing w:before="6"/>
        <w:rPr>
          <w:sz w:val="15"/>
        </w:rPr>
      </w:pPr>
    </w:p>
    <w:p>
      <w:pPr>
        <w:pStyle w:val="BodyText"/>
        <w:spacing w:line="417" w:lineRule="auto"/>
        <w:ind w:left="1260" w:right="3786"/>
      </w:pPr>
      <w:r>
        <w:rPr/>
        <w:t>办公地址：上海市静安区南京西路</w:t>
      </w:r>
      <w:r>
        <w:rPr>
          <w:rFonts w:ascii="Times New Roman" w:eastAsia="Times New Roman"/>
        </w:rPr>
        <w:t>768</w:t>
      </w:r>
      <w:r>
        <w:rPr/>
        <w:t>号国泰君安大厦法定代表人：贺青</w:t>
      </w:r>
    </w:p>
    <w:p>
      <w:pPr>
        <w:pStyle w:val="BodyText"/>
        <w:spacing w:line="417" w:lineRule="auto" w:before="1"/>
        <w:ind w:left="1260" w:right="6866"/>
        <w:rPr>
          <w:rFonts w:ascii="Times New Roman" w:eastAsia="Times New Roman"/>
        </w:rPr>
      </w:pPr>
      <w:r>
        <w:rPr/>
        <w:t>电话：</w:t>
      </w:r>
      <w:r>
        <w:rPr>
          <w:rFonts w:ascii="Times New Roman" w:eastAsia="Times New Roman"/>
        </w:rPr>
        <w:t>021-38676666 </w:t>
      </w:r>
      <w:r>
        <w:rPr/>
        <w:t>传真：</w:t>
      </w:r>
      <w:r>
        <w:rPr>
          <w:rFonts w:ascii="Times New Roman" w:eastAsia="Times New Roman"/>
        </w:rPr>
        <w:t>021-38670666</w:t>
      </w:r>
    </w:p>
    <w:p>
      <w:pPr>
        <w:pStyle w:val="BodyText"/>
        <w:spacing w:line="269" w:lineRule="exact"/>
        <w:ind w:left="1260"/>
      </w:pPr>
      <w:r>
        <w:rPr/>
        <w:t>联系人：黄博铭</w:t>
      </w:r>
    </w:p>
    <w:p>
      <w:pPr>
        <w:pStyle w:val="BodyText"/>
        <w:spacing w:before="6"/>
        <w:rPr>
          <w:sz w:val="15"/>
        </w:rPr>
      </w:pPr>
    </w:p>
    <w:p>
      <w:pPr>
        <w:pStyle w:val="BodyText"/>
        <w:spacing w:line="417" w:lineRule="auto"/>
        <w:ind w:left="1260" w:right="6727"/>
        <w:rPr>
          <w:rFonts w:ascii="Times New Roman" w:eastAsia="Times New Roman"/>
        </w:rPr>
      </w:pPr>
      <w:r>
        <w:rPr/>
        <w:t>网址：</w:t>
      </w:r>
      <w:hyperlink r:id="rId126">
        <w:r>
          <w:rPr>
            <w:rFonts w:ascii="Times New Roman" w:eastAsia="Times New Roman"/>
          </w:rPr>
          <w:t>www.gtja.com </w:t>
        </w:r>
      </w:hyperlink>
      <w:r>
        <w:rPr/>
        <w:t>客户服务电话：</w:t>
      </w:r>
      <w:r>
        <w:rPr>
          <w:rFonts w:ascii="Times New Roman" w:eastAsia="Times New Roman"/>
        </w:rPr>
        <w:t>95521</w:t>
      </w:r>
    </w:p>
    <w:p>
      <w:pPr>
        <w:pStyle w:val="ListParagraph"/>
        <w:numPr>
          <w:ilvl w:val="0"/>
          <w:numId w:val="8"/>
        </w:numPr>
        <w:tabs>
          <w:tab w:pos="1999" w:val="left" w:leader="none"/>
        </w:tabs>
        <w:spacing w:line="417" w:lineRule="auto" w:before="0" w:after="0"/>
        <w:ind w:left="1260" w:right="5255" w:firstLine="0"/>
        <w:jc w:val="left"/>
        <w:rPr>
          <w:sz w:val="21"/>
        </w:rPr>
      </w:pPr>
      <w:r>
        <w:rPr>
          <w:spacing w:val="-3"/>
          <w:sz w:val="21"/>
        </w:rPr>
        <w:t>中信建投证券股份有限公司 住所：北京市朝阳区安立路</w:t>
      </w:r>
      <w:r>
        <w:rPr>
          <w:rFonts w:ascii="Times New Roman" w:eastAsia="Times New Roman"/>
          <w:sz w:val="21"/>
        </w:rPr>
        <w:t>66</w:t>
      </w:r>
      <w:r>
        <w:rPr>
          <w:spacing w:val="-3"/>
          <w:sz w:val="21"/>
        </w:rPr>
        <w:t>号</w:t>
      </w:r>
      <w:r>
        <w:rPr>
          <w:rFonts w:ascii="Times New Roman" w:eastAsia="Times New Roman"/>
          <w:sz w:val="21"/>
        </w:rPr>
        <w:t>4</w:t>
      </w:r>
      <w:r>
        <w:rPr>
          <w:spacing w:val="-3"/>
          <w:sz w:val="21"/>
        </w:rPr>
        <w:t>号楼办公地址：北京市朝阳门内大街</w:t>
      </w:r>
      <w:r>
        <w:rPr>
          <w:rFonts w:ascii="Times New Roman" w:eastAsia="Times New Roman"/>
          <w:sz w:val="21"/>
        </w:rPr>
        <w:t>188</w:t>
      </w:r>
      <w:r>
        <w:rPr>
          <w:spacing w:val="-13"/>
          <w:sz w:val="21"/>
        </w:rPr>
        <w:t>号</w:t>
      </w:r>
    </w:p>
    <w:p>
      <w:pPr>
        <w:spacing w:after="0" w:line="417" w:lineRule="auto"/>
        <w:jc w:val="left"/>
        <w:rPr>
          <w:sz w:val="21"/>
        </w:rPr>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727"/>
        <w:rPr>
          <w:rFonts w:ascii="Times New Roman" w:eastAsia="Times New Roman"/>
        </w:rPr>
      </w:pPr>
      <w:r>
        <w:rPr/>
        <w:t>法定代表人：王常青客户服务电话：</w:t>
      </w:r>
      <w:r>
        <w:rPr>
          <w:rFonts w:ascii="Times New Roman" w:eastAsia="Times New Roman"/>
        </w:rPr>
        <w:t>95587 </w:t>
      </w:r>
      <w:r>
        <w:rPr/>
        <w:t>传真：</w:t>
      </w:r>
      <w:r>
        <w:rPr>
          <w:rFonts w:ascii="Times New Roman" w:eastAsia="Times New Roman"/>
        </w:rPr>
        <w:t>010-65182261</w:t>
      </w:r>
    </w:p>
    <w:p>
      <w:pPr>
        <w:pStyle w:val="BodyText"/>
        <w:spacing w:line="269" w:lineRule="exact"/>
        <w:ind w:left="1260"/>
      </w:pPr>
      <w:r>
        <w:rPr/>
        <w:t>联系人：权唐</w:t>
      </w:r>
    </w:p>
    <w:p>
      <w:pPr>
        <w:pStyle w:val="BodyText"/>
        <w:spacing w:before="7"/>
        <w:rPr>
          <w:sz w:val="15"/>
        </w:rPr>
      </w:pPr>
    </w:p>
    <w:p>
      <w:pPr>
        <w:pStyle w:val="BodyText"/>
        <w:ind w:left="1260"/>
        <w:rPr>
          <w:rFonts w:ascii="Times New Roman" w:eastAsia="Times New Roman"/>
        </w:rPr>
      </w:pPr>
      <w:r>
        <w:rPr/>
        <w:t>网址：</w:t>
      </w:r>
      <w:hyperlink r:id="rId127">
        <w:r>
          <w:rPr>
            <w:rFonts w:ascii="Times New Roman" w:eastAsia="Times New Roman"/>
          </w:rPr>
          <w:t>www.csc108.com</w:t>
        </w:r>
      </w:hyperlink>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国信证券股份有限公司</w:t>
      </w:r>
    </w:p>
    <w:p>
      <w:pPr>
        <w:pStyle w:val="BodyText"/>
        <w:spacing w:before="7"/>
        <w:rPr>
          <w:sz w:val="15"/>
        </w:rPr>
      </w:pPr>
    </w:p>
    <w:p>
      <w:pPr>
        <w:pStyle w:val="BodyText"/>
        <w:ind w:left="1260"/>
      </w:pPr>
      <w:r>
        <w:rPr/>
        <w:t>住所：深圳市罗湖区红岭中路</w:t>
      </w:r>
      <w:r>
        <w:rPr>
          <w:rFonts w:ascii="Times New Roman" w:eastAsia="Times New Roman"/>
        </w:rPr>
        <w:t>1012</w:t>
      </w:r>
      <w:r>
        <w:rPr/>
        <w:t>号国信证券大厦十六层至二十六层</w:t>
      </w:r>
    </w:p>
    <w:p>
      <w:pPr>
        <w:pStyle w:val="BodyText"/>
        <w:spacing w:before="7"/>
        <w:rPr>
          <w:sz w:val="15"/>
        </w:rPr>
      </w:pPr>
    </w:p>
    <w:p>
      <w:pPr>
        <w:pStyle w:val="BodyText"/>
        <w:spacing w:line="417" w:lineRule="auto" w:before="1"/>
        <w:ind w:left="1260" w:right="1998"/>
      </w:pPr>
      <w:r>
        <w:rPr/>
        <w:t>办公地址：深圳市罗湖区红岭中路</w:t>
      </w:r>
      <w:r>
        <w:rPr>
          <w:rFonts w:ascii="Times New Roman" w:eastAsia="Times New Roman"/>
        </w:rPr>
        <w:t>1012</w:t>
      </w:r>
      <w:r>
        <w:rPr/>
        <w:t>号国信证券大厦十六层至二十六层法定代表人：何如</w:t>
      </w:r>
    </w:p>
    <w:p>
      <w:pPr>
        <w:pStyle w:val="BodyText"/>
        <w:spacing w:line="417" w:lineRule="auto"/>
        <w:ind w:left="1260" w:right="6760"/>
        <w:rPr>
          <w:rFonts w:ascii="Times New Roman" w:eastAsia="Times New Roman"/>
        </w:rPr>
      </w:pPr>
      <w:r>
        <w:rPr/>
        <w:t>电话：</w:t>
      </w:r>
      <w:r>
        <w:rPr>
          <w:rFonts w:ascii="Times New Roman" w:eastAsia="Times New Roman"/>
        </w:rPr>
        <w:t>0755-82130833 </w:t>
      </w:r>
      <w:r>
        <w:rPr/>
        <w:t>传真：</w:t>
      </w:r>
      <w:r>
        <w:rPr>
          <w:rFonts w:ascii="Times New Roman" w:eastAsia="Times New Roman"/>
        </w:rPr>
        <w:t>0755-82133952</w:t>
      </w:r>
    </w:p>
    <w:p>
      <w:pPr>
        <w:pStyle w:val="BodyText"/>
        <w:spacing w:line="269" w:lineRule="exact"/>
        <w:ind w:left="1260"/>
      </w:pPr>
      <w:r>
        <w:rPr/>
        <w:t>联系人：李颖</w:t>
      </w:r>
    </w:p>
    <w:p>
      <w:pPr>
        <w:pStyle w:val="BodyText"/>
        <w:spacing w:before="6"/>
        <w:rPr>
          <w:sz w:val="15"/>
        </w:rPr>
      </w:pPr>
    </w:p>
    <w:p>
      <w:pPr>
        <w:pStyle w:val="BodyText"/>
        <w:spacing w:line="417" w:lineRule="auto"/>
        <w:ind w:left="1260" w:right="6295"/>
        <w:rPr>
          <w:rFonts w:ascii="Times New Roman" w:eastAsia="Times New Roman"/>
        </w:rPr>
      </w:pPr>
      <w:r>
        <w:rPr/>
        <w:t>网址：</w:t>
      </w:r>
      <w:hyperlink r:id="rId128">
        <w:r>
          <w:rPr>
            <w:rFonts w:ascii="Times New Roman" w:eastAsia="Times New Roman"/>
          </w:rPr>
          <w:t>www.guosen.com.cn </w:t>
        </w:r>
      </w:hyperlink>
      <w:r>
        <w:rPr/>
        <w:t>客户服务电话：</w:t>
      </w:r>
      <w:r>
        <w:rPr>
          <w:rFonts w:ascii="Times New Roman" w:eastAsia="Times New Roman"/>
        </w:rPr>
        <w:t>95536</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招商证券股份有限公司</w:t>
      </w:r>
    </w:p>
    <w:p>
      <w:pPr>
        <w:pStyle w:val="BodyText"/>
        <w:spacing w:before="7"/>
        <w:rPr>
          <w:sz w:val="15"/>
        </w:rPr>
      </w:pPr>
    </w:p>
    <w:p>
      <w:pPr>
        <w:pStyle w:val="BodyText"/>
        <w:ind w:left="1260"/>
      </w:pPr>
      <w:r>
        <w:rPr/>
        <w:t>住所：深圳市福田区福田街道福华一路</w:t>
      </w:r>
      <w:r>
        <w:rPr>
          <w:rFonts w:ascii="Times New Roman" w:eastAsia="Times New Roman"/>
        </w:rPr>
        <w:t>111</w:t>
      </w:r>
      <w:r>
        <w:rPr/>
        <w:t>号</w:t>
      </w:r>
    </w:p>
    <w:p>
      <w:pPr>
        <w:pStyle w:val="BodyText"/>
        <w:spacing w:before="6"/>
        <w:rPr>
          <w:sz w:val="15"/>
        </w:rPr>
      </w:pPr>
    </w:p>
    <w:p>
      <w:pPr>
        <w:pStyle w:val="BodyText"/>
        <w:spacing w:line="417" w:lineRule="auto" w:before="1"/>
        <w:ind w:left="1260" w:right="4177"/>
      </w:pPr>
      <w:r>
        <w:rPr/>
        <w:t>办公地址：深圳市福田区福田街道福华一路</w:t>
      </w:r>
      <w:r>
        <w:rPr>
          <w:rFonts w:ascii="Times New Roman" w:eastAsia="Times New Roman"/>
        </w:rPr>
        <w:t>111</w:t>
      </w:r>
      <w:r>
        <w:rPr/>
        <w:t>号法定代表人：霍达</w:t>
      </w:r>
    </w:p>
    <w:p>
      <w:pPr>
        <w:pStyle w:val="BodyText"/>
        <w:spacing w:line="417" w:lineRule="auto"/>
        <w:ind w:left="1260" w:right="6760"/>
        <w:rPr>
          <w:rFonts w:ascii="Times New Roman" w:eastAsia="Times New Roman"/>
        </w:rPr>
      </w:pPr>
      <w:r>
        <w:rPr/>
        <w:t>电话：</w:t>
      </w:r>
      <w:r>
        <w:rPr>
          <w:rFonts w:ascii="Times New Roman" w:eastAsia="Times New Roman"/>
        </w:rPr>
        <w:t>0755-82943666 </w:t>
      </w:r>
      <w:r>
        <w:rPr/>
        <w:t>传真：</w:t>
      </w:r>
      <w:r>
        <w:rPr>
          <w:rFonts w:ascii="Times New Roman" w:eastAsia="Times New Roman"/>
        </w:rPr>
        <w:t>0755-82943636</w:t>
      </w:r>
    </w:p>
    <w:p>
      <w:pPr>
        <w:pStyle w:val="BodyText"/>
        <w:spacing w:line="269" w:lineRule="exact"/>
        <w:ind w:left="1260"/>
      </w:pPr>
      <w:r>
        <w:rPr/>
        <w:t>联系人：黄健</w:t>
      </w:r>
    </w:p>
    <w:p>
      <w:pPr>
        <w:pStyle w:val="BodyText"/>
        <w:spacing w:before="6"/>
        <w:rPr>
          <w:sz w:val="15"/>
        </w:rPr>
      </w:pPr>
    </w:p>
    <w:p>
      <w:pPr>
        <w:pStyle w:val="BodyText"/>
        <w:spacing w:line="417" w:lineRule="auto" w:before="1"/>
        <w:ind w:left="1260" w:right="6237"/>
        <w:rPr>
          <w:rFonts w:ascii="Times New Roman" w:eastAsia="Times New Roman"/>
        </w:rPr>
      </w:pPr>
      <w:r>
        <w:rPr/>
        <w:t>网址：</w:t>
      </w:r>
      <w:hyperlink r:id="rId129">
        <w:r>
          <w:rPr>
            <w:rFonts w:ascii="Times New Roman" w:eastAsia="Times New Roman"/>
          </w:rPr>
          <w:t>www.newone.com.cn </w:t>
        </w:r>
      </w:hyperlink>
      <w:r>
        <w:rPr/>
        <w:t>客户服务电话：</w:t>
      </w:r>
      <w:r>
        <w:rPr>
          <w:rFonts w:ascii="Times New Roman" w:eastAsia="Times New Roman"/>
        </w:rPr>
        <w:t>95565</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广发证券股份有限公司</w:t>
      </w:r>
    </w:p>
    <w:p>
      <w:pPr>
        <w:pStyle w:val="BodyText"/>
        <w:spacing w:before="6"/>
        <w:rPr>
          <w:sz w:val="15"/>
        </w:rPr>
      </w:pPr>
    </w:p>
    <w:p>
      <w:pPr>
        <w:pStyle w:val="BodyText"/>
        <w:spacing w:line="417" w:lineRule="auto"/>
        <w:ind w:left="1260" w:right="3047"/>
      </w:pPr>
      <w:r>
        <w:rPr/>
        <w:t>住所：广东省广州市黄埔区中新广州知识城腾飞一街</w:t>
      </w:r>
      <w:r>
        <w:rPr>
          <w:rFonts w:ascii="Times New Roman" w:eastAsia="Times New Roman"/>
        </w:rPr>
        <w:t>2</w:t>
      </w:r>
      <w:r>
        <w:rPr/>
        <w:t>号</w:t>
      </w:r>
      <w:r>
        <w:rPr>
          <w:rFonts w:ascii="Times New Roman" w:eastAsia="Times New Roman"/>
        </w:rPr>
        <w:t>618</w:t>
      </w:r>
      <w:r>
        <w:rPr/>
        <w:t>室办公地址：广州市天河区马场路</w:t>
      </w:r>
      <w:r>
        <w:rPr>
          <w:rFonts w:ascii="Times New Roman" w:eastAsia="Times New Roman"/>
        </w:rPr>
        <w:t>26</w:t>
      </w:r>
      <w:r>
        <w:rPr/>
        <w:t>号广发证券大厦</w:t>
      </w:r>
      <w:r>
        <w:rPr>
          <w:rFonts w:ascii="Times New Roman" w:eastAsia="Times New Roman"/>
        </w:rPr>
        <w:t>36</w:t>
      </w:r>
      <w:r>
        <w:rPr/>
        <w:t>楼</w:t>
      </w:r>
    </w:p>
    <w:p>
      <w:pPr>
        <w:pStyle w:val="BodyText"/>
        <w:spacing w:line="417" w:lineRule="auto"/>
        <w:ind w:left="1260" w:right="6830"/>
        <w:jc w:val="both"/>
        <w:rPr>
          <w:rFonts w:ascii="Times New Roman" w:eastAsia="Times New Roman"/>
        </w:rPr>
      </w:pPr>
      <w:r>
        <w:rPr/>
        <w:t>法定代表人：孙树明电话：</w:t>
      </w:r>
      <w:r>
        <w:rPr>
          <w:rFonts w:ascii="Times New Roman" w:eastAsia="Times New Roman"/>
        </w:rPr>
        <w:t>020-66336146 </w:t>
      </w:r>
      <w:r>
        <w:rPr/>
        <w:t>传真：</w:t>
      </w:r>
      <w:r>
        <w:rPr>
          <w:rFonts w:ascii="Times New Roman" w:eastAsia="Times New Roman"/>
        </w:rPr>
        <w:t>020-87555417</w:t>
      </w:r>
    </w:p>
    <w:p>
      <w:pPr>
        <w:pStyle w:val="BodyText"/>
        <w:ind w:left="1260"/>
      </w:pPr>
      <w:r>
        <w:rPr/>
        <w:t>联系人：陈姗姗</w:t>
      </w:r>
    </w:p>
    <w:p>
      <w:pPr>
        <w:spacing w:after="0"/>
        <w:sectPr>
          <w:pgSz w:w="11910" w:h="16840"/>
          <w:pgMar w:header="877" w:footer="995" w:top="1280" w:bottom="1180" w:left="1020" w:right="900"/>
        </w:sectPr>
      </w:pPr>
    </w:p>
    <w:p>
      <w:pPr>
        <w:pStyle w:val="BodyText"/>
        <w:rPr>
          <w:sz w:val="12"/>
        </w:rPr>
      </w:pPr>
    </w:p>
    <w:p>
      <w:pPr>
        <w:pStyle w:val="BodyText"/>
        <w:spacing w:before="78"/>
        <w:ind w:left="1260"/>
        <w:rPr>
          <w:rFonts w:ascii="Times New Roman" w:eastAsia="Times New Roman"/>
        </w:rPr>
      </w:pPr>
      <w:r>
        <w:rPr/>
        <w:t>网址：</w:t>
      </w:r>
      <w:hyperlink r:id="rId130">
        <w:r>
          <w:rPr>
            <w:rFonts w:ascii="Times New Roman" w:eastAsia="Times New Roman"/>
          </w:rPr>
          <w:t>www.gf.com.cn</w:t>
        </w:r>
      </w:hyperlink>
    </w:p>
    <w:p>
      <w:pPr>
        <w:pStyle w:val="BodyText"/>
        <w:spacing w:before="4"/>
        <w:rPr>
          <w:rFonts w:ascii="Times New Roman"/>
          <w:sz w:val="17"/>
        </w:rPr>
      </w:pPr>
    </w:p>
    <w:p>
      <w:pPr>
        <w:pStyle w:val="BodyText"/>
        <w:ind w:left="1260"/>
      </w:pPr>
      <w:r>
        <w:rPr/>
        <w:t>客户服务电话：</w:t>
      </w:r>
      <w:r>
        <w:rPr>
          <w:rFonts w:ascii="Times New Roman" w:eastAsia="Times New Roman"/>
        </w:rPr>
        <w:t>95575</w:t>
      </w:r>
      <w:r>
        <w:rPr/>
        <w:t>或致电各地营业网点</w:t>
      </w:r>
    </w:p>
    <w:p>
      <w:pPr>
        <w:pStyle w:val="BodyText"/>
        <w:spacing w:before="6"/>
        <w:rPr>
          <w:sz w:val="15"/>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中信证券股份有限公司</w:t>
      </w:r>
    </w:p>
    <w:p>
      <w:pPr>
        <w:pStyle w:val="BodyText"/>
        <w:spacing w:before="7"/>
        <w:rPr>
          <w:sz w:val="15"/>
        </w:rPr>
      </w:pPr>
    </w:p>
    <w:p>
      <w:pPr>
        <w:pStyle w:val="BodyText"/>
        <w:spacing w:line="417" w:lineRule="auto"/>
        <w:ind w:left="1260" w:right="2523"/>
      </w:pPr>
      <w:r>
        <w:rPr>
          <w:spacing w:val="-3"/>
        </w:rPr>
        <w:t>住所：广东省深圳市福田区中心三路</w:t>
      </w:r>
      <w:r>
        <w:rPr>
          <w:rFonts w:ascii="Times New Roman" w:eastAsia="Times New Roman"/>
        </w:rPr>
        <w:t>8</w:t>
      </w:r>
      <w:r>
        <w:rPr>
          <w:spacing w:val="-3"/>
        </w:rPr>
        <w:t>号卓越时代广场</w:t>
      </w:r>
      <w:r>
        <w:rPr/>
        <w:t>（</w:t>
      </w:r>
      <w:r>
        <w:rPr>
          <w:spacing w:val="-2"/>
        </w:rPr>
        <w:t>二期</w:t>
      </w:r>
      <w:r>
        <w:rPr>
          <w:spacing w:val="-3"/>
        </w:rPr>
        <w:t>）</w:t>
      </w:r>
      <w:r>
        <w:rPr/>
        <w:t>北座</w:t>
      </w:r>
      <w:r>
        <w:rPr>
          <w:spacing w:val="-3"/>
        </w:rPr>
        <w:t>办公地址：北京市朝阳区亮马桥路</w:t>
      </w:r>
      <w:r>
        <w:rPr>
          <w:rFonts w:ascii="Times New Roman" w:eastAsia="Times New Roman"/>
        </w:rPr>
        <w:t>48</w:t>
      </w:r>
      <w:r>
        <w:rPr>
          <w:spacing w:val="-3"/>
        </w:rPr>
        <w:t>号中信证券大厦</w:t>
      </w:r>
    </w:p>
    <w:p>
      <w:pPr>
        <w:pStyle w:val="BodyText"/>
        <w:spacing w:line="417" w:lineRule="auto"/>
        <w:ind w:left="1260" w:right="6830"/>
        <w:jc w:val="both"/>
        <w:rPr>
          <w:rFonts w:ascii="Times New Roman" w:eastAsia="Times New Roman"/>
        </w:rPr>
      </w:pPr>
      <w:r>
        <w:rPr/>
        <w:t>法定代表人：张佑君电话：</w:t>
      </w:r>
      <w:r>
        <w:rPr>
          <w:rFonts w:ascii="Times New Roman" w:eastAsia="Times New Roman"/>
        </w:rPr>
        <w:t>010-60838888 </w:t>
      </w:r>
      <w:r>
        <w:rPr/>
        <w:t>传真：</w:t>
      </w:r>
      <w:r>
        <w:rPr>
          <w:rFonts w:ascii="Times New Roman" w:eastAsia="Times New Roman"/>
        </w:rPr>
        <w:t>010-60836029</w:t>
      </w:r>
    </w:p>
    <w:p>
      <w:pPr>
        <w:pStyle w:val="BodyText"/>
        <w:ind w:left="1260"/>
      </w:pPr>
      <w:r>
        <w:rPr/>
        <w:t>联系人：郑慧</w:t>
      </w:r>
    </w:p>
    <w:p>
      <w:pPr>
        <w:pStyle w:val="BodyText"/>
        <w:spacing w:before="7"/>
        <w:rPr>
          <w:sz w:val="15"/>
        </w:rPr>
      </w:pPr>
    </w:p>
    <w:p>
      <w:pPr>
        <w:pStyle w:val="BodyText"/>
        <w:spacing w:line="417" w:lineRule="auto"/>
        <w:ind w:left="1260" w:right="6458"/>
        <w:rPr>
          <w:rFonts w:ascii="Times New Roman" w:eastAsia="Times New Roman"/>
        </w:rPr>
      </w:pPr>
      <w:r>
        <w:rPr/>
        <w:t>网址：</w:t>
      </w:r>
      <w:hyperlink r:id="rId131">
        <w:r>
          <w:rPr>
            <w:rFonts w:ascii="Times New Roman" w:eastAsia="Times New Roman"/>
          </w:rPr>
          <w:t>www.cs.ecitic.com </w:t>
        </w:r>
      </w:hyperlink>
      <w:r>
        <w:rPr/>
        <w:t>客户服务电话：</w:t>
      </w:r>
      <w:r>
        <w:rPr>
          <w:rFonts w:ascii="Times New Roman" w:eastAsia="Times New Roman"/>
        </w:rPr>
        <w:t>95548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中国银河证券股份有限公司</w:t>
      </w:r>
    </w:p>
    <w:p>
      <w:pPr>
        <w:pStyle w:val="BodyText"/>
        <w:spacing w:before="6"/>
        <w:rPr>
          <w:sz w:val="15"/>
        </w:rPr>
      </w:pPr>
    </w:p>
    <w:p>
      <w:pPr>
        <w:pStyle w:val="BodyText"/>
        <w:ind w:left="1260"/>
      </w:pPr>
      <w:r>
        <w:rPr/>
        <w:t>住所：北京市西城区金融大街</w:t>
      </w:r>
      <w:r>
        <w:rPr>
          <w:rFonts w:ascii="Times New Roman" w:eastAsia="Times New Roman"/>
        </w:rPr>
        <w:t>35</w:t>
      </w:r>
      <w:r>
        <w:rPr/>
        <w:t>号</w:t>
      </w:r>
      <w:r>
        <w:rPr>
          <w:rFonts w:ascii="Times New Roman" w:eastAsia="Times New Roman"/>
        </w:rPr>
        <w:t>2-6</w:t>
      </w:r>
      <w:r>
        <w:rPr/>
        <w:t>层</w:t>
      </w:r>
    </w:p>
    <w:p>
      <w:pPr>
        <w:pStyle w:val="BodyText"/>
        <w:spacing w:before="7"/>
        <w:rPr>
          <w:sz w:val="15"/>
        </w:rPr>
      </w:pPr>
    </w:p>
    <w:p>
      <w:pPr>
        <w:pStyle w:val="BodyText"/>
        <w:spacing w:line="417" w:lineRule="auto"/>
        <w:ind w:left="1260" w:right="3539"/>
      </w:pPr>
      <w:r>
        <w:rPr/>
        <w:t>办公地址：北京市西城区金融大街</w:t>
      </w:r>
      <w:r>
        <w:rPr>
          <w:rFonts w:ascii="Times New Roman" w:eastAsia="Times New Roman"/>
        </w:rPr>
        <w:t>35</w:t>
      </w:r>
      <w:r>
        <w:rPr/>
        <w:t>号国际企业大厦</w:t>
      </w:r>
      <w:r>
        <w:rPr>
          <w:rFonts w:ascii="Times New Roman" w:eastAsia="Times New Roman"/>
        </w:rPr>
        <w:t>C</w:t>
      </w:r>
      <w:r>
        <w:rPr/>
        <w:t>座法定代表人：陈共炎</w:t>
      </w:r>
    </w:p>
    <w:p>
      <w:pPr>
        <w:pStyle w:val="BodyText"/>
        <w:spacing w:line="417" w:lineRule="auto"/>
        <w:ind w:left="1260" w:right="6866"/>
        <w:rPr>
          <w:rFonts w:ascii="Times New Roman" w:eastAsia="Times New Roman"/>
        </w:rPr>
      </w:pPr>
      <w:r>
        <w:rPr/>
        <w:t>电话：</w:t>
      </w:r>
      <w:r>
        <w:rPr>
          <w:rFonts w:ascii="Times New Roman" w:eastAsia="Times New Roman"/>
        </w:rPr>
        <w:t>010-83574507 </w:t>
      </w:r>
      <w:r>
        <w:rPr/>
        <w:t>传真：</w:t>
      </w:r>
      <w:r>
        <w:rPr>
          <w:rFonts w:ascii="Times New Roman" w:eastAsia="Times New Roman"/>
        </w:rPr>
        <w:t>010-66568990</w:t>
      </w:r>
    </w:p>
    <w:p>
      <w:pPr>
        <w:pStyle w:val="BodyText"/>
        <w:spacing w:line="269" w:lineRule="exact"/>
        <w:ind w:left="1260"/>
      </w:pPr>
      <w:r>
        <w:rPr/>
        <w:t>联系人：辛国政</w:t>
      </w:r>
    </w:p>
    <w:p>
      <w:pPr>
        <w:pStyle w:val="BodyText"/>
        <w:spacing w:before="7"/>
        <w:rPr>
          <w:sz w:val="15"/>
        </w:rPr>
      </w:pPr>
    </w:p>
    <w:p>
      <w:pPr>
        <w:pStyle w:val="BodyText"/>
        <w:ind w:left="1260"/>
        <w:rPr>
          <w:rFonts w:ascii="Times New Roman" w:eastAsia="Times New Roman"/>
        </w:rPr>
      </w:pPr>
      <w:r>
        <w:rPr/>
        <w:t>网址：</w:t>
      </w:r>
      <w:hyperlink r:id="rId132">
        <w:r>
          <w:rPr>
            <w:rFonts w:ascii="Times New Roman" w:eastAsia="Times New Roman"/>
          </w:rPr>
          <w:t>www.chinastock.com.cn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4008-888-888</w:t>
      </w:r>
      <w:r>
        <w:rPr/>
        <w:t>或</w:t>
      </w:r>
      <w:r>
        <w:rPr>
          <w:rFonts w:ascii="Times New Roman" w:eastAsia="Times New Roman"/>
        </w:rPr>
        <w:t>95551</w:t>
      </w:r>
    </w:p>
    <w:p>
      <w:pPr>
        <w:pStyle w:val="BodyText"/>
        <w:spacing w:before="4"/>
        <w:rPr>
          <w:rFonts w:ascii="Times New Roman"/>
          <w:sz w:val="17"/>
        </w:rPr>
      </w:pP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海通证券股份有限公司 住所：上海市黄浦区广东路</w:t>
      </w:r>
      <w:r>
        <w:rPr>
          <w:rFonts w:ascii="Times New Roman" w:eastAsia="Times New Roman"/>
          <w:sz w:val="21"/>
        </w:rPr>
        <w:t>689</w:t>
      </w:r>
      <w:r>
        <w:rPr>
          <w:spacing w:val="-13"/>
          <w:sz w:val="21"/>
        </w:rPr>
        <w:t>号</w:t>
      </w:r>
    </w:p>
    <w:p>
      <w:pPr>
        <w:pStyle w:val="BodyText"/>
        <w:spacing w:line="417" w:lineRule="auto"/>
        <w:ind w:left="1260" w:right="5255"/>
      </w:pPr>
      <w:r>
        <w:rPr/>
        <w:t>办公地址：上海市黄浦区广东路</w:t>
      </w:r>
      <w:r>
        <w:rPr>
          <w:rFonts w:ascii="Times New Roman" w:eastAsia="Times New Roman"/>
        </w:rPr>
        <w:t>689</w:t>
      </w:r>
      <w:r>
        <w:rPr/>
        <w:t>号法定代表人：周杰</w:t>
      </w:r>
    </w:p>
    <w:p>
      <w:pPr>
        <w:pStyle w:val="BodyText"/>
        <w:spacing w:line="417" w:lineRule="auto"/>
        <w:ind w:left="1260" w:right="6866"/>
        <w:rPr>
          <w:rFonts w:ascii="Times New Roman" w:eastAsia="Times New Roman"/>
        </w:rPr>
      </w:pPr>
      <w:r>
        <w:rPr/>
        <w:t>电话：</w:t>
      </w:r>
      <w:r>
        <w:rPr>
          <w:rFonts w:ascii="Times New Roman" w:eastAsia="Times New Roman"/>
        </w:rPr>
        <w:t>021-23219000 </w:t>
      </w:r>
      <w:r>
        <w:rPr/>
        <w:t>传真：</w:t>
      </w:r>
      <w:r>
        <w:rPr>
          <w:rFonts w:ascii="Times New Roman" w:eastAsia="Times New Roman"/>
        </w:rPr>
        <w:t>021-63410456</w:t>
      </w:r>
    </w:p>
    <w:p>
      <w:pPr>
        <w:pStyle w:val="BodyText"/>
        <w:spacing w:line="417" w:lineRule="auto"/>
        <w:ind w:left="1260" w:right="6621"/>
        <w:rPr>
          <w:rFonts w:ascii="Times New Roman" w:eastAsia="Times New Roman"/>
        </w:rPr>
      </w:pPr>
      <w:r>
        <w:rPr/>
        <w:t>联系人：金芸、李笑鸣网址：</w:t>
      </w:r>
      <w:hyperlink r:id="rId133">
        <w:r>
          <w:rPr>
            <w:rFonts w:ascii="Times New Roman" w:eastAsia="Times New Roman"/>
          </w:rPr>
          <w:t>www.htsec.com</w:t>
        </w:r>
      </w:hyperlink>
    </w:p>
    <w:p>
      <w:pPr>
        <w:pStyle w:val="BodyText"/>
        <w:ind w:left="1260"/>
        <w:rPr>
          <w:rFonts w:ascii="Times New Roman" w:eastAsia="Times New Roman"/>
        </w:rPr>
      </w:pPr>
      <w:r>
        <w:rPr/>
        <w:t>客户服务电话：</w:t>
      </w:r>
      <w:r>
        <w:rPr>
          <w:rFonts w:ascii="Times New Roman" w:eastAsia="Times New Roman"/>
        </w:rPr>
        <w:t>95553</w:t>
      </w:r>
      <w:r>
        <w:rPr/>
        <w:t>、</w:t>
      </w:r>
      <w:r>
        <w:rPr>
          <w:rFonts w:ascii="Times New Roman" w:eastAsia="Times New Roman"/>
        </w:rPr>
        <w:t>400-888-8001</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申万宏源证券有限公司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before="78"/>
        <w:ind w:left="1260"/>
      </w:pPr>
      <w:r>
        <w:rPr/>
        <w:t>住所：上海市徐汇区长乐路</w:t>
      </w:r>
      <w:r>
        <w:rPr>
          <w:rFonts w:ascii="Times New Roman" w:eastAsia="Times New Roman"/>
        </w:rPr>
        <w:t>989</w:t>
      </w:r>
      <w:r>
        <w:rPr/>
        <w:t>号</w:t>
      </w:r>
      <w:r>
        <w:rPr>
          <w:rFonts w:ascii="Times New Roman" w:eastAsia="Times New Roman"/>
        </w:rPr>
        <w:t>45</w:t>
      </w:r>
      <w:r>
        <w:rPr/>
        <w:t>层</w:t>
      </w:r>
    </w:p>
    <w:p>
      <w:pPr>
        <w:pStyle w:val="BodyText"/>
        <w:spacing w:before="7"/>
        <w:rPr>
          <w:sz w:val="15"/>
        </w:rPr>
      </w:pPr>
    </w:p>
    <w:p>
      <w:pPr>
        <w:pStyle w:val="BodyText"/>
        <w:spacing w:line="417" w:lineRule="auto"/>
        <w:ind w:left="1260" w:right="3786"/>
      </w:pPr>
      <w:r>
        <w:rPr/>
        <w:t>办公地址：上海市徐汇区长乐路</w:t>
      </w:r>
      <w:r>
        <w:rPr>
          <w:rFonts w:ascii="Times New Roman" w:eastAsia="Times New Roman"/>
        </w:rPr>
        <w:t>989</w:t>
      </w:r>
      <w:r>
        <w:rPr/>
        <w:t>号</w:t>
      </w:r>
      <w:r>
        <w:rPr>
          <w:rFonts w:ascii="Times New Roman" w:eastAsia="Times New Roman"/>
        </w:rPr>
        <w:t>45</w:t>
      </w:r>
      <w:r>
        <w:rPr/>
        <w:t>层（</w:t>
      </w:r>
      <w:r>
        <w:rPr>
          <w:rFonts w:ascii="Times New Roman" w:eastAsia="Times New Roman"/>
        </w:rPr>
        <w:t>200031</w:t>
      </w:r>
      <w:r>
        <w:rPr/>
        <w:t>） 法定代表人：李梅</w:t>
      </w:r>
    </w:p>
    <w:p>
      <w:pPr>
        <w:pStyle w:val="BodyText"/>
        <w:spacing w:line="417" w:lineRule="auto"/>
        <w:ind w:left="1260" w:right="6866"/>
        <w:rPr>
          <w:rFonts w:ascii="Times New Roman" w:eastAsia="Times New Roman"/>
        </w:rPr>
      </w:pPr>
      <w:r>
        <w:rPr/>
        <w:t>电话：</w:t>
      </w:r>
      <w:r>
        <w:rPr>
          <w:rFonts w:ascii="Times New Roman" w:eastAsia="Times New Roman"/>
        </w:rPr>
        <w:t>021-33389888 </w:t>
      </w:r>
      <w:r>
        <w:rPr/>
        <w:t>传真：</w:t>
      </w:r>
      <w:r>
        <w:rPr>
          <w:rFonts w:ascii="Times New Roman" w:eastAsia="Times New Roman"/>
        </w:rPr>
        <w:t>021-33388224</w:t>
      </w:r>
    </w:p>
    <w:p>
      <w:pPr>
        <w:pStyle w:val="BodyText"/>
        <w:spacing w:line="269" w:lineRule="exact"/>
        <w:ind w:left="1260"/>
      </w:pPr>
      <w:r>
        <w:rPr/>
        <w:t>联系人：陈宇</w:t>
      </w:r>
    </w:p>
    <w:p>
      <w:pPr>
        <w:pStyle w:val="BodyText"/>
        <w:spacing w:before="6"/>
        <w:rPr>
          <w:sz w:val="15"/>
        </w:rPr>
      </w:pPr>
    </w:p>
    <w:p>
      <w:pPr>
        <w:pStyle w:val="BodyText"/>
        <w:ind w:left="1260"/>
        <w:rPr>
          <w:rFonts w:ascii="Times New Roman" w:eastAsia="Times New Roman"/>
        </w:rPr>
      </w:pPr>
      <w:r>
        <w:rPr/>
        <w:t>网址：</w:t>
      </w:r>
      <w:hyperlink r:id="rId134">
        <w:r>
          <w:rPr>
            <w:rFonts w:ascii="Times New Roman" w:eastAsia="Times New Roman"/>
          </w:rPr>
          <w:t>www.swhysc.com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95523</w:t>
      </w:r>
      <w:r>
        <w:rPr/>
        <w:t>、</w:t>
      </w:r>
      <w:r>
        <w:rPr>
          <w:rFonts w:ascii="Times New Roman" w:eastAsia="Times New Roman"/>
        </w:rPr>
        <w:t>400-889-5523</w:t>
      </w:r>
    </w:p>
    <w:p>
      <w:pPr>
        <w:pStyle w:val="BodyText"/>
        <w:spacing w:before="4"/>
        <w:rPr>
          <w:rFonts w:ascii="Times New Roman"/>
          <w:sz w:val="17"/>
        </w:rPr>
      </w:pPr>
    </w:p>
    <w:p>
      <w:pPr>
        <w:pStyle w:val="ListParagraph"/>
        <w:numPr>
          <w:ilvl w:val="0"/>
          <w:numId w:val="8"/>
        </w:numPr>
        <w:tabs>
          <w:tab w:pos="1999" w:val="left" w:leader="none"/>
        </w:tabs>
        <w:spacing w:line="417" w:lineRule="auto" w:before="0" w:after="0"/>
        <w:ind w:left="1260" w:right="5886" w:firstLine="0"/>
        <w:jc w:val="left"/>
        <w:rPr>
          <w:sz w:val="21"/>
        </w:rPr>
      </w:pPr>
      <w:r>
        <w:rPr>
          <w:spacing w:val="-4"/>
          <w:sz w:val="21"/>
        </w:rPr>
        <w:t>兴业证券股份有限公司</w:t>
      </w:r>
      <w:r>
        <w:rPr>
          <w:spacing w:val="-3"/>
          <w:sz w:val="21"/>
        </w:rPr>
        <w:t>住所：福州市湖东路</w:t>
      </w:r>
      <w:r>
        <w:rPr>
          <w:rFonts w:ascii="Times New Roman" w:eastAsia="Times New Roman"/>
          <w:sz w:val="21"/>
        </w:rPr>
        <w:t>268</w:t>
      </w:r>
      <w:r>
        <w:rPr>
          <w:sz w:val="21"/>
        </w:rPr>
        <w:t>号</w:t>
      </w:r>
    </w:p>
    <w:p>
      <w:pPr>
        <w:pStyle w:val="BodyText"/>
        <w:spacing w:line="417" w:lineRule="auto"/>
        <w:ind w:left="1260" w:right="5149"/>
      </w:pPr>
      <w:r>
        <w:rPr/>
        <w:t>办公地址：上海市浦东新区长柳路</w:t>
      </w:r>
      <w:r>
        <w:rPr>
          <w:rFonts w:ascii="Times New Roman" w:eastAsia="Times New Roman"/>
        </w:rPr>
        <w:t>36</w:t>
      </w:r>
      <w:r>
        <w:rPr/>
        <w:t>号法定代表人：杨华辉</w:t>
      </w:r>
    </w:p>
    <w:p>
      <w:pPr>
        <w:pStyle w:val="BodyText"/>
        <w:spacing w:line="417" w:lineRule="auto"/>
        <w:ind w:left="1260" w:right="6866"/>
        <w:rPr>
          <w:rFonts w:ascii="Times New Roman" w:eastAsia="Times New Roman"/>
        </w:rPr>
      </w:pPr>
      <w:r>
        <w:rPr/>
        <w:t>电话：</w:t>
      </w:r>
      <w:r>
        <w:rPr>
          <w:rFonts w:ascii="Times New Roman" w:eastAsia="Times New Roman"/>
        </w:rPr>
        <w:t>021-38565547 </w:t>
      </w:r>
      <w:r>
        <w:rPr/>
        <w:t>传真：</w:t>
      </w:r>
      <w:r>
        <w:rPr>
          <w:rFonts w:ascii="Times New Roman" w:eastAsia="Times New Roman"/>
        </w:rPr>
        <w:t>021-38565955</w:t>
      </w:r>
    </w:p>
    <w:p>
      <w:pPr>
        <w:pStyle w:val="BodyText"/>
        <w:ind w:left="1260"/>
      </w:pPr>
      <w:r>
        <w:rPr/>
        <w:t>联系人：乔琳雪</w:t>
      </w:r>
    </w:p>
    <w:p>
      <w:pPr>
        <w:pStyle w:val="BodyText"/>
        <w:spacing w:before="6"/>
        <w:rPr>
          <w:sz w:val="15"/>
        </w:rPr>
      </w:pPr>
    </w:p>
    <w:p>
      <w:pPr>
        <w:pStyle w:val="BodyText"/>
        <w:spacing w:line="417" w:lineRule="auto"/>
        <w:ind w:left="1260" w:right="6483"/>
        <w:rPr>
          <w:rFonts w:ascii="Times New Roman" w:eastAsia="Times New Roman"/>
        </w:rPr>
      </w:pPr>
      <w:r>
        <w:rPr/>
        <w:t>网址：</w:t>
      </w:r>
      <w:hyperlink r:id="rId135">
        <w:r>
          <w:rPr>
            <w:rFonts w:ascii="Times New Roman" w:eastAsia="Times New Roman"/>
          </w:rPr>
          <w:t>www.xyzq.com.cn </w:t>
        </w:r>
      </w:hyperlink>
      <w:r>
        <w:rPr/>
        <w:t>客户服务电话：</w:t>
      </w:r>
      <w:r>
        <w:rPr>
          <w:rFonts w:ascii="Times New Roman" w:eastAsia="Times New Roman"/>
        </w:rPr>
        <w:t>95562</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长江证券股份有限公司</w:t>
      </w:r>
    </w:p>
    <w:p>
      <w:pPr>
        <w:pStyle w:val="BodyText"/>
        <w:spacing w:before="7"/>
        <w:rPr>
          <w:sz w:val="15"/>
        </w:rPr>
      </w:pPr>
    </w:p>
    <w:p>
      <w:pPr>
        <w:pStyle w:val="BodyText"/>
        <w:ind w:left="1260"/>
      </w:pPr>
      <w:r>
        <w:rPr/>
        <w:t>住所：武汉市新华路特</w:t>
      </w:r>
      <w:r>
        <w:rPr>
          <w:rFonts w:ascii="Times New Roman" w:eastAsia="Times New Roman"/>
        </w:rPr>
        <w:t>8</w:t>
      </w:r>
      <w:r>
        <w:rPr/>
        <w:t>号长江证券大厦</w:t>
      </w:r>
    </w:p>
    <w:p>
      <w:pPr>
        <w:pStyle w:val="BodyText"/>
        <w:spacing w:before="6"/>
        <w:rPr>
          <w:sz w:val="15"/>
        </w:rPr>
      </w:pPr>
    </w:p>
    <w:p>
      <w:pPr>
        <w:pStyle w:val="BodyText"/>
        <w:spacing w:line="417" w:lineRule="auto" w:before="1"/>
        <w:ind w:left="1260" w:right="4623"/>
      </w:pPr>
      <w:r>
        <w:rPr/>
        <w:t>办公地址：武汉市新华路特</w:t>
      </w:r>
      <w:r>
        <w:rPr>
          <w:rFonts w:ascii="Times New Roman" w:eastAsia="Times New Roman"/>
        </w:rPr>
        <w:t>8</w:t>
      </w:r>
      <w:r>
        <w:rPr/>
        <w:t>号长江证券大厦法定代表人：杨泽柱</w:t>
      </w:r>
    </w:p>
    <w:p>
      <w:pPr>
        <w:pStyle w:val="BodyText"/>
        <w:spacing w:line="417" w:lineRule="auto"/>
        <w:ind w:left="1260" w:right="6866"/>
        <w:rPr>
          <w:rFonts w:ascii="Times New Roman" w:eastAsia="Times New Roman"/>
        </w:rPr>
      </w:pPr>
      <w:r>
        <w:rPr/>
        <w:t>电话：</w:t>
      </w:r>
      <w:r>
        <w:rPr>
          <w:rFonts w:ascii="Times New Roman" w:eastAsia="Times New Roman"/>
        </w:rPr>
        <w:t>027-65799999 </w:t>
      </w:r>
      <w:r>
        <w:rPr/>
        <w:t>传真：</w:t>
      </w:r>
      <w:r>
        <w:rPr>
          <w:rFonts w:ascii="Times New Roman" w:eastAsia="Times New Roman"/>
        </w:rPr>
        <w:t>027-85481900</w:t>
      </w:r>
    </w:p>
    <w:p>
      <w:pPr>
        <w:pStyle w:val="BodyText"/>
        <w:spacing w:line="269" w:lineRule="exact"/>
        <w:ind w:left="1260"/>
      </w:pPr>
      <w:r>
        <w:rPr/>
        <w:t>联系人：李良</w:t>
      </w:r>
    </w:p>
    <w:p>
      <w:pPr>
        <w:pStyle w:val="BodyText"/>
        <w:spacing w:before="6"/>
        <w:rPr>
          <w:sz w:val="15"/>
        </w:rPr>
      </w:pPr>
    </w:p>
    <w:p>
      <w:pPr>
        <w:pStyle w:val="BodyText"/>
        <w:spacing w:before="1"/>
        <w:ind w:left="1260"/>
        <w:rPr>
          <w:rFonts w:ascii="Times New Roman" w:eastAsia="Times New Roman"/>
        </w:rPr>
      </w:pPr>
      <w:r>
        <w:rPr/>
        <w:t>网址：</w:t>
      </w:r>
      <w:hyperlink r:id="rId136">
        <w:r>
          <w:rPr>
            <w:rFonts w:ascii="Times New Roman" w:eastAsia="Times New Roman"/>
          </w:rPr>
          <w:t>www.95579.com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95579</w:t>
      </w:r>
      <w:r>
        <w:rPr/>
        <w:t>、</w:t>
      </w:r>
      <w:r>
        <w:rPr>
          <w:rFonts w:ascii="Times New Roman" w:eastAsia="Times New Roman"/>
        </w:rPr>
        <w:t>400-888-8999</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安信证券股份有限公司</w:t>
      </w:r>
    </w:p>
    <w:p>
      <w:pPr>
        <w:pStyle w:val="BodyText"/>
        <w:spacing w:before="7"/>
        <w:rPr>
          <w:sz w:val="15"/>
        </w:rPr>
      </w:pPr>
    </w:p>
    <w:p>
      <w:pPr>
        <w:pStyle w:val="BodyText"/>
        <w:ind w:left="1260"/>
      </w:pPr>
      <w:r>
        <w:rPr/>
        <w:t>住所：深圳市福田区金田路</w:t>
      </w:r>
      <w:r>
        <w:rPr>
          <w:rFonts w:ascii="Times New Roman" w:eastAsia="Times New Roman"/>
        </w:rPr>
        <w:t>4018</w:t>
      </w:r>
      <w:r>
        <w:rPr/>
        <w:t>号安联大厦</w:t>
      </w:r>
      <w:r>
        <w:rPr>
          <w:rFonts w:ascii="Times New Roman" w:eastAsia="Times New Roman"/>
        </w:rPr>
        <w:t>35</w:t>
      </w:r>
      <w:r>
        <w:rPr/>
        <w:t>层、</w:t>
      </w:r>
      <w:r>
        <w:rPr>
          <w:rFonts w:ascii="Times New Roman" w:eastAsia="Times New Roman"/>
        </w:rPr>
        <w:t>28</w:t>
      </w:r>
      <w:r>
        <w:rPr/>
        <w:t>层</w:t>
      </w:r>
      <w:r>
        <w:rPr>
          <w:rFonts w:ascii="Times New Roman" w:eastAsia="Times New Roman"/>
        </w:rPr>
        <w:t>A02</w:t>
      </w:r>
      <w:r>
        <w:rPr/>
        <w:t>单元</w:t>
      </w:r>
    </w:p>
    <w:p>
      <w:pPr>
        <w:pStyle w:val="BodyText"/>
        <w:spacing w:before="7"/>
        <w:rPr>
          <w:sz w:val="15"/>
        </w:rPr>
      </w:pPr>
    </w:p>
    <w:p>
      <w:pPr>
        <w:pStyle w:val="BodyText"/>
        <w:spacing w:line="417" w:lineRule="auto"/>
        <w:ind w:left="1260" w:right="2475"/>
      </w:pPr>
      <w:r>
        <w:rPr/>
        <w:t>办公地址：深圳市福田区金田路</w:t>
      </w:r>
      <w:r>
        <w:rPr>
          <w:rFonts w:ascii="Times New Roman" w:eastAsia="Times New Roman"/>
        </w:rPr>
        <w:t>4018</w:t>
      </w:r>
      <w:r>
        <w:rPr/>
        <w:t>号安联大厦</w:t>
      </w:r>
      <w:r>
        <w:rPr>
          <w:rFonts w:ascii="Times New Roman" w:eastAsia="Times New Roman"/>
        </w:rPr>
        <w:t>35</w:t>
      </w:r>
      <w:r>
        <w:rPr/>
        <w:t>层、</w:t>
      </w:r>
      <w:r>
        <w:rPr>
          <w:rFonts w:ascii="Times New Roman" w:eastAsia="Times New Roman"/>
        </w:rPr>
        <w:t>28</w:t>
      </w:r>
      <w:r>
        <w:rPr/>
        <w:t>层</w:t>
      </w:r>
      <w:r>
        <w:rPr>
          <w:rFonts w:ascii="Times New Roman" w:eastAsia="Times New Roman"/>
        </w:rPr>
        <w:t>A02</w:t>
      </w:r>
      <w:r>
        <w:rPr/>
        <w:t>单元法定代表人：黄炎勋</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1260" w:right="6760"/>
        <w:rPr>
          <w:rFonts w:ascii="Times New Roman" w:eastAsia="Times New Roman"/>
        </w:rPr>
      </w:pPr>
      <w:r>
        <w:rPr/>
        <w:t>电话：</w:t>
      </w:r>
      <w:r>
        <w:rPr>
          <w:rFonts w:ascii="Times New Roman" w:eastAsia="Times New Roman"/>
        </w:rPr>
        <w:t>0755-82558305 </w:t>
      </w:r>
      <w:r>
        <w:rPr/>
        <w:t>传真：</w:t>
      </w:r>
      <w:r>
        <w:rPr>
          <w:rFonts w:ascii="Times New Roman" w:eastAsia="Times New Roman"/>
        </w:rPr>
        <w:t>0755-82558355</w:t>
      </w:r>
    </w:p>
    <w:p>
      <w:pPr>
        <w:pStyle w:val="BodyText"/>
        <w:spacing w:line="269" w:lineRule="exact"/>
        <w:ind w:left="1260"/>
      </w:pPr>
      <w:r>
        <w:rPr/>
        <w:t>联系人：陈剑虹</w:t>
      </w:r>
    </w:p>
    <w:p>
      <w:pPr>
        <w:pStyle w:val="BodyText"/>
        <w:spacing w:before="7"/>
        <w:rPr>
          <w:sz w:val="15"/>
        </w:rPr>
      </w:pPr>
    </w:p>
    <w:p>
      <w:pPr>
        <w:pStyle w:val="BodyText"/>
        <w:spacing w:line="417" w:lineRule="auto"/>
        <w:ind w:left="1260" w:right="6249"/>
        <w:rPr>
          <w:rFonts w:ascii="Times New Roman" w:eastAsia="Times New Roman"/>
        </w:rPr>
      </w:pPr>
      <w:r>
        <w:rPr/>
        <w:t>网址：</w:t>
      </w:r>
      <w:hyperlink r:id="rId137">
        <w:r>
          <w:rPr>
            <w:rFonts w:ascii="Times New Roman" w:eastAsia="Times New Roman"/>
          </w:rPr>
          <w:t>www.essence.com.cn </w:t>
        </w:r>
      </w:hyperlink>
      <w:r>
        <w:rPr/>
        <w:t>客户服务电话：</w:t>
      </w:r>
      <w:r>
        <w:rPr>
          <w:rFonts w:ascii="Times New Roman" w:eastAsia="Times New Roman"/>
        </w:rPr>
        <w:t>95517</w:t>
      </w:r>
    </w:p>
    <w:p>
      <w:pPr>
        <w:pStyle w:val="ListParagraph"/>
        <w:numPr>
          <w:ilvl w:val="0"/>
          <w:numId w:val="8"/>
        </w:numPr>
        <w:tabs>
          <w:tab w:pos="1999" w:val="left" w:leader="none"/>
        </w:tabs>
        <w:spacing w:line="417" w:lineRule="auto" w:before="0" w:after="0"/>
        <w:ind w:left="1260" w:right="5884" w:firstLine="0"/>
        <w:jc w:val="left"/>
        <w:rPr>
          <w:sz w:val="21"/>
        </w:rPr>
      </w:pPr>
      <w:r>
        <w:rPr>
          <w:spacing w:val="-4"/>
          <w:sz w:val="21"/>
        </w:rPr>
        <w:t>西南证券股份有限公司</w:t>
      </w:r>
      <w:r>
        <w:rPr>
          <w:spacing w:val="-3"/>
          <w:sz w:val="21"/>
        </w:rPr>
        <w:t>住所：重庆市江北区桥北苑</w:t>
      </w:r>
      <w:r>
        <w:rPr>
          <w:rFonts w:ascii="Times New Roman" w:eastAsia="Times New Roman"/>
          <w:sz w:val="21"/>
        </w:rPr>
        <w:t>8</w:t>
      </w:r>
      <w:r>
        <w:rPr>
          <w:spacing w:val="-14"/>
          <w:sz w:val="21"/>
        </w:rPr>
        <w:t>号</w:t>
      </w:r>
    </w:p>
    <w:p>
      <w:pPr>
        <w:pStyle w:val="BodyText"/>
        <w:spacing w:line="417" w:lineRule="auto"/>
        <w:ind w:left="1260" w:right="4203"/>
      </w:pPr>
      <w:r>
        <w:rPr/>
        <w:t>办公地址：重庆市江北区桥北苑</w:t>
      </w:r>
      <w:r>
        <w:rPr>
          <w:rFonts w:ascii="Times New Roman" w:eastAsia="Times New Roman"/>
        </w:rPr>
        <w:t>8</w:t>
      </w:r>
      <w:r>
        <w:rPr/>
        <w:t>号西南证券大厦法定代表人：廖庆轩</w:t>
      </w:r>
    </w:p>
    <w:p>
      <w:pPr>
        <w:pStyle w:val="BodyText"/>
        <w:spacing w:line="417" w:lineRule="auto"/>
        <w:ind w:left="1260" w:right="6866"/>
        <w:rPr>
          <w:rFonts w:ascii="Times New Roman" w:eastAsia="Times New Roman"/>
        </w:rPr>
      </w:pPr>
      <w:r>
        <w:rPr/>
        <w:t>电话：</w:t>
      </w:r>
      <w:r>
        <w:rPr>
          <w:rFonts w:ascii="Times New Roman" w:eastAsia="Times New Roman"/>
        </w:rPr>
        <w:t>023-67616310 </w:t>
      </w:r>
      <w:r>
        <w:rPr/>
        <w:t>传真：</w:t>
      </w:r>
      <w:r>
        <w:rPr>
          <w:rFonts w:ascii="Times New Roman" w:eastAsia="Times New Roman"/>
        </w:rPr>
        <w:t>023-63786212</w:t>
      </w:r>
    </w:p>
    <w:p>
      <w:pPr>
        <w:pStyle w:val="BodyText"/>
        <w:spacing w:line="269" w:lineRule="exact"/>
        <w:ind w:left="1260"/>
      </w:pPr>
      <w:r>
        <w:rPr/>
        <w:t>联系人：周青</w:t>
      </w:r>
    </w:p>
    <w:p>
      <w:pPr>
        <w:pStyle w:val="BodyText"/>
        <w:spacing w:before="6"/>
        <w:rPr>
          <w:sz w:val="15"/>
        </w:rPr>
      </w:pPr>
    </w:p>
    <w:p>
      <w:pPr>
        <w:pStyle w:val="BodyText"/>
        <w:ind w:left="1260"/>
        <w:rPr>
          <w:rFonts w:ascii="Times New Roman" w:eastAsia="Times New Roman"/>
        </w:rPr>
      </w:pPr>
      <w:r>
        <w:rPr/>
        <w:t>网址：</w:t>
      </w:r>
      <w:hyperlink r:id="rId138">
        <w:r>
          <w:rPr>
            <w:rFonts w:ascii="Times New Roman" w:eastAsia="Times New Roman"/>
          </w:rPr>
          <w:t>www.swsc.com.cn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400-809-6096</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湘财证券股份有限公司</w:t>
      </w:r>
    </w:p>
    <w:p>
      <w:pPr>
        <w:pStyle w:val="BodyText"/>
        <w:spacing w:before="6"/>
        <w:rPr>
          <w:sz w:val="15"/>
        </w:rPr>
      </w:pPr>
    </w:p>
    <w:p>
      <w:pPr>
        <w:pStyle w:val="BodyText"/>
        <w:ind w:left="1260"/>
      </w:pPr>
      <w:r>
        <w:rPr/>
        <w:t>住所：湖南省长沙市天心区湘府中路</w:t>
      </w:r>
      <w:r>
        <w:rPr>
          <w:rFonts w:ascii="Times New Roman" w:eastAsia="Times New Roman"/>
        </w:rPr>
        <w:t>198</w:t>
      </w:r>
      <w:r>
        <w:rPr/>
        <w:t>号新南城商务中心</w:t>
      </w:r>
      <w:r>
        <w:rPr>
          <w:rFonts w:ascii="Times New Roman" w:eastAsia="Times New Roman"/>
        </w:rPr>
        <w:t>A</w:t>
      </w:r>
      <w:r>
        <w:rPr/>
        <w:t>栋</w:t>
      </w:r>
      <w:r>
        <w:rPr>
          <w:rFonts w:ascii="Times New Roman" w:eastAsia="Times New Roman"/>
        </w:rPr>
        <w:t>11</w:t>
      </w:r>
      <w:r>
        <w:rPr/>
        <w:t>楼</w:t>
      </w:r>
    </w:p>
    <w:p>
      <w:pPr>
        <w:pStyle w:val="BodyText"/>
        <w:spacing w:before="7"/>
        <w:rPr>
          <w:sz w:val="15"/>
        </w:rPr>
      </w:pPr>
    </w:p>
    <w:p>
      <w:pPr>
        <w:pStyle w:val="BodyText"/>
        <w:spacing w:line="417" w:lineRule="auto"/>
        <w:ind w:left="1260" w:right="2171"/>
      </w:pPr>
      <w:r>
        <w:rPr>
          <w:spacing w:val="-3"/>
        </w:rPr>
        <w:t>办公地址：湖南省长沙市天心区湘府中路</w:t>
      </w:r>
      <w:r>
        <w:rPr>
          <w:rFonts w:ascii="Times New Roman" w:eastAsia="Times New Roman"/>
        </w:rPr>
        <w:t>198</w:t>
      </w:r>
      <w:r>
        <w:rPr>
          <w:spacing w:val="-3"/>
        </w:rPr>
        <w:t>号新南城商务中心</w:t>
      </w:r>
      <w:r>
        <w:rPr>
          <w:rFonts w:ascii="Times New Roman" w:eastAsia="Times New Roman"/>
        </w:rPr>
        <w:t>A</w:t>
      </w:r>
      <w:r>
        <w:rPr/>
        <w:t>栋</w:t>
      </w:r>
      <w:r>
        <w:rPr>
          <w:rFonts w:ascii="Times New Roman" w:eastAsia="Times New Roman"/>
          <w:spacing w:val="-5"/>
        </w:rPr>
        <w:t>11</w:t>
      </w:r>
      <w:r>
        <w:rPr/>
        <w:t>楼</w:t>
      </w:r>
      <w:r>
        <w:rPr>
          <w:spacing w:val="-3"/>
        </w:rPr>
        <w:t>法定代表人：孙永祥</w:t>
      </w:r>
    </w:p>
    <w:p>
      <w:pPr>
        <w:pStyle w:val="BodyText"/>
        <w:spacing w:line="417" w:lineRule="auto"/>
        <w:ind w:left="1260" w:right="6376"/>
        <w:rPr>
          <w:rFonts w:ascii="Times New Roman" w:eastAsia="Times New Roman"/>
        </w:rPr>
      </w:pPr>
      <w:r>
        <w:rPr>
          <w:spacing w:val="-1"/>
        </w:rPr>
        <w:t>电话：</w:t>
      </w:r>
      <w:r>
        <w:rPr>
          <w:rFonts w:ascii="Times New Roman" w:eastAsia="Times New Roman"/>
          <w:spacing w:val="-1"/>
        </w:rPr>
        <w:t>021-38784580-8918 </w:t>
      </w:r>
      <w:r>
        <w:rPr/>
        <w:t>传真：</w:t>
      </w:r>
      <w:r>
        <w:rPr>
          <w:rFonts w:ascii="Times New Roman" w:eastAsia="Times New Roman"/>
        </w:rPr>
        <w:t>021-68865680</w:t>
      </w:r>
    </w:p>
    <w:p>
      <w:pPr>
        <w:pStyle w:val="BodyText"/>
        <w:spacing w:line="269" w:lineRule="exact"/>
        <w:ind w:left="1260"/>
      </w:pPr>
      <w:r>
        <w:rPr/>
        <w:t>联系人：李欣</w:t>
      </w:r>
    </w:p>
    <w:p>
      <w:pPr>
        <w:pStyle w:val="BodyText"/>
        <w:spacing w:before="7"/>
        <w:rPr>
          <w:sz w:val="15"/>
        </w:rPr>
      </w:pPr>
    </w:p>
    <w:p>
      <w:pPr>
        <w:pStyle w:val="BodyText"/>
        <w:spacing w:line="417" w:lineRule="auto"/>
        <w:ind w:left="1260" w:right="6727"/>
        <w:rPr>
          <w:rFonts w:ascii="Times New Roman" w:eastAsia="Times New Roman"/>
        </w:rPr>
      </w:pPr>
      <w:r>
        <w:rPr/>
        <w:t>网址：</w:t>
      </w:r>
      <w:hyperlink r:id="rId139">
        <w:r>
          <w:rPr>
            <w:rFonts w:ascii="Times New Roman" w:eastAsia="Times New Roman"/>
          </w:rPr>
          <w:t>www.xcsc.com </w:t>
        </w:r>
      </w:hyperlink>
      <w:r>
        <w:rPr/>
        <w:t>客户服务电话：</w:t>
      </w:r>
      <w:r>
        <w:rPr>
          <w:rFonts w:ascii="Times New Roman" w:eastAsia="Times New Roman"/>
        </w:rPr>
        <w:t>95351</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万联证券股份有限公司</w:t>
      </w:r>
    </w:p>
    <w:p>
      <w:pPr>
        <w:pStyle w:val="BodyText"/>
        <w:spacing w:before="7"/>
        <w:rPr>
          <w:sz w:val="15"/>
        </w:rPr>
      </w:pPr>
    </w:p>
    <w:p>
      <w:pPr>
        <w:pStyle w:val="BodyText"/>
        <w:ind w:left="1260"/>
      </w:pPr>
      <w:r>
        <w:rPr/>
        <w:t>住所：广州市天河区珠江东路</w:t>
      </w:r>
      <w:r>
        <w:rPr>
          <w:rFonts w:ascii="Times New Roman" w:eastAsia="Times New Roman"/>
        </w:rPr>
        <w:t>11</w:t>
      </w:r>
      <w:r>
        <w:rPr/>
        <w:t>号高德置地广场</w:t>
      </w:r>
      <w:r>
        <w:rPr>
          <w:rFonts w:ascii="Times New Roman" w:eastAsia="Times New Roman"/>
        </w:rPr>
        <w:t>F</w:t>
      </w:r>
      <w:r>
        <w:rPr/>
        <w:t>座</w:t>
      </w:r>
      <w:r>
        <w:rPr>
          <w:rFonts w:ascii="Times New Roman" w:eastAsia="Times New Roman"/>
        </w:rPr>
        <w:t>18</w:t>
      </w:r>
      <w:r>
        <w:rPr/>
        <w:t>、</w:t>
      </w:r>
      <w:r>
        <w:rPr>
          <w:rFonts w:ascii="Times New Roman" w:eastAsia="Times New Roman"/>
        </w:rPr>
        <w:t>19</w:t>
      </w:r>
      <w:r>
        <w:rPr/>
        <w:t>楼</w:t>
      </w:r>
    </w:p>
    <w:p>
      <w:pPr>
        <w:pStyle w:val="BodyText"/>
        <w:spacing w:before="6"/>
        <w:rPr>
          <w:sz w:val="15"/>
        </w:rPr>
      </w:pPr>
    </w:p>
    <w:p>
      <w:pPr>
        <w:pStyle w:val="BodyText"/>
        <w:spacing w:line="417" w:lineRule="auto" w:before="1"/>
        <w:ind w:left="1260" w:right="2730"/>
      </w:pPr>
      <w:r>
        <w:rPr>
          <w:spacing w:val="-3"/>
        </w:rPr>
        <w:t>办公地址：广州市天河区珠江东路</w:t>
      </w:r>
      <w:r>
        <w:rPr>
          <w:rFonts w:ascii="Times New Roman" w:eastAsia="Times New Roman"/>
          <w:spacing w:val="-5"/>
        </w:rPr>
        <w:t>11</w:t>
      </w:r>
      <w:r>
        <w:rPr>
          <w:spacing w:val="-3"/>
        </w:rPr>
        <w:t>号高德置地广场</w:t>
      </w:r>
      <w:r>
        <w:rPr>
          <w:rFonts w:ascii="Times New Roman" w:eastAsia="Times New Roman"/>
          <w:spacing w:val="-5"/>
        </w:rPr>
        <w:t>F</w:t>
      </w:r>
      <w:r>
        <w:rPr/>
        <w:t>座</w:t>
      </w:r>
      <w:r>
        <w:rPr>
          <w:rFonts w:ascii="Times New Roman" w:eastAsia="Times New Roman"/>
        </w:rPr>
        <w:t>18</w:t>
      </w:r>
      <w:r>
        <w:rPr/>
        <w:t>、</w:t>
      </w:r>
      <w:r>
        <w:rPr>
          <w:rFonts w:ascii="Times New Roman" w:eastAsia="Times New Roman"/>
        </w:rPr>
        <w:t>19</w:t>
      </w:r>
      <w:r>
        <w:rPr/>
        <w:t>楼</w:t>
      </w:r>
      <w:r>
        <w:rPr>
          <w:spacing w:val="-3"/>
        </w:rPr>
        <w:t>法定代表人：张建军</w:t>
      </w:r>
    </w:p>
    <w:p>
      <w:pPr>
        <w:pStyle w:val="BodyText"/>
        <w:spacing w:line="269" w:lineRule="exact"/>
        <w:ind w:left="1260"/>
        <w:rPr>
          <w:rFonts w:ascii="Times New Roman" w:eastAsia="Times New Roman"/>
        </w:rPr>
      </w:pPr>
      <w:r>
        <w:rPr>
          <w:spacing w:val="-1"/>
        </w:rPr>
        <w:t>电话：</w:t>
      </w:r>
      <w:r>
        <w:rPr>
          <w:rFonts w:ascii="Times New Roman" w:eastAsia="Times New Roman"/>
          <w:spacing w:val="-1"/>
        </w:rPr>
        <w:t>020-38286588</w:t>
      </w:r>
    </w:p>
    <w:p>
      <w:pPr>
        <w:pStyle w:val="BodyText"/>
        <w:spacing w:before="3"/>
        <w:rPr>
          <w:rFonts w:ascii="Times New Roman"/>
          <w:sz w:val="17"/>
        </w:rPr>
      </w:pPr>
    </w:p>
    <w:p>
      <w:pPr>
        <w:pStyle w:val="BodyText"/>
        <w:spacing w:before="1"/>
        <w:ind w:left="1260"/>
        <w:rPr>
          <w:rFonts w:ascii="Times New Roman" w:eastAsia="Times New Roman"/>
        </w:rPr>
      </w:pPr>
      <w:r>
        <w:rPr/>
        <w:t>传真：</w:t>
      </w:r>
      <w:r>
        <w:rPr>
          <w:rFonts w:ascii="Times New Roman" w:eastAsia="Times New Roman"/>
        </w:rPr>
        <w:t>020-22373718-1013</w:t>
      </w:r>
    </w:p>
    <w:p>
      <w:pPr>
        <w:pStyle w:val="BodyText"/>
        <w:spacing w:before="3"/>
        <w:rPr>
          <w:rFonts w:ascii="Times New Roman"/>
          <w:sz w:val="17"/>
        </w:rPr>
      </w:pPr>
    </w:p>
    <w:p>
      <w:pPr>
        <w:pStyle w:val="BodyText"/>
        <w:ind w:left="1260"/>
      </w:pPr>
      <w:r>
        <w:rPr/>
        <w:t>联系人：王鑫</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1260" w:right="6482"/>
        <w:rPr>
          <w:rFonts w:ascii="Times New Roman" w:eastAsia="Times New Roman"/>
        </w:rPr>
      </w:pPr>
      <w:r>
        <w:rPr/>
        <w:t>网址：</w:t>
      </w:r>
      <w:hyperlink r:id="rId140">
        <w:r>
          <w:rPr>
            <w:rFonts w:ascii="Times New Roman" w:eastAsia="Times New Roman"/>
          </w:rPr>
          <w:t>www.wlzq.com.cn </w:t>
        </w:r>
      </w:hyperlink>
      <w:r>
        <w:rPr/>
        <w:t>客户服务电话：</w:t>
      </w:r>
      <w:r>
        <w:rPr>
          <w:rFonts w:ascii="Times New Roman" w:eastAsia="Times New Roman"/>
        </w:rPr>
        <w:t>95322</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民生证券股份有限公司</w:t>
      </w:r>
    </w:p>
    <w:p>
      <w:pPr>
        <w:pStyle w:val="BodyText"/>
        <w:spacing w:before="7"/>
        <w:rPr>
          <w:sz w:val="15"/>
        </w:rPr>
      </w:pPr>
    </w:p>
    <w:p>
      <w:pPr>
        <w:pStyle w:val="BodyText"/>
        <w:ind w:left="1260"/>
      </w:pPr>
      <w:r>
        <w:rPr/>
        <w:t>住所：北京市东城区建国门内大街</w:t>
      </w:r>
      <w:r>
        <w:rPr>
          <w:rFonts w:ascii="Times New Roman" w:eastAsia="Times New Roman"/>
        </w:rPr>
        <w:t>28</w:t>
      </w:r>
      <w:r>
        <w:rPr/>
        <w:t>号民生金融中心</w:t>
      </w:r>
      <w:r>
        <w:rPr>
          <w:rFonts w:ascii="Times New Roman" w:eastAsia="Times New Roman"/>
        </w:rPr>
        <w:t>A</w:t>
      </w:r>
      <w:r>
        <w:rPr/>
        <w:t>座</w:t>
      </w:r>
      <w:r>
        <w:rPr>
          <w:rFonts w:ascii="Times New Roman" w:eastAsia="Times New Roman"/>
        </w:rPr>
        <w:t>16-20</w:t>
      </w:r>
      <w:r>
        <w:rPr/>
        <w:t>层</w:t>
      </w:r>
    </w:p>
    <w:p>
      <w:pPr>
        <w:pStyle w:val="BodyText"/>
        <w:spacing w:before="7"/>
        <w:rPr>
          <w:sz w:val="15"/>
        </w:rPr>
      </w:pPr>
    </w:p>
    <w:p>
      <w:pPr>
        <w:pStyle w:val="BodyText"/>
        <w:spacing w:line="417" w:lineRule="auto"/>
        <w:ind w:left="1260" w:right="2406"/>
      </w:pPr>
      <w:r>
        <w:rPr/>
        <w:t>办公地址：北京市东城区建国门内大街</w:t>
      </w:r>
      <w:r>
        <w:rPr>
          <w:rFonts w:ascii="Times New Roman" w:eastAsia="Times New Roman"/>
        </w:rPr>
        <w:t>28</w:t>
      </w:r>
      <w:r>
        <w:rPr/>
        <w:t>号民生金融中心</w:t>
      </w:r>
      <w:r>
        <w:rPr>
          <w:rFonts w:ascii="Times New Roman" w:eastAsia="Times New Roman"/>
        </w:rPr>
        <w:t>A</w:t>
      </w:r>
      <w:r>
        <w:rPr/>
        <w:t>座</w:t>
      </w:r>
      <w:r>
        <w:rPr>
          <w:rFonts w:ascii="Times New Roman" w:eastAsia="Times New Roman"/>
        </w:rPr>
        <w:t>16-20</w:t>
      </w:r>
      <w:r>
        <w:rPr/>
        <w:t>层法定代表人：冯鹤年</w:t>
      </w:r>
    </w:p>
    <w:p>
      <w:pPr>
        <w:pStyle w:val="BodyText"/>
        <w:spacing w:line="417" w:lineRule="auto"/>
        <w:ind w:left="1260" w:right="6866"/>
        <w:rPr>
          <w:rFonts w:ascii="Times New Roman" w:eastAsia="Times New Roman"/>
        </w:rPr>
      </w:pPr>
      <w:r>
        <w:rPr/>
        <w:t>电话：</w:t>
      </w:r>
      <w:r>
        <w:rPr>
          <w:rFonts w:ascii="Times New Roman" w:eastAsia="Times New Roman"/>
        </w:rPr>
        <w:t>010-85127609 </w:t>
      </w:r>
      <w:r>
        <w:rPr/>
        <w:t>传真：</w:t>
      </w:r>
      <w:r>
        <w:rPr>
          <w:rFonts w:ascii="Times New Roman" w:eastAsia="Times New Roman"/>
        </w:rPr>
        <w:t>010-85127641</w:t>
      </w:r>
    </w:p>
    <w:p>
      <w:pPr>
        <w:pStyle w:val="BodyText"/>
        <w:ind w:left="1260"/>
      </w:pPr>
      <w:r>
        <w:rPr/>
        <w:t>联系人：韩秀萍</w:t>
      </w:r>
    </w:p>
    <w:p>
      <w:pPr>
        <w:pStyle w:val="BodyText"/>
        <w:spacing w:before="6"/>
        <w:rPr>
          <w:sz w:val="15"/>
        </w:rPr>
      </w:pPr>
    </w:p>
    <w:p>
      <w:pPr>
        <w:pStyle w:val="BodyText"/>
        <w:spacing w:line="417" w:lineRule="auto"/>
        <w:ind w:left="1260" w:right="6727"/>
        <w:rPr>
          <w:rFonts w:ascii="Times New Roman" w:eastAsia="Times New Roman"/>
        </w:rPr>
      </w:pPr>
      <w:r>
        <w:rPr/>
        <w:t>网址：</w:t>
      </w:r>
      <w:hyperlink r:id="rId141">
        <w:r>
          <w:rPr>
            <w:rFonts w:ascii="Times New Roman" w:eastAsia="Times New Roman"/>
          </w:rPr>
          <w:t>www.mszq.com </w:t>
        </w:r>
      </w:hyperlink>
      <w:r>
        <w:rPr/>
        <w:t>客户服务电话：</w:t>
      </w:r>
      <w:r>
        <w:rPr>
          <w:rFonts w:ascii="Times New Roman" w:eastAsia="Times New Roman"/>
        </w:rPr>
        <w:t>95376</w:t>
      </w: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国元证券股份有限公司 住所：安徽省合肥市寿春路</w:t>
      </w:r>
      <w:r>
        <w:rPr>
          <w:rFonts w:ascii="Times New Roman" w:eastAsia="Times New Roman"/>
          <w:sz w:val="21"/>
        </w:rPr>
        <w:t>179</w:t>
      </w:r>
      <w:r>
        <w:rPr>
          <w:spacing w:val="-13"/>
          <w:sz w:val="21"/>
        </w:rPr>
        <w:t>号</w:t>
      </w:r>
    </w:p>
    <w:p>
      <w:pPr>
        <w:pStyle w:val="BodyText"/>
        <w:spacing w:line="417" w:lineRule="auto"/>
        <w:ind w:left="1260" w:right="5255"/>
      </w:pPr>
      <w:r>
        <w:rPr/>
        <w:t>办公地址：安徽省合肥市寿春路</w:t>
      </w:r>
      <w:r>
        <w:rPr>
          <w:rFonts w:ascii="Times New Roman" w:eastAsia="Times New Roman"/>
        </w:rPr>
        <w:t>179</w:t>
      </w:r>
      <w:r>
        <w:rPr/>
        <w:t>号法定代表人：蔡咏</w:t>
      </w:r>
    </w:p>
    <w:p>
      <w:pPr>
        <w:pStyle w:val="BodyText"/>
        <w:spacing w:line="417" w:lineRule="auto"/>
        <w:ind w:left="1260" w:right="6760"/>
        <w:rPr>
          <w:rFonts w:ascii="Times New Roman" w:eastAsia="Times New Roman"/>
        </w:rPr>
      </w:pPr>
      <w:r>
        <w:rPr/>
        <w:t>电话：</w:t>
      </w:r>
      <w:r>
        <w:rPr>
          <w:rFonts w:ascii="Times New Roman" w:eastAsia="Times New Roman"/>
        </w:rPr>
        <w:t>0551-62257012 </w:t>
      </w:r>
      <w:r>
        <w:rPr/>
        <w:t>传真：</w:t>
      </w:r>
      <w:r>
        <w:rPr>
          <w:rFonts w:ascii="Times New Roman" w:eastAsia="Times New Roman"/>
        </w:rPr>
        <w:t>0551-62272100</w:t>
      </w:r>
    </w:p>
    <w:p>
      <w:pPr>
        <w:pStyle w:val="BodyText"/>
        <w:spacing w:line="269" w:lineRule="exact"/>
        <w:ind w:left="1260"/>
      </w:pPr>
      <w:r>
        <w:rPr/>
        <w:t>联系人：祝丽萍</w:t>
      </w:r>
    </w:p>
    <w:p>
      <w:pPr>
        <w:pStyle w:val="BodyText"/>
        <w:spacing w:before="6"/>
        <w:rPr>
          <w:sz w:val="15"/>
        </w:rPr>
      </w:pPr>
    </w:p>
    <w:p>
      <w:pPr>
        <w:pStyle w:val="BodyText"/>
        <w:spacing w:line="417" w:lineRule="auto" w:before="1"/>
        <w:ind w:left="1260" w:right="6483"/>
        <w:rPr>
          <w:rFonts w:ascii="Times New Roman" w:eastAsia="Times New Roman"/>
        </w:rPr>
      </w:pPr>
      <w:r>
        <w:rPr/>
        <w:t>网址：</w:t>
      </w:r>
      <w:hyperlink r:id="rId142">
        <w:r>
          <w:rPr>
            <w:rFonts w:ascii="Times New Roman" w:eastAsia="Times New Roman"/>
          </w:rPr>
          <w:t>www.gyzq.com.cn </w:t>
        </w:r>
      </w:hyperlink>
      <w:r>
        <w:rPr/>
        <w:t>客户服务电话：</w:t>
      </w:r>
      <w:r>
        <w:rPr>
          <w:rFonts w:ascii="Times New Roman" w:eastAsia="Times New Roman"/>
        </w:rPr>
        <w:t>95578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渤海证券股份有限公司</w:t>
      </w:r>
    </w:p>
    <w:p>
      <w:pPr>
        <w:pStyle w:val="BodyText"/>
        <w:spacing w:before="7"/>
        <w:rPr>
          <w:sz w:val="15"/>
        </w:rPr>
      </w:pPr>
    </w:p>
    <w:p>
      <w:pPr>
        <w:pStyle w:val="BodyText"/>
        <w:spacing w:line="417" w:lineRule="auto"/>
        <w:ind w:left="1260" w:right="3786"/>
      </w:pPr>
      <w:r>
        <w:rPr/>
        <w:t>住所：天津经济技术开发区第二大街</w:t>
      </w:r>
      <w:r>
        <w:rPr>
          <w:rFonts w:ascii="Times New Roman" w:eastAsia="Times New Roman"/>
        </w:rPr>
        <w:t>42</w:t>
      </w:r>
      <w:r>
        <w:rPr/>
        <w:t>号写字楼</w:t>
      </w:r>
      <w:r>
        <w:rPr>
          <w:rFonts w:ascii="Times New Roman" w:eastAsia="Times New Roman"/>
        </w:rPr>
        <w:t>101</w:t>
      </w:r>
      <w:r>
        <w:rPr/>
        <w:t>室办公地址：天津市南开区滨水西道</w:t>
      </w:r>
      <w:r>
        <w:rPr>
          <w:rFonts w:ascii="Times New Roman" w:eastAsia="Times New Roman"/>
        </w:rPr>
        <w:t>8</w:t>
      </w:r>
      <w:r>
        <w:rPr/>
        <w:t>号</w:t>
      </w:r>
    </w:p>
    <w:p>
      <w:pPr>
        <w:pStyle w:val="BodyText"/>
        <w:spacing w:line="417" w:lineRule="auto"/>
        <w:ind w:left="1260" w:right="6830"/>
        <w:jc w:val="both"/>
        <w:rPr>
          <w:rFonts w:ascii="Times New Roman" w:eastAsia="Times New Roman"/>
        </w:rPr>
      </w:pPr>
      <w:r>
        <w:rPr/>
        <w:t>法定代表人：王春峰电话：</w:t>
      </w:r>
      <w:r>
        <w:rPr>
          <w:rFonts w:ascii="Times New Roman" w:eastAsia="Times New Roman"/>
        </w:rPr>
        <w:t>022-28451991 </w:t>
      </w:r>
      <w:r>
        <w:rPr/>
        <w:t>传真：</w:t>
      </w:r>
      <w:r>
        <w:rPr>
          <w:rFonts w:ascii="Times New Roman" w:eastAsia="Times New Roman"/>
        </w:rPr>
        <w:t>022-28451892</w:t>
      </w:r>
    </w:p>
    <w:p>
      <w:pPr>
        <w:pStyle w:val="BodyText"/>
        <w:spacing w:line="269" w:lineRule="exact"/>
        <w:ind w:left="1260"/>
      </w:pPr>
      <w:r>
        <w:rPr/>
        <w:t>联系人：蔡霆</w:t>
      </w:r>
    </w:p>
    <w:p>
      <w:pPr>
        <w:pStyle w:val="BodyText"/>
        <w:spacing w:before="6"/>
        <w:rPr>
          <w:sz w:val="15"/>
        </w:rPr>
      </w:pPr>
    </w:p>
    <w:p>
      <w:pPr>
        <w:pStyle w:val="BodyText"/>
        <w:ind w:left="1260"/>
        <w:rPr>
          <w:rFonts w:ascii="Times New Roman" w:eastAsia="Times New Roman"/>
        </w:rPr>
      </w:pPr>
      <w:r>
        <w:rPr/>
        <w:t>网址：</w:t>
      </w:r>
      <w:hyperlink r:id="rId143">
        <w:r>
          <w:rPr>
            <w:rFonts w:ascii="Times New Roman" w:eastAsia="Times New Roman"/>
          </w:rPr>
          <w:t>www.ewww.com.cn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400-651-5988</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华泰证券股份有限公司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before="78"/>
        <w:ind w:left="1260"/>
      </w:pPr>
      <w:r>
        <w:rPr/>
        <w:t>住所：南京市江东中路</w:t>
      </w:r>
      <w:r>
        <w:rPr>
          <w:rFonts w:ascii="Times New Roman" w:eastAsia="Times New Roman"/>
        </w:rPr>
        <w:t>228</w:t>
      </w:r>
      <w:r>
        <w:rPr/>
        <w:t>号</w:t>
      </w:r>
    </w:p>
    <w:p>
      <w:pPr>
        <w:pStyle w:val="BodyText"/>
        <w:spacing w:before="7"/>
        <w:rPr>
          <w:sz w:val="15"/>
        </w:rPr>
      </w:pPr>
    </w:p>
    <w:p>
      <w:pPr>
        <w:pStyle w:val="BodyText"/>
        <w:spacing w:line="417" w:lineRule="auto"/>
        <w:ind w:left="1260" w:right="3786"/>
      </w:pPr>
      <w:r>
        <w:rPr/>
        <w:t>办公地址：南京市建邺区江东中路</w:t>
      </w:r>
      <w:r>
        <w:rPr>
          <w:rFonts w:ascii="Times New Roman" w:eastAsia="Times New Roman"/>
        </w:rPr>
        <w:t>228</w:t>
      </w:r>
      <w:r>
        <w:rPr/>
        <w:t>号华泰证券广场法定代表人：周易</w:t>
      </w:r>
    </w:p>
    <w:p>
      <w:pPr>
        <w:pStyle w:val="BodyText"/>
        <w:spacing w:line="269" w:lineRule="exact"/>
        <w:ind w:left="1260"/>
        <w:rPr>
          <w:rFonts w:ascii="Times New Roman" w:eastAsia="Times New Roman"/>
        </w:rPr>
      </w:pPr>
      <w:r>
        <w:rPr/>
        <w:t>电话：</w:t>
      </w:r>
      <w:r>
        <w:rPr>
          <w:rFonts w:ascii="Times New Roman" w:eastAsia="Times New Roman"/>
        </w:rPr>
        <w:t>0755-82492193</w:t>
      </w:r>
    </w:p>
    <w:p>
      <w:pPr>
        <w:pStyle w:val="BodyText"/>
        <w:spacing w:before="3"/>
        <w:rPr>
          <w:rFonts w:ascii="Times New Roman"/>
          <w:sz w:val="17"/>
        </w:rPr>
      </w:pPr>
    </w:p>
    <w:p>
      <w:pPr>
        <w:pStyle w:val="BodyText"/>
        <w:spacing w:line="417" w:lineRule="auto"/>
        <w:ind w:left="1260" w:right="5920"/>
      </w:pPr>
      <w:r>
        <w:rPr/>
        <w:t>传真：</w:t>
      </w:r>
      <w:r>
        <w:rPr>
          <w:rFonts w:ascii="Times New Roman" w:eastAsia="Times New Roman"/>
        </w:rPr>
        <w:t>0755-82492962</w:t>
      </w:r>
      <w:r>
        <w:rPr/>
        <w:t>（深圳） 联系人：庞晓芸</w:t>
      </w:r>
    </w:p>
    <w:p>
      <w:pPr>
        <w:pStyle w:val="BodyText"/>
        <w:spacing w:line="417" w:lineRule="auto"/>
        <w:ind w:left="1260" w:right="6551"/>
        <w:rPr>
          <w:rFonts w:ascii="Times New Roman" w:eastAsia="Times New Roman"/>
        </w:rPr>
      </w:pPr>
      <w:r>
        <w:rPr/>
        <w:t>网址：</w:t>
      </w:r>
      <w:hyperlink r:id="rId144">
        <w:r>
          <w:rPr>
            <w:rFonts w:ascii="Times New Roman" w:eastAsia="Times New Roman"/>
          </w:rPr>
          <w:t>www.htsc.com.cn </w:t>
        </w:r>
      </w:hyperlink>
      <w:r>
        <w:rPr/>
        <w:t>客户服务电话：</w:t>
      </w:r>
      <w:r>
        <w:rPr>
          <w:rFonts w:ascii="Times New Roman" w:eastAsia="Times New Roman"/>
        </w:rPr>
        <w:t>95597</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山西证券股份有限公司</w:t>
      </w:r>
    </w:p>
    <w:p>
      <w:pPr>
        <w:pStyle w:val="BodyText"/>
        <w:spacing w:before="7"/>
        <w:rPr>
          <w:sz w:val="15"/>
        </w:rPr>
      </w:pPr>
    </w:p>
    <w:p>
      <w:pPr>
        <w:pStyle w:val="BodyText"/>
        <w:ind w:left="1260"/>
      </w:pPr>
      <w:r>
        <w:rPr>
          <w:spacing w:val="-3"/>
        </w:rPr>
        <w:t>住所：山西省太原市府西街</w:t>
      </w:r>
      <w:r>
        <w:rPr>
          <w:rFonts w:ascii="Times New Roman" w:eastAsia="Times New Roman"/>
        </w:rPr>
        <w:t>69</w:t>
      </w:r>
      <w:r>
        <w:rPr>
          <w:spacing w:val="-3"/>
        </w:rPr>
        <w:t>号山西国贸中心东塔楼</w:t>
      </w:r>
    </w:p>
    <w:p>
      <w:pPr>
        <w:pStyle w:val="BodyText"/>
        <w:spacing w:before="7"/>
        <w:rPr>
          <w:sz w:val="15"/>
        </w:rPr>
      </w:pPr>
    </w:p>
    <w:p>
      <w:pPr>
        <w:pStyle w:val="BodyText"/>
        <w:spacing w:line="417" w:lineRule="auto"/>
        <w:ind w:left="1260" w:right="3467"/>
      </w:pPr>
      <w:r>
        <w:rPr/>
        <w:t>办公地址：山西省太原市府西街</w:t>
      </w:r>
      <w:r>
        <w:rPr>
          <w:rFonts w:ascii="Times New Roman" w:eastAsia="Times New Roman"/>
        </w:rPr>
        <w:t>69</w:t>
      </w:r>
      <w:r>
        <w:rPr/>
        <w:t>号山西国贸中心东塔楼法定代表人：侯巍</w:t>
      </w:r>
    </w:p>
    <w:p>
      <w:pPr>
        <w:pStyle w:val="BodyText"/>
        <w:spacing w:line="417" w:lineRule="auto"/>
        <w:ind w:left="1260" w:right="6866"/>
        <w:rPr>
          <w:rFonts w:ascii="Times New Roman" w:eastAsia="Times New Roman"/>
        </w:rPr>
      </w:pPr>
      <w:r>
        <w:rPr/>
        <w:t>电话：</w:t>
      </w:r>
      <w:r>
        <w:rPr>
          <w:rFonts w:ascii="Times New Roman" w:eastAsia="Times New Roman"/>
        </w:rPr>
        <w:t>0351-8686703 </w:t>
      </w:r>
      <w:r>
        <w:rPr/>
        <w:t>传真：</w:t>
      </w:r>
      <w:r>
        <w:rPr>
          <w:rFonts w:ascii="Times New Roman" w:eastAsia="Times New Roman"/>
        </w:rPr>
        <w:t>0351-8686619</w:t>
      </w:r>
    </w:p>
    <w:p>
      <w:pPr>
        <w:pStyle w:val="BodyText"/>
        <w:ind w:left="1260"/>
      </w:pPr>
      <w:r>
        <w:rPr/>
        <w:t>联系人：张治国</w:t>
      </w:r>
    </w:p>
    <w:p>
      <w:pPr>
        <w:pStyle w:val="BodyText"/>
        <w:spacing w:before="6"/>
        <w:rPr>
          <w:sz w:val="15"/>
        </w:rPr>
      </w:pPr>
    </w:p>
    <w:p>
      <w:pPr>
        <w:pStyle w:val="BodyText"/>
        <w:spacing w:line="417" w:lineRule="auto"/>
        <w:ind w:left="1260" w:right="6517"/>
        <w:rPr>
          <w:rFonts w:ascii="Times New Roman" w:eastAsia="Times New Roman"/>
        </w:rPr>
      </w:pPr>
      <w:r>
        <w:rPr/>
        <w:t>网址：</w:t>
      </w:r>
      <w:hyperlink r:id="rId145">
        <w:r>
          <w:rPr>
            <w:rFonts w:ascii="Times New Roman" w:eastAsia="Times New Roman"/>
          </w:rPr>
          <w:t>www.i618.com.cn </w:t>
        </w:r>
      </w:hyperlink>
      <w:r>
        <w:rPr/>
        <w:t>客户服务电话：</w:t>
      </w:r>
      <w:r>
        <w:rPr>
          <w:rFonts w:ascii="Times New Roman" w:eastAsia="Times New Roman"/>
        </w:rPr>
        <w:t>95573</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中信证券（</w:t>
      </w:r>
      <w:r>
        <w:rPr>
          <w:spacing w:val="-2"/>
          <w:sz w:val="21"/>
        </w:rPr>
        <w:t>山东</w:t>
      </w:r>
      <w:r>
        <w:rPr>
          <w:spacing w:val="-3"/>
          <w:sz w:val="21"/>
        </w:rPr>
        <w:t>）</w:t>
      </w:r>
      <w:r>
        <w:rPr>
          <w:spacing w:val="-2"/>
          <w:sz w:val="21"/>
        </w:rPr>
        <w:t>有限责任公司</w:t>
      </w:r>
    </w:p>
    <w:p>
      <w:pPr>
        <w:pStyle w:val="BodyText"/>
        <w:spacing w:before="7"/>
        <w:rPr>
          <w:sz w:val="15"/>
        </w:rPr>
      </w:pPr>
    </w:p>
    <w:p>
      <w:pPr>
        <w:pStyle w:val="BodyText"/>
        <w:ind w:left="1260"/>
        <w:rPr>
          <w:rFonts w:ascii="Times New Roman" w:eastAsia="Times New Roman"/>
        </w:rPr>
      </w:pPr>
      <w:r>
        <w:rPr/>
        <w:t>住所：山东省青岛市崂山区深圳路</w:t>
      </w:r>
      <w:r>
        <w:rPr>
          <w:rFonts w:ascii="Times New Roman" w:eastAsia="Times New Roman"/>
        </w:rPr>
        <w:t>222</w:t>
      </w:r>
      <w:r>
        <w:rPr/>
        <w:t>号</w:t>
      </w:r>
      <w:r>
        <w:rPr>
          <w:rFonts w:ascii="Times New Roman" w:eastAsia="Times New Roman"/>
        </w:rPr>
        <w:t>1</w:t>
      </w:r>
      <w:r>
        <w:rPr/>
        <w:t>号楼</w:t>
      </w:r>
      <w:r>
        <w:rPr>
          <w:rFonts w:ascii="Times New Roman" w:eastAsia="Times New Roman"/>
        </w:rPr>
        <w:t>2001</w:t>
      </w:r>
    </w:p>
    <w:p>
      <w:pPr>
        <w:pStyle w:val="BodyText"/>
        <w:spacing w:before="3"/>
        <w:rPr>
          <w:rFonts w:ascii="Times New Roman"/>
          <w:sz w:val="17"/>
        </w:rPr>
      </w:pPr>
    </w:p>
    <w:p>
      <w:pPr>
        <w:pStyle w:val="BodyText"/>
        <w:spacing w:line="417" w:lineRule="auto" w:before="1"/>
        <w:ind w:left="1260" w:right="2943"/>
      </w:pPr>
      <w:r>
        <w:rPr/>
        <w:t>办公地址：山东省青岛市市南区东海西路</w:t>
      </w:r>
      <w:r>
        <w:rPr>
          <w:rFonts w:ascii="Times New Roman" w:eastAsia="Times New Roman"/>
        </w:rPr>
        <w:t>28</w:t>
      </w:r>
      <w:r>
        <w:rPr/>
        <w:t>号龙翔广场东座</w:t>
      </w:r>
      <w:r>
        <w:rPr>
          <w:rFonts w:ascii="Times New Roman" w:eastAsia="Times New Roman"/>
        </w:rPr>
        <w:t>5</w:t>
      </w:r>
      <w:r>
        <w:rPr/>
        <w:t>层法定代表人：姜晓林</w:t>
      </w:r>
    </w:p>
    <w:p>
      <w:pPr>
        <w:pStyle w:val="BodyText"/>
        <w:spacing w:line="417" w:lineRule="auto"/>
        <w:ind w:left="1260" w:right="6760"/>
        <w:rPr>
          <w:rFonts w:ascii="Times New Roman" w:eastAsia="Times New Roman"/>
        </w:rPr>
      </w:pPr>
      <w:r>
        <w:rPr/>
        <w:t>电话：</w:t>
      </w:r>
      <w:r>
        <w:rPr>
          <w:rFonts w:ascii="Times New Roman" w:eastAsia="Times New Roman"/>
        </w:rPr>
        <w:t>0531-89606165 </w:t>
      </w:r>
      <w:r>
        <w:rPr/>
        <w:t>传真：</w:t>
      </w:r>
      <w:r>
        <w:rPr>
          <w:rFonts w:ascii="Times New Roman" w:eastAsia="Times New Roman"/>
        </w:rPr>
        <w:t>0532-85022605</w:t>
      </w:r>
    </w:p>
    <w:p>
      <w:pPr>
        <w:pStyle w:val="BodyText"/>
        <w:spacing w:line="269" w:lineRule="exact"/>
        <w:ind w:left="1260"/>
      </w:pPr>
      <w:r>
        <w:rPr/>
        <w:t>联系人：刘晓明</w:t>
      </w:r>
    </w:p>
    <w:p>
      <w:pPr>
        <w:pStyle w:val="BodyText"/>
        <w:spacing w:before="6"/>
        <w:rPr>
          <w:sz w:val="15"/>
        </w:rPr>
      </w:pPr>
    </w:p>
    <w:p>
      <w:pPr>
        <w:pStyle w:val="BodyText"/>
        <w:spacing w:line="417" w:lineRule="auto" w:before="1"/>
        <w:ind w:left="1260" w:right="6495"/>
        <w:rPr>
          <w:rFonts w:ascii="Times New Roman" w:eastAsia="Times New Roman"/>
        </w:rPr>
      </w:pPr>
      <w:r>
        <w:rPr/>
        <w:t>网址：</w:t>
      </w:r>
      <w:hyperlink r:id="rId146">
        <w:r>
          <w:rPr>
            <w:rFonts w:ascii="Times New Roman" w:eastAsia="Times New Roman"/>
          </w:rPr>
          <w:t>http://sd.citics.com </w:t>
        </w:r>
      </w:hyperlink>
      <w:r>
        <w:rPr/>
        <w:t>客户服务电话：</w:t>
      </w:r>
      <w:r>
        <w:rPr>
          <w:rFonts w:ascii="Times New Roman" w:eastAsia="Times New Roman"/>
        </w:rPr>
        <w:t>95548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东兴证券股份有限公司</w:t>
      </w:r>
    </w:p>
    <w:p>
      <w:pPr>
        <w:pStyle w:val="BodyText"/>
        <w:spacing w:before="6"/>
        <w:rPr>
          <w:sz w:val="15"/>
        </w:rPr>
      </w:pPr>
    </w:p>
    <w:p>
      <w:pPr>
        <w:pStyle w:val="BodyText"/>
        <w:ind w:left="1260"/>
      </w:pPr>
      <w:r>
        <w:rPr/>
        <w:t>住所：北京市西城区金融大街</w:t>
      </w:r>
      <w:r>
        <w:rPr>
          <w:rFonts w:ascii="Times New Roman" w:eastAsia="Times New Roman"/>
        </w:rPr>
        <w:t>5</w:t>
      </w:r>
      <w:r>
        <w:rPr/>
        <w:t>号新盛大厦</w:t>
      </w:r>
      <w:r>
        <w:rPr>
          <w:rFonts w:ascii="Times New Roman" w:eastAsia="Times New Roman"/>
        </w:rPr>
        <w:t>B</w:t>
      </w:r>
      <w:r>
        <w:rPr/>
        <w:t>座</w:t>
      </w:r>
      <w:r>
        <w:rPr>
          <w:rFonts w:ascii="Times New Roman" w:eastAsia="Times New Roman"/>
        </w:rPr>
        <w:t>12-15</w:t>
      </w:r>
      <w:r>
        <w:rPr/>
        <w:t>层</w:t>
      </w:r>
    </w:p>
    <w:p>
      <w:pPr>
        <w:pStyle w:val="BodyText"/>
        <w:spacing w:before="7"/>
        <w:rPr>
          <w:sz w:val="15"/>
        </w:rPr>
      </w:pPr>
    </w:p>
    <w:p>
      <w:pPr>
        <w:pStyle w:val="BodyText"/>
        <w:spacing w:line="417" w:lineRule="auto"/>
        <w:ind w:left="1260" w:right="3366"/>
      </w:pPr>
      <w:r>
        <w:rPr/>
        <w:t>办公地址：北京市西城区金融大街</w:t>
      </w:r>
      <w:r>
        <w:rPr>
          <w:rFonts w:ascii="Times New Roman" w:eastAsia="Times New Roman"/>
        </w:rPr>
        <w:t>5</w:t>
      </w:r>
      <w:r>
        <w:rPr/>
        <w:t>号新盛大厦</w:t>
      </w:r>
      <w:r>
        <w:rPr>
          <w:rFonts w:ascii="Times New Roman" w:eastAsia="Times New Roman"/>
        </w:rPr>
        <w:t>B</w:t>
      </w:r>
      <w:r>
        <w:rPr/>
        <w:t>座</w:t>
      </w:r>
      <w:r>
        <w:rPr>
          <w:rFonts w:ascii="Times New Roman" w:eastAsia="Times New Roman"/>
        </w:rPr>
        <w:t>12-15</w:t>
      </w:r>
      <w:r>
        <w:rPr/>
        <w:t>层法定代表人：魏庆华</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1260" w:right="6866"/>
        <w:rPr>
          <w:rFonts w:ascii="Times New Roman" w:eastAsia="Times New Roman"/>
        </w:rPr>
      </w:pPr>
      <w:r>
        <w:rPr/>
        <w:t>电话：</w:t>
      </w:r>
      <w:r>
        <w:rPr>
          <w:rFonts w:ascii="Times New Roman" w:eastAsia="Times New Roman"/>
        </w:rPr>
        <w:t>010-66555316 </w:t>
      </w:r>
      <w:r>
        <w:rPr/>
        <w:t>传真：</w:t>
      </w:r>
      <w:r>
        <w:rPr>
          <w:rFonts w:ascii="Times New Roman" w:eastAsia="Times New Roman"/>
        </w:rPr>
        <w:t>010-66555246</w:t>
      </w:r>
    </w:p>
    <w:p>
      <w:pPr>
        <w:pStyle w:val="BodyText"/>
        <w:spacing w:line="269" w:lineRule="exact"/>
        <w:ind w:left="1260"/>
      </w:pPr>
      <w:r>
        <w:rPr/>
        <w:t>联系人：汤漫川</w:t>
      </w:r>
    </w:p>
    <w:p>
      <w:pPr>
        <w:pStyle w:val="BodyText"/>
        <w:spacing w:before="7"/>
        <w:rPr>
          <w:sz w:val="15"/>
        </w:rPr>
      </w:pPr>
    </w:p>
    <w:p>
      <w:pPr>
        <w:pStyle w:val="BodyText"/>
        <w:spacing w:line="417" w:lineRule="auto"/>
        <w:ind w:left="1260" w:right="6586"/>
        <w:rPr>
          <w:rFonts w:ascii="Times New Roman" w:eastAsia="Times New Roman"/>
        </w:rPr>
      </w:pPr>
      <w:r>
        <w:rPr/>
        <w:t>网址：</w:t>
      </w:r>
      <w:hyperlink r:id="rId147">
        <w:r>
          <w:rPr>
            <w:rFonts w:ascii="Times New Roman" w:eastAsia="Times New Roman"/>
          </w:rPr>
          <w:t>www.dxzq.net.cn </w:t>
        </w:r>
      </w:hyperlink>
      <w:r>
        <w:rPr/>
        <w:t>客户服务电话：</w:t>
      </w:r>
      <w:r>
        <w:rPr>
          <w:rFonts w:ascii="Times New Roman" w:eastAsia="Times New Roman"/>
        </w:rPr>
        <w:t>95309</w:t>
      </w: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东吴证券股份有限公司 住所：苏州工业园区翠园路</w:t>
      </w:r>
      <w:r>
        <w:rPr>
          <w:rFonts w:ascii="Times New Roman" w:eastAsia="Times New Roman"/>
          <w:sz w:val="21"/>
        </w:rPr>
        <w:t>181</w:t>
      </w:r>
      <w:r>
        <w:rPr>
          <w:spacing w:val="-13"/>
          <w:sz w:val="21"/>
        </w:rPr>
        <w:t>号</w:t>
      </w:r>
    </w:p>
    <w:p>
      <w:pPr>
        <w:pStyle w:val="BodyText"/>
        <w:spacing w:line="417" w:lineRule="auto"/>
        <w:ind w:left="1260" w:right="5464"/>
      </w:pPr>
      <w:r>
        <w:rPr/>
        <w:t>办公地址：苏州工业园区星阳街</w:t>
      </w:r>
      <w:r>
        <w:rPr>
          <w:rFonts w:ascii="Times New Roman" w:eastAsia="Times New Roman"/>
        </w:rPr>
        <w:t>5</w:t>
      </w:r>
      <w:r>
        <w:rPr/>
        <w:t>号法定代表人：范力</w:t>
      </w:r>
    </w:p>
    <w:p>
      <w:pPr>
        <w:pStyle w:val="BodyText"/>
        <w:spacing w:line="417" w:lineRule="auto"/>
        <w:ind w:left="1260" w:right="6760"/>
        <w:rPr>
          <w:rFonts w:ascii="Times New Roman" w:eastAsia="Times New Roman"/>
        </w:rPr>
      </w:pPr>
      <w:r>
        <w:rPr/>
        <w:t>电话：</w:t>
      </w:r>
      <w:r>
        <w:rPr>
          <w:rFonts w:ascii="Times New Roman" w:eastAsia="Times New Roman"/>
        </w:rPr>
        <w:t>0512-65581136 </w:t>
      </w:r>
      <w:r>
        <w:rPr/>
        <w:t>传真：</w:t>
      </w:r>
      <w:r>
        <w:rPr>
          <w:rFonts w:ascii="Times New Roman" w:eastAsia="Times New Roman"/>
        </w:rPr>
        <w:t>0512-65588021</w:t>
      </w:r>
    </w:p>
    <w:p>
      <w:pPr>
        <w:pStyle w:val="BodyText"/>
        <w:spacing w:line="269" w:lineRule="exact"/>
        <w:ind w:left="1260"/>
      </w:pPr>
      <w:r>
        <w:rPr/>
        <w:t>联系人：方晓丹</w:t>
      </w:r>
    </w:p>
    <w:p>
      <w:pPr>
        <w:pStyle w:val="BodyText"/>
        <w:spacing w:before="6"/>
        <w:rPr>
          <w:sz w:val="15"/>
        </w:rPr>
      </w:pPr>
    </w:p>
    <w:p>
      <w:pPr>
        <w:pStyle w:val="BodyText"/>
        <w:spacing w:line="417" w:lineRule="auto"/>
        <w:ind w:left="1260" w:right="6435"/>
        <w:rPr>
          <w:rFonts w:ascii="Times New Roman" w:eastAsia="Times New Roman"/>
        </w:rPr>
      </w:pPr>
      <w:r>
        <w:rPr/>
        <w:t>网址：</w:t>
      </w:r>
      <w:hyperlink r:id="rId148">
        <w:r>
          <w:rPr>
            <w:rFonts w:ascii="Times New Roman" w:eastAsia="Times New Roman"/>
          </w:rPr>
          <w:t>www.dwzq.com.cn </w:t>
        </w:r>
      </w:hyperlink>
      <w:r>
        <w:rPr/>
        <w:t>客户服务电话：</w:t>
      </w:r>
      <w:r>
        <w:rPr>
          <w:rFonts w:ascii="Times New Roman" w:eastAsia="Times New Roman"/>
        </w:rPr>
        <w:t>95330</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信达证券股份有限公司</w:t>
      </w:r>
    </w:p>
    <w:p>
      <w:pPr>
        <w:pStyle w:val="BodyText"/>
        <w:spacing w:before="7"/>
        <w:rPr>
          <w:sz w:val="15"/>
        </w:rPr>
      </w:pPr>
    </w:p>
    <w:p>
      <w:pPr>
        <w:pStyle w:val="BodyText"/>
        <w:ind w:left="1260"/>
      </w:pPr>
      <w:r>
        <w:rPr/>
        <w:t>住所：北京市西城区闹市口大街</w:t>
      </w:r>
      <w:r>
        <w:rPr>
          <w:rFonts w:ascii="Times New Roman" w:eastAsia="Times New Roman"/>
        </w:rPr>
        <w:t>9</w:t>
      </w:r>
      <w:r>
        <w:rPr/>
        <w:t>号院</w:t>
      </w:r>
      <w:r>
        <w:rPr>
          <w:rFonts w:ascii="Times New Roman" w:eastAsia="Times New Roman"/>
        </w:rPr>
        <w:t>1</w:t>
      </w:r>
      <w:r>
        <w:rPr/>
        <w:t>号楼</w:t>
      </w:r>
    </w:p>
    <w:p>
      <w:pPr>
        <w:pStyle w:val="BodyText"/>
        <w:spacing w:before="7"/>
        <w:rPr>
          <w:sz w:val="15"/>
        </w:rPr>
      </w:pPr>
    </w:p>
    <w:p>
      <w:pPr>
        <w:pStyle w:val="BodyText"/>
        <w:spacing w:line="417" w:lineRule="auto"/>
        <w:ind w:left="1260" w:right="4312"/>
      </w:pPr>
      <w:r>
        <w:rPr/>
        <w:t>办公地址：北京市西城区闹市口大街</w:t>
      </w:r>
      <w:r>
        <w:rPr>
          <w:rFonts w:ascii="Times New Roman" w:eastAsia="Times New Roman"/>
        </w:rPr>
        <w:t>9</w:t>
      </w:r>
      <w:r>
        <w:rPr/>
        <w:t>号院</w:t>
      </w:r>
      <w:r>
        <w:rPr>
          <w:rFonts w:ascii="Times New Roman" w:eastAsia="Times New Roman"/>
        </w:rPr>
        <w:t>1</w:t>
      </w:r>
      <w:r>
        <w:rPr/>
        <w:t>号楼法定代表人：肖林</w:t>
      </w:r>
    </w:p>
    <w:p>
      <w:pPr>
        <w:pStyle w:val="BodyText"/>
        <w:spacing w:line="417" w:lineRule="auto"/>
        <w:ind w:left="1260" w:right="6866"/>
        <w:rPr>
          <w:rFonts w:ascii="Times New Roman" w:eastAsia="Times New Roman"/>
        </w:rPr>
      </w:pPr>
      <w:r>
        <w:rPr/>
        <w:t>电话：</w:t>
      </w:r>
      <w:r>
        <w:rPr>
          <w:rFonts w:ascii="Times New Roman" w:eastAsia="Times New Roman"/>
        </w:rPr>
        <w:t>010-83252185 </w:t>
      </w:r>
      <w:r>
        <w:rPr/>
        <w:t>传真：</w:t>
      </w:r>
      <w:r>
        <w:rPr>
          <w:rFonts w:ascii="Times New Roman" w:eastAsia="Times New Roman"/>
        </w:rPr>
        <w:t>010-63080978</w:t>
      </w:r>
    </w:p>
    <w:p>
      <w:pPr>
        <w:pStyle w:val="BodyText"/>
        <w:spacing w:line="269" w:lineRule="exact"/>
        <w:ind w:left="1260"/>
      </w:pPr>
      <w:r>
        <w:rPr/>
        <w:t>联系人：付婷</w:t>
      </w:r>
    </w:p>
    <w:p>
      <w:pPr>
        <w:pStyle w:val="BodyText"/>
        <w:spacing w:before="7"/>
        <w:rPr>
          <w:sz w:val="15"/>
        </w:rPr>
      </w:pPr>
    </w:p>
    <w:p>
      <w:pPr>
        <w:pStyle w:val="BodyText"/>
        <w:spacing w:line="417" w:lineRule="auto"/>
        <w:ind w:left="1260" w:right="6510"/>
        <w:rPr>
          <w:rFonts w:ascii="Times New Roman" w:eastAsia="Times New Roman"/>
        </w:rPr>
      </w:pPr>
      <w:r>
        <w:rPr/>
        <w:t>网址：</w:t>
      </w:r>
      <w:hyperlink r:id="rId149">
        <w:r>
          <w:rPr>
            <w:rFonts w:ascii="Times New Roman" w:eastAsia="Times New Roman"/>
          </w:rPr>
          <w:t>www.cindasc.com </w:t>
        </w:r>
      </w:hyperlink>
      <w:r>
        <w:rPr/>
        <w:t>客户服务电话：</w:t>
      </w:r>
      <w:r>
        <w:rPr>
          <w:rFonts w:ascii="Times New Roman" w:eastAsia="Times New Roman"/>
        </w:rPr>
        <w:t>95321</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东方证券股份有限公司</w:t>
      </w:r>
    </w:p>
    <w:p>
      <w:pPr>
        <w:pStyle w:val="BodyText"/>
        <w:spacing w:before="6"/>
        <w:rPr>
          <w:sz w:val="15"/>
        </w:rPr>
      </w:pPr>
    </w:p>
    <w:p>
      <w:pPr>
        <w:pStyle w:val="BodyText"/>
        <w:spacing w:before="1"/>
        <w:ind w:left="1260"/>
      </w:pPr>
      <w:r>
        <w:rPr/>
        <w:t>住所：上海市中山南路</w:t>
      </w:r>
      <w:r>
        <w:rPr>
          <w:rFonts w:ascii="Times New Roman" w:eastAsia="Times New Roman"/>
        </w:rPr>
        <w:t>318</w:t>
      </w:r>
      <w:r>
        <w:rPr/>
        <w:t>号</w:t>
      </w:r>
      <w:r>
        <w:rPr>
          <w:rFonts w:ascii="Times New Roman" w:eastAsia="Times New Roman"/>
        </w:rPr>
        <w:t>2</w:t>
      </w:r>
      <w:r>
        <w:rPr/>
        <w:t>号楼</w:t>
      </w:r>
      <w:r>
        <w:rPr>
          <w:rFonts w:ascii="Times New Roman" w:eastAsia="Times New Roman"/>
        </w:rPr>
        <w:t>22</w:t>
      </w:r>
      <w:r>
        <w:rPr/>
        <w:t>层、</w:t>
      </w:r>
      <w:r>
        <w:rPr>
          <w:rFonts w:ascii="Times New Roman" w:eastAsia="Times New Roman"/>
        </w:rPr>
        <w:t>23</w:t>
      </w:r>
      <w:r>
        <w:rPr/>
        <w:t>层、</w:t>
      </w:r>
      <w:r>
        <w:rPr>
          <w:rFonts w:ascii="Times New Roman" w:eastAsia="Times New Roman"/>
        </w:rPr>
        <w:t>25</w:t>
      </w:r>
      <w:r>
        <w:rPr/>
        <w:t>层</w:t>
      </w:r>
      <w:r>
        <w:rPr>
          <w:rFonts w:ascii="Times New Roman" w:eastAsia="Times New Roman"/>
        </w:rPr>
        <w:t>-29</w:t>
      </w:r>
      <w:r>
        <w:rPr/>
        <w:t>层</w:t>
      </w:r>
    </w:p>
    <w:p>
      <w:pPr>
        <w:pStyle w:val="BodyText"/>
        <w:spacing w:before="6"/>
        <w:rPr>
          <w:sz w:val="15"/>
        </w:rPr>
      </w:pPr>
    </w:p>
    <w:p>
      <w:pPr>
        <w:pStyle w:val="BodyText"/>
        <w:spacing w:line="417" w:lineRule="auto"/>
        <w:ind w:left="778" w:right="893" w:firstLine="482"/>
      </w:pPr>
      <w:r>
        <w:rPr/>
        <w:t>办公地址：上海市中山南路</w:t>
      </w:r>
      <w:r>
        <w:rPr>
          <w:rFonts w:ascii="Times New Roman" w:eastAsia="Times New Roman"/>
        </w:rPr>
        <w:t>318</w:t>
      </w:r>
      <w:r>
        <w:rPr/>
        <w:t>号</w:t>
      </w:r>
      <w:r>
        <w:rPr>
          <w:rFonts w:ascii="Times New Roman" w:eastAsia="Times New Roman"/>
        </w:rPr>
        <w:t>2</w:t>
      </w:r>
      <w:r>
        <w:rPr/>
        <w:t>号楼</w:t>
      </w:r>
      <w:r>
        <w:rPr>
          <w:rFonts w:ascii="Times New Roman" w:eastAsia="Times New Roman"/>
        </w:rPr>
        <w:t>13</w:t>
      </w:r>
      <w:r>
        <w:rPr/>
        <w:t>层、</w:t>
      </w:r>
      <w:r>
        <w:rPr>
          <w:rFonts w:ascii="Times New Roman" w:eastAsia="Times New Roman"/>
        </w:rPr>
        <w:t>21</w:t>
      </w:r>
      <w:r>
        <w:rPr/>
        <w:t>层</w:t>
      </w:r>
      <w:r>
        <w:rPr>
          <w:rFonts w:ascii="Times New Roman" w:eastAsia="Times New Roman"/>
        </w:rPr>
        <w:t>-23</w:t>
      </w:r>
      <w:r>
        <w:rPr/>
        <w:t>层、</w:t>
      </w:r>
      <w:r>
        <w:rPr>
          <w:rFonts w:ascii="Times New Roman" w:eastAsia="Times New Roman"/>
        </w:rPr>
        <w:t>25-29</w:t>
      </w:r>
      <w:r>
        <w:rPr/>
        <w:t>层、</w:t>
      </w:r>
      <w:r>
        <w:rPr>
          <w:rFonts w:ascii="Times New Roman" w:eastAsia="Times New Roman"/>
        </w:rPr>
        <w:t>32 </w:t>
      </w:r>
      <w:r>
        <w:rPr/>
        <w:t>层、</w:t>
      </w:r>
      <w:r>
        <w:rPr>
          <w:rFonts w:ascii="Times New Roman" w:eastAsia="Times New Roman"/>
        </w:rPr>
        <w:t>36 </w:t>
      </w:r>
      <w:r>
        <w:rPr/>
        <w:t>层、</w:t>
      </w:r>
      <w:r>
        <w:rPr>
          <w:rFonts w:ascii="Times New Roman" w:eastAsia="Times New Roman"/>
        </w:rPr>
        <w:t>39 </w:t>
      </w:r>
      <w:r>
        <w:rPr/>
        <w:t>层、</w:t>
      </w:r>
      <w:r>
        <w:rPr>
          <w:rFonts w:ascii="Times New Roman" w:eastAsia="Times New Roman"/>
        </w:rPr>
        <w:t>40 </w:t>
      </w:r>
      <w:r>
        <w:rPr/>
        <w:t>层</w:t>
      </w:r>
    </w:p>
    <w:p>
      <w:pPr>
        <w:pStyle w:val="BodyText"/>
        <w:spacing w:line="417" w:lineRule="auto"/>
        <w:ind w:left="1260" w:right="6830"/>
        <w:jc w:val="both"/>
        <w:rPr>
          <w:rFonts w:ascii="Times New Roman" w:eastAsia="Times New Roman"/>
        </w:rPr>
      </w:pPr>
      <w:r>
        <w:rPr/>
        <w:t>法定代表人：潘鑫军电话：</w:t>
      </w:r>
      <w:r>
        <w:rPr>
          <w:rFonts w:ascii="Times New Roman" w:eastAsia="Times New Roman"/>
        </w:rPr>
        <w:t>021-63325888 </w:t>
      </w:r>
      <w:r>
        <w:rPr/>
        <w:t>传真：</w:t>
      </w:r>
      <w:r>
        <w:rPr>
          <w:rFonts w:ascii="Times New Roman" w:eastAsia="Times New Roman"/>
        </w:rPr>
        <w:t>021-63326729</w:t>
      </w:r>
    </w:p>
    <w:p>
      <w:pPr>
        <w:spacing w:after="0" w:line="417" w:lineRule="auto"/>
        <w:jc w:val="both"/>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联系人：孔亚楠</w:t>
      </w:r>
    </w:p>
    <w:p>
      <w:pPr>
        <w:pStyle w:val="BodyText"/>
        <w:spacing w:before="6"/>
        <w:rPr>
          <w:sz w:val="15"/>
        </w:rPr>
      </w:pPr>
    </w:p>
    <w:p>
      <w:pPr>
        <w:pStyle w:val="BodyText"/>
        <w:spacing w:line="417" w:lineRule="auto"/>
        <w:ind w:left="1260" w:right="6517"/>
        <w:rPr>
          <w:rFonts w:ascii="Times New Roman" w:eastAsia="Times New Roman"/>
        </w:rPr>
      </w:pPr>
      <w:r>
        <w:rPr/>
        <w:t>网址：</w:t>
      </w:r>
      <w:hyperlink r:id="rId150">
        <w:r>
          <w:rPr>
            <w:rFonts w:ascii="Times New Roman" w:eastAsia="Times New Roman"/>
          </w:rPr>
          <w:t>www.dfzq.com.cn </w:t>
        </w:r>
      </w:hyperlink>
      <w:r>
        <w:rPr/>
        <w:t>客户服务电话：</w:t>
      </w:r>
      <w:r>
        <w:rPr>
          <w:rFonts w:ascii="Times New Roman" w:eastAsia="Times New Roman"/>
        </w:rPr>
        <w:t>95503</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方正证券股份有限公司</w:t>
      </w:r>
    </w:p>
    <w:p>
      <w:pPr>
        <w:pStyle w:val="BodyText"/>
        <w:spacing w:before="7"/>
        <w:rPr>
          <w:sz w:val="15"/>
        </w:rPr>
      </w:pPr>
    </w:p>
    <w:p>
      <w:pPr>
        <w:pStyle w:val="BodyText"/>
        <w:ind w:left="1260"/>
      </w:pPr>
      <w:r>
        <w:rPr/>
        <w:t>住所：湖南省长沙市芙蓉中路二段华侨国际大厦</w:t>
      </w:r>
      <w:r>
        <w:rPr>
          <w:rFonts w:ascii="Times New Roman" w:eastAsia="Times New Roman"/>
        </w:rPr>
        <w:t>22-24</w:t>
      </w:r>
      <w:r>
        <w:rPr/>
        <w:t>层</w:t>
      </w:r>
    </w:p>
    <w:p>
      <w:pPr>
        <w:pStyle w:val="BodyText"/>
        <w:spacing w:before="7"/>
        <w:rPr>
          <w:sz w:val="15"/>
        </w:rPr>
      </w:pPr>
    </w:p>
    <w:p>
      <w:pPr>
        <w:pStyle w:val="BodyText"/>
        <w:spacing w:line="417" w:lineRule="auto"/>
        <w:ind w:left="1260" w:right="3188"/>
      </w:pPr>
      <w:r>
        <w:rPr/>
        <w:t>办公地址：湖南省长沙市芙蓉中路二段华侨国际大厦</w:t>
      </w:r>
      <w:r>
        <w:rPr>
          <w:rFonts w:ascii="Times New Roman" w:eastAsia="Times New Roman"/>
        </w:rPr>
        <w:t>22-24</w:t>
      </w:r>
      <w:r>
        <w:rPr/>
        <w:t>层法定代表人：雷杰</w:t>
      </w:r>
    </w:p>
    <w:p>
      <w:pPr>
        <w:pStyle w:val="BodyText"/>
        <w:spacing w:line="417" w:lineRule="auto"/>
        <w:ind w:left="1260" w:right="6760"/>
        <w:rPr>
          <w:rFonts w:ascii="Times New Roman" w:eastAsia="Times New Roman"/>
        </w:rPr>
      </w:pPr>
      <w:r>
        <w:rPr/>
        <w:t>电话：</w:t>
      </w:r>
      <w:r>
        <w:rPr>
          <w:rFonts w:ascii="Times New Roman" w:eastAsia="Times New Roman"/>
        </w:rPr>
        <w:t>0731-85832503 </w:t>
      </w:r>
      <w:r>
        <w:rPr/>
        <w:t>传真：</w:t>
      </w:r>
      <w:r>
        <w:rPr>
          <w:rFonts w:ascii="Times New Roman" w:eastAsia="Times New Roman"/>
        </w:rPr>
        <w:t>0731-85832214</w:t>
      </w:r>
    </w:p>
    <w:p>
      <w:pPr>
        <w:pStyle w:val="BodyText"/>
        <w:spacing w:line="269" w:lineRule="exact"/>
        <w:ind w:left="1260"/>
      </w:pPr>
      <w:r>
        <w:rPr/>
        <w:t>联系人：郭军瑞</w:t>
      </w:r>
    </w:p>
    <w:p>
      <w:pPr>
        <w:pStyle w:val="BodyText"/>
        <w:spacing w:before="7"/>
        <w:rPr>
          <w:sz w:val="15"/>
        </w:rPr>
      </w:pPr>
    </w:p>
    <w:p>
      <w:pPr>
        <w:pStyle w:val="BodyText"/>
        <w:spacing w:line="417" w:lineRule="auto"/>
        <w:ind w:left="1260" w:right="6311"/>
        <w:rPr>
          <w:rFonts w:ascii="Times New Roman" w:eastAsia="Times New Roman"/>
        </w:rPr>
      </w:pPr>
      <w:r>
        <w:rPr/>
        <w:t>网址：</w:t>
      </w:r>
      <w:hyperlink r:id="rId151">
        <w:r>
          <w:rPr>
            <w:rFonts w:ascii="Times New Roman" w:eastAsia="Times New Roman"/>
          </w:rPr>
          <w:t>www.foundersc.com </w:t>
        </w:r>
      </w:hyperlink>
      <w:r>
        <w:rPr/>
        <w:t>客户服务电话：</w:t>
      </w:r>
      <w:r>
        <w:rPr>
          <w:rFonts w:ascii="Times New Roman" w:eastAsia="Times New Roman"/>
        </w:rPr>
        <w:t>95571</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长城证券股份有限公司</w:t>
      </w:r>
    </w:p>
    <w:p>
      <w:pPr>
        <w:pStyle w:val="BodyText"/>
        <w:spacing w:before="6"/>
        <w:rPr>
          <w:sz w:val="15"/>
        </w:rPr>
      </w:pPr>
    </w:p>
    <w:p>
      <w:pPr>
        <w:pStyle w:val="BodyText"/>
        <w:spacing w:before="1"/>
        <w:ind w:left="1260"/>
      </w:pPr>
      <w:r>
        <w:rPr/>
        <w:t>住所：深圳市福田区福田街道金田路</w:t>
      </w:r>
      <w:r>
        <w:rPr>
          <w:rFonts w:ascii="Times New Roman" w:eastAsia="Times New Roman"/>
        </w:rPr>
        <w:t>2026</w:t>
      </w:r>
      <w:r>
        <w:rPr/>
        <w:t>号能源大厦南塔楼</w:t>
      </w:r>
      <w:r>
        <w:rPr>
          <w:rFonts w:ascii="Times New Roman" w:eastAsia="Times New Roman"/>
        </w:rPr>
        <w:t>10-19</w:t>
      </w:r>
      <w:r>
        <w:rPr/>
        <w:t>层</w:t>
      </w:r>
    </w:p>
    <w:p>
      <w:pPr>
        <w:pStyle w:val="BodyText"/>
        <w:spacing w:before="6"/>
        <w:rPr>
          <w:sz w:val="15"/>
        </w:rPr>
      </w:pPr>
    </w:p>
    <w:p>
      <w:pPr>
        <w:pStyle w:val="BodyText"/>
        <w:spacing w:line="417" w:lineRule="auto" w:before="1"/>
        <w:ind w:left="1260" w:right="2137"/>
      </w:pPr>
      <w:r>
        <w:rPr/>
        <w:t>办公地址：深圳市福田区福田街道金田路</w:t>
      </w:r>
      <w:r>
        <w:rPr>
          <w:rFonts w:ascii="Times New Roman" w:eastAsia="Times New Roman"/>
        </w:rPr>
        <w:t>2026</w:t>
      </w:r>
      <w:r>
        <w:rPr/>
        <w:t>号能源大厦南塔楼</w:t>
      </w:r>
      <w:r>
        <w:rPr>
          <w:rFonts w:ascii="Times New Roman" w:eastAsia="Times New Roman"/>
        </w:rPr>
        <w:t>10-19</w:t>
      </w:r>
      <w:r>
        <w:rPr/>
        <w:t>层法定代表人：曹宏</w:t>
      </w:r>
    </w:p>
    <w:p>
      <w:pPr>
        <w:pStyle w:val="BodyText"/>
        <w:spacing w:line="417" w:lineRule="auto"/>
        <w:ind w:left="1260" w:right="6760"/>
        <w:rPr>
          <w:rFonts w:ascii="Times New Roman" w:eastAsia="Times New Roman"/>
        </w:rPr>
      </w:pPr>
      <w:r>
        <w:rPr/>
        <w:t>电话：</w:t>
      </w:r>
      <w:r>
        <w:rPr>
          <w:rFonts w:ascii="Times New Roman" w:eastAsia="Times New Roman"/>
        </w:rPr>
        <w:t>0755-83530715 </w:t>
      </w:r>
      <w:r>
        <w:rPr/>
        <w:t>传真：</w:t>
      </w:r>
      <w:r>
        <w:rPr>
          <w:rFonts w:ascii="Times New Roman" w:eastAsia="Times New Roman"/>
        </w:rPr>
        <w:t>0755-83515567</w:t>
      </w:r>
    </w:p>
    <w:p>
      <w:pPr>
        <w:pStyle w:val="BodyText"/>
        <w:spacing w:line="269" w:lineRule="exact"/>
        <w:ind w:left="1260"/>
      </w:pPr>
      <w:r>
        <w:rPr/>
        <w:t>联系人：梁浩</w:t>
      </w:r>
    </w:p>
    <w:p>
      <w:pPr>
        <w:pStyle w:val="BodyText"/>
        <w:spacing w:before="6"/>
        <w:rPr>
          <w:sz w:val="15"/>
        </w:rPr>
      </w:pPr>
    </w:p>
    <w:p>
      <w:pPr>
        <w:pStyle w:val="BodyText"/>
        <w:spacing w:line="417" w:lineRule="auto"/>
        <w:ind w:left="1260" w:right="6727"/>
        <w:rPr>
          <w:rFonts w:ascii="Times New Roman" w:eastAsia="Times New Roman"/>
        </w:rPr>
      </w:pPr>
      <w:r>
        <w:rPr/>
        <w:t>网址：</w:t>
      </w:r>
      <w:hyperlink r:id="rId152">
        <w:r>
          <w:rPr>
            <w:rFonts w:ascii="Times New Roman" w:eastAsia="Times New Roman"/>
          </w:rPr>
          <w:t>www.cgws.com </w:t>
        </w:r>
      </w:hyperlink>
      <w:r>
        <w:rPr/>
        <w:t>客户服务电话：</w:t>
      </w:r>
      <w:r>
        <w:rPr>
          <w:rFonts w:ascii="Times New Roman" w:eastAsia="Times New Roman"/>
        </w:rPr>
        <w:t>95514</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光大证券股份有限公司</w:t>
      </w:r>
    </w:p>
    <w:p>
      <w:pPr>
        <w:pStyle w:val="BodyText"/>
        <w:spacing w:before="7"/>
        <w:rPr>
          <w:sz w:val="15"/>
        </w:rPr>
      </w:pPr>
    </w:p>
    <w:p>
      <w:pPr>
        <w:pStyle w:val="BodyText"/>
        <w:ind w:left="1260"/>
      </w:pPr>
      <w:r>
        <w:rPr/>
        <w:t>住所：上海市静安区新闸路</w:t>
      </w:r>
      <w:r>
        <w:rPr>
          <w:rFonts w:ascii="Times New Roman" w:eastAsia="Times New Roman"/>
        </w:rPr>
        <w:t>1508</w:t>
      </w:r>
      <w:r>
        <w:rPr/>
        <w:t>号</w:t>
      </w:r>
    </w:p>
    <w:p>
      <w:pPr>
        <w:pStyle w:val="BodyText"/>
        <w:spacing w:before="7"/>
        <w:rPr>
          <w:sz w:val="15"/>
        </w:rPr>
      </w:pPr>
    </w:p>
    <w:p>
      <w:pPr>
        <w:pStyle w:val="BodyText"/>
        <w:spacing w:line="417" w:lineRule="auto"/>
        <w:ind w:left="1260" w:right="5149"/>
      </w:pPr>
      <w:r>
        <w:rPr/>
        <w:t>办公地址：上海市静安区新闸路</w:t>
      </w:r>
      <w:r>
        <w:rPr>
          <w:rFonts w:ascii="Times New Roman" w:eastAsia="Times New Roman"/>
        </w:rPr>
        <w:t>1508</w:t>
      </w:r>
      <w:r>
        <w:rPr/>
        <w:t>号法定代表人：薛峰</w:t>
      </w:r>
    </w:p>
    <w:p>
      <w:pPr>
        <w:pStyle w:val="BodyText"/>
        <w:spacing w:line="417" w:lineRule="auto"/>
        <w:ind w:left="1260" w:right="6866"/>
        <w:rPr>
          <w:rFonts w:ascii="Times New Roman" w:eastAsia="Times New Roman"/>
        </w:rPr>
      </w:pPr>
      <w:r>
        <w:rPr/>
        <w:t>电话：</w:t>
      </w:r>
      <w:r>
        <w:rPr>
          <w:rFonts w:ascii="Times New Roman" w:eastAsia="Times New Roman"/>
        </w:rPr>
        <w:t>021-22169081 </w:t>
      </w:r>
      <w:r>
        <w:rPr/>
        <w:t>传真：</w:t>
      </w:r>
      <w:r>
        <w:rPr>
          <w:rFonts w:ascii="Times New Roman" w:eastAsia="Times New Roman"/>
        </w:rPr>
        <w:t>021-22169134</w:t>
      </w:r>
    </w:p>
    <w:p>
      <w:pPr>
        <w:pStyle w:val="BodyText"/>
        <w:spacing w:line="269" w:lineRule="exact"/>
        <w:ind w:left="1260"/>
      </w:pPr>
      <w:r>
        <w:rPr/>
        <w:t>联系人：刘晨</w:t>
      </w:r>
    </w:p>
    <w:p>
      <w:pPr>
        <w:pStyle w:val="BodyText"/>
        <w:spacing w:before="6"/>
        <w:rPr>
          <w:sz w:val="15"/>
        </w:rPr>
      </w:pPr>
    </w:p>
    <w:p>
      <w:pPr>
        <w:pStyle w:val="BodyText"/>
        <w:spacing w:before="1"/>
        <w:ind w:left="1260"/>
        <w:rPr>
          <w:rFonts w:ascii="Times New Roman" w:eastAsia="Times New Roman"/>
        </w:rPr>
      </w:pPr>
      <w:r>
        <w:rPr/>
        <w:t>网址：</w:t>
      </w:r>
      <w:hyperlink r:id="rId153">
        <w:r>
          <w:rPr>
            <w:rFonts w:ascii="Times New Roman" w:eastAsia="Times New Roman"/>
          </w:rPr>
          <w:t>www.ebscn.com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95525</w:t>
      </w:r>
      <w:r>
        <w:rPr/>
        <w:t>、</w:t>
      </w:r>
      <w:r>
        <w:rPr>
          <w:rFonts w:ascii="Times New Roman" w:eastAsia="Times New Roman"/>
        </w:rPr>
        <w:t>400-888-8788</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999" w:val="left" w:leader="none"/>
        </w:tabs>
        <w:spacing w:line="240" w:lineRule="auto" w:before="79" w:after="0"/>
        <w:ind w:left="1998" w:right="0" w:hanging="739"/>
        <w:jc w:val="left"/>
        <w:rPr>
          <w:sz w:val="21"/>
        </w:rPr>
      </w:pPr>
      <w:r>
        <w:rPr>
          <w:spacing w:val="-3"/>
          <w:sz w:val="21"/>
        </w:rPr>
        <w:t>中信证券华南股份有限公司</w:t>
      </w:r>
    </w:p>
    <w:p>
      <w:pPr>
        <w:pStyle w:val="BodyText"/>
        <w:spacing w:before="6"/>
        <w:rPr>
          <w:sz w:val="15"/>
        </w:rPr>
      </w:pPr>
    </w:p>
    <w:p>
      <w:pPr>
        <w:pStyle w:val="BodyText"/>
        <w:ind w:left="1260"/>
      </w:pPr>
      <w:r>
        <w:rPr/>
        <w:t>住所：广州市天河区珠江西路</w:t>
      </w:r>
      <w:r>
        <w:rPr>
          <w:rFonts w:ascii="Times New Roman" w:eastAsia="Times New Roman"/>
        </w:rPr>
        <w:t>5</w:t>
      </w:r>
      <w:r>
        <w:rPr/>
        <w:t>号广州国际金融中心主塔</w:t>
      </w:r>
      <w:r>
        <w:rPr>
          <w:rFonts w:ascii="Times New Roman" w:eastAsia="Times New Roman"/>
        </w:rPr>
        <w:t>19</w:t>
      </w:r>
      <w:r>
        <w:rPr/>
        <w:t>层、</w:t>
      </w:r>
      <w:r>
        <w:rPr>
          <w:rFonts w:ascii="Times New Roman" w:eastAsia="Times New Roman"/>
        </w:rPr>
        <w:t>20</w:t>
      </w:r>
      <w:r>
        <w:rPr/>
        <w:t>层</w:t>
      </w:r>
    </w:p>
    <w:p>
      <w:pPr>
        <w:pStyle w:val="BodyText"/>
        <w:spacing w:before="7"/>
        <w:rPr>
          <w:sz w:val="15"/>
        </w:rPr>
      </w:pPr>
    </w:p>
    <w:p>
      <w:pPr>
        <w:pStyle w:val="BodyText"/>
        <w:spacing w:line="417" w:lineRule="auto"/>
        <w:ind w:left="1260" w:right="2103"/>
      </w:pPr>
      <w:r>
        <w:rPr/>
        <w:t>办公地址：广州市天河区珠江西路</w:t>
      </w:r>
      <w:r>
        <w:rPr>
          <w:rFonts w:ascii="Times New Roman" w:eastAsia="Times New Roman"/>
        </w:rPr>
        <w:t>5</w:t>
      </w:r>
      <w:r>
        <w:rPr/>
        <w:t>号广州国际金融中心主塔</w:t>
      </w:r>
      <w:r>
        <w:rPr>
          <w:rFonts w:ascii="Times New Roman" w:eastAsia="Times New Roman"/>
        </w:rPr>
        <w:t>19</w:t>
      </w:r>
      <w:r>
        <w:rPr/>
        <w:t>层、</w:t>
      </w:r>
      <w:r>
        <w:rPr>
          <w:rFonts w:ascii="Times New Roman" w:eastAsia="Times New Roman"/>
        </w:rPr>
        <w:t>20</w:t>
      </w:r>
      <w:r>
        <w:rPr/>
        <w:t>层法定代表人：胡伏云</w:t>
      </w:r>
    </w:p>
    <w:p>
      <w:pPr>
        <w:pStyle w:val="BodyText"/>
        <w:spacing w:line="417" w:lineRule="auto"/>
        <w:ind w:left="1260" w:right="6866"/>
        <w:rPr>
          <w:rFonts w:ascii="Times New Roman" w:eastAsia="Times New Roman"/>
        </w:rPr>
      </w:pPr>
      <w:r>
        <w:rPr/>
        <w:t>电话：</w:t>
      </w:r>
      <w:r>
        <w:rPr>
          <w:rFonts w:ascii="Times New Roman" w:eastAsia="Times New Roman"/>
        </w:rPr>
        <w:t>020-88836999 </w:t>
      </w:r>
      <w:r>
        <w:rPr/>
        <w:t>传真：</w:t>
      </w:r>
      <w:r>
        <w:rPr>
          <w:rFonts w:ascii="Times New Roman" w:eastAsia="Times New Roman"/>
        </w:rPr>
        <w:t>020-88836984</w:t>
      </w:r>
    </w:p>
    <w:p>
      <w:pPr>
        <w:pStyle w:val="BodyText"/>
        <w:spacing w:line="269" w:lineRule="exact"/>
        <w:ind w:left="1260"/>
      </w:pPr>
      <w:r>
        <w:rPr/>
        <w:t>联系人：陈靖</w:t>
      </w:r>
    </w:p>
    <w:p>
      <w:pPr>
        <w:pStyle w:val="BodyText"/>
        <w:spacing w:before="7"/>
        <w:rPr>
          <w:sz w:val="15"/>
        </w:rPr>
      </w:pPr>
    </w:p>
    <w:p>
      <w:pPr>
        <w:pStyle w:val="BodyText"/>
        <w:spacing w:line="417" w:lineRule="auto"/>
        <w:ind w:left="1260" w:right="6611"/>
        <w:rPr>
          <w:rFonts w:ascii="Times New Roman" w:eastAsia="Times New Roman"/>
        </w:rPr>
      </w:pPr>
      <w:r>
        <w:rPr/>
        <w:t>网址：</w:t>
      </w:r>
      <w:hyperlink r:id="rId154">
        <w:r>
          <w:rPr>
            <w:rFonts w:ascii="Times New Roman" w:eastAsia="Times New Roman"/>
          </w:rPr>
          <w:t>www.gzs.com.cn </w:t>
        </w:r>
      </w:hyperlink>
      <w:r>
        <w:rPr/>
        <w:t>客户服务电话：</w:t>
      </w:r>
      <w:r>
        <w:rPr>
          <w:rFonts w:ascii="Times New Roman" w:eastAsia="Times New Roman"/>
        </w:rPr>
        <w:t>95548</w:t>
      </w:r>
    </w:p>
    <w:p>
      <w:pPr>
        <w:pStyle w:val="ListParagraph"/>
        <w:numPr>
          <w:ilvl w:val="0"/>
          <w:numId w:val="8"/>
        </w:numPr>
        <w:tabs>
          <w:tab w:pos="1999" w:val="left" w:leader="none"/>
        </w:tabs>
        <w:spacing w:line="417" w:lineRule="auto" w:before="0" w:after="0"/>
        <w:ind w:left="1260" w:right="5886" w:firstLine="0"/>
        <w:jc w:val="left"/>
        <w:rPr>
          <w:sz w:val="21"/>
        </w:rPr>
      </w:pPr>
      <w:r>
        <w:rPr>
          <w:spacing w:val="-4"/>
          <w:sz w:val="21"/>
        </w:rPr>
        <w:t>东北证券股份有限公司</w:t>
      </w:r>
      <w:r>
        <w:rPr>
          <w:spacing w:val="-3"/>
          <w:sz w:val="21"/>
        </w:rPr>
        <w:t>住所：长春市生态大街</w:t>
      </w:r>
      <w:r>
        <w:rPr>
          <w:rFonts w:ascii="Times New Roman" w:eastAsia="Times New Roman"/>
          <w:sz w:val="21"/>
        </w:rPr>
        <w:t>6666</w:t>
      </w:r>
      <w:r>
        <w:rPr>
          <w:sz w:val="21"/>
        </w:rPr>
        <w:t>号</w:t>
      </w:r>
    </w:p>
    <w:p>
      <w:pPr>
        <w:pStyle w:val="BodyText"/>
        <w:spacing w:line="417" w:lineRule="auto"/>
        <w:ind w:left="1260" w:right="5569"/>
      </w:pPr>
      <w:r>
        <w:rPr/>
        <w:t>办公地址：长春市生态大街</w:t>
      </w:r>
      <w:r>
        <w:rPr>
          <w:rFonts w:ascii="Times New Roman" w:eastAsia="Times New Roman"/>
        </w:rPr>
        <w:t>6666</w:t>
      </w:r>
      <w:r>
        <w:rPr/>
        <w:t>号法定代表人：李福春</w:t>
      </w:r>
    </w:p>
    <w:p>
      <w:pPr>
        <w:pStyle w:val="BodyText"/>
        <w:spacing w:line="417" w:lineRule="auto"/>
        <w:ind w:left="1260" w:right="6760"/>
        <w:rPr>
          <w:rFonts w:ascii="Times New Roman" w:eastAsia="Times New Roman"/>
        </w:rPr>
      </w:pPr>
      <w:r>
        <w:rPr/>
        <w:t>电话：</w:t>
      </w:r>
      <w:r>
        <w:rPr>
          <w:rFonts w:ascii="Times New Roman" w:eastAsia="Times New Roman"/>
        </w:rPr>
        <w:t>0431-85096517 </w:t>
      </w:r>
      <w:r>
        <w:rPr/>
        <w:t>传真：</w:t>
      </w:r>
      <w:r>
        <w:rPr>
          <w:rFonts w:ascii="Times New Roman" w:eastAsia="Times New Roman"/>
        </w:rPr>
        <w:t>0431-85096795</w:t>
      </w:r>
    </w:p>
    <w:p>
      <w:pPr>
        <w:pStyle w:val="BodyText"/>
        <w:spacing w:line="417" w:lineRule="auto"/>
        <w:ind w:left="1260" w:right="6974"/>
        <w:rPr>
          <w:rFonts w:ascii="Times New Roman" w:eastAsia="Times New Roman"/>
        </w:rPr>
      </w:pPr>
      <w:r>
        <w:rPr>
          <w:spacing w:val="-2"/>
        </w:rPr>
        <w:t>联系人：安岩岩 </w:t>
      </w:r>
      <w:r>
        <w:rPr>
          <w:spacing w:val="-3"/>
        </w:rPr>
        <w:t>网址：</w:t>
      </w:r>
      <w:hyperlink r:id="rId155">
        <w:r>
          <w:rPr>
            <w:rFonts w:ascii="Times New Roman" w:eastAsia="Times New Roman"/>
            <w:spacing w:val="-4"/>
          </w:rPr>
          <w:t>www.nesc.cn</w:t>
        </w:r>
      </w:hyperlink>
    </w:p>
    <w:p>
      <w:pPr>
        <w:pStyle w:val="BodyText"/>
        <w:spacing w:line="269" w:lineRule="exact"/>
        <w:ind w:left="1260"/>
        <w:rPr>
          <w:rFonts w:ascii="Times New Roman" w:eastAsia="Times New Roman"/>
        </w:rPr>
      </w:pPr>
      <w:r>
        <w:rPr/>
        <w:t>客户服务电话：</w:t>
      </w:r>
      <w:r>
        <w:rPr>
          <w:rFonts w:ascii="Times New Roman" w:eastAsia="Times New Roman"/>
        </w:rPr>
        <w:t>95360</w:t>
      </w:r>
    </w:p>
    <w:p>
      <w:pPr>
        <w:pStyle w:val="BodyText"/>
        <w:spacing w:before="2"/>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南京证券股份有限公司</w:t>
      </w:r>
    </w:p>
    <w:p>
      <w:pPr>
        <w:pStyle w:val="BodyText"/>
        <w:spacing w:before="6"/>
        <w:rPr>
          <w:sz w:val="15"/>
        </w:rPr>
      </w:pPr>
    </w:p>
    <w:p>
      <w:pPr>
        <w:pStyle w:val="BodyText"/>
        <w:ind w:left="1260"/>
      </w:pPr>
      <w:r>
        <w:rPr/>
        <w:t>住所：江苏省南京市江东中路</w:t>
      </w:r>
      <w:r>
        <w:rPr>
          <w:rFonts w:ascii="Times New Roman" w:eastAsia="Times New Roman"/>
        </w:rPr>
        <w:t>389</w:t>
      </w:r>
      <w:r>
        <w:rPr/>
        <w:t>号</w:t>
      </w:r>
    </w:p>
    <w:p>
      <w:pPr>
        <w:pStyle w:val="BodyText"/>
        <w:spacing w:before="7"/>
        <w:rPr>
          <w:sz w:val="15"/>
        </w:rPr>
      </w:pPr>
    </w:p>
    <w:p>
      <w:pPr>
        <w:pStyle w:val="BodyText"/>
        <w:spacing w:line="417" w:lineRule="auto"/>
        <w:ind w:left="1260" w:right="5044"/>
      </w:pPr>
      <w:r>
        <w:rPr/>
        <w:t>办公地址：江苏省南京市江东中路</w:t>
      </w:r>
      <w:r>
        <w:rPr>
          <w:rFonts w:ascii="Times New Roman" w:eastAsia="Times New Roman"/>
        </w:rPr>
        <w:t>389</w:t>
      </w:r>
      <w:r>
        <w:rPr/>
        <w:t>号法定代表人：李剑锋</w:t>
      </w:r>
    </w:p>
    <w:p>
      <w:pPr>
        <w:pStyle w:val="BodyText"/>
        <w:spacing w:line="417" w:lineRule="auto"/>
        <w:ind w:left="1260" w:right="6866"/>
        <w:rPr>
          <w:rFonts w:ascii="Times New Roman" w:eastAsia="Times New Roman"/>
        </w:rPr>
      </w:pPr>
      <w:r>
        <w:rPr/>
        <w:t>电话：</w:t>
      </w:r>
      <w:r>
        <w:rPr>
          <w:rFonts w:ascii="Times New Roman" w:eastAsia="Times New Roman"/>
        </w:rPr>
        <w:t>025-58519523 </w:t>
      </w:r>
      <w:r>
        <w:rPr/>
        <w:t>传真：</w:t>
      </w:r>
      <w:r>
        <w:rPr>
          <w:rFonts w:ascii="Times New Roman" w:eastAsia="Times New Roman"/>
        </w:rPr>
        <w:t>025-83369725</w:t>
      </w:r>
    </w:p>
    <w:p>
      <w:pPr>
        <w:pStyle w:val="BodyText"/>
        <w:spacing w:line="269" w:lineRule="exact"/>
        <w:ind w:left="1260"/>
      </w:pPr>
      <w:r>
        <w:rPr/>
        <w:t>联系人：王万君</w:t>
      </w:r>
    </w:p>
    <w:p>
      <w:pPr>
        <w:pStyle w:val="BodyText"/>
        <w:spacing w:before="7"/>
        <w:rPr>
          <w:sz w:val="15"/>
        </w:rPr>
      </w:pPr>
    </w:p>
    <w:p>
      <w:pPr>
        <w:pStyle w:val="BodyText"/>
        <w:spacing w:line="417" w:lineRule="auto"/>
        <w:ind w:left="1260" w:right="6529"/>
        <w:rPr>
          <w:rFonts w:ascii="Times New Roman" w:eastAsia="Times New Roman"/>
        </w:rPr>
      </w:pPr>
      <w:r>
        <w:rPr/>
        <w:t>网址：</w:t>
      </w:r>
      <w:hyperlink r:id="rId156">
        <w:r>
          <w:rPr>
            <w:rFonts w:ascii="Times New Roman" w:eastAsia="Times New Roman"/>
          </w:rPr>
          <w:t>www.njzq.com.cn </w:t>
        </w:r>
      </w:hyperlink>
      <w:r>
        <w:rPr/>
        <w:t>客户服务电话：</w:t>
      </w:r>
      <w:r>
        <w:rPr>
          <w:rFonts w:ascii="Times New Roman" w:eastAsia="Times New Roman"/>
        </w:rPr>
        <w:t>95386</w:t>
      </w:r>
    </w:p>
    <w:p>
      <w:pPr>
        <w:pStyle w:val="ListParagraph"/>
        <w:numPr>
          <w:ilvl w:val="0"/>
          <w:numId w:val="8"/>
        </w:numPr>
        <w:tabs>
          <w:tab w:pos="1999" w:val="left" w:leader="none"/>
        </w:tabs>
        <w:spacing w:line="417" w:lineRule="auto" w:before="0" w:after="0"/>
        <w:ind w:left="1260" w:right="5886" w:firstLine="0"/>
        <w:jc w:val="left"/>
        <w:rPr>
          <w:sz w:val="21"/>
        </w:rPr>
      </w:pPr>
      <w:r>
        <w:rPr>
          <w:spacing w:val="-4"/>
          <w:sz w:val="21"/>
        </w:rPr>
        <w:t>上海证券有限责任公司</w:t>
      </w:r>
      <w:r>
        <w:rPr>
          <w:spacing w:val="-3"/>
          <w:sz w:val="21"/>
        </w:rPr>
        <w:t>住所：上海市西藏中路</w:t>
      </w:r>
      <w:r>
        <w:rPr>
          <w:rFonts w:ascii="Times New Roman" w:eastAsia="Times New Roman"/>
          <w:sz w:val="21"/>
        </w:rPr>
        <w:t>336</w:t>
      </w:r>
      <w:r>
        <w:rPr>
          <w:sz w:val="21"/>
        </w:rPr>
        <w:t>号</w:t>
      </w:r>
    </w:p>
    <w:p>
      <w:pPr>
        <w:pStyle w:val="BodyText"/>
        <w:ind w:left="1260"/>
      </w:pPr>
      <w:r>
        <w:rPr/>
        <w:t>办公地址：上海市西藏中路</w:t>
      </w:r>
      <w:r>
        <w:rPr>
          <w:rFonts w:ascii="Times New Roman" w:eastAsia="Times New Roman"/>
        </w:rPr>
        <w:t>336</w:t>
      </w:r>
      <w:r>
        <w:rPr/>
        <w:t>号</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30"/>
        <w:jc w:val="both"/>
        <w:rPr>
          <w:rFonts w:ascii="Times New Roman" w:eastAsia="Times New Roman"/>
        </w:rPr>
      </w:pPr>
      <w:r>
        <w:rPr/>
        <w:t>法定代表人：龚德雄电话：</w:t>
      </w:r>
      <w:r>
        <w:rPr>
          <w:rFonts w:ascii="Times New Roman" w:eastAsia="Times New Roman"/>
        </w:rPr>
        <w:t>021-51539888 </w:t>
      </w:r>
      <w:r>
        <w:rPr/>
        <w:t>传真：</w:t>
      </w:r>
      <w:r>
        <w:rPr>
          <w:rFonts w:ascii="Times New Roman" w:eastAsia="Times New Roman"/>
        </w:rPr>
        <w:t>021-65217206</w:t>
      </w:r>
    </w:p>
    <w:p>
      <w:pPr>
        <w:pStyle w:val="BodyText"/>
        <w:spacing w:line="269" w:lineRule="exact"/>
        <w:ind w:left="1260"/>
      </w:pPr>
      <w:r>
        <w:rPr/>
        <w:t>联系人：张瑾</w:t>
      </w:r>
    </w:p>
    <w:p>
      <w:pPr>
        <w:pStyle w:val="BodyText"/>
        <w:spacing w:before="7"/>
        <w:rPr>
          <w:sz w:val="15"/>
        </w:rPr>
      </w:pPr>
    </w:p>
    <w:p>
      <w:pPr>
        <w:pStyle w:val="BodyText"/>
        <w:ind w:left="1260"/>
        <w:rPr>
          <w:rFonts w:ascii="Times New Roman" w:eastAsia="Times New Roman"/>
        </w:rPr>
      </w:pPr>
      <w:r>
        <w:rPr/>
        <w:t>网址：</w:t>
      </w:r>
      <w:hyperlink r:id="rId157">
        <w:r>
          <w:rPr>
            <w:rFonts w:ascii="Times New Roman" w:eastAsia="Times New Roman"/>
          </w:rPr>
          <w:t>www.962518.com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400-891-8918</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新时代证券股份有限公司</w:t>
      </w:r>
    </w:p>
    <w:p>
      <w:pPr>
        <w:pStyle w:val="BodyText"/>
        <w:spacing w:before="7"/>
        <w:rPr>
          <w:sz w:val="15"/>
        </w:rPr>
      </w:pPr>
    </w:p>
    <w:p>
      <w:pPr>
        <w:pStyle w:val="BodyText"/>
        <w:ind w:left="1260"/>
        <w:rPr>
          <w:rFonts w:ascii="Times New Roman" w:eastAsia="Times New Roman"/>
        </w:rPr>
      </w:pPr>
      <w:r>
        <w:rPr/>
        <w:t>住所：北京市海淀区北三环西路</w:t>
      </w:r>
      <w:r>
        <w:rPr>
          <w:rFonts w:ascii="Times New Roman" w:eastAsia="Times New Roman"/>
        </w:rPr>
        <w:t>99</w:t>
      </w:r>
      <w:r>
        <w:rPr/>
        <w:t>号院</w:t>
      </w:r>
      <w:r>
        <w:rPr>
          <w:rFonts w:ascii="Times New Roman" w:eastAsia="Times New Roman"/>
        </w:rPr>
        <w:t>1</w:t>
      </w:r>
      <w:r>
        <w:rPr/>
        <w:t>号楼</w:t>
      </w:r>
      <w:r>
        <w:rPr>
          <w:rFonts w:ascii="Times New Roman" w:eastAsia="Times New Roman"/>
        </w:rPr>
        <w:t>15</w:t>
      </w:r>
      <w:r>
        <w:rPr/>
        <w:t>层</w:t>
      </w:r>
      <w:r>
        <w:rPr>
          <w:rFonts w:ascii="Times New Roman" w:eastAsia="Times New Roman"/>
        </w:rPr>
        <w:t>1501</w:t>
      </w:r>
    </w:p>
    <w:p>
      <w:pPr>
        <w:pStyle w:val="BodyText"/>
        <w:spacing w:before="4"/>
        <w:rPr>
          <w:rFonts w:ascii="Times New Roman"/>
          <w:sz w:val="17"/>
        </w:rPr>
      </w:pPr>
    </w:p>
    <w:p>
      <w:pPr>
        <w:pStyle w:val="BodyText"/>
        <w:spacing w:line="417" w:lineRule="auto"/>
        <w:ind w:left="1260" w:right="3363"/>
      </w:pPr>
      <w:r>
        <w:rPr/>
        <w:t>办公地址：北京市海淀区北三环西路</w:t>
      </w:r>
      <w:r>
        <w:rPr>
          <w:rFonts w:ascii="Times New Roman" w:eastAsia="Times New Roman"/>
        </w:rPr>
        <w:t>99</w:t>
      </w:r>
      <w:r>
        <w:rPr/>
        <w:t>号院</w:t>
      </w:r>
      <w:r>
        <w:rPr>
          <w:rFonts w:ascii="Times New Roman" w:eastAsia="Times New Roman"/>
        </w:rPr>
        <w:t>1</w:t>
      </w:r>
      <w:r>
        <w:rPr/>
        <w:t>号楼</w:t>
      </w:r>
      <w:r>
        <w:rPr>
          <w:rFonts w:ascii="Times New Roman" w:eastAsia="Times New Roman"/>
        </w:rPr>
        <w:t>15</w:t>
      </w:r>
      <w:r>
        <w:rPr/>
        <w:t>层</w:t>
      </w:r>
      <w:r>
        <w:rPr>
          <w:rFonts w:ascii="Times New Roman" w:eastAsia="Times New Roman"/>
        </w:rPr>
        <w:t>1501 </w:t>
      </w:r>
      <w:r>
        <w:rPr/>
        <w:t>法定代表人：林雯</w:t>
      </w:r>
    </w:p>
    <w:p>
      <w:pPr>
        <w:pStyle w:val="BodyText"/>
        <w:spacing w:line="417" w:lineRule="auto"/>
        <w:ind w:left="1260" w:right="6866"/>
        <w:rPr>
          <w:rFonts w:ascii="Times New Roman" w:eastAsia="Times New Roman"/>
        </w:rPr>
      </w:pPr>
      <w:r>
        <w:rPr/>
        <w:t>电话：</w:t>
      </w:r>
      <w:r>
        <w:rPr>
          <w:rFonts w:ascii="Times New Roman" w:eastAsia="Times New Roman"/>
        </w:rPr>
        <w:t>010-83561146 </w:t>
      </w:r>
      <w:r>
        <w:rPr/>
        <w:t>传真：</w:t>
      </w:r>
      <w:r>
        <w:rPr>
          <w:rFonts w:ascii="Times New Roman" w:eastAsia="Times New Roman"/>
        </w:rPr>
        <w:t>010-83561094</w:t>
      </w:r>
    </w:p>
    <w:p>
      <w:pPr>
        <w:pStyle w:val="BodyText"/>
        <w:spacing w:line="269" w:lineRule="exact"/>
        <w:ind w:left="1260"/>
      </w:pPr>
      <w:r>
        <w:rPr/>
        <w:t>联系人：田芳芳</w:t>
      </w:r>
    </w:p>
    <w:p>
      <w:pPr>
        <w:pStyle w:val="BodyText"/>
        <w:spacing w:before="6"/>
        <w:rPr>
          <w:sz w:val="15"/>
        </w:rPr>
      </w:pPr>
    </w:p>
    <w:p>
      <w:pPr>
        <w:pStyle w:val="BodyText"/>
        <w:spacing w:line="417" w:lineRule="auto"/>
        <w:ind w:left="1260" w:right="6727"/>
        <w:rPr>
          <w:rFonts w:ascii="Times New Roman" w:eastAsia="Times New Roman"/>
        </w:rPr>
      </w:pPr>
      <w:r>
        <w:rPr/>
        <w:t>网址：</w:t>
      </w:r>
      <w:hyperlink r:id="rId158">
        <w:r>
          <w:rPr>
            <w:rFonts w:ascii="Times New Roman" w:eastAsia="Times New Roman"/>
          </w:rPr>
          <w:t>www.xsdzq.cn </w:t>
        </w:r>
      </w:hyperlink>
      <w:r>
        <w:rPr/>
        <w:t>客户服务电话：</w:t>
      </w:r>
      <w:r>
        <w:rPr>
          <w:rFonts w:ascii="Times New Roman" w:eastAsia="Times New Roman"/>
        </w:rPr>
        <w:t>95399</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大同证券有限责任公司</w:t>
      </w:r>
    </w:p>
    <w:p>
      <w:pPr>
        <w:pStyle w:val="BodyText"/>
        <w:spacing w:before="7"/>
        <w:rPr>
          <w:sz w:val="15"/>
        </w:rPr>
      </w:pPr>
    </w:p>
    <w:p>
      <w:pPr>
        <w:pStyle w:val="BodyText"/>
        <w:ind w:left="1260"/>
      </w:pPr>
      <w:r>
        <w:rPr/>
        <w:t>住所：大同市城区迎宾街</w:t>
      </w:r>
      <w:r>
        <w:rPr>
          <w:rFonts w:ascii="Times New Roman" w:eastAsia="Times New Roman"/>
        </w:rPr>
        <w:t>15</w:t>
      </w:r>
      <w:r>
        <w:rPr/>
        <w:t>号桐城中央</w:t>
      </w:r>
      <w:r>
        <w:rPr>
          <w:rFonts w:ascii="Times New Roman" w:eastAsia="Times New Roman"/>
        </w:rPr>
        <w:t>21</w:t>
      </w:r>
      <w:r>
        <w:rPr/>
        <w:t>层</w:t>
      </w:r>
    </w:p>
    <w:p>
      <w:pPr>
        <w:pStyle w:val="BodyText"/>
        <w:spacing w:before="6"/>
        <w:rPr>
          <w:sz w:val="15"/>
        </w:rPr>
      </w:pPr>
    </w:p>
    <w:p>
      <w:pPr>
        <w:pStyle w:val="BodyText"/>
        <w:spacing w:line="417" w:lineRule="auto" w:before="1"/>
        <w:ind w:left="1260" w:right="2743"/>
      </w:pPr>
      <w:r>
        <w:rPr/>
        <w:t>办公地址：山西省太原市长治路</w:t>
      </w:r>
      <w:r>
        <w:rPr>
          <w:rFonts w:ascii="Times New Roman" w:eastAsia="Times New Roman"/>
        </w:rPr>
        <w:t>111</w:t>
      </w:r>
      <w:r>
        <w:rPr/>
        <w:t>号山西世贸中心</w:t>
      </w:r>
      <w:r>
        <w:rPr>
          <w:rFonts w:ascii="Times New Roman" w:eastAsia="Times New Roman"/>
        </w:rPr>
        <w:t>A</w:t>
      </w:r>
      <w:r>
        <w:rPr/>
        <w:t>座</w:t>
      </w:r>
      <w:r>
        <w:rPr>
          <w:rFonts w:ascii="Times New Roman" w:eastAsia="Times New Roman"/>
        </w:rPr>
        <w:t>F12</w:t>
      </w:r>
      <w:r>
        <w:rPr/>
        <w:t>、</w:t>
      </w:r>
      <w:r>
        <w:rPr>
          <w:rFonts w:ascii="Times New Roman" w:eastAsia="Times New Roman"/>
        </w:rPr>
        <w:t>F13 </w:t>
      </w:r>
      <w:r>
        <w:rPr/>
        <w:t>法定代表人：董祥</w:t>
      </w:r>
    </w:p>
    <w:p>
      <w:pPr>
        <w:pStyle w:val="BodyText"/>
        <w:spacing w:line="417" w:lineRule="auto"/>
        <w:ind w:left="1260" w:right="6866"/>
        <w:rPr>
          <w:rFonts w:ascii="Times New Roman" w:eastAsia="Times New Roman"/>
        </w:rPr>
      </w:pPr>
      <w:r>
        <w:rPr/>
        <w:t>电话：</w:t>
      </w:r>
      <w:r>
        <w:rPr>
          <w:rFonts w:ascii="Times New Roman" w:eastAsia="Times New Roman"/>
        </w:rPr>
        <w:t>0351-4130322 </w:t>
      </w:r>
      <w:r>
        <w:rPr/>
        <w:t>传真：</w:t>
      </w:r>
      <w:r>
        <w:rPr>
          <w:rFonts w:ascii="Times New Roman" w:eastAsia="Times New Roman"/>
        </w:rPr>
        <w:t>0351-4192803</w:t>
      </w:r>
    </w:p>
    <w:p>
      <w:pPr>
        <w:pStyle w:val="BodyText"/>
        <w:ind w:left="1260"/>
      </w:pPr>
      <w:r>
        <w:rPr/>
        <w:t>联系人：薛津</w:t>
      </w:r>
    </w:p>
    <w:p>
      <w:pPr>
        <w:pStyle w:val="BodyText"/>
        <w:spacing w:before="6"/>
        <w:rPr>
          <w:sz w:val="15"/>
        </w:rPr>
      </w:pPr>
    </w:p>
    <w:p>
      <w:pPr>
        <w:pStyle w:val="BodyText"/>
        <w:ind w:left="1260"/>
        <w:rPr>
          <w:rFonts w:ascii="Times New Roman" w:eastAsia="Times New Roman"/>
        </w:rPr>
      </w:pPr>
      <w:r>
        <w:rPr/>
        <w:t>网址：</w:t>
      </w:r>
      <w:hyperlink r:id="rId159">
        <w:r>
          <w:rPr>
            <w:rFonts w:ascii="Times New Roman" w:eastAsia="Times New Roman"/>
          </w:rPr>
          <w:t>www.dtsbc.com.cn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400-712-1212</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国联证券股份有限公司</w:t>
      </w:r>
    </w:p>
    <w:p>
      <w:pPr>
        <w:pStyle w:val="BodyText"/>
        <w:spacing w:before="7"/>
        <w:rPr>
          <w:sz w:val="15"/>
        </w:rPr>
      </w:pPr>
    </w:p>
    <w:p>
      <w:pPr>
        <w:pStyle w:val="BodyText"/>
        <w:ind w:left="1260"/>
      </w:pPr>
      <w:r>
        <w:rPr/>
        <w:t>住所：无锡市太湖新城金融一街</w:t>
      </w:r>
      <w:r>
        <w:rPr>
          <w:rFonts w:ascii="Times New Roman" w:eastAsia="Times New Roman"/>
        </w:rPr>
        <w:t>8</w:t>
      </w:r>
      <w:r>
        <w:rPr/>
        <w:t>号国联金融大厦</w:t>
      </w:r>
    </w:p>
    <w:p>
      <w:pPr>
        <w:pStyle w:val="BodyText"/>
        <w:spacing w:before="7"/>
        <w:rPr>
          <w:sz w:val="15"/>
        </w:rPr>
      </w:pPr>
    </w:p>
    <w:p>
      <w:pPr>
        <w:pStyle w:val="BodyText"/>
        <w:spacing w:line="417" w:lineRule="auto"/>
        <w:ind w:left="1260" w:right="3786"/>
      </w:pPr>
      <w:r>
        <w:rPr/>
        <w:t>办公地址：无锡市太湖新城金融一街</w:t>
      </w:r>
      <w:r>
        <w:rPr>
          <w:rFonts w:ascii="Times New Roman" w:eastAsia="Times New Roman"/>
        </w:rPr>
        <w:t>8</w:t>
      </w:r>
      <w:r>
        <w:rPr/>
        <w:t>号国联金融大厦法定代表人：姚志勇</w:t>
      </w:r>
    </w:p>
    <w:p>
      <w:pPr>
        <w:pStyle w:val="BodyText"/>
        <w:spacing w:line="417" w:lineRule="auto"/>
        <w:ind w:left="1260" w:right="6760"/>
        <w:rPr>
          <w:rFonts w:ascii="Times New Roman" w:eastAsia="Times New Roman"/>
        </w:rPr>
      </w:pPr>
      <w:r>
        <w:rPr/>
        <w:t>电话：</w:t>
      </w:r>
      <w:r>
        <w:rPr>
          <w:rFonts w:ascii="Times New Roman" w:eastAsia="Times New Roman"/>
        </w:rPr>
        <w:t>0510-82831662 </w:t>
      </w:r>
      <w:r>
        <w:rPr/>
        <w:t>传真：</w:t>
      </w:r>
      <w:r>
        <w:rPr>
          <w:rFonts w:ascii="Times New Roman" w:eastAsia="Times New Roman"/>
        </w:rPr>
        <w:t>0510-82830162</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联系人：祁昊</w:t>
      </w:r>
    </w:p>
    <w:p>
      <w:pPr>
        <w:pStyle w:val="BodyText"/>
        <w:spacing w:before="6"/>
        <w:rPr>
          <w:sz w:val="15"/>
        </w:rPr>
      </w:pPr>
    </w:p>
    <w:p>
      <w:pPr>
        <w:pStyle w:val="BodyText"/>
        <w:spacing w:line="417" w:lineRule="auto"/>
        <w:ind w:left="1260" w:right="6551"/>
        <w:rPr>
          <w:rFonts w:ascii="Times New Roman" w:eastAsia="Times New Roman"/>
        </w:rPr>
      </w:pPr>
      <w:r>
        <w:rPr/>
        <w:t>网址：</w:t>
      </w:r>
      <w:hyperlink r:id="rId160">
        <w:r>
          <w:rPr>
            <w:rFonts w:ascii="Times New Roman" w:eastAsia="Times New Roman"/>
          </w:rPr>
          <w:t>www.glsc.com.cn </w:t>
        </w:r>
      </w:hyperlink>
      <w:r>
        <w:rPr/>
        <w:t>客户服务电话：</w:t>
      </w:r>
      <w:r>
        <w:rPr>
          <w:rFonts w:ascii="Times New Roman" w:eastAsia="Times New Roman"/>
        </w:rPr>
        <w:t>95570</w:t>
      </w: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浙商证券股份有限公司 住所：杭州市江干区五星路</w:t>
      </w:r>
      <w:r>
        <w:rPr>
          <w:rFonts w:ascii="Times New Roman" w:eastAsia="Times New Roman"/>
          <w:sz w:val="21"/>
        </w:rPr>
        <w:t>201</w:t>
      </w:r>
      <w:r>
        <w:rPr>
          <w:spacing w:val="-13"/>
          <w:sz w:val="21"/>
        </w:rPr>
        <w:t>号</w:t>
      </w:r>
    </w:p>
    <w:p>
      <w:pPr>
        <w:pStyle w:val="BodyText"/>
        <w:spacing w:line="417" w:lineRule="auto"/>
        <w:ind w:left="1260" w:right="3680"/>
      </w:pPr>
      <w:r>
        <w:rPr/>
        <w:t>办公地址：杭州市江干区五星路</w:t>
      </w:r>
      <w:r>
        <w:rPr>
          <w:rFonts w:ascii="Times New Roman" w:eastAsia="Times New Roman"/>
        </w:rPr>
        <w:t>201</w:t>
      </w:r>
      <w:r>
        <w:rPr/>
        <w:t>号浙商证券大楼</w:t>
      </w:r>
      <w:r>
        <w:rPr>
          <w:rFonts w:ascii="Times New Roman" w:eastAsia="Times New Roman"/>
        </w:rPr>
        <w:t>8</w:t>
      </w:r>
      <w:r>
        <w:rPr/>
        <w:t>楼法定代表人：吴承根</w:t>
      </w:r>
    </w:p>
    <w:p>
      <w:pPr>
        <w:pStyle w:val="BodyText"/>
        <w:spacing w:line="417" w:lineRule="auto"/>
        <w:ind w:left="1260" w:right="6760"/>
        <w:rPr>
          <w:rFonts w:ascii="Times New Roman" w:eastAsia="Times New Roman"/>
        </w:rPr>
      </w:pPr>
      <w:r>
        <w:rPr/>
        <w:t>电话：</w:t>
      </w:r>
      <w:r>
        <w:rPr>
          <w:rFonts w:ascii="Times New Roman" w:eastAsia="Times New Roman"/>
        </w:rPr>
        <w:t>0571-87901053 </w:t>
      </w:r>
      <w:r>
        <w:rPr/>
        <w:t>传真：</w:t>
      </w:r>
      <w:r>
        <w:rPr>
          <w:rFonts w:ascii="Times New Roman" w:eastAsia="Times New Roman"/>
        </w:rPr>
        <w:t>0571-87901913</w:t>
      </w:r>
    </w:p>
    <w:p>
      <w:pPr>
        <w:pStyle w:val="BodyText"/>
        <w:spacing w:line="269" w:lineRule="exact"/>
        <w:ind w:left="1260"/>
      </w:pPr>
      <w:r>
        <w:rPr/>
        <w:t>联系人：谢相辉</w:t>
      </w:r>
    </w:p>
    <w:p>
      <w:pPr>
        <w:pStyle w:val="BodyText"/>
        <w:spacing w:before="6"/>
        <w:rPr>
          <w:sz w:val="15"/>
        </w:rPr>
      </w:pPr>
    </w:p>
    <w:p>
      <w:pPr>
        <w:pStyle w:val="BodyText"/>
        <w:spacing w:line="417" w:lineRule="auto" w:before="1"/>
        <w:ind w:left="1260" w:right="6354"/>
        <w:rPr>
          <w:rFonts w:ascii="Times New Roman" w:eastAsia="Times New Roman"/>
        </w:rPr>
      </w:pPr>
      <w:r>
        <w:rPr/>
        <w:t>网址：</w:t>
      </w:r>
      <w:hyperlink r:id="rId161">
        <w:r>
          <w:rPr>
            <w:rFonts w:ascii="Times New Roman" w:eastAsia="Times New Roman"/>
          </w:rPr>
          <w:t>www.stocke.com.cn </w:t>
        </w:r>
      </w:hyperlink>
      <w:r>
        <w:rPr/>
        <w:t>客户服务电话：</w:t>
      </w:r>
      <w:r>
        <w:rPr>
          <w:rFonts w:ascii="Times New Roman" w:eastAsia="Times New Roman"/>
        </w:rPr>
        <w:t>95345</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平安证券股份有限公司</w:t>
      </w:r>
    </w:p>
    <w:p>
      <w:pPr>
        <w:pStyle w:val="BodyText"/>
        <w:spacing w:before="6"/>
        <w:rPr>
          <w:sz w:val="15"/>
        </w:rPr>
      </w:pPr>
    </w:p>
    <w:p>
      <w:pPr>
        <w:pStyle w:val="BodyText"/>
        <w:spacing w:line="417" w:lineRule="auto"/>
        <w:ind w:left="1260" w:right="2209"/>
      </w:pPr>
      <w:r>
        <w:rPr/>
        <w:t>住所：深圳市福田区福田街道益田路</w:t>
      </w:r>
      <w:r>
        <w:rPr>
          <w:rFonts w:ascii="Times New Roman" w:eastAsia="Times New Roman"/>
        </w:rPr>
        <w:t>5023</w:t>
      </w:r>
      <w:r>
        <w:rPr/>
        <w:t>号平安金融中心</w:t>
      </w:r>
      <w:r>
        <w:rPr>
          <w:rFonts w:ascii="Times New Roman" w:eastAsia="Times New Roman"/>
        </w:rPr>
        <w:t>B</w:t>
      </w:r>
      <w:r>
        <w:rPr/>
        <w:t>座第</w:t>
      </w:r>
      <w:r>
        <w:rPr>
          <w:rFonts w:ascii="Times New Roman" w:eastAsia="Times New Roman"/>
        </w:rPr>
        <w:t>22-25</w:t>
      </w:r>
      <w:r>
        <w:rPr/>
        <w:t>层办公地址：深圳市福田中心区金田路</w:t>
      </w:r>
      <w:r>
        <w:rPr>
          <w:rFonts w:ascii="Times New Roman" w:eastAsia="Times New Roman"/>
        </w:rPr>
        <w:t>4036</w:t>
      </w:r>
      <w:r>
        <w:rPr/>
        <w:t>号荣超大厦</w:t>
      </w:r>
      <w:r>
        <w:rPr>
          <w:rFonts w:ascii="Times New Roman" w:eastAsia="Times New Roman"/>
        </w:rPr>
        <w:t>16-20</w:t>
      </w:r>
      <w:r>
        <w:rPr/>
        <w:t>层</w:t>
      </w:r>
    </w:p>
    <w:p>
      <w:pPr>
        <w:pStyle w:val="BodyText"/>
        <w:spacing w:line="417" w:lineRule="auto"/>
        <w:ind w:left="1260" w:right="6830"/>
        <w:rPr>
          <w:rFonts w:ascii="Times New Roman" w:eastAsia="Times New Roman"/>
        </w:rPr>
      </w:pPr>
      <w:r>
        <w:rPr/>
        <w:t>法定代表人：何之江电话：</w:t>
      </w:r>
      <w:r>
        <w:rPr>
          <w:rFonts w:ascii="Times New Roman" w:eastAsia="Times New Roman"/>
        </w:rPr>
        <w:t>13916661875 </w:t>
      </w:r>
      <w:r>
        <w:rPr/>
        <w:t>传真：</w:t>
      </w:r>
      <w:r>
        <w:rPr>
          <w:rFonts w:ascii="Times New Roman" w:eastAsia="Times New Roman"/>
        </w:rPr>
        <w:t>021-33830395</w:t>
      </w:r>
    </w:p>
    <w:p>
      <w:pPr>
        <w:pStyle w:val="BodyText"/>
        <w:spacing w:line="269" w:lineRule="exact"/>
        <w:ind w:left="1260"/>
      </w:pPr>
      <w:r>
        <w:rPr/>
        <w:t>联系人：王阳</w:t>
      </w:r>
    </w:p>
    <w:p>
      <w:pPr>
        <w:pStyle w:val="BodyText"/>
        <w:spacing w:before="7"/>
        <w:rPr>
          <w:sz w:val="15"/>
        </w:rPr>
      </w:pPr>
    </w:p>
    <w:p>
      <w:pPr>
        <w:pStyle w:val="BodyText"/>
        <w:spacing w:line="417" w:lineRule="auto"/>
        <w:ind w:left="1260" w:right="6520"/>
        <w:rPr>
          <w:rFonts w:ascii="Times New Roman" w:eastAsia="Times New Roman"/>
        </w:rPr>
      </w:pPr>
      <w:r>
        <w:rPr/>
        <w:t>网址：</w:t>
      </w:r>
      <w:hyperlink r:id="rId162">
        <w:r>
          <w:rPr>
            <w:rFonts w:ascii="Times New Roman" w:eastAsia="Times New Roman"/>
          </w:rPr>
          <w:t>www.pingan.com </w:t>
        </w:r>
      </w:hyperlink>
      <w:r>
        <w:rPr/>
        <w:t>客户服务电话：</w:t>
      </w:r>
      <w:r>
        <w:rPr>
          <w:rFonts w:ascii="Times New Roman" w:eastAsia="Times New Roman"/>
        </w:rPr>
        <w:t>95511-8</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华安证券股份有限公司</w:t>
      </w:r>
    </w:p>
    <w:p>
      <w:pPr>
        <w:pStyle w:val="BodyText"/>
        <w:spacing w:before="7"/>
        <w:rPr>
          <w:sz w:val="15"/>
        </w:rPr>
      </w:pPr>
    </w:p>
    <w:p>
      <w:pPr>
        <w:pStyle w:val="BodyText"/>
        <w:ind w:left="1260"/>
      </w:pPr>
      <w:r>
        <w:rPr/>
        <w:t>住所：安徽省合肥市政务文化新区天鹅湖路</w:t>
      </w:r>
      <w:r>
        <w:rPr>
          <w:rFonts w:ascii="Times New Roman" w:eastAsia="Times New Roman"/>
        </w:rPr>
        <w:t>198</w:t>
      </w:r>
      <w:r>
        <w:rPr/>
        <w:t>号</w:t>
      </w:r>
    </w:p>
    <w:p>
      <w:pPr>
        <w:pStyle w:val="BodyText"/>
        <w:spacing w:before="7"/>
        <w:rPr>
          <w:sz w:val="15"/>
        </w:rPr>
      </w:pPr>
    </w:p>
    <w:p>
      <w:pPr>
        <w:pStyle w:val="BodyText"/>
        <w:spacing w:line="417" w:lineRule="auto"/>
        <w:ind w:left="1260" w:right="2490"/>
      </w:pPr>
      <w:r>
        <w:rPr/>
        <w:t>办公地址：安徽省合肥市政务文化新区天鹅湖路</w:t>
      </w:r>
      <w:r>
        <w:rPr>
          <w:rFonts w:ascii="Times New Roman" w:eastAsia="Times New Roman"/>
        </w:rPr>
        <w:t>198</w:t>
      </w:r>
      <w:r>
        <w:rPr/>
        <w:t>号财智中心</w:t>
      </w:r>
      <w:r>
        <w:rPr>
          <w:rFonts w:ascii="Times New Roman" w:eastAsia="Times New Roman"/>
        </w:rPr>
        <w:t>B1</w:t>
      </w:r>
      <w:r>
        <w:rPr/>
        <w:t>座法定代表人：章宏韬</w:t>
      </w:r>
    </w:p>
    <w:p>
      <w:pPr>
        <w:pStyle w:val="BodyText"/>
        <w:spacing w:line="417" w:lineRule="auto"/>
        <w:ind w:left="1260" w:right="6760"/>
        <w:rPr>
          <w:rFonts w:ascii="Times New Roman" w:eastAsia="Times New Roman"/>
        </w:rPr>
      </w:pPr>
      <w:r>
        <w:rPr/>
        <w:t>电话：</w:t>
      </w:r>
      <w:r>
        <w:rPr>
          <w:rFonts w:ascii="Times New Roman" w:eastAsia="Times New Roman"/>
        </w:rPr>
        <w:t>0551-65161666 </w:t>
      </w:r>
      <w:r>
        <w:rPr/>
        <w:t>传真：</w:t>
      </w:r>
      <w:r>
        <w:rPr>
          <w:rFonts w:ascii="Times New Roman" w:eastAsia="Times New Roman"/>
        </w:rPr>
        <w:t>0551-65161600</w:t>
      </w:r>
    </w:p>
    <w:p>
      <w:pPr>
        <w:pStyle w:val="BodyText"/>
        <w:spacing w:line="269" w:lineRule="exact"/>
        <w:ind w:left="1260"/>
      </w:pPr>
      <w:r>
        <w:rPr/>
        <w:t>联系人：范超</w:t>
      </w:r>
    </w:p>
    <w:p>
      <w:pPr>
        <w:pStyle w:val="BodyText"/>
        <w:spacing w:before="7"/>
        <w:rPr>
          <w:sz w:val="15"/>
        </w:rPr>
      </w:pPr>
    </w:p>
    <w:p>
      <w:pPr>
        <w:pStyle w:val="BodyText"/>
        <w:spacing w:line="417" w:lineRule="auto"/>
        <w:ind w:left="1260" w:right="6727"/>
        <w:rPr>
          <w:rFonts w:ascii="Times New Roman" w:eastAsia="Times New Roman"/>
        </w:rPr>
      </w:pPr>
      <w:r>
        <w:rPr/>
        <w:t>网址：</w:t>
      </w:r>
      <w:hyperlink r:id="rId163">
        <w:r>
          <w:rPr>
            <w:rFonts w:ascii="Times New Roman" w:eastAsia="Times New Roman"/>
          </w:rPr>
          <w:t>www.hazq.com </w:t>
        </w:r>
      </w:hyperlink>
      <w:r>
        <w:rPr/>
        <w:t>客户服务电话：</w:t>
      </w:r>
      <w:r>
        <w:rPr>
          <w:rFonts w:ascii="Times New Roman" w:eastAsia="Times New Roman"/>
        </w:rPr>
        <w:t>95318</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999" w:val="left" w:leader="none"/>
        </w:tabs>
        <w:spacing w:line="417" w:lineRule="auto" w:before="79" w:after="0"/>
        <w:ind w:left="1260" w:right="5886" w:firstLine="0"/>
        <w:jc w:val="left"/>
        <w:rPr>
          <w:sz w:val="21"/>
        </w:rPr>
      </w:pPr>
      <w:r>
        <w:rPr>
          <w:spacing w:val="-4"/>
          <w:sz w:val="21"/>
        </w:rPr>
        <w:t>国海证券股份有限公司</w:t>
      </w:r>
      <w:r>
        <w:rPr>
          <w:spacing w:val="-3"/>
          <w:sz w:val="21"/>
        </w:rPr>
        <w:t>住所：广西桂林市辅星路</w:t>
      </w:r>
      <w:r>
        <w:rPr>
          <w:rFonts w:ascii="Times New Roman" w:eastAsia="Times New Roman"/>
          <w:sz w:val="21"/>
        </w:rPr>
        <w:t>13</w:t>
      </w:r>
      <w:r>
        <w:rPr>
          <w:sz w:val="21"/>
        </w:rPr>
        <w:t>号</w:t>
      </w:r>
    </w:p>
    <w:p>
      <w:pPr>
        <w:pStyle w:val="BodyText"/>
        <w:spacing w:line="417" w:lineRule="auto"/>
        <w:ind w:left="1260" w:right="4518"/>
      </w:pPr>
      <w:r>
        <w:rPr/>
        <w:t>办公地址：广西壮族自治区南宁市滨湖路</w:t>
      </w:r>
      <w:r>
        <w:rPr>
          <w:rFonts w:ascii="Times New Roman" w:eastAsia="Times New Roman"/>
        </w:rPr>
        <w:t>46</w:t>
      </w:r>
      <w:r>
        <w:rPr/>
        <w:t>号法定代表人：何春梅</w:t>
      </w:r>
    </w:p>
    <w:p>
      <w:pPr>
        <w:pStyle w:val="BodyText"/>
        <w:spacing w:line="417" w:lineRule="auto"/>
        <w:ind w:left="1260" w:right="6760"/>
        <w:rPr>
          <w:rFonts w:ascii="Times New Roman" w:eastAsia="Times New Roman"/>
        </w:rPr>
      </w:pPr>
      <w:r>
        <w:rPr/>
        <w:t>电话：</w:t>
      </w:r>
      <w:r>
        <w:rPr>
          <w:rFonts w:ascii="Times New Roman" w:eastAsia="Times New Roman"/>
        </w:rPr>
        <w:t>0755-83709350 </w:t>
      </w:r>
      <w:r>
        <w:rPr/>
        <w:t>传真：</w:t>
      </w:r>
      <w:r>
        <w:rPr>
          <w:rFonts w:ascii="Times New Roman" w:eastAsia="Times New Roman"/>
        </w:rPr>
        <w:t>0755-83704850</w:t>
      </w:r>
    </w:p>
    <w:p>
      <w:pPr>
        <w:pStyle w:val="BodyText"/>
        <w:spacing w:line="269" w:lineRule="exact"/>
        <w:ind w:left="1260"/>
      </w:pPr>
      <w:r>
        <w:rPr/>
        <w:t>联系人：牛孟宇</w:t>
      </w:r>
    </w:p>
    <w:p>
      <w:pPr>
        <w:pStyle w:val="BodyText"/>
        <w:spacing w:before="6"/>
        <w:rPr>
          <w:sz w:val="15"/>
        </w:rPr>
      </w:pPr>
    </w:p>
    <w:p>
      <w:pPr>
        <w:pStyle w:val="BodyText"/>
        <w:spacing w:line="417" w:lineRule="auto"/>
        <w:ind w:left="1260" w:right="6482"/>
        <w:rPr>
          <w:rFonts w:ascii="Times New Roman" w:eastAsia="Times New Roman"/>
        </w:rPr>
      </w:pPr>
      <w:r>
        <w:rPr/>
        <w:t>网址：</w:t>
      </w:r>
      <w:hyperlink r:id="rId164">
        <w:r>
          <w:rPr>
            <w:rFonts w:ascii="Times New Roman" w:eastAsia="Times New Roman"/>
          </w:rPr>
          <w:t>www.ghzq.com.cn </w:t>
        </w:r>
      </w:hyperlink>
      <w:r>
        <w:rPr/>
        <w:t>客户服务电话：</w:t>
      </w:r>
      <w:r>
        <w:rPr>
          <w:rFonts w:ascii="Times New Roman" w:eastAsia="Times New Roman"/>
        </w:rPr>
        <w:t>95563</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财信证券有限责任公司</w:t>
      </w:r>
    </w:p>
    <w:p>
      <w:pPr>
        <w:pStyle w:val="BodyText"/>
        <w:spacing w:before="7"/>
        <w:rPr>
          <w:sz w:val="15"/>
        </w:rPr>
      </w:pPr>
    </w:p>
    <w:p>
      <w:pPr>
        <w:pStyle w:val="BodyText"/>
        <w:ind w:left="1260"/>
      </w:pPr>
      <w:r>
        <w:rPr/>
        <w:t>住所：长沙市芙蓉中路二段</w:t>
      </w:r>
      <w:r>
        <w:rPr>
          <w:rFonts w:ascii="Times New Roman" w:eastAsia="Times New Roman"/>
        </w:rPr>
        <w:t>80</w:t>
      </w:r>
      <w:r>
        <w:rPr/>
        <w:t>号顺天国际财富中心</w:t>
      </w:r>
      <w:r>
        <w:rPr>
          <w:rFonts w:ascii="Times New Roman" w:eastAsia="Times New Roman"/>
        </w:rPr>
        <w:t>26</w:t>
      </w:r>
      <w:r>
        <w:rPr/>
        <w:t>层</w:t>
      </w:r>
    </w:p>
    <w:p>
      <w:pPr>
        <w:pStyle w:val="BodyText"/>
        <w:spacing w:before="6"/>
        <w:rPr>
          <w:sz w:val="15"/>
        </w:rPr>
      </w:pPr>
    </w:p>
    <w:p>
      <w:pPr>
        <w:pStyle w:val="BodyText"/>
        <w:spacing w:line="417" w:lineRule="auto" w:before="1"/>
        <w:ind w:left="1260" w:right="2977"/>
      </w:pPr>
      <w:r>
        <w:rPr/>
        <w:t>办公地址：长沙市芙蓉中路二段</w:t>
      </w:r>
      <w:r>
        <w:rPr>
          <w:rFonts w:ascii="Times New Roman" w:eastAsia="Times New Roman"/>
        </w:rPr>
        <w:t>80</w:t>
      </w:r>
      <w:r>
        <w:rPr/>
        <w:t>号顺天国际财富中心</w:t>
      </w:r>
      <w:r>
        <w:rPr>
          <w:rFonts w:ascii="Times New Roman" w:eastAsia="Times New Roman"/>
        </w:rPr>
        <w:t>26-28</w:t>
      </w:r>
      <w:r>
        <w:rPr/>
        <w:t>层法定代表人：蔡一兵</w:t>
      </w:r>
    </w:p>
    <w:p>
      <w:pPr>
        <w:pStyle w:val="BodyText"/>
        <w:spacing w:line="417" w:lineRule="auto"/>
        <w:ind w:left="1260" w:right="6760"/>
        <w:rPr>
          <w:rFonts w:ascii="Times New Roman" w:eastAsia="Times New Roman"/>
        </w:rPr>
      </w:pPr>
      <w:r>
        <w:rPr/>
        <w:t>电话：</w:t>
      </w:r>
      <w:r>
        <w:rPr>
          <w:rFonts w:ascii="Times New Roman" w:eastAsia="Times New Roman"/>
        </w:rPr>
        <w:t>0731-84403347 </w:t>
      </w:r>
      <w:r>
        <w:rPr/>
        <w:t>传真：</w:t>
      </w:r>
      <w:r>
        <w:rPr>
          <w:rFonts w:ascii="Times New Roman" w:eastAsia="Times New Roman"/>
        </w:rPr>
        <w:t>0731-84403439</w:t>
      </w:r>
    </w:p>
    <w:p>
      <w:pPr>
        <w:pStyle w:val="BodyText"/>
        <w:ind w:left="1260"/>
      </w:pPr>
      <w:r>
        <w:rPr/>
        <w:t>联系人：郭静</w:t>
      </w:r>
    </w:p>
    <w:p>
      <w:pPr>
        <w:pStyle w:val="BodyText"/>
        <w:spacing w:before="6"/>
        <w:rPr>
          <w:sz w:val="15"/>
        </w:rPr>
      </w:pPr>
    </w:p>
    <w:p>
      <w:pPr>
        <w:pStyle w:val="BodyText"/>
        <w:spacing w:line="417" w:lineRule="auto"/>
        <w:ind w:left="1260" w:right="6727"/>
        <w:rPr>
          <w:rFonts w:ascii="Times New Roman" w:eastAsia="Times New Roman"/>
        </w:rPr>
      </w:pPr>
      <w:r>
        <w:rPr/>
        <w:t>网址：</w:t>
      </w:r>
      <w:hyperlink r:id="rId165">
        <w:r>
          <w:rPr>
            <w:rFonts w:ascii="Times New Roman" w:eastAsia="Times New Roman"/>
          </w:rPr>
          <w:t>www.cfzq.com </w:t>
        </w:r>
      </w:hyperlink>
      <w:r>
        <w:rPr/>
        <w:t>客户服务电话：</w:t>
      </w:r>
      <w:r>
        <w:rPr>
          <w:rFonts w:ascii="Times New Roman" w:eastAsia="Times New Roman"/>
        </w:rPr>
        <w:t>95317</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东莞证券股份有限公司</w:t>
      </w:r>
    </w:p>
    <w:p>
      <w:pPr>
        <w:pStyle w:val="BodyText"/>
        <w:spacing w:before="7"/>
        <w:rPr>
          <w:sz w:val="15"/>
        </w:rPr>
      </w:pPr>
    </w:p>
    <w:p>
      <w:pPr>
        <w:pStyle w:val="BodyText"/>
        <w:ind w:left="1260"/>
      </w:pPr>
      <w:r>
        <w:rPr/>
        <w:t>住所：东莞市莞城区可园南路</w:t>
      </w:r>
      <w:r>
        <w:rPr>
          <w:rFonts w:ascii="Times New Roman" w:eastAsia="Times New Roman"/>
        </w:rPr>
        <w:t>1</w:t>
      </w:r>
      <w:r>
        <w:rPr/>
        <w:t>号金源中心</w:t>
      </w:r>
    </w:p>
    <w:p>
      <w:pPr>
        <w:pStyle w:val="BodyText"/>
        <w:spacing w:before="6"/>
        <w:rPr>
          <w:sz w:val="15"/>
        </w:rPr>
      </w:pPr>
    </w:p>
    <w:p>
      <w:pPr>
        <w:pStyle w:val="BodyText"/>
        <w:spacing w:line="417" w:lineRule="auto" w:before="1"/>
        <w:ind w:left="1260" w:right="3995"/>
      </w:pPr>
      <w:r>
        <w:rPr/>
        <w:t>办公地址：东莞市莞城区可园南路</w:t>
      </w:r>
      <w:r>
        <w:rPr>
          <w:rFonts w:ascii="Times New Roman" w:eastAsia="Times New Roman"/>
        </w:rPr>
        <w:t>1</w:t>
      </w:r>
      <w:r>
        <w:rPr/>
        <w:t>号金源中心</w:t>
      </w:r>
      <w:r>
        <w:rPr>
          <w:rFonts w:ascii="Times New Roman" w:eastAsia="Times New Roman"/>
        </w:rPr>
        <w:t>30</w:t>
      </w:r>
      <w:r>
        <w:rPr/>
        <w:t>楼法定代表人：张运勇</w:t>
      </w:r>
    </w:p>
    <w:p>
      <w:pPr>
        <w:pStyle w:val="BodyText"/>
        <w:spacing w:line="417" w:lineRule="auto"/>
        <w:ind w:left="1260" w:right="5194"/>
        <w:rPr>
          <w:rFonts w:ascii="Times New Roman" w:eastAsia="Times New Roman"/>
        </w:rPr>
      </w:pPr>
      <w:r>
        <w:rPr/>
        <w:t>电话：</w:t>
      </w:r>
      <w:r>
        <w:rPr>
          <w:rFonts w:ascii="Times New Roman" w:eastAsia="Times New Roman"/>
        </w:rPr>
        <w:t>0769-22115712</w:t>
      </w:r>
      <w:r>
        <w:rPr/>
        <w:t>、</w:t>
      </w:r>
      <w:r>
        <w:rPr>
          <w:rFonts w:ascii="Times New Roman" w:eastAsia="Times New Roman"/>
        </w:rPr>
        <w:t>0769-22119348 </w:t>
      </w:r>
      <w:r>
        <w:rPr/>
        <w:t>传真：</w:t>
      </w:r>
      <w:r>
        <w:rPr>
          <w:rFonts w:ascii="Times New Roman" w:eastAsia="Times New Roman"/>
        </w:rPr>
        <w:t>0769-22119423</w:t>
      </w:r>
    </w:p>
    <w:p>
      <w:pPr>
        <w:pStyle w:val="BodyText"/>
        <w:spacing w:line="417" w:lineRule="auto"/>
        <w:ind w:left="1260" w:right="6525"/>
        <w:rPr>
          <w:rFonts w:ascii="Times New Roman" w:eastAsia="Times New Roman"/>
        </w:rPr>
      </w:pPr>
      <w:r>
        <w:rPr>
          <w:spacing w:val="-3"/>
        </w:rPr>
        <w:t>联系人：李荣、孙旭  网址：</w:t>
      </w:r>
      <w:hyperlink r:id="rId166">
        <w:r>
          <w:rPr>
            <w:rFonts w:ascii="Times New Roman" w:eastAsia="Times New Roman"/>
            <w:spacing w:val="-3"/>
          </w:rPr>
          <w:t>www.dgzq.com.cn </w:t>
        </w:r>
      </w:hyperlink>
      <w:r>
        <w:rPr>
          <w:spacing w:val="-2"/>
        </w:rPr>
        <w:t>客户服务电话：</w:t>
      </w:r>
      <w:r>
        <w:rPr>
          <w:rFonts w:ascii="Times New Roman" w:eastAsia="Times New Roman"/>
        </w:rPr>
        <w:t>95328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中原证券股份有限公司</w:t>
      </w:r>
    </w:p>
    <w:p>
      <w:pPr>
        <w:pStyle w:val="BodyText"/>
        <w:spacing w:before="7"/>
        <w:rPr>
          <w:sz w:val="15"/>
        </w:rPr>
      </w:pPr>
    </w:p>
    <w:p>
      <w:pPr>
        <w:pStyle w:val="BodyText"/>
        <w:ind w:left="1260"/>
      </w:pPr>
      <w:r>
        <w:rPr/>
        <w:t>住所：郑州市郑东新区商务外环路</w:t>
      </w:r>
      <w:r>
        <w:rPr>
          <w:rFonts w:ascii="Times New Roman" w:eastAsia="Times New Roman"/>
        </w:rPr>
        <w:t>10</w:t>
      </w:r>
      <w:r>
        <w:rPr/>
        <w:t>号</w:t>
      </w:r>
    </w:p>
    <w:p>
      <w:pPr>
        <w:pStyle w:val="BodyText"/>
        <w:spacing w:before="6"/>
        <w:rPr>
          <w:sz w:val="15"/>
        </w:rPr>
      </w:pPr>
    </w:p>
    <w:p>
      <w:pPr>
        <w:pStyle w:val="BodyText"/>
        <w:ind w:left="1260"/>
      </w:pPr>
      <w:r>
        <w:rPr/>
        <w:t>办公地址：郑州市郑东新区商务外环路</w:t>
      </w:r>
      <w:r>
        <w:rPr>
          <w:rFonts w:ascii="Times New Roman" w:eastAsia="Times New Roman"/>
        </w:rPr>
        <w:t>10</w:t>
      </w:r>
      <w:r>
        <w:rPr/>
        <w:t>号</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760"/>
        <w:rPr>
          <w:rFonts w:ascii="Times New Roman" w:eastAsia="Times New Roman"/>
        </w:rPr>
      </w:pPr>
      <w:r>
        <w:rPr/>
        <w:t>法定代表人：菅明军电话：</w:t>
      </w:r>
      <w:r>
        <w:rPr>
          <w:rFonts w:ascii="Times New Roman" w:eastAsia="Times New Roman"/>
        </w:rPr>
        <w:t>0371-69099882 </w:t>
      </w:r>
      <w:r>
        <w:rPr/>
        <w:t>传真：</w:t>
      </w:r>
      <w:r>
        <w:rPr>
          <w:rFonts w:ascii="Times New Roman" w:eastAsia="Times New Roman"/>
        </w:rPr>
        <w:t>0371-65585899</w:t>
      </w:r>
    </w:p>
    <w:p>
      <w:pPr>
        <w:pStyle w:val="BodyText"/>
        <w:spacing w:line="417" w:lineRule="auto"/>
        <w:ind w:left="1260" w:right="5778"/>
        <w:rPr>
          <w:rFonts w:ascii="Times New Roman" w:eastAsia="Times New Roman"/>
        </w:rPr>
      </w:pPr>
      <w:r>
        <w:rPr/>
        <w:t>联系人：程月艳、李盼盼、党静网址：</w:t>
      </w:r>
      <w:hyperlink r:id="rId167">
        <w:r>
          <w:rPr>
            <w:rFonts w:ascii="Times New Roman" w:eastAsia="Times New Roman"/>
          </w:rPr>
          <w:t>www.ccnew.com</w:t>
        </w:r>
      </w:hyperlink>
    </w:p>
    <w:p>
      <w:pPr>
        <w:pStyle w:val="BodyText"/>
        <w:spacing w:line="269" w:lineRule="exact"/>
        <w:ind w:left="1260"/>
        <w:rPr>
          <w:rFonts w:ascii="Times New Roman" w:eastAsia="Times New Roman"/>
        </w:rPr>
      </w:pPr>
      <w:r>
        <w:rPr/>
        <w:t>客户服务电话：</w:t>
      </w:r>
      <w:r>
        <w:rPr>
          <w:rFonts w:ascii="Times New Roman" w:eastAsia="Times New Roman"/>
        </w:rPr>
        <w:t>95377</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国都证券股份有限公司</w:t>
      </w:r>
    </w:p>
    <w:p>
      <w:pPr>
        <w:pStyle w:val="BodyText"/>
        <w:spacing w:before="7"/>
        <w:rPr>
          <w:sz w:val="15"/>
        </w:rPr>
      </w:pPr>
    </w:p>
    <w:p>
      <w:pPr>
        <w:pStyle w:val="BodyText"/>
        <w:spacing w:before="1"/>
        <w:ind w:left="1260"/>
      </w:pPr>
      <w:r>
        <w:rPr/>
        <w:t>住所：北京市东城区东直门南大街</w:t>
      </w:r>
      <w:r>
        <w:rPr>
          <w:rFonts w:ascii="Times New Roman" w:eastAsia="Times New Roman"/>
        </w:rPr>
        <w:t>3</w:t>
      </w:r>
      <w:r>
        <w:rPr/>
        <w:t>号国华投资大厦</w:t>
      </w:r>
      <w:r>
        <w:rPr>
          <w:rFonts w:ascii="Times New Roman" w:eastAsia="Times New Roman"/>
        </w:rPr>
        <w:t>9</w:t>
      </w:r>
      <w:r>
        <w:rPr/>
        <w:t>层、</w:t>
      </w:r>
      <w:r>
        <w:rPr>
          <w:rFonts w:ascii="Times New Roman" w:eastAsia="Times New Roman"/>
        </w:rPr>
        <w:t>10</w:t>
      </w:r>
      <w:r>
        <w:rPr/>
        <w:t>层</w:t>
      </w:r>
    </w:p>
    <w:p>
      <w:pPr>
        <w:pStyle w:val="BodyText"/>
        <w:spacing w:before="6"/>
        <w:rPr>
          <w:sz w:val="15"/>
        </w:rPr>
      </w:pPr>
    </w:p>
    <w:p>
      <w:pPr>
        <w:pStyle w:val="BodyText"/>
        <w:spacing w:line="417" w:lineRule="auto"/>
        <w:ind w:left="1260" w:right="2629"/>
      </w:pPr>
      <w:r>
        <w:rPr>
          <w:spacing w:val="-3"/>
        </w:rPr>
        <w:t>办公地址：北京市东城区东直门南大街</w:t>
      </w:r>
      <w:r>
        <w:rPr>
          <w:rFonts w:ascii="Times New Roman" w:eastAsia="Times New Roman"/>
          <w:spacing w:val="-3"/>
        </w:rPr>
        <w:t>3</w:t>
      </w:r>
      <w:r>
        <w:rPr>
          <w:spacing w:val="-3"/>
        </w:rPr>
        <w:t>号国华投资大厦</w:t>
      </w:r>
      <w:r>
        <w:rPr>
          <w:rFonts w:ascii="Times New Roman" w:eastAsia="Times New Roman"/>
          <w:spacing w:val="-3"/>
        </w:rPr>
        <w:t>9</w:t>
      </w:r>
      <w:r>
        <w:rPr/>
        <w:t>层、</w:t>
      </w:r>
      <w:r>
        <w:rPr>
          <w:rFonts w:ascii="Times New Roman" w:eastAsia="Times New Roman"/>
        </w:rPr>
        <w:t>10</w:t>
      </w:r>
      <w:r>
        <w:rPr/>
        <w:t>层</w:t>
      </w:r>
      <w:r>
        <w:rPr>
          <w:spacing w:val="-3"/>
        </w:rPr>
        <w:t>法定代表人：翁振杰</w:t>
      </w:r>
    </w:p>
    <w:p>
      <w:pPr>
        <w:pStyle w:val="BodyText"/>
        <w:spacing w:line="269" w:lineRule="exact"/>
        <w:ind w:left="1260"/>
        <w:rPr>
          <w:rFonts w:ascii="Times New Roman" w:eastAsia="Times New Roman"/>
        </w:rPr>
      </w:pPr>
      <w:r>
        <w:rPr>
          <w:spacing w:val="-1"/>
        </w:rPr>
        <w:t>电话：</w:t>
      </w:r>
      <w:r>
        <w:rPr>
          <w:rFonts w:ascii="Times New Roman" w:eastAsia="Times New Roman"/>
          <w:spacing w:val="-1"/>
        </w:rPr>
        <w:t>010-84183389</w:t>
      </w:r>
    </w:p>
    <w:p>
      <w:pPr>
        <w:pStyle w:val="BodyText"/>
        <w:spacing w:before="4"/>
        <w:rPr>
          <w:rFonts w:ascii="Times New Roman"/>
          <w:sz w:val="17"/>
        </w:rPr>
      </w:pPr>
    </w:p>
    <w:p>
      <w:pPr>
        <w:pStyle w:val="BodyText"/>
        <w:ind w:left="1260"/>
        <w:rPr>
          <w:rFonts w:ascii="Times New Roman" w:eastAsia="Times New Roman"/>
        </w:rPr>
      </w:pPr>
      <w:r>
        <w:rPr/>
        <w:t>传真：</w:t>
      </w:r>
      <w:r>
        <w:rPr>
          <w:rFonts w:ascii="Times New Roman" w:eastAsia="Times New Roman"/>
        </w:rPr>
        <w:t>010-84183311-3389</w:t>
      </w:r>
    </w:p>
    <w:p>
      <w:pPr>
        <w:pStyle w:val="BodyText"/>
        <w:spacing w:before="3"/>
        <w:rPr>
          <w:rFonts w:ascii="Times New Roman"/>
          <w:sz w:val="17"/>
        </w:rPr>
      </w:pPr>
    </w:p>
    <w:p>
      <w:pPr>
        <w:pStyle w:val="BodyText"/>
        <w:ind w:left="1260"/>
      </w:pPr>
      <w:r>
        <w:rPr/>
        <w:t>联系人：黄静</w:t>
      </w:r>
    </w:p>
    <w:p>
      <w:pPr>
        <w:pStyle w:val="BodyText"/>
        <w:spacing w:before="7"/>
        <w:rPr>
          <w:sz w:val="15"/>
        </w:rPr>
      </w:pPr>
    </w:p>
    <w:p>
      <w:pPr>
        <w:pStyle w:val="BodyText"/>
        <w:ind w:left="1260"/>
        <w:rPr>
          <w:rFonts w:ascii="Times New Roman" w:eastAsia="Times New Roman"/>
        </w:rPr>
      </w:pPr>
      <w:r>
        <w:rPr/>
        <w:t>网址：</w:t>
      </w:r>
      <w:hyperlink r:id="rId168">
        <w:r>
          <w:rPr>
            <w:rFonts w:ascii="Times New Roman" w:eastAsia="Times New Roman"/>
          </w:rPr>
          <w:t>www.guodu.com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400-818-8118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东海证券股份有限公司</w:t>
      </w:r>
    </w:p>
    <w:p>
      <w:pPr>
        <w:pStyle w:val="BodyText"/>
        <w:spacing w:before="7"/>
        <w:rPr>
          <w:sz w:val="15"/>
        </w:rPr>
      </w:pPr>
    </w:p>
    <w:p>
      <w:pPr>
        <w:pStyle w:val="BodyText"/>
        <w:ind w:left="1260"/>
      </w:pPr>
      <w:r>
        <w:rPr/>
        <w:t>住所：江苏省常州延陵西路</w:t>
      </w:r>
      <w:r>
        <w:rPr>
          <w:rFonts w:ascii="Times New Roman" w:eastAsia="Times New Roman"/>
        </w:rPr>
        <w:t>23</w:t>
      </w:r>
      <w:r>
        <w:rPr/>
        <w:t>号投资广场</w:t>
      </w:r>
      <w:r>
        <w:rPr>
          <w:rFonts w:ascii="Times New Roman" w:eastAsia="Times New Roman"/>
        </w:rPr>
        <w:t>18</w:t>
      </w:r>
      <w:r>
        <w:rPr/>
        <w:t>层</w:t>
      </w:r>
    </w:p>
    <w:p>
      <w:pPr>
        <w:pStyle w:val="BodyText"/>
        <w:spacing w:before="7"/>
        <w:rPr>
          <w:sz w:val="15"/>
        </w:rPr>
      </w:pPr>
    </w:p>
    <w:p>
      <w:pPr>
        <w:pStyle w:val="BodyText"/>
        <w:spacing w:line="417" w:lineRule="auto"/>
        <w:ind w:left="1260" w:right="3678"/>
      </w:pPr>
      <w:r>
        <w:rPr/>
        <w:t>办公地址：上海市浦东新区东方路</w:t>
      </w:r>
      <w:r>
        <w:rPr>
          <w:rFonts w:ascii="Times New Roman" w:eastAsia="Times New Roman"/>
        </w:rPr>
        <w:t>1928</w:t>
      </w:r>
      <w:r>
        <w:rPr/>
        <w:t>号东海证券大厦法定代表人：钱俊文</w:t>
      </w:r>
    </w:p>
    <w:p>
      <w:pPr>
        <w:pStyle w:val="BodyText"/>
        <w:spacing w:line="417" w:lineRule="auto"/>
        <w:ind w:left="1260" w:right="6866"/>
        <w:rPr>
          <w:rFonts w:ascii="Times New Roman" w:eastAsia="Times New Roman"/>
        </w:rPr>
      </w:pPr>
      <w:r>
        <w:rPr/>
        <w:t>电话：</w:t>
      </w:r>
      <w:r>
        <w:rPr>
          <w:rFonts w:ascii="Times New Roman" w:eastAsia="Times New Roman"/>
        </w:rPr>
        <w:t>021-20333333 </w:t>
      </w:r>
      <w:r>
        <w:rPr/>
        <w:t>传真：</w:t>
      </w:r>
      <w:r>
        <w:rPr>
          <w:rFonts w:ascii="Times New Roman" w:eastAsia="Times New Roman"/>
        </w:rPr>
        <w:t>021-50498825</w:t>
      </w:r>
    </w:p>
    <w:p>
      <w:pPr>
        <w:pStyle w:val="BodyText"/>
        <w:ind w:left="1260"/>
      </w:pPr>
      <w:r>
        <w:rPr/>
        <w:t>联系人：王一彦</w:t>
      </w:r>
    </w:p>
    <w:p>
      <w:pPr>
        <w:pStyle w:val="BodyText"/>
        <w:spacing w:before="6"/>
        <w:rPr>
          <w:sz w:val="15"/>
        </w:rPr>
      </w:pPr>
    </w:p>
    <w:p>
      <w:pPr>
        <w:pStyle w:val="BodyText"/>
        <w:ind w:left="1260"/>
        <w:rPr>
          <w:rFonts w:ascii="Times New Roman" w:eastAsia="Times New Roman"/>
        </w:rPr>
      </w:pPr>
      <w:r>
        <w:rPr/>
        <w:t>网址：</w:t>
      </w:r>
      <w:hyperlink r:id="rId169">
        <w:r>
          <w:rPr>
            <w:rFonts w:ascii="Times New Roman" w:eastAsia="Times New Roman"/>
          </w:rPr>
          <w:t>www.longone.com.cn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95531</w:t>
      </w:r>
      <w:r>
        <w:rPr/>
        <w:t>、</w:t>
      </w:r>
      <w:r>
        <w:rPr>
          <w:rFonts w:ascii="Times New Roman" w:eastAsia="Times New Roman"/>
        </w:rPr>
        <w:t>400-888-8588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中银国际证券股份有限公司</w:t>
      </w:r>
    </w:p>
    <w:p>
      <w:pPr>
        <w:pStyle w:val="BodyText"/>
        <w:spacing w:before="7"/>
        <w:rPr>
          <w:sz w:val="15"/>
        </w:rPr>
      </w:pPr>
    </w:p>
    <w:p>
      <w:pPr>
        <w:pStyle w:val="BodyText"/>
        <w:ind w:left="1260"/>
      </w:pPr>
      <w:r>
        <w:rPr/>
        <w:t>住所：上海浦东新区银城中路</w:t>
      </w:r>
      <w:r>
        <w:rPr>
          <w:rFonts w:ascii="Times New Roman" w:eastAsia="Times New Roman"/>
        </w:rPr>
        <w:t>200</w:t>
      </w:r>
      <w:r>
        <w:rPr/>
        <w:t>号中银大厦</w:t>
      </w:r>
      <w:r>
        <w:rPr>
          <w:rFonts w:ascii="Times New Roman" w:eastAsia="Times New Roman"/>
        </w:rPr>
        <w:t>39</w:t>
      </w:r>
      <w:r>
        <w:rPr/>
        <w:t>层</w:t>
      </w:r>
    </w:p>
    <w:p>
      <w:pPr>
        <w:pStyle w:val="BodyText"/>
        <w:spacing w:before="7"/>
        <w:rPr>
          <w:sz w:val="15"/>
        </w:rPr>
      </w:pPr>
    </w:p>
    <w:p>
      <w:pPr>
        <w:pStyle w:val="BodyText"/>
        <w:spacing w:line="417" w:lineRule="auto"/>
        <w:ind w:left="1260" w:right="3786"/>
      </w:pPr>
      <w:r>
        <w:rPr/>
        <w:t>办公地址：上海浦东新区银城中路</w:t>
      </w:r>
      <w:r>
        <w:rPr>
          <w:rFonts w:ascii="Times New Roman" w:eastAsia="Times New Roman"/>
        </w:rPr>
        <w:t>200</w:t>
      </w:r>
      <w:r>
        <w:rPr/>
        <w:t>号中银大厦</w:t>
      </w:r>
      <w:r>
        <w:rPr>
          <w:rFonts w:ascii="Times New Roman" w:eastAsia="Times New Roman"/>
        </w:rPr>
        <w:t>39</w:t>
      </w:r>
      <w:r>
        <w:rPr/>
        <w:t>层法定代表人：宁敏</w:t>
      </w:r>
    </w:p>
    <w:p>
      <w:pPr>
        <w:pStyle w:val="BodyText"/>
        <w:spacing w:line="417" w:lineRule="auto"/>
        <w:ind w:left="1260" w:right="6866"/>
        <w:rPr>
          <w:rFonts w:ascii="Times New Roman" w:eastAsia="Times New Roman"/>
        </w:rPr>
      </w:pPr>
      <w:r>
        <w:rPr/>
        <w:t>电话：</w:t>
      </w:r>
      <w:r>
        <w:rPr>
          <w:rFonts w:ascii="Times New Roman" w:eastAsia="Times New Roman"/>
        </w:rPr>
        <w:t>021-20328000 </w:t>
      </w:r>
      <w:r>
        <w:rPr/>
        <w:t>传真：</w:t>
      </w:r>
      <w:r>
        <w:rPr>
          <w:rFonts w:ascii="Times New Roman" w:eastAsia="Times New Roman"/>
        </w:rPr>
        <w:t>021-50372474</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联系人：王炜哲</w:t>
      </w:r>
    </w:p>
    <w:p>
      <w:pPr>
        <w:pStyle w:val="BodyText"/>
        <w:spacing w:before="6"/>
        <w:rPr>
          <w:sz w:val="15"/>
        </w:rPr>
      </w:pPr>
    </w:p>
    <w:p>
      <w:pPr>
        <w:pStyle w:val="BodyText"/>
        <w:spacing w:line="417" w:lineRule="auto"/>
        <w:ind w:left="1260" w:right="6061"/>
        <w:rPr>
          <w:rFonts w:ascii="Times New Roman" w:eastAsia="Times New Roman"/>
        </w:rPr>
      </w:pPr>
      <w:r>
        <w:rPr/>
        <w:t>网址：</w:t>
      </w:r>
      <w:hyperlink r:id="rId170">
        <w:r>
          <w:rPr>
            <w:rFonts w:ascii="Times New Roman" w:eastAsia="Times New Roman"/>
          </w:rPr>
          <w:t>www.bocichina.com.cn </w:t>
        </w:r>
      </w:hyperlink>
      <w:r>
        <w:rPr/>
        <w:t>客户服务电话：</w:t>
      </w:r>
      <w:r>
        <w:rPr>
          <w:rFonts w:ascii="Times New Roman" w:eastAsia="Times New Roman"/>
        </w:rPr>
        <w:t>400-620-8888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恒泰证券股份有限公司</w:t>
      </w:r>
    </w:p>
    <w:p>
      <w:pPr>
        <w:pStyle w:val="BodyText"/>
        <w:spacing w:before="7"/>
        <w:rPr>
          <w:sz w:val="15"/>
        </w:rPr>
      </w:pPr>
    </w:p>
    <w:p>
      <w:pPr>
        <w:pStyle w:val="BodyText"/>
        <w:ind w:left="1260"/>
      </w:pPr>
      <w:r>
        <w:rPr/>
        <w:t>住所：内蒙古呼和浩特市新城区新华东街</w:t>
      </w:r>
      <w:r>
        <w:rPr>
          <w:rFonts w:ascii="Times New Roman" w:eastAsia="Times New Roman"/>
        </w:rPr>
        <w:t>111</w:t>
      </w:r>
      <w:r>
        <w:rPr/>
        <w:t>号</w:t>
      </w:r>
    </w:p>
    <w:p>
      <w:pPr>
        <w:pStyle w:val="BodyText"/>
        <w:spacing w:before="7"/>
        <w:rPr>
          <w:sz w:val="15"/>
        </w:rPr>
      </w:pPr>
    </w:p>
    <w:p>
      <w:pPr>
        <w:pStyle w:val="BodyText"/>
        <w:spacing w:line="417" w:lineRule="auto"/>
        <w:ind w:left="1260" w:right="3967"/>
      </w:pPr>
      <w:r>
        <w:rPr/>
        <w:t>办公地址：内蒙古呼和浩特市新城区新华东街</w:t>
      </w:r>
      <w:r>
        <w:rPr>
          <w:rFonts w:ascii="Times New Roman" w:eastAsia="Times New Roman"/>
        </w:rPr>
        <w:t>111</w:t>
      </w:r>
      <w:r>
        <w:rPr/>
        <w:t>号法定代表人：庞介民</w:t>
      </w:r>
    </w:p>
    <w:p>
      <w:pPr>
        <w:pStyle w:val="BodyText"/>
        <w:spacing w:line="417" w:lineRule="auto"/>
        <w:ind w:left="1260" w:right="6866"/>
        <w:rPr>
          <w:rFonts w:ascii="Times New Roman" w:eastAsia="Times New Roman"/>
        </w:rPr>
      </w:pPr>
      <w:r>
        <w:rPr/>
        <w:t>电话：</w:t>
      </w:r>
      <w:r>
        <w:rPr>
          <w:rFonts w:ascii="Times New Roman" w:eastAsia="Times New Roman"/>
        </w:rPr>
        <w:t>021-68405273 </w:t>
      </w:r>
      <w:r>
        <w:rPr/>
        <w:t>传真：</w:t>
      </w:r>
      <w:r>
        <w:rPr>
          <w:rFonts w:ascii="Times New Roman" w:eastAsia="Times New Roman"/>
        </w:rPr>
        <w:t>021-68405181</w:t>
      </w:r>
    </w:p>
    <w:p>
      <w:pPr>
        <w:pStyle w:val="BodyText"/>
        <w:spacing w:line="269" w:lineRule="exact"/>
        <w:ind w:left="1260"/>
      </w:pPr>
      <w:r>
        <w:rPr/>
        <w:t>联系人：张同亮</w:t>
      </w:r>
    </w:p>
    <w:p>
      <w:pPr>
        <w:pStyle w:val="BodyText"/>
        <w:spacing w:before="7"/>
        <w:rPr>
          <w:sz w:val="15"/>
        </w:rPr>
      </w:pPr>
    </w:p>
    <w:p>
      <w:pPr>
        <w:pStyle w:val="BodyText"/>
        <w:spacing w:line="417" w:lineRule="auto"/>
        <w:ind w:left="1260" w:right="6529"/>
        <w:rPr>
          <w:rFonts w:ascii="Times New Roman" w:eastAsia="Times New Roman"/>
        </w:rPr>
      </w:pPr>
      <w:r>
        <w:rPr/>
        <w:t>网址：</w:t>
      </w:r>
      <w:hyperlink r:id="rId171">
        <w:r>
          <w:rPr>
            <w:rFonts w:ascii="Times New Roman" w:eastAsia="Times New Roman"/>
          </w:rPr>
          <w:t>www.cnht.com.cn </w:t>
        </w:r>
      </w:hyperlink>
      <w:r>
        <w:rPr/>
        <w:t>客户服务电话：</w:t>
      </w:r>
      <w:r>
        <w:rPr>
          <w:rFonts w:ascii="Times New Roman" w:eastAsia="Times New Roman"/>
        </w:rPr>
        <w:t>956088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国盛证券有限责任公司</w:t>
      </w:r>
    </w:p>
    <w:p>
      <w:pPr>
        <w:pStyle w:val="BodyText"/>
        <w:spacing w:before="6"/>
        <w:rPr>
          <w:sz w:val="15"/>
        </w:rPr>
      </w:pPr>
    </w:p>
    <w:p>
      <w:pPr>
        <w:pStyle w:val="BodyText"/>
        <w:spacing w:before="1"/>
        <w:ind w:left="1260"/>
      </w:pPr>
      <w:r>
        <w:rPr/>
        <w:t>住所：南昌市北京西路</w:t>
      </w:r>
      <w:r>
        <w:rPr>
          <w:rFonts w:ascii="Times New Roman" w:eastAsia="Times New Roman"/>
        </w:rPr>
        <w:t>88</w:t>
      </w:r>
      <w:r>
        <w:rPr/>
        <w:t>号江信国际金融大厦</w:t>
      </w:r>
    </w:p>
    <w:p>
      <w:pPr>
        <w:pStyle w:val="BodyText"/>
        <w:spacing w:before="6"/>
        <w:rPr>
          <w:sz w:val="15"/>
        </w:rPr>
      </w:pPr>
    </w:p>
    <w:p>
      <w:pPr>
        <w:pStyle w:val="BodyText"/>
        <w:spacing w:line="417" w:lineRule="auto" w:before="1"/>
        <w:ind w:left="1260" w:right="2392"/>
      </w:pPr>
      <w:r>
        <w:rPr/>
        <w:t>办公地址：江西省南昌市红谷滩新区凤凰中大道</w:t>
      </w:r>
      <w:r>
        <w:rPr>
          <w:rFonts w:ascii="Times New Roman" w:eastAsia="Times New Roman"/>
        </w:rPr>
        <w:t>1115</w:t>
      </w:r>
      <w:r>
        <w:rPr/>
        <w:t>号北京银行大楼法定代表人：徐丽峰</w:t>
      </w:r>
    </w:p>
    <w:p>
      <w:pPr>
        <w:pStyle w:val="BodyText"/>
        <w:spacing w:line="417" w:lineRule="auto"/>
        <w:ind w:left="1260" w:right="5394"/>
        <w:rPr>
          <w:rFonts w:ascii="Times New Roman" w:eastAsia="Times New Roman"/>
        </w:rPr>
      </w:pPr>
      <w:r>
        <w:rPr/>
        <w:t>电话：</w:t>
      </w:r>
      <w:r>
        <w:rPr>
          <w:rFonts w:ascii="Times New Roman" w:eastAsia="Times New Roman"/>
        </w:rPr>
        <w:t>0791-86283372</w:t>
      </w:r>
      <w:r>
        <w:rPr/>
        <w:t>、</w:t>
      </w:r>
      <w:r>
        <w:rPr>
          <w:rFonts w:ascii="Times New Roman" w:eastAsia="Times New Roman"/>
        </w:rPr>
        <w:t>15170012175 </w:t>
      </w:r>
      <w:r>
        <w:rPr/>
        <w:t>传真：</w:t>
      </w:r>
      <w:r>
        <w:rPr>
          <w:rFonts w:ascii="Times New Roman" w:eastAsia="Times New Roman"/>
        </w:rPr>
        <w:t>0791-86281305</w:t>
      </w:r>
    </w:p>
    <w:p>
      <w:pPr>
        <w:pStyle w:val="BodyText"/>
        <w:spacing w:line="269" w:lineRule="exact"/>
        <w:ind w:left="1260"/>
      </w:pPr>
      <w:r>
        <w:rPr/>
        <w:t>联系人：占文驰</w:t>
      </w:r>
    </w:p>
    <w:p>
      <w:pPr>
        <w:pStyle w:val="BodyText"/>
        <w:spacing w:before="6"/>
        <w:rPr>
          <w:sz w:val="15"/>
        </w:rPr>
      </w:pPr>
    </w:p>
    <w:p>
      <w:pPr>
        <w:pStyle w:val="BodyText"/>
        <w:spacing w:line="417" w:lineRule="auto"/>
        <w:ind w:left="1260" w:right="6621"/>
        <w:rPr>
          <w:rFonts w:ascii="Times New Roman" w:eastAsia="Times New Roman"/>
        </w:rPr>
      </w:pPr>
      <w:r>
        <w:rPr/>
        <w:t>网址：</w:t>
      </w:r>
      <w:hyperlink r:id="rId172">
        <w:r>
          <w:rPr>
            <w:rFonts w:ascii="Times New Roman" w:eastAsia="Times New Roman"/>
          </w:rPr>
          <w:t>www.gszq.com </w:t>
        </w:r>
      </w:hyperlink>
      <w:r>
        <w:rPr/>
        <w:t>客户服务电话：</w:t>
      </w:r>
      <w:r>
        <w:rPr>
          <w:rFonts w:ascii="Times New Roman" w:eastAsia="Times New Roman"/>
        </w:rPr>
        <w:t>956080</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华西证券股份有限公司</w:t>
      </w:r>
    </w:p>
    <w:p>
      <w:pPr>
        <w:pStyle w:val="BodyText"/>
        <w:spacing w:before="7"/>
        <w:rPr>
          <w:sz w:val="15"/>
        </w:rPr>
      </w:pPr>
    </w:p>
    <w:p>
      <w:pPr>
        <w:pStyle w:val="BodyText"/>
        <w:ind w:left="1260"/>
      </w:pPr>
      <w:r>
        <w:rPr/>
        <w:t>住所：四川省成都市高新区天府二街</w:t>
      </w:r>
      <w:r>
        <w:rPr>
          <w:rFonts w:ascii="Times New Roman" w:eastAsia="Times New Roman"/>
        </w:rPr>
        <w:t>198</w:t>
      </w:r>
      <w:r>
        <w:rPr/>
        <w:t>号</w:t>
      </w:r>
    </w:p>
    <w:p>
      <w:pPr>
        <w:pStyle w:val="BodyText"/>
        <w:spacing w:before="7"/>
        <w:rPr>
          <w:sz w:val="15"/>
        </w:rPr>
      </w:pPr>
    </w:p>
    <w:p>
      <w:pPr>
        <w:pStyle w:val="BodyText"/>
        <w:spacing w:line="417" w:lineRule="auto"/>
        <w:ind w:left="1260" w:right="4415"/>
      </w:pPr>
      <w:r>
        <w:rPr/>
        <w:t>办公地址：四川省成都市高新区天府二街</w:t>
      </w:r>
      <w:r>
        <w:rPr>
          <w:rFonts w:ascii="Times New Roman" w:eastAsia="Times New Roman"/>
        </w:rPr>
        <w:t>198</w:t>
      </w:r>
      <w:r>
        <w:rPr/>
        <w:t>号法定代表人：杨炯洋</w:t>
      </w:r>
    </w:p>
    <w:p>
      <w:pPr>
        <w:pStyle w:val="BodyText"/>
        <w:spacing w:line="417" w:lineRule="auto"/>
        <w:ind w:left="1260" w:right="6866"/>
        <w:rPr>
          <w:rFonts w:ascii="Times New Roman" w:eastAsia="Times New Roman"/>
        </w:rPr>
      </w:pPr>
      <w:r>
        <w:rPr/>
        <w:t>电话：</w:t>
      </w:r>
      <w:r>
        <w:rPr>
          <w:rFonts w:ascii="Times New Roman" w:eastAsia="Times New Roman"/>
        </w:rPr>
        <w:t>010-58124967 </w:t>
      </w:r>
      <w:r>
        <w:rPr/>
        <w:t>传真：</w:t>
      </w:r>
      <w:r>
        <w:rPr>
          <w:rFonts w:ascii="Times New Roman" w:eastAsia="Times New Roman"/>
        </w:rPr>
        <w:t>028-86150040</w:t>
      </w:r>
    </w:p>
    <w:p>
      <w:pPr>
        <w:pStyle w:val="BodyText"/>
        <w:spacing w:line="269" w:lineRule="exact"/>
        <w:ind w:left="1260"/>
      </w:pPr>
      <w:r>
        <w:rPr/>
        <w:t>联系人：谢国梅</w:t>
      </w:r>
    </w:p>
    <w:p>
      <w:pPr>
        <w:pStyle w:val="BodyText"/>
        <w:spacing w:before="6"/>
        <w:rPr>
          <w:sz w:val="15"/>
        </w:rPr>
      </w:pPr>
    </w:p>
    <w:p>
      <w:pPr>
        <w:pStyle w:val="BodyText"/>
        <w:spacing w:line="417" w:lineRule="auto" w:before="1"/>
        <w:ind w:left="1260" w:right="6364"/>
        <w:rPr>
          <w:rFonts w:ascii="Times New Roman" w:eastAsia="Times New Roman"/>
        </w:rPr>
      </w:pPr>
      <w:r>
        <w:rPr/>
        <w:t>网址：</w:t>
      </w:r>
      <w:hyperlink r:id="rId173">
        <w:r>
          <w:rPr>
            <w:rFonts w:ascii="Times New Roman" w:eastAsia="Times New Roman"/>
          </w:rPr>
          <w:t>www.hx168.com.cn </w:t>
        </w:r>
      </w:hyperlink>
      <w:r>
        <w:rPr/>
        <w:t>客户服务电话：</w:t>
      </w:r>
      <w:r>
        <w:rPr>
          <w:rFonts w:ascii="Times New Roman" w:eastAsia="Times New Roman"/>
        </w:rPr>
        <w:t>95584</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999" w:val="left" w:leader="none"/>
        </w:tabs>
        <w:spacing w:line="240" w:lineRule="auto" w:before="79" w:after="0"/>
        <w:ind w:left="1998" w:right="0" w:hanging="739"/>
        <w:jc w:val="left"/>
        <w:rPr>
          <w:sz w:val="21"/>
        </w:rPr>
      </w:pPr>
      <w:r>
        <w:rPr>
          <w:spacing w:val="-3"/>
          <w:sz w:val="21"/>
        </w:rPr>
        <w:t>申万宏源西部证券有限公司</w:t>
      </w:r>
    </w:p>
    <w:p>
      <w:pPr>
        <w:pStyle w:val="BodyText"/>
        <w:spacing w:before="6"/>
        <w:rPr>
          <w:sz w:val="15"/>
        </w:rPr>
      </w:pPr>
    </w:p>
    <w:p>
      <w:pPr>
        <w:pStyle w:val="BodyText"/>
        <w:ind w:left="1260"/>
      </w:pPr>
      <w:r>
        <w:rPr/>
        <w:t>住所：新疆乌鲁木齐市高新区（新市区）北京南路</w:t>
      </w:r>
      <w:r>
        <w:rPr>
          <w:rFonts w:ascii="Times New Roman" w:eastAsia="Times New Roman"/>
        </w:rPr>
        <w:t>358</w:t>
      </w:r>
      <w:r>
        <w:rPr/>
        <w:t>号大成国际大厦</w:t>
      </w:r>
      <w:r>
        <w:rPr>
          <w:rFonts w:ascii="Times New Roman" w:eastAsia="Times New Roman"/>
        </w:rPr>
        <w:t>20</w:t>
      </w:r>
      <w:r>
        <w:rPr/>
        <w:t>楼</w:t>
      </w:r>
      <w:r>
        <w:rPr>
          <w:rFonts w:ascii="Times New Roman" w:eastAsia="Times New Roman"/>
        </w:rPr>
        <w:t>2005</w:t>
      </w:r>
      <w:r>
        <w:rPr/>
        <w:t>室</w:t>
      </w:r>
    </w:p>
    <w:p>
      <w:pPr>
        <w:pStyle w:val="BodyText"/>
        <w:spacing w:before="7"/>
        <w:rPr>
          <w:sz w:val="15"/>
        </w:rPr>
      </w:pPr>
    </w:p>
    <w:p>
      <w:pPr>
        <w:pStyle w:val="BodyText"/>
        <w:ind w:left="1260"/>
      </w:pPr>
      <w:r>
        <w:rPr/>
        <w:t>办公地址：新疆乌鲁木齐市高新区（新市区）北京南路</w:t>
      </w:r>
      <w:r>
        <w:rPr>
          <w:rFonts w:ascii="Times New Roman" w:eastAsia="Times New Roman"/>
        </w:rPr>
        <w:t>358</w:t>
      </w:r>
      <w:r>
        <w:rPr/>
        <w:t>号大成国际大厦</w:t>
      </w:r>
      <w:r>
        <w:rPr>
          <w:rFonts w:ascii="Times New Roman" w:eastAsia="Times New Roman"/>
        </w:rPr>
        <w:t>20</w:t>
      </w:r>
      <w:r>
        <w:rPr/>
        <w:t>楼</w:t>
      </w:r>
      <w:r>
        <w:rPr>
          <w:rFonts w:ascii="Times New Roman" w:eastAsia="Times New Roman"/>
        </w:rPr>
        <w:t>2005</w:t>
      </w:r>
      <w:r>
        <w:rPr/>
        <w:t>室</w:t>
      </w:r>
    </w:p>
    <w:p>
      <w:pPr>
        <w:pStyle w:val="BodyText"/>
        <w:spacing w:before="7"/>
        <w:rPr>
          <w:sz w:val="15"/>
        </w:rPr>
      </w:pPr>
    </w:p>
    <w:p>
      <w:pPr>
        <w:pStyle w:val="BodyText"/>
        <w:ind w:left="778"/>
      </w:pPr>
      <w:r>
        <w:rPr/>
        <w:t>（</w:t>
      </w:r>
      <w:r>
        <w:rPr>
          <w:rFonts w:ascii="Times New Roman" w:eastAsia="Times New Roman"/>
        </w:rPr>
        <w:t>830002</w:t>
      </w:r>
      <w:r>
        <w:rPr/>
        <w:t>）</w:t>
      </w:r>
    </w:p>
    <w:p>
      <w:pPr>
        <w:pStyle w:val="BodyText"/>
        <w:spacing w:before="6"/>
        <w:rPr>
          <w:sz w:val="15"/>
        </w:rPr>
      </w:pPr>
    </w:p>
    <w:p>
      <w:pPr>
        <w:pStyle w:val="BodyText"/>
        <w:spacing w:line="417" w:lineRule="auto" w:before="1"/>
        <w:ind w:left="1260" w:right="6830"/>
        <w:jc w:val="both"/>
        <w:rPr>
          <w:rFonts w:ascii="Times New Roman" w:eastAsia="Times New Roman"/>
        </w:rPr>
      </w:pPr>
      <w:r>
        <w:rPr/>
        <w:t>法定代表人：韩志谦电话：</w:t>
      </w:r>
      <w:r>
        <w:rPr>
          <w:rFonts w:ascii="Times New Roman" w:eastAsia="Times New Roman"/>
        </w:rPr>
        <w:t>0991-2307105 </w:t>
      </w:r>
      <w:r>
        <w:rPr/>
        <w:t>传真：</w:t>
      </w:r>
      <w:r>
        <w:rPr>
          <w:rFonts w:ascii="Times New Roman" w:eastAsia="Times New Roman"/>
        </w:rPr>
        <w:t>0991-2301927</w:t>
      </w:r>
    </w:p>
    <w:p>
      <w:pPr>
        <w:pStyle w:val="BodyText"/>
        <w:ind w:left="1260"/>
      </w:pPr>
      <w:r>
        <w:rPr/>
        <w:t>联系人：王怀春</w:t>
      </w:r>
    </w:p>
    <w:p>
      <w:pPr>
        <w:pStyle w:val="BodyText"/>
        <w:spacing w:before="6"/>
        <w:rPr>
          <w:sz w:val="15"/>
        </w:rPr>
      </w:pPr>
    </w:p>
    <w:p>
      <w:pPr>
        <w:pStyle w:val="BodyText"/>
        <w:ind w:left="1260"/>
        <w:rPr>
          <w:rFonts w:ascii="Times New Roman" w:eastAsia="Times New Roman"/>
        </w:rPr>
      </w:pPr>
      <w:r>
        <w:rPr/>
        <w:t>网址：</w:t>
      </w:r>
      <w:hyperlink r:id="rId174">
        <w:r>
          <w:rPr>
            <w:rFonts w:ascii="Times New Roman" w:eastAsia="Times New Roman"/>
          </w:rPr>
          <w:t>www.hysec.com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400-800-0562</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中泰证券股份有限公司</w:t>
      </w:r>
    </w:p>
    <w:p>
      <w:pPr>
        <w:pStyle w:val="BodyText"/>
        <w:spacing w:before="7"/>
        <w:rPr>
          <w:sz w:val="15"/>
        </w:rPr>
      </w:pPr>
    </w:p>
    <w:p>
      <w:pPr>
        <w:pStyle w:val="BodyText"/>
        <w:ind w:left="1260"/>
      </w:pPr>
      <w:r>
        <w:rPr/>
        <w:t>住所：山东省济南市市中区经七路</w:t>
      </w:r>
      <w:r>
        <w:rPr>
          <w:rFonts w:ascii="Times New Roman" w:eastAsia="Times New Roman"/>
        </w:rPr>
        <w:t>86</w:t>
      </w:r>
      <w:r>
        <w:rPr/>
        <w:t>号</w:t>
      </w:r>
    </w:p>
    <w:p>
      <w:pPr>
        <w:pStyle w:val="BodyText"/>
        <w:spacing w:before="7"/>
        <w:rPr>
          <w:sz w:val="15"/>
        </w:rPr>
      </w:pPr>
    </w:p>
    <w:p>
      <w:pPr>
        <w:pStyle w:val="BodyText"/>
        <w:spacing w:line="417" w:lineRule="auto"/>
        <w:ind w:left="1260" w:right="4729"/>
      </w:pPr>
      <w:r>
        <w:rPr/>
        <w:t>办公地址：山东省济南市市中区经七路</w:t>
      </w:r>
      <w:r>
        <w:rPr>
          <w:rFonts w:ascii="Times New Roman" w:eastAsia="Times New Roman"/>
        </w:rPr>
        <w:t>86</w:t>
      </w:r>
      <w:r>
        <w:rPr/>
        <w:t>号法定代表人：李玮</w:t>
      </w:r>
    </w:p>
    <w:p>
      <w:pPr>
        <w:pStyle w:val="BodyText"/>
        <w:spacing w:line="417" w:lineRule="auto"/>
        <w:ind w:left="1260" w:right="6866"/>
        <w:rPr>
          <w:rFonts w:ascii="Times New Roman" w:eastAsia="Times New Roman"/>
        </w:rPr>
      </w:pPr>
      <w:r>
        <w:rPr/>
        <w:t>电话：</w:t>
      </w:r>
      <w:r>
        <w:rPr>
          <w:rFonts w:ascii="Times New Roman" w:eastAsia="Times New Roman"/>
        </w:rPr>
        <w:t>021-20315290 </w:t>
      </w:r>
      <w:r>
        <w:rPr/>
        <w:t>传真：</w:t>
      </w:r>
      <w:r>
        <w:rPr>
          <w:rFonts w:ascii="Times New Roman" w:eastAsia="Times New Roman"/>
        </w:rPr>
        <w:t>021-20315125</w:t>
      </w:r>
    </w:p>
    <w:p>
      <w:pPr>
        <w:pStyle w:val="BodyText"/>
        <w:spacing w:line="269" w:lineRule="exact"/>
        <w:ind w:left="1260"/>
      </w:pPr>
      <w:r>
        <w:rPr/>
        <w:t>联系人：许曼华</w:t>
      </w:r>
    </w:p>
    <w:p>
      <w:pPr>
        <w:pStyle w:val="BodyText"/>
        <w:spacing w:before="6"/>
        <w:rPr>
          <w:sz w:val="15"/>
        </w:rPr>
      </w:pPr>
    </w:p>
    <w:p>
      <w:pPr>
        <w:pStyle w:val="BodyText"/>
        <w:spacing w:line="417" w:lineRule="auto" w:before="1"/>
        <w:ind w:left="1260" w:right="6657"/>
        <w:rPr>
          <w:rFonts w:ascii="Times New Roman" w:eastAsia="Times New Roman"/>
        </w:rPr>
      </w:pPr>
      <w:r>
        <w:rPr/>
        <w:t>网址：</w:t>
      </w:r>
      <w:hyperlink r:id="rId175">
        <w:r>
          <w:rPr>
            <w:rFonts w:ascii="Times New Roman" w:eastAsia="Times New Roman"/>
          </w:rPr>
          <w:t>www.zts.com.cn </w:t>
        </w:r>
      </w:hyperlink>
      <w:r>
        <w:rPr/>
        <w:t>客户服务电话：</w:t>
      </w:r>
      <w:r>
        <w:rPr>
          <w:rFonts w:ascii="Times New Roman" w:eastAsia="Times New Roman"/>
        </w:rPr>
        <w:t>95538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世纪证券有限责任公司</w:t>
      </w:r>
    </w:p>
    <w:p>
      <w:pPr>
        <w:pStyle w:val="BodyText"/>
        <w:spacing w:before="5"/>
        <w:rPr>
          <w:sz w:val="9"/>
        </w:rPr>
      </w:pPr>
    </w:p>
    <w:p>
      <w:pPr>
        <w:pStyle w:val="BodyText"/>
        <w:spacing w:before="78"/>
        <w:ind w:left="369"/>
        <w:jc w:val="center"/>
      </w:pPr>
      <w:r>
        <w:rPr/>
        <w:t>住所：深圳市前海深港合作区南山街道桂湾五路</w:t>
      </w:r>
      <w:r>
        <w:rPr>
          <w:rFonts w:ascii="Times New Roman" w:eastAsia="Times New Roman"/>
        </w:rPr>
        <w:t>128</w:t>
      </w:r>
      <w:r>
        <w:rPr/>
        <w:t>号前海深港基金小镇对冲基金中心</w:t>
      </w:r>
    </w:p>
    <w:p>
      <w:pPr>
        <w:pStyle w:val="BodyText"/>
        <w:spacing w:before="6"/>
        <w:rPr>
          <w:sz w:val="16"/>
        </w:rPr>
      </w:pPr>
    </w:p>
    <w:p>
      <w:pPr>
        <w:pStyle w:val="BodyText"/>
        <w:ind w:left="778"/>
        <w:rPr>
          <w:rFonts w:ascii="Times New Roman"/>
        </w:rPr>
      </w:pPr>
      <w:r>
        <w:rPr>
          <w:rFonts w:ascii="Times New Roman"/>
        </w:rPr>
        <w:t>406</w:t>
      </w:r>
    </w:p>
    <w:p>
      <w:pPr>
        <w:pStyle w:val="BodyText"/>
        <w:spacing w:before="10"/>
        <w:rPr>
          <w:rFonts w:ascii="Times New Roman"/>
          <w:sz w:val="11"/>
        </w:rPr>
      </w:pPr>
    </w:p>
    <w:p>
      <w:pPr>
        <w:pStyle w:val="BodyText"/>
        <w:spacing w:line="417" w:lineRule="auto" w:before="79"/>
        <w:ind w:left="1260" w:right="3608"/>
      </w:pPr>
      <w:r>
        <w:rPr/>
        <w:t>办公地址：深圳市福田区深南大道招商银行大厦</w:t>
      </w:r>
      <w:r>
        <w:rPr>
          <w:rFonts w:ascii="Times New Roman" w:eastAsia="Times New Roman"/>
        </w:rPr>
        <w:t>40-42</w:t>
      </w:r>
      <w:r>
        <w:rPr/>
        <w:t>层法定代表人：李强</w:t>
      </w:r>
    </w:p>
    <w:p>
      <w:pPr>
        <w:pStyle w:val="BodyText"/>
        <w:spacing w:line="417" w:lineRule="auto"/>
        <w:ind w:left="1260" w:right="6061"/>
        <w:rPr>
          <w:rFonts w:ascii="Times New Roman" w:eastAsia="Times New Roman"/>
        </w:rPr>
      </w:pPr>
      <w:r>
        <w:rPr/>
        <w:t>客户服务电话：</w:t>
      </w:r>
      <w:r>
        <w:rPr>
          <w:rFonts w:ascii="Times New Roman" w:eastAsia="Times New Roman"/>
        </w:rPr>
        <w:t>400-832-3000 </w:t>
      </w:r>
      <w:r>
        <w:rPr/>
        <w:t>传真：</w:t>
      </w:r>
      <w:r>
        <w:rPr>
          <w:rFonts w:ascii="Times New Roman" w:eastAsia="Times New Roman"/>
        </w:rPr>
        <w:t>0755-83199511</w:t>
      </w:r>
    </w:p>
    <w:p>
      <w:pPr>
        <w:pStyle w:val="BodyText"/>
        <w:spacing w:line="269" w:lineRule="exact"/>
        <w:ind w:left="1260"/>
      </w:pPr>
      <w:r>
        <w:rPr/>
        <w:t>联系人：王雯</w:t>
      </w:r>
    </w:p>
    <w:p>
      <w:pPr>
        <w:pStyle w:val="BodyText"/>
        <w:spacing w:before="6"/>
        <w:rPr>
          <w:sz w:val="15"/>
        </w:rPr>
      </w:pPr>
    </w:p>
    <w:p>
      <w:pPr>
        <w:pStyle w:val="BodyText"/>
        <w:ind w:left="1260"/>
        <w:rPr>
          <w:rFonts w:ascii="Times New Roman" w:eastAsia="Times New Roman"/>
        </w:rPr>
      </w:pPr>
      <w:r>
        <w:rPr/>
        <w:t>网址：</w:t>
      </w:r>
      <w:hyperlink r:id="rId176">
        <w:r>
          <w:rPr>
            <w:rFonts w:ascii="Times New Roman" w:eastAsia="Times New Roman"/>
          </w:rPr>
          <w:t>www.csco.com.cn</w:t>
        </w:r>
      </w:hyperlink>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第一创业证券股份有限公司</w:t>
      </w:r>
    </w:p>
    <w:p>
      <w:pPr>
        <w:pStyle w:val="BodyText"/>
        <w:spacing w:before="7"/>
        <w:rPr>
          <w:sz w:val="15"/>
        </w:rPr>
      </w:pPr>
    </w:p>
    <w:p>
      <w:pPr>
        <w:pStyle w:val="BodyText"/>
        <w:ind w:left="1260"/>
      </w:pPr>
      <w:r>
        <w:rPr/>
        <w:t>住所：深圳市福田区福华一路</w:t>
      </w:r>
      <w:r>
        <w:rPr>
          <w:rFonts w:ascii="Times New Roman" w:eastAsia="Times New Roman"/>
        </w:rPr>
        <w:t>115</w:t>
      </w:r>
      <w:r>
        <w:rPr/>
        <w:t>号投行大厦</w:t>
      </w:r>
      <w:r>
        <w:rPr>
          <w:rFonts w:ascii="Times New Roman" w:eastAsia="Times New Roman"/>
        </w:rPr>
        <w:t>20</w:t>
      </w:r>
      <w:r>
        <w:rPr/>
        <w:t>楼</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1260" w:right="3793"/>
      </w:pPr>
      <w:r>
        <w:rPr/>
        <w:t>办公地址：深圳市福田区福华一路</w:t>
      </w:r>
      <w:r>
        <w:rPr>
          <w:rFonts w:ascii="Times New Roman" w:eastAsia="Times New Roman"/>
        </w:rPr>
        <w:t>115</w:t>
      </w:r>
      <w:r>
        <w:rPr/>
        <w:t>号投行大厦</w:t>
      </w:r>
      <w:r>
        <w:rPr>
          <w:rFonts w:ascii="Times New Roman" w:eastAsia="Times New Roman"/>
        </w:rPr>
        <w:t>18</w:t>
      </w:r>
      <w:r>
        <w:rPr/>
        <w:t>楼法定代表人：刘学民</w:t>
      </w:r>
    </w:p>
    <w:p>
      <w:pPr>
        <w:pStyle w:val="BodyText"/>
        <w:spacing w:line="417" w:lineRule="auto"/>
        <w:ind w:left="1260" w:right="6760"/>
        <w:rPr>
          <w:rFonts w:ascii="Times New Roman" w:eastAsia="Times New Roman"/>
        </w:rPr>
      </w:pPr>
      <w:r>
        <w:rPr/>
        <w:t>电话：</w:t>
      </w:r>
      <w:r>
        <w:rPr>
          <w:rFonts w:ascii="Times New Roman" w:eastAsia="Times New Roman"/>
        </w:rPr>
        <w:t>0755-23838750 </w:t>
      </w:r>
      <w:r>
        <w:rPr/>
        <w:t>传真：</w:t>
      </w:r>
      <w:r>
        <w:rPr>
          <w:rFonts w:ascii="Times New Roman" w:eastAsia="Times New Roman"/>
        </w:rPr>
        <w:t>0755-25838701</w:t>
      </w:r>
    </w:p>
    <w:p>
      <w:pPr>
        <w:pStyle w:val="BodyText"/>
        <w:spacing w:line="269" w:lineRule="exact"/>
        <w:ind w:left="1260"/>
      </w:pPr>
      <w:r>
        <w:rPr/>
        <w:t>联系人：单晶</w:t>
      </w:r>
    </w:p>
    <w:p>
      <w:pPr>
        <w:pStyle w:val="BodyText"/>
        <w:spacing w:before="6"/>
        <w:rPr>
          <w:sz w:val="15"/>
        </w:rPr>
      </w:pPr>
    </w:p>
    <w:p>
      <w:pPr>
        <w:pStyle w:val="BodyText"/>
        <w:spacing w:line="417" w:lineRule="auto" w:before="1"/>
        <w:ind w:left="1260" w:right="5992"/>
        <w:rPr>
          <w:rFonts w:ascii="Times New Roman" w:eastAsia="Times New Roman"/>
        </w:rPr>
      </w:pPr>
      <w:r>
        <w:rPr/>
        <w:t>网址：</w:t>
      </w:r>
      <w:hyperlink r:id="rId177">
        <w:r>
          <w:rPr>
            <w:rFonts w:ascii="Times New Roman" w:eastAsia="Times New Roman"/>
          </w:rPr>
          <w:t>www.firstcapital.com.cn </w:t>
        </w:r>
      </w:hyperlink>
      <w:r>
        <w:rPr/>
        <w:t>客户服务电话：</w:t>
      </w:r>
      <w:r>
        <w:rPr>
          <w:rFonts w:ascii="Times New Roman" w:eastAsia="Times New Roman"/>
        </w:rPr>
        <w:t>95358</w:t>
      </w: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金元证券股份有限公司</w:t>
      </w:r>
    </w:p>
    <w:p>
      <w:pPr>
        <w:pStyle w:val="BodyText"/>
        <w:spacing w:before="6"/>
        <w:rPr>
          <w:sz w:val="15"/>
        </w:rPr>
      </w:pPr>
    </w:p>
    <w:p>
      <w:pPr>
        <w:pStyle w:val="BodyText"/>
        <w:spacing w:before="1"/>
        <w:ind w:left="1260"/>
      </w:pPr>
      <w:r>
        <w:rPr/>
        <w:t>住所：海口市南宝路</w:t>
      </w:r>
      <w:r>
        <w:rPr>
          <w:rFonts w:ascii="Times New Roman" w:eastAsia="Times New Roman"/>
        </w:rPr>
        <w:t>36</w:t>
      </w:r>
      <w:r>
        <w:rPr/>
        <w:t>号证券大厦</w:t>
      </w:r>
      <w:r>
        <w:rPr>
          <w:rFonts w:ascii="Times New Roman" w:eastAsia="Times New Roman"/>
        </w:rPr>
        <w:t>4</w:t>
      </w:r>
      <w:r>
        <w:rPr/>
        <w:t>楼</w:t>
      </w:r>
    </w:p>
    <w:p>
      <w:pPr>
        <w:pStyle w:val="BodyText"/>
        <w:spacing w:before="6"/>
        <w:rPr>
          <w:sz w:val="15"/>
        </w:rPr>
      </w:pPr>
    </w:p>
    <w:p>
      <w:pPr>
        <w:pStyle w:val="BodyText"/>
        <w:spacing w:line="417" w:lineRule="auto"/>
        <w:ind w:left="1260" w:right="3889"/>
      </w:pPr>
      <w:r>
        <w:rPr/>
        <w:t>办公地址：深圳市深南大道</w:t>
      </w:r>
      <w:r>
        <w:rPr>
          <w:rFonts w:ascii="Times New Roman" w:eastAsia="Times New Roman"/>
        </w:rPr>
        <w:t>4001</w:t>
      </w:r>
      <w:r>
        <w:rPr/>
        <w:t>号时代金融中心</w:t>
      </w:r>
      <w:r>
        <w:rPr>
          <w:rFonts w:ascii="Times New Roman" w:eastAsia="Times New Roman"/>
        </w:rPr>
        <w:t>17</w:t>
      </w:r>
      <w:r>
        <w:rPr/>
        <w:t>层法定代表人：陆涛</w:t>
      </w:r>
    </w:p>
    <w:p>
      <w:pPr>
        <w:pStyle w:val="BodyText"/>
        <w:spacing w:line="417" w:lineRule="auto"/>
        <w:ind w:left="1260" w:right="6760"/>
        <w:rPr>
          <w:rFonts w:ascii="Times New Roman" w:eastAsia="Times New Roman"/>
        </w:rPr>
      </w:pPr>
      <w:r>
        <w:rPr/>
        <w:t>电话：</w:t>
      </w:r>
      <w:r>
        <w:rPr>
          <w:rFonts w:ascii="Times New Roman" w:eastAsia="Times New Roman"/>
        </w:rPr>
        <w:t>0755-83025022 </w:t>
      </w:r>
      <w:r>
        <w:rPr/>
        <w:t>传真：</w:t>
      </w:r>
      <w:r>
        <w:rPr>
          <w:rFonts w:ascii="Times New Roman" w:eastAsia="Times New Roman"/>
        </w:rPr>
        <w:t>0755-83025625</w:t>
      </w:r>
    </w:p>
    <w:p>
      <w:pPr>
        <w:pStyle w:val="BodyText"/>
        <w:spacing w:line="417" w:lineRule="auto"/>
        <w:ind w:left="1260" w:right="6988"/>
        <w:rPr>
          <w:rFonts w:ascii="Times New Roman" w:eastAsia="Times New Roman"/>
        </w:rPr>
      </w:pPr>
      <w:r>
        <w:rPr>
          <w:spacing w:val="-2"/>
        </w:rPr>
        <w:t>联系人：马贤清 </w:t>
      </w:r>
      <w:r>
        <w:rPr>
          <w:spacing w:val="-4"/>
        </w:rPr>
        <w:t>网址：</w:t>
      </w:r>
      <w:hyperlink r:id="rId178">
        <w:r>
          <w:rPr>
            <w:rFonts w:ascii="Times New Roman" w:eastAsia="Times New Roman"/>
            <w:spacing w:val="-5"/>
          </w:rPr>
          <w:t>www.jyzq.cn</w:t>
        </w:r>
      </w:hyperlink>
    </w:p>
    <w:p>
      <w:pPr>
        <w:pStyle w:val="BodyText"/>
        <w:ind w:left="1260"/>
        <w:rPr>
          <w:rFonts w:ascii="Times New Roman" w:eastAsia="Times New Roman"/>
        </w:rPr>
      </w:pPr>
      <w:r>
        <w:rPr/>
        <w:t>客户服务电话：</w:t>
      </w:r>
      <w:r>
        <w:rPr>
          <w:rFonts w:ascii="Times New Roman" w:eastAsia="Times New Roman"/>
        </w:rPr>
        <w:t>95372</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中航证券有限公司</w:t>
      </w:r>
    </w:p>
    <w:p>
      <w:pPr>
        <w:pStyle w:val="BodyText"/>
        <w:spacing w:before="7"/>
        <w:rPr>
          <w:sz w:val="15"/>
        </w:rPr>
      </w:pPr>
    </w:p>
    <w:p>
      <w:pPr>
        <w:pStyle w:val="BodyText"/>
        <w:ind w:left="1260"/>
      </w:pPr>
      <w:r>
        <w:rPr/>
        <w:t>住所：江西省南昌市红谷滩新区红谷中大道</w:t>
      </w:r>
      <w:r>
        <w:rPr>
          <w:rFonts w:ascii="Times New Roman" w:eastAsia="Times New Roman"/>
        </w:rPr>
        <w:t>1619</w:t>
      </w:r>
      <w:r>
        <w:rPr/>
        <w:t>号南昌国际金融大厦</w:t>
      </w:r>
      <w:r>
        <w:rPr>
          <w:rFonts w:ascii="Times New Roman" w:eastAsia="Times New Roman"/>
        </w:rPr>
        <w:t>A</w:t>
      </w:r>
      <w:r>
        <w:rPr/>
        <w:t>栋</w:t>
      </w:r>
      <w:r>
        <w:rPr>
          <w:rFonts w:ascii="Times New Roman" w:eastAsia="Times New Roman"/>
        </w:rPr>
        <w:t>41</w:t>
      </w:r>
      <w:r>
        <w:rPr/>
        <w:t>层</w:t>
      </w:r>
    </w:p>
    <w:p>
      <w:pPr>
        <w:pStyle w:val="BodyText"/>
        <w:spacing w:before="7"/>
        <w:rPr>
          <w:sz w:val="15"/>
        </w:rPr>
      </w:pPr>
    </w:p>
    <w:p>
      <w:pPr>
        <w:pStyle w:val="BodyText"/>
        <w:spacing w:line="417" w:lineRule="auto"/>
        <w:ind w:left="1260" w:right="1217"/>
      </w:pPr>
      <w:r>
        <w:rPr/>
        <w:t>办公地址：江西省南昌市红谷滩新区红谷中大道</w:t>
      </w:r>
      <w:r>
        <w:rPr>
          <w:rFonts w:ascii="Times New Roman" w:eastAsia="Times New Roman"/>
        </w:rPr>
        <w:t>1619</w:t>
      </w:r>
      <w:r>
        <w:rPr/>
        <w:t>号南昌国际金融大厦</w:t>
      </w:r>
      <w:r>
        <w:rPr>
          <w:rFonts w:ascii="Times New Roman" w:eastAsia="Times New Roman"/>
        </w:rPr>
        <w:t>A</w:t>
      </w:r>
      <w:r>
        <w:rPr/>
        <w:t>栋</w:t>
      </w:r>
      <w:r>
        <w:rPr>
          <w:rFonts w:ascii="Times New Roman" w:eastAsia="Times New Roman"/>
        </w:rPr>
        <w:t>41</w:t>
      </w:r>
      <w:r>
        <w:rPr/>
        <w:t>层法定代表人：王宜四</w:t>
      </w:r>
    </w:p>
    <w:p>
      <w:pPr>
        <w:pStyle w:val="BodyText"/>
        <w:spacing w:line="417" w:lineRule="auto"/>
        <w:ind w:left="1260" w:right="6760"/>
        <w:rPr>
          <w:rFonts w:ascii="Times New Roman" w:eastAsia="Times New Roman"/>
        </w:rPr>
      </w:pPr>
      <w:r>
        <w:rPr/>
        <w:t>电话：</w:t>
      </w:r>
      <w:r>
        <w:rPr>
          <w:rFonts w:ascii="Times New Roman" w:eastAsia="Times New Roman"/>
        </w:rPr>
        <w:t>0791-86768681 </w:t>
      </w:r>
      <w:r>
        <w:rPr/>
        <w:t>传真：</w:t>
      </w:r>
      <w:r>
        <w:rPr>
          <w:rFonts w:ascii="Times New Roman" w:eastAsia="Times New Roman"/>
        </w:rPr>
        <w:t>0791-86770178</w:t>
      </w:r>
    </w:p>
    <w:p>
      <w:pPr>
        <w:pStyle w:val="BodyText"/>
        <w:ind w:left="1260"/>
      </w:pPr>
      <w:r>
        <w:rPr/>
        <w:t>联系人：戴蕾</w:t>
      </w:r>
    </w:p>
    <w:p>
      <w:pPr>
        <w:pStyle w:val="BodyText"/>
        <w:spacing w:before="6"/>
        <w:rPr>
          <w:sz w:val="15"/>
        </w:rPr>
      </w:pPr>
    </w:p>
    <w:p>
      <w:pPr>
        <w:pStyle w:val="BodyText"/>
        <w:spacing w:line="417" w:lineRule="auto"/>
        <w:ind w:left="1260" w:right="6522"/>
        <w:rPr>
          <w:rFonts w:ascii="Times New Roman" w:eastAsia="Times New Roman"/>
        </w:rPr>
      </w:pPr>
      <w:r>
        <w:rPr/>
        <w:t>网址：</w:t>
      </w:r>
      <w:hyperlink r:id="rId179">
        <w:r>
          <w:rPr>
            <w:rFonts w:ascii="Times New Roman" w:eastAsia="Times New Roman"/>
          </w:rPr>
          <w:t>www.avicsec.com </w:t>
        </w:r>
      </w:hyperlink>
      <w:r>
        <w:rPr/>
        <w:t>客户服务电话：</w:t>
      </w:r>
      <w:r>
        <w:rPr>
          <w:rFonts w:ascii="Times New Roman" w:eastAsia="Times New Roman"/>
        </w:rPr>
        <w:t>95335</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华林证券股份有限公司</w:t>
      </w:r>
    </w:p>
    <w:p>
      <w:pPr>
        <w:pStyle w:val="BodyText"/>
        <w:spacing w:before="7"/>
        <w:rPr>
          <w:sz w:val="15"/>
        </w:rPr>
      </w:pPr>
    </w:p>
    <w:p>
      <w:pPr>
        <w:pStyle w:val="BodyText"/>
        <w:spacing w:line="417" w:lineRule="auto"/>
        <w:ind w:left="1260" w:right="2312"/>
      </w:pPr>
      <w:r>
        <w:rPr/>
        <w:t>住所：西藏自治区拉萨市柳梧新区察古大道</w:t>
      </w:r>
      <w:r>
        <w:rPr>
          <w:rFonts w:ascii="Times New Roman" w:eastAsia="Times New Roman"/>
        </w:rPr>
        <w:t>1-1</w:t>
      </w:r>
      <w:r>
        <w:rPr/>
        <w:t>号君泰国际</w:t>
      </w:r>
      <w:r>
        <w:rPr>
          <w:rFonts w:ascii="Times New Roman" w:eastAsia="Times New Roman"/>
        </w:rPr>
        <w:t>B</w:t>
      </w:r>
      <w:r>
        <w:rPr/>
        <w:t>栋一层</w:t>
      </w:r>
      <w:r>
        <w:rPr>
          <w:rFonts w:ascii="Times New Roman" w:eastAsia="Times New Roman"/>
        </w:rPr>
        <w:t>3</w:t>
      </w:r>
      <w:r>
        <w:rPr/>
        <w:t>号办公地址：深圳市福田区民田路</w:t>
      </w:r>
      <w:r>
        <w:rPr>
          <w:rFonts w:ascii="Times New Roman" w:eastAsia="Times New Roman"/>
        </w:rPr>
        <w:t>178</w:t>
      </w:r>
      <w:r>
        <w:rPr/>
        <w:t>号华融大厦</w:t>
      </w:r>
      <w:r>
        <w:rPr>
          <w:rFonts w:ascii="Times New Roman" w:eastAsia="Times New Roman"/>
        </w:rPr>
        <w:t>6</w:t>
      </w:r>
      <w:r>
        <w:rPr/>
        <w:t>楼</w:t>
      </w:r>
    </w:p>
    <w:p>
      <w:pPr>
        <w:pStyle w:val="BodyText"/>
        <w:spacing w:line="417" w:lineRule="auto"/>
        <w:ind w:left="1260" w:right="6707"/>
        <w:rPr>
          <w:rFonts w:ascii="Times New Roman" w:eastAsia="Times New Roman"/>
        </w:rPr>
      </w:pPr>
      <w:r>
        <w:rPr/>
        <w:t>法定代表人：林立 电话：</w:t>
      </w:r>
      <w:r>
        <w:rPr>
          <w:rFonts w:ascii="Times New Roman" w:eastAsia="Times New Roman"/>
        </w:rPr>
        <w:t>0755-83255199</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传真：</w:t>
      </w:r>
      <w:r>
        <w:rPr>
          <w:rFonts w:ascii="Times New Roman" w:eastAsia="Times New Roman"/>
        </w:rPr>
        <w:t>0755-82707700</w:t>
      </w:r>
    </w:p>
    <w:p>
      <w:pPr>
        <w:pStyle w:val="BodyText"/>
        <w:spacing w:before="3"/>
        <w:rPr>
          <w:rFonts w:ascii="Times New Roman"/>
          <w:sz w:val="17"/>
        </w:rPr>
      </w:pPr>
    </w:p>
    <w:p>
      <w:pPr>
        <w:pStyle w:val="BodyText"/>
        <w:ind w:left="1260"/>
      </w:pPr>
      <w:r>
        <w:rPr/>
        <w:t>联系人：胡倩</w:t>
      </w:r>
    </w:p>
    <w:p>
      <w:pPr>
        <w:pStyle w:val="BodyText"/>
        <w:spacing w:before="7"/>
        <w:rPr>
          <w:sz w:val="15"/>
        </w:rPr>
      </w:pPr>
    </w:p>
    <w:p>
      <w:pPr>
        <w:pStyle w:val="BodyText"/>
        <w:ind w:left="1260"/>
        <w:rPr>
          <w:rFonts w:ascii="Times New Roman" w:eastAsia="Times New Roman"/>
        </w:rPr>
      </w:pPr>
      <w:r>
        <w:rPr/>
        <w:t>网址：</w:t>
      </w:r>
      <w:hyperlink r:id="rId180">
        <w:r>
          <w:rPr>
            <w:rFonts w:ascii="Times New Roman" w:eastAsia="Times New Roman"/>
          </w:rPr>
          <w:t>www.chinalin.com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400-188-3888</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德邦证券股份有限公司</w:t>
      </w:r>
    </w:p>
    <w:p>
      <w:pPr>
        <w:pStyle w:val="BodyText"/>
        <w:spacing w:before="6"/>
        <w:rPr>
          <w:sz w:val="15"/>
        </w:rPr>
      </w:pPr>
    </w:p>
    <w:p>
      <w:pPr>
        <w:pStyle w:val="BodyText"/>
        <w:ind w:left="1260"/>
      </w:pPr>
      <w:r>
        <w:rPr/>
        <w:t>住所：上海市普陀区曹杨路</w:t>
      </w:r>
      <w:r>
        <w:rPr>
          <w:rFonts w:ascii="Times New Roman" w:eastAsia="Times New Roman"/>
        </w:rPr>
        <w:t>510</w:t>
      </w:r>
      <w:r>
        <w:rPr/>
        <w:t>号南半幢</w:t>
      </w:r>
      <w:r>
        <w:rPr>
          <w:rFonts w:ascii="Times New Roman" w:eastAsia="Times New Roman"/>
        </w:rPr>
        <w:t>9</w:t>
      </w:r>
      <w:r>
        <w:rPr/>
        <w:t>楼</w:t>
      </w:r>
    </w:p>
    <w:p>
      <w:pPr>
        <w:pStyle w:val="BodyText"/>
        <w:spacing w:before="7"/>
        <w:rPr>
          <w:sz w:val="15"/>
        </w:rPr>
      </w:pPr>
    </w:p>
    <w:p>
      <w:pPr>
        <w:pStyle w:val="BodyText"/>
        <w:spacing w:line="417" w:lineRule="auto"/>
        <w:ind w:left="1260" w:right="3363"/>
      </w:pPr>
      <w:r>
        <w:rPr/>
        <w:t>办公地址：上海市浦东新区福山路</w:t>
      </w:r>
      <w:r>
        <w:rPr>
          <w:rFonts w:ascii="Times New Roman" w:eastAsia="Times New Roman"/>
        </w:rPr>
        <w:t>500</w:t>
      </w:r>
      <w:r>
        <w:rPr/>
        <w:t>号城建国际中心</w:t>
      </w:r>
      <w:r>
        <w:rPr>
          <w:rFonts w:ascii="Times New Roman" w:eastAsia="Times New Roman"/>
        </w:rPr>
        <w:t>26</w:t>
      </w:r>
      <w:r>
        <w:rPr/>
        <w:t>楼法定代表人：武晓春</w:t>
      </w:r>
    </w:p>
    <w:p>
      <w:pPr>
        <w:pStyle w:val="BodyText"/>
        <w:spacing w:line="417" w:lineRule="auto"/>
        <w:ind w:left="1260" w:right="6866"/>
        <w:rPr>
          <w:rFonts w:ascii="Times New Roman" w:eastAsia="Times New Roman"/>
        </w:rPr>
      </w:pPr>
      <w:r>
        <w:rPr/>
        <w:t>电话：</w:t>
      </w:r>
      <w:r>
        <w:rPr>
          <w:rFonts w:ascii="Times New Roman" w:eastAsia="Times New Roman"/>
        </w:rPr>
        <w:t>021-68761616 </w:t>
      </w:r>
      <w:r>
        <w:rPr/>
        <w:t>传真：</w:t>
      </w:r>
      <w:r>
        <w:rPr>
          <w:rFonts w:ascii="Times New Roman" w:eastAsia="Times New Roman"/>
        </w:rPr>
        <w:t>021-68767032</w:t>
      </w:r>
    </w:p>
    <w:p>
      <w:pPr>
        <w:pStyle w:val="BodyText"/>
        <w:spacing w:line="269" w:lineRule="exact"/>
        <w:ind w:left="1260"/>
      </w:pPr>
      <w:r>
        <w:rPr/>
        <w:t>联系人：刘熠</w:t>
      </w:r>
    </w:p>
    <w:p>
      <w:pPr>
        <w:pStyle w:val="BodyText"/>
        <w:spacing w:before="7"/>
        <w:rPr>
          <w:sz w:val="15"/>
        </w:rPr>
      </w:pPr>
    </w:p>
    <w:p>
      <w:pPr>
        <w:pStyle w:val="BodyText"/>
        <w:ind w:left="1260"/>
        <w:rPr>
          <w:rFonts w:ascii="Times New Roman" w:eastAsia="Times New Roman"/>
        </w:rPr>
      </w:pPr>
      <w:r>
        <w:rPr/>
        <w:t>网址：</w:t>
      </w:r>
      <w:hyperlink r:id="rId181">
        <w:r>
          <w:rPr>
            <w:rFonts w:ascii="Times New Roman" w:eastAsia="Times New Roman"/>
          </w:rPr>
          <w:t>www.tebon.com.cn</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400-888-8128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西部证券股份有限公司</w:t>
      </w:r>
    </w:p>
    <w:p>
      <w:pPr>
        <w:pStyle w:val="BodyText"/>
        <w:spacing w:before="7"/>
        <w:rPr>
          <w:sz w:val="15"/>
        </w:rPr>
      </w:pPr>
    </w:p>
    <w:p>
      <w:pPr>
        <w:pStyle w:val="BodyText"/>
        <w:ind w:left="1260"/>
      </w:pPr>
      <w:r>
        <w:rPr/>
        <w:t>住所：陕西省西安市新城区东新街</w:t>
      </w:r>
      <w:r>
        <w:rPr>
          <w:rFonts w:ascii="Times New Roman" w:eastAsia="Times New Roman"/>
        </w:rPr>
        <w:t>319</w:t>
      </w:r>
      <w:r>
        <w:rPr/>
        <w:t>号</w:t>
      </w:r>
      <w:r>
        <w:rPr>
          <w:rFonts w:ascii="Times New Roman" w:eastAsia="Times New Roman"/>
        </w:rPr>
        <w:t>8</w:t>
      </w:r>
      <w:r>
        <w:rPr/>
        <w:t>幢</w:t>
      </w:r>
      <w:r>
        <w:rPr>
          <w:rFonts w:ascii="Times New Roman" w:eastAsia="Times New Roman"/>
        </w:rPr>
        <w:t>10000</w:t>
      </w:r>
      <w:r>
        <w:rPr/>
        <w:t>室</w:t>
      </w:r>
    </w:p>
    <w:p>
      <w:pPr>
        <w:pStyle w:val="BodyText"/>
        <w:spacing w:before="7"/>
        <w:rPr>
          <w:sz w:val="15"/>
        </w:rPr>
      </w:pPr>
    </w:p>
    <w:p>
      <w:pPr>
        <w:pStyle w:val="BodyText"/>
        <w:spacing w:line="417" w:lineRule="auto"/>
        <w:ind w:left="1260" w:right="3575"/>
      </w:pPr>
      <w:r>
        <w:rPr/>
        <w:t>办公地址：陕西省西安市新城区东新街</w:t>
      </w:r>
      <w:r>
        <w:rPr>
          <w:rFonts w:ascii="Times New Roman" w:eastAsia="Times New Roman"/>
        </w:rPr>
        <w:t>319</w:t>
      </w:r>
      <w:r>
        <w:rPr/>
        <w:t>号</w:t>
      </w:r>
      <w:r>
        <w:rPr>
          <w:rFonts w:ascii="Times New Roman" w:eastAsia="Times New Roman"/>
        </w:rPr>
        <w:t>8</w:t>
      </w:r>
      <w:r>
        <w:rPr/>
        <w:t>幢</w:t>
      </w:r>
      <w:r>
        <w:rPr>
          <w:rFonts w:ascii="Times New Roman" w:eastAsia="Times New Roman"/>
        </w:rPr>
        <w:t>10000</w:t>
      </w:r>
      <w:r>
        <w:rPr/>
        <w:t>室法定代表人：徐朝晖</w:t>
      </w:r>
    </w:p>
    <w:p>
      <w:pPr>
        <w:pStyle w:val="BodyText"/>
        <w:spacing w:line="417" w:lineRule="auto"/>
        <w:ind w:left="1260" w:right="6866"/>
        <w:rPr>
          <w:rFonts w:ascii="Times New Roman" w:eastAsia="Times New Roman"/>
        </w:rPr>
      </w:pPr>
      <w:r>
        <w:rPr/>
        <w:t>电话：</w:t>
      </w:r>
      <w:r>
        <w:rPr>
          <w:rFonts w:ascii="Times New Roman" w:eastAsia="Times New Roman"/>
        </w:rPr>
        <w:t>029-87211526 </w:t>
      </w:r>
      <w:r>
        <w:rPr/>
        <w:t>传真：</w:t>
      </w:r>
      <w:r>
        <w:rPr>
          <w:rFonts w:ascii="Times New Roman" w:eastAsia="Times New Roman"/>
        </w:rPr>
        <w:t>029-87424426</w:t>
      </w:r>
    </w:p>
    <w:p>
      <w:pPr>
        <w:pStyle w:val="BodyText"/>
        <w:spacing w:line="269" w:lineRule="exact"/>
        <w:ind w:left="1260"/>
      </w:pPr>
      <w:r>
        <w:rPr/>
        <w:t>联系人：梁承华</w:t>
      </w:r>
    </w:p>
    <w:p>
      <w:pPr>
        <w:pStyle w:val="BodyText"/>
        <w:spacing w:before="6"/>
        <w:rPr>
          <w:sz w:val="15"/>
        </w:rPr>
      </w:pPr>
    </w:p>
    <w:p>
      <w:pPr>
        <w:pStyle w:val="BodyText"/>
        <w:spacing w:line="417" w:lineRule="auto"/>
        <w:ind w:left="1260" w:right="6381"/>
        <w:rPr>
          <w:rFonts w:ascii="Times New Roman" w:eastAsia="Times New Roman"/>
        </w:rPr>
      </w:pPr>
      <w:r>
        <w:rPr/>
        <w:t>网址：</w:t>
      </w:r>
      <w:hyperlink r:id="rId182">
        <w:r>
          <w:rPr>
            <w:rFonts w:ascii="Times New Roman" w:eastAsia="Times New Roman"/>
          </w:rPr>
          <w:t>www.westsecu.com </w:t>
        </w:r>
      </w:hyperlink>
      <w:r>
        <w:rPr/>
        <w:t>客户服务电话：</w:t>
      </w:r>
      <w:r>
        <w:rPr>
          <w:rFonts w:ascii="Times New Roman" w:eastAsia="Times New Roman"/>
        </w:rPr>
        <w:t>95582</w:t>
      </w: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华福证券有限责任公司</w:t>
      </w:r>
    </w:p>
    <w:p>
      <w:pPr>
        <w:pStyle w:val="BodyText"/>
        <w:spacing w:before="6"/>
        <w:rPr>
          <w:sz w:val="15"/>
        </w:rPr>
      </w:pPr>
    </w:p>
    <w:p>
      <w:pPr>
        <w:pStyle w:val="BodyText"/>
        <w:ind w:left="1260"/>
      </w:pPr>
      <w:r>
        <w:rPr/>
        <w:t>住所：福州市五四路</w:t>
      </w:r>
      <w:r>
        <w:rPr>
          <w:rFonts w:ascii="Times New Roman" w:eastAsia="Times New Roman"/>
        </w:rPr>
        <w:t>157</w:t>
      </w:r>
      <w:r>
        <w:rPr/>
        <w:t>号新天地大厦</w:t>
      </w:r>
      <w:r>
        <w:rPr>
          <w:rFonts w:ascii="Times New Roman" w:eastAsia="Times New Roman"/>
        </w:rPr>
        <w:t>7</w:t>
      </w:r>
      <w:r>
        <w:rPr/>
        <w:t>、</w:t>
      </w:r>
      <w:r>
        <w:rPr>
          <w:rFonts w:ascii="Times New Roman" w:eastAsia="Times New Roman"/>
        </w:rPr>
        <w:t>8</w:t>
      </w:r>
      <w:r>
        <w:rPr/>
        <w:t>层</w:t>
      </w:r>
    </w:p>
    <w:p>
      <w:pPr>
        <w:pStyle w:val="BodyText"/>
        <w:spacing w:before="7"/>
        <w:rPr>
          <w:sz w:val="15"/>
        </w:rPr>
      </w:pPr>
    </w:p>
    <w:p>
      <w:pPr>
        <w:pStyle w:val="BodyText"/>
        <w:spacing w:line="417" w:lineRule="auto"/>
        <w:ind w:left="1260" w:right="4100"/>
      </w:pPr>
      <w:r>
        <w:rPr/>
        <w:t>办公地址：福州市五四路</w:t>
      </w:r>
      <w:r>
        <w:rPr>
          <w:rFonts w:ascii="Times New Roman" w:eastAsia="Times New Roman"/>
        </w:rPr>
        <w:t>157</w:t>
      </w:r>
      <w:r>
        <w:rPr/>
        <w:t>号新天地大厦</w:t>
      </w:r>
      <w:r>
        <w:rPr>
          <w:rFonts w:ascii="Times New Roman" w:eastAsia="Times New Roman"/>
        </w:rPr>
        <w:t>7</w:t>
      </w:r>
      <w:r>
        <w:rPr/>
        <w:t>至</w:t>
      </w:r>
      <w:r>
        <w:rPr>
          <w:rFonts w:ascii="Times New Roman" w:eastAsia="Times New Roman"/>
        </w:rPr>
        <w:t>10</w:t>
      </w:r>
      <w:r>
        <w:rPr/>
        <w:t>层法定代表人：黄金琳</w:t>
      </w:r>
    </w:p>
    <w:p>
      <w:pPr>
        <w:pStyle w:val="BodyText"/>
        <w:spacing w:line="417" w:lineRule="auto"/>
        <w:ind w:left="1260" w:right="6760"/>
        <w:rPr>
          <w:rFonts w:ascii="Times New Roman" w:eastAsia="Times New Roman"/>
        </w:rPr>
      </w:pPr>
      <w:r>
        <w:rPr/>
        <w:t>电话：</w:t>
      </w:r>
      <w:r>
        <w:rPr>
          <w:rFonts w:ascii="Times New Roman" w:eastAsia="Times New Roman"/>
        </w:rPr>
        <w:t>0591-87383623 </w:t>
      </w:r>
      <w:r>
        <w:rPr/>
        <w:t>传真：</w:t>
      </w:r>
      <w:r>
        <w:rPr>
          <w:rFonts w:ascii="Times New Roman" w:eastAsia="Times New Roman"/>
        </w:rPr>
        <w:t>0591-87383610</w:t>
      </w:r>
    </w:p>
    <w:p>
      <w:pPr>
        <w:pStyle w:val="BodyText"/>
        <w:ind w:left="1260"/>
      </w:pPr>
      <w:r>
        <w:rPr/>
        <w:t>联系人：张腾</w:t>
      </w:r>
    </w:p>
    <w:p>
      <w:pPr>
        <w:pStyle w:val="BodyText"/>
        <w:spacing w:before="6"/>
        <w:rPr>
          <w:sz w:val="15"/>
        </w:rPr>
      </w:pPr>
    </w:p>
    <w:p>
      <w:pPr>
        <w:pStyle w:val="BodyText"/>
        <w:spacing w:before="1"/>
        <w:ind w:left="1260"/>
        <w:rPr>
          <w:rFonts w:ascii="Times New Roman" w:eastAsia="Times New Roman"/>
        </w:rPr>
      </w:pPr>
      <w:r>
        <w:rPr/>
        <w:t>网址：</w:t>
      </w:r>
      <w:hyperlink r:id="rId183">
        <w:r>
          <w:rPr>
            <w:rFonts w:ascii="Times New Roman" w:eastAsia="Times New Roman"/>
          </w:rPr>
          <w:t>www.hfzq.com.cn</w:t>
        </w:r>
      </w:hyperlink>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客户服务电话：</w:t>
      </w:r>
      <w:r>
        <w:rPr>
          <w:rFonts w:ascii="Times New Roman" w:eastAsia="Times New Roman"/>
        </w:rPr>
        <w:t>95547</w:t>
      </w:r>
    </w:p>
    <w:p>
      <w:pPr>
        <w:pStyle w:val="BodyText"/>
        <w:spacing w:before="3"/>
        <w:rPr>
          <w:rFonts w:ascii="Times New Roman"/>
          <w:sz w:val="17"/>
        </w:rPr>
      </w:pP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华龙证券股份有限公司 住所：甘肃省兰州市静宁路</w:t>
      </w:r>
      <w:r>
        <w:rPr>
          <w:rFonts w:ascii="Times New Roman" w:eastAsia="Times New Roman"/>
          <w:sz w:val="21"/>
        </w:rPr>
        <w:t>308</w:t>
      </w:r>
      <w:r>
        <w:rPr>
          <w:spacing w:val="-13"/>
          <w:sz w:val="21"/>
        </w:rPr>
        <w:t>号</w:t>
      </w:r>
    </w:p>
    <w:p>
      <w:pPr>
        <w:pStyle w:val="BodyText"/>
        <w:spacing w:line="417" w:lineRule="auto"/>
        <w:ind w:left="1260" w:right="5255"/>
      </w:pPr>
      <w:r>
        <w:rPr>
          <w:spacing w:val="-3"/>
        </w:rPr>
        <w:t>办公地址：甘肃省兰州市静宁路</w:t>
      </w:r>
      <w:r>
        <w:rPr>
          <w:rFonts w:ascii="Times New Roman" w:eastAsia="Times New Roman"/>
        </w:rPr>
        <w:t>308</w:t>
      </w:r>
      <w:r>
        <w:rPr>
          <w:spacing w:val="-13"/>
        </w:rPr>
        <w:t>号</w:t>
      </w:r>
      <w:r>
        <w:rPr>
          <w:spacing w:val="-3"/>
        </w:rPr>
        <w:t>法定代表人：李晓安</w:t>
      </w:r>
    </w:p>
    <w:p>
      <w:pPr>
        <w:pStyle w:val="BodyText"/>
        <w:spacing w:line="269" w:lineRule="exact"/>
        <w:ind w:left="1260"/>
        <w:rPr>
          <w:rFonts w:ascii="Times New Roman" w:eastAsia="Times New Roman"/>
        </w:rPr>
      </w:pPr>
      <w:r>
        <w:rPr>
          <w:spacing w:val="-1"/>
        </w:rPr>
        <w:t>电话：</w:t>
      </w:r>
      <w:r>
        <w:rPr>
          <w:rFonts w:ascii="Times New Roman" w:eastAsia="Times New Roman"/>
          <w:spacing w:val="-1"/>
        </w:rPr>
        <w:t>0931-4890100</w:t>
      </w:r>
    </w:p>
    <w:p>
      <w:pPr>
        <w:pStyle w:val="BodyText"/>
        <w:spacing w:before="3"/>
        <w:rPr>
          <w:rFonts w:ascii="Times New Roman"/>
          <w:sz w:val="17"/>
        </w:rPr>
      </w:pPr>
    </w:p>
    <w:p>
      <w:pPr>
        <w:pStyle w:val="BodyText"/>
        <w:ind w:left="1260"/>
      </w:pPr>
      <w:r>
        <w:rPr/>
        <w:t>联系人：李昕田</w:t>
      </w:r>
    </w:p>
    <w:p>
      <w:pPr>
        <w:pStyle w:val="BodyText"/>
        <w:spacing w:before="7"/>
        <w:rPr>
          <w:sz w:val="15"/>
        </w:rPr>
      </w:pPr>
    </w:p>
    <w:p>
      <w:pPr>
        <w:pStyle w:val="BodyText"/>
        <w:ind w:left="1260"/>
        <w:rPr>
          <w:rFonts w:ascii="Times New Roman" w:eastAsia="Times New Roman"/>
        </w:rPr>
      </w:pPr>
      <w:r>
        <w:rPr/>
        <w:t>网址：</w:t>
      </w:r>
      <w:hyperlink r:id="rId184">
        <w:r>
          <w:rPr>
            <w:rFonts w:ascii="Times New Roman" w:eastAsia="Times New Roman"/>
          </w:rPr>
          <w:t>www.hlzqgs.com</w:t>
        </w:r>
      </w:hyperlink>
    </w:p>
    <w:p>
      <w:pPr>
        <w:pStyle w:val="BodyText"/>
        <w:spacing w:before="4"/>
        <w:rPr>
          <w:rFonts w:ascii="Times New Roman"/>
          <w:sz w:val="17"/>
        </w:rPr>
      </w:pPr>
    </w:p>
    <w:p>
      <w:pPr>
        <w:pStyle w:val="BodyText"/>
        <w:ind w:left="1260"/>
      </w:pPr>
      <w:r>
        <w:rPr/>
        <w:t>客户服务电话：</w:t>
      </w:r>
      <w:r>
        <w:rPr>
          <w:rFonts w:ascii="Times New Roman" w:eastAsia="Times New Roman"/>
        </w:rPr>
        <w:t>95368</w:t>
      </w:r>
      <w:r>
        <w:rPr/>
        <w:t>、</w:t>
      </w:r>
      <w:r>
        <w:rPr>
          <w:rFonts w:ascii="Times New Roman" w:eastAsia="Times New Roman"/>
        </w:rPr>
        <w:t>400-468-8888</w:t>
      </w:r>
      <w:r>
        <w:rPr/>
        <w:t>（全国）</w:t>
      </w:r>
    </w:p>
    <w:p>
      <w:pPr>
        <w:pStyle w:val="BodyText"/>
        <w:spacing w:before="6"/>
        <w:rPr>
          <w:sz w:val="15"/>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中国国际金融股份有限公司</w:t>
      </w:r>
    </w:p>
    <w:p>
      <w:pPr>
        <w:pStyle w:val="BodyText"/>
        <w:spacing w:before="6"/>
        <w:rPr>
          <w:sz w:val="15"/>
        </w:rPr>
      </w:pPr>
    </w:p>
    <w:p>
      <w:pPr>
        <w:pStyle w:val="BodyText"/>
        <w:ind w:left="1260"/>
      </w:pPr>
      <w:r>
        <w:rPr/>
        <w:t>住所：北京市建国门外大街</w:t>
      </w:r>
      <w:r>
        <w:rPr>
          <w:rFonts w:ascii="Times New Roman" w:eastAsia="Times New Roman"/>
        </w:rPr>
        <w:t>1</w:t>
      </w:r>
      <w:r>
        <w:rPr/>
        <w:t>号国贸大厦</w:t>
      </w:r>
      <w:r>
        <w:rPr>
          <w:rFonts w:ascii="Times New Roman" w:eastAsia="Times New Roman"/>
        </w:rPr>
        <w:t>2</w:t>
      </w:r>
      <w:r>
        <w:rPr/>
        <w:t>座</w:t>
      </w:r>
      <w:r>
        <w:rPr>
          <w:rFonts w:ascii="Times New Roman" w:eastAsia="Times New Roman"/>
        </w:rPr>
        <w:t>27</w:t>
      </w:r>
      <w:r>
        <w:rPr/>
        <w:t>层及</w:t>
      </w:r>
      <w:r>
        <w:rPr>
          <w:rFonts w:ascii="Times New Roman" w:eastAsia="Times New Roman"/>
        </w:rPr>
        <w:t>28</w:t>
      </w:r>
      <w:r>
        <w:rPr/>
        <w:t>层</w:t>
      </w:r>
    </w:p>
    <w:p>
      <w:pPr>
        <w:pStyle w:val="BodyText"/>
        <w:spacing w:before="7"/>
        <w:rPr>
          <w:sz w:val="15"/>
        </w:rPr>
      </w:pPr>
    </w:p>
    <w:p>
      <w:pPr>
        <w:pStyle w:val="BodyText"/>
        <w:spacing w:line="417" w:lineRule="auto"/>
        <w:ind w:left="1260" w:right="3258"/>
      </w:pPr>
      <w:r>
        <w:rPr/>
        <w:t>办公地址：北京市建国门外大街</w:t>
      </w:r>
      <w:r>
        <w:rPr>
          <w:rFonts w:ascii="Times New Roman" w:eastAsia="Times New Roman"/>
        </w:rPr>
        <w:t>1</w:t>
      </w:r>
      <w:r>
        <w:rPr/>
        <w:t>号国贸大厦</w:t>
      </w:r>
      <w:r>
        <w:rPr>
          <w:rFonts w:ascii="Times New Roman" w:eastAsia="Times New Roman"/>
        </w:rPr>
        <w:t>2</w:t>
      </w:r>
      <w:r>
        <w:rPr/>
        <w:t>座</w:t>
      </w:r>
      <w:r>
        <w:rPr>
          <w:rFonts w:ascii="Times New Roman" w:eastAsia="Times New Roman"/>
        </w:rPr>
        <w:t>27</w:t>
      </w:r>
      <w:r>
        <w:rPr/>
        <w:t>层及</w:t>
      </w:r>
      <w:r>
        <w:rPr>
          <w:rFonts w:ascii="Times New Roman" w:eastAsia="Times New Roman"/>
        </w:rPr>
        <w:t>28</w:t>
      </w:r>
      <w:r>
        <w:rPr/>
        <w:t>层法定代表人：金立群</w:t>
      </w:r>
    </w:p>
    <w:p>
      <w:pPr>
        <w:pStyle w:val="BodyText"/>
        <w:spacing w:line="417" w:lineRule="auto"/>
        <w:ind w:left="1260" w:right="6866"/>
        <w:rPr>
          <w:rFonts w:ascii="Times New Roman" w:eastAsia="Times New Roman"/>
        </w:rPr>
      </w:pPr>
      <w:r>
        <w:rPr/>
        <w:t>电话：</w:t>
      </w:r>
      <w:r>
        <w:rPr>
          <w:rFonts w:ascii="Times New Roman" w:eastAsia="Times New Roman"/>
        </w:rPr>
        <w:t>010-65051166 </w:t>
      </w:r>
      <w:r>
        <w:rPr/>
        <w:t>传真：</w:t>
      </w:r>
      <w:r>
        <w:rPr>
          <w:rFonts w:ascii="Times New Roman" w:eastAsia="Times New Roman"/>
        </w:rPr>
        <w:t>010-65058065</w:t>
      </w:r>
    </w:p>
    <w:p>
      <w:pPr>
        <w:pStyle w:val="BodyText"/>
        <w:spacing w:line="417" w:lineRule="auto"/>
        <w:ind w:left="1260" w:right="6410"/>
        <w:rPr>
          <w:rFonts w:ascii="Times New Roman" w:eastAsia="Times New Roman"/>
        </w:rPr>
      </w:pPr>
      <w:r>
        <w:rPr/>
        <w:t>联系人：罗春蓉、武明明网址：</w:t>
      </w:r>
      <w:hyperlink r:id="rId185">
        <w:r>
          <w:rPr>
            <w:rFonts w:ascii="Times New Roman" w:eastAsia="Times New Roman"/>
          </w:rPr>
          <w:t>www.cicc.com.cn</w:t>
        </w:r>
      </w:hyperlink>
    </w:p>
    <w:p>
      <w:pPr>
        <w:pStyle w:val="BodyText"/>
        <w:spacing w:line="269" w:lineRule="exact"/>
        <w:ind w:left="1260"/>
        <w:rPr>
          <w:rFonts w:ascii="Times New Roman" w:eastAsia="Times New Roman"/>
        </w:rPr>
      </w:pPr>
      <w:r>
        <w:rPr/>
        <w:t>客户服务电话：</w:t>
      </w:r>
      <w:r>
        <w:rPr>
          <w:rFonts w:ascii="Times New Roman" w:eastAsia="Times New Roman"/>
        </w:rPr>
        <w:t>010-65051166</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财通证券股份有限公司</w:t>
      </w:r>
    </w:p>
    <w:p>
      <w:pPr>
        <w:pStyle w:val="BodyText"/>
        <w:spacing w:before="7"/>
        <w:rPr>
          <w:sz w:val="15"/>
        </w:rPr>
      </w:pPr>
    </w:p>
    <w:p>
      <w:pPr>
        <w:pStyle w:val="BodyText"/>
        <w:ind w:left="1260"/>
      </w:pPr>
      <w:r>
        <w:rPr/>
        <w:t>住所：杭州市杭大路</w:t>
      </w:r>
      <w:r>
        <w:rPr>
          <w:rFonts w:ascii="Times New Roman" w:eastAsia="Times New Roman"/>
        </w:rPr>
        <w:t>15</w:t>
      </w:r>
      <w:r>
        <w:rPr/>
        <w:t>号嘉华国际商务中心</w:t>
      </w:r>
    </w:p>
    <w:p>
      <w:pPr>
        <w:pStyle w:val="BodyText"/>
        <w:spacing w:before="7"/>
        <w:rPr>
          <w:sz w:val="15"/>
        </w:rPr>
      </w:pPr>
    </w:p>
    <w:p>
      <w:pPr>
        <w:pStyle w:val="BodyText"/>
        <w:spacing w:line="417" w:lineRule="auto"/>
        <w:ind w:left="1260" w:right="4311"/>
      </w:pPr>
      <w:r>
        <w:rPr/>
        <w:t>办公地址：杭州市杭大路</w:t>
      </w:r>
      <w:r>
        <w:rPr>
          <w:rFonts w:ascii="Times New Roman" w:eastAsia="Times New Roman"/>
        </w:rPr>
        <w:t>15</w:t>
      </w:r>
      <w:r>
        <w:rPr/>
        <w:t>号嘉华国际商务中心法定代表人：沈继宁</w:t>
      </w:r>
    </w:p>
    <w:p>
      <w:pPr>
        <w:pStyle w:val="BodyText"/>
        <w:spacing w:line="417" w:lineRule="auto"/>
        <w:ind w:left="1260" w:right="6760"/>
        <w:rPr>
          <w:rFonts w:ascii="Times New Roman" w:eastAsia="Times New Roman"/>
        </w:rPr>
      </w:pPr>
      <w:r>
        <w:rPr/>
        <w:t>电话：</w:t>
      </w:r>
      <w:r>
        <w:rPr>
          <w:rFonts w:ascii="Times New Roman" w:eastAsia="Times New Roman"/>
        </w:rPr>
        <w:t>0571-87925129 </w:t>
      </w:r>
      <w:r>
        <w:rPr/>
        <w:t>传真：</w:t>
      </w:r>
      <w:r>
        <w:rPr>
          <w:rFonts w:ascii="Times New Roman" w:eastAsia="Times New Roman"/>
        </w:rPr>
        <w:t>0571-87818329</w:t>
      </w:r>
    </w:p>
    <w:p>
      <w:pPr>
        <w:pStyle w:val="BodyText"/>
        <w:spacing w:line="269" w:lineRule="exact"/>
        <w:ind w:left="1260"/>
      </w:pPr>
      <w:r>
        <w:rPr/>
        <w:t>联系人：夏吉慧</w:t>
      </w:r>
    </w:p>
    <w:p>
      <w:pPr>
        <w:pStyle w:val="BodyText"/>
        <w:spacing w:before="7"/>
        <w:rPr>
          <w:sz w:val="15"/>
        </w:rPr>
      </w:pPr>
    </w:p>
    <w:p>
      <w:pPr>
        <w:pStyle w:val="BodyText"/>
        <w:spacing w:line="417" w:lineRule="auto"/>
        <w:ind w:left="1260" w:right="6727"/>
        <w:rPr>
          <w:rFonts w:ascii="Times New Roman" w:eastAsia="Times New Roman"/>
        </w:rPr>
      </w:pPr>
      <w:r>
        <w:rPr/>
        <w:t>网址：</w:t>
      </w:r>
      <w:hyperlink r:id="rId186">
        <w:r>
          <w:rPr>
            <w:rFonts w:ascii="Times New Roman" w:eastAsia="Times New Roman"/>
          </w:rPr>
          <w:t>www.ctsec.com </w:t>
        </w:r>
      </w:hyperlink>
      <w:r>
        <w:rPr/>
        <w:t>客户服务电话：</w:t>
      </w:r>
      <w:r>
        <w:rPr>
          <w:rFonts w:ascii="Times New Roman" w:eastAsia="Times New Roman"/>
        </w:rPr>
        <w:t>95336</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上海华信证券有限责任公司</w:t>
      </w:r>
    </w:p>
    <w:p>
      <w:pPr>
        <w:pStyle w:val="BodyText"/>
        <w:spacing w:before="7"/>
        <w:rPr>
          <w:sz w:val="15"/>
        </w:rPr>
      </w:pPr>
    </w:p>
    <w:p>
      <w:pPr>
        <w:pStyle w:val="BodyText"/>
        <w:spacing w:line="417" w:lineRule="auto"/>
        <w:ind w:left="1260" w:right="3786"/>
      </w:pPr>
      <w:r>
        <w:rPr>
          <w:spacing w:val="-3"/>
        </w:rPr>
        <w:t>住所：上海市浦东新区世纪大道</w:t>
      </w:r>
      <w:r>
        <w:rPr>
          <w:rFonts w:ascii="Times New Roman" w:eastAsia="Times New Roman"/>
        </w:rPr>
        <w:t>100</w:t>
      </w:r>
      <w:r>
        <w:rPr>
          <w:spacing w:val="-3"/>
        </w:rPr>
        <w:t>号环球金融中心 办公地址：上海市黄埔区南京西路</w:t>
      </w:r>
      <w:r>
        <w:rPr>
          <w:rFonts w:ascii="Times New Roman" w:eastAsia="Times New Roman"/>
        </w:rPr>
        <w:t>399</w:t>
      </w:r>
      <w:r>
        <w:rPr>
          <w:spacing w:val="-3"/>
        </w:rPr>
        <w:t>号明天广场</w:t>
      </w:r>
      <w:r>
        <w:rPr>
          <w:rFonts w:ascii="Times New Roman" w:eastAsia="Times New Roman"/>
          <w:spacing w:val="-3"/>
        </w:rPr>
        <w:t>20</w:t>
      </w:r>
      <w:r>
        <w:rPr/>
        <w:t>楼</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30"/>
        <w:rPr>
          <w:rFonts w:ascii="Times New Roman" w:eastAsia="Times New Roman"/>
        </w:rPr>
      </w:pPr>
      <w:r>
        <w:rPr/>
        <w:t>法定代表人：陈灿辉电话：</w:t>
      </w:r>
      <w:r>
        <w:rPr>
          <w:rFonts w:ascii="Times New Roman" w:eastAsia="Times New Roman"/>
        </w:rPr>
        <w:t>021-63898427</w:t>
      </w:r>
    </w:p>
    <w:p>
      <w:pPr>
        <w:pStyle w:val="BodyText"/>
        <w:spacing w:line="269" w:lineRule="exact"/>
        <w:ind w:left="1260"/>
        <w:rPr>
          <w:rFonts w:ascii="Times New Roman" w:eastAsia="Times New Roman"/>
        </w:rPr>
      </w:pPr>
      <w:r>
        <w:rPr/>
        <w:t>传真：</w:t>
      </w:r>
      <w:r>
        <w:rPr>
          <w:rFonts w:ascii="Times New Roman" w:eastAsia="Times New Roman"/>
        </w:rPr>
        <w:t>021-68776977-8427</w:t>
      </w:r>
    </w:p>
    <w:p>
      <w:pPr>
        <w:pStyle w:val="BodyText"/>
        <w:spacing w:before="4"/>
        <w:rPr>
          <w:rFonts w:ascii="Times New Roman"/>
          <w:sz w:val="17"/>
        </w:rPr>
      </w:pPr>
    </w:p>
    <w:p>
      <w:pPr>
        <w:pStyle w:val="BodyText"/>
        <w:ind w:left="1260"/>
      </w:pPr>
      <w:r>
        <w:rPr/>
        <w:t>联系人：徐璐</w:t>
      </w:r>
    </w:p>
    <w:p>
      <w:pPr>
        <w:pStyle w:val="BodyText"/>
        <w:spacing w:before="6"/>
        <w:rPr>
          <w:sz w:val="15"/>
        </w:rPr>
      </w:pPr>
    </w:p>
    <w:p>
      <w:pPr>
        <w:pStyle w:val="BodyText"/>
        <w:ind w:left="1260"/>
        <w:rPr>
          <w:rFonts w:ascii="Times New Roman" w:eastAsia="Times New Roman"/>
        </w:rPr>
      </w:pPr>
      <w:r>
        <w:rPr/>
        <w:t>网址：</w:t>
      </w:r>
      <w:hyperlink r:id="rId187">
        <w:r>
          <w:rPr>
            <w:rFonts w:ascii="Times New Roman" w:eastAsia="Times New Roman"/>
          </w:rPr>
          <w:t>www.shhxzq.com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400-820-5999</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五矿证券有限公司</w:t>
      </w:r>
    </w:p>
    <w:p>
      <w:pPr>
        <w:pStyle w:val="BodyText"/>
        <w:spacing w:before="8"/>
        <w:rPr>
          <w:sz w:val="15"/>
        </w:rPr>
      </w:pPr>
    </w:p>
    <w:p>
      <w:pPr>
        <w:pStyle w:val="BodyText"/>
        <w:spacing w:line="417" w:lineRule="auto"/>
        <w:ind w:left="1260" w:right="3260"/>
      </w:pPr>
      <w:r>
        <w:rPr>
          <w:spacing w:val="-3"/>
        </w:rPr>
        <w:t>住所：深圳市福田区金田路</w:t>
      </w:r>
      <w:r>
        <w:rPr>
          <w:rFonts w:ascii="Times New Roman" w:eastAsia="Times New Roman"/>
        </w:rPr>
        <w:t>4028</w:t>
      </w:r>
      <w:r>
        <w:rPr>
          <w:spacing w:val="-3"/>
        </w:rPr>
        <w:t>号荣超经贸中心</w:t>
      </w:r>
      <w:r>
        <w:rPr>
          <w:rFonts w:ascii="Times New Roman" w:eastAsia="Times New Roman"/>
        </w:rPr>
        <w:t>47</w:t>
      </w:r>
      <w:r>
        <w:rPr/>
        <w:t>层</w:t>
      </w:r>
      <w:r>
        <w:rPr>
          <w:rFonts w:ascii="Times New Roman" w:eastAsia="Times New Roman"/>
        </w:rPr>
        <w:t>01</w:t>
      </w:r>
      <w:r>
        <w:rPr>
          <w:spacing w:val="-3"/>
        </w:rPr>
        <w:t>单元办公地址：深圳市福田区金田路</w:t>
      </w:r>
      <w:r>
        <w:rPr>
          <w:rFonts w:ascii="Times New Roman" w:eastAsia="Times New Roman"/>
        </w:rPr>
        <w:t>4028</w:t>
      </w:r>
      <w:r>
        <w:rPr>
          <w:spacing w:val="-3"/>
        </w:rPr>
        <w:t>号荣超经贸中心</w:t>
      </w:r>
      <w:r>
        <w:rPr>
          <w:rFonts w:ascii="Times New Roman" w:eastAsia="Times New Roman"/>
        </w:rPr>
        <w:t>47</w:t>
      </w:r>
      <w:r>
        <w:rPr/>
        <w:t>层 </w:t>
      </w:r>
      <w:r>
        <w:rPr>
          <w:spacing w:val="-3"/>
        </w:rPr>
        <w:t>法定代表人：黄海洲</w:t>
      </w:r>
    </w:p>
    <w:p>
      <w:pPr>
        <w:pStyle w:val="BodyText"/>
        <w:spacing w:line="417" w:lineRule="auto"/>
        <w:ind w:left="1260" w:right="6760"/>
        <w:rPr>
          <w:rFonts w:ascii="Times New Roman" w:eastAsia="Times New Roman"/>
        </w:rPr>
      </w:pPr>
      <w:r>
        <w:rPr/>
        <w:t>电话：</w:t>
      </w:r>
      <w:r>
        <w:rPr>
          <w:rFonts w:ascii="Times New Roman" w:eastAsia="Times New Roman"/>
        </w:rPr>
        <w:t>0755-82545596 </w:t>
      </w:r>
      <w:r>
        <w:rPr/>
        <w:t>传真：</w:t>
      </w:r>
      <w:r>
        <w:rPr>
          <w:rFonts w:ascii="Times New Roman" w:eastAsia="Times New Roman"/>
        </w:rPr>
        <w:t>0755-23907062</w:t>
      </w:r>
    </w:p>
    <w:p>
      <w:pPr>
        <w:pStyle w:val="BodyText"/>
        <w:spacing w:line="269" w:lineRule="exact"/>
        <w:ind w:left="1260"/>
      </w:pPr>
      <w:r>
        <w:rPr/>
        <w:t>联系人：濮耘瑶</w:t>
      </w:r>
    </w:p>
    <w:p>
      <w:pPr>
        <w:pStyle w:val="BodyText"/>
        <w:spacing w:before="6"/>
        <w:rPr>
          <w:sz w:val="15"/>
        </w:rPr>
      </w:pPr>
    </w:p>
    <w:p>
      <w:pPr>
        <w:pStyle w:val="BodyText"/>
        <w:ind w:left="1260"/>
        <w:rPr>
          <w:rFonts w:ascii="Times New Roman" w:eastAsia="Times New Roman"/>
        </w:rPr>
      </w:pPr>
      <w:r>
        <w:rPr/>
        <w:t>网址：</w:t>
      </w:r>
      <w:hyperlink r:id="rId188">
        <w:r>
          <w:rPr>
            <w:rFonts w:ascii="Times New Roman" w:eastAsia="Times New Roman"/>
          </w:rPr>
          <w:t>www.wkzq.com.cn</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400-184-0028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华鑫证券有限责任公司</w:t>
      </w:r>
    </w:p>
    <w:p>
      <w:pPr>
        <w:pStyle w:val="BodyText"/>
        <w:spacing w:before="7"/>
        <w:rPr>
          <w:sz w:val="15"/>
        </w:rPr>
      </w:pPr>
    </w:p>
    <w:p>
      <w:pPr>
        <w:pStyle w:val="BodyText"/>
        <w:spacing w:line="417" w:lineRule="auto"/>
        <w:ind w:left="1260" w:right="1371"/>
      </w:pPr>
      <w:r>
        <w:rPr/>
        <w:t>住所：深圳市福田区莲花街道福中社区深南大道</w:t>
      </w:r>
      <w:r>
        <w:rPr>
          <w:rFonts w:ascii="Times New Roman" w:eastAsia="Times New Roman"/>
        </w:rPr>
        <w:t>2008</w:t>
      </w:r>
      <w:r>
        <w:rPr/>
        <w:t>号中国凤凰大厦</w:t>
      </w:r>
      <w:r>
        <w:rPr>
          <w:rFonts w:ascii="Times New Roman" w:eastAsia="Times New Roman"/>
        </w:rPr>
        <w:t>1</w:t>
      </w:r>
      <w:r>
        <w:rPr/>
        <w:t>栋</w:t>
      </w:r>
      <w:r>
        <w:rPr>
          <w:rFonts w:ascii="Times New Roman" w:eastAsia="Times New Roman"/>
        </w:rPr>
        <w:t>20C-1</w:t>
      </w:r>
      <w:r>
        <w:rPr/>
        <w:t>房办公地址：上海市徐汇区宛平南路</w:t>
      </w:r>
      <w:r>
        <w:rPr>
          <w:rFonts w:ascii="Times New Roman" w:eastAsia="Times New Roman"/>
        </w:rPr>
        <w:t>8</w:t>
      </w:r>
      <w:r>
        <w:rPr/>
        <w:t>号</w:t>
      </w:r>
    </w:p>
    <w:p>
      <w:pPr>
        <w:pStyle w:val="BodyText"/>
        <w:spacing w:line="417" w:lineRule="auto"/>
        <w:ind w:left="1260" w:right="6804"/>
        <w:rPr>
          <w:rFonts w:ascii="Times New Roman" w:eastAsia="Times New Roman"/>
        </w:rPr>
      </w:pPr>
      <w:r>
        <w:rPr/>
        <w:t>法定代表人：俞洋电话：</w:t>
      </w:r>
      <w:r>
        <w:rPr>
          <w:rFonts w:ascii="Times New Roman" w:eastAsia="Times New Roman"/>
        </w:rPr>
        <w:t>021-54967552 </w:t>
      </w:r>
      <w:r>
        <w:rPr/>
        <w:t>传真：</w:t>
      </w:r>
      <w:r>
        <w:rPr>
          <w:rFonts w:ascii="Times New Roman" w:eastAsia="Times New Roman"/>
        </w:rPr>
        <w:t>021-54967032</w:t>
      </w:r>
    </w:p>
    <w:p>
      <w:pPr>
        <w:pStyle w:val="BodyText"/>
        <w:ind w:left="1260"/>
      </w:pPr>
      <w:r>
        <w:rPr/>
        <w:t>联系人：杨莉娟</w:t>
      </w:r>
    </w:p>
    <w:p>
      <w:pPr>
        <w:pStyle w:val="BodyText"/>
        <w:spacing w:before="6"/>
        <w:rPr>
          <w:sz w:val="15"/>
        </w:rPr>
      </w:pPr>
    </w:p>
    <w:p>
      <w:pPr>
        <w:pStyle w:val="BodyText"/>
        <w:spacing w:before="1"/>
        <w:ind w:left="1260"/>
        <w:rPr>
          <w:rFonts w:ascii="Times New Roman" w:eastAsia="Times New Roman"/>
        </w:rPr>
      </w:pPr>
      <w:r>
        <w:rPr/>
        <w:t>网址：</w:t>
      </w:r>
      <w:hyperlink r:id="rId189">
        <w:r>
          <w:rPr>
            <w:rFonts w:ascii="Times New Roman" w:eastAsia="Times New Roman"/>
          </w:rPr>
          <w:t>www.cfsc.com.cn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95323</w:t>
      </w:r>
      <w:r>
        <w:rPr/>
        <w:t>、</w:t>
      </w:r>
      <w:r>
        <w:rPr>
          <w:rFonts w:ascii="Times New Roman" w:eastAsia="Times New Roman"/>
        </w:rPr>
        <w:t>400-109-9918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瑞银证券有限责任公司</w:t>
      </w:r>
    </w:p>
    <w:p>
      <w:pPr>
        <w:pStyle w:val="BodyText"/>
        <w:spacing w:before="7"/>
        <w:rPr>
          <w:sz w:val="15"/>
        </w:rPr>
      </w:pPr>
    </w:p>
    <w:p>
      <w:pPr>
        <w:pStyle w:val="BodyText"/>
        <w:ind w:left="1260"/>
      </w:pPr>
      <w:r>
        <w:rPr/>
        <w:t>住所：北京市西城区金融大街</w:t>
      </w:r>
      <w:r>
        <w:rPr>
          <w:rFonts w:ascii="Times New Roman" w:eastAsia="Times New Roman"/>
        </w:rPr>
        <w:t>7</w:t>
      </w:r>
      <w:r>
        <w:rPr/>
        <w:t>号英蓝国际金融中心</w:t>
      </w:r>
      <w:r>
        <w:rPr>
          <w:rFonts w:ascii="Times New Roman" w:eastAsia="Times New Roman"/>
        </w:rPr>
        <w:t>12</w:t>
      </w:r>
      <w:r>
        <w:rPr/>
        <w:t>层、</w:t>
      </w:r>
      <w:r>
        <w:rPr>
          <w:rFonts w:ascii="Times New Roman" w:eastAsia="Times New Roman"/>
        </w:rPr>
        <w:t>15</w:t>
      </w:r>
      <w:r>
        <w:rPr/>
        <w:t>层</w:t>
      </w:r>
    </w:p>
    <w:p>
      <w:pPr>
        <w:pStyle w:val="BodyText"/>
        <w:spacing w:before="7"/>
        <w:rPr>
          <w:sz w:val="15"/>
        </w:rPr>
      </w:pPr>
    </w:p>
    <w:p>
      <w:pPr>
        <w:pStyle w:val="BodyText"/>
        <w:spacing w:line="417" w:lineRule="auto"/>
        <w:ind w:left="1260" w:right="2523"/>
      </w:pPr>
      <w:r>
        <w:rPr/>
        <w:t>办公地址：北京市西城区金融大街</w:t>
      </w:r>
      <w:r>
        <w:rPr>
          <w:rFonts w:ascii="Times New Roman" w:eastAsia="Times New Roman"/>
        </w:rPr>
        <w:t>7</w:t>
      </w:r>
      <w:r>
        <w:rPr/>
        <w:t>号英蓝国际金融中心</w:t>
      </w:r>
      <w:r>
        <w:rPr>
          <w:rFonts w:ascii="Times New Roman" w:eastAsia="Times New Roman"/>
        </w:rPr>
        <w:t>12</w:t>
      </w:r>
      <w:r>
        <w:rPr/>
        <w:t>层、</w:t>
      </w:r>
      <w:r>
        <w:rPr>
          <w:rFonts w:ascii="Times New Roman" w:eastAsia="Times New Roman"/>
        </w:rPr>
        <w:t>15</w:t>
      </w:r>
      <w:r>
        <w:rPr/>
        <w:t>层法定代表人：程宜荪</w:t>
      </w:r>
    </w:p>
    <w:p>
      <w:pPr>
        <w:pStyle w:val="BodyText"/>
        <w:spacing w:line="417" w:lineRule="auto"/>
        <w:ind w:left="1260" w:right="6866"/>
        <w:rPr>
          <w:rFonts w:ascii="Times New Roman" w:eastAsia="Times New Roman"/>
        </w:rPr>
      </w:pPr>
      <w:r>
        <w:rPr/>
        <w:t>电话：</w:t>
      </w:r>
      <w:r>
        <w:rPr>
          <w:rFonts w:ascii="Times New Roman" w:eastAsia="Times New Roman"/>
        </w:rPr>
        <w:t>010-58328112 </w:t>
      </w:r>
      <w:r>
        <w:rPr/>
        <w:t>传真：</w:t>
      </w:r>
      <w:r>
        <w:rPr>
          <w:rFonts w:ascii="Times New Roman" w:eastAsia="Times New Roman"/>
        </w:rPr>
        <w:t>010-58328748</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联系人：牟冲</w:t>
      </w:r>
    </w:p>
    <w:p>
      <w:pPr>
        <w:pStyle w:val="BodyText"/>
        <w:spacing w:before="6"/>
        <w:rPr>
          <w:sz w:val="15"/>
        </w:rPr>
      </w:pPr>
    </w:p>
    <w:p>
      <w:pPr>
        <w:pStyle w:val="BodyText"/>
        <w:spacing w:line="417" w:lineRule="auto"/>
        <w:ind w:left="1260" w:right="6061"/>
        <w:rPr>
          <w:rFonts w:ascii="Times New Roman" w:eastAsia="Times New Roman"/>
        </w:rPr>
      </w:pPr>
      <w:r>
        <w:rPr/>
        <w:t>网址：</w:t>
      </w:r>
      <w:hyperlink r:id="rId190">
        <w:r>
          <w:rPr>
            <w:rFonts w:ascii="Times New Roman" w:eastAsia="Times New Roman"/>
          </w:rPr>
          <w:t>www.ubssecurities.com </w:t>
        </w:r>
      </w:hyperlink>
      <w:r>
        <w:rPr/>
        <w:t>客户服务电话：</w:t>
      </w:r>
      <w:r>
        <w:rPr>
          <w:rFonts w:ascii="Times New Roman" w:eastAsia="Times New Roman"/>
        </w:rPr>
        <w:t>400-887-8827</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中国中金财富证券有限公司</w:t>
      </w:r>
    </w:p>
    <w:p>
      <w:pPr>
        <w:pStyle w:val="BodyText"/>
        <w:spacing w:before="7"/>
        <w:rPr>
          <w:sz w:val="15"/>
        </w:rPr>
      </w:pPr>
    </w:p>
    <w:p>
      <w:pPr>
        <w:pStyle w:val="BodyText"/>
        <w:ind w:left="1260"/>
      </w:pPr>
      <w:r>
        <w:rPr/>
        <w:t>住所：深圳市福田区益田路与福中路交界处荣超商务中心</w:t>
      </w:r>
      <w:r>
        <w:rPr>
          <w:rFonts w:ascii="Times New Roman" w:eastAsia="Times New Roman"/>
        </w:rPr>
        <w:t>A</w:t>
      </w:r>
      <w:r>
        <w:rPr/>
        <w:t>栋第</w:t>
      </w:r>
      <w:r>
        <w:rPr>
          <w:rFonts w:ascii="Times New Roman" w:eastAsia="Times New Roman"/>
        </w:rPr>
        <w:t>18</w:t>
      </w:r>
      <w:r>
        <w:rPr/>
        <w:t>层</w:t>
      </w:r>
      <w:r>
        <w:rPr>
          <w:rFonts w:ascii="Times New Roman" w:eastAsia="Times New Roman"/>
        </w:rPr>
        <w:t>-21</w:t>
      </w:r>
      <w:r>
        <w:rPr/>
        <w:t>层及第</w:t>
      </w:r>
      <w:r>
        <w:rPr>
          <w:rFonts w:ascii="Times New Roman" w:eastAsia="Times New Roman"/>
        </w:rPr>
        <w:t>04</w:t>
      </w:r>
      <w:r>
        <w:rPr/>
        <w:t>层</w:t>
      </w:r>
    </w:p>
    <w:p>
      <w:pPr>
        <w:pStyle w:val="BodyText"/>
        <w:spacing w:before="7"/>
        <w:rPr>
          <w:sz w:val="15"/>
        </w:rPr>
      </w:pPr>
    </w:p>
    <w:p>
      <w:pPr>
        <w:pStyle w:val="BodyText"/>
        <w:ind w:left="778"/>
      </w:pPr>
      <w:r>
        <w:rPr>
          <w:rFonts w:ascii="Times New Roman" w:eastAsia="Times New Roman"/>
        </w:rPr>
        <w:t>01.02.03.05.11.12.13.15.16.18.19.20.21.22.23</w:t>
      </w:r>
      <w:r>
        <w:rPr/>
        <w:t>单元</w:t>
      </w:r>
    </w:p>
    <w:p>
      <w:pPr>
        <w:pStyle w:val="BodyText"/>
        <w:spacing w:before="6"/>
        <w:rPr>
          <w:sz w:val="15"/>
        </w:rPr>
      </w:pPr>
    </w:p>
    <w:p>
      <w:pPr>
        <w:pStyle w:val="BodyText"/>
        <w:spacing w:line="417" w:lineRule="auto" w:before="1"/>
        <w:ind w:left="1260" w:right="1846"/>
      </w:pPr>
      <w:r>
        <w:rPr/>
        <w:t>办公地址：深圳市福田区益田路</w:t>
      </w:r>
      <w:r>
        <w:rPr>
          <w:rFonts w:ascii="Times New Roman" w:eastAsia="Times New Roman"/>
        </w:rPr>
        <w:t>6003</w:t>
      </w:r>
      <w:r>
        <w:rPr/>
        <w:t>号荣超商务中心</w:t>
      </w:r>
      <w:r>
        <w:rPr>
          <w:rFonts w:ascii="Times New Roman" w:eastAsia="Times New Roman"/>
        </w:rPr>
        <w:t>A</w:t>
      </w:r>
      <w:r>
        <w:rPr/>
        <w:t>栋第</w:t>
      </w:r>
      <w:r>
        <w:rPr>
          <w:rFonts w:ascii="Times New Roman" w:eastAsia="Times New Roman"/>
        </w:rPr>
        <w:t>04</w:t>
      </w:r>
      <w:r>
        <w:rPr/>
        <w:t>、</w:t>
      </w:r>
      <w:r>
        <w:rPr>
          <w:rFonts w:ascii="Times New Roman" w:eastAsia="Times New Roman"/>
        </w:rPr>
        <w:t>18</w:t>
      </w:r>
      <w:r>
        <w:rPr/>
        <w:t>层至</w:t>
      </w:r>
      <w:r>
        <w:rPr>
          <w:rFonts w:ascii="Times New Roman" w:eastAsia="Times New Roman"/>
        </w:rPr>
        <w:t>21</w:t>
      </w:r>
      <w:r>
        <w:rPr/>
        <w:t>层法定代表人：高涛</w:t>
      </w:r>
    </w:p>
    <w:p>
      <w:pPr>
        <w:pStyle w:val="BodyText"/>
        <w:spacing w:line="417" w:lineRule="auto"/>
        <w:ind w:left="1260" w:right="6760"/>
        <w:rPr>
          <w:rFonts w:ascii="Times New Roman" w:eastAsia="Times New Roman"/>
        </w:rPr>
      </w:pPr>
      <w:r>
        <w:rPr/>
        <w:t>电话：</w:t>
      </w:r>
      <w:r>
        <w:rPr>
          <w:rFonts w:ascii="Times New Roman" w:eastAsia="Times New Roman"/>
        </w:rPr>
        <w:t>0755-88320851 </w:t>
      </w:r>
      <w:r>
        <w:rPr/>
        <w:t>传真：</w:t>
      </w:r>
      <w:r>
        <w:rPr>
          <w:rFonts w:ascii="Times New Roman" w:eastAsia="Times New Roman"/>
        </w:rPr>
        <w:t>0755-82026942</w:t>
      </w:r>
    </w:p>
    <w:p>
      <w:pPr>
        <w:pStyle w:val="BodyText"/>
        <w:spacing w:line="269" w:lineRule="exact"/>
        <w:ind w:left="1260"/>
      </w:pPr>
      <w:r>
        <w:rPr/>
        <w:t>联系人：胡芷境</w:t>
      </w:r>
    </w:p>
    <w:p>
      <w:pPr>
        <w:pStyle w:val="BodyText"/>
        <w:spacing w:before="6"/>
        <w:rPr>
          <w:sz w:val="15"/>
        </w:rPr>
      </w:pPr>
    </w:p>
    <w:p>
      <w:pPr>
        <w:pStyle w:val="BodyText"/>
        <w:spacing w:before="1"/>
        <w:ind w:left="1260"/>
        <w:rPr>
          <w:rFonts w:ascii="Times New Roman" w:eastAsia="Times New Roman"/>
        </w:rPr>
      </w:pPr>
      <w:r>
        <w:rPr/>
        <w:t>网址：</w:t>
      </w:r>
      <w:hyperlink r:id="rId191">
        <w:r>
          <w:rPr>
            <w:rFonts w:ascii="Times New Roman" w:eastAsia="Times New Roman"/>
          </w:rPr>
          <w:t>www.china-invs.cn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400-600-8008</w:t>
      </w:r>
      <w:r>
        <w:rPr/>
        <w:t>、</w:t>
      </w:r>
      <w:r>
        <w:rPr>
          <w:rFonts w:ascii="Times New Roman" w:eastAsia="Times New Roman"/>
        </w:rPr>
        <w:t>95532</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中山证券有限责任公司</w:t>
      </w:r>
    </w:p>
    <w:p>
      <w:pPr>
        <w:pStyle w:val="BodyText"/>
        <w:spacing w:before="7"/>
        <w:rPr>
          <w:sz w:val="15"/>
        </w:rPr>
      </w:pPr>
    </w:p>
    <w:p>
      <w:pPr>
        <w:pStyle w:val="BodyText"/>
        <w:spacing w:before="1"/>
        <w:ind w:left="1260"/>
      </w:pPr>
      <w:r>
        <w:rPr/>
        <w:t>住所：深圳市南山区创业路</w:t>
      </w:r>
      <w:r>
        <w:rPr>
          <w:rFonts w:ascii="Times New Roman" w:eastAsia="Times New Roman"/>
        </w:rPr>
        <w:t>1777</w:t>
      </w:r>
      <w:r>
        <w:rPr/>
        <w:t>号海信南方大厦</w:t>
      </w:r>
      <w:r>
        <w:rPr>
          <w:rFonts w:ascii="Times New Roman" w:eastAsia="Times New Roman"/>
        </w:rPr>
        <w:t>21</w:t>
      </w:r>
      <w:r>
        <w:rPr/>
        <w:t>、</w:t>
      </w:r>
      <w:r>
        <w:rPr>
          <w:rFonts w:ascii="Times New Roman" w:eastAsia="Times New Roman"/>
        </w:rPr>
        <w:t>22</w:t>
      </w:r>
      <w:r>
        <w:rPr/>
        <w:t>层</w:t>
      </w:r>
    </w:p>
    <w:p>
      <w:pPr>
        <w:pStyle w:val="BodyText"/>
        <w:spacing w:before="6"/>
        <w:rPr>
          <w:sz w:val="15"/>
        </w:rPr>
      </w:pPr>
    </w:p>
    <w:p>
      <w:pPr>
        <w:pStyle w:val="BodyText"/>
        <w:spacing w:line="417" w:lineRule="auto"/>
        <w:ind w:left="1260" w:right="3047"/>
      </w:pPr>
      <w:r>
        <w:rPr/>
        <w:t>办公地址：深圳市南山区创业路</w:t>
      </w:r>
      <w:r>
        <w:rPr>
          <w:rFonts w:ascii="Times New Roman" w:eastAsia="Times New Roman"/>
        </w:rPr>
        <w:t>1777</w:t>
      </w:r>
      <w:r>
        <w:rPr/>
        <w:t>号海信南方大厦</w:t>
      </w:r>
      <w:r>
        <w:rPr>
          <w:rFonts w:ascii="Times New Roman" w:eastAsia="Times New Roman"/>
        </w:rPr>
        <w:t>21</w:t>
      </w:r>
      <w:r>
        <w:rPr/>
        <w:t>、</w:t>
      </w:r>
      <w:r>
        <w:rPr>
          <w:rFonts w:ascii="Times New Roman" w:eastAsia="Times New Roman"/>
        </w:rPr>
        <w:t>22</w:t>
      </w:r>
      <w:r>
        <w:rPr/>
        <w:t>层法定代表人：林炳城</w:t>
      </w:r>
    </w:p>
    <w:p>
      <w:pPr>
        <w:pStyle w:val="BodyText"/>
        <w:spacing w:line="417" w:lineRule="auto"/>
        <w:ind w:left="1260" w:right="6760"/>
        <w:rPr>
          <w:rFonts w:ascii="Times New Roman" w:eastAsia="Times New Roman"/>
        </w:rPr>
      </w:pPr>
      <w:r>
        <w:rPr/>
        <w:t>电话：</w:t>
      </w:r>
      <w:r>
        <w:rPr>
          <w:rFonts w:ascii="Times New Roman" w:eastAsia="Times New Roman"/>
        </w:rPr>
        <w:t>0755-82943755 </w:t>
      </w:r>
      <w:r>
        <w:rPr/>
        <w:t>传真：</w:t>
      </w:r>
      <w:r>
        <w:rPr>
          <w:rFonts w:ascii="Times New Roman" w:eastAsia="Times New Roman"/>
        </w:rPr>
        <w:t>0755-82960582</w:t>
      </w:r>
    </w:p>
    <w:p>
      <w:pPr>
        <w:pStyle w:val="BodyText"/>
        <w:spacing w:line="269" w:lineRule="exact"/>
        <w:ind w:left="1260"/>
      </w:pPr>
      <w:r>
        <w:rPr/>
        <w:t>联系人：罗艺琳</w:t>
      </w:r>
    </w:p>
    <w:p>
      <w:pPr>
        <w:pStyle w:val="BodyText"/>
        <w:spacing w:before="7"/>
        <w:rPr>
          <w:sz w:val="15"/>
        </w:rPr>
      </w:pPr>
    </w:p>
    <w:p>
      <w:pPr>
        <w:pStyle w:val="BodyText"/>
        <w:spacing w:line="417" w:lineRule="auto"/>
        <w:ind w:left="1260" w:right="6727"/>
        <w:rPr>
          <w:rFonts w:ascii="Times New Roman" w:eastAsia="Times New Roman"/>
        </w:rPr>
      </w:pPr>
      <w:r>
        <w:rPr/>
        <w:t>网址：</w:t>
      </w:r>
      <w:hyperlink r:id="rId192">
        <w:r>
          <w:rPr>
            <w:rFonts w:ascii="Times New Roman" w:eastAsia="Times New Roman"/>
          </w:rPr>
          <w:t>www.zszq.com </w:t>
        </w:r>
      </w:hyperlink>
      <w:r>
        <w:rPr/>
        <w:t>客户服务电话：</w:t>
      </w:r>
      <w:r>
        <w:rPr>
          <w:rFonts w:ascii="Times New Roman" w:eastAsia="Times New Roman"/>
        </w:rPr>
        <w:t>95329</w:t>
      </w:r>
    </w:p>
    <w:p>
      <w:pPr>
        <w:pStyle w:val="ListParagraph"/>
        <w:numPr>
          <w:ilvl w:val="0"/>
          <w:numId w:val="8"/>
        </w:numPr>
        <w:tabs>
          <w:tab w:pos="1999" w:val="left" w:leader="none"/>
        </w:tabs>
        <w:spacing w:line="417" w:lineRule="auto" w:before="0" w:after="0"/>
        <w:ind w:left="1260" w:right="5466" w:firstLine="0"/>
        <w:jc w:val="left"/>
        <w:rPr>
          <w:sz w:val="21"/>
        </w:rPr>
      </w:pPr>
      <w:r>
        <w:rPr>
          <w:spacing w:val="-4"/>
          <w:sz w:val="21"/>
        </w:rPr>
        <w:t>东方财富证券股份有限公司</w:t>
      </w:r>
      <w:r>
        <w:rPr>
          <w:spacing w:val="-3"/>
          <w:sz w:val="21"/>
        </w:rPr>
        <w:t>住所：拉萨市北京中路</w:t>
      </w:r>
      <w:r>
        <w:rPr>
          <w:rFonts w:ascii="Times New Roman" w:eastAsia="Times New Roman"/>
          <w:sz w:val="21"/>
        </w:rPr>
        <w:t>101</w:t>
      </w:r>
      <w:r>
        <w:rPr>
          <w:sz w:val="21"/>
        </w:rPr>
        <w:t>号</w:t>
      </w:r>
    </w:p>
    <w:p>
      <w:pPr>
        <w:pStyle w:val="BodyText"/>
        <w:spacing w:line="417" w:lineRule="auto"/>
        <w:ind w:left="1260" w:right="4422"/>
      </w:pPr>
      <w:r>
        <w:rPr/>
        <w:t>办公地址：上海市永和路</w:t>
      </w:r>
      <w:r>
        <w:rPr>
          <w:rFonts w:ascii="Times New Roman" w:eastAsia="Times New Roman"/>
        </w:rPr>
        <w:t>118</w:t>
      </w:r>
      <w:r>
        <w:rPr/>
        <w:t>弄东方企业园</w:t>
      </w:r>
      <w:r>
        <w:rPr>
          <w:rFonts w:ascii="Times New Roman" w:eastAsia="Times New Roman"/>
        </w:rPr>
        <w:t>24</w:t>
      </w:r>
      <w:r>
        <w:rPr/>
        <w:t>号法定代表人：贾绍君</w:t>
      </w:r>
    </w:p>
    <w:p>
      <w:pPr>
        <w:pStyle w:val="BodyText"/>
        <w:spacing w:line="417" w:lineRule="auto"/>
        <w:ind w:left="1260" w:right="6866"/>
        <w:rPr>
          <w:rFonts w:ascii="Times New Roman" w:eastAsia="Times New Roman"/>
        </w:rPr>
      </w:pPr>
      <w:r>
        <w:rPr/>
        <w:t>电话：</w:t>
      </w:r>
      <w:r>
        <w:rPr>
          <w:rFonts w:ascii="Times New Roman" w:eastAsia="Times New Roman"/>
        </w:rPr>
        <w:t>021-36533016 </w:t>
      </w:r>
      <w:r>
        <w:rPr/>
        <w:t>传真：</w:t>
      </w:r>
      <w:r>
        <w:rPr>
          <w:rFonts w:ascii="Times New Roman" w:eastAsia="Times New Roman"/>
        </w:rPr>
        <w:t>021-36533017</w:t>
      </w:r>
    </w:p>
    <w:p>
      <w:pPr>
        <w:pStyle w:val="BodyText"/>
        <w:ind w:left="1260"/>
      </w:pPr>
      <w:r>
        <w:rPr/>
        <w:t>联系人：王伟光</w:t>
      </w:r>
    </w:p>
    <w:p>
      <w:pPr>
        <w:pStyle w:val="BodyText"/>
        <w:spacing w:before="6"/>
        <w:rPr>
          <w:sz w:val="15"/>
        </w:rPr>
      </w:pPr>
    </w:p>
    <w:p>
      <w:pPr>
        <w:pStyle w:val="BodyText"/>
        <w:ind w:left="1260"/>
        <w:rPr>
          <w:rFonts w:ascii="Times New Roman" w:eastAsia="Times New Roman"/>
        </w:rPr>
      </w:pPr>
      <w:r>
        <w:rPr/>
        <w:t>网址： </w:t>
      </w:r>
      <w:hyperlink r:id="rId193">
        <w:r>
          <w:rPr>
            <w:rFonts w:ascii="Times New Roman" w:eastAsia="Times New Roman"/>
          </w:rPr>
          <w:t>http://www.18.cn</w:t>
        </w:r>
      </w:hyperlink>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260"/>
        <w:rPr>
          <w:rFonts w:ascii="Times New Roman" w:eastAsia="Times New Roman"/>
        </w:rPr>
      </w:pPr>
      <w:r>
        <w:rPr/>
        <w:t>客户服务电话：</w:t>
      </w:r>
      <w:r>
        <w:rPr>
          <w:rFonts w:ascii="Times New Roman" w:eastAsia="Times New Roman"/>
        </w:rPr>
        <w:t>95357</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国融证券股份有限公司</w:t>
      </w:r>
    </w:p>
    <w:p>
      <w:pPr>
        <w:pStyle w:val="BodyText"/>
        <w:spacing w:before="7"/>
        <w:rPr>
          <w:sz w:val="15"/>
        </w:rPr>
      </w:pPr>
    </w:p>
    <w:p>
      <w:pPr>
        <w:pStyle w:val="BodyText"/>
        <w:ind w:left="1260"/>
      </w:pPr>
      <w:r>
        <w:rPr/>
        <w:t>住所：内蒙古自治区呼和浩特市武川县腾飞大道</w:t>
      </w:r>
      <w:r>
        <w:rPr>
          <w:rFonts w:ascii="Times New Roman" w:eastAsia="Times New Roman"/>
        </w:rPr>
        <w:t>1</w:t>
      </w:r>
      <w:r>
        <w:rPr/>
        <w:t>号</w:t>
      </w:r>
      <w:r>
        <w:rPr>
          <w:rFonts w:ascii="Times New Roman" w:eastAsia="Times New Roman"/>
        </w:rPr>
        <w:t>4</w:t>
      </w:r>
      <w:r>
        <w:rPr/>
        <w:t>楼</w:t>
      </w:r>
    </w:p>
    <w:p>
      <w:pPr>
        <w:pStyle w:val="BodyText"/>
        <w:spacing w:before="6"/>
        <w:rPr>
          <w:sz w:val="15"/>
        </w:rPr>
      </w:pPr>
    </w:p>
    <w:p>
      <w:pPr>
        <w:pStyle w:val="BodyText"/>
        <w:spacing w:line="417" w:lineRule="auto"/>
        <w:ind w:left="1260" w:right="2953"/>
      </w:pPr>
      <w:r>
        <w:rPr/>
        <w:t>办公地址：北京市西城区闹市口大街</w:t>
      </w:r>
      <w:r>
        <w:rPr>
          <w:rFonts w:ascii="Times New Roman" w:eastAsia="Times New Roman"/>
        </w:rPr>
        <w:t>1</w:t>
      </w:r>
      <w:r>
        <w:rPr/>
        <w:t>号长安兴融中心西楼</w:t>
      </w:r>
      <w:r>
        <w:rPr>
          <w:rFonts w:ascii="Times New Roman" w:eastAsia="Times New Roman"/>
        </w:rPr>
        <w:t>11</w:t>
      </w:r>
      <w:r>
        <w:rPr/>
        <w:t>层法定代表人：张智河</w:t>
      </w:r>
    </w:p>
    <w:p>
      <w:pPr>
        <w:pStyle w:val="BodyText"/>
        <w:spacing w:line="417" w:lineRule="auto"/>
        <w:ind w:left="1260" w:right="6866"/>
        <w:rPr>
          <w:rFonts w:ascii="Times New Roman" w:eastAsia="Times New Roman"/>
        </w:rPr>
      </w:pPr>
      <w:r>
        <w:rPr/>
        <w:t>电话：</w:t>
      </w:r>
      <w:r>
        <w:rPr>
          <w:rFonts w:ascii="Times New Roman" w:eastAsia="Times New Roman"/>
        </w:rPr>
        <w:t>010-83991719 </w:t>
      </w:r>
      <w:r>
        <w:rPr/>
        <w:t>传真：</w:t>
      </w:r>
      <w:r>
        <w:rPr>
          <w:rFonts w:ascii="Times New Roman" w:eastAsia="Times New Roman"/>
        </w:rPr>
        <w:t>010-66412537</w:t>
      </w:r>
    </w:p>
    <w:p>
      <w:pPr>
        <w:pStyle w:val="BodyText"/>
        <w:ind w:left="1260"/>
      </w:pPr>
      <w:r>
        <w:rPr/>
        <w:t>联系人：叶密林</w:t>
      </w:r>
    </w:p>
    <w:p>
      <w:pPr>
        <w:pStyle w:val="BodyText"/>
        <w:spacing w:before="7"/>
        <w:rPr>
          <w:sz w:val="15"/>
        </w:rPr>
      </w:pPr>
    </w:p>
    <w:p>
      <w:pPr>
        <w:pStyle w:val="BodyText"/>
        <w:spacing w:line="417" w:lineRule="auto"/>
        <w:ind w:left="1260" w:right="6185"/>
        <w:rPr>
          <w:rFonts w:ascii="Times New Roman" w:eastAsia="Times New Roman"/>
        </w:rPr>
      </w:pPr>
      <w:r>
        <w:rPr/>
        <w:t>网址：</w:t>
      </w:r>
      <w:r>
        <w:rPr>
          <w:rFonts w:ascii="Times New Roman" w:eastAsia="Times New Roman"/>
        </w:rPr>
        <w:t>https://</w:t>
      </w:r>
      <w:hyperlink r:id="rId194">
        <w:r>
          <w:rPr>
            <w:rFonts w:ascii="Times New Roman" w:eastAsia="Times New Roman"/>
          </w:rPr>
          <w:t>www.grzq.com </w:t>
        </w:r>
      </w:hyperlink>
      <w:r>
        <w:rPr/>
        <w:t>客户服务电话：</w:t>
      </w:r>
      <w:r>
        <w:rPr>
          <w:rFonts w:ascii="Times New Roman" w:eastAsia="Times New Roman"/>
        </w:rPr>
        <w:t>95385</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粤开证券股份有限公司</w:t>
      </w:r>
    </w:p>
    <w:p>
      <w:pPr>
        <w:pStyle w:val="BodyText"/>
        <w:spacing w:before="7"/>
        <w:rPr>
          <w:sz w:val="15"/>
        </w:rPr>
      </w:pPr>
    </w:p>
    <w:p>
      <w:pPr>
        <w:pStyle w:val="BodyText"/>
        <w:spacing w:line="417" w:lineRule="auto"/>
        <w:ind w:left="1260" w:right="2207"/>
      </w:pPr>
      <w:r>
        <w:rPr/>
        <w:t>住所：广州经济技术开发区科学大道</w:t>
      </w:r>
      <w:r>
        <w:rPr>
          <w:rFonts w:ascii="Times New Roman" w:eastAsia="Times New Roman"/>
        </w:rPr>
        <w:t>60</w:t>
      </w:r>
      <w:r>
        <w:rPr/>
        <w:t>号开发区金控中心</w:t>
      </w:r>
      <w:r>
        <w:rPr>
          <w:rFonts w:ascii="Times New Roman" w:eastAsia="Times New Roman"/>
        </w:rPr>
        <w:t>21</w:t>
      </w:r>
      <w:r>
        <w:rPr/>
        <w:t>、</w:t>
      </w:r>
      <w:r>
        <w:rPr>
          <w:rFonts w:ascii="Times New Roman" w:eastAsia="Times New Roman"/>
        </w:rPr>
        <w:t>22</w:t>
      </w:r>
      <w:r>
        <w:rPr/>
        <w:t>、</w:t>
      </w:r>
      <w:r>
        <w:rPr>
          <w:rFonts w:ascii="Times New Roman" w:eastAsia="Times New Roman"/>
        </w:rPr>
        <w:t>23</w:t>
      </w:r>
      <w:r>
        <w:rPr/>
        <w:t>层办公地址：深圳市福田区深南中路</w:t>
      </w:r>
      <w:r>
        <w:rPr>
          <w:rFonts w:ascii="Times New Roman" w:eastAsia="Times New Roman"/>
        </w:rPr>
        <w:t>2002</w:t>
      </w:r>
      <w:r>
        <w:rPr/>
        <w:t>号中广核大厦北楼</w:t>
      </w:r>
      <w:r>
        <w:rPr>
          <w:rFonts w:ascii="Times New Roman" w:eastAsia="Times New Roman"/>
        </w:rPr>
        <w:t>10</w:t>
      </w:r>
      <w:r>
        <w:rPr/>
        <w:t>层</w:t>
      </w:r>
    </w:p>
    <w:p>
      <w:pPr>
        <w:pStyle w:val="BodyText"/>
        <w:spacing w:line="417" w:lineRule="auto"/>
        <w:ind w:left="1260" w:right="6770"/>
        <w:rPr>
          <w:rFonts w:ascii="Times New Roman" w:eastAsia="Times New Roman"/>
        </w:rPr>
      </w:pPr>
      <w:r>
        <w:rPr/>
        <w:t>法定代表人：严亦斌电话：</w:t>
      </w:r>
      <w:r>
        <w:rPr>
          <w:rFonts w:ascii="Times New Roman" w:eastAsia="Times New Roman"/>
        </w:rPr>
        <w:t>0755-83331195</w:t>
      </w:r>
    </w:p>
    <w:p>
      <w:pPr>
        <w:pStyle w:val="BodyText"/>
        <w:ind w:left="1260"/>
      </w:pPr>
      <w:r>
        <w:rPr/>
        <w:t>联系人：彭莲</w:t>
      </w:r>
    </w:p>
    <w:p>
      <w:pPr>
        <w:pStyle w:val="BodyText"/>
        <w:spacing w:before="6"/>
        <w:rPr>
          <w:sz w:val="15"/>
        </w:rPr>
      </w:pPr>
    </w:p>
    <w:p>
      <w:pPr>
        <w:pStyle w:val="BodyText"/>
        <w:spacing w:line="417" w:lineRule="auto"/>
        <w:ind w:left="1260" w:right="6231"/>
        <w:rPr>
          <w:rFonts w:ascii="Times New Roman" w:eastAsia="Times New Roman"/>
        </w:rPr>
      </w:pPr>
      <w:r>
        <w:rPr/>
        <w:t>网址：</w:t>
      </w:r>
      <w:hyperlink r:id="rId195">
        <w:r>
          <w:rPr>
            <w:rFonts w:ascii="Times New Roman" w:eastAsia="Times New Roman"/>
          </w:rPr>
          <w:t>http://www.ykzq.com </w:t>
        </w:r>
      </w:hyperlink>
      <w:r>
        <w:rPr/>
        <w:t>客户服务电话：</w:t>
      </w:r>
      <w:r>
        <w:rPr>
          <w:rFonts w:ascii="Times New Roman" w:eastAsia="Times New Roman"/>
        </w:rPr>
        <w:t>95564</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江海证券有限公司</w:t>
      </w:r>
    </w:p>
    <w:p>
      <w:pPr>
        <w:pStyle w:val="BodyText"/>
        <w:spacing w:before="7"/>
        <w:rPr>
          <w:sz w:val="15"/>
        </w:rPr>
      </w:pPr>
    </w:p>
    <w:p>
      <w:pPr>
        <w:pStyle w:val="BodyText"/>
        <w:ind w:left="1260"/>
      </w:pPr>
      <w:r>
        <w:rPr/>
        <w:t>住所：哈尔滨市香坊区赣水路</w:t>
      </w:r>
      <w:r>
        <w:rPr>
          <w:rFonts w:ascii="Times New Roman" w:eastAsia="Times New Roman"/>
        </w:rPr>
        <w:t>56</w:t>
      </w:r>
      <w:r>
        <w:rPr/>
        <w:t>号</w:t>
      </w:r>
    </w:p>
    <w:p>
      <w:pPr>
        <w:pStyle w:val="BodyText"/>
        <w:spacing w:before="7"/>
        <w:rPr>
          <w:sz w:val="15"/>
        </w:rPr>
      </w:pPr>
    </w:p>
    <w:p>
      <w:pPr>
        <w:pStyle w:val="BodyText"/>
        <w:spacing w:line="417" w:lineRule="auto"/>
        <w:ind w:left="1260" w:right="4835"/>
      </w:pPr>
      <w:r>
        <w:rPr/>
        <w:t>办公地址：哈尔滨市松北区创新三路</w:t>
      </w:r>
      <w:r>
        <w:rPr>
          <w:rFonts w:ascii="Times New Roman" w:eastAsia="Times New Roman"/>
        </w:rPr>
        <w:t>833</w:t>
      </w:r>
      <w:r>
        <w:rPr/>
        <w:t>号法定代表人：赵洪波</w:t>
      </w:r>
    </w:p>
    <w:p>
      <w:pPr>
        <w:pStyle w:val="BodyText"/>
        <w:spacing w:line="417" w:lineRule="auto"/>
        <w:ind w:left="1260" w:right="6760"/>
        <w:rPr>
          <w:rFonts w:ascii="Times New Roman" w:eastAsia="Times New Roman"/>
        </w:rPr>
      </w:pPr>
      <w:r>
        <w:rPr/>
        <w:t>电话：</w:t>
      </w:r>
      <w:r>
        <w:rPr>
          <w:rFonts w:ascii="Times New Roman" w:eastAsia="Times New Roman"/>
        </w:rPr>
        <w:t>0451-87765732 </w:t>
      </w:r>
      <w:r>
        <w:rPr/>
        <w:t>传真：</w:t>
      </w:r>
      <w:r>
        <w:rPr>
          <w:rFonts w:ascii="Times New Roman" w:eastAsia="Times New Roman"/>
        </w:rPr>
        <w:t>0451-82337279</w:t>
      </w:r>
    </w:p>
    <w:p>
      <w:pPr>
        <w:pStyle w:val="BodyText"/>
        <w:spacing w:line="269" w:lineRule="exact"/>
        <w:ind w:left="1260"/>
      </w:pPr>
      <w:r>
        <w:rPr/>
        <w:t>联系人：姜志伟</w:t>
      </w:r>
    </w:p>
    <w:p>
      <w:pPr>
        <w:pStyle w:val="BodyText"/>
        <w:spacing w:before="7"/>
        <w:rPr>
          <w:sz w:val="15"/>
        </w:rPr>
      </w:pPr>
    </w:p>
    <w:p>
      <w:pPr>
        <w:pStyle w:val="BodyText"/>
        <w:spacing w:line="417" w:lineRule="auto"/>
        <w:ind w:left="1260" w:right="6529"/>
        <w:rPr>
          <w:rFonts w:ascii="Times New Roman" w:eastAsia="Times New Roman"/>
        </w:rPr>
      </w:pPr>
      <w:r>
        <w:rPr/>
        <w:t>网址：</w:t>
      </w:r>
      <w:hyperlink r:id="rId196">
        <w:r>
          <w:rPr>
            <w:rFonts w:ascii="Times New Roman" w:eastAsia="Times New Roman"/>
          </w:rPr>
          <w:t>www.jhzq.com.cn </w:t>
        </w:r>
      </w:hyperlink>
      <w:r>
        <w:rPr/>
        <w:t>客户服务电话：</w:t>
      </w:r>
      <w:r>
        <w:rPr>
          <w:rFonts w:ascii="Times New Roman" w:eastAsia="Times New Roman"/>
        </w:rPr>
        <w:t>956007</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国金证券股份有限公司</w:t>
      </w:r>
    </w:p>
    <w:p>
      <w:pPr>
        <w:pStyle w:val="BodyText"/>
        <w:spacing w:before="7"/>
        <w:rPr>
          <w:sz w:val="15"/>
        </w:rPr>
      </w:pPr>
    </w:p>
    <w:p>
      <w:pPr>
        <w:pStyle w:val="BodyText"/>
        <w:ind w:left="1260"/>
      </w:pPr>
      <w:r>
        <w:rPr/>
        <w:t>住所：成都市青羊区东城根上街</w:t>
      </w:r>
      <w:r>
        <w:rPr>
          <w:rFonts w:ascii="Times New Roman" w:eastAsia="Times New Roman"/>
        </w:rPr>
        <w:t>95</w:t>
      </w:r>
      <w:r>
        <w:rPr/>
        <w:t>号</w:t>
      </w:r>
    </w:p>
    <w:p>
      <w:pPr>
        <w:pStyle w:val="BodyText"/>
        <w:spacing w:before="7"/>
        <w:rPr>
          <w:sz w:val="15"/>
        </w:rPr>
      </w:pPr>
    </w:p>
    <w:p>
      <w:pPr>
        <w:pStyle w:val="BodyText"/>
        <w:ind w:left="1260"/>
      </w:pPr>
      <w:r>
        <w:rPr/>
        <w:t>办公地址：成都市青羊区东城根上街</w:t>
      </w:r>
      <w:r>
        <w:rPr>
          <w:rFonts w:ascii="Times New Roman" w:eastAsia="Times New Roman"/>
        </w:rPr>
        <w:t>95</w:t>
      </w:r>
      <w:r>
        <w:rPr/>
        <w:t>号</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1260"/>
      </w:pPr>
      <w:r>
        <w:rPr/>
        <w:t>法定代表人：冉云</w:t>
      </w:r>
    </w:p>
    <w:p>
      <w:pPr>
        <w:pStyle w:val="BodyText"/>
        <w:spacing w:before="7"/>
        <w:rPr>
          <w:sz w:val="15"/>
        </w:rPr>
      </w:pPr>
    </w:p>
    <w:p>
      <w:pPr>
        <w:pStyle w:val="BodyText"/>
        <w:spacing w:line="417" w:lineRule="auto"/>
        <w:ind w:left="1260" w:right="5430"/>
        <w:rPr>
          <w:rFonts w:ascii="Times New Roman" w:eastAsia="Times New Roman"/>
        </w:rPr>
      </w:pPr>
      <w:r>
        <w:rPr/>
        <w:t>电话：</w:t>
      </w:r>
      <w:r>
        <w:rPr>
          <w:rFonts w:ascii="Times New Roman" w:eastAsia="Times New Roman"/>
        </w:rPr>
        <w:t>028-86690057</w:t>
      </w:r>
      <w:r>
        <w:rPr/>
        <w:t>、</w:t>
      </w:r>
      <w:r>
        <w:rPr>
          <w:rFonts w:ascii="Times New Roman" w:eastAsia="Times New Roman"/>
        </w:rPr>
        <w:t>028-86690058 </w:t>
      </w:r>
      <w:r>
        <w:rPr/>
        <w:t>传真：</w:t>
      </w:r>
      <w:r>
        <w:rPr>
          <w:rFonts w:ascii="Times New Roman" w:eastAsia="Times New Roman"/>
        </w:rPr>
        <w:t>028-86690126</w:t>
      </w:r>
    </w:p>
    <w:p>
      <w:pPr>
        <w:pStyle w:val="BodyText"/>
        <w:spacing w:line="417" w:lineRule="auto"/>
        <w:ind w:left="1260" w:right="6573"/>
        <w:jc w:val="both"/>
        <w:rPr>
          <w:rFonts w:ascii="Times New Roman" w:eastAsia="Times New Roman"/>
        </w:rPr>
      </w:pPr>
      <w:r>
        <w:rPr>
          <w:spacing w:val="-3"/>
        </w:rPr>
        <w:t>联系人：刘婧漪、贾鹏网址：</w:t>
      </w:r>
      <w:hyperlink r:id="rId197">
        <w:r>
          <w:rPr>
            <w:rFonts w:ascii="Times New Roman" w:eastAsia="Times New Roman"/>
            <w:spacing w:val="-3"/>
          </w:rPr>
          <w:t>www.gjzq.com.cn </w:t>
        </w:r>
      </w:hyperlink>
      <w:r>
        <w:rPr>
          <w:spacing w:val="-2"/>
        </w:rPr>
        <w:t>客户服务电话：</w:t>
      </w:r>
      <w:r>
        <w:rPr>
          <w:rFonts w:ascii="Times New Roman" w:eastAsia="Times New Roman"/>
        </w:rPr>
        <w:t>95310</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华宝证券有限责任公司</w:t>
      </w:r>
    </w:p>
    <w:p>
      <w:pPr>
        <w:pStyle w:val="BodyText"/>
        <w:spacing w:before="7"/>
        <w:rPr>
          <w:sz w:val="15"/>
        </w:rPr>
      </w:pPr>
    </w:p>
    <w:p>
      <w:pPr>
        <w:pStyle w:val="BodyText"/>
        <w:ind w:left="1260"/>
      </w:pPr>
      <w:r>
        <w:rPr/>
        <w:t>住所：上海市陆家嘴环路</w:t>
      </w:r>
      <w:r>
        <w:rPr>
          <w:rFonts w:ascii="Times New Roman" w:eastAsia="Times New Roman"/>
        </w:rPr>
        <w:t>166</w:t>
      </w:r>
      <w:r>
        <w:rPr/>
        <w:t>号</w:t>
      </w:r>
      <w:r>
        <w:rPr>
          <w:rFonts w:ascii="Times New Roman" w:eastAsia="Times New Roman"/>
        </w:rPr>
        <w:t>27</w:t>
      </w:r>
      <w:r>
        <w:rPr/>
        <w:t>楼</w:t>
      </w:r>
    </w:p>
    <w:p>
      <w:pPr>
        <w:pStyle w:val="BodyText"/>
        <w:spacing w:before="7"/>
        <w:rPr>
          <w:sz w:val="15"/>
        </w:rPr>
      </w:pPr>
    </w:p>
    <w:p>
      <w:pPr>
        <w:pStyle w:val="BodyText"/>
        <w:spacing w:line="417" w:lineRule="auto"/>
        <w:ind w:left="1260" w:right="5044"/>
      </w:pPr>
      <w:r>
        <w:rPr/>
        <w:t>办公地址：上海市陆家嘴环路</w:t>
      </w:r>
      <w:r>
        <w:rPr>
          <w:rFonts w:ascii="Times New Roman" w:eastAsia="Times New Roman"/>
        </w:rPr>
        <w:t>166</w:t>
      </w:r>
      <w:r>
        <w:rPr/>
        <w:t>号</w:t>
      </w:r>
      <w:r>
        <w:rPr>
          <w:rFonts w:ascii="Times New Roman" w:eastAsia="Times New Roman"/>
        </w:rPr>
        <w:t>27</w:t>
      </w:r>
      <w:r>
        <w:rPr/>
        <w:t>楼法定代表人：陈林</w:t>
      </w:r>
    </w:p>
    <w:p>
      <w:pPr>
        <w:pStyle w:val="BodyText"/>
        <w:spacing w:line="417" w:lineRule="auto"/>
        <w:ind w:left="1260" w:right="6866"/>
        <w:rPr>
          <w:rFonts w:ascii="Times New Roman" w:eastAsia="Times New Roman"/>
        </w:rPr>
      </w:pPr>
      <w:r>
        <w:rPr/>
        <w:t>电话：</w:t>
      </w:r>
      <w:r>
        <w:rPr>
          <w:rFonts w:ascii="Times New Roman" w:eastAsia="Times New Roman"/>
        </w:rPr>
        <w:t>021-50122128 </w:t>
      </w:r>
      <w:r>
        <w:rPr/>
        <w:t>传真：</w:t>
      </w:r>
      <w:r>
        <w:rPr>
          <w:rFonts w:ascii="Times New Roman" w:eastAsia="Times New Roman"/>
        </w:rPr>
        <w:t>021-50122398</w:t>
      </w:r>
    </w:p>
    <w:p>
      <w:pPr>
        <w:pStyle w:val="BodyText"/>
        <w:spacing w:line="269" w:lineRule="exact"/>
        <w:ind w:left="1260"/>
      </w:pPr>
      <w:r>
        <w:rPr/>
        <w:t>联系人：徐方亮</w:t>
      </w:r>
    </w:p>
    <w:p>
      <w:pPr>
        <w:pStyle w:val="BodyText"/>
        <w:spacing w:before="6"/>
        <w:rPr>
          <w:sz w:val="15"/>
        </w:rPr>
      </w:pPr>
    </w:p>
    <w:p>
      <w:pPr>
        <w:pStyle w:val="BodyText"/>
        <w:ind w:left="1260"/>
        <w:rPr>
          <w:rFonts w:ascii="Times New Roman" w:eastAsia="Times New Roman"/>
        </w:rPr>
      </w:pPr>
      <w:r>
        <w:rPr/>
        <w:t>网址：</w:t>
      </w:r>
      <w:hyperlink r:id="rId198">
        <w:r>
          <w:rPr>
            <w:rFonts w:ascii="Times New Roman" w:eastAsia="Times New Roman"/>
          </w:rPr>
          <w:t>www.cnhbstock.com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400-820-9898</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长城国瑞证券有限公司</w:t>
      </w:r>
    </w:p>
    <w:p>
      <w:pPr>
        <w:pStyle w:val="BodyText"/>
        <w:spacing w:before="7"/>
        <w:rPr>
          <w:sz w:val="15"/>
        </w:rPr>
      </w:pPr>
    </w:p>
    <w:p>
      <w:pPr>
        <w:pStyle w:val="BodyText"/>
        <w:ind w:left="1260"/>
      </w:pPr>
      <w:r>
        <w:rPr/>
        <w:t>住所：福建省厦门市莲前西路</w:t>
      </w:r>
      <w:r>
        <w:rPr>
          <w:rFonts w:ascii="Times New Roman" w:eastAsia="Times New Roman"/>
        </w:rPr>
        <w:t>2</w:t>
      </w:r>
      <w:r>
        <w:rPr/>
        <w:t>号莲富大厦十七层</w:t>
      </w:r>
    </w:p>
    <w:p>
      <w:pPr>
        <w:pStyle w:val="BodyText"/>
        <w:spacing w:before="7"/>
        <w:rPr>
          <w:sz w:val="15"/>
        </w:rPr>
      </w:pPr>
    </w:p>
    <w:p>
      <w:pPr>
        <w:pStyle w:val="BodyText"/>
        <w:spacing w:line="417" w:lineRule="auto"/>
        <w:ind w:left="1260" w:right="3402"/>
      </w:pPr>
      <w:r>
        <w:rPr/>
        <w:t>办公地址：福建省厦门市深田路</w:t>
      </w:r>
      <w:r>
        <w:rPr>
          <w:rFonts w:ascii="Times New Roman" w:eastAsia="Times New Roman"/>
        </w:rPr>
        <w:t>46</w:t>
      </w:r>
      <w:r>
        <w:rPr/>
        <w:t>号深田国际大厦</w:t>
      </w:r>
      <w:r>
        <w:rPr>
          <w:rFonts w:ascii="Times New Roman" w:eastAsia="Times New Roman"/>
        </w:rPr>
        <w:t>19-20</w:t>
      </w:r>
      <w:r>
        <w:rPr/>
        <w:t>楼法定代表人：王勇</w:t>
      </w:r>
    </w:p>
    <w:p>
      <w:pPr>
        <w:pStyle w:val="BodyText"/>
        <w:spacing w:line="417" w:lineRule="auto"/>
        <w:ind w:left="1260" w:right="6866"/>
        <w:rPr>
          <w:rFonts w:ascii="Times New Roman" w:eastAsia="Times New Roman"/>
        </w:rPr>
      </w:pPr>
      <w:r>
        <w:rPr/>
        <w:t>电话：</w:t>
      </w:r>
      <w:r>
        <w:rPr>
          <w:rFonts w:ascii="Times New Roman" w:eastAsia="Times New Roman"/>
        </w:rPr>
        <w:t>0592-2079259 </w:t>
      </w:r>
      <w:r>
        <w:rPr/>
        <w:t>传真：</w:t>
      </w:r>
      <w:r>
        <w:rPr>
          <w:rFonts w:ascii="Times New Roman" w:eastAsia="Times New Roman"/>
        </w:rPr>
        <w:t>0592-2079602</w:t>
      </w:r>
    </w:p>
    <w:p>
      <w:pPr>
        <w:pStyle w:val="BodyText"/>
        <w:ind w:left="1260"/>
      </w:pPr>
      <w:r>
        <w:rPr/>
        <w:t>联系人：邱震</w:t>
      </w:r>
    </w:p>
    <w:p>
      <w:pPr>
        <w:pStyle w:val="BodyText"/>
        <w:spacing w:before="6"/>
        <w:rPr>
          <w:sz w:val="15"/>
        </w:rPr>
      </w:pPr>
    </w:p>
    <w:p>
      <w:pPr>
        <w:pStyle w:val="BodyText"/>
        <w:spacing w:before="1"/>
        <w:ind w:left="1260"/>
        <w:rPr>
          <w:rFonts w:ascii="Times New Roman" w:eastAsia="Times New Roman"/>
        </w:rPr>
      </w:pPr>
      <w:r>
        <w:rPr/>
        <w:t>网址：</w:t>
      </w:r>
      <w:hyperlink r:id="rId199">
        <w:r>
          <w:rPr>
            <w:rFonts w:ascii="Times New Roman" w:eastAsia="Times New Roman"/>
          </w:rPr>
          <w:t>www.gwgsc.com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400-0099-886</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爱建证券有限责任公司</w:t>
      </w:r>
    </w:p>
    <w:p>
      <w:pPr>
        <w:pStyle w:val="BodyText"/>
        <w:spacing w:before="6"/>
        <w:rPr>
          <w:sz w:val="15"/>
        </w:rPr>
      </w:pPr>
    </w:p>
    <w:p>
      <w:pPr>
        <w:pStyle w:val="BodyText"/>
        <w:ind w:left="1260"/>
      </w:pPr>
      <w:r>
        <w:rPr/>
        <w:t>住所：中国（上海）自由贸易试验区世纪大道</w:t>
      </w:r>
      <w:r>
        <w:rPr>
          <w:rFonts w:ascii="Times New Roman" w:eastAsia="Times New Roman"/>
        </w:rPr>
        <w:t>1600</w:t>
      </w:r>
      <w:r>
        <w:rPr/>
        <w:t>号</w:t>
      </w:r>
      <w:r>
        <w:rPr>
          <w:rFonts w:ascii="Times New Roman" w:eastAsia="Times New Roman"/>
        </w:rPr>
        <w:t>1</w:t>
      </w:r>
      <w:r>
        <w:rPr/>
        <w:t>幢</w:t>
      </w:r>
      <w:r>
        <w:rPr>
          <w:rFonts w:ascii="Times New Roman" w:eastAsia="Times New Roman"/>
        </w:rPr>
        <w:t>32</w:t>
      </w:r>
      <w:r>
        <w:rPr/>
        <w:t>楼</w:t>
      </w:r>
    </w:p>
    <w:p>
      <w:pPr>
        <w:pStyle w:val="BodyText"/>
        <w:spacing w:before="7"/>
        <w:rPr>
          <w:sz w:val="15"/>
        </w:rPr>
      </w:pPr>
    </w:p>
    <w:p>
      <w:pPr>
        <w:pStyle w:val="BodyText"/>
        <w:spacing w:line="417" w:lineRule="auto"/>
        <w:ind w:left="1260" w:right="2735"/>
      </w:pPr>
      <w:r>
        <w:rPr/>
        <w:t>办公地址：中国（上海）自由贸易试验区世纪大道</w:t>
      </w:r>
      <w:r>
        <w:rPr>
          <w:rFonts w:ascii="Times New Roman" w:eastAsia="Times New Roman"/>
        </w:rPr>
        <w:t>1600</w:t>
      </w:r>
      <w:r>
        <w:rPr/>
        <w:t>号</w:t>
      </w:r>
      <w:r>
        <w:rPr>
          <w:rFonts w:ascii="Times New Roman" w:eastAsia="Times New Roman"/>
        </w:rPr>
        <w:t>1</w:t>
      </w:r>
      <w:r>
        <w:rPr/>
        <w:t>幢</w:t>
      </w:r>
      <w:r>
        <w:rPr>
          <w:rFonts w:ascii="Times New Roman" w:eastAsia="Times New Roman"/>
        </w:rPr>
        <w:t>32</w:t>
      </w:r>
      <w:r>
        <w:rPr/>
        <w:t>楼法定代表人：祝健</w:t>
      </w:r>
    </w:p>
    <w:p>
      <w:pPr>
        <w:pStyle w:val="BodyText"/>
        <w:spacing w:line="417" w:lineRule="auto"/>
        <w:ind w:left="1260" w:right="6866"/>
        <w:rPr>
          <w:rFonts w:ascii="Times New Roman" w:eastAsia="Times New Roman"/>
        </w:rPr>
      </w:pPr>
      <w:r>
        <w:rPr/>
        <w:t>电话：</w:t>
      </w:r>
      <w:r>
        <w:rPr>
          <w:rFonts w:ascii="Times New Roman" w:eastAsia="Times New Roman"/>
        </w:rPr>
        <w:t>021-32229888 </w:t>
      </w:r>
      <w:r>
        <w:rPr/>
        <w:t>传真：</w:t>
      </w:r>
      <w:r>
        <w:rPr>
          <w:rFonts w:ascii="Times New Roman" w:eastAsia="Times New Roman"/>
        </w:rPr>
        <w:t>021-68728703</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联系人：庄丽珍</w:t>
      </w:r>
    </w:p>
    <w:p>
      <w:pPr>
        <w:pStyle w:val="BodyText"/>
        <w:spacing w:before="6"/>
        <w:rPr>
          <w:sz w:val="15"/>
        </w:rPr>
      </w:pPr>
    </w:p>
    <w:p>
      <w:pPr>
        <w:pStyle w:val="BodyText"/>
        <w:ind w:left="1260"/>
        <w:rPr>
          <w:rFonts w:ascii="Times New Roman" w:eastAsia="Times New Roman"/>
        </w:rPr>
      </w:pPr>
      <w:r>
        <w:rPr/>
        <w:t>网址：</w:t>
      </w:r>
      <w:hyperlink r:id="rId200">
        <w:r>
          <w:rPr>
            <w:rFonts w:ascii="Times New Roman" w:eastAsia="Times New Roman"/>
          </w:rPr>
          <w:t>www.ajzq.com</w:t>
        </w:r>
      </w:hyperlink>
    </w:p>
    <w:p>
      <w:pPr>
        <w:pStyle w:val="BodyText"/>
        <w:spacing w:before="4"/>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400-196-2502</w:t>
      </w:r>
    </w:p>
    <w:p>
      <w:pPr>
        <w:pStyle w:val="BodyText"/>
        <w:spacing w:before="3"/>
        <w:rPr>
          <w:rFonts w:ascii="Times New Roman"/>
          <w:sz w:val="17"/>
        </w:rPr>
      </w:pPr>
    </w:p>
    <w:p>
      <w:pPr>
        <w:pStyle w:val="ListParagraph"/>
        <w:numPr>
          <w:ilvl w:val="0"/>
          <w:numId w:val="8"/>
        </w:numPr>
        <w:tabs>
          <w:tab w:pos="1999" w:val="left" w:leader="none"/>
        </w:tabs>
        <w:spacing w:line="417" w:lineRule="auto" w:before="0" w:after="0"/>
        <w:ind w:left="1260" w:right="5675" w:firstLine="0"/>
        <w:jc w:val="left"/>
        <w:rPr>
          <w:sz w:val="21"/>
        </w:rPr>
      </w:pPr>
      <w:r>
        <w:rPr>
          <w:spacing w:val="-3"/>
          <w:sz w:val="21"/>
        </w:rPr>
        <w:t>华融证券股份有限公司 住所：北京市西城区金融大街</w:t>
      </w:r>
      <w:r>
        <w:rPr>
          <w:rFonts w:ascii="Times New Roman" w:eastAsia="Times New Roman"/>
          <w:spacing w:val="-3"/>
          <w:sz w:val="21"/>
        </w:rPr>
        <w:t>8</w:t>
      </w:r>
      <w:r>
        <w:rPr>
          <w:spacing w:val="-13"/>
          <w:sz w:val="21"/>
        </w:rPr>
        <w:t>号</w:t>
      </w:r>
    </w:p>
    <w:p>
      <w:pPr>
        <w:pStyle w:val="BodyText"/>
        <w:spacing w:line="417" w:lineRule="auto"/>
        <w:ind w:left="1260" w:right="3047"/>
      </w:pPr>
      <w:r>
        <w:rPr/>
        <w:t>办公地址：北京市朝阳区朝阳门北大街</w:t>
      </w:r>
      <w:r>
        <w:rPr>
          <w:rFonts w:ascii="Times New Roman" w:eastAsia="Times New Roman"/>
        </w:rPr>
        <w:t>18</w:t>
      </w:r>
      <w:r>
        <w:rPr/>
        <w:t>号中国人保寿险大厦法定代表人：祝献忠</w:t>
      </w:r>
    </w:p>
    <w:p>
      <w:pPr>
        <w:pStyle w:val="BodyText"/>
        <w:spacing w:line="417" w:lineRule="auto"/>
        <w:ind w:left="1260" w:right="6866"/>
        <w:rPr>
          <w:rFonts w:ascii="Times New Roman" w:eastAsia="Times New Roman"/>
        </w:rPr>
      </w:pPr>
      <w:r>
        <w:rPr/>
        <w:t>电话：</w:t>
      </w:r>
      <w:r>
        <w:rPr>
          <w:rFonts w:ascii="Times New Roman" w:eastAsia="Times New Roman"/>
        </w:rPr>
        <w:t>010-85556048 </w:t>
      </w:r>
      <w:r>
        <w:rPr/>
        <w:t>传真：</w:t>
      </w:r>
      <w:r>
        <w:rPr>
          <w:rFonts w:ascii="Times New Roman" w:eastAsia="Times New Roman"/>
        </w:rPr>
        <w:t>010-85556088</w:t>
      </w:r>
    </w:p>
    <w:p>
      <w:pPr>
        <w:pStyle w:val="BodyText"/>
        <w:spacing w:line="269" w:lineRule="exact"/>
        <w:ind w:left="1260"/>
      </w:pPr>
      <w:r>
        <w:rPr/>
        <w:t>联系人：孙燕波</w:t>
      </w:r>
    </w:p>
    <w:p>
      <w:pPr>
        <w:pStyle w:val="BodyText"/>
        <w:spacing w:before="7"/>
        <w:rPr>
          <w:sz w:val="15"/>
        </w:rPr>
      </w:pPr>
    </w:p>
    <w:p>
      <w:pPr>
        <w:pStyle w:val="BodyText"/>
        <w:spacing w:line="417" w:lineRule="auto"/>
        <w:ind w:left="1260" w:right="6447"/>
        <w:rPr>
          <w:rFonts w:ascii="Times New Roman" w:eastAsia="Times New Roman"/>
        </w:rPr>
      </w:pPr>
      <w:r>
        <w:rPr/>
        <w:t>网址：</w:t>
      </w:r>
      <w:hyperlink r:id="rId201">
        <w:r>
          <w:rPr>
            <w:rFonts w:ascii="Times New Roman" w:eastAsia="Times New Roman"/>
          </w:rPr>
          <w:t>www.hrsec.com.cn </w:t>
        </w:r>
      </w:hyperlink>
      <w:r>
        <w:rPr/>
        <w:t>客户服务电话：</w:t>
      </w:r>
      <w:r>
        <w:rPr>
          <w:rFonts w:ascii="Times New Roman" w:eastAsia="Times New Roman"/>
        </w:rPr>
        <w:t>95390</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天风证券股份有限公司</w:t>
      </w:r>
    </w:p>
    <w:p>
      <w:pPr>
        <w:pStyle w:val="BodyText"/>
        <w:spacing w:before="6"/>
        <w:rPr>
          <w:sz w:val="15"/>
        </w:rPr>
      </w:pPr>
    </w:p>
    <w:p>
      <w:pPr>
        <w:pStyle w:val="BodyText"/>
        <w:spacing w:before="1"/>
        <w:ind w:left="1260"/>
      </w:pPr>
      <w:r>
        <w:rPr/>
        <w:t>住所：湖北省武汉市东湖新技术开发区关东园路</w:t>
      </w:r>
      <w:r>
        <w:rPr>
          <w:rFonts w:ascii="Times New Roman" w:eastAsia="Times New Roman"/>
        </w:rPr>
        <w:t>2</w:t>
      </w:r>
      <w:r>
        <w:rPr/>
        <w:t>号高科大厦四楼</w:t>
      </w:r>
    </w:p>
    <w:p>
      <w:pPr>
        <w:pStyle w:val="BodyText"/>
        <w:spacing w:before="7"/>
        <w:rPr>
          <w:sz w:val="15"/>
        </w:rPr>
      </w:pPr>
    </w:p>
    <w:p>
      <w:pPr>
        <w:pStyle w:val="BodyText"/>
        <w:spacing w:line="417" w:lineRule="auto"/>
        <w:ind w:left="1260" w:right="2312"/>
      </w:pPr>
      <w:r>
        <w:rPr/>
        <w:t>办公地址：湖北省武汉市东湖新技术开发区关东园路</w:t>
      </w:r>
      <w:r>
        <w:rPr>
          <w:rFonts w:ascii="Times New Roman" w:eastAsia="Times New Roman"/>
        </w:rPr>
        <w:t>2</w:t>
      </w:r>
      <w:r>
        <w:rPr/>
        <w:t>号高科大厦四楼法定代表人：余磊</w:t>
      </w:r>
    </w:p>
    <w:p>
      <w:pPr>
        <w:pStyle w:val="BodyText"/>
        <w:spacing w:line="417" w:lineRule="auto"/>
        <w:ind w:left="1260" w:right="6866"/>
        <w:rPr>
          <w:rFonts w:ascii="Times New Roman" w:eastAsia="Times New Roman"/>
        </w:rPr>
      </w:pPr>
      <w:r>
        <w:rPr/>
        <w:t>电话：</w:t>
      </w:r>
      <w:r>
        <w:rPr>
          <w:rFonts w:ascii="Times New Roman" w:eastAsia="Times New Roman"/>
        </w:rPr>
        <w:t>027-87618882 </w:t>
      </w:r>
      <w:r>
        <w:rPr/>
        <w:t>传真：</w:t>
      </w:r>
      <w:r>
        <w:rPr>
          <w:rFonts w:ascii="Times New Roman" w:eastAsia="Times New Roman"/>
        </w:rPr>
        <w:t>027-87618863</w:t>
      </w:r>
    </w:p>
    <w:p>
      <w:pPr>
        <w:pStyle w:val="BodyText"/>
        <w:spacing w:line="269" w:lineRule="exact"/>
        <w:ind w:left="1260"/>
      </w:pPr>
      <w:r>
        <w:rPr/>
        <w:t>联系人：翟璟</w:t>
      </w:r>
    </w:p>
    <w:p>
      <w:pPr>
        <w:pStyle w:val="BodyText"/>
        <w:spacing w:before="6"/>
        <w:rPr>
          <w:sz w:val="15"/>
        </w:rPr>
      </w:pPr>
    </w:p>
    <w:p>
      <w:pPr>
        <w:pStyle w:val="BodyText"/>
        <w:ind w:left="1260"/>
        <w:rPr>
          <w:rFonts w:ascii="Times New Roman" w:eastAsia="Times New Roman"/>
        </w:rPr>
      </w:pPr>
      <w:r>
        <w:rPr/>
        <w:t>网址：</w:t>
      </w:r>
      <w:hyperlink r:id="rId202">
        <w:r>
          <w:rPr>
            <w:rFonts w:ascii="Times New Roman" w:eastAsia="Times New Roman"/>
          </w:rPr>
          <w:t>www.tfzq.com</w:t>
        </w:r>
      </w:hyperlink>
    </w:p>
    <w:p>
      <w:pPr>
        <w:pStyle w:val="BodyText"/>
        <w:spacing w:before="3"/>
        <w:rPr>
          <w:rFonts w:ascii="Times New Roman"/>
          <w:sz w:val="17"/>
        </w:rPr>
      </w:pPr>
    </w:p>
    <w:p>
      <w:pPr>
        <w:pStyle w:val="BodyText"/>
        <w:spacing w:before="1"/>
        <w:ind w:left="1260"/>
        <w:rPr>
          <w:rFonts w:ascii="Times New Roman" w:eastAsia="Times New Roman"/>
        </w:rPr>
      </w:pPr>
      <w:r>
        <w:rPr/>
        <w:t>客户服务电话：</w:t>
      </w:r>
      <w:r>
        <w:rPr>
          <w:rFonts w:ascii="Times New Roman" w:eastAsia="Times New Roman"/>
        </w:rPr>
        <w:t>400-800-5000</w:t>
      </w:r>
    </w:p>
    <w:p>
      <w:pPr>
        <w:pStyle w:val="BodyText"/>
        <w:spacing w:before="3"/>
        <w:rPr>
          <w:rFonts w:ascii="Times New Roman"/>
          <w:sz w:val="17"/>
        </w:rPr>
      </w:pPr>
    </w:p>
    <w:p>
      <w:pPr>
        <w:pStyle w:val="ListParagraph"/>
        <w:numPr>
          <w:ilvl w:val="0"/>
          <w:numId w:val="8"/>
        </w:numPr>
        <w:tabs>
          <w:tab w:pos="1999" w:val="left" w:leader="none"/>
        </w:tabs>
        <w:spacing w:line="240" w:lineRule="auto" w:before="1" w:after="0"/>
        <w:ind w:left="1998" w:right="0" w:hanging="739"/>
        <w:jc w:val="left"/>
        <w:rPr>
          <w:sz w:val="21"/>
        </w:rPr>
      </w:pPr>
      <w:r>
        <w:rPr>
          <w:spacing w:val="-3"/>
          <w:sz w:val="21"/>
        </w:rPr>
        <w:t>万和证券股份有限公司</w:t>
      </w:r>
    </w:p>
    <w:p>
      <w:pPr>
        <w:pStyle w:val="BodyText"/>
        <w:spacing w:before="6"/>
        <w:rPr>
          <w:sz w:val="15"/>
        </w:rPr>
      </w:pPr>
    </w:p>
    <w:p>
      <w:pPr>
        <w:pStyle w:val="BodyText"/>
        <w:ind w:left="1260"/>
      </w:pPr>
      <w:r>
        <w:rPr/>
        <w:t>住所：海口市南沙路</w:t>
      </w:r>
      <w:r>
        <w:rPr>
          <w:rFonts w:ascii="Times New Roman" w:eastAsia="Times New Roman"/>
        </w:rPr>
        <w:t>49</w:t>
      </w:r>
      <w:r>
        <w:rPr/>
        <w:t>号通信广场二楼</w:t>
      </w:r>
    </w:p>
    <w:p>
      <w:pPr>
        <w:pStyle w:val="BodyText"/>
        <w:spacing w:before="7"/>
        <w:rPr>
          <w:sz w:val="15"/>
        </w:rPr>
      </w:pPr>
    </w:p>
    <w:p>
      <w:pPr>
        <w:pStyle w:val="BodyText"/>
        <w:spacing w:line="417" w:lineRule="auto"/>
        <w:ind w:left="1260" w:right="2838"/>
      </w:pPr>
      <w:r>
        <w:rPr/>
        <w:t>办公地址：深圳市福田区深南大道</w:t>
      </w:r>
      <w:r>
        <w:rPr>
          <w:rFonts w:ascii="Times New Roman" w:eastAsia="Times New Roman"/>
        </w:rPr>
        <w:t>7028</w:t>
      </w:r>
      <w:r>
        <w:rPr/>
        <w:t>号时代科技大厦</w:t>
      </w:r>
      <w:r>
        <w:rPr>
          <w:rFonts w:ascii="Times New Roman" w:eastAsia="Times New Roman"/>
        </w:rPr>
        <w:t>20</w:t>
      </w:r>
      <w:r>
        <w:rPr/>
        <w:t>层西厅法定代表人：冯周让</w:t>
      </w:r>
    </w:p>
    <w:p>
      <w:pPr>
        <w:pStyle w:val="BodyText"/>
        <w:spacing w:line="417" w:lineRule="auto"/>
        <w:ind w:left="1260" w:right="6760"/>
        <w:rPr>
          <w:rFonts w:ascii="Times New Roman" w:eastAsia="Times New Roman"/>
        </w:rPr>
      </w:pPr>
      <w:r>
        <w:rPr/>
        <w:t>电话：</w:t>
      </w:r>
      <w:r>
        <w:rPr>
          <w:rFonts w:ascii="Times New Roman" w:eastAsia="Times New Roman"/>
        </w:rPr>
        <w:t>0755-82830333 </w:t>
      </w:r>
      <w:r>
        <w:rPr/>
        <w:t>传真：</w:t>
      </w:r>
      <w:r>
        <w:rPr>
          <w:rFonts w:ascii="Times New Roman" w:eastAsia="Times New Roman"/>
        </w:rPr>
        <w:t>0755-25842783</w:t>
      </w:r>
    </w:p>
    <w:p>
      <w:pPr>
        <w:pStyle w:val="BodyText"/>
        <w:spacing w:line="269" w:lineRule="exact"/>
        <w:ind w:left="1260"/>
      </w:pPr>
      <w:r>
        <w:rPr/>
        <w:t>联系人：王少峰</w:t>
      </w:r>
    </w:p>
    <w:p>
      <w:pPr>
        <w:pStyle w:val="BodyText"/>
        <w:spacing w:before="7"/>
        <w:rPr>
          <w:sz w:val="15"/>
        </w:rPr>
      </w:pPr>
    </w:p>
    <w:p>
      <w:pPr>
        <w:pStyle w:val="BodyText"/>
        <w:spacing w:line="417" w:lineRule="auto"/>
        <w:ind w:left="1260" w:right="5573"/>
        <w:rPr>
          <w:rFonts w:ascii="Times New Roman" w:eastAsia="Times New Roman"/>
        </w:rPr>
      </w:pPr>
      <w:r>
        <w:rPr/>
        <w:t>网址：</w:t>
      </w:r>
      <w:hyperlink r:id="rId203">
        <w:r>
          <w:rPr>
            <w:rFonts w:ascii="Times New Roman" w:eastAsia="Times New Roman"/>
          </w:rPr>
          <w:t>http://www.wanhesec.com.cn </w:t>
        </w:r>
      </w:hyperlink>
      <w:r>
        <w:rPr/>
        <w:t>客户服务电话：</w:t>
      </w:r>
      <w:r>
        <w:rPr>
          <w:rFonts w:ascii="Times New Roman" w:eastAsia="Times New Roman"/>
        </w:rPr>
        <w:t>4008-882-882</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ListParagraph"/>
        <w:numPr>
          <w:ilvl w:val="0"/>
          <w:numId w:val="8"/>
        </w:numPr>
        <w:tabs>
          <w:tab w:pos="1999" w:val="left" w:leader="none"/>
        </w:tabs>
        <w:spacing w:line="240" w:lineRule="auto" w:before="79" w:after="0"/>
        <w:ind w:left="1998" w:right="0" w:hanging="739"/>
        <w:jc w:val="left"/>
        <w:rPr>
          <w:sz w:val="21"/>
        </w:rPr>
      </w:pPr>
      <w:r>
        <w:rPr>
          <w:spacing w:val="-3"/>
          <w:sz w:val="21"/>
        </w:rPr>
        <w:t>宏信证券有限责任公司</w:t>
      </w:r>
    </w:p>
    <w:p>
      <w:pPr>
        <w:pStyle w:val="BodyText"/>
        <w:spacing w:before="6"/>
        <w:rPr>
          <w:sz w:val="15"/>
        </w:rPr>
      </w:pPr>
    </w:p>
    <w:p>
      <w:pPr>
        <w:pStyle w:val="BodyText"/>
        <w:ind w:left="1260"/>
      </w:pPr>
      <w:r>
        <w:rPr/>
        <w:t>住所：四川省成都市锦江区人民南路二段</w:t>
      </w:r>
      <w:r>
        <w:rPr>
          <w:rFonts w:ascii="Times New Roman" w:eastAsia="Times New Roman"/>
        </w:rPr>
        <w:t>18</w:t>
      </w:r>
      <w:r>
        <w:rPr/>
        <w:t>号川信大厦</w:t>
      </w:r>
      <w:r>
        <w:rPr>
          <w:rFonts w:ascii="Times New Roman" w:eastAsia="Times New Roman"/>
        </w:rPr>
        <w:t>10</w:t>
      </w:r>
      <w:r>
        <w:rPr/>
        <w:t>楼</w:t>
      </w:r>
    </w:p>
    <w:p>
      <w:pPr>
        <w:pStyle w:val="BodyText"/>
        <w:spacing w:before="7"/>
        <w:rPr>
          <w:sz w:val="15"/>
        </w:rPr>
      </w:pPr>
    </w:p>
    <w:p>
      <w:pPr>
        <w:pStyle w:val="BodyText"/>
        <w:spacing w:line="417" w:lineRule="auto"/>
        <w:ind w:left="1260" w:right="2838"/>
      </w:pPr>
      <w:r>
        <w:rPr/>
        <w:t>办公地址：四川省成都市锦江区人民南路二段</w:t>
      </w:r>
      <w:r>
        <w:rPr>
          <w:rFonts w:ascii="Times New Roman" w:eastAsia="Times New Roman"/>
        </w:rPr>
        <w:t>18</w:t>
      </w:r>
      <w:r>
        <w:rPr/>
        <w:t>号川信大厦</w:t>
      </w:r>
      <w:r>
        <w:rPr>
          <w:rFonts w:ascii="Times New Roman" w:eastAsia="Times New Roman"/>
        </w:rPr>
        <w:t>10</w:t>
      </w:r>
      <w:r>
        <w:rPr/>
        <w:t>楼法定代表人：吴玉明</w:t>
      </w:r>
    </w:p>
    <w:p>
      <w:pPr>
        <w:pStyle w:val="BodyText"/>
        <w:spacing w:line="417" w:lineRule="auto"/>
        <w:ind w:left="1260" w:right="6866"/>
        <w:rPr>
          <w:rFonts w:ascii="Times New Roman" w:eastAsia="Times New Roman"/>
        </w:rPr>
      </w:pPr>
      <w:r>
        <w:rPr>
          <w:spacing w:val="-1"/>
        </w:rPr>
        <w:t>电话：</w:t>
      </w:r>
      <w:r>
        <w:rPr>
          <w:rFonts w:ascii="Times New Roman" w:eastAsia="Times New Roman"/>
          <w:spacing w:val="-3"/>
        </w:rPr>
        <w:t>028-86199278 </w:t>
      </w:r>
      <w:r>
        <w:rPr>
          <w:spacing w:val="-1"/>
        </w:rPr>
        <w:t>传真：</w:t>
      </w:r>
      <w:r>
        <w:rPr>
          <w:rFonts w:ascii="Times New Roman" w:eastAsia="Times New Roman"/>
          <w:spacing w:val="-3"/>
        </w:rPr>
        <w:t>028-86199382</w:t>
      </w:r>
    </w:p>
    <w:p>
      <w:pPr>
        <w:pStyle w:val="BodyText"/>
        <w:spacing w:line="417" w:lineRule="auto"/>
        <w:ind w:left="1260" w:right="6938"/>
        <w:rPr>
          <w:rFonts w:ascii="Times New Roman" w:eastAsia="Times New Roman"/>
        </w:rPr>
      </w:pPr>
      <w:r>
        <w:rPr>
          <w:spacing w:val="-2"/>
        </w:rPr>
        <w:t>联系人：郝俊杰  </w:t>
      </w:r>
      <w:r>
        <w:rPr>
          <w:spacing w:val="-3"/>
        </w:rPr>
        <w:t>网址：</w:t>
      </w:r>
      <w:hyperlink r:id="rId204">
        <w:r>
          <w:rPr>
            <w:rFonts w:ascii="Times New Roman" w:eastAsia="Times New Roman"/>
            <w:spacing w:val="-4"/>
          </w:rPr>
          <w:t>www.hxzq.cn</w:t>
        </w:r>
      </w:hyperlink>
    </w:p>
    <w:p>
      <w:pPr>
        <w:pStyle w:val="BodyText"/>
        <w:ind w:left="1260"/>
        <w:rPr>
          <w:rFonts w:ascii="Times New Roman" w:eastAsia="Times New Roman"/>
        </w:rPr>
      </w:pPr>
      <w:r>
        <w:rPr/>
        <w:t>客户服务电话：</w:t>
      </w:r>
      <w:r>
        <w:rPr>
          <w:rFonts w:ascii="Times New Roman" w:eastAsia="Times New Roman"/>
        </w:rPr>
        <w:t>400-836-6366</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太平洋证券股份有限公司</w:t>
      </w:r>
    </w:p>
    <w:p>
      <w:pPr>
        <w:pStyle w:val="BodyText"/>
        <w:spacing w:before="7"/>
        <w:rPr>
          <w:sz w:val="15"/>
        </w:rPr>
      </w:pPr>
    </w:p>
    <w:p>
      <w:pPr>
        <w:pStyle w:val="BodyText"/>
        <w:ind w:left="1260"/>
      </w:pPr>
      <w:r>
        <w:rPr/>
        <w:t>住所：云南省昆明市青年路</w:t>
      </w:r>
      <w:r>
        <w:rPr>
          <w:rFonts w:ascii="Times New Roman" w:eastAsia="Times New Roman"/>
        </w:rPr>
        <w:t>389</w:t>
      </w:r>
      <w:r>
        <w:rPr/>
        <w:t>号志远大厦</w:t>
      </w:r>
      <w:r>
        <w:rPr>
          <w:rFonts w:ascii="Times New Roman" w:eastAsia="Times New Roman"/>
        </w:rPr>
        <w:t>18</w:t>
      </w:r>
      <w:r>
        <w:rPr/>
        <w:t>层</w:t>
      </w:r>
    </w:p>
    <w:p>
      <w:pPr>
        <w:pStyle w:val="BodyText"/>
        <w:spacing w:before="6"/>
        <w:rPr>
          <w:sz w:val="15"/>
        </w:rPr>
      </w:pPr>
    </w:p>
    <w:p>
      <w:pPr>
        <w:pStyle w:val="BodyText"/>
        <w:spacing w:line="417" w:lineRule="auto" w:before="1"/>
        <w:ind w:left="1260" w:right="3320"/>
      </w:pPr>
      <w:r>
        <w:rPr>
          <w:spacing w:val="-3"/>
        </w:rPr>
        <w:t>办公地址：北京市西城区北展北街</w:t>
      </w:r>
      <w:r>
        <w:rPr>
          <w:rFonts w:ascii="Times New Roman" w:eastAsia="Times New Roman"/>
          <w:spacing w:val="-3"/>
        </w:rPr>
        <w:t>9</w:t>
      </w:r>
      <w:r>
        <w:rPr>
          <w:spacing w:val="-3"/>
        </w:rPr>
        <w:t>号华远企业号</w:t>
      </w:r>
      <w:r>
        <w:rPr>
          <w:rFonts w:ascii="Times New Roman" w:eastAsia="Times New Roman"/>
        </w:rPr>
        <w:t>D</w:t>
      </w:r>
      <w:r>
        <w:rPr/>
        <w:t>座</w:t>
      </w:r>
      <w:r>
        <w:rPr>
          <w:rFonts w:ascii="Times New Roman" w:eastAsia="Times New Roman"/>
        </w:rPr>
        <w:t>3</w:t>
      </w:r>
      <w:r>
        <w:rPr>
          <w:spacing w:val="-3"/>
        </w:rPr>
        <w:t>单元法定代表人：李长伟</w:t>
      </w:r>
    </w:p>
    <w:p>
      <w:pPr>
        <w:pStyle w:val="BodyText"/>
        <w:spacing w:line="417" w:lineRule="auto"/>
        <w:ind w:left="1260" w:right="5500"/>
        <w:rPr>
          <w:rFonts w:ascii="Times New Roman" w:eastAsia="Times New Roman"/>
        </w:rPr>
      </w:pPr>
      <w:r>
        <w:rPr/>
        <w:t>电话：</w:t>
      </w:r>
      <w:r>
        <w:rPr>
          <w:rFonts w:ascii="Times New Roman" w:eastAsia="Times New Roman"/>
        </w:rPr>
        <w:t>010-88321717</w:t>
      </w:r>
      <w:r>
        <w:rPr/>
        <w:t>、</w:t>
      </w:r>
      <w:r>
        <w:rPr>
          <w:rFonts w:ascii="Times New Roman" w:eastAsia="Times New Roman"/>
          <w:spacing w:val="-3"/>
        </w:rPr>
        <w:t>18500505235 </w:t>
      </w:r>
      <w:r>
        <w:rPr/>
        <w:t>传真：</w:t>
      </w:r>
      <w:r>
        <w:rPr>
          <w:rFonts w:ascii="Times New Roman" w:eastAsia="Times New Roman"/>
        </w:rPr>
        <w:t>010-88321763</w:t>
      </w:r>
    </w:p>
    <w:p>
      <w:pPr>
        <w:pStyle w:val="BodyText"/>
        <w:ind w:left="1260"/>
      </w:pPr>
      <w:r>
        <w:rPr/>
        <w:t>联系人：唐昌田</w:t>
      </w:r>
    </w:p>
    <w:p>
      <w:pPr>
        <w:pStyle w:val="BodyText"/>
        <w:spacing w:before="6"/>
        <w:rPr>
          <w:sz w:val="15"/>
        </w:rPr>
      </w:pPr>
    </w:p>
    <w:p>
      <w:pPr>
        <w:pStyle w:val="BodyText"/>
        <w:spacing w:line="417" w:lineRule="auto"/>
        <w:ind w:left="1260" w:right="6674"/>
        <w:rPr>
          <w:rFonts w:ascii="Times New Roman" w:eastAsia="Times New Roman"/>
        </w:rPr>
      </w:pPr>
      <w:r>
        <w:rPr/>
        <w:t>网址：</w:t>
      </w:r>
      <w:hyperlink r:id="rId205">
        <w:r>
          <w:rPr>
            <w:rFonts w:ascii="Times New Roman" w:eastAsia="Times New Roman"/>
          </w:rPr>
          <w:t>www.tpyzq.com </w:t>
        </w:r>
      </w:hyperlink>
      <w:r>
        <w:rPr/>
        <w:t>客户服务电话：</w:t>
      </w:r>
      <w:r>
        <w:rPr>
          <w:rFonts w:ascii="Times New Roman" w:eastAsia="Times New Roman"/>
        </w:rPr>
        <w:t>95397</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开源证券股份有限公司</w:t>
      </w:r>
    </w:p>
    <w:p>
      <w:pPr>
        <w:pStyle w:val="BodyText"/>
        <w:spacing w:before="7"/>
        <w:rPr>
          <w:sz w:val="15"/>
        </w:rPr>
      </w:pPr>
    </w:p>
    <w:p>
      <w:pPr>
        <w:pStyle w:val="BodyText"/>
        <w:ind w:left="1260"/>
      </w:pPr>
      <w:r>
        <w:rPr/>
        <w:t>住所：陕西省西安市高新区锦业路</w:t>
      </w:r>
      <w:r>
        <w:rPr>
          <w:rFonts w:ascii="Times New Roman" w:eastAsia="Times New Roman"/>
        </w:rPr>
        <w:t>1</w:t>
      </w:r>
      <w:r>
        <w:rPr/>
        <w:t>号都市之门</w:t>
      </w:r>
      <w:r>
        <w:rPr>
          <w:rFonts w:ascii="Times New Roman" w:eastAsia="Times New Roman"/>
        </w:rPr>
        <w:t>B</w:t>
      </w:r>
      <w:r>
        <w:rPr/>
        <w:t>座</w:t>
      </w:r>
      <w:r>
        <w:rPr>
          <w:rFonts w:ascii="Times New Roman" w:eastAsia="Times New Roman"/>
        </w:rPr>
        <w:t>5</w:t>
      </w:r>
      <w:r>
        <w:rPr/>
        <w:t>层</w:t>
      </w:r>
    </w:p>
    <w:p>
      <w:pPr>
        <w:pStyle w:val="BodyText"/>
        <w:spacing w:before="6"/>
        <w:rPr>
          <w:sz w:val="15"/>
        </w:rPr>
      </w:pPr>
    </w:p>
    <w:p>
      <w:pPr>
        <w:pStyle w:val="BodyText"/>
        <w:spacing w:line="417" w:lineRule="auto" w:before="1"/>
        <w:ind w:left="1260" w:right="3330"/>
      </w:pPr>
      <w:r>
        <w:rPr/>
        <w:t>办公地址：陕西省西安市高新区锦业路</w:t>
      </w:r>
      <w:r>
        <w:rPr>
          <w:rFonts w:ascii="Times New Roman" w:eastAsia="Times New Roman"/>
        </w:rPr>
        <w:t>1</w:t>
      </w:r>
      <w:r>
        <w:rPr/>
        <w:t>号都市之门</w:t>
      </w:r>
      <w:r>
        <w:rPr>
          <w:rFonts w:ascii="Times New Roman" w:eastAsia="Times New Roman"/>
        </w:rPr>
        <w:t>B</w:t>
      </w:r>
      <w:r>
        <w:rPr/>
        <w:t>座</w:t>
      </w:r>
      <w:r>
        <w:rPr>
          <w:rFonts w:ascii="Times New Roman" w:eastAsia="Times New Roman"/>
        </w:rPr>
        <w:t>5</w:t>
      </w:r>
      <w:r>
        <w:rPr/>
        <w:t>层法定代表人：李刚</w:t>
      </w:r>
    </w:p>
    <w:p>
      <w:pPr>
        <w:pStyle w:val="BodyText"/>
        <w:spacing w:line="417" w:lineRule="auto"/>
        <w:ind w:left="1260" w:right="6873"/>
        <w:rPr>
          <w:rFonts w:ascii="Times New Roman" w:eastAsia="Times New Roman"/>
        </w:rPr>
      </w:pPr>
      <w:r>
        <w:rPr/>
        <w:t>电话：</w:t>
      </w:r>
      <w:r>
        <w:rPr>
          <w:rFonts w:ascii="Times New Roman" w:eastAsia="Times New Roman"/>
        </w:rPr>
        <w:t>029-88447611 </w:t>
      </w:r>
      <w:r>
        <w:rPr/>
        <w:t>传真：</w:t>
      </w:r>
      <w:r>
        <w:rPr>
          <w:rFonts w:ascii="Times New Roman" w:eastAsia="Times New Roman"/>
        </w:rPr>
        <w:t>029-88447611</w:t>
      </w:r>
    </w:p>
    <w:p>
      <w:pPr>
        <w:pStyle w:val="BodyText"/>
        <w:spacing w:line="269" w:lineRule="exact"/>
        <w:ind w:left="1260"/>
      </w:pPr>
      <w:r>
        <w:rPr/>
        <w:t>联系人：曹欣</w:t>
      </w:r>
    </w:p>
    <w:p>
      <w:pPr>
        <w:pStyle w:val="BodyText"/>
        <w:spacing w:before="6"/>
        <w:rPr>
          <w:sz w:val="15"/>
        </w:rPr>
      </w:pPr>
    </w:p>
    <w:p>
      <w:pPr>
        <w:pStyle w:val="BodyText"/>
        <w:spacing w:before="1"/>
        <w:ind w:left="1260"/>
        <w:rPr>
          <w:rFonts w:ascii="Times New Roman" w:eastAsia="Times New Roman"/>
        </w:rPr>
      </w:pPr>
      <w:r>
        <w:rPr/>
        <w:t>网址：</w:t>
      </w:r>
      <w:hyperlink r:id="rId206">
        <w:r>
          <w:rPr>
            <w:rFonts w:ascii="Times New Roman" w:eastAsia="Times New Roman"/>
          </w:rPr>
          <w:t>www.kysec.cn</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95325</w:t>
      </w:r>
      <w:r>
        <w:rPr/>
        <w:t>、</w:t>
      </w:r>
      <w:r>
        <w:rPr>
          <w:rFonts w:ascii="Times New Roman" w:eastAsia="Times New Roman"/>
        </w:rPr>
        <w:t>400-860-8866</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川财证券有限责任公司</w:t>
      </w:r>
    </w:p>
    <w:p>
      <w:pPr>
        <w:pStyle w:val="BodyText"/>
        <w:spacing w:before="7"/>
        <w:rPr>
          <w:sz w:val="15"/>
        </w:rPr>
      </w:pPr>
    </w:p>
    <w:p>
      <w:pPr>
        <w:pStyle w:val="BodyText"/>
        <w:spacing w:line="417" w:lineRule="auto" w:before="1"/>
        <w:ind w:left="1260" w:right="1121"/>
      </w:pPr>
      <w:r>
        <w:rPr/>
        <w:t>住所：中国（四川）自由贸易试验区成都市高新区交子大道</w:t>
      </w:r>
      <w:r>
        <w:rPr>
          <w:rFonts w:ascii="Times New Roman" w:eastAsia="Times New Roman"/>
        </w:rPr>
        <w:t>177</w:t>
      </w:r>
      <w:r>
        <w:rPr/>
        <w:t>号中海国际</w:t>
      </w:r>
      <w:r>
        <w:rPr>
          <w:rFonts w:ascii="Times New Roman" w:eastAsia="Times New Roman"/>
        </w:rPr>
        <w:t>B</w:t>
      </w:r>
      <w:r>
        <w:rPr/>
        <w:t>座</w:t>
      </w:r>
      <w:r>
        <w:rPr>
          <w:rFonts w:ascii="Times New Roman" w:eastAsia="Times New Roman"/>
        </w:rPr>
        <w:t>17</w:t>
      </w:r>
      <w:r>
        <w:rPr/>
        <w:t>楼办公地址：成都市高新区交子大道</w:t>
      </w:r>
      <w:r>
        <w:rPr>
          <w:rFonts w:ascii="Times New Roman" w:eastAsia="Times New Roman"/>
        </w:rPr>
        <w:t>177</w:t>
      </w:r>
      <w:r>
        <w:rPr/>
        <w:t>号中海国际</w:t>
      </w:r>
      <w:r>
        <w:rPr>
          <w:rFonts w:ascii="Times New Roman" w:eastAsia="Times New Roman"/>
        </w:rPr>
        <w:t>B</w:t>
      </w:r>
      <w:r>
        <w:rPr/>
        <w:t>座</w:t>
      </w:r>
      <w:r>
        <w:rPr>
          <w:rFonts w:ascii="Times New Roman" w:eastAsia="Times New Roman"/>
        </w:rPr>
        <w:t>17</w:t>
      </w:r>
      <w:r>
        <w:rPr/>
        <w:t>楼</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1260" w:right="6830"/>
        <w:jc w:val="both"/>
        <w:rPr>
          <w:rFonts w:ascii="Times New Roman" w:eastAsia="Times New Roman"/>
        </w:rPr>
      </w:pPr>
      <w:r>
        <w:rPr/>
        <w:t>法定代表人：孟建军电话：</w:t>
      </w:r>
      <w:r>
        <w:rPr>
          <w:rFonts w:ascii="Times New Roman" w:eastAsia="Times New Roman"/>
        </w:rPr>
        <w:t>028-86583053 </w:t>
      </w:r>
      <w:r>
        <w:rPr/>
        <w:t>传真：</w:t>
      </w:r>
      <w:r>
        <w:rPr>
          <w:rFonts w:ascii="Times New Roman" w:eastAsia="Times New Roman"/>
        </w:rPr>
        <w:t>028-86583002</w:t>
      </w:r>
    </w:p>
    <w:p>
      <w:pPr>
        <w:pStyle w:val="BodyText"/>
        <w:spacing w:line="269" w:lineRule="exact"/>
        <w:ind w:left="1260"/>
      </w:pPr>
      <w:r>
        <w:rPr/>
        <w:t>联系人：匡婷</w:t>
      </w:r>
    </w:p>
    <w:p>
      <w:pPr>
        <w:pStyle w:val="BodyText"/>
        <w:spacing w:before="7"/>
        <w:rPr>
          <w:sz w:val="15"/>
        </w:rPr>
      </w:pPr>
    </w:p>
    <w:p>
      <w:pPr>
        <w:pStyle w:val="BodyText"/>
        <w:ind w:left="1260"/>
        <w:rPr>
          <w:rFonts w:ascii="Times New Roman" w:eastAsia="Times New Roman"/>
        </w:rPr>
      </w:pPr>
      <w:r>
        <w:rPr/>
        <w:t>网址：</w:t>
      </w:r>
      <w:hyperlink r:id="rId207">
        <w:r>
          <w:rPr>
            <w:rFonts w:ascii="Times New Roman" w:eastAsia="Times New Roman"/>
          </w:rPr>
          <w:t>http://www.cczp.com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028-86585518</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联储证券有限责任公司</w:t>
      </w:r>
    </w:p>
    <w:p>
      <w:pPr>
        <w:pStyle w:val="BodyText"/>
        <w:spacing w:before="7"/>
        <w:rPr>
          <w:sz w:val="15"/>
        </w:rPr>
      </w:pPr>
    </w:p>
    <w:p>
      <w:pPr>
        <w:pStyle w:val="BodyText"/>
        <w:spacing w:line="417" w:lineRule="auto"/>
        <w:ind w:left="1260" w:right="2312"/>
      </w:pPr>
      <w:r>
        <w:rPr>
          <w:spacing w:val="-3"/>
        </w:rPr>
        <w:t>住所：深圳市福田区福田街道岗厦社区深南大道南侧金地中心大厦</w:t>
      </w:r>
      <w:r>
        <w:rPr>
          <w:rFonts w:ascii="Times New Roman" w:eastAsia="Times New Roman"/>
        </w:rPr>
        <w:t>9</w:t>
      </w:r>
      <w:r>
        <w:rPr/>
        <w:t>楼</w:t>
      </w:r>
      <w:r>
        <w:rPr>
          <w:spacing w:val="-3"/>
        </w:rPr>
        <w:t>办公地址：北京市朝阳区安定路</w:t>
      </w:r>
      <w:r>
        <w:rPr>
          <w:rFonts w:ascii="Times New Roman" w:eastAsia="Times New Roman"/>
        </w:rPr>
        <w:t>5</w:t>
      </w:r>
      <w:r>
        <w:rPr>
          <w:spacing w:val="-2"/>
        </w:rPr>
        <w:t>号院</w:t>
      </w:r>
      <w:r>
        <w:rPr>
          <w:rFonts w:ascii="Times New Roman" w:eastAsia="Times New Roman"/>
        </w:rPr>
        <w:t>3</w:t>
      </w:r>
      <w:r>
        <w:rPr>
          <w:spacing w:val="-3"/>
        </w:rPr>
        <w:t>号楼中建财富国际中心</w:t>
      </w:r>
      <w:r>
        <w:rPr>
          <w:rFonts w:ascii="Times New Roman" w:eastAsia="Times New Roman"/>
        </w:rPr>
        <w:t>27</w:t>
      </w:r>
      <w:r>
        <w:rPr/>
        <w:t>层  </w:t>
      </w:r>
      <w:r>
        <w:rPr>
          <w:spacing w:val="-3"/>
        </w:rPr>
        <w:t>法定代表人：吕春卫</w:t>
      </w:r>
    </w:p>
    <w:p>
      <w:pPr>
        <w:pStyle w:val="BodyText"/>
        <w:spacing w:line="417" w:lineRule="auto"/>
        <w:ind w:left="1260" w:right="6866"/>
        <w:rPr>
          <w:rFonts w:ascii="Times New Roman" w:eastAsia="Times New Roman"/>
        </w:rPr>
      </w:pPr>
      <w:r>
        <w:rPr/>
        <w:t>电话：</w:t>
      </w:r>
      <w:r>
        <w:rPr>
          <w:rFonts w:ascii="Times New Roman" w:eastAsia="Times New Roman"/>
        </w:rPr>
        <w:t>010-86499427 </w:t>
      </w:r>
      <w:r>
        <w:rPr/>
        <w:t>传真：</w:t>
      </w:r>
      <w:r>
        <w:rPr>
          <w:rFonts w:ascii="Times New Roman" w:eastAsia="Times New Roman"/>
        </w:rPr>
        <w:t>010-86499401</w:t>
      </w:r>
    </w:p>
    <w:p>
      <w:pPr>
        <w:pStyle w:val="BodyText"/>
        <w:spacing w:line="269" w:lineRule="exact"/>
        <w:ind w:left="1260"/>
      </w:pPr>
      <w:r>
        <w:rPr/>
        <w:t>联系人：丁倩云</w:t>
      </w:r>
    </w:p>
    <w:p>
      <w:pPr>
        <w:pStyle w:val="BodyText"/>
        <w:spacing w:before="6"/>
        <w:rPr>
          <w:sz w:val="15"/>
        </w:rPr>
      </w:pPr>
    </w:p>
    <w:p>
      <w:pPr>
        <w:pStyle w:val="BodyText"/>
        <w:spacing w:before="1"/>
        <w:ind w:left="1260"/>
        <w:rPr>
          <w:rFonts w:ascii="Times New Roman" w:eastAsia="Times New Roman"/>
        </w:rPr>
      </w:pPr>
      <w:r>
        <w:rPr/>
        <w:t>网址：</w:t>
      </w:r>
      <w:hyperlink r:id="rId208">
        <w:r>
          <w:rPr>
            <w:rFonts w:ascii="Times New Roman" w:eastAsia="Times New Roman"/>
          </w:rPr>
          <w:t>www.lczq.com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400-620-6868</w:t>
      </w:r>
    </w:p>
    <w:p>
      <w:pPr>
        <w:pStyle w:val="BodyText"/>
        <w:spacing w:before="4"/>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华瑞保险销售有限公司</w:t>
      </w:r>
    </w:p>
    <w:p>
      <w:pPr>
        <w:pStyle w:val="BodyText"/>
        <w:spacing w:before="6"/>
        <w:rPr>
          <w:sz w:val="15"/>
        </w:rPr>
      </w:pPr>
    </w:p>
    <w:p>
      <w:pPr>
        <w:pStyle w:val="BodyText"/>
        <w:spacing w:line="417" w:lineRule="auto" w:before="1"/>
        <w:ind w:left="1260" w:right="1858"/>
        <w:rPr>
          <w:rFonts w:ascii="Times New Roman" w:eastAsia="Times New Roman"/>
        </w:rPr>
      </w:pPr>
      <w:r>
        <w:rPr/>
        <w:t>住所：上海市嘉定区南翔镇众仁路</w:t>
      </w:r>
      <w:r>
        <w:rPr>
          <w:rFonts w:ascii="Times New Roman" w:eastAsia="Times New Roman"/>
        </w:rPr>
        <w:t>399</w:t>
      </w:r>
      <w:r>
        <w:rPr/>
        <w:t>号运通星财富广场</w:t>
      </w:r>
      <w:r>
        <w:rPr>
          <w:rFonts w:ascii="Times New Roman" w:eastAsia="Times New Roman"/>
        </w:rPr>
        <w:t>1</w:t>
      </w:r>
      <w:r>
        <w:rPr/>
        <w:t>号楼</w:t>
      </w:r>
      <w:r>
        <w:rPr>
          <w:rFonts w:ascii="Times New Roman" w:eastAsia="Times New Roman"/>
        </w:rPr>
        <w:t>B</w:t>
      </w:r>
      <w:r>
        <w:rPr/>
        <w:t>座</w:t>
      </w:r>
      <w:r>
        <w:rPr>
          <w:rFonts w:ascii="Times New Roman" w:eastAsia="Times New Roman"/>
        </w:rPr>
        <w:t>13</w:t>
      </w:r>
      <w:r>
        <w:rPr/>
        <w:t>、</w:t>
      </w:r>
      <w:r>
        <w:rPr>
          <w:rFonts w:ascii="Times New Roman" w:eastAsia="Times New Roman"/>
        </w:rPr>
        <w:t>14</w:t>
      </w:r>
      <w:r>
        <w:rPr/>
        <w:t>层办公地址：上海市浦东新区向城路</w:t>
      </w:r>
      <w:r>
        <w:rPr>
          <w:rFonts w:ascii="Times New Roman" w:eastAsia="Times New Roman"/>
        </w:rPr>
        <w:t>288</w:t>
      </w:r>
      <w:r>
        <w:rPr/>
        <w:t>号国华人寿金融大厦</w:t>
      </w:r>
      <w:r>
        <w:rPr>
          <w:rFonts w:ascii="Times New Roman" w:eastAsia="Times New Roman"/>
        </w:rPr>
        <w:t>8</w:t>
      </w:r>
      <w:r>
        <w:rPr/>
        <w:t>层</w:t>
      </w:r>
      <w:r>
        <w:rPr>
          <w:rFonts w:ascii="Times New Roman" w:eastAsia="Times New Roman"/>
        </w:rPr>
        <w:t>806</w:t>
      </w:r>
    </w:p>
    <w:p>
      <w:pPr>
        <w:pStyle w:val="BodyText"/>
        <w:spacing w:line="417" w:lineRule="auto"/>
        <w:ind w:left="1260" w:right="6804"/>
        <w:rPr>
          <w:rFonts w:ascii="Times New Roman" w:eastAsia="Times New Roman"/>
        </w:rPr>
      </w:pPr>
      <w:r>
        <w:rPr/>
        <w:t>法定代表人：路昊电话：</w:t>
      </w:r>
      <w:r>
        <w:rPr>
          <w:rFonts w:ascii="Times New Roman" w:eastAsia="Times New Roman"/>
        </w:rPr>
        <w:t>021-68595698 </w:t>
      </w:r>
      <w:r>
        <w:rPr/>
        <w:t>传真：</w:t>
      </w:r>
      <w:r>
        <w:rPr>
          <w:rFonts w:ascii="Times New Roman" w:eastAsia="Times New Roman"/>
        </w:rPr>
        <w:t>021-68595766</w:t>
      </w:r>
    </w:p>
    <w:p>
      <w:pPr>
        <w:pStyle w:val="BodyText"/>
        <w:ind w:left="1260"/>
      </w:pPr>
      <w:r>
        <w:rPr/>
        <w:t>联系人：茆勇强</w:t>
      </w:r>
    </w:p>
    <w:p>
      <w:pPr>
        <w:pStyle w:val="BodyText"/>
        <w:spacing w:before="6"/>
        <w:rPr>
          <w:sz w:val="15"/>
        </w:rPr>
      </w:pPr>
    </w:p>
    <w:p>
      <w:pPr>
        <w:pStyle w:val="BodyText"/>
        <w:spacing w:line="417" w:lineRule="auto"/>
        <w:ind w:left="1260" w:right="6196"/>
        <w:rPr>
          <w:rFonts w:ascii="Times New Roman" w:eastAsia="Times New Roman"/>
        </w:rPr>
      </w:pPr>
      <w:r>
        <w:rPr/>
        <w:t>网址：</w:t>
      </w:r>
      <w:hyperlink r:id="rId209">
        <w:r>
          <w:rPr>
            <w:rFonts w:ascii="Times New Roman" w:eastAsia="Times New Roman"/>
          </w:rPr>
          <w:t>www.huaruisales.com </w:t>
        </w:r>
      </w:hyperlink>
      <w:r>
        <w:rPr/>
        <w:t>客户服务电话：</w:t>
      </w:r>
      <w:r>
        <w:rPr>
          <w:rFonts w:ascii="Times New Roman" w:eastAsia="Times New Roman"/>
        </w:rPr>
        <w:t>952303</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玄元保险代理有限公司</w:t>
      </w:r>
    </w:p>
    <w:p>
      <w:pPr>
        <w:pStyle w:val="BodyText"/>
        <w:spacing w:before="7"/>
        <w:rPr>
          <w:sz w:val="15"/>
        </w:rPr>
      </w:pPr>
    </w:p>
    <w:p>
      <w:pPr>
        <w:pStyle w:val="BodyText"/>
        <w:ind w:left="1260"/>
      </w:pPr>
      <w:r>
        <w:rPr/>
        <w:t>住所：中国（上海）自由贸易试验区张杨路</w:t>
      </w:r>
      <w:r>
        <w:rPr>
          <w:rFonts w:ascii="Times New Roman" w:eastAsia="Times New Roman"/>
        </w:rPr>
        <w:t>707</w:t>
      </w:r>
      <w:r>
        <w:rPr/>
        <w:t>号</w:t>
      </w:r>
      <w:r>
        <w:rPr>
          <w:rFonts w:ascii="Times New Roman" w:eastAsia="Times New Roman"/>
        </w:rPr>
        <w:t>1105</w:t>
      </w:r>
      <w:r>
        <w:rPr/>
        <w:t>室</w:t>
      </w:r>
    </w:p>
    <w:p>
      <w:pPr>
        <w:pStyle w:val="BodyText"/>
        <w:spacing w:before="6"/>
        <w:rPr>
          <w:sz w:val="15"/>
        </w:rPr>
      </w:pPr>
    </w:p>
    <w:p>
      <w:pPr>
        <w:pStyle w:val="BodyText"/>
        <w:spacing w:line="417" w:lineRule="auto" w:before="1"/>
        <w:ind w:left="1260" w:right="3162"/>
      </w:pPr>
      <w:r>
        <w:rPr/>
        <w:t>办公地址：中国（上海）自由贸易试验区张杨路</w:t>
      </w:r>
      <w:r>
        <w:rPr>
          <w:rFonts w:ascii="Times New Roman" w:eastAsia="Times New Roman"/>
        </w:rPr>
        <w:t>707</w:t>
      </w:r>
      <w:r>
        <w:rPr/>
        <w:t>号</w:t>
      </w:r>
      <w:r>
        <w:rPr>
          <w:rFonts w:ascii="Times New Roman" w:eastAsia="Times New Roman"/>
        </w:rPr>
        <w:t>1105</w:t>
      </w:r>
      <w:r>
        <w:rPr/>
        <w:t>室法定代表人：马永谙</w:t>
      </w:r>
    </w:p>
    <w:p>
      <w:pPr>
        <w:pStyle w:val="BodyText"/>
        <w:spacing w:line="417" w:lineRule="auto"/>
        <w:ind w:left="1260" w:right="6866"/>
        <w:rPr>
          <w:rFonts w:ascii="Times New Roman" w:eastAsia="Times New Roman"/>
        </w:rPr>
      </w:pPr>
      <w:r>
        <w:rPr/>
        <w:t>电话：</w:t>
      </w:r>
      <w:r>
        <w:rPr>
          <w:rFonts w:ascii="Times New Roman" w:eastAsia="Times New Roman"/>
        </w:rPr>
        <w:t>13752528013 </w:t>
      </w:r>
      <w:r>
        <w:rPr/>
        <w:t>传真：</w:t>
      </w:r>
      <w:r>
        <w:rPr>
          <w:rFonts w:ascii="Times New Roman" w:eastAsia="Times New Roman"/>
        </w:rPr>
        <w:t>021-50701053</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11"/>
        <w:rPr>
          <w:rFonts w:ascii="Times New Roman"/>
          <w:sz w:val="13"/>
        </w:rPr>
      </w:pPr>
    </w:p>
    <w:p>
      <w:pPr>
        <w:pStyle w:val="BodyText"/>
        <w:spacing w:before="72"/>
        <w:ind w:left="1260"/>
      </w:pPr>
      <w:r>
        <w:rPr/>
        <w:t>联系人：卢亚博</w:t>
      </w:r>
    </w:p>
    <w:p>
      <w:pPr>
        <w:pStyle w:val="BodyText"/>
        <w:spacing w:before="6"/>
        <w:rPr>
          <w:sz w:val="15"/>
        </w:rPr>
      </w:pPr>
    </w:p>
    <w:p>
      <w:pPr>
        <w:pStyle w:val="BodyText"/>
        <w:spacing w:line="417" w:lineRule="auto"/>
        <w:ind w:left="1260" w:right="4564"/>
        <w:rPr>
          <w:rFonts w:ascii="Times New Roman" w:eastAsia="Times New Roman"/>
        </w:rPr>
      </w:pPr>
      <w:r>
        <w:rPr/>
        <w:t>网址：</w:t>
      </w:r>
      <w:r>
        <w:rPr>
          <w:rFonts w:ascii="Times New Roman" w:eastAsia="Times New Roman"/>
        </w:rPr>
        <w:t>http://www.xyinsure.com:7100/kfit_xybx </w:t>
      </w:r>
      <w:r>
        <w:rPr/>
        <w:t>客户服务电话：</w:t>
      </w:r>
      <w:r>
        <w:rPr>
          <w:rFonts w:ascii="Times New Roman" w:eastAsia="Times New Roman"/>
        </w:rPr>
        <w:t>400-080-8208</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阳光人寿保险股份有限公司</w:t>
      </w:r>
    </w:p>
    <w:p>
      <w:pPr>
        <w:pStyle w:val="BodyText"/>
        <w:spacing w:before="7"/>
        <w:rPr>
          <w:sz w:val="15"/>
        </w:rPr>
      </w:pPr>
    </w:p>
    <w:p>
      <w:pPr>
        <w:pStyle w:val="BodyText"/>
        <w:ind w:left="1260"/>
      </w:pPr>
      <w:r>
        <w:rPr/>
        <w:t>住所：海南省三亚市迎宾路</w:t>
      </w:r>
      <w:r>
        <w:rPr>
          <w:rFonts w:ascii="Times New Roman" w:eastAsia="Times New Roman"/>
        </w:rPr>
        <w:t>360-1</w:t>
      </w:r>
      <w:r>
        <w:rPr/>
        <w:t>号三亚阳光金融广场</w:t>
      </w:r>
      <w:r>
        <w:rPr>
          <w:rFonts w:ascii="Times New Roman" w:eastAsia="Times New Roman"/>
        </w:rPr>
        <w:t>16</w:t>
      </w:r>
      <w:r>
        <w:rPr/>
        <w:t>层</w:t>
      </w:r>
    </w:p>
    <w:p>
      <w:pPr>
        <w:pStyle w:val="BodyText"/>
        <w:spacing w:before="7"/>
        <w:rPr>
          <w:sz w:val="15"/>
        </w:rPr>
      </w:pPr>
    </w:p>
    <w:p>
      <w:pPr>
        <w:pStyle w:val="BodyText"/>
        <w:spacing w:line="417" w:lineRule="auto"/>
        <w:ind w:left="1260" w:right="2315"/>
      </w:pPr>
      <w:r>
        <w:rPr/>
        <w:t>办公地址：北京市朝阳区朝阳门外大街乙</w:t>
      </w:r>
      <w:r>
        <w:rPr>
          <w:rFonts w:ascii="Times New Roman" w:eastAsia="Times New Roman"/>
        </w:rPr>
        <w:t>12</w:t>
      </w:r>
      <w:r>
        <w:rPr/>
        <w:t>号院</w:t>
      </w:r>
      <w:r>
        <w:rPr>
          <w:rFonts w:ascii="Times New Roman" w:eastAsia="Times New Roman"/>
        </w:rPr>
        <w:t>1</w:t>
      </w:r>
      <w:r>
        <w:rPr/>
        <w:t>号昆泰国际大厦</w:t>
      </w:r>
      <w:r>
        <w:rPr>
          <w:rFonts w:ascii="Times New Roman" w:eastAsia="Times New Roman"/>
        </w:rPr>
        <w:t>12</w:t>
      </w:r>
      <w:r>
        <w:rPr/>
        <w:t>层法定代表人：李科</w:t>
      </w:r>
    </w:p>
    <w:p>
      <w:pPr>
        <w:pStyle w:val="BodyText"/>
        <w:spacing w:line="417" w:lineRule="auto"/>
        <w:ind w:left="1260" w:right="6866"/>
        <w:rPr>
          <w:rFonts w:ascii="Times New Roman" w:eastAsia="Times New Roman"/>
        </w:rPr>
      </w:pPr>
      <w:r>
        <w:rPr/>
        <w:t>电话：</w:t>
      </w:r>
      <w:r>
        <w:rPr>
          <w:rFonts w:ascii="Times New Roman" w:eastAsia="Times New Roman"/>
        </w:rPr>
        <w:t>010-85632771 </w:t>
      </w:r>
      <w:r>
        <w:rPr/>
        <w:t>传真：</w:t>
      </w:r>
      <w:r>
        <w:rPr>
          <w:rFonts w:ascii="Times New Roman" w:eastAsia="Times New Roman"/>
        </w:rPr>
        <w:t>010-85632773</w:t>
      </w:r>
    </w:p>
    <w:p>
      <w:pPr>
        <w:pStyle w:val="BodyText"/>
        <w:spacing w:line="269" w:lineRule="exact"/>
        <w:ind w:left="1260"/>
      </w:pPr>
      <w:r>
        <w:rPr/>
        <w:t>联系人：王超</w:t>
      </w:r>
    </w:p>
    <w:p>
      <w:pPr>
        <w:pStyle w:val="BodyText"/>
        <w:spacing w:before="7"/>
        <w:rPr>
          <w:sz w:val="15"/>
        </w:rPr>
      </w:pPr>
    </w:p>
    <w:p>
      <w:pPr>
        <w:pStyle w:val="BodyText"/>
        <w:spacing w:line="417" w:lineRule="auto"/>
        <w:ind w:left="1260" w:right="6090"/>
        <w:rPr>
          <w:rFonts w:ascii="Times New Roman" w:eastAsia="Times New Roman"/>
        </w:rPr>
      </w:pPr>
      <w:r>
        <w:rPr/>
        <w:t>网址：</w:t>
      </w:r>
      <w:hyperlink r:id="rId210">
        <w:r>
          <w:rPr>
            <w:rFonts w:ascii="Times New Roman" w:eastAsia="Times New Roman"/>
          </w:rPr>
          <w:t>http://fund.sinosig.com/ </w:t>
        </w:r>
      </w:hyperlink>
      <w:r>
        <w:rPr/>
        <w:t>客户服务电话：</w:t>
      </w:r>
      <w:r>
        <w:rPr>
          <w:rFonts w:ascii="Times New Roman" w:eastAsia="Times New Roman"/>
        </w:rPr>
        <w:t>95510</w:t>
      </w:r>
    </w:p>
    <w:p>
      <w:pPr>
        <w:pStyle w:val="ListParagraph"/>
        <w:numPr>
          <w:ilvl w:val="0"/>
          <w:numId w:val="8"/>
        </w:numPr>
        <w:tabs>
          <w:tab w:pos="1999" w:val="left" w:leader="none"/>
        </w:tabs>
        <w:spacing w:line="269" w:lineRule="exact" w:before="0" w:after="0"/>
        <w:ind w:left="1998" w:right="0" w:hanging="739"/>
        <w:jc w:val="left"/>
        <w:rPr>
          <w:sz w:val="21"/>
        </w:rPr>
      </w:pPr>
      <w:r>
        <w:rPr>
          <w:spacing w:val="-3"/>
          <w:sz w:val="21"/>
        </w:rPr>
        <w:t>和谐保险销售有限公司</w:t>
      </w:r>
    </w:p>
    <w:p>
      <w:pPr>
        <w:pStyle w:val="BodyText"/>
        <w:spacing w:before="6"/>
        <w:rPr>
          <w:sz w:val="15"/>
        </w:rPr>
      </w:pPr>
    </w:p>
    <w:p>
      <w:pPr>
        <w:pStyle w:val="BodyText"/>
        <w:spacing w:before="1"/>
        <w:ind w:left="1260"/>
        <w:rPr>
          <w:rFonts w:ascii="Times New Roman" w:eastAsia="Times New Roman"/>
        </w:rPr>
      </w:pPr>
      <w:r>
        <w:rPr/>
        <w:t>住所：北京市朝阳区东三环中路</w:t>
      </w:r>
      <w:r>
        <w:rPr>
          <w:rFonts w:ascii="Times New Roman" w:eastAsia="Times New Roman"/>
        </w:rPr>
        <w:t>55</w:t>
      </w:r>
      <w:r>
        <w:rPr/>
        <w:t>号楼</w:t>
      </w:r>
      <w:r>
        <w:rPr>
          <w:rFonts w:ascii="Times New Roman" w:eastAsia="Times New Roman"/>
        </w:rPr>
        <w:t>20</w:t>
      </w:r>
      <w:r>
        <w:rPr/>
        <w:t>层</w:t>
      </w:r>
      <w:r>
        <w:rPr>
          <w:rFonts w:ascii="Times New Roman" w:eastAsia="Times New Roman"/>
        </w:rPr>
        <w:t>2302</w:t>
      </w:r>
    </w:p>
    <w:p>
      <w:pPr>
        <w:pStyle w:val="BodyText"/>
        <w:spacing w:before="3"/>
        <w:rPr>
          <w:rFonts w:ascii="Times New Roman"/>
          <w:sz w:val="17"/>
        </w:rPr>
      </w:pPr>
    </w:p>
    <w:p>
      <w:pPr>
        <w:pStyle w:val="BodyText"/>
        <w:spacing w:line="417" w:lineRule="auto"/>
        <w:ind w:left="1260" w:right="3575"/>
      </w:pPr>
      <w:r>
        <w:rPr/>
        <w:t>办公地址：北京市朝阳区建国门外大街</w:t>
      </w:r>
      <w:r>
        <w:rPr>
          <w:rFonts w:ascii="Times New Roman" w:eastAsia="Times New Roman"/>
        </w:rPr>
        <w:t>3</w:t>
      </w:r>
      <w:r>
        <w:rPr/>
        <w:t>号安邦金融中心法定代表人：蒋洪</w:t>
      </w:r>
    </w:p>
    <w:p>
      <w:pPr>
        <w:pStyle w:val="BodyText"/>
        <w:spacing w:line="269" w:lineRule="exact"/>
        <w:ind w:left="1260"/>
        <w:rPr>
          <w:rFonts w:ascii="Times New Roman" w:eastAsia="Times New Roman"/>
        </w:rPr>
      </w:pPr>
      <w:r>
        <w:rPr/>
        <w:t>电话：</w:t>
      </w:r>
      <w:r>
        <w:rPr>
          <w:rFonts w:ascii="Times New Roman" w:eastAsia="Times New Roman"/>
        </w:rPr>
        <w:t>010-85256214</w:t>
      </w:r>
    </w:p>
    <w:p>
      <w:pPr>
        <w:pStyle w:val="BodyText"/>
        <w:spacing w:before="4"/>
        <w:rPr>
          <w:rFonts w:ascii="Times New Roman"/>
          <w:sz w:val="17"/>
        </w:rPr>
      </w:pPr>
    </w:p>
    <w:p>
      <w:pPr>
        <w:pStyle w:val="BodyText"/>
        <w:ind w:left="1260"/>
      </w:pPr>
      <w:r>
        <w:rPr/>
        <w:t>联系人：张楠</w:t>
      </w:r>
    </w:p>
    <w:p>
      <w:pPr>
        <w:pStyle w:val="BodyText"/>
        <w:spacing w:before="6"/>
        <w:rPr>
          <w:sz w:val="15"/>
        </w:rPr>
      </w:pPr>
    </w:p>
    <w:p>
      <w:pPr>
        <w:pStyle w:val="BodyText"/>
        <w:spacing w:before="1"/>
        <w:ind w:left="1260"/>
        <w:rPr>
          <w:rFonts w:ascii="Times New Roman" w:eastAsia="Times New Roman"/>
        </w:rPr>
      </w:pPr>
      <w:r>
        <w:rPr/>
        <w:t>网址：</w:t>
      </w:r>
      <w:hyperlink r:id="rId211">
        <w:r>
          <w:rPr>
            <w:rFonts w:ascii="Times New Roman" w:eastAsia="Times New Roman"/>
          </w:rPr>
          <w:t>www.hx-sales.com</w:t>
        </w:r>
      </w:hyperlink>
    </w:p>
    <w:p>
      <w:pPr>
        <w:pStyle w:val="BodyText"/>
        <w:spacing w:before="3"/>
        <w:rPr>
          <w:rFonts w:ascii="Times New Roman"/>
          <w:sz w:val="17"/>
        </w:rPr>
      </w:pPr>
    </w:p>
    <w:p>
      <w:pPr>
        <w:pStyle w:val="BodyText"/>
        <w:ind w:left="1260"/>
        <w:rPr>
          <w:rFonts w:ascii="Times New Roman" w:eastAsia="Times New Roman"/>
        </w:rPr>
      </w:pPr>
      <w:r>
        <w:rPr/>
        <w:t>客户服务电话：</w:t>
      </w:r>
      <w:r>
        <w:rPr>
          <w:rFonts w:ascii="Times New Roman" w:eastAsia="Times New Roman"/>
        </w:rPr>
        <w:t>400-819-5569</w:t>
      </w:r>
    </w:p>
    <w:p>
      <w:pPr>
        <w:pStyle w:val="BodyText"/>
        <w:spacing w:before="3"/>
        <w:rPr>
          <w:rFonts w:ascii="Times New Roman"/>
          <w:sz w:val="17"/>
        </w:rPr>
      </w:pPr>
    </w:p>
    <w:p>
      <w:pPr>
        <w:pStyle w:val="ListParagraph"/>
        <w:numPr>
          <w:ilvl w:val="0"/>
          <w:numId w:val="8"/>
        </w:numPr>
        <w:tabs>
          <w:tab w:pos="1999" w:val="left" w:leader="none"/>
        </w:tabs>
        <w:spacing w:line="240" w:lineRule="auto" w:before="0" w:after="0"/>
        <w:ind w:left="1998" w:right="0" w:hanging="739"/>
        <w:jc w:val="left"/>
        <w:rPr>
          <w:sz w:val="21"/>
        </w:rPr>
      </w:pPr>
      <w:r>
        <w:rPr>
          <w:spacing w:val="-3"/>
          <w:sz w:val="21"/>
        </w:rPr>
        <w:t>中国人寿保险股份有限公司</w:t>
      </w:r>
    </w:p>
    <w:p>
      <w:pPr>
        <w:pStyle w:val="BodyText"/>
        <w:spacing w:before="8"/>
        <w:rPr>
          <w:sz w:val="15"/>
        </w:rPr>
      </w:pPr>
    </w:p>
    <w:p>
      <w:pPr>
        <w:pStyle w:val="BodyText"/>
        <w:ind w:left="1260"/>
      </w:pPr>
      <w:r>
        <w:rPr/>
        <w:t>住所：中国北京市西城区金融大街</w:t>
      </w:r>
      <w:r>
        <w:rPr>
          <w:rFonts w:ascii="Times New Roman" w:eastAsia="Times New Roman"/>
        </w:rPr>
        <w:t>16</w:t>
      </w:r>
      <w:r>
        <w:rPr/>
        <w:t>号</w:t>
      </w:r>
    </w:p>
    <w:p>
      <w:pPr>
        <w:pStyle w:val="BodyText"/>
        <w:spacing w:before="6"/>
        <w:rPr>
          <w:sz w:val="15"/>
        </w:rPr>
      </w:pPr>
    </w:p>
    <w:p>
      <w:pPr>
        <w:pStyle w:val="BodyText"/>
        <w:spacing w:line="417" w:lineRule="auto" w:before="1"/>
        <w:ind w:left="1260" w:right="4729"/>
      </w:pPr>
      <w:r>
        <w:rPr/>
        <w:t>办公地址：中国北京市西城区金融大街</w:t>
      </w:r>
      <w:r>
        <w:rPr>
          <w:rFonts w:ascii="Times New Roman" w:eastAsia="Times New Roman"/>
        </w:rPr>
        <w:t>16</w:t>
      </w:r>
      <w:r>
        <w:rPr/>
        <w:t>号法定代表人：王滨</w:t>
      </w:r>
    </w:p>
    <w:p>
      <w:pPr>
        <w:pStyle w:val="BodyText"/>
        <w:spacing w:line="417" w:lineRule="auto"/>
        <w:ind w:left="1260" w:right="6866"/>
        <w:rPr>
          <w:rFonts w:ascii="Times New Roman" w:eastAsia="Times New Roman"/>
        </w:rPr>
      </w:pPr>
      <w:r>
        <w:rPr/>
        <w:t>电话：</w:t>
      </w:r>
      <w:r>
        <w:rPr>
          <w:rFonts w:ascii="Times New Roman" w:eastAsia="Times New Roman"/>
        </w:rPr>
        <w:t>010-63631536 </w:t>
      </w:r>
      <w:r>
        <w:rPr/>
        <w:t>传真：</w:t>
      </w:r>
      <w:r>
        <w:rPr>
          <w:rFonts w:ascii="Times New Roman" w:eastAsia="Times New Roman"/>
        </w:rPr>
        <w:t>010-66222276</w:t>
      </w:r>
    </w:p>
    <w:p>
      <w:pPr>
        <w:pStyle w:val="BodyText"/>
        <w:spacing w:line="269" w:lineRule="exact"/>
        <w:ind w:left="1260"/>
      </w:pPr>
      <w:r>
        <w:rPr/>
        <w:t>联系人：柳亚卿</w:t>
      </w:r>
    </w:p>
    <w:p>
      <w:pPr>
        <w:pStyle w:val="BodyText"/>
        <w:spacing w:before="6"/>
        <w:rPr>
          <w:sz w:val="15"/>
        </w:rPr>
      </w:pPr>
    </w:p>
    <w:p>
      <w:pPr>
        <w:pStyle w:val="BodyText"/>
        <w:spacing w:line="417" w:lineRule="auto"/>
        <w:ind w:left="1260" w:right="6243"/>
        <w:rPr>
          <w:rFonts w:ascii="Times New Roman" w:eastAsia="Times New Roman"/>
        </w:rPr>
      </w:pPr>
      <w:r>
        <w:rPr/>
        <w:t>网址：</w:t>
      </w:r>
      <w:hyperlink r:id="rId212">
        <w:r>
          <w:rPr>
            <w:rFonts w:ascii="Times New Roman" w:eastAsia="Times New Roman"/>
          </w:rPr>
          <w:t>www.e-chinalife.com </w:t>
        </w:r>
      </w:hyperlink>
      <w:r>
        <w:rPr/>
        <w:t>客户服务电话：</w:t>
      </w:r>
      <w:r>
        <w:rPr>
          <w:rFonts w:ascii="Times New Roman" w:eastAsia="Times New Roman"/>
        </w:rPr>
        <w:t>95519</w:t>
      </w:r>
    </w:p>
    <w:p>
      <w:pPr>
        <w:pStyle w:val="BodyText"/>
        <w:ind w:left="1198"/>
      </w:pPr>
      <w:r>
        <w:rPr/>
        <w:t>华夏基金管理有限公司可以根据有关法律法规规定、情况变化增加或者减少销售机构。</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778"/>
      </w:pPr>
      <w:r>
        <w:rPr/>
        <w:t>销售机构可以根据情况变化增加或者减少其销售城市、网点。</w:t>
      </w:r>
    </w:p>
    <w:p>
      <w:pPr>
        <w:pStyle w:val="BodyText"/>
        <w:spacing w:before="7"/>
        <w:rPr>
          <w:sz w:val="15"/>
        </w:rPr>
      </w:pPr>
    </w:p>
    <w:p>
      <w:pPr>
        <w:pStyle w:val="BodyText"/>
        <w:ind w:left="1198"/>
      </w:pPr>
      <w:r>
        <w:rPr/>
        <w:t>（二）注册登记机构</w:t>
      </w:r>
    </w:p>
    <w:p>
      <w:pPr>
        <w:pStyle w:val="BodyText"/>
        <w:spacing w:before="7"/>
        <w:rPr>
          <w:sz w:val="15"/>
        </w:rPr>
      </w:pPr>
    </w:p>
    <w:p>
      <w:pPr>
        <w:pStyle w:val="BodyText"/>
        <w:ind w:left="1198"/>
      </w:pPr>
      <w:r>
        <w:rPr/>
        <w:t>名称：华夏基金管理有限公司</w:t>
      </w:r>
    </w:p>
    <w:p>
      <w:pPr>
        <w:pStyle w:val="BodyText"/>
        <w:spacing w:before="6"/>
        <w:rPr>
          <w:sz w:val="15"/>
        </w:rPr>
      </w:pPr>
    </w:p>
    <w:p>
      <w:pPr>
        <w:pStyle w:val="BodyText"/>
        <w:spacing w:before="1"/>
        <w:ind w:left="1198"/>
      </w:pPr>
      <w:r>
        <w:rPr/>
        <w:t>住所：北京市顺义区安庆大街甲</w:t>
      </w:r>
      <w:r>
        <w:rPr>
          <w:rFonts w:ascii="Times New Roman" w:eastAsia="Times New Roman"/>
        </w:rPr>
        <w:t>3</w:t>
      </w:r>
      <w:r>
        <w:rPr/>
        <w:t>号院</w:t>
      </w:r>
    </w:p>
    <w:p>
      <w:pPr>
        <w:pStyle w:val="BodyText"/>
        <w:spacing w:before="6"/>
        <w:rPr>
          <w:sz w:val="15"/>
        </w:rPr>
      </w:pPr>
    </w:p>
    <w:p>
      <w:pPr>
        <w:pStyle w:val="BodyText"/>
        <w:spacing w:line="417" w:lineRule="auto"/>
        <w:ind w:left="1198" w:right="3707"/>
      </w:pPr>
      <w:r>
        <w:rPr>
          <w:spacing w:val="-3"/>
        </w:rPr>
        <w:t>办公地址：北京市西城区金融大街</w:t>
      </w:r>
      <w:r>
        <w:rPr>
          <w:rFonts w:ascii="Times New Roman" w:eastAsia="Times New Roman"/>
        </w:rPr>
        <w:t>33</w:t>
      </w:r>
      <w:r>
        <w:rPr>
          <w:spacing w:val="-3"/>
        </w:rPr>
        <w:t>号通泰大厦</w:t>
      </w:r>
      <w:r>
        <w:rPr>
          <w:rFonts w:ascii="Times New Roman" w:eastAsia="Times New Roman"/>
        </w:rPr>
        <w:t>B</w:t>
      </w:r>
      <w:r>
        <w:rPr>
          <w:spacing w:val="-3"/>
        </w:rPr>
        <w:t>座</w:t>
      </w:r>
      <w:r>
        <w:rPr>
          <w:rFonts w:ascii="Times New Roman" w:eastAsia="Times New Roman"/>
        </w:rPr>
        <w:t>8</w:t>
      </w:r>
      <w:r>
        <w:rPr/>
        <w:t>层</w:t>
      </w:r>
      <w:r>
        <w:rPr>
          <w:spacing w:val="-3"/>
        </w:rPr>
        <w:t>法定代表人：杨明辉</w:t>
      </w:r>
    </w:p>
    <w:p>
      <w:pPr>
        <w:pStyle w:val="BodyText"/>
        <w:spacing w:line="417" w:lineRule="auto"/>
        <w:ind w:left="1198" w:right="6124"/>
        <w:rPr>
          <w:rFonts w:ascii="Times New Roman" w:eastAsia="Times New Roman"/>
        </w:rPr>
      </w:pPr>
      <w:r>
        <w:rPr>
          <w:spacing w:val="-3"/>
        </w:rPr>
        <w:t>客户服务电话：</w:t>
      </w:r>
      <w:r>
        <w:rPr>
          <w:rFonts w:ascii="Times New Roman" w:eastAsia="Times New Roman"/>
          <w:spacing w:val="-3"/>
        </w:rPr>
        <w:t>400-818-6666 </w:t>
      </w:r>
      <w:r>
        <w:rPr/>
        <w:t>传真：</w:t>
      </w:r>
      <w:r>
        <w:rPr>
          <w:rFonts w:ascii="Times New Roman" w:eastAsia="Times New Roman"/>
        </w:rPr>
        <w:t>010-63136700</w:t>
      </w:r>
    </w:p>
    <w:p>
      <w:pPr>
        <w:pStyle w:val="BodyText"/>
        <w:ind w:left="1198"/>
      </w:pPr>
      <w:r>
        <w:rPr/>
        <w:t>联系人：朱威</w:t>
      </w:r>
    </w:p>
    <w:p>
      <w:pPr>
        <w:pStyle w:val="BodyText"/>
        <w:spacing w:before="7"/>
        <w:rPr>
          <w:sz w:val="15"/>
        </w:rPr>
      </w:pPr>
    </w:p>
    <w:p>
      <w:pPr>
        <w:pStyle w:val="BodyText"/>
        <w:ind w:left="1198"/>
      </w:pPr>
      <w:r>
        <w:rPr/>
        <w:t>（三）律师事务所</w:t>
      </w:r>
    </w:p>
    <w:p>
      <w:pPr>
        <w:pStyle w:val="BodyText"/>
        <w:spacing w:before="6"/>
        <w:rPr>
          <w:sz w:val="15"/>
        </w:rPr>
      </w:pPr>
    </w:p>
    <w:p>
      <w:pPr>
        <w:pStyle w:val="BodyText"/>
        <w:spacing w:before="1"/>
        <w:ind w:left="1198"/>
      </w:pPr>
      <w:r>
        <w:rPr/>
        <w:t>名称：北京市天元律师事务所</w:t>
      </w:r>
    </w:p>
    <w:p>
      <w:pPr>
        <w:pStyle w:val="BodyText"/>
        <w:spacing w:before="6"/>
        <w:rPr>
          <w:sz w:val="15"/>
        </w:rPr>
      </w:pPr>
    </w:p>
    <w:p>
      <w:pPr>
        <w:pStyle w:val="BodyText"/>
        <w:ind w:left="1198"/>
      </w:pPr>
      <w:r>
        <w:rPr/>
        <w:t>住所：北京市西城区丰盛胡同</w:t>
      </w:r>
      <w:r>
        <w:rPr>
          <w:rFonts w:ascii="Times New Roman" w:eastAsia="Times New Roman"/>
        </w:rPr>
        <w:t>28</w:t>
      </w:r>
      <w:r>
        <w:rPr/>
        <w:t>号太平洋保险大厦</w:t>
      </w:r>
      <w:r>
        <w:rPr>
          <w:rFonts w:ascii="Times New Roman" w:eastAsia="Times New Roman"/>
        </w:rPr>
        <w:t>10</w:t>
      </w:r>
      <w:r>
        <w:rPr/>
        <w:t>层</w:t>
      </w:r>
    </w:p>
    <w:p>
      <w:pPr>
        <w:pStyle w:val="BodyText"/>
        <w:spacing w:before="7"/>
        <w:rPr>
          <w:sz w:val="15"/>
        </w:rPr>
      </w:pPr>
    </w:p>
    <w:p>
      <w:pPr>
        <w:pStyle w:val="BodyText"/>
        <w:spacing w:line="417" w:lineRule="auto"/>
        <w:ind w:left="1198" w:right="3320"/>
      </w:pPr>
      <w:r>
        <w:rPr/>
        <w:t>办公地址：北京市西城区丰盛胡同</w:t>
      </w:r>
      <w:r>
        <w:rPr>
          <w:rFonts w:ascii="Times New Roman" w:eastAsia="Times New Roman"/>
        </w:rPr>
        <w:t>28</w:t>
      </w:r>
      <w:r>
        <w:rPr/>
        <w:t>号太平洋保险大厦</w:t>
      </w:r>
      <w:r>
        <w:rPr>
          <w:rFonts w:ascii="Times New Roman" w:eastAsia="Times New Roman"/>
        </w:rPr>
        <w:t>10</w:t>
      </w:r>
      <w:r>
        <w:rPr/>
        <w:t>层法定代表人：朱小辉</w:t>
      </w:r>
    </w:p>
    <w:p>
      <w:pPr>
        <w:pStyle w:val="BodyText"/>
        <w:spacing w:line="417" w:lineRule="auto"/>
        <w:ind w:left="1198" w:right="6928"/>
        <w:rPr>
          <w:rFonts w:ascii="Times New Roman" w:eastAsia="Times New Roman"/>
        </w:rPr>
      </w:pPr>
      <w:r>
        <w:rPr/>
        <w:t>电话：</w:t>
      </w:r>
      <w:r>
        <w:rPr>
          <w:rFonts w:ascii="Times New Roman" w:eastAsia="Times New Roman"/>
        </w:rPr>
        <w:t>010-57763888 </w:t>
      </w:r>
      <w:r>
        <w:rPr/>
        <w:t>传真：</w:t>
      </w:r>
      <w:r>
        <w:rPr>
          <w:rFonts w:ascii="Times New Roman" w:eastAsia="Times New Roman"/>
        </w:rPr>
        <w:t>010-57763777</w:t>
      </w:r>
    </w:p>
    <w:p>
      <w:pPr>
        <w:pStyle w:val="BodyText"/>
        <w:spacing w:line="269" w:lineRule="exact"/>
        <w:ind w:left="1260"/>
      </w:pPr>
      <w:r>
        <w:rPr/>
        <w:t>联系人：李晗</w:t>
      </w:r>
    </w:p>
    <w:p>
      <w:pPr>
        <w:pStyle w:val="BodyText"/>
        <w:spacing w:before="7"/>
        <w:rPr>
          <w:sz w:val="15"/>
        </w:rPr>
      </w:pPr>
    </w:p>
    <w:p>
      <w:pPr>
        <w:pStyle w:val="BodyText"/>
        <w:ind w:left="1198"/>
      </w:pPr>
      <w:r>
        <w:rPr/>
        <w:t>经办律师：吴冠雄、李晗</w:t>
      </w:r>
    </w:p>
    <w:p>
      <w:pPr>
        <w:pStyle w:val="BodyText"/>
        <w:spacing w:before="7"/>
        <w:rPr>
          <w:sz w:val="15"/>
        </w:rPr>
      </w:pPr>
    </w:p>
    <w:p>
      <w:pPr>
        <w:pStyle w:val="BodyText"/>
        <w:ind w:left="1198"/>
      </w:pPr>
      <w:r>
        <w:rPr/>
        <w:t>（四）会计师事务所</w:t>
      </w:r>
    </w:p>
    <w:p>
      <w:pPr>
        <w:pStyle w:val="BodyText"/>
        <w:spacing w:before="6"/>
        <w:rPr>
          <w:sz w:val="15"/>
        </w:rPr>
      </w:pPr>
    </w:p>
    <w:p>
      <w:pPr>
        <w:pStyle w:val="BodyText"/>
        <w:ind w:left="1198"/>
      </w:pPr>
      <w:r>
        <w:rPr/>
        <w:t>名称：普华永道中天会计师事务所（特殊普通合伙）</w:t>
      </w:r>
    </w:p>
    <w:p>
      <w:pPr>
        <w:pStyle w:val="BodyText"/>
        <w:spacing w:before="7"/>
        <w:rPr>
          <w:sz w:val="15"/>
        </w:rPr>
      </w:pPr>
    </w:p>
    <w:p>
      <w:pPr>
        <w:pStyle w:val="BodyText"/>
        <w:ind w:left="1198"/>
      </w:pPr>
      <w:r>
        <w:rPr/>
        <w:t>住所：上海市浦东新区陆家嘴环路</w:t>
      </w:r>
      <w:r>
        <w:rPr>
          <w:rFonts w:ascii="Times New Roman" w:eastAsia="Times New Roman"/>
        </w:rPr>
        <w:t>1318</w:t>
      </w:r>
      <w:r>
        <w:rPr/>
        <w:t>号星展银行大厦</w:t>
      </w:r>
      <w:r>
        <w:rPr>
          <w:rFonts w:ascii="Times New Roman" w:eastAsia="Times New Roman"/>
        </w:rPr>
        <w:t>6</w:t>
      </w:r>
      <w:r>
        <w:rPr/>
        <w:t>楼</w:t>
      </w:r>
    </w:p>
    <w:p>
      <w:pPr>
        <w:pStyle w:val="BodyText"/>
        <w:spacing w:before="7"/>
        <w:rPr>
          <w:sz w:val="15"/>
        </w:rPr>
      </w:pPr>
    </w:p>
    <w:p>
      <w:pPr>
        <w:pStyle w:val="BodyText"/>
        <w:spacing w:line="417" w:lineRule="auto" w:before="1"/>
        <w:ind w:left="1198" w:right="1964"/>
      </w:pPr>
      <w:r>
        <w:rPr/>
        <w:t>办公地址：上海市黄浦区湖滨路</w:t>
      </w:r>
      <w:r>
        <w:rPr>
          <w:rFonts w:ascii="Times New Roman" w:eastAsia="Times New Roman"/>
        </w:rPr>
        <w:t>202</w:t>
      </w:r>
      <w:r>
        <w:rPr/>
        <w:t>号领展企业广场二座普华永道中心</w:t>
      </w:r>
      <w:r>
        <w:rPr>
          <w:rFonts w:ascii="Times New Roman" w:eastAsia="Times New Roman"/>
        </w:rPr>
        <w:t>11</w:t>
      </w:r>
      <w:r>
        <w:rPr/>
        <w:t>楼执行事务合伙人：李丹</w:t>
      </w:r>
    </w:p>
    <w:p>
      <w:pPr>
        <w:pStyle w:val="BodyText"/>
        <w:spacing w:line="417" w:lineRule="auto"/>
        <w:ind w:left="1198" w:right="6508"/>
        <w:rPr>
          <w:rFonts w:ascii="Times New Roman" w:eastAsia="Times New Roman"/>
        </w:rPr>
      </w:pPr>
      <w:r>
        <w:rPr/>
        <w:t>联系电话：</w:t>
      </w:r>
      <w:r>
        <w:rPr>
          <w:rFonts w:ascii="Times New Roman" w:eastAsia="Times New Roman"/>
        </w:rPr>
        <w:t>021-23238888 </w:t>
      </w:r>
      <w:r>
        <w:rPr/>
        <w:t>传真：</w:t>
      </w:r>
      <w:r>
        <w:rPr>
          <w:rFonts w:ascii="Times New Roman" w:eastAsia="Times New Roman"/>
        </w:rPr>
        <w:t>021-23238800</w:t>
      </w:r>
    </w:p>
    <w:p>
      <w:pPr>
        <w:pStyle w:val="BodyText"/>
        <w:spacing w:line="269" w:lineRule="exact"/>
        <w:ind w:left="1198"/>
      </w:pPr>
      <w:r>
        <w:rPr/>
        <w:t>联系人：单峰、程红粤</w:t>
      </w:r>
    </w:p>
    <w:p>
      <w:pPr>
        <w:pStyle w:val="BodyText"/>
        <w:spacing w:before="6"/>
        <w:rPr>
          <w:sz w:val="15"/>
        </w:rPr>
      </w:pPr>
    </w:p>
    <w:p>
      <w:pPr>
        <w:pStyle w:val="BodyText"/>
        <w:ind w:left="1198"/>
      </w:pPr>
      <w:r>
        <w:rPr/>
        <w:t>经办注册会计师：单峰、程红粤</w:t>
      </w:r>
    </w:p>
    <w:p>
      <w:pPr>
        <w:pStyle w:val="BodyText"/>
        <w:rPr>
          <w:sz w:val="20"/>
        </w:rPr>
      </w:pPr>
    </w:p>
    <w:p>
      <w:pPr>
        <w:pStyle w:val="BodyText"/>
        <w:spacing w:before="12"/>
        <w:rPr>
          <w:sz w:val="15"/>
        </w:rPr>
      </w:pPr>
    </w:p>
    <w:p>
      <w:pPr>
        <w:pStyle w:val="Heading1"/>
        <w:ind w:left="304" w:right="0"/>
      </w:pPr>
      <w:bookmarkStart w:name="_bookmark5" w:id="6"/>
      <w:bookmarkEnd w:id="6"/>
      <w:r>
        <w:rPr>
          <w:b w:val="0"/>
        </w:rPr>
      </w:r>
      <w:r>
        <w:rPr/>
        <w:t>六、基金份额的类别设置</w:t>
      </w:r>
    </w:p>
    <w:p>
      <w:pPr>
        <w:pStyle w:val="BodyText"/>
        <w:rPr>
          <w:b/>
          <w:sz w:val="20"/>
        </w:rPr>
      </w:pPr>
    </w:p>
    <w:p>
      <w:pPr>
        <w:pStyle w:val="BodyText"/>
        <w:spacing w:before="8"/>
        <w:rPr>
          <w:b/>
          <w:sz w:val="15"/>
        </w:rPr>
      </w:pPr>
    </w:p>
    <w:p>
      <w:pPr>
        <w:pStyle w:val="BodyText"/>
        <w:ind w:left="1198"/>
      </w:pPr>
      <w:r>
        <w:rPr/>
        <w:t>（一）基金份额的类别</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785" w:firstLine="419"/>
      </w:pPr>
      <w:r>
        <w:rPr>
          <w:spacing w:val="-9"/>
        </w:rPr>
        <w:t>本基金根据投资者申购本基金的金额，对投资者持有的基金份额按照不同的费率计提销</w:t>
      </w:r>
      <w:r>
        <w:rPr>
          <w:spacing w:val="-3"/>
        </w:rPr>
        <w:t>售服务费用，因此形成不同的基金份额类别。本基金将设</w:t>
      </w:r>
      <w:r>
        <w:rPr>
          <w:rFonts w:ascii="Times New Roman" w:eastAsia="Times New Roman"/>
        </w:rPr>
        <w:t>A</w:t>
      </w:r>
      <w:r>
        <w:rPr>
          <w:rFonts w:ascii="Times New Roman" w:eastAsia="Times New Roman"/>
          <w:spacing w:val="13"/>
        </w:rPr>
        <w:t> </w:t>
      </w:r>
      <w:r>
        <w:rPr>
          <w:spacing w:val="-2"/>
        </w:rPr>
        <w:t>类、</w:t>
      </w:r>
      <w:r>
        <w:rPr>
          <w:rFonts w:ascii="Times New Roman" w:eastAsia="Times New Roman"/>
        </w:rPr>
        <w:t>B</w:t>
      </w:r>
      <w:r>
        <w:rPr>
          <w:rFonts w:ascii="Times New Roman" w:eastAsia="Times New Roman"/>
          <w:spacing w:val="10"/>
        </w:rPr>
        <w:t> </w:t>
      </w:r>
      <w:r>
        <w:rPr>
          <w:spacing w:val="-2"/>
        </w:rPr>
        <w:t>类、</w:t>
      </w:r>
      <w:r>
        <w:rPr>
          <w:rFonts w:ascii="Times New Roman" w:eastAsia="Times New Roman"/>
        </w:rPr>
        <w:t>E</w:t>
      </w:r>
      <w:r>
        <w:rPr>
          <w:rFonts w:ascii="Times New Roman" w:eastAsia="Times New Roman"/>
          <w:spacing w:val="13"/>
        </w:rPr>
        <w:t> </w:t>
      </w:r>
      <w:r>
        <w:rPr>
          <w:spacing w:val="-3"/>
        </w:rPr>
        <w:t>类三类基金份额， </w:t>
      </w:r>
      <w:r>
        <w:rPr>
          <w:rFonts w:ascii="Times New Roman" w:eastAsia="Times New Roman"/>
          <w:spacing w:val="-3"/>
        </w:rPr>
        <w:t>A/E</w:t>
      </w:r>
      <w:r>
        <w:rPr>
          <w:rFonts w:ascii="Times New Roman" w:eastAsia="Times New Roman"/>
          <w:spacing w:val="16"/>
        </w:rPr>
        <w:t> </w:t>
      </w:r>
      <w:r>
        <w:rPr>
          <w:spacing w:val="-26"/>
        </w:rPr>
        <w:t>类、</w:t>
      </w:r>
      <w:r>
        <w:rPr>
          <w:rFonts w:ascii="Times New Roman" w:eastAsia="Times New Roman"/>
        </w:rPr>
        <w:t>B</w:t>
      </w:r>
      <w:r>
        <w:rPr>
          <w:rFonts w:ascii="Times New Roman" w:eastAsia="Times New Roman"/>
          <w:spacing w:val="17"/>
        </w:rPr>
        <w:t> </w:t>
      </w:r>
      <w:r>
        <w:rPr>
          <w:spacing w:val="-9"/>
        </w:rPr>
        <w:t>类基金份额单独设置基金代码，并分别公布每万份基金净收益、七日年化收益率。</w:t>
      </w:r>
    </w:p>
    <w:p>
      <w:pPr>
        <w:pStyle w:val="BodyText"/>
        <w:spacing w:line="269" w:lineRule="exact"/>
        <w:ind w:left="1198"/>
      </w:pPr>
      <w:r>
        <w:rPr/>
        <w:t>（二）基金份额类别的限制</w:t>
      </w:r>
    </w:p>
    <w:p>
      <w:pPr>
        <w:pStyle w:val="BodyText"/>
        <w:spacing w:before="10"/>
        <w:rPr>
          <w:sz w:val="7"/>
        </w:rPr>
      </w:pP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2976"/>
        <w:gridCol w:w="2976"/>
        <w:gridCol w:w="1043"/>
      </w:tblGrid>
      <w:tr>
        <w:trPr>
          <w:trHeight w:val="467" w:hRule="atLeast"/>
        </w:trPr>
        <w:tc>
          <w:tcPr>
            <w:tcW w:w="1985" w:type="dxa"/>
          </w:tcPr>
          <w:p>
            <w:pPr>
              <w:pStyle w:val="TableParagraph"/>
              <w:spacing w:before="99"/>
              <w:ind w:left="569"/>
              <w:rPr>
                <w:rFonts w:ascii="宋体" w:eastAsia="宋体" w:hint="eastAsia"/>
                <w:b/>
                <w:sz w:val="21"/>
              </w:rPr>
            </w:pPr>
            <w:r>
              <w:rPr>
                <w:rFonts w:ascii="宋体" w:eastAsia="宋体" w:hint="eastAsia"/>
                <w:b/>
                <w:sz w:val="21"/>
              </w:rPr>
              <w:t>份额类别</w:t>
            </w:r>
          </w:p>
        </w:tc>
        <w:tc>
          <w:tcPr>
            <w:tcW w:w="2976" w:type="dxa"/>
          </w:tcPr>
          <w:p>
            <w:pPr>
              <w:pStyle w:val="TableParagraph"/>
              <w:spacing w:before="99"/>
              <w:ind w:left="46" w:right="38"/>
              <w:jc w:val="center"/>
              <w:rPr>
                <w:rFonts w:ascii="宋体" w:eastAsia="宋体" w:hint="eastAsia"/>
                <w:b/>
                <w:sz w:val="21"/>
              </w:rPr>
            </w:pPr>
            <w:r>
              <w:rPr>
                <w:b/>
                <w:sz w:val="21"/>
              </w:rPr>
              <w:t>A </w:t>
            </w:r>
            <w:r>
              <w:rPr>
                <w:rFonts w:ascii="宋体" w:eastAsia="宋体" w:hint="eastAsia"/>
                <w:b/>
                <w:sz w:val="21"/>
              </w:rPr>
              <w:t>类份额</w:t>
            </w:r>
          </w:p>
        </w:tc>
        <w:tc>
          <w:tcPr>
            <w:tcW w:w="2976" w:type="dxa"/>
          </w:tcPr>
          <w:p>
            <w:pPr>
              <w:pStyle w:val="TableParagraph"/>
              <w:spacing w:before="99"/>
              <w:ind w:left="50" w:right="38"/>
              <w:jc w:val="center"/>
              <w:rPr>
                <w:rFonts w:ascii="宋体" w:eastAsia="宋体" w:hint="eastAsia"/>
                <w:b/>
                <w:sz w:val="21"/>
              </w:rPr>
            </w:pPr>
            <w:r>
              <w:rPr>
                <w:b/>
                <w:sz w:val="21"/>
              </w:rPr>
              <w:t>B </w:t>
            </w:r>
            <w:r>
              <w:rPr>
                <w:rFonts w:ascii="宋体" w:eastAsia="宋体" w:hint="eastAsia"/>
                <w:b/>
                <w:sz w:val="21"/>
              </w:rPr>
              <w:t>类份额</w:t>
            </w:r>
          </w:p>
        </w:tc>
        <w:tc>
          <w:tcPr>
            <w:tcW w:w="1043" w:type="dxa"/>
          </w:tcPr>
          <w:p>
            <w:pPr>
              <w:pStyle w:val="TableParagraph"/>
              <w:spacing w:before="99"/>
              <w:ind w:right="95"/>
              <w:jc w:val="right"/>
              <w:rPr>
                <w:rFonts w:ascii="宋体" w:eastAsia="宋体" w:hint="eastAsia"/>
                <w:b/>
                <w:sz w:val="21"/>
              </w:rPr>
            </w:pPr>
            <w:r>
              <w:rPr>
                <w:b/>
                <w:sz w:val="21"/>
              </w:rPr>
              <w:t>E </w:t>
            </w:r>
            <w:r>
              <w:rPr>
                <w:rFonts w:ascii="宋体" w:eastAsia="宋体" w:hint="eastAsia"/>
                <w:b/>
                <w:sz w:val="21"/>
              </w:rPr>
              <w:t>类份额</w:t>
            </w:r>
          </w:p>
        </w:tc>
      </w:tr>
      <w:tr>
        <w:trPr>
          <w:trHeight w:val="433" w:hRule="atLeast"/>
        </w:trPr>
        <w:tc>
          <w:tcPr>
            <w:tcW w:w="1985" w:type="dxa"/>
            <w:tcBorders>
              <w:bottom w:val="nil"/>
            </w:tcBorders>
          </w:tcPr>
          <w:p>
            <w:pPr>
              <w:pStyle w:val="TableParagraph"/>
              <w:spacing w:before="99"/>
              <w:ind w:left="105"/>
              <w:rPr>
                <w:rFonts w:ascii="宋体" w:eastAsia="宋体" w:hint="eastAsia"/>
                <w:sz w:val="21"/>
              </w:rPr>
            </w:pPr>
            <w:r>
              <w:rPr>
                <w:rFonts w:ascii="宋体" w:eastAsia="宋体" w:hint="eastAsia"/>
                <w:sz w:val="21"/>
              </w:rPr>
              <w:t>首次申购最低金额</w:t>
            </w:r>
          </w:p>
        </w:tc>
        <w:tc>
          <w:tcPr>
            <w:tcW w:w="2976" w:type="dxa"/>
            <w:tcBorders>
              <w:bottom w:val="nil"/>
            </w:tcBorders>
          </w:tcPr>
          <w:p>
            <w:pPr>
              <w:pStyle w:val="TableParagraph"/>
              <w:spacing w:before="99"/>
              <w:ind w:right="94"/>
              <w:jc w:val="right"/>
              <w:rPr>
                <w:rFonts w:ascii="宋体" w:eastAsia="宋体" w:hint="eastAsia"/>
                <w:sz w:val="21"/>
              </w:rPr>
            </w:pPr>
            <w:r>
              <w:rPr>
                <w:rFonts w:ascii="宋体" w:eastAsia="宋体" w:hint="eastAsia"/>
                <w:sz w:val="21"/>
              </w:rPr>
              <w:t>直销机构或华夏财富：</w:t>
            </w:r>
            <w:r>
              <w:rPr>
                <w:sz w:val="21"/>
              </w:rPr>
              <w:t>0.01 </w:t>
            </w:r>
            <w:r>
              <w:rPr>
                <w:rFonts w:ascii="宋体" w:eastAsia="宋体" w:hint="eastAsia"/>
                <w:sz w:val="21"/>
              </w:rPr>
              <w:t>元</w:t>
            </w:r>
          </w:p>
        </w:tc>
        <w:tc>
          <w:tcPr>
            <w:tcW w:w="2976" w:type="dxa"/>
            <w:tcBorders>
              <w:bottom w:val="nil"/>
            </w:tcBorders>
          </w:tcPr>
          <w:p>
            <w:pPr>
              <w:pStyle w:val="TableParagraph"/>
              <w:spacing w:before="99"/>
              <w:ind w:right="92"/>
              <w:jc w:val="right"/>
              <w:rPr>
                <w:rFonts w:ascii="宋体" w:eastAsia="宋体" w:hint="eastAsia"/>
                <w:sz w:val="21"/>
              </w:rPr>
            </w:pPr>
            <w:r>
              <w:rPr>
                <w:sz w:val="21"/>
              </w:rPr>
              <w:t>500,000.00 </w:t>
            </w:r>
            <w:r>
              <w:rPr>
                <w:rFonts w:ascii="宋体" w:eastAsia="宋体" w:hint="eastAsia"/>
                <w:sz w:val="21"/>
              </w:rPr>
              <w:t>元</w:t>
            </w:r>
          </w:p>
        </w:tc>
        <w:tc>
          <w:tcPr>
            <w:tcW w:w="1043" w:type="dxa"/>
            <w:tcBorders>
              <w:bottom w:val="nil"/>
            </w:tcBorders>
          </w:tcPr>
          <w:p>
            <w:pPr>
              <w:pStyle w:val="TableParagraph"/>
              <w:spacing w:before="0"/>
              <w:rPr>
                <w:sz w:val="20"/>
              </w:rPr>
            </w:pPr>
          </w:p>
        </w:tc>
      </w:tr>
      <w:tr>
        <w:trPr>
          <w:trHeight w:val="385" w:hRule="atLeast"/>
        </w:trPr>
        <w:tc>
          <w:tcPr>
            <w:tcW w:w="1985" w:type="dxa"/>
            <w:tcBorders>
              <w:top w:val="nil"/>
              <w:bottom w:val="nil"/>
            </w:tcBorders>
          </w:tcPr>
          <w:p>
            <w:pPr>
              <w:pStyle w:val="TableParagraph"/>
              <w:spacing w:before="0"/>
              <w:rPr>
                <w:sz w:val="20"/>
              </w:rPr>
            </w:pPr>
          </w:p>
        </w:tc>
        <w:tc>
          <w:tcPr>
            <w:tcW w:w="2976" w:type="dxa"/>
            <w:tcBorders>
              <w:top w:val="nil"/>
              <w:bottom w:val="nil"/>
            </w:tcBorders>
          </w:tcPr>
          <w:p>
            <w:pPr>
              <w:pStyle w:val="TableParagraph"/>
              <w:spacing w:line="232" w:lineRule="exact" w:before="133"/>
              <w:ind w:right="92"/>
              <w:jc w:val="right"/>
              <w:rPr>
                <w:rFonts w:ascii="宋体" w:eastAsia="宋体" w:hint="eastAsia"/>
                <w:sz w:val="21"/>
              </w:rPr>
            </w:pPr>
            <w:r>
              <w:rPr>
                <w:rFonts w:ascii="宋体" w:eastAsia="宋体" w:hint="eastAsia"/>
                <w:sz w:val="21"/>
              </w:rPr>
              <w:t>其他代销机构：以其规定为准</w:t>
            </w:r>
          </w:p>
        </w:tc>
        <w:tc>
          <w:tcPr>
            <w:tcW w:w="2976" w:type="dxa"/>
            <w:tcBorders>
              <w:top w:val="nil"/>
              <w:bottom w:val="nil"/>
            </w:tcBorders>
          </w:tcPr>
          <w:p>
            <w:pPr>
              <w:pStyle w:val="TableParagraph"/>
              <w:spacing w:before="57"/>
              <w:ind w:right="92"/>
              <w:jc w:val="right"/>
              <w:rPr>
                <w:rFonts w:ascii="宋体" w:eastAsia="宋体" w:hint="eastAsia"/>
                <w:sz w:val="21"/>
              </w:rPr>
            </w:pPr>
            <w:r>
              <w:rPr>
                <w:rFonts w:ascii="宋体" w:eastAsia="宋体" w:hint="eastAsia"/>
                <w:sz w:val="21"/>
              </w:rPr>
              <w:t>（已持有</w:t>
            </w:r>
            <w:r>
              <w:rPr>
                <w:sz w:val="21"/>
              </w:rPr>
              <w:t>B </w:t>
            </w:r>
            <w:r>
              <w:rPr>
                <w:rFonts w:ascii="宋体" w:eastAsia="宋体" w:hint="eastAsia"/>
                <w:sz w:val="21"/>
              </w:rPr>
              <w:t>类份额的投资者首</w:t>
            </w:r>
          </w:p>
        </w:tc>
        <w:tc>
          <w:tcPr>
            <w:tcW w:w="1043" w:type="dxa"/>
            <w:tcBorders>
              <w:top w:val="nil"/>
              <w:bottom w:val="nil"/>
            </w:tcBorders>
          </w:tcPr>
          <w:p>
            <w:pPr>
              <w:pStyle w:val="TableParagraph"/>
              <w:spacing w:before="0"/>
              <w:rPr>
                <w:sz w:val="20"/>
              </w:rPr>
            </w:pPr>
          </w:p>
        </w:tc>
      </w:tr>
      <w:tr>
        <w:trPr>
          <w:trHeight w:val="270" w:hRule="atLeast"/>
        </w:trPr>
        <w:tc>
          <w:tcPr>
            <w:tcW w:w="1985" w:type="dxa"/>
            <w:tcBorders>
              <w:top w:val="nil"/>
              <w:bottom w:val="nil"/>
            </w:tcBorders>
          </w:tcPr>
          <w:p>
            <w:pPr>
              <w:pStyle w:val="TableParagraph"/>
              <w:spacing w:before="0"/>
              <w:rPr>
                <w:sz w:val="20"/>
              </w:rPr>
            </w:pPr>
          </w:p>
        </w:tc>
        <w:tc>
          <w:tcPr>
            <w:tcW w:w="2976" w:type="dxa"/>
            <w:tcBorders>
              <w:top w:val="nil"/>
              <w:bottom w:val="nil"/>
            </w:tcBorders>
          </w:tcPr>
          <w:p>
            <w:pPr>
              <w:pStyle w:val="TableParagraph"/>
              <w:spacing w:before="0"/>
              <w:rPr>
                <w:sz w:val="20"/>
              </w:rPr>
            </w:pPr>
          </w:p>
        </w:tc>
        <w:tc>
          <w:tcPr>
            <w:tcW w:w="2976" w:type="dxa"/>
            <w:tcBorders>
              <w:top w:val="nil"/>
              <w:bottom w:val="nil"/>
            </w:tcBorders>
          </w:tcPr>
          <w:p>
            <w:pPr>
              <w:pStyle w:val="TableParagraph"/>
              <w:spacing w:line="251" w:lineRule="exact" w:before="0"/>
              <w:ind w:right="107"/>
              <w:jc w:val="right"/>
              <w:rPr>
                <w:rFonts w:ascii="宋体" w:eastAsia="宋体" w:hint="eastAsia"/>
                <w:sz w:val="21"/>
              </w:rPr>
            </w:pPr>
            <w:r>
              <w:rPr>
                <w:rFonts w:ascii="宋体" w:eastAsia="宋体" w:hint="eastAsia"/>
                <w:sz w:val="21"/>
              </w:rPr>
              <w:t>次申购最低金额：直销机构或</w:t>
            </w:r>
          </w:p>
        </w:tc>
        <w:tc>
          <w:tcPr>
            <w:tcW w:w="1043" w:type="dxa"/>
            <w:tcBorders>
              <w:top w:val="nil"/>
              <w:bottom w:val="nil"/>
            </w:tcBorders>
          </w:tcPr>
          <w:p>
            <w:pPr>
              <w:pStyle w:val="TableParagraph"/>
              <w:spacing w:before="0"/>
              <w:rPr>
                <w:sz w:val="20"/>
              </w:rPr>
            </w:pPr>
          </w:p>
        </w:tc>
      </w:tr>
      <w:tr>
        <w:trPr>
          <w:trHeight w:val="626" w:hRule="atLeast"/>
        </w:trPr>
        <w:tc>
          <w:tcPr>
            <w:tcW w:w="1985" w:type="dxa"/>
            <w:tcBorders>
              <w:top w:val="nil"/>
            </w:tcBorders>
          </w:tcPr>
          <w:p>
            <w:pPr>
              <w:pStyle w:val="TableParagraph"/>
              <w:spacing w:before="0"/>
              <w:rPr>
                <w:sz w:val="20"/>
              </w:rPr>
            </w:pPr>
          </w:p>
        </w:tc>
        <w:tc>
          <w:tcPr>
            <w:tcW w:w="2976" w:type="dxa"/>
            <w:tcBorders>
              <w:top w:val="nil"/>
            </w:tcBorders>
          </w:tcPr>
          <w:p>
            <w:pPr>
              <w:pStyle w:val="TableParagraph"/>
              <w:spacing w:before="0"/>
              <w:rPr>
                <w:sz w:val="20"/>
              </w:rPr>
            </w:pPr>
          </w:p>
        </w:tc>
        <w:tc>
          <w:tcPr>
            <w:tcW w:w="2976" w:type="dxa"/>
            <w:tcBorders>
              <w:top w:val="nil"/>
            </w:tcBorders>
          </w:tcPr>
          <w:p>
            <w:pPr>
              <w:pStyle w:val="TableParagraph"/>
              <w:spacing w:before="25"/>
              <w:ind w:left="52" w:right="38"/>
              <w:jc w:val="center"/>
              <w:rPr>
                <w:rFonts w:ascii="宋体" w:eastAsia="宋体" w:hint="eastAsia"/>
                <w:sz w:val="21"/>
              </w:rPr>
            </w:pPr>
            <w:r>
              <w:rPr>
                <w:rFonts w:ascii="宋体" w:eastAsia="宋体" w:hint="eastAsia"/>
                <w:sz w:val="21"/>
              </w:rPr>
              <w:t>华夏财富为 </w:t>
            </w:r>
            <w:r>
              <w:rPr>
                <w:sz w:val="21"/>
              </w:rPr>
              <w:t>1.00 </w:t>
            </w:r>
            <w:r>
              <w:rPr>
                <w:rFonts w:ascii="宋体" w:eastAsia="宋体" w:hint="eastAsia"/>
                <w:sz w:val="21"/>
              </w:rPr>
              <w:t>元，其他代销</w:t>
            </w:r>
          </w:p>
          <w:p>
            <w:pPr>
              <w:pStyle w:val="TableParagraph"/>
              <w:spacing w:before="43"/>
              <w:ind w:left="52" w:right="38"/>
              <w:jc w:val="center"/>
              <w:rPr>
                <w:rFonts w:ascii="宋体" w:eastAsia="宋体" w:hint="eastAsia"/>
                <w:sz w:val="21"/>
              </w:rPr>
            </w:pPr>
            <w:r>
              <w:rPr>
                <w:rFonts w:ascii="宋体" w:eastAsia="宋体" w:hint="eastAsia"/>
                <w:sz w:val="21"/>
              </w:rPr>
              <w:t>机构以其规定为准）</w:t>
            </w:r>
          </w:p>
        </w:tc>
        <w:tc>
          <w:tcPr>
            <w:tcW w:w="1043" w:type="dxa"/>
            <w:tcBorders>
              <w:top w:val="nil"/>
            </w:tcBorders>
          </w:tcPr>
          <w:p>
            <w:pPr>
              <w:pStyle w:val="TableParagraph"/>
              <w:spacing w:before="2"/>
              <w:rPr>
                <w:rFonts w:ascii="宋体"/>
                <w:sz w:val="20"/>
              </w:rPr>
            </w:pPr>
          </w:p>
          <w:p>
            <w:pPr>
              <w:pStyle w:val="TableParagraph"/>
              <w:spacing w:before="0"/>
              <w:ind w:right="92"/>
              <w:jc w:val="right"/>
              <w:rPr>
                <w:rFonts w:ascii="宋体" w:eastAsia="宋体" w:hint="eastAsia"/>
                <w:sz w:val="21"/>
              </w:rPr>
            </w:pPr>
            <w:r>
              <w:rPr>
                <w:sz w:val="21"/>
              </w:rPr>
              <w:t>0.01 </w:t>
            </w:r>
            <w:r>
              <w:rPr>
                <w:rFonts w:ascii="宋体" w:eastAsia="宋体" w:hint="eastAsia"/>
                <w:sz w:val="21"/>
              </w:rPr>
              <w:t>元</w:t>
            </w:r>
          </w:p>
        </w:tc>
      </w:tr>
      <w:tr>
        <w:trPr>
          <w:trHeight w:val="935" w:hRule="atLeast"/>
        </w:trPr>
        <w:tc>
          <w:tcPr>
            <w:tcW w:w="1985" w:type="dxa"/>
          </w:tcPr>
          <w:p>
            <w:pPr>
              <w:pStyle w:val="TableParagraph"/>
              <w:spacing w:before="99"/>
              <w:ind w:left="105"/>
              <w:rPr>
                <w:rFonts w:ascii="宋体" w:eastAsia="宋体" w:hint="eastAsia"/>
                <w:sz w:val="21"/>
              </w:rPr>
            </w:pPr>
            <w:r>
              <w:rPr>
                <w:rFonts w:ascii="宋体" w:eastAsia="宋体" w:hint="eastAsia"/>
                <w:sz w:val="21"/>
              </w:rPr>
              <w:t>追加申购最低金额</w:t>
            </w:r>
          </w:p>
        </w:tc>
        <w:tc>
          <w:tcPr>
            <w:tcW w:w="2976" w:type="dxa"/>
          </w:tcPr>
          <w:p>
            <w:pPr>
              <w:pStyle w:val="TableParagraph"/>
              <w:spacing w:before="99"/>
              <w:ind w:left="139"/>
              <w:rPr>
                <w:rFonts w:ascii="宋体" w:eastAsia="宋体" w:hint="eastAsia"/>
                <w:sz w:val="21"/>
              </w:rPr>
            </w:pPr>
            <w:r>
              <w:rPr>
                <w:rFonts w:ascii="宋体" w:eastAsia="宋体" w:hint="eastAsia"/>
                <w:spacing w:val="-3"/>
                <w:sz w:val="21"/>
              </w:rPr>
              <w:t>直销机构或华夏财富：</w:t>
            </w:r>
            <w:r>
              <w:rPr>
                <w:sz w:val="21"/>
              </w:rPr>
              <w:t>0.01</w:t>
            </w:r>
            <w:r>
              <w:rPr>
                <w:spacing w:val="9"/>
                <w:sz w:val="21"/>
              </w:rPr>
              <w:t> </w:t>
            </w:r>
            <w:r>
              <w:rPr>
                <w:rFonts w:ascii="宋体" w:eastAsia="宋体" w:hint="eastAsia"/>
                <w:sz w:val="21"/>
              </w:rPr>
              <w:t>元</w:t>
            </w:r>
          </w:p>
          <w:p>
            <w:pPr>
              <w:pStyle w:val="TableParagraph"/>
              <w:spacing w:before="7"/>
              <w:rPr>
                <w:rFonts w:ascii="宋体"/>
                <w:sz w:val="15"/>
              </w:rPr>
            </w:pPr>
          </w:p>
          <w:p>
            <w:pPr>
              <w:pStyle w:val="TableParagraph"/>
              <w:spacing w:before="0"/>
              <w:ind w:left="136"/>
              <w:rPr>
                <w:rFonts w:ascii="宋体" w:eastAsia="宋体" w:hint="eastAsia"/>
                <w:sz w:val="21"/>
              </w:rPr>
            </w:pPr>
            <w:r>
              <w:rPr>
                <w:rFonts w:ascii="宋体" w:eastAsia="宋体" w:hint="eastAsia"/>
                <w:spacing w:val="-3"/>
                <w:sz w:val="21"/>
              </w:rPr>
              <w:t>其他代销机构：以其规定为准</w:t>
            </w:r>
          </w:p>
        </w:tc>
        <w:tc>
          <w:tcPr>
            <w:tcW w:w="2976" w:type="dxa"/>
          </w:tcPr>
          <w:p>
            <w:pPr>
              <w:pStyle w:val="TableParagraph"/>
              <w:spacing w:before="99"/>
              <w:ind w:left="139"/>
              <w:rPr>
                <w:rFonts w:ascii="宋体" w:eastAsia="宋体" w:hint="eastAsia"/>
                <w:sz w:val="21"/>
              </w:rPr>
            </w:pPr>
            <w:r>
              <w:rPr>
                <w:rFonts w:ascii="宋体" w:eastAsia="宋体" w:hint="eastAsia"/>
                <w:spacing w:val="-3"/>
                <w:sz w:val="21"/>
              </w:rPr>
              <w:t>直销机构或华夏财富：</w:t>
            </w:r>
            <w:r>
              <w:rPr>
                <w:sz w:val="21"/>
              </w:rPr>
              <w:t>1.00</w:t>
            </w:r>
            <w:r>
              <w:rPr>
                <w:spacing w:val="9"/>
                <w:sz w:val="21"/>
              </w:rPr>
              <w:t> </w:t>
            </w:r>
            <w:r>
              <w:rPr>
                <w:rFonts w:ascii="宋体" w:eastAsia="宋体" w:hint="eastAsia"/>
                <w:sz w:val="21"/>
              </w:rPr>
              <w:t>元</w:t>
            </w:r>
          </w:p>
          <w:p>
            <w:pPr>
              <w:pStyle w:val="TableParagraph"/>
              <w:spacing w:before="7"/>
              <w:rPr>
                <w:rFonts w:ascii="宋体"/>
                <w:sz w:val="15"/>
              </w:rPr>
            </w:pPr>
          </w:p>
          <w:p>
            <w:pPr>
              <w:pStyle w:val="TableParagraph"/>
              <w:spacing w:before="0"/>
              <w:ind w:left="137"/>
              <w:rPr>
                <w:rFonts w:ascii="宋体" w:eastAsia="宋体" w:hint="eastAsia"/>
                <w:sz w:val="21"/>
              </w:rPr>
            </w:pPr>
            <w:r>
              <w:rPr>
                <w:rFonts w:ascii="宋体" w:eastAsia="宋体" w:hint="eastAsia"/>
                <w:spacing w:val="-3"/>
                <w:sz w:val="21"/>
              </w:rPr>
              <w:t>其他代销机构：以其规定为准</w:t>
            </w:r>
          </w:p>
        </w:tc>
        <w:tc>
          <w:tcPr>
            <w:tcW w:w="1043" w:type="dxa"/>
          </w:tcPr>
          <w:p>
            <w:pPr>
              <w:pStyle w:val="TableParagraph"/>
              <w:spacing w:before="0"/>
              <w:rPr>
                <w:rFonts w:ascii="宋体"/>
                <w:sz w:val="22"/>
              </w:rPr>
            </w:pPr>
          </w:p>
          <w:p>
            <w:pPr>
              <w:pStyle w:val="TableParagraph"/>
              <w:spacing w:before="3"/>
              <w:rPr>
                <w:rFonts w:ascii="宋体"/>
                <w:sz w:val="22"/>
              </w:rPr>
            </w:pPr>
          </w:p>
          <w:p>
            <w:pPr>
              <w:pStyle w:val="TableParagraph"/>
              <w:spacing w:before="0"/>
              <w:ind w:right="92"/>
              <w:jc w:val="right"/>
              <w:rPr>
                <w:rFonts w:ascii="宋体" w:eastAsia="宋体" w:hint="eastAsia"/>
                <w:sz w:val="21"/>
              </w:rPr>
            </w:pPr>
            <w:r>
              <w:rPr>
                <w:sz w:val="21"/>
              </w:rPr>
              <w:t>0.01 </w:t>
            </w:r>
            <w:r>
              <w:rPr>
                <w:rFonts w:ascii="宋体" w:eastAsia="宋体" w:hint="eastAsia"/>
                <w:sz w:val="21"/>
              </w:rPr>
              <w:t>元</w:t>
            </w:r>
          </w:p>
        </w:tc>
      </w:tr>
      <w:tr>
        <w:trPr>
          <w:trHeight w:val="935" w:hRule="atLeast"/>
        </w:trPr>
        <w:tc>
          <w:tcPr>
            <w:tcW w:w="1985" w:type="dxa"/>
          </w:tcPr>
          <w:p>
            <w:pPr>
              <w:pStyle w:val="TableParagraph"/>
              <w:spacing w:before="99"/>
              <w:ind w:left="105"/>
              <w:rPr>
                <w:rFonts w:ascii="宋体" w:eastAsia="宋体" w:hint="eastAsia"/>
                <w:sz w:val="21"/>
              </w:rPr>
            </w:pPr>
            <w:r>
              <w:rPr>
                <w:rFonts w:ascii="宋体" w:eastAsia="宋体" w:hint="eastAsia"/>
                <w:sz w:val="21"/>
              </w:rPr>
              <w:t>单笔赎回最低份额</w:t>
            </w:r>
          </w:p>
        </w:tc>
        <w:tc>
          <w:tcPr>
            <w:tcW w:w="2976" w:type="dxa"/>
          </w:tcPr>
          <w:p>
            <w:pPr>
              <w:pStyle w:val="TableParagraph"/>
              <w:spacing w:before="99"/>
              <w:ind w:left="139"/>
              <w:rPr>
                <w:rFonts w:ascii="宋体" w:eastAsia="宋体" w:hint="eastAsia"/>
                <w:sz w:val="21"/>
              </w:rPr>
            </w:pPr>
            <w:r>
              <w:rPr>
                <w:rFonts w:ascii="宋体" w:eastAsia="宋体" w:hint="eastAsia"/>
                <w:spacing w:val="-3"/>
                <w:sz w:val="21"/>
              </w:rPr>
              <w:t>直销机构或华夏财富：</w:t>
            </w:r>
            <w:r>
              <w:rPr>
                <w:sz w:val="21"/>
              </w:rPr>
              <w:t>0.01</w:t>
            </w:r>
            <w:r>
              <w:rPr>
                <w:spacing w:val="9"/>
                <w:sz w:val="21"/>
              </w:rPr>
              <w:t> </w:t>
            </w:r>
            <w:r>
              <w:rPr>
                <w:rFonts w:ascii="宋体" w:eastAsia="宋体" w:hint="eastAsia"/>
                <w:sz w:val="21"/>
              </w:rPr>
              <w:t>份</w:t>
            </w:r>
          </w:p>
          <w:p>
            <w:pPr>
              <w:pStyle w:val="TableParagraph"/>
              <w:spacing w:before="7"/>
              <w:rPr>
                <w:rFonts w:ascii="宋体"/>
                <w:sz w:val="15"/>
              </w:rPr>
            </w:pPr>
          </w:p>
          <w:p>
            <w:pPr>
              <w:pStyle w:val="TableParagraph"/>
              <w:spacing w:before="0"/>
              <w:ind w:left="136"/>
              <w:rPr>
                <w:rFonts w:ascii="宋体" w:eastAsia="宋体" w:hint="eastAsia"/>
                <w:sz w:val="21"/>
              </w:rPr>
            </w:pPr>
            <w:r>
              <w:rPr>
                <w:rFonts w:ascii="宋体" w:eastAsia="宋体" w:hint="eastAsia"/>
                <w:spacing w:val="-3"/>
                <w:sz w:val="21"/>
              </w:rPr>
              <w:t>其他代销机构：以其规定为准</w:t>
            </w:r>
          </w:p>
        </w:tc>
        <w:tc>
          <w:tcPr>
            <w:tcW w:w="2976" w:type="dxa"/>
          </w:tcPr>
          <w:p>
            <w:pPr>
              <w:pStyle w:val="TableParagraph"/>
              <w:spacing w:before="99"/>
              <w:ind w:left="139"/>
              <w:rPr>
                <w:rFonts w:ascii="宋体" w:eastAsia="宋体" w:hint="eastAsia"/>
                <w:sz w:val="21"/>
              </w:rPr>
            </w:pPr>
            <w:r>
              <w:rPr>
                <w:rFonts w:ascii="宋体" w:eastAsia="宋体" w:hint="eastAsia"/>
                <w:spacing w:val="-3"/>
                <w:sz w:val="21"/>
              </w:rPr>
              <w:t>直销机构或华夏财富：</w:t>
            </w:r>
            <w:r>
              <w:rPr>
                <w:sz w:val="21"/>
              </w:rPr>
              <w:t>1.00</w:t>
            </w:r>
            <w:r>
              <w:rPr>
                <w:spacing w:val="9"/>
                <w:sz w:val="21"/>
              </w:rPr>
              <w:t> </w:t>
            </w:r>
            <w:r>
              <w:rPr>
                <w:rFonts w:ascii="宋体" w:eastAsia="宋体" w:hint="eastAsia"/>
                <w:sz w:val="21"/>
              </w:rPr>
              <w:t>份</w:t>
            </w:r>
          </w:p>
          <w:p>
            <w:pPr>
              <w:pStyle w:val="TableParagraph"/>
              <w:spacing w:before="7"/>
              <w:rPr>
                <w:rFonts w:ascii="宋体"/>
                <w:sz w:val="15"/>
              </w:rPr>
            </w:pPr>
          </w:p>
          <w:p>
            <w:pPr>
              <w:pStyle w:val="TableParagraph"/>
              <w:spacing w:before="0"/>
              <w:ind w:left="137"/>
              <w:rPr>
                <w:rFonts w:ascii="宋体" w:eastAsia="宋体" w:hint="eastAsia"/>
                <w:sz w:val="21"/>
              </w:rPr>
            </w:pPr>
            <w:r>
              <w:rPr>
                <w:rFonts w:ascii="宋体" w:eastAsia="宋体" w:hint="eastAsia"/>
                <w:spacing w:val="-3"/>
                <w:sz w:val="21"/>
              </w:rPr>
              <w:t>其他代销机构：以其规定为准</w:t>
            </w:r>
          </w:p>
        </w:tc>
        <w:tc>
          <w:tcPr>
            <w:tcW w:w="1043" w:type="dxa"/>
          </w:tcPr>
          <w:p>
            <w:pPr>
              <w:pStyle w:val="TableParagraph"/>
              <w:spacing w:before="99"/>
              <w:ind w:right="92"/>
              <w:jc w:val="right"/>
              <w:rPr>
                <w:rFonts w:ascii="宋体" w:eastAsia="宋体" w:hint="eastAsia"/>
                <w:sz w:val="21"/>
              </w:rPr>
            </w:pPr>
            <w:r>
              <w:rPr>
                <w:sz w:val="21"/>
              </w:rPr>
              <w:t>0.01 </w:t>
            </w:r>
            <w:r>
              <w:rPr>
                <w:rFonts w:ascii="宋体" w:eastAsia="宋体" w:hint="eastAsia"/>
                <w:sz w:val="21"/>
              </w:rPr>
              <w:t>份</w:t>
            </w:r>
          </w:p>
        </w:tc>
      </w:tr>
      <w:tr>
        <w:trPr>
          <w:trHeight w:val="470" w:hRule="atLeast"/>
        </w:trPr>
        <w:tc>
          <w:tcPr>
            <w:tcW w:w="1985" w:type="dxa"/>
          </w:tcPr>
          <w:p>
            <w:pPr>
              <w:pStyle w:val="TableParagraph"/>
              <w:spacing w:before="102"/>
              <w:ind w:left="105"/>
              <w:rPr>
                <w:rFonts w:ascii="宋体" w:eastAsia="宋体" w:hint="eastAsia"/>
                <w:sz w:val="21"/>
              </w:rPr>
            </w:pPr>
            <w:r>
              <w:rPr>
                <w:rFonts w:ascii="宋体" w:eastAsia="宋体" w:hint="eastAsia"/>
                <w:sz w:val="21"/>
              </w:rPr>
              <w:t>年销售服务费率</w:t>
            </w:r>
          </w:p>
        </w:tc>
        <w:tc>
          <w:tcPr>
            <w:tcW w:w="2976" w:type="dxa"/>
          </w:tcPr>
          <w:p>
            <w:pPr>
              <w:pStyle w:val="TableParagraph"/>
              <w:spacing w:before="113"/>
              <w:ind w:right="92"/>
              <w:jc w:val="right"/>
              <w:rPr>
                <w:sz w:val="21"/>
              </w:rPr>
            </w:pPr>
            <w:r>
              <w:rPr>
                <w:sz w:val="21"/>
              </w:rPr>
              <w:t>0.25%</w:t>
            </w:r>
          </w:p>
        </w:tc>
        <w:tc>
          <w:tcPr>
            <w:tcW w:w="2976" w:type="dxa"/>
          </w:tcPr>
          <w:p>
            <w:pPr>
              <w:pStyle w:val="TableParagraph"/>
              <w:spacing w:before="113"/>
              <w:ind w:right="91"/>
              <w:jc w:val="right"/>
              <w:rPr>
                <w:sz w:val="21"/>
              </w:rPr>
            </w:pPr>
            <w:r>
              <w:rPr>
                <w:sz w:val="21"/>
              </w:rPr>
              <w:t>0.01%</w:t>
            </w:r>
          </w:p>
        </w:tc>
        <w:tc>
          <w:tcPr>
            <w:tcW w:w="1043" w:type="dxa"/>
          </w:tcPr>
          <w:p>
            <w:pPr>
              <w:pStyle w:val="TableParagraph"/>
              <w:spacing w:before="113"/>
              <w:ind w:right="90"/>
              <w:jc w:val="right"/>
              <w:rPr>
                <w:sz w:val="21"/>
              </w:rPr>
            </w:pPr>
            <w:r>
              <w:rPr>
                <w:sz w:val="21"/>
              </w:rPr>
              <w:t>0.25%</w:t>
            </w:r>
          </w:p>
        </w:tc>
      </w:tr>
    </w:tbl>
    <w:p>
      <w:pPr>
        <w:pStyle w:val="BodyText"/>
        <w:spacing w:before="100"/>
        <w:ind w:left="1198"/>
      </w:pPr>
      <w:r>
        <w:rPr/>
        <w:t>（三）</w:t>
      </w:r>
      <w:r>
        <w:rPr>
          <w:rFonts w:ascii="Times New Roman" w:eastAsia="Times New Roman"/>
        </w:rPr>
        <w:t>A </w:t>
      </w:r>
      <w:r>
        <w:rPr/>
        <w:t>类基金份额与</w:t>
      </w:r>
      <w:r>
        <w:rPr>
          <w:rFonts w:ascii="Times New Roman" w:eastAsia="Times New Roman"/>
        </w:rPr>
        <w:t>B </w:t>
      </w:r>
      <w:r>
        <w:rPr/>
        <w:t>类基金份额之间的类别转换规则</w:t>
      </w:r>
    </w:p>
    <w:p>
      <w:pPr>
        <w:pStyle w:val="BodyText"/>
        <w:spacing w:before="6"/>
        <w:rPr>
          <w:sz w:val="15"/>
        </w:rPr>
      </w:pPr>
    </w:p>
    <w:p>
      <w:pPr>
        <w:pStyle w:val="BodyText"/>
        <w:spacing w:before="1"/>
        <w:ind w:left="1198"/>
      </w:pPr>
      <w:r>
        <w:rPr>
          <w:rFonts w:ascii="Times New Roman" w:eastAsia="Times New Roman"/>
        </w:rPr>
        <w:t>1</w:t>
      </w:r>
      <w:r>
        <w:rPr/>
        <w:t>、投资者类别转换的两类基金份额必须存管在同一销售机构。</w:t>
      </w:r>
    </w:p>
    <w:p>
      <w:pPr>
        <w:pStyle w:val="BodyText"/>
        <w:spacing w:before="6"/>
        <w:rPr>
          <w:sz w:val="15"/>
        </w:rPr>
      </w:pPr>
    </w:p>
    <w:p>
      <w:pPr>
        <w:pStyle w:val="BodyText"/>
        <w:ind w:left="1198"/>
      </w:pPr>
      <w:r>
        <w:rPr>
          <w:rFonts w:ascii="Times New Roman" w:eastAsia="Times New Roman"/>
        </w:rPr>
        <w:t>2</w:t>
      </w:r>
      <w:r>
        <w:rPr/>
        <w:t>、类别转换以份额为单位进行申请。</w:t>
      </w:r>
    </w:p>
    <w:p>
      <w:pPr>
        <w:pStyle w:val="BodyText"/>
        <w:spacing w:before="7"/>
        <w:rPr>
          <w:sz w:val="15"/>
        </w:rPr>
      </w:pPr>
    </w:p>
    <w:p>
      <w:pPr>
        <w:pStyle w:val="BodyText"/>
        <w:spacing w:line="417" w:lineRule="auto"/>
        <w:ind w:left="778" w:right="888" w:firstLine="419"/>
      </w:pPr>
      <w:r>
        <w:rPr>
          <w:rFonts w:ascii="Times New Roman" w:eastAsia="Times New Roman"/>
        </w:rPr>
        <w:t>3</w:t>
      </w:r>
      <w:r>
        <w:rPr>
          <w:spacing w:val="-36"/>
        </w:rPr>
        <w:t>、</w:t>
      </w:r>
      <w:r>
        <w:rPr>
          <w:rFonts w:ascii="Times New Roman" w:eastAsia="Times New Roman"/>
        </w:rPr>
        <w:t>A </w:t>
      </w:r>
      <w:r>
        <w:rPr>
          <w:spacing w:val="-8"/>
        </w:rPr>
        <w:t>类基金份额转换为 </w:t>
      </w:r>
      <w:r>
        <w:rPr>
          <w:rFonts w:ascii="Times New Roman" w:eastAsia="Times New Roman"/>
        </w:rPr>
        <w:t>B </w:t>
      </w:r>
      <w:r>
        <w:rPr>
          <w:spacing w:val="-10"/>
        </w:rPr>
        <w:t>类基金份额，首次单笔转换的最小份额为 </w:t>
      </w:r>
      <w:r>
        <w:rPr>
          <w:rFonts w:ascii="Times New Roman" w:eastAsia="Times New Roman"/>
        </w:rPr>
        <w:t>50 </w:t>
      </w:r>
      <w:r>
        <w:rPr>
          <w:spacing w:val="-14"/>
        </w:rPr>
        <w:t>万份。</w:t>
      </w:r>
      <w:r>
        <w:rPr>
          <w:rFonts w:ascii="Times New Roman" w:eastAsia="Times New Roman"/>
        </w:rPr>
        <w:t>B </w:t>
      </w:r>
      <w:r>
        <w:rPr>
          <w:spacing w:val="-2"/>
        </w:rPr>
        <w:t>类基金</w:t>
      </w:r>
      <w:r>
        <w:rPr>
          <w:spacing w:val="7"/>
        </w:rPr>
        <w:t>份额转换为</w:t>
      </w:r>
      <w:r>
        <w:rPr>
          <w:rFonts w:ascii="Times New Roman" w:eastAsia="Times New Roman"/>
        </w:rPr>
        <w:t>A </w:t>
      </w:r>
      <w:r>
        <w:rPr>
          <w:spacing w:val="-6"/>
        </w:rPr>
        <w:t>类基金份额，单笔转换的最小份额为 </w:t>
      </w:r>
      <w:r>
        <w:rPr>
          <w:rFonts w:ascii="Times New Roman" w:eastAsia="Times New Roman"/>
        </w:rPr>
        <w:t>0.01 </w:t>
      </w:r>
      <w:r>
        <w:rPr>
          <w:spacing w:val="-3"/>
        </w:rPr>
        <w:t>份。</w:t>
      </w:r>
    </w:p>
    <w:p>
      <w:pPr>
        <w:pStyle w:val="BodyText"/>
        <w:spacing w:line="269" w:lineRule="exact"/>
        <w:ind w:left="1198"/>
      </w:pPr>
      <w:r>
        <w:rPr>
          <w:rFonts w:ascii="Times New Roman" w:eastAsia="Times New Roman"/>
        </w:rPr>
        <w:t>4</w:t>
      </w:r>
      <w:r>
        <w:rPr/>
        <w:t>、</w:t>
      </w:r>
      <w:r>
        <w:rPr>
          <w:rFonts w:ascii="Times New Roman" w:eastAsia="Times New Roman"/>
        </w:rPr>
        <w:t>A </w:t>
      </w:r>
      <w:r>
        <w:rPr/>
        <w:t>类基金份额与</w:t>
      </w:r>
      <w:r>
        <w:rPr>
          <w:rFonts w:ascii="Times New Roman" w:eastAsia="Times New Roman"/>
        </w:rPr>
        <w:t>B </w:t>
      </w:r>
      <w:r>
        <w:rPr/>
        <w:t>类基金份额之间的类别转换不收取转换费。</w:t>
      </w:r>
    </w:p>
    <w:p>
      <w:pPr>
        <w:pStyle w:val="BodyText"/>
        <w:spacing w:before="7"/>
        <w:rPr>
          <w:sz w:val="15"/>
        </w:rPr>
      </w:pPr>
    </w:p>
    <w:p>
      <w:pPr>
        <w:pStyle w:val="BodyText"/>
        <w:spacing w:line="417" w:lineRule="auto"/>
        <w:ind w:left="778" w:right="888" w:firstLine="419"/>
        <w:jc w:val="both"/>
      </w:pPr>
      <w:r>
        <w:rPr>
          <w:rFonts w:ascii="Times New Roman" w:eastAsia="Times New Roman"/>
        </w:rPr>
        <w:t>5</w:t>
      </w:r>
      <w:r>
        <w:rPr>
          <w:spacing w:val="-12"/>
        </w:rPr>
        <w:t>、正常情况下，基金登记机构将在 </w:t>
      </w:r>
      <w:r>
        <w:rPr>
          <w:rFonts w:ascii="Times New Roman" w:eastAsia="Times New Roman"/>
        </w:rPr>
        <w:t>T+1 </w:t>
      </w:r>
      <w:r>
        <w:rPr>
          <w:spacing w:val="7"/>
        </w:rPr>
        <w:t>日对投资者</w:t>
      </w:r>
      <w:r>
        <w:rPr>
          <w:rFonts w:ascii="Times New Roman" w:eastAsia="Times New Roman"/>
        </w:rPr>
        <w:t>T </w:t>
      </w:r>
      <w:r>
        <w:rPr>
          <w:spacing w:val="-3"/>
        </w:rPr>
        <w:t>日的类别转换业务申请进行有效</w:t>
      </w:r>
      <w:r>
        <w:rPr>
          <w:spacing w:val="-10"/>
        </w:rPr>
        <w:t>性确认，在 </w:t>
      </w:r>
      <w:r>
        <w:rPr>
          <w:rFonts w:ascii="Times New Roman" w:eastAsia="Times New Roman"/>
        </w:rPr>
        <w:t>T</w:t>
      </w:r>
      <w:r>
        <w:rPr/>
        <w:t>＋</w:t>
      </w:r>
      <w:r>
        <w:rPr>
          <w:rFonts w:ascii="Times New Roman" w:eastAsia="Times New Roman"/>
        </w:rPr>
        <w:t>2 </w:t>
      </w:r>
      <w:r>
        <w:rPr>
          <w:spacing w:val="-4"/>
        </w:rPr>
        <w:t>日后(包括该日)投资者可向销售机构查询类别转换的成交情况。投资者需</w:t>
      </w:r>
      <w:r>
        <w:rPr>
          <w:spacing w:val="-6"/>
        </w:rPr>
        <w:t>注意，若投资者在 </w:t>
      </w:r>
      <w:r>
        <w:rPr>
          <w:rFonts w:ascii="Times New Roman" w:eastAsia="Times New Roman"/>
        </w:rPr>
        <w:t>T </w:t>
      </w:r>
      <w:r>
        <w:rPr>
          <w:spacing w:val="-5"/>
        </w:rPr>
        <w:t>日提交了份额类别转换申请，则 </w:t>
      </w:r>
      <w:r>
        <w:rPr>
          <w:rFonts w:ascii="Times New Roman" w:eastAsia="Times New Roman"/>
        </w:rPr>
        <w:t>T+1 </w:t>
      </w:r>
      <w:r>
        <w:rPr>
          <w:spacing w:val="-3"/>
        </w:rPr>
        <w:t>日投资者对份额类别转换前的基</w:t>
      </w:r>
      <w:r>
        <w:rPr>
          <w:spacing w:val="-7"/>
        </w:rPr>
        <w:t>金份额提交的赎回、基金转换转出及转托管</w:t>
      </w:r>
      <w:r>
        <w:rPr/>
        <w:t>（</w:t>
      </w:r>
      <w:r>
        <w:rPr>
          <w:spacing w:val="-3"/>
        </w:rPr>
        <w:t>若有</w:t>
      </w:r>
      <w:r>
        <w:rPr>
          <w:spacing w:val="-22"/>
        </w:rPr>
        <w:t>）</w:t>
      </w:r>
      <w:r>
        <w:rPr>
          <w:spacing w:val="-6"/>
        </w:rPr>
        <w:t>等申请将确认失败，投资者需自行承担</w:t>
      </w:r>
      <w:r>
        <w:rPr>
          <w:spacing w:val="-4"/>
        </w:rPr>
        <w:t>由此造成的损失。</w:t>
      </w:r>
    </w:p>
    <w:p>
      <w:pPr>
        <w:pStyle w:val="BodyText"/>
        <w:spacing w:line="269" w:lineRule="exact"/>
        <w:ind w:left="1198"/>
        <w:jc w:val="both"/>
      </w:pPr>
      <w:r>
        <w:rPr>
          <w:rFonts w:ascii="Times New Roman" w:eastAsia="Times New Roman"/>
        </w:rPr>
        <w:t>A </w:t>
      </w:r>
      <w:r>
        <w:rPr/>
        <w:t>类、</w:t>
      </w:r>
      <w:r>
        <w:rPr>
          <w:rFonts w:ascii="Times New Roman" w:eastAsia="Times New Roman"/>
        </w:rPr>
        <w:t>B </w:t>
      </w:r>
      <w:r>
        <w:rPr/>
        <w:t>类基金份额的具体销售机构详见本基金管理人发布的相关公告。</w:t>
      </w:r>
    </w:p>
    <w:p>
      <w:pPr>
        <w:pStyle w:val="BodyText"/>
        <w:spacing w:before="6"/>
        <w:rPr>
          <w:sz w:val="15"/>
        </w:rPr>
      </w:pPr>
    </w:p>
    <w:p>
      <w:pPr>
        <w:pStyle w:val="BodyText"/>
        <w:spacing w:line="417" w:lineRule="auto" w:before="1"/>
        <w:ind w:left="778" w:right="889" w:firstLine="419"/>
        <w:jc w:val="both"/>
      </w:pPr>
      <w:r>
        <w:rPr>
          <w:rFonts w:ascii="Times New Roman" w:eastAsia="Times New Roman"/>
        </w:rPr>
        <w:t>A </w:t>
      </w:r>
      <w:r>
        <w:rPr>
          <w:spacing w:val="-10"/>
        </w:rPr>
        <w:t>类、</w:t>
      </w:r>
      <w:r>
        <w:rPr>
          <w:rFonts w:ascii="Times New Roman" w:eastAsia="Times New Roman"/>
        </w:rPr>
        <w:t>B </w:t>
      </w:r>
      <w:r>
        <w:rPr>
          <w:spacing w:val="-7"/>
        </w:rPr>
        <w:t>类基金份额的基金代码不同，投资者在提交申购、赎回等交易申请时，应正确</w:t>
      </w:r>
      <w:r>
        <w:rPr>
          <w:spacing w:val="-13"/>
        </w:rPr>
        <w:t>填写基金份额的代码，否则，因错误填写基金代码所造成的交易申请无效或被确认为错误类</w:t>
      </w:r>
      <w:r>
        <w:rPr>
          <w:spacing w:val="-12"/>
        </w:rPr>
        <w:t>别的后果由投资者自行承担。投资者申购申请确认成交后，实际获得的基金份额类别以本基</w:t>
      </w:r>
      <w:r>
        <w:rPr>
          <w:spacing w:val="-6"/>
        </w:rPr>
        <w:t>金的登记机构根据上述规则确认的基金份额类别为准。</w:t>
      </w:r>
    </w:p>
    <w:p>
      <w:pPr>
        <w:spacing w:after="0" w:line="417" w:lineRule="auto"/>
        <w:jc w:val="both"/>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4" w:firstLine="419"/>
        <w:jc w:val="both"/>
      </w:pPr>
      <w:r>
        <w:rPr/>
        <w:t>（</w:t>
      </w:r>
      <w:r>
        <w:rPr>
          <w:spacing w:val="-3"/>
        </w:rPr>
        <w:t>四</w:t>
      </w:r>
      <w:r>
        <w:rPr>
          <w:spacing w:val="-29"/>
        </w:rPr>
        <w:t>）</w:t>
      </w:r>
      <w:r>
        <w:rPr>
          <w:spacing w:val="-6"/>
        </w:rPr>
        <w:t>基金管理人可以在不违反法律法规的情况下，增加新的基金份额类别，或者调整</w:t>
      </w:r>
      <w:r>
        <w:rPr>
          <w:spacing w:val="-8"/>
        </w:rPr>
        <w:t>现有基金份额类别设置及各类别的费率水平、数额限制、相关规则和各类基金份额的具体销</w:t>
      </w:r>
      <w:r>
        <w:rPr>
          <w:spacing w:val="-5"/>
        </w:rPr>
        <w:t>售机构，或者停止现有基金份额类别的销售等，并在更新的招募说明书或相关公告中披露。</w:t>
      </w:r>
    </w:p>
    <w:p>
      <w:pPr>
        <w:pStyle w:val="BodyText"/>
        <w:spacing w:before="5"/>
        <w:rPr>
          <w:sz w:val="20"/>
        </w:rPr>
      </w:pPr>
    </w:p>
    <w:p>
      <w:pPr>
        <w:pStyle w:val="Heading1"/>
      </w:pPr>
      <w:bookmarkStart w:name="_bookmark6" w:id="7"/>
      <w:bookmarkEnd w:id="7"/>
      <w:r>
        <w:rPr>
          <w:b w:val="0"/>
        </w:rPr>
      </w:r>
      <w:r>
        <w:rPr/>
        <w:t>七、基金的募集</w:t>
      </w:r>
    </w:p>
    <w:p>
      <w:pPr>
        <w:pStyle w:val="BodyText"/>
        <w:rPr>
          <w:b/>
          <w:sz w:val="20"/>
        </w:rPr>
      </w:pPr>
    </w:p>
    <w:p>
      <w:pPr>
        <w:pStyle w:val="BodyText"/>
        <w:spacing w:before="7"/>
        <w:rPr>
          <w:b/>
          <w:sz w:val="15"/>
        </w:rPr>
      </w:pPr>
    </w:p>
    <w:p>
      <w:pPr>
        <w:pStyle w:val="BodyText"/>
        <w:spacing w:line="417" w:lineRule="auto"/>
        <w:ind w:left="778" w:right="884" w:firstLine="419"/>
        <w:jc w:val="both"/>
      </w:pPr>
      <w:r>
        <w:rPr>
          <w:spacing w:val="-7"/>
        </w:rPr>
        <w:t>华夏现金增利证券投资基金由华夏基金管理有限公司依照原《证券投资基金管理暂行办</w:t>
      </w:r>
      <w:r>
        <w:rPr>
          <w:spacing w:val="-13"/>
        </w:rPr>
        <w:t>法》及其实施准则、《开放式证券投资基金试点办法》等有关法规以及《华夏现金增利证券</w:t>
      </w:r>
      <w:r>
        <w:rPr>
          <w:spacing w:val="-6"/>
        </w:rPr>
        <w:t>投资基金基金契约</w:t>
      </w:r>
      <w:r>
        <w:rPr>
          <w:spacing w:val="-137"/>
        </w:rPr>
        <w:t>》</w:t>
      </w:r>
      <w:r>
        <w:rPr/>
        <w:t>（</w:t>
      </w:r>
      <w:r>
        <w:rPr>
          <w:spacing w:val="-3"/>
        </w:rPr>
        <w:t>于</w:t>
      </w:r>
      <w:r>
        <w:rPr>
          <w:rFonts w:ascii="Times New Roman" w:eastAsia="Times New Roman"/>
        </w:rPr>
        <w:t>2004</w:t>
      </w:r>
      <w:r>
        <w:rPr/>
        <w:t>年</w:t>
      </w:r>
      <w:r>
        <w:rPr>
          <w:rFonts w:ascii="Times New Roman" w:eastAsia="Times New Roman"/>
        </w:rPr>
        <w:t>10</w:t>
      </w:r>
      <w:r>
        <w:rPr/>
        <w:t>月</w:t>
      </w:r>
      <w:r>
        <w:rPr>
          <w:rFonts w:ascii="Times New Roman" w:eastAsia="Times New Roman"/>
        </w:rPr>
        <w:t>15</w:t>
      </w:r>
      <w:r>
        <w:rPr>
          <w:spacing w:val="-12"/>
        </w:rPr>
        <w:t>日修改为《华夏现金增利证券投资基金基金合同》</w:t>
      </w:r>
      <w:r>
        <w:rPr>
          <w:spacing w:val="-29"/>
        </w:rPr>
        <w:t>）</w:t>
      </w:r>
      <w:r>
        <w:rPr/>
        <w:t>及</w:t>
      </w:r>
      <w:r>
        <w:rPr>
          <w:spacing w:val="1"/>
        </w:rPr>
        <w:t>其它有关规定，经中国证券监督管理委员会</w:t>
      </w:r>
      <w:r>
        <w:rPr>
          <w:rFonts w:ascii="Times New Roman" w:eastAsia="Times New Roman"/>
        </w:rPr>
        <w:t>2004</w:t>
      </w:r>
      <w:r>
        <w:rPr/>
        <w:t>年</w:t>
      </w:r>
      <w:r>
        <w:rPr>
          <w:rFonts w:ascii="Times New Roman" w:eastAsia="Times New Roman"/>
          <w:spacing w:val="4"/>
        </w:rPr>
        <w:t>3</w:t>
      </w:r>
      <w:r>
        <w:rPr>
          <w:spacing w:val="4"/>
        </w:rPr>
        <w:t>月</w:t>
      </w:r>
      <w:r>
        <w:rPr>
          <w:rFonts w:ascii="Times New Roman" w:eastAsia="Times New Roman"/>
          <w:spacing w:val="4"/>
        </w:rPr>
        <w:t>5</w:t>
      </w:r>
      <w:r>
        <w:rPr>
          <w:spacing w:val="4"/>
        </w:rPr>
        <w:t>日证监基金字</w:t>
      </w:r>
      <w:r>
        <w:rPr>
          <w:rFonts w:ascii="Times New Roman" w:eastAsia="Times New Roman"/>
        </w:rPr>
        <w:t>[2004]23</w:t>
      </w:r>
      <w:r>
        <w:rPr>
          <w:spacing w:val="4"/>
        </w:rPr>
        <w:t>号文批准募</w:t>
      </w:r>
      <w:r>
        <w:rPr/>
        <w:t>集。</w:t>
      </w:r>
    </w:p>
    <w:p>
      <w:pPr>
        <w:pStyle w:val="BodyText"/>
        <w:spacing w:line="269" w:lineRule="exact"/>
        <w:ind w:left="1198"/>
      </w:pPr>
      <w:r>
        <w:rPr/>
        <w:t>本基金为契约型开放式基金，基金存续期限为不定期。</w:t>
      </w:r>
    </w:p>
    <w:p>
      <w:pPr>
        <w:pStyle w:val="BodyText"/>
        <w:spacing w:before="7"/>
        <w:rPr>
          <w:sz w:val="15"/>
        </w:rPr>
      </w:pPr>
    </w:p>
    <w:p>
      <w:pPr>
        <w:pStyle w:val="BodyText"/>
        <w:spacing w:line="417" w:lineRule="auto"/>
        <w:ind w:left="1198" w:right="3162"/>
      </w:pPr>
      <w:r>
        <w:rPr/>
        <w:t>本基金募集期间基金份额净值为人民币</w:t>
      </w:r>
      <w:r>
        <w:rPr>
          <w:rFonts w:ascii="Times New Roman" w:eastAsia="Times New Roman"/>
        </w:rPr>
        <w:t>1.00</w:t>
      </w:r>
      <w:r>
        <w:rPr/>
        <w:t>元，按面值发售。本基金自</w:t>
      </w:r>
      <w:r>
        <w:rPr>
          <w:rFonts w:ascii="Times New Roman" w:eastAsia="Times New Roman"/>
        </w:rPr>
        <w:t>2004</w:t>
      </w:r>
      <w:r>
        <w:rPr/>
        <w:t>年</w:t>
      </w:r>
      <w:r>
        <w:rPr>
          <w:rFonts w:ascii="Times New Roman" w:eastAsia="Times New Roman"/>
        </w:rPr>
        <w:t>3</w:t>
      </w:r>
      <w:r>
        <w:rPr/>
        <w:t>月</w:t>
      </w:r>
      <w:r>
        <w:rPr>
          <w:rFonts w:ascii="Times New Roman" w:eastAsia="Times New Roman"/>
        </w:rPr>
        <w:t>8</w:t>
      </w:r>
      <w:r>
        <w:rPr/>
        <w:t>日到</w:t>
      </w:r>
      <w:r>
        <w:rPr>
          <w:rFonts w:ascii="Times New Roman" w:eastAsia="Times New Roman"/>
        </w:rPr>
        <w:t>2004</w:t>
      </w:r>
      <w:r>
        <w:rPr/>
        <w:t>年</w:t>
      </w:r>
      <w:r>
        <w:rPr>
          <w:rFonts w:ascii="Times New Roman" w:eastAsia="Times New Roman"/>
        </w:rPr>
        <w:t>4</w:t>
      </w:r>
      <w:r>
        <w:rPr/>
        <w:t>月</w:t>
      </w:r>
      <w:r>
        <w:rPr>
          <w:rFonts w:ascii="Times New Roman" w:eastAsia="Times New Roman"/>
        </w:rPr>
        <w:t>2</w:t>
      </w:r>
      <w:r>
        <w:rPr/>
        <w:t>日进行发售。</w:t>
      </w:r>
    </w:p>
    <w:p>
      <w:pPr>
        <w:pStyle w:val="BodyText"/>
        <w:spacing w:line="650" w:lineRule="auto"/>
        <w:ind w:left="3985" w:right="1275" w:hanging="2787"/>
        <w:rPr>
          <w:b/>
        </w:rPr>
      </w:pPr>
      <w:r>
        <w:rPr/>
        <w:t>本基金设立募集期共募集</w:t>
      </w:r>
      <w:r>
        <w:rPr>
          <w:rFonts w:ascii="Times New Roman" w:eastAsia="Times New Roman"/>
        </w:rPr>
        <w:t>6,426,134,798.32</w:t>
      </w:r>
      <w:r>
        <w:rPr/>
        <w:t>份基金份额。有效认购户数为</w:t>
      </w:r>
      <w:r>
        <w:rPr>
          <w:rFonts w:ascii="Times New Roman" w:eastAsia="Times New Roman"/>
        </w:rPr>
        <w:t>89,983</w:t>
      </w:r>
      <w:r>
        <w:rPr/>
        <w:t>户。</w:t>
      </w:r>
      <w:bookmarkStart w:name="_bookmark7" w:id="8"/>
      <w:bookmarkEnd w:id="8"/>
      <w:r>
        <w:rPr/>
      </w:r>
      <w:r>
        <w:rPr>
          <w:b/>
        </w:rPr>
        <w:t>八、基金合同的生效</w:t>
      </w:r>
    </w:p>
    <w:p>
      <w:pPr>
        <w:pStyle w:val="BodyText"/>
        <w:spacing w:line="417" w:lineRule="auto"/>
        <w:ind w:left="778" w:right="891" w:firstLine="419"/>
      </w:pPr>
      <w:r>
        <w:rPr>
          <w:spacing w:val="-9"/>
        </w:rPr>
        <w:t>根据有关规定，本基金满足基金合同生效条件，基金合同于</w:t>
      </w:r>
      <w:r>
        <w:rPr>
          <w:rFonts w:ascii="Times New Roman" w:eastAsia="Times New Roman"/>
        </w:rPr>
        <w:t>2004</w:t>
      </w:r>
      <w:r>
        <w:rPr>
          <w:spacing w:val="-3"/>
        </w:rPr>
        <w:t>年</w:t>
      </w:r>
      <w:r>
        <w:rPr>
          <w:rFonts w:ascii="Times New Roman" w:eastAsia="Times New Roman"/>
        </w:rPr>
        <w:t>4</w:t>
      </w:r>
      <w:r>
        <w:rPr/>
        <w:t>月</w:t>
      </w:r>
      <w:r>
        <w:rPr>
          <w:rFonts w:ascii="Times New Roman" w:eastAsia="Times New Roman"/>
          <w:spacing w:val="-3"/>
        </w:rPr>
        <w:t>7</w:t>
      </w:r>
      <w:r>
        <w:rPr>
          <w:spacing w:val="-7"/>
        </w:rPr>
        <w:t>日正式生效。自</w:t>
      </w:r>
      <w:r>
        <w:rPr>
          <w:spacing w:val="-5"/>
        </w:rPr>
        <w:t>基金合同生效日起，本基金管理人正式开始管理本基金。</w:t>
      </w:r>
    </w:p>
    <w:p>
      <w:pPr>
        <w:pStyle w:val="BodyText"/>
        <w:spacing w:before="4"/>
        <w:rPr>
          <w:sz w:val="20"/>
        </w:rPr>
      </w:pPr>
    </w:p>
    <w:p>
      <w:pPr>
        <w:pStyle w:val="Heading1"/>
      </w:pPr>
      <w:bookmarkStart w:name="_bookmark8" w:id="9"/>
      <w:bookmarkEnd w:id="9"/>
      <w:r>
        <w:rPr>
          <w:b w:val="0"/>
        </w:rPr>
      </w:r>
      <w:r>
        <w:rPr/>
        <w:t>九、基金份额的申购、赎回与转换</w:t>
      </w:r>
    </w:p>
    <w:p>
      <w:pPr>
        <w:pStyle w:val="BodyText"/>
        <w:rPr>
          <w:b/>
          <w:sz w:val="20"/>
        </w:rPr>
      </w:pPr>
    </w:p>
    <w:p>
      <w:pPr>
        <w:pStyle w:val="BodyText"/>
        <w:spacing w:before="9"/>
        <w:rPr>
          <w:b/>
          <w:sz w:val="15"/>
        </w:rPr>
      </w:pPr>
    </w:p>
    <w:p>
      <w:pPr>
        <w:pStyle w:val="BodyText"/>
        <w:ind w:left="1198"/>
      </w:pPr>
      <w:r>
        <w:rPr/>
        <w:t>（一）基金投资者范围</w:t>
      </w:r>
    </w:p>
    <w:p>
      <w:pPr>
        <w:pStyle w:val="BodyText"/>
        <w:spacing w:before="8"/>
        <w:rPr>
          <w:sz w:val="15"/>
        </w:rPr>
      </w:pPr>
    </w:p>
    <w:p>
      <w:pPr>
        <w:pStyle w:val="BodyText"/>
        <w:spacing w:line="417" w:lineRule="auto"/>
        <w:ind w:left="778" w:right="889" w:firstLine="419"/>
        <w:jc w:val="both"/>
      </w:pPr>
      <w:r>
        <w:rPr>
          <w:spacing w:val="-8"/>
        </w:rPr>
        <w:t>中华人民共和国境内的自然人、法人及其他组织</w:t>
      </w:r>
      <w:r>
        <w:rPr>
          <w:spacing w:val="-3"/>
        </w:rPr>
        <w:t>（法律法规禁止购买证券投资基金者除</w:t>
      </w:r>
      <w:r>
        <w:rPr>
          <w:spacing w:val="-3"/>
          <w:w w:val="100"/>
        </w:rPr>
        <w:t>外</w:t>
      </w:r>
      <w:r>
        <w:rPr>
          <w:spacing w:val="-106"/>
          <w:w w:val="100"/>
        </w:rPr>
        <w:t>）</w:t>
      </w:r>
      <w:r>
        <w:rPr>
          <w:spacing w:val="-3"/>
          <w:w w:val="100"/>
        </w:rPr>
        <w:t>，以及合格境外机构投资者和法律法规或中国证监会允许购买证券投资基金的其他投资</w:t>
      </w:r>
      <w:r>
        <w:rPr>
          <w:spacing w:val="-3"/>
        </w:rPr>
        <w:t>者。</w:t>
      </w:r>
    </w:p>
    <w:p>
      <w:pPr>
        <w:pStyle w:val="BodyText"/>
        <w:spacing w:line="269" w:lineRule="exact"/>
        <w:ind w:left="1198"/>
      </w:pPr>
      <w:r>
        <w:rPr/>
        <w:t>（二）申购与赎回办理的场所</w:t>
      </w:r>
    </w:p>
    <w:p>
      <w:pPr>
        <w:pStyle w:val="BodyText"/>
        <w:spacing w:before="6"/>
        <w:rPr>
          <w:sz w:val="15"/>
        </w:rPr>
      </w:pPr>
    </w:p>
    <w:p>
      <w:pPr>
        <w:pStyle w:val="BodyText"/>
        <w:spacing w:before="1"/>
        <w:ind w:left="1198"/>
      </w:pPr>
      <w:r>
        <w:rPr>
          <w:rFonts w:ascii="Times New Roman" w:eastAsia="Times New Roman"/>
        </w:rPr>
        <w:t>1</w:t>
      </w:r>
      <w:r>
        <w:rPr/>
        <w:t>、直销机构</w:t>
      </w:r>
    </w:p>
    <w:p>
      <w:pPr>
        <w:pStyle w:val="BodyText"/>
        <w:spacing w:before="6"/>
        <w:rPr>
          <w:sz w:val="15"/>
        </w:rPr>
      </w:pPr>
    </w:p>
    <w:p>
      <w:pPr>
        <w:pStyle w:val="BodyText"/>
        <w:spacing w:line="417" w:lineRule="auto"/>
        <w:ind w:left="778" w:right="891" w:firstLine="419"/>
      </w:pPr>
      <w:r>
        <w:rPr>
          <w:spacing w:val="-8"/>
        </w:rPr>
        <w:t>本基金直销机构为本公司北京分公司、上海分公司、深圳分公司、南京分公司、杭州分</w:t>
      </w:r>
      <w:r>
        <w:rPr>
          <w:spacing w:val="-5"/>
        </w:rPr>
        <w:t>公司、广州分公司、成都分公司，设在北京、广州的投资理财中心以及电子交易平台。</w:t>
      </w: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北京分公司</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line="417" w:lineRule="auto" w:before="78"/>
        <w:ind w:left="1198" w:right="3075"/>
        <w:rPr>
          <w:rFonts w:ascii="Times New Roman" w:eastAsia="Times New Roman"/>
        </w:rPr>
      </w:pPr>
      <w:r>
        <w:rPr>
          <w:spacing w:val="-3"/>
        </w:rPr>
        <w:t>地址：北京市西城区金融大街</w:t>
      </w:r>
      <w:r>
        <w:rPr>
          <w:rFonts w:ascii="Times New Roman" w:eastAsia="Times New Roman"/>
        </w:rPr>
        <w:t>33</w:t>
      </w:r>
      <w:r>
        <w:rPr>
          <w:spacing w:val="-3"/>
        </w:rPr>
        <w:t>号通泰大厦</w:t>
      </w:r>
      <w:r>
        <w:rPr>
          <w:rFonts w:ascii="Times New Roman" w:eastAsia="Times New Roman"/>
        </w:rPr>
        <w:t>B</w:t>
      </w:r>
      <w:r>
        <w:rPr/>
        <w:t>座</w:t>
      </w:r>
      <w:r>
        <w:rPr>
          <w:rFonts w:ascii="Times New Roman" w:eastAsia="Times New Roman"/>
          <w:spacing w:val="-3"/>
        </w:rPr>
        <w:t>1</w:t>
      </w:r>
      <w:r>
        <w:rPr>
          <w:spacing w:val="-3"/>
        </w:rPr>
        <w:t>层</w:t>
      </w:r>
      <w:r>
        <w:rPr/>
        <w:t>（</w:t>
      </w:r>
      <w:r>
        <w:rPr>
          <w:rFonts w:ascii="Times New Roman" w:eastAsia="Times New Roman"/>
        </w:rPr>
        <w:t>100033</w:t>
      </w:r>
      <w:r>
        <w:rPr/>
        <w:t>） 电话：</w:t>
      </w:r>
      <w:r>
        <w:rPr>
          <w:rFonts w:ascii="Times New Roman" w:eastAsia="Times New Roman"/>
        </w:rPr>
        <w:t>010-88087226</w:t>
      </w:r>
    </w:p>
    <w:p>
      <w:pPr>
        <w:pStyle w:val="BodyText"/>
        <w:spacing w:line="269" w:lineRule="exact"/>
        <w:ind w:left="1198"/>
        <w:rPr>
          <w:rFonts w:ascii="Times New Roman" w:eastAsia="Times New Roman"/>
        </w:rPr>
      </w:pPr>
      <w:r>
        <w:rPr>
          <w:spacing w:val="-1"/>
        </w:rPr>
        <w:t>传真：</w:t>
      </w:r>
      <w:r>
        <w:rPr>
          <w:rFonts w:ascii="Times New Roman" w:eastAsia="Times New Roman"/>
          <w:spacing w:val="-1"/>
        </w:rPr>
        <w:t>010-88066028</w:t>
      </w:r>
    </w:p>
    <w:p>
      <w:pPr>
        <w:pStyle w:val="BodyText"/>
        <w:spacing w:before="4"/>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北京东中街投资理财中心</w:t>
      </w:r>
    </w:p>
    <w:p>
      <w:pPr>
        <w:pStyle w:val="BodyText"/>
        <w:spacing w:before="6"/>
        <w:rPr>
          <w:sz w:val="15"/>
        </w:rPr>
      </w:pPr>
    </w:p>
    <w:p>
      <w:pPr>
        <w:pStyle w:val="BodyText"/>
        <w:spacing w:line="417" w:lineRule="auto"/>
        <w:ind w:left="1198" w:right="3181"/>
        <w:rPr>
          <w:rFonts w:ascii="Times New Roman" w:eastAsia="Times New Roman"/>
        </w:rPr>
      </w:pPr>
      <w:r>
        <w:rPr>
          <w:spacing w:val="-3"/>
        </w:rPr>
        <w:t>地址：北京市东城区东中街</w:t>
      </w:r>
      <w:r>
        <w:rPr>
          <w:rFonts w:ascii="Times New Roman" w:eastAsia="Times New Roman"/>
        </w:rPr>
        <w:t>29</w:t>
      </w:r>
      <w:r>
        <w:rPr>
          <w:spacing w:val="-3"/>
        </w:rPr>
        <w:t>号东环广场</w:t>
      </w:r>
      <w:r>
        <w:rPr>
          <w:rFonts w:ascii="Times New Roman" w:eastAsia="Times New Roman"/>
        </w:rPr>
        <w:t>B</w:t>
      </w:r>
      <w:r>
        <w:rPr>
          <w:spacing w:val="-2"/>
        </w:rPr>
        <w:t>座一层</w:t>
      </w:r>
      <w:r>
        <w:rPr/>
        <w:t>（</w:t>
      </w:r>
      <w:r>
        <w:rPr>
          <w:rFonts w:ascii="Times New Roman" w:eastAsia="Times New Roman"/>
        </w:rPr>
        <w:t>100027</w:t>
      </w:r>
      <w:r>
        <w:rPr/>
        <w:t>） 电话：</w:t>
      </w:r>
      <w:r>
        <w:rPr>
          <w:rFonts w:ascii="Times New Roman" w:eastAsia="Times New Roman"/>
        </w:rPr>
        <w:t>010-64185183</w:t>
      </w:r>
    </w:p>
    <w:p>
      <w:pPr>
        <w:pStyle w:val="BodyText"/>
        <w:spacing w:line="269" w:lineRule="exact"/>
        <w:ind w:left="1198"/>
        <w:rPr>
          <w:rFonts w:ascii="Times New Roman" w:eastAsia="Times New Roman"/>
        </w:rPr>
      </w:pPr>
      <w:r>
        <w:rPr>
          <w:spacing w:val="-1"/>
        </w:rPr>
        <w:t>传真：</w:t>
      </w:r>
      <w:r>
        <w:rPr>
          <w:rFonts w:ascii="Times New Roman" w:eastAsia="Times New Roman"/>
          <w:spacing w:val="-1"/>
        </w:rPr>
        <w:t>010-64185180</w:t>
      </w:r>
    </w:p>
    <w:p>
      <w:pPr>
        <w:pStyle w:val="BodyText"/>
        <w:spacing w:before="4"/>
        <w:rPr>
          <w:rFonts w:ascii="Times New Roman"/>
          <w:sz w:val="17"/>
        </w:rPr>
      </w:pPr>
    </w:p>
    <w:p>
      <w:pPr>
        <w:pStyle w:val="ListParagraph"/>
        <w:numPr>
          <w:ilvl w:val="0"/>
          <w:numId w:val="9"/>
        </w:numPr>
        <w:tabs>
          <w:tab w:pos="1727" w:val="left" w:leader="none"/>
        </w:tabs>
        <w:spacing w:line="240" w:lineRule="auto" w:before="1" w:after="0"/>
        <w:ind w:left="1727" w:right="0" w:hanging="529"/>
        <w:jc w:val="left"/>
        <w:rPr>
          <w:sz w:val="21"/>
        </w:rPr>
      </w:pPr>
      <w:r>
        <w:rPr>
          <w:spacing w:val="-3"/>
          <w:sz w:val="21"/>
        </w:rPr>
        <w:t>北京科学院南路投资理财中心</w:t>
      </w:r>
    </w:p>
    <w:p>
      <w:pPr>
        <w:pStyle w:val="BodyText"/>
        <w:spacing w:before="6"/>
        <w:rPr>
          <w:sz w:val="15"/>
        </w:rPr>
      </w:pPr>
    </w:p>
    <w:p>
      <w:pPr>
        <w:pStyle w:val="BodyText"/>
        <w:spacing w:line="417" w:lineRule="auto"/>
        <w:ind w:left="1198" w:right="1222"/>
        <w:rPr>
          <w:rFonts w:ascii="Times New Roman" w:eastAsia="Times New Roman"/>
        </w:rPr>
      </w:pPr>
      <w:r>
        <w:rPr>
          <w:spacing w:val="-3"/>
          <w:w w:val="100"/>
        </w:rPr>
        <w:t>地址：北京市海淀区中关村科学院南路</w:t>
      </w:r>
      <w:r>
        <w:rPr>
          <w:rFonts w:ascii="Times New Roman" w:eastAsia="Times New Roman"/>
          <w:spacing w:val="-3"/>
          <w:w w:val="100"/>
        </w:rPr>
        <w:t>9</w:t>
      </w:r>
      <w:r>
        <w:rPr>
          <w:w w:val="100"/>
        </w:rPr>
        <w:t>号</w:t>
      </w:r>
      <w:r>
        <w:rPr>
          <w:spacing w:val="-3"/>
          <w:w w:val="100"/>
        </w:rPr>
        <w:t>（新科祥园小区大门口一层</w:t>
      </w:r>
      <w:r>
        <w:rPr>
          <w:spacing w:val="-108"/>
          <w:w w:val="100"/>
        </w:rPr>
        <w:t>）</w:t>
      </w:r>
      <w:r>
        <w:rPr>
          <w:w w:val="100"/>
        </w:rPr>
        <w:t>（</w:t>
      </w:r>
      <w:r>
        <w:rPr>
          <w:rFonts w:ascii="Times New Roman" w:eastAsia="Times New Roman"/>
          <w:w w:val="100"/>
        </w:rPr>
        <w:t>10</w:t>
      </w:r>
      <w:r>
        <w:rPr>
          <w:rFonts w:ascii="Times New Roman" w:eastAsia="Times New Roman"/>
          <w:spacing w:val="-3"/>
          <w:w w:val="100"/>
        </w:rPr>
        <w:t>01</w:t>
      </w:r>
      <w:r>
        <w:rPr>
          <w:rFonts w:ascii="Times New Roman" w:eastAsia="Times New Roman"/>
          <w:w w:val="100"/>
        </w:rPr>
        <w:t>9</w:t>
      </w:r>
      <w:r>
        <w:rPr>
          <w:rFonts w:ascii="Times New Roman" w:eastAsia="Times New Roman"/>
          <w:spacing w:val="-1"/>
          <w:w w:val="100"/>
        </w:rPr>
        <w:t>0</w:t>
      </w:r>
      <w:r>
        <w:rPr>
          <w:w w:val="100"/>
        </w:rPr>
        <w:t>）</w:t>
      </w:r>
      <w:r>
        <w:rPr/>
        <w:t>电话：</w:t>
      </w:r>
      <w:r>
        <w:rPr>
          <w:rFonts w:ascii="Times New Roman" w:eastAsia="Times New Roman"/>
        </w:rPr>
        <w:t>010-82523198</w:t>
      </w:r>
    </w:p>
    <w:p>
      <w:pPr>
        <w:pStyle w:val="BodyText"/>
        <w:spacing w:line="269" w:lineRule="exact"/>
        <w:ind w:left="1198"/>
        <w:rPr>
          <w:rFonts w:ascii="Times New Roman" w:eastAsia="Times New Roman"/>
        </w:rPr>
      </w:pPr>
      <w:r>
        <w:rPr>
          <w:spacing w:val="-1"/>
        </w:rPr>
        <w:t>传真：</w:t>
      </w:r>
      <w:r>
        <w:rPr>
          <w:rFonts w:ascii="Times New Roman" w:eastAsia="Times New Roman"/>
          <w:spacing w:val="-1"/>
        </w:rPr>
        <w:t>010-82523196</w:t>
      </w:r>
    </w:p>
    <w:p>
      <w:pPr>
        <w:pStyle w:val="BodyText"/>
        <w:spacing w:before="4"/>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北京东四环投资理财中心</w:t>
      </w:r>
    </w:p>
    <w:p>
      <w:pPr>
        <w:pStyle w:val="BodyText"/>
        <w:spacing w:before="6"/>
        <w:rPr>
          <w:sz w:val="15"/>
        </w:rPr>
      </w:pPr>
    </w:p>
    <w:p>
      <w:pPr>
        <w:pStyle w:val="BodyText"/>
        <w:spacing w:line="417" w:lineRule="auto"/>
        <w:ind w:left="1198" w:right="1642"/>
        <w:rPr>
          <w:rFonts w:ascii="Times New Roman" w:eastAsia="Times New Roman"/>
        </w:rPr>
      </w:pPr>
      <w:r>
        <w:rPr>
          <w:spacing w:val="-3"/>
        </w:rPr>
        <w:t>地址：北京市朝阳区八里庄西里</w:t>
      </w:r>
      <w:r>
        <w:rPr>
          <w:rFonts w:ascii="Times New Roman" w:eastAsia="Times New Roman"/>
        </w:rPr>
        <w:t>100</w:t>
      </w:r>
      <w:r>
        <w:rPr>
          <w:spacing w:val="-2"/>
        </w:rPr>
        <w:t>号住邦</w:t>
      </w:r>
      <w:r>
        <w:rPr>
          <w:rFonts w:ascii="Times New Roman" w:eastAsia="Times New Roman"/>
        </w:rPr>
        <w:t>2000</w:t>
      </w:r>
      <w:r>
        <w:rPr>
          <w:spacing w:val="-2"/>
        </w:rPr>
        <w:t>商务中心</w:t>
      </w:r>
      <w:r>
        <w:rPr>
          <w:rFonts w:ascii="Times New Roman" w:eastAsia="Times New Roman"/>
          <w:spacing w:val="-3"/>
        </w:rPr>
        <w:t>1</w:t>
      </w:r>
      <w:r>
        <w:rPr>
          <w:spacing w:val="-3"/>
        </w:rPr>
        <w:t>号楼一层</w:t>
      </w:r>
      <w:r>
        <w:rPr/>
        <w:t>（</w:t>
      </w:r>
      <w:r>
        <w:rPr>
          <w:rFonts w:ascii="Times New Roman" w:eastAsia="Times New Roman"/>
        </w:rPr>
        <w:t>100025</w:t>
      </w:r>
      <w:r>
        <w:rPr/>
        <w:t>） 电话：</w:t>
      </w:r>
      <w:r>
        <w:rPr>
          <w:rFonts w:ascii="Times New Roman" w:eastAsia="Times New Roman"/>
        </w:rPr>
        <w:t>010-85869755</w:t>
      </w:r>
    </w:p>
    <w:p>
      <w:pPr>
        <w:pStyle w:val="BodyText"/>
        <w:spacing w:before="1"/>
        <w:ind w:left="1198"/>
        <w:rPr>
          <w:rFonts w:ascii="Times New Roman" w:eastAsia="Times New Roman"/>
        </w:rPr>
      </w:pPr>
      <w:r>
        <w:rPr>
          <w:spacing w:val="-1"/>
        </w:rPr>
        <w:t>传真：</w:t>
      </w:r>
      <w:r>
        <w:rPr>
          <w:rFonts w:ascii="Times New Roman" w:eastAsia="Times New Roman"/>
          <w:spacing w:val="-1"/>
        </w:rPr>
        <w:t>010-85869575</w:t>
      </w:r>
    </w:p>
    <w:p>
      <w:pPr>
        <w:pStyle w:val="BodyText"/>
        <w:spacing w:before="3"/>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北京望京投资理财中心</w:t>
      </w:r>
    </w:p>
    <w:p>
      <w:pPr>
        <w:pStyle w:val="BodyText"/>
        <w:spacing w:before="7"/>
        <w:rPr>
          <w:sz w:val="15"/>
        </w:rPr>
      </w:pPr>
    </w:p>
    <w:p>
      <w:pPr>
        <w:pStyle w:val="BodyText"/>
        <w:spacing w:line="417" w:lineRule="auto"/>
        <w:ind w:left="1198" w:right="3217"/>
        <w:rPr>
          <w:rFonts w:ascii="Times New Roman" w:eastAsia="Times New Roman"/>
        </w:rPr>
      </w:pPr>
      <w:r>
        <w:rPr>
          <w:spacing w:val="-3"/>
        </w:rPr>
        <w:t>地址：北京市朝阳区望京宏泰东街绿地中国锦</w:t>
      </w:r>
      <w:r>
        <w:rPr>
          <w:rFonts w:ascii="Times New Roman" w:eastAsia="Times New Roman"/>
        </w:rPr>
        <w:t>103</w:t>
      </w:r>
      <w:r>
        <w:rPr/>
        <w:t>（</w:t>
      </w:r>
      <w:r>
        <w:rPr>
          <w:rFonts w:ascii="Times New Roman" w:eastAsia="Times New Roman"/>
        </w:rPr>
        <w:t>100102</w:t>
      </w:r>
      <w:r>
        <w:rPr/>
        <w:t>） 电话：</w:t>
      </w:r>
      <w:r>
        <w:rPr>
          <w:rFonts w:ascii="Times New Roman" w:eastAsia="Times New Roman"/>
        </w:rPr>
        <w:t>010-</w:t>
      </w:r>
      <w:r>
        <w:rPr>
          <w:rFonts w:ascii="Times New Roman" w:eastAsia="Times New Roman"/>
          <w:spacing w:val="-3"/>
        </w:rPr>
        <w:t> </w:t>
      </w:r>
      <w:r>
        <w:rPr>
          <w:rFonts w:ascii="Times New Roman" w:eastAsia="Times New Roman"/>
        </w:rPr>
        <w:t>64709882</w:t>
      </w:r>
    </w:p>
    <w:p>
      <w:pPr>
        <w:pStyle w:val="BodyText"/>
        <w:spacing w:line="269" w:lineRule="exact"/>
        <w:ind w:left="1198"/>
        <w:rPr>
          <w:rFonts w:ascii="Times New Roman" w:eastAsia="Times New Roman"/>
        </w:rPr>
      </w:pPr>
      <w:r>
        <w:rPr/>
        <w:t>传真：</w:t>
      </w:r>
      <w:r>
        <w:rPr>
          <w:rFonts w:ascii="Times New Roman" w:eastAsia="Times New Roman"/>
        </w:rPr>
        <w:t>010-</w:t>
      </w:r>
      <w:r>
        <w:rPr>
          <w:rFonts w:ascii="Times New Roman" w:eastAsia="Times New Roman"/>
          <w:spacing w:val="1"/>
        </w:rPr>
        <w:t> </w:t>
      </w:r>
      <w:r>
        <w:rPr>
          <w:rFonts w:ascii="Times New Roman" w:eastAsia="Times New Roman"/>
        </w:rPr>
        <w:t>64702330</w:t>
      </w:r>
    </w:p>
    <w:p>
      <w:pPr>
        <w:pStyle w:val="BodyText"/>
        <w:spacing w:before="3"/>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上海分公司</w:t>
      </w:r>
    </w:p>
    <w:p>
      <w:pPr>
        <w:pStyle w:val="BodyText"/>
        <w:spacing w:before="7"/>
        <w:rPr>
          <w:sz w:val="15"/>
        </w:rPr>
      </w:pPr>
    </w:p>
    <w:p>
      <w:pPr>
        <w:pStyle w:val="BodyText"/>
        <w:spacing w:line="417" w:lineRule="auto"/>
        <w:ind w:left="1198" w:right="2063"/>
        <w:rPr>
          <w:rFonts w:ascii="Times New Roman" w:eastAsia="Times New Roman"/>
        </w:rPr>
      </w:pPr>
      <w:r>
        <w:rPr>
          <w:spacing w:val="-3"/>
        </w:rPr>
        <w:t>地址：中国</w:t>
      </w:r>
      <w:r>
        <w:rPr>
          <w:spacing w:val="-1"/>
        </w:rPr>
        <w:t>（</w:t>
      </w:r>
      <w:r>
        <w:rPr>
          <w:spacing w:val="-2"/>
        </w:rPr>
        <w:t>上海</w:t>
      </w:r>
      <w:r>
        <w:rPr>
          <w:spacing w:val="-3"/>
        </w:rPr>
        <w:t>）自由贸易试验区陆家嘴环路</w:t>
      </w:r>
      <w:r>
        <w:rPr>
          <w:rFonts w:ascii="Times New Roman" w:eastAsia="Times New Roman"/>
        </w:rPr>
        <w:t>1318</w:t>
      </w:r>
      <w:r>
        <w:rPr/>
        <w:t>号</w:t>
      </w:r>
      <w:r>
        <w:rPr>
          <w:rFonts w:ascii="Times New Roman" w:eastAsia="Times New Roman"/>
        </w:rPr>
        <w:t>1902</w:t>
      </w:r>
      <w:r>
        <w:rPr>
          <w:spacing w:val="-3"/>
        </w:rPr>
        <w:t>室</w:t>
      </w:r>
      <w:r>
        <w:rPr/>
        <w:t>（</w:t>
      </w:r>
      <w:r>
        <w:rPr>
          <w:rFonts w:ascii="Times New Roman" w:eastAsia="Times New Roman"/>
        </w:rPr>
        <w:t>200120</w:t>
      </w:r>
      <w:r>
        <w:rPr/>
        <w:t>） 电话：</w:t>
      </w:r>
      <w:r>
        <w:rPr>
          <w:rFonts w:ascii="Times New Roman" w:eastAsia="Times New Roman"/>
        </w:rPr>
        <w:t>021-58771599</w:t>
      </w:r>
    </w:p>
    <w:p>
      <w:pPr>
        <w:pStyle w:val="BodyText"/>
        <w:ind w:left="1198"/>
        <w:rPr>
          <w:rFonts w:ascii="Times New Roman" w:eastAsia="Times New Roman"/>
        </w:rPr>
      </w:pPr>
      <w:r>
        <w:rPr>
          <w:spacing w:val="-1"/>
        </w:rPr>
        <w:t>传真：</w:t>
      </w:r>
      <w:r>
        <w:rPr>
          <w:rFonts w:ascii="Times New Roman" w:eastAsia="Times New Roman"/>
          <w:spacing w:val="-1"/>
        </w:rPr>
        <w:t>021-58771998</w:t>
      </w:r>
    </w:p>
    <w:p>
      <w:pPr>
        <w:pStyle w:val="BodyText"/>
        <w:spacing w:before="3"/>
        <w:rPr>
          <w:rFonts w:ascii="Times New Roman"/>
          <w:sz w:val="17"/>
        </w:rPr>
      </w:pPr>
    </w:p>
    <w:p>
      <w:pPr>
        <w:pStyle w:val="ListParagraph"/>
        <w:numPr>
          <w:ilvl w:val="0"/>
          <w:numId w:val="9"/>
        </w:numPr>
        <w:tabs>
          <w:tab w:pos="1727" w:val="left" w:leader="none"/>
        </w:tabs>
        <w:spacing w:line="240" w:lineRule="auto" w:before="1" w:after="0"/>
        <w:ind w:left="1727" w:right="0" w:hanging="529"/>
        <w:jc w:val="left"/>
        <w:rPr>
          <w:sz w:val="21"/>
        </w:rPr>
      </w:pPr>
      <w:r>
        <w:rPr>
          <w:spacing w:val="-3"/>
          <w:sz w:val="21"/>
        </w:rPr>
        <w:t>深圳分公司</w:t>
      </w:r>
    </w:p>
    <w:p>
      <w:pPr>
        <w:pStyle w:val="BodyText"/>
        <w:spacing w:before="6"/>
        <w:rPr>
          <w:sz w:val="15"/>
        </w:rPr>
      </w:pPr>
    </w:p>
    <w:p>
      <w:pPr>
        <w:pStyle w:val="BodyText"/>
        <w:spacing w:line="417" w:lineRule="auto"/>
        <w:ind w:left="1198" w:right="1640"/>
        <w:rPr>
          <w:rFonts w:ascii="Times New Roman" w:eastAsia="Times New Roman"/>
        </w:rPr>
      </w:pPr>
      <w:r>
        <w:rPr>
          <w:spacing w:val="-3"/>
        </w:rPr>
        <w:t>地址：深圳市福田区莲花街道益田路</w:t>
      </w:r>
      <w:r>
        <w:rPr>
          <w:rFonts w:ascii="Times New Roman" w:eastAsia="Times New Roman"/>
        </w:rPr>
        <w:t>6001</w:t>
      </w:r>
      <w:r>
        <w:rPr>
          <w:spacing w:val="-3"/>
        </w:rPr>
        <w:t>号太平金融大厦</w:t>
      </w:r>
      <w:r>
        <w:rPr>
          <w:rFonts w:ascii="Times New Roman" w:eastAsia="Times New Roman"/>
        </w:rPr>
        <w:t>40</w:t>
      </w:r>
      <w:r>
        <w:rPr>
          <w:spacing w:val="-3"/>
        </w:rPr>
        <w:t>层</w:t>
      </w:r>
      <w:r>
        <w:rPr>
          <w:rFonts w:ascii="Times New Roman" w:eastAsia="Times New Roman"/>
        </w:rPr>
        <w:t>02</w:t>
      </w:r>
      <w:r>
        <w:rPr>
          <w:spacing w:val="-3"/>
        </w:rPr>
        <w:t>室</w:t>
      </w:r>
      <w:r>
        <w:rPr/>
        <w:t>（</w:t>
      </w:r>
      <w:r>
        <w:rPr>
          <w:rFonts w:ascii="Times New Roman" w:eastAsia="Times New Roman"/>
        </w:rPr>
        <w:t>518038</w:t>
      </w:r>
      <w:r>
        <w:rPr/>
        <w:t>） 电话：</w:t>
      </w:r>
      <w:r>
        <w:rPr>
          <w:rFonts w:ascii="Times New Roman" w:eastAsia="Times New Roman"/>
        </w:rPr>
        <w:t>0755-82033033</w:t>
      </w:r>
    </w:p>
    <w:p>
      <w:pPr>
        <w:pStyle w:val="BodyText"/>
        <w:spacing w:line="269" w:lineRule="exact"/>
        <w:ind w:left="1198"/>
        <w:rPr>
          <w:rFonts w:ascii="Times New Roman" w:eastAsia="Times New Roman"/>
        </w:rPr>
      </w:pPr>
      <w:r>
        <w:rPr>
          <w:spacing w:val="-1"/>
        </w:rPr>
        <w:t>传真：</w:t>
      </w:r>
      <w:r>
        <w:rPr>
          <w:rFonts w:ascii="Times New Roman" w:eastAsia="Times New Roman"/>
          <w:spacing w:val="-1"/>
        </w:rPr>
        <w:t>0755-82031949</w:t>
      </w:r>
    </w:p>
    <w:p>
      <w:pPr>
        <w:pStyle w:val="BodyText"/>
        <w:spacing w:before="4"/>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南京分公司</w:t>
      </w:r>
    </w:p>
    <w:p>
      <w:pPr>
        <w:pStyle w:val="BodyText"/>
        <w:spacing w:before="7"/>
        <w:rPr>
          <w:sz w:val="15"/>
        </w:rPr>
      </w:pPr>
    </w:p>
    <w:p>
      <w:pPr>
        <w:pStyle w:val="BodyText"/>
        <w:spacing w:line="417" w:lineRule="auto"/>
        <w:ind w:left="1198" w:right="2238"/>
        <w:rPr>
          <w:rFonts w:ascii="Times New Roman" w:eastAsia="Times New Roman"/>
        </w:rPr>
      </w:pPr>
      <w:r>
        <w:rPr/>
        <w:t>地址：南京市鼓楼区汉中路</w:t>
      </w:r>
      <w:r>
        <w:rPr>
          <w:rFonts w:ascii="Times New Roman" w:eastAsia="Times New Roman"/>
        </w:rPr>
        <w:t>2</w:t>
      </w:r>
      <w:r>
        <w:rPr/>
        <w:t>号金陵饭店亚太商务楼</w:t>
      </w:r>
      <w:r>
        <w:rPr>
          <w:rFonts w:ascii="Times New Roman" w:eastAsia="Times New Roman"/>
        </w:rPr>
        <w:t>30</w:t>
      </w:r>
      <w:r>
        <w:rPr/>
        <w:t>层</w:t>
      </w:r>
      <w:r>
        <w:rPr>
          <w:rFonts w:ascii="Times New Roman" w:eastAsia="Times New Roman"/>
        </w:rPr>
        <w:t>B</w:t>
      </w:r>
      <w:r>
        <w:rPr/>
        <w:t>区（</w:t>
      </w:r>
      <w:r>
        <w:rPr>
          <w:rFonts w:ascii="Times New Roman" w:eastAsia="Times New Roman"/>
        </w:rPr>
        <w:t>210005</w:t>
      </w:r>
      <w:r>
        <w:rPr/>
        <w:t>） 电话：</w:t>
      </w:r>
      <w:r>
        <w:rPr>
          <w:rFonts w:ascii="Times New Roman" w:eastAsia="Times New Roman"/>
        </w:rPr>
        <w:t>025-84733916</w:t>
      </w:r>
    </w:p>
    <w:p>
      <w:pPr>
        <w:spacing w:after="0" w:line="417" w:lineRule="auto"/>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198"/>
        <w:rPr>
          <w:rFonts w:ascii="Times New Roman" w:eastAsia="Times New Roman"/>
        </w:rPr>
      </w:pPr>
      <w:r>
        <w:rPr/>
        <w:t>传真：</w:t>
      </w:r>
      <w:r>
        <w:rPr>
          <w:rFonts w:ascii="Times New Roman" w:eastAsia="Times New Roman"/>
        </w:rPr>
        <w:t>025-84733928</w:t>
      </w:r>
    </w:p>
    <w:p>
      <w:pPr>
        <w:pStyle w:val="BodyText"/>
        <w:spacing w:before="3"/>
        <w:rPr>
          <w:rFonts w:ascii="Times New Roman"/>
          <w:sz w:val="17"/>
        </w:rPr>
      </w:pPr>
    </w:p>
    <w:p>
      <w:pPr>
        <w:pStyle w:val="ListParagraph"/>
        <w:numPr>
          <w:ilvl w:val="0"/>
          <w:numId w:val="9"/>
        </w:numPr>
        <w:tabs>
          <w:tab w:pos="1727" w:val="left" w:leader="none"/>
        </w:tabs>
        <w:spacing w:line="240" w:lineRule="auto" w:before="0" w:after="0"/>
        <w:ind w:left="1727" w:right="0" w:hanging="529"/>
        <w:jc w:val="left"/>
        <w:rPr>
          <w:sz w:val="21"/>
        </w:rPr>
      </w:pPr>
      <w:r>
        <w:rPr>
          <w:spacing w:val="-3"/>
          <w:sz w:val="21"/>
        </w:rPr>
        <w:t>杭州分公司</w:t>
      </w:r>
    </w:p>
    <w:p>
      <w:pPr>
        <w:pStyle w:val="BodyText"/>
        <w:spacing w:before="7"/>
        <w:rPr>
          <w:sz w:val="15"/>
        </w:rPr>
      </w:pPr>
    </w:p>
    <w:p>
      <w:pPr>
        <w:pStyle w:val="BodyText"/>
        <w:spacing w:line="417" w:lineRule="auto"/>
        <w:ind w:left="1198" w:right="1198"/>
        <w:rPr>
          <w:rFonts w:ascii="Times New Roman" w:eastAsia="Times New Roman"/>
        </w:rPr>
      </w:pPr>
      <w:r>
        <w:rPr>
          <w:spacing w:val="-3"/>
        </w:rPr>
        <w:t>地址：浙江省杭州市西湖区杭大路</w:t>
      </w:r>
      <w:r>
        <w:rPr>
          <w:rFonts w:ascii="Times New Roman" w:eastAsia="Times New Roman"/>
          <w:spacing w:val="-3"/>
        </w:rPr>
        <w:t>1</w:t>
      </w:r>
      <w:r>
        <w:rPr>
          <w:spacing w:val="-3"/>
        </w:rPr>
        <w:t>号黄龙世纪广场</w:t>
      </w:r>
      <w:r>
        <w:rPr>
          <w:rFonts w:ascii="Times New Roman" w:eastAsia="Times New Roman"/>
        </w:rPr>
        <w:t>B</w:t>
      </w:r>
      <w:r>
        <w:rPr/>
        <w:t>区</w:t>
      </w:r>
      <w:r>
        <w:rPr>
          <w:rFonts w:ascii="Times New Roman" w:eastAsia="Times New Roman"/>
          <w:spacing w:val="-3"/>
        </w:rPr>
        <w:t>4</w:t>
      </w:r>
      <w:r>
        <w:rPr>
          <w:spacing w:val="-3"/>
        </w:rPr>
        <w:t>层</w:t>
      </w:r>
      <w:r>
        <w:rPr>
          <w:rFonts w:ascii="Times New Roman" w:eastAsia="Times New Roman"/>
        </w:rPr>
        <w:t>G05</w:t>
      </w:r>
      <w:r>
        <w:rPr/>
        <w:t>、</w:t>
      </w:r>
      <w:r>
        <w:rPr>
          <w:rFonts w:ascii="Times New Roman" w:eastAsia="Times New Roman"/>
        </w:rPr>
        <w:t>G06</w:t>
      </w:r>
      <w:r>
        <w:rPr>
          <w:spacing w:val="-3"/>
        </w:rPr>
        <w:t>室</w:t>
      </w:r>
      <w:r>
        <w:rPr/>
        <w:t>（</w:t>
      </w:r>
      <w:r>
        <w:rPr>
          <w:rFonts w:ascii="Times New Roman" w:eastAsia="Times New Roman"/>
        </w:rPr>
        <w:t>310007</w:t>
      </w:r>
      <w:r>
        <w:rPr/>
        <w:t>） 电话：</w:t>
      </w:r>
      <w:r>
        <w:rPr>
          <w:rFonts w:ascii="Times New Roman" w:eastAsia="Times New Roman"/>
        </w:rPr>
        <w:t>0571-89716606</w:t>
      </w:r>
    </w:p>
    <w:p>
      <w:pPr>
        <w:pStyle w:val="BodyText"/>
        <w:spacing w:line="269" w:lineRule="exact"/>
        <w:ind w:left="1198"/>
        <w:rPr>
          <w:rFonts w:ascii="Times New Roman" w:eastAsia="Times New Roman"/>
        </w:rPr>
      </w:pPr>
      <w:r>
        <w:rPr>
          <w:spacing w:val="-2"/>
        </w:rPr>
        <w:t>传真：</w:t>
      </w:r>
      <w:r>
        <w:rPr>
          <w:rFonts w:ascii="Times New Roman" w:eastAsia="Times New Roman"/>
          <w:spacing w:val="-2"/>
        </w:rPr>
        <w:t>0571-89716611</w:t>
      </w:r>
    </w:p>
    <w:p>
      <w:pPr>
        <w:pStyle w:val="BodyText"/>
        <w:spacing w:before="3"/>
        <w:rPr>
          <w:rFonts w:ascii="Times New Roman"/>
          <w:sz w:val="17"/>
        </w:rPr>
      </w:pPr>
    </w:p>
    <w:p>
      <w:pPr>
        <w:pStyle w:val="ListParagraph"/>
        <w:numPr>
          <w:ilvl w:val="0"/>
          <w:numId w:val="9"/>
        </w:numPr>
        <w:tabs>
          <w:tab w:pos="1833" w:val="left" w:leader="none"/>
        </w:tabs>
        <w:spacing w:line="240" w:lineRule="auto" w:before="0" w:after="0"/>
        <w:ind w:left="1832" w:right="0" w:hanging="635"/>
        <w:jc w:val="left"/>
        <w:rPr>
          <w:sz w:val="21"/>
        </w:rPr>
      </w:pPr>
      <w:r>
        <w:rPr>
          <w:spacing w:val="-3"/>
          <w:sz w:val="21"/>
        </w:rPr>
        <w:t>广州分公司</w:t>
      </w:r>
    </w:p>
    <w:p>
      <w:pPr>
        <w:pStyle w:val="BodyText"/>
        <w:spacing w:before="7"/>
        <w:rPr>
          <w:sz w:val="15"/>
        </w:rPr>
      </w:pPr>
    </w:p>
    <w:p>
      <w:pPr>
        <w:pStyle w:val="BodyText"/>
        <w:spacing w:line="417" w:lineRule="auto"/>
        <w:ind w:left="1198" w:right="1328"/>
        <w:rPr>
          <w:rFonts w:ascii="Times New Roman" w:eastAsia="Times New Roman"/>
        </w:rPr>
      </w:pPr>
      <w:r>
        <w:rPr>
          <w:spacing w:val="-3"/>
        </w:rPr>
        <w:t>地址：广州市天河区珠江西路</w:t>
      </w:r>
      <w:r>
        <w:rPr>
          <w:rFonts w:ascii="Times New Roman" w:eastAsia="Times New Roman"/>
          <w:spacing w:val="-3"/>
        </w:rPr>
        <w:t>5</w:t>
      </w:r>
      <w:r>
        <w:rPr>
          <w:spacing w:val="-3"/>
        </w:rPr>
        <w:t>号广州国际金融中心主塔写字楼</w:t>
      </w:r>
      <w:r>
        <w:rPr>
          <w:rFonts w:ascii="Times New Roman" w:eastAsia="Times New Roman"/>
        </w:rPr>
        <w:t>5305</w:t>
      </w:r>
      <w:r>
        <w:rPr/>
        <w:t>房（</w:t>
      </w:r>
      <w:r>
        <w:rPr>
          <w:rFonts w:ascii="Times New Roman" w:eastAsia="Times New Roman"/>
        </w:rPr>
        <w:t>510623</w:t>
      </w:r>
      <w:r>
        <w:rPr/>
        <w:t>） 电话：</w:t>
      </w:r>
      <w:r>
        <w:rPr>
          <w:rFonts w:ascii="Times New Roman" w:eastAsia="Times New Roman"/>
        </w:rPr>
        <w:t>020-38461058</w:t>
      </w:r>
    </w:p>
    <w:p>
      <w:pPr>
        <w:pStyle w:val="BodyText"/>
        <w:ind w:left="1198"/>
        <w:rPr>
          <w:rFonts w:ascii="Times New Roman" w:eastAsia="Times New Roman"/>
        </w:rPr>
      </w:pPr>
      <w:r>
        <w:rPr>
          <w:spacing w:val="-1"/>
        </w:rPr>
        <w:t>传真：</w:t>
      </w:r>
      <w:r>
        <w:rPr>
          <w:rFonts w:ascii="Times New Roman" w:eastAsia="Times New Roman"/>
          <w:spacing w:val="-1"/>
        </w:rPr>
        <w:t>020-38067182</w:t>
      </w:r>
    </w:p>
    <w:p>
      <w:pPr>
        <w:pStyle w:val="BodyText"/>
        <w:spacing w:before="3"/>
        <w:rPr>
          <w:rFonts w:ascii="Times New Roman"/>
          <w:sz w:val="17"/>
        </w:rPr>
      </w:pPr>
    </w:p>
    <w:p>
      <w:pPr>
        <w:pStyle w:val="ListParagraph"/>
        <w:numPr>
          <w:ilvl w:val="0"/>
          <w:numId w:val="9"/>
        </w:numPr>
        <w:tabs>
          <w:tab w:pos="1823" w:val="left" w:leader="none"/>
        </w:tabs>
        <w:spacing w:line="240" w:lineRule="auto" w:before="1" w:after="0"/>
        <w:ind w:left="1823" w:right="0" w:hanging="625"/>
        <w:jc w:val="left"/>
        <w:rPr>
          <w:sz w:val="21"/>
        </w:rPr>
      </w:pPr>
      <w:r>
        <w:rPr>
          <w:spacing w:val="-3"/>
          <w:sz w:val="21"/>
        </w:rPr>
        <w:t>广州天河投资理财中心</w:t>
      </w:r>
    </w:p>
    <w:p>
      <w:pPr>
        <w:pStyle w:val="BodyText"/>
        <w:spacing w:before="6"/>
        <w:rPr>
          <w:sz w:val="15"/>
        </w:rPr>
      </w:pPr>
    </w:p>
    <w:p>
      <w:pPr>
        <w:pStyle w:val="BodyText"/>
        <w:spacing w:line="417" w:lineRule="auto"/>
        <w:ind w:left="1198" w:right="4057"/>
        <w:rPr>
          <w:rFonts w:ascii="Times New Roman" w:eastAsia="Times New Roman"/>
        </w:rPr>
      </w:pPr>
      <w:r>
        <w:rPr>
          <w:spacing w:val="-3"/>
        </w:rPr>
        <w:t>地址：广州市天河区珠江西路</w:t>
      </w:r>
      <w:r>
        <w:rPr>
          <w:rFonts w:ascii="Times New Roman" w:eastAsia="Times New Roman"/>
          <w:spacing w:val="-3"/>
        </w:rPr>
        <w:t>5</w:t>
      </w:r>
      <w:r>
        <w:rPr/>
        <w:t>号</w:t>
      </w:r>
      <w:r>
        <w:rPr>
          <w:rFonts w:ascii="Times New Roman" w:eastAsia="Times New Roman"/>
        </w:rPr>
        <w:t>5306</w:t>
      </w:r>
      <w:r>
        <w:rPr>
          <w:spacing w:val="-3"/>
        </w:rPr>
        <w:t>房</w:t>
      </w:r>
      <w:r>
        <w:rPr/>
        <w:t>（</w:t>
      </w:r>
      <w:r>
        <w:rPr>
          <w:rFonts w:ascii="Times New Roman" w:eastAsia="Times New Roman"/>
        </w:rPr>
        <w:t>510623</w:t>
      </w:r>
      <w:r>
        <w:rPr/>
        <w:t>） 电话：</w:t>
      </w:r>
      <w:r>
        <w:rPr>
          <w:rFonts w:ascii="Times New Roman" w:eastAsia="Times New Roman"/>
        </w:rPr>
        <w:t>020-38460001</w:t>
      </w:r>
    </w:p>
    <w:p>
      <w:pPr>
        <w:pStyle w:val="BodyText"/>
        <w:spacing w:line="269" w:lineRule="exact"/>
        <w:ind w:left="1198"/>
        <w:rPr>
          <w:rFonts w:ascii="Times New Roman" w:eastAsia="Times New Roman"/>
        </w:rPr>
      </w:pPr>
      <w:r>
        <w:rPr>
          <w:spacing w:val="-1"/>
        </w:rPr>
        <w:t>传真：</w:t>
      </w:r>
      <w:r>
        <w:rPr>
          <w:rFonts w:ascii="Times New Roman" w:eastAsia="Times New Roman"/>
          <w:spacing w:val="-1"/>
        </w:rPr>
        <w:t>020-38067182</w:t>
      </w:r>
    </w:p>
    <w:p>
      <w:pPr>
        <w:pStyle w:val="BodyText"/>
        <w:spacing w:before="4"/>
        <w:rPr>
          <w:rFonts w:ascii="Times New Roman"/>
          <w:sz w:val="17"/>
        </w:rPr>
      </w:pPr>
    </w:p>
    <w:p>
      <w:pPr>
        <w:pStyle w:val="ListParagraph"/>
        <w:numPr>
          <w:ilvl w:val="0"/>
          <w:numId w:val="9"/>
        </w:numPr>
        <w:tabs>
          <w:tab w:pos="1833" w:val="left" w:leader="none"/>
        </w:tabs>
        <w:spacing w:line="240" w:lineRule="auto" w:before="0" w:after="0"/>
        <w:ind w:left="1832" w:right="0" w:hanging="635"/>
        <w:jc w:val="left"/>
        <w:rPr>
          <w:sz w:val="21"/>
        </w:rPr>
      </w:pPr>
      <w:r>
        <w:rPr>
          <w:spacing w:val="-3"/>
          <w:sz w:val="21"/>
        </w:rPr>
        <w:t>成都分公司</w:t>
      </w:r>
    </w:p>
    <w:p>
      <w:pPr>
        <w:pStyle w:val="BodyText"/>
        <w:spacing w:before="7"/>
        <w:rPr>
          <w:sz w:val="15"/>
        </w:rPr>
      </w:pPr>
    </w:p>
    <w:p>
      <w:pPr>
        <w:pStyle w:val="BodyText"/>
        <w:ind w:left="1198"/>
      </w:pPr>
      <w:r>
        <w:rPr>
          <w:spacing w:val="9"/>
        </w:rPr>
        <w:t>地址： 成都市高新区交子大道</w:t>
      </w:r>
      <w:r>
        <w:rPr>
          <w:rFonts w:ascii="Times New Roman" w:eastAsia="Times New Roman"/>
        </w:rPr>
        <w:t>177 </w:t>
      </w:r>
      <w:r>
        <w:rPr>
          <w:spacing w:val="19"/>
        </w:rPr>
        <w:t>号中海国际中心</w:t>
      </w:r>
      <w:r>
        <w:rPr>
          <w:rFonts w:ascii="Times New Roman" w:eastAsia="Times New Roman"/>
          <w:spacing w:val="19"/>
        </w:rPr>
        <w:t>B</w:t>
      </w:r>
      <w:r>
        <w:rPr>
          <w:spacing w:val="21"/>
        </w:rPr>
        <w:t>座</w:t>
      </w:r>
      <w:r>
        <w:rPr>
          <w:rFonts w:ascii="Times New Roman" w:eastAsia="Times New Roman"/>
        </w:rPr>
        <w:t>1 </w:t>
      </w:r>
      <w:r>
        <w:rPr>
          <w:spacing w:val="21"/>
        </w:rPr>
        <w:t>栋</w:t>
      </w:r>
      <w:r>
        <w:rPr>
          <w:rFonts w:ascii="Times New Roman" w:eastAsia="Times New Roman"/>
        </w:rPr>
        <w:t>1 </w:t>
      </w:r>
      <w:r>
        <w:rPr>
          <w:spacing w:val="20"/>
        </w:rPr>
        <w:t>单元</w:t>
      </w:r>
      <w:r>
        <w:rPr>
          <w:rFonts w:ascii="Times New Roman" w:eastAsia="Times New Roman"/>
        </w:rPr>
        <w:t>14 </w:t>
      </w:r>
      <w:r>
        <w:rPr>
          <w:spacing w:val="22"/>
        </w:rPr>
        <w:t>层</w:t>
      </w:r>
      <w:r>
        <w:rPr>
          <w:rFonts w:ascii="Times New Roman" w:eastAsia="Times New Roman"/>
        </w:rPr>
        <w:t>1406-1407 </w:t>
      </w:r>
      <w:r>
        <w:rPr/>
        <w:t>号</w:t>
      </w:r>
    </w:p>
    <w:p>
      <w:pPr>
        <w:pStyle w:val="BodyText"/>
        <w:spacing w:before="7"/>
        <w:rPr>
          <w:sz w:val="15"/>
        </w:rPr>
      </w:pPr>
    </w:p>
    <w:p>
      <w:pPr>
        <w:pStyle w:val="BodyText"/>
        <w:ind w:left="778"/>
      </w:pPr>
      <w:r>
        <w:rPr/>
        <w:t>（</w:t>
      </w:r>
      <w:r>
        <w:rPr>
          <w:rFonts w:ascii="Times New Roman" w:eastAsia="Times New Roman"/>
        </w:rPr>
        <w:t>610000</w:t>
      </w:r>
      <w:r>
        <w:rPr/>
        <w:t>）</w:t>
      </w:r>
    </w:p>
    <w:p>
      <w:pPr>
        <w:pStyle w:val="BodyText"/>
        <w:spacing w:before="6"/>
        <w:rPr>
          <w:sz w:val="15"/>
        </w:rPr>
      </w:pPr>
    </w:p>
    <w:p>
      <w:pPr>
        <w:pStyle w:val="BodyText"/>
        <w:spacing w:line="417" w:lineRule="auto"/>
        <w:ind w:left="1198" w:right="6928"/>
        <w:rPr>
          <w:rFonts w:ascii="Times New Roman" w:eastAsia="Times New Roman"/>
        </w:rPr>
      </w:pPr>
      <w:r>
        <w:rPr/>
        <w:t>电话：</w:t>
      </w:r>
      <w:r>
        <w:rPr>
          <w:rFonts w:ascii="Times New Roman" w:eastAsia="Times New Roman"/>
        </w:rPr>
        <w:t>028-65730073 </w:t>
      </w:r>
      <w:r>
        <w:rPr/>
        <w:t>传真：</w:t>
      </w:r>
      <w:r>
        <w:rPr>
          <w:rFonts w:ascii="Times New Roman" w:eastAsia="Times New Roman"/>
        </w:rPr>
        <w:t>028-86725411</w:t>
      </w:r>
    </w:p>
    <w:p>
      <w:pPr>
        <w:pStyle w:val="ListParagraph"/>
        <w:numPr>
          <w:ilvl w:val="0"/>
          <w:numId w:val="9"/>
        </w:numPr>
        <w:tabs>
          <w:tab w:pos="1833" w:val="left" w:leader="none"/>
        </w:tabs>
        <w:spacing w:line="269" w:lineRule="exact" w:before="0" w:after="0"/>
        <w:ind w:left="1832" w:right="0" w:hanging="635"/>
        <w:jc w:val="left"/>
        <w:rPr>
          <w:sz w:val="21"/>
        </w:rPr>
      </w:pPr>
      <w:r>
        <w:rPr>
          <w:spacing w:val="-2"/>
          <w:sz w:val="21"/>
        </w:rPr>
        <w:t>电子交易</w:t>
      </w:r>
    </w:p>
    <w:p>
      <w:pPr>
        <w:pStyle w:val="BodyText"/>
        <w:spacing w:before="7"/>
        <w:rPr>
          <w:sz w:val="15"/>
        </w:rPr>
      </w:pPr>
    </w:p>
    <w:p>
      <w:pPr>
        <w:pStyle w:val="BodyText"/>
        <w:spacing w:line="417" w:lineRule="auto"/>
        <w:ind w:left="778" w:right="889" w:firstLine="419"/>
        <w:jc w:val="both"/>
      </w:pPr>
      <w:r>
        <w:rPr>
          <w:spacing w:val="-8"/>
        </w:rPr>
        <w:t>本公司电子交易包括网上交易、移动客户端交易等。投资者可以通过本公司网上交易系</w:t>
      </w:r>
      <w:r>
        <w:rPr>
          <w:spacing w:val="-10"/>
        </w:rPr>
        <w:t>统或移动客户端办理基金的申购、赎回等业务，具体业务办理情况及业务规则请登录本公司</w:t>
      </w:r>
      <w:r>
        <w:rPr>
          <w:spacing w:val="-5"/>
        </w:rPr>
        <w:t>网站查询。本公司网址：</w:t>
      </w:r>
      <w:hyperlink r:id="rId10">
        <w:r>
          <w:rPr>
            <w:rFonts w:ascii="Times New Roman" w:eastAsia="Times New Roman"/>
          </w:rPr>
          <w:t>www.ChinaAMC.com</w:t>
        </w:r>
      </w:hyperlink>
      <w:r>
        <w:rPr/>
        <w:t>。</w:t>
      </w:r>
    </w:p>
    <w:p>
      <w:pPr>
        <w:pStyle w:val="BodyText"/>
        <w:ind w:left="1198"/>
      </w:pPr>
      <w:r>
        <w:rPr>
          <w:rFonts w:ascii="Times New Roman" w:eastAsia="Times New Roman"/>
        </w:rPr>
        <w:t>2</w:t>
      </w:r>
      <w:r>
        <w:rPr/>
        <w:t>、代销机构</w:t>
      </w:r>
    </w:p>
    <w:p>
      <w:pPr>
        <w:pStyle w:val="BodyText"/>
        <w:spacing w:before="7"/>
        <w:rPr>
          <w:sz w:val="15"/>
        </w:rPr>
      </w:pPr>
    </w:p>
    <w:p>
      <w:pPr>
        <w:pStyle w:val="BodyText"/>
        <w:spacing w:line="417" w:lineRule="auto"/>
        <w:ind w:left="778" w:right="888" w:firstLine="419"/>
        <w:jc w:val="both"/>
      </w:pPr>
      <w:r>
        <w:rPr>
          <w:spacing w:val="5"/>
        </w:rPr>
        <w:t>本基金代销机构的名称、住所等信息请详见本招募说明书“五、相关服务机构”中</w:t>
      </w:r>
      <w:r>
        <w:rPr>
          <w:spacing w:val="-13"/>
        </w:rPr>
        <w:t>“（</w:t>
      </w:r>
      <w:r>
        <w:rPr/>
        <w:t>一</w:t>
      </w:r>
      <w:r>
        <w:rPr>
          <w:spacing w:val="-25"/>
        </w:rPr>
        <w:t>）</w:t>
      </w:r>
      <w:r>
        <w:rPr>
          <w:spacing w:val="-7"/>
        </w:rPr>
        <w:t>销售机构”。基金管理人可根据情况变更或增减申购赎回的销售机构，并在基金管</w:t>
      </w:r>
      <w:r>
        <w:rPr>
          <w:spacing w:val="-5"/>
        </w:rPr>
        <w:t>理人网站公示。</w:t>
      </w:r>
    </w:p>
    <w:p>
      <w:pPr>
        <w:pStyle w:val="BodyText"/>
        <w:spacing w:line="417" w:lineRule="auto"/>
        <w:ind w:left="778" w:right="890" w:firstLine="419"/>
      </w:pPr>
      <w:r>
        <w:rPr/>
        <w:t>投资者应当在销售机构办理开放式基金业务的营业场所或按销售机构提供的其他方式办理基金的申购与赎回。</w:t>
      </w:r>
    </w:p>
    <w:p>
      <w:pPr>
        <w:pStyle w:val="BodyText"/>
        <w:ind w:left="1198"/>
      </w:pPr>
      <w:r>
        <w:rPr/>
        <w:t>（三）申购与赎回的开放日及开放时间</w:t>
      </w:r>
    </w:p>
    <w:p>
      <w:pPr>
        <w:pStyle w:val="BodyText"/>
        <w:spacing w:before="6"/>
        <w:rPr>
          <w:sz w:val="15"/>
        </w:rPr>
      </w:pPr>
    </w:p>
    <w:p>
      <w:pPr>
        <w:pStyle w:val="BodyText"/>
        <w:ind w:left="1198"/>
      </w:pPr>
      <w:r>
        <w:rPr/>
        <w:t>本基金在开放日为投资者办理申购与赎回等基金业务。开放日的具体业务办理时间由基</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778"/>
      </w:pPr>
      <w:r>
        <w:rPr/>
        <w:t>金管理人与销售机构约定。</w:t>
      </w:r>
    </w:p>
    <w:p>
      <w:pPr>
        <w:pStyle w:val="BodyText"/>
        <w:spacing w:before="7"/>
        <w:rPr>
          <w:sz w:val="15"/>
        </w:rPr>
      </w:pPr>
    </w:p>
    <w:p>
      <w:pPr>
        <w:pStyle w:val="BodyText"/>
        <w:spacing w:line="417" w:lineRule="auto"/>
        <w:ind w:left="778" w:right="889" w:firstLine="419"/>
      </w:pPr>
      <w:r>
        <w:rPr>
          <w:spacing w:val="-9"/>
        </w:rPr>
        <w:t>若出现新的证券交易市场、证券交易所交易时间变更或其他特殊情况，基金管理人将视</w:t>
      </w:r>
      <w:r>
        <w:rPr>
          <w:spacing w:val="-5"/>
        </w:rPr>
        <w:t>情况对前述开放日及具体业务办理时间进行相应的调整并公告。</w:t>
      </w:r>
    </w:p>
    <w:p>
      <w:pPr>
        <w:pStyle w:val="BodyText"/>
        <w:spacing w:line="417" w:lineRule="auto"/>
        <w:ind w:left="778" w:right="888" w:firstLine="419"/>
      </w:pPr>
      <w:r>
        <w:rPr/>
        <w:t>本基金</w:t>
      </w:r>
      <w:r>
        <w:rPr>
          <w:rFonts w:ascii="Times New Roman" w:eastAsia="Times New Roman"/>
        </w:rPr>
        <w:t>A</w:t>
      </w:r>
      <w:r>
        <w:rPr/>
        <w:t>类份额已于</w:t>
      </w:r>
      <w:r>
        <w:rPr>
          <w:rFonts w:ascii="Times New Roman" w:eastAsia="Times New Roman"/>
        </w:rPr>
        <w:t>2004</w:t>
      </w:r>
      <w:r>
        <w:rPr/>
        <w:t>年</w:t>
      </w:r>
      <w:r>
        <w:rPr>
          <w:rFonts w:ascii="Times New Roman" w:eastAsia="Times New Roman"/>
        </w:rPr>
        <w:t>4</w:t>
      </w:r>
      <w:r>
        <w:rPr/>
        <w:t>月</w:t>
      </w:r>
      <w:r>
        <w:rPr>
          <w:rFonts w:ascii="Times New Roman" w:eastAsia="Times New Roman"/>
        </w:rPr>
        <w:t>13</w:t>
      </w:r>
      <w:r>
        <w:rPr/>
        <w:t>日开放申购、赎回业务；本基金</w:t>
      </w:r>
      <w:r>
        <w:rPr>
          <w:rFonts w:ascii="Times New Roman" w:eastAsia="Times New Roman"/>
        </w:rPr>
        <w:t>B</w:t>
      </w:r>
      <w:r>
        <w:rPr/>
        <w:t>类份额已于</w:t>
      </w:r>
      <w:r>
        <w:rPr>
          <w:rFonts w:ascii="Times New Roman" w:eastAsia="Times New Roman"/>
        </w:rPr>
        <w:t>2015</w:t>
      </w:r>
      <w:r>
        <w:rPr/>
        <w:t>年</w:t>
      </w:r>
      <w:r>
        <w:rPr>
          <w:rFonts w:ascii="Times New Roman" w:eastAsia="Times New Roman"/>
        </w:rPr>
        <w:t>5 </w:t>
      </w:r>
      <w:r>
        <w:rPr/>
        <w:t>月</w:t>
      </w:r>
      <w:r>
        <w:rPr>
          <w:rFonts w:ascii="Times New Roman" w:eastAsia="Times New Roman"/>
        </w:rPr>
        <w:t>25</w:t>
      </w:r>
      <w:r>
        <w:rPr/>
        <w:t>日起开放申购、赎回等业务。</w:t>
      </w:r>
    </w:p>
    <w:p>
      <w:pPr>
        <w:pStyle w:val="BodyText"/>
        <w:spacing w:line="417" w:lineRule="auto"/>
        <w:ind w:left="778" w:right="889" w:firstLine="419"/>
      </w:pPr>
      <w:r>
        <w:rPr>
          <w:spacing w:val="-7"/>
        </w:rPr>
        <w:t>投资人在基金合同约定之外的日期和时间提出申购、赎回或者转换申请的，其基金份额</w:t>
      </w:r>
      <w:r>
        <w:rPr>
          <w:spacing w:val="-5"/>
        </w:rPr>
        <w:t>申购、赎回价格为下次办理基金份额申购、赎回时间所在开放日的价格。</w:t>
      </w:r>
    </w:p>
    <w:p>
      <w:pPr>
        <w:pStyle w:val="BodyText"/>
        <w:ind w:left="1198"/>
      </w:pPr>
      <w:r>
        <w:rPr/>
        <w:t>（四）申购与赎回的原则</w:t>
      </w:r>
    </w:p>
    <w:p>
      <w:pPr>
        <w:pStyle w:val="BodyText"/>
        <w:spacing w:before="6"/>
        <w:rPr>
          <w:sz w:val="15"/>
        </w:rPr>
      </w:pPr>
    </w:p>
    <w:p>
      <w:pPr>
        <w:pStyle w:val="BodyText"/>
        <w:ind w:left="1198"/>
      </w:pPr>
      <w:r>
        <w:rPr>
          <w:rFonts w:ascii="Times New Roman" w:eastAsia="Times New Roman"/>
        </w:rPr>
        <w:t>1</w:t>
      </w:r>
      <w:r>
        <w:rPr/>
        <w:t>、本基金的申购、赎回价格为每份基金份额</w:t>
      </w:r>
      <w:r>
        <w:rPr>
          <w:rFonts w:ascii="Times New Roman" w:eastAsia="Times New Roman"/>
        </w:rPr>
        <w:t>1.00</w:t>
      </w:r>
      <w:r>
        <w:rPr/>
        <w:t>元。</w:t>
      </w:r>
    </w:p>
    <w:p>
      <w:pPr>
        <w:pStyle w:val="BodyText"/>
        <w:spacing w:before="7"/>
        <w:rPr>
          <w:sz w:val="15"/>
        </w:rPr>
      </w:pPr>
    </w:p>
    <w:p>
      <w:pPr>
        <w:pStyle w:val="BodyText"/>
        <w:ind w:left="1198"/>
      </w:pPr>
      <w:r>
        <w:rPr>
          <w:rFonts w:ascii="Times New Roman" w:eastAsia="Times New Roman"/>
        </w:rPr>
        <w:t>2</w:t>
      </w:r>
      <w:r>
        <w:rPr/>
        <w:t>、本基金采用金额申购和份额赎回的方式，即申购以金额申请，赎回以份额申请。</w:t>
      </w:r>
    </w:p>
    <w:p>
      <w:pPr>
        <w:pStyle w:val="BodyText"/>
        <w:spacing w:before="7"/>
        <w:rPr>
          <w:sz w:val="15"/>
        </w:rPr>
      </w:pPr>
    </w:p>
    <w:p>
      <w:pPr>
        <w:pStyle w:val="BodyText"/>
        <w:spacing w:line="417" w:lineRule="auto"/>
        <w:ind w:left="778" w:right="889" w:firstLine="419"/>
      </w:pPr>
      <w:r>
        <w:rPr>
          <w:rFonts w:ascii="Times New Roman" w:eastAsia="Times New Roman"/>
        </w:rPr>
        <w:t>3</w:t>
      </w:r>
      <w:r>
        <w:rPr/>
        <w:t>、当日的申购与赎回申请可以在当日开放时间结束前撤销，在当日的开放时间结束后不得撤销。</w:t>
      </w:r>
    </w:p>
    <w:p>
      <w:pPr>
        <w:pStyle w:val="BodyText"/>
        <w:spacing w:line="417" w:lineRule="auto"/>
        <w:ind w:left="778" w:right="889" w:firstLine="419"/>
        <w:jc w:val="both"/>
      </w:pPr>
      <w:r>
        <w:rPr>
          <w:rFonts w:ascii="Times New Roman" w:eastAsia="Times New Roman"/>
        </w:rPr>
        <w:t>4</w:t>
      </w:r>
      <w:r>
        <w:rPr>
          <w:spacing w:val="-3"/>
        </w:rPr>
        <w:t>、投资者部分赎回基金份额时，如满足最低持有限制，基金份额对应的基金收益不随</w:t>
      </w:r>
      <w:r>
        <w:rPr>
          <w:spacing w:val="-9"/>
        </w:rPr>
        <w:t>赎回款项支付给投资者；如待结转的基金收益为负，则赎回后的基金份额余额需大于待结转</w:t>
      </w:r>
      <w:r>
        <w:rPr>
          <w:spacing w:val="-5"/>
        </w:rPr>
        <w:t>的负收益。投资者全部赎回基金份额时，基金收益将全部结算并计入投资者账户。</w:t>
      </w:r>
    </w:p>
    <w:p>
      <w:pPr>
        <w:pStyle w:val="BodyText"/>
        <w:spacing w:line="417" w:lineRule="auto"/>
        <w:ind w:left="778" w:right="889" w:firstLine="419"/>
      </w:pPr>
      <w:r>
        <w:rPr>
          <w:rFonts w:ascii="Times New Roman" w:eastAsia="Times New Roman"/>
        </w:rPr>
        <w:t>5</w:t>
      </w:r>
      <w:r>
        <w:rPr/>
        <w:t>、基金管理人在不损害基金份额持有人权益的情况下可更改上述原则。基金管理人最迟于新规则开始实施日前</w:t>
      </w:r>
      <w:r>
        <w:rPr>
          <w:rFonts w:ascii="Times New Roman" w:eastAsia="Times New Roman"/>
        </w:rPr>
        <w:t>3</w:t>
      </w:r>
      <w:r>
        <w:rPr/>
        <w:t>个工作日在至少一种中国证监会指定媒介公告。</w:t>
      </w:r>
    </w:p>
    <w:p>
      <w:pPr>
        <w:pStyle w:val="BodyText"/>
        <w:spacing w:line="269" w:lineRule="exact"/>
        <w:ind w:left="1198"/>
      </w:pPr>
      <w:r>
        <w:rPr/>
        <w:t>（五）申购与赎回的程序</w:t>
      </w:r>
    </w:p>
    <w:p>
      <w:pPr>
        <w:pStyle w:val="BodyText"/>
        <w:spacing w:before="6"/>
        <w:rPr>
          <w:sz w:val="15"/>
        </w:rPr>
      </w:pPr>
    </w:p>
    <w:p>
      <w:pPr>
        <w:pStyle w:val="BodyText"/>
        <w:ind w:left="1198"/>
      </w:pPr>
      <w:r>
        <w:rPr>
          <w:rFonts w:ascii="Times New Roman" w:eastAsia="Times New Roman"/>
        </w:rPr>
        <w:t>1</w:t>
      </w:r>
      <w:r>
        <w:rPr/>
        <w:t>、申购与赎回申请的提出</w:t>
      </w:r>
    </w:p>
    <w:p>
      <w:pPr>
        <w:pStyle w:val="BodyText"/>
        <w:spacing w:before="7"/>
        <w:rPr>
          <w:sz w:val="15"/>
        </w:rPr>
      </w:pPr>
    </w:p>
    <w:p>
      <w:pPr>
        <w:pStyle w:val="BodyText"/>
        <w:spacing w:line="417" w:lineRule="auto"/>
        <w:ind w:left="778" w:right="890" w:firstLine="419"/>
      </w:pPr>
      <w:r>
        <w:rPr/>
        <w:t>基金投资者须按销售机构规定的手续，在开放日的业务办理时间提出申购或赎回的申请。</w:t>
      </w:r>
    </w:p>
    <w:p>
      <w:pPr>
        <w:pStyle w:val="BodyText"/>
        <w:ind w:left="1198"/>
      </w:pPr>
      <w:r>
        <w:rPr/>
        <w:t>投资者申购本基金，须按销售机构规定的方式备足申购资金。</w:t>
      </w:r>
    </w:p>
    <w:p>
      <w:pPr>
        <w:pStyle w:val="BodyText"/>
        <w:spacing w:before="7"/>
        <w:rPr>
          <w:sz w:val="15"/>
        </w:rPr>
      </w:pPr>
    </w:p>
    <w:p>
      <w:pPr>
        <w:pStyle w:val="BodyText"/>
        <w:ind w:left="1198"/>
      </w:pPr>
      <w:r>
        <w:rPr/>
        <w:t>投资者提交赎回申请时，其在销售机构（网点）必须有足够的基金份额余额。</w:t>
      </w:r>
    </w:p>
    <w:p>
      <w:pPr>
        <w:pStyle w:val="BodyText"/>
        <w:spacing w:before="6"/>
        <w:rPr>
          <w:sz w:val="15"/>
        </w:rPr>
      </w:pPr>
    </w:p>
    <w:p>
      <w:pPr>
        <w:pStyle w:val="BodyText"/>
        <w:spacing w:before="1"/>
        <w:ind w:left="1198"/>
      </w:pPr>
      <w:r>
        <w:rPr>
          <w:rFonts w:ascii="Times New Roman" w:eastAsia="Times New Roman"/>
        </w:rPr>
        <w:t>2</w:t>
      </w:r>
      <w:r>
        <w:rPr/>
        <w:t>、申购与赎回申请的确认</w:t>
      </w:r>
    </w:p>
    <w:p>
      <w:pPr>
        <w:pStyle w:val="BodyText"/>
        <w:spacing w:before="6"/>
        <w:rPr>
          <w:sz w:val="15"/>
        </w:rPr>
      </w:pPr>
    </w:p>
    <w:p>
      <w:pPr>
        <w:pStyle w:val="BodyText"/>
        <w:spacing w:line="417" w:lineRule="auto"/>
        <w:ind w:left="778" w:right="894" w:firstLine="419"/>
      </w:pPr>
      <w:r>
        <w:rPr>
          <w:rFonts w:ascii="Times New Roman" w:eastAsia="Times New Roman"/>
        </w:rPr>
        <w:t>T</w:t>
      </w:r>
      <w:r>
        <w:rPr/>
        <w:t>日规定时间受理的申请，正常情况下投资者应不晚于</w:t>
      </w:r>
      <w:r>
        <w:rPr>
          <w:rFonts w:ascii="Times New Roman" w:eastAsia="Times New Roman"/>
        </w:rPr>
        <w:t>T+2</w:t>
      </w:r>
      <w:r>
        <w:rPr/>
        <w:t>日通过本公司客户服务电话或到其办理业务的销售网点查询确认情况，打印确认单。</w:t>
      </w:r>
    </w:p>
    <w:p>
      <w:pPr>
        <w:pStyle w:val="BodyText"/>
        <w:spacing w:line="269" w:lineRule="exact"/>
        <w:ind w:left="1198"/>
      </w:pPr>
      <w:r>
        <w:rPr>
          <w:rFonts w:ascii="Times New Roman" w:eastAsia="Times New Roman"/>
        </w:rPr>
        <w:t>3</w:t>
      </w:r>
      <w:r>
        <w:rPr/>
        <w:t>、申购与赎回申请的款项支付</w:t>
      </w:r>
    </w:p>
    <w:p>
      <w:pPr>
        <w:pStyle w:val="BodyText"/>
        <w:spacing w:before="7"/>
        <w:rPr>
          <w:sz w:val="15"/>
        </w:rPr>
      </w:pPr>
    </w:p>
    <w:p>
      <w:pPr>
        <w:pStyle w:val="BodyText"/>
        <w:spacing w:line="417" w:lineRule="auto"/>
        <w:ind w:left="778" w:right="889" w:firstLine="419"/>
      </w:pPr>
      <w:r>
        <w:rPr>
          <w:spacing w:val="-9"/>
        </w:rPr>
        <w:t>申购采用全额交款方式，若资金在规定时间内未全额到账则申购不成功，申购不成功的</w:t>
      </w:r>
      <w:r>
        <w:rPr>
          <w:spacing w:val="-5"/>
        </w:rPr>
        <w:t>款项将退回投资者账户。</w:t>
      </w:r>
    </w:p>
    <w:p>
      <w:pPr>
        <w:pStyle w:val="BodyText"/>
        <w:ind w:left="1198"/>
      </w:pPr>
      <w:r>
        <w:rPr/>
        <w:t>投资者</w:t>
      </w:r>
      <w:r>
        <w:rPr>
          <w:rFonts w:ascii="Times New Roman" w:eastAsia="Times New Roman"/>
        </w:rPr>
        <w:t>T</w:t>
      </w:r>
      <w:r>
        <w:rPr/>
        <w:t>日的赎回申请成功后，基金管理人将指示基金托管人按有关规定将赎回款项于</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90"/>
      </w:pPr>
      <w:r>
        <w:rPr>
          <w:rFonts w:ascii="Times New Roman" w:eastAsia="Times New Roman"/>
        </w:rPr>
        <w:t>T+1</w:t>
      </w:r>
      <w:r>
        <w:rPr/>
        <w:t>日从基金托管账户划出，经销售机构于</w:t>
      </w:r>
      <w:r>
        <w:rPr>
          <w:rFonts w:ascii="Times New Roman" w:eastAsia="Times New Roman"/>
        </w:rPr>
        <w:t>T+2</w:t>
      </w:r>
      <w:r>
        <w:rPr/>
        <w:t>日内划往投资者银行账户。在发生巨额赎回时，款项的支付办法按基金合同及本招募说明书有关规定处理。</w:t>
      </w:r>
    </w:p>
    <w:p>
      <w:pPr>
        <w:pStyle w:val="BodyText"/>
        <w:spacing w:line="269" w:lineRule="exact"/>
        <w:ind w:left="1198"/>
      </w:pPr>
      <w:r>
        <w:rPr/>
        <w:t>（六）申购与赎回的数额限制</w:t>
      </w:r>
    </w:p>
    <w:p>
      <w:pPr>
        <w:pStyle w:val="BodyText"/>
        <w:spacing w:before="7"/>
        <w:rPr>
          <w:sz w:val="15"/>
        </w:rPr>
      </w:pPr>
    </w:p>
    <w:p>
      <w:pPr>
        <w:pStyle w:val="BodyText"/>
        <w:ind w:left="1198"/>
      </w:pPr>
      <w:r>
        <w:rPr>
          <w:rFonts w:ascii="Times New Roman" w:eastAsia="Times New Roman"/>
        </w:rPr>
        <w:t>1</w:t>
      </w:r>
      <w:r>
        <w:rPr/>
        <w:t>、本基金份额分为</w:t>
      </w:r>
      <w:r>
        <w:rPr>
          <w:rFonts w:ascii="Times New Roman" w:eastAsia="Times New Roman"/>
        </w:rPr>
        <w:t>A</w:t>
      </w:r>
      <w:r>
        <w:rPr/>
        <w:t>类、</w:t>
      </w:r>
      <w:r>
        <w:rPr>
          <w:rFonts w:ascii="Times New Roman" w:eastAsia="Times New Roman"/>
        </w:rPr>
        <w:t>B</w:t>
      </w:r>
      <w:r>
        <w:rPr/>
        <w:t>类和</w:t>
      </w:r>
      <w:r>
        <w:rPr>
          <w:rFonts w:ascii="Times New Roman" w:eastAsia="Times New Roman"/>
        </w:rPr>
        <w:t>E</w:t>
      </w:r>
      <w:r>
        <w:rPr/>
        <w:t>类三类，其中</w:t>
      </w:r>
      <w:r>
        <w:rPr>
          <w:rFonts w:ascii="Times New Roman" w:eastAsia="Times New Roman"/>
        </w:rPr>
        <w:t>E</w:t>
      </w:r>
      <w:r>
        <w:rPr/>
        <w:t>类份额通过指定的电子交易平台办理。</w:t>
      </w:r>
    </w:p>
    <w:p>
      <w:pPr>
        <w:pStyle w:val="BodyText"/>
        <w:spacing w:before="7"/>
        <w:rPr>
          <w:sz w:val="15"/>
        </w:rPr>
      </w:pPr>
    </w:p>
    <w:p>
      <w:pPr>
        <w:pStyle w:val="BodyText"/>
        <w:spacing w:line="417" w:lineRule="auto"/>
        <w:ind w:left="778" w:right="889" w:firstLine="419"/>
        <w:jc w:val="both"/>
      </w:pPr>
      <w:r>
        <w:rPr>
          <w:rFonts w:ascii="Times New Roman" w:hAnsi="Times New Roman" w:eastAsia="Times New Roman"/>
        </w:rPr>
        <w:t>2</w:t>
      </w:r>
      <w:r>
        <w:rPr>
          <w:spacing w:val="-5"/>
        </w:rPr>
        <w:t>、投资者通过直销机构或华夏财富办理本基金</w:t>
      </w:r>
      <w:r>
        <w:rPr>
          <w:rFonts w:ascii="Times New Roman" w:hAnsi="Times New Roman" w:eastAsia="Times New Roman"/>
        </w:rPr>
        <w:t>A</w:t>
      </w:r>
      <w:r>
        <w:rPr>
          <w:spacing w:val="-10"/>
        </w:rPr>
        <w:t>类、</w:t>
      </w:r>
      <w:r>
        <w:rPr>
          <w:rFonts w:ascii="Times New Roman" w:hAnsi="Times New Roman" w:eastAsia="Times New Roman"/>
        </w:rPr>
        <w:t>B</w:t>
      </w:r>
      <w:r>
        <w:rPr>
          <w:spacing w:val="-6"/>
        </w:rPr>
        <w:t>类份额的申购、赎回业务，申购</w:t>
      </w:r>
      <w:r>
        <w:rPr>
          <w:spacing w:val="-8"/>
        </w:rPr>
        <w:t>金额和赎回份额的数量限制请详见本招募说明书“六、基金份额的类别”的相关描述 ，具</w:t>
      </w:r>
      <w:r>
        <w:rPr>
          <w:spacing w:val="-3"/>
        </w:rPr>
        <w:t>体业务办理请遵循直销机构及华夏财富的相关规定。</w:t>
      </w:r>
    </w:p>
    <w:p>
      <w:pPr>
        <w:pStyle w:val="BodyText"/>
        <w:spacing w:line="417" w:lineRule="auto"/>
        <w:ind w:left="778" w:right="889" w:firstLine="419"/>
        <w:jc w:val="both"/>
      </w:pPr>
      <w:r>
        <w:rPr/>
        <w:t>投资者通过其他代销机构办理本基金</w:t>
      </w:r>
      <w:r>
        <w:rPr>
          <w:rFonts w:ascii="Times New Roman" w:eastAsia="Times New Roman"/>
        </w:rPr>
        <w:t>A</w:t>
      </w:r>
      <w:r>
        <w:rPr/>
        <w:t>类、</w:t>
      </w:r>
      <w:r>
        <w:rPr>
          <w:rFonts w:ascii="Times New Roman" w:eastAsia="Times New Roman"/>
        </w:rPr>
        <w:t>B</w:t>
      </w:r>
      <w:r>
        <w:rPr>
          <w:spacing w:val="-2"/>
        </w:rPr>
        <w:t>类基金份额的申购及赎回业务，每次最低</w:t>
      </w:r>
      <w:r>
        <w:rPr>
          <w:spacing w:val="-9"/>
        </w:rPr>
        <w:t>申购金额、每次最低赎回份额、赎回时或赎回后在该代销机构</w:t>
      </w:r>
      <w:r>
        <w:rPr>
          <w:spacing w:val="-3"/>
        </w:rPr>
        <w:t>（</w:t>
      </w:r>
      <w:r>
        <w:rPr>
          <w:spacing w:val="-2"/>
        </w:rPr>
        <w:t>网点</w:t>
      </w:r>
      <w:r>
        <w:rPr>
          <w:spacing w:val="-22"/>
        </w:rPr>
        <w:t>）</w:t>
      </w:r>
      <w:r>
        <w:rPr>
          <w:spacing w:val="-3"/>
        </w:rPr>
        <w:t>保留的基金份额余额以各代销机构的规定为准。具体业务办理请遵循各代销机构的相关规定。</w:t>
      </w:r>
    </w:p>
    <w:p>
      <w:pPr>
        <w:pStyle w:val="BodyText"/>
        <w:spacing w:line="417" w:lineRule="auto"/>
        <w:ind w:left="778" w:right="889" w:firstLine="419"/>
        <w:jc w:val="both"/>
      </w:pPr>
      <w:r>
        <w:rPr>
          <w:rFonts w:ascii="Times New Roman" w:eastAsia="Times New Roman"/>
        </w:rPr>
        <w:t>3</w:t>
      </w:r>
      <w:r>
        <w:rPr/>
        <w:t>、投资者通过基金管理人指定的电子交易平台办理</w:t>
      </w:r>
      <w:r>
        <w:rPr>
          <w:rFonts w:ascii="Times New Roman" w:eastAsia="Times New Roman"/>
        </w:rPr>
        <w:t>E</w:t>
      </w:r>
      <w:r>
        <w:rPr/>
        <w:t>类基金份额的申购、赎回业务， 单笔申购申请最低限额为</w:t>
      </w:r>
      <w:r>
        <w:rPr>
          <w:rFonts w:ascii="Times New Roman" w:eastAsia="Times New Roman"/>
        </w:rPr>
        <w:t>0.01</w:t>
      </w:r>
      <w:r>
        <w:rPr/>
        <w:t>元，单笔赎回申请最低限额为</w:t>
      </w:r>
      <w:r>
        <w:rPr>
          <w:rFonts w:ascii="Times New Roman" w:eastAsia="Times New Roman"/>
        </w:rPr>
        <w:t>0.01</w:t>
      </w:r>
      <w:r>
        <w:rPr/>
        <w:t>份。投资者办理</w:t>
      </w:r>
      <w:r>
        <w:rPr>
          <w:rFonts w:ascii="Times New Roman" w:eastAsia="Times New Roman"/>
        </w:rPr>
        <w:t>E</w:t>
      </w:r>
      <w:r>
        <w:rPr/>
        <w:t>类基金份额的具体业务时请遵循指定的电子交易平台的相关规定。</w:t>
      </w:r>
    </w:p>
    <w:p>
      <w:pPr>
        <w:pStyle w:val="BodyText"/>
        <w:spacing w:line="417" w:lineRule="auto"/>
        <w:ind w:left="778" w:right="888" w:firstLine="419"/>
      </w:pPr>
      <w:r>
        <w:rPr>
          <w:rFonts w:ascii="Times New Roman" w:eastAsia="Times New Roman"/>
        </w:rPr>
        <w:t>4</w:t>
      </w:r>
      <w:r>
        <w:rPr>
          <w:spacing w:val="-10"/>
        </w:rPr>
        <w:t>、基金管理人可以根据实际情况对以上限制进行调整，最迟在调整生效前</w:t>
      </w:r>
      <w:r>
        <w:rPr>
          <w:rFonts w:ascii="Times New Roman" w:eastAsia="Times New Roman"/>
        </w:rPr>
        <w:t>3</w:t>
      </w:r>
      <w:r>
        <w:rPr>
          <w:spacing w:val="-3"/>
        </w:rPr>
        <w:t>个工作日在至少一种中国证监会指定媒介公告。</w:t>
      </w:r>
    </w:p>
    <w:p>
      <w:pPr>
        <w:pStyle w:val="BodyText"/>
        <w:spacing w:line="417" w:lineRule="auto"/>
        <w:ind w:left="778" w:right="889" w:firstLine="419"/>
        <w:jc w:val="both"/>
      </w:pPr>
      <w:r>
        <w:rPr>
          <w:rFonts w:ascii="Times New Roman" w:eastAsia="Times New Roman"/>
        </w:rPr>
        <w:t>5</w:t>
      </w:r>
      <w:r>
        <w:rPr>
          <w:spacing w:val="-3"/>
        </w:rPr>
        <w:t>、当接受申购申请对存量基金份额持有人利益构成潜在重大不利影响时，基金管理人</w:t>
      </w:r>
      <w:r>
        <w:rPr>
          <w:spacing w:val="-7"/>
        </w:rPr>
        <w:t>应当采取设定单一投资者申购金额上限或基金单日净申购比例上限、拒绝大额申购、暂停基</w:t>
      </w:r>
      <w:r>
        <w:rPr>
          <w:spacing w:val="-5"/>
        </w:rPr>
        <w:t>金申购等措施，切实保护存量基金份额持有人的合法权益，具体请参见相关公告。</w:t>
      </w:r>
    </w:p>
    <w:p>
      <w:pPr>
        <w:pStyle w:val="BodyText"/>
        <w:spacing w:line="269" w:lineRule="exact"/>
        <w:ind w:left="1198"/>
      </w:pPr>
      <w:r>
        <w:rPr/>
        <w:t>（七）申购份额与赎回金额的计算方法</w:t>
      </w:r>
    </w:p>
    <w:p>
      <w:pPr>
        <w:pStyle w:val="BodyText"/>
        <w:spacing w:before="5"/>
        <w:rPr>
          <w:sz w:val="15"/>
        </w:rPr>
      </w:pPr>
    </w:p>
    <w:p>
      <w:pPr>
        <w:pStyle w:val="BodyText"/>
        <w:spacing w:line="417" w:lineRule="auto" w:before="1"/>
        <w:ind w:left="778" w:right="836" w:firstLine="419"/>
        <w:jc w:val="both"/>
      </w:pPr>
      <w:r>
        <w:rPr>
          <w:spacing w:val="-4"/>
        </w:rPr>
        <w:t>本基金的申购、赎回价格为每份基金份额</w:t>
      </w:r>
      <w:r>
        <w:rPr>
          <w:rFonts w:ascii="Times New Roman" w:eastAsia="Times New Roman"/>
        </w:rPr>
        <w:t>1.00</w:t>
      </w:r>
      <w:r>
        <w:rPr>
          <w:spacing w:val="-6"/>
        </w:rPr>
        <w:t>元，且不收取申购、赎回费用。当基金持</w:t>
      </w:r>
      <w:r>
        <w:rPr>
          <w:spacing w:val="-5"/>
        </w:rPr>
        <w:t>有的现金、国债、中央银行票据、政策性金融债券以及</w:t>
      </w:r>
      <w:r>
        <w:rPr>
          <w:rFonts w:ascii="Times New Roman" w:eastAsia="Times New Roman"/>
        </w:rPr>
        <w:t>5</w:t>
      </w:r>
      <w:r>
        <w:rPr>
          <w:spacing w:val="-3"/>
        </w:rPr>
        <w:t>个交易日内到期的其他金融工具占基金资产净值的比例合计低于</w:t>
      </w:r>
      <w:r>
        <w:rPr>
          <w:rFonts w:ascii="Times New Roman" w:eastAsia="Times New Roman"/>
        </w:rPr>
        <w:t>5%</w:t>
      </w:r>
      <w:r>
        <w:rPr/>
        <w:t>且偏离度为负时，或者当基金前</w:t>
      </w:r>
      <w:r>
        <w:rPr>
          <w:rFonts w:ascii="Times New Roman" w:eastAsia="Times New Roman"/>
        </w:rPr>
        <w:t>10</w:t>
      </w:r>
      <w:r>
        <w:rPr/>
        <w:t>名份额持有人的持有份</w:t>
      </w:r>
      <w:r>
        <w:rPr>
          <w:spacing w:val="-3"/>
        </w:rPr>
        <w:t>额合计超过基金总份额</w:t>
      </w:r>
      <w:r>
        <w:rPr>
          <w:rFonts w:ascii="Times New Roman" w:eastAsia="Times New Roman"/>
          <w:spacing w:val="-5"/>
        </w:rPr>
        <w:t>50%</w:t>
      </w:r>
      <w:r>
        <w:rPr>
          <w:spacing w:val="-7"/>
        </w:rPr>
        <w:t>，且投资组合中现金、国债、中央银行票据、政策性金融债券以及</w:t>
      </w:r>
      <w:r>
        <w:rPr>
          <w:rFonts w:ascii="Times New Roman" w:eastAsia="Times New Roman"/>
          <w:spacing w:val="-7"/>
        </w:rPr>
        <w:t>5 </w:t>
      </w:r>
      <w:r>
        <w:rPr>
          <w:spacing w:val="-3"/>
        </w:rPr>
        <w:t>个交易日内到期的其他金融工具占基金资产净值的比例合计低于</w:t>
      </w:r>
      <w:r>
        <w:rPr>
          <w:rFonts w:ascii="Times New Roman" w:eastAsia="Times New Roman"/>
        </w:rPr>
        <w:t>10%</w:t>
      </w:r>
      <w:r>
        <w:rPr>
          <w:spacing w:val="-3"/>
        </w:rPr>
        <w:t>且偏离度为负时， </w:t>
      </w:r>
      <w:r>
        <w:rPr>
          <w:spacing w:val="-9"/>
        </w:rPr>
        <w:t>为确保基金平稳运作，避免诱发系统性风险，基金管理人可以与基金托管人协商后，对当日</w:t>
      </w:r>
      <w:r>
        <w:rPr/>
        <w:t>单个基金份额持有人申请赎回基金份额超过基金总份额</w:t>
      </w:r>
      <w:r>
        <w:rPr>
          <w:rFonts w:ascii="Times New Roman" w:eastAsia="Times New Roman"/>
        </w:rPr>
        <w:t>1%</w:t>
      </w:r>
      <w:r>
        <w:rPr/>
        <w:t>以上的赎回申请征收</w:t>
      </w:r>
      <w:r>
        <w:rPr>
          <w:rFonts w:ascii="Times New Roman" w:eastAsia="Times New Roman"/>
        </w:rPr>
        <w:t>1%</w:t>
      </w:r>
      <w:r>
        <w:rPr>
          <w:spacing w:val="1"/>
        </w:rPr>
        <w:t>的强制</w:t>
      </w:r>
      <w:r>
        <w:rPr>
          <w:spacing w:val="-10"/>
        </w:rPr>
        <w:t>赎回费用，并将上述赎回费用全额计入基金财产，但基金管理人与基金托管人协商确认上述</w:t>
      </w:r>
      <w:r>
        <w:rPr>
          <w:spacing w:val="-5"/>
        </w:rPr>
        <w:t>做法无益于基金利益最大化的情形除外。</w:t>
      </w:r>
    </w:p>
    <w:p>
      <w:pPr>
        <w:pStyle w:val="BodyText"/>
        <w:spacing w:line="269" w:lineRule="exact"/>
        <w:ind w:left="1198"/>
      </w:pPr>
      <w:r>
        <w:rPr>
          <w:rFonts w:ascii="Times New Roman" w:eastAsia="Times New Roman"/>
        </w:rPr>
        <w:t>1</w:t>
      </w:r>
      <w:r>
        <w:rPr/>
        <w:t>、申购份额的计算</w:t>
      </w:r>
    </w:p>
    <w:p>
      <w:pPr>
        <w:pStyle w:val="BodyText"/>
        <w:spacing w:before="6"/>
        <w:rPr>
          <w:sz w:val="15"/>
        </w:rPr>
      </w:pPr>
    </w:p>
    <w:p>
      <w:pPr>
        <w:pStyle w:val="BodyText"/>
        <w:ind w:left="1198"/>
      </w:pPr>
      <w:r>
        <w:rPr/>
        <w:t>本基金申购份额的计算方法如下：</w:t>
      </w:r>
    </w:p>
    <w:p>
      <w:pPr>
        <w:spacing w:after="0"/>
        <w:sectPr>
          <w:pgSz w:w="11910" w:h="16840"/>
          <w:pgMar w:header="877" w:footer="995" w:top="1280" w:bottom="1180" w:left="1020" w:right="900"/>
        </w:sectPr>
      </w:pPr>
    </w:p>
    <w:p>
      <w:pPr>
        <w:pStyle w:val="BodyText"/>
        <w:rPr>
          <w:sz w:val="12"/>
        </w:rPr>
      </w:pPr>
    </w:p>
    <w:p>
      <w:pPr>
        <w:pStyle w:val="BodyText"/>
        <w:spacing w:before="78"/>
        <w:ind w:left="1198"/>
      </w:pPr>
      <w:r>
        <w:rPr/>
        <w:t>申购份额</w:t>
      </w:r>
      <w:r>
        <w:rPr>
          <w:rFonts w:ascii="Times New Roman" w:eastAsia="Times New Roman"/>
        </w:rPr>
        <w:t>=</w:t>
      </w:r>
      <w:r>
        <w:rPr/>
        <w:t>申购金额</w:t>
      </w:r>
      <w:r>
        <w:rPr>
          <w:rFonts w:ascii="Times New Roman" w:eastAsia="Times New Roman"/>
        </w:rPr>
        <w:t>/1.00</w:t>
      </w:r>
      <w:r>
        <w:rPr/>
        <w:t>元</w:t>
      </w:r>
    </w:p>
    <w:p>
      <w:pPr>
        <w:pStyle w:val="BodyText"/>
        <w:spacing w:before="7"/>
        <w:rPr>
          <w:sz w:val="15"/>
        </w:rPr>
      </w:pPr>
    </w:p>
    <w:p>
      <w:pPr>
        <w:pStyle w:val="BodyText"/>
        <w:spacing w:line="417" w:lineRule="auto"/>
        <w:ind w:left="1198" w:right="1513"/>
      </w:pPr>
      <w:r>
        <w:rPr/>
        <w:t>例一：假定</w:t>
      </w:r>
      <w:r>
        <w:rPr>
          <w:rFonts w:ascii="Times New Roman" w:eastAsia="Times New Roman"/>
        </w:rPr>
        <w:t>T</w:t>
      </w:r>
      <w:r>
        <w:rPr/>
        <w:t>日申购金额为</w:t>
      </w:r>
      <w:r>
        <w:rPr>
          <w:rFonts w:ascii="Times New Roman" w:eastAsia="Times New Roman"/>
        </w:rPr>
        <w:t>10,000.00</w:t>
      </w:r>
      <w:r>
        <w:rPr/>
        <w:t>元，则投资者可获得的基金份额计算如下： 申购份额</w:t>
      </w:r>
      <w:r>
        <w:rPr>
          <w:rFonts w:ascii="Times New Roman" w:eastAsia="Times New Roman"/>
        </w:rPr>
        <w:t>=10,000.00/1.00=10,000.00</w:t>
      </w:r>
      <w:r>
        <w:rPr/>
        <w:t>份</w:t>
      </w:r>
    </w:p>
    <w:p>
      <w:pPr>
        <w:pStyle w:val="BodyText"/>
        <w:spacing w:line="269" w:lineRule="exact"/>
        <w:ind w:left="1198"/>
      </w:pPr>
      <w:r>
        <w:rPr>
          <w:rFonts w:ascii="Times New Roman" w:eastAsia="Times New Roman"/>
        </w:rPr>
        <w:t>2</w:t>
      </w:r>
      <w:r>
        <w:rPr/>
        <w:t>、赎回金额的计算</w:t>
      </w:r>
    </w:p>
    <w:p>
      <w:pPr>
        <w:pStyle w:val="BodyText"/>
        <w:spacing w:before="7"/>
        <w:rPr>
          <w:sz w:val="15"/>
        </w:rPr>
      </w:pPr>
    </w:p>
    <w:p>
      <w:pPr>
        <w:pStyle w:val="BodyText"/>
        <w:spacing w:line="417" w:lineRule="auto"/>
        <w:ind w:left="1198" w:right="5632"/>
      </w:pPr>
      <w:r>
        <w:rPr/>
        <w:t>本基金赎回金额的计算方法如下： 赎回金额＝赎回份额</w:t>
      </w:r>
      <w:r>
        <w:rPr>
          <w:rFonts w:ascii="Times New Roman" w:hAnsi="Times New Roman" w:eastAsia="Times New Roman"/>
        </w:rPr>
        <w:t>×1.00 </w:t>
      </w:r>
      <w:r>
        <w:rPr/>
        <w:t>元</w:t>
      </w:r>
    </w:p>
    <w:p>
      <w:pPr>
        <w:pStyle w:val="BodyText"/>
        <w:spacing w:line="417" w:lineRule="auto"/>
        <w:ind w:left="1198" w:right="1774"/>
      </w:pPr>
      <w:r>
        <w:rPr/>
        <w:t>例二：假定某投资者在</w:t>
      </w:r>
      <w:r>
        <w:rPr>
          <w:rFonts w:ascii="Times New Roman" w:hAnsi="Times New Roman" w:eastAsia="Times New Roman"/>
        </w:rPr>
        <w:t>T</w:t>
      </w:r>
      <w:r>
        <w:rPr/>
        <w:t>日赎回</w:t>
      </w:r>
      <w:r>
        <w:rPr>
          <w:rFonts w:ascii="Times New Roman" w:hAnsi="Times New Roman" w:eastAsia="Times New Roman"/>
        </w:rPr>
        <w:t>10,000</w:t>
      </w:r>
      <w:r>
        <w:rPr/>
        <w:t>份基金份额，则赎回金额的计算如下： 赎回金额</w:t>
      </w:r>
      <w:r>
        <w:rPr>
          <w:rFonts w:ascii="Times New Roman" w:hAnsi="Times New Roman" w:eastAsia="Times New Roman"/>
        </w:rPr>
        <w:t>=10,000.00×1.00=10,000.00 </w:t>
      </w:r>
      <w:r>
        <w:rPr/>
        <w:t>元</w:t>
      </w:r>
    </w:p>
    <w:p>
      <w:pPr>
        <w:pStyle w:val="BodyText"/>
        <w:ind w:left="1198"/>
      </w:pPr>
      <w:r>
        <w:rPr/>
        <w:t>（八）申购与赎回的注册登记</w:t>
      </w:r>
    </w:p>
    <w:p>
      <w:pPr>
        <w:pStyle w:val="BodyText"/>
        <w:spacing w:before="6"/>
        <w:rPr>
          <w:sz w:val="15"/>
        </w:rPr>
      </w:pPr>
    </w:p>
    <w:p>
      <w:pPr>
        <w:pStyle w:val="BodyText"/>
        <w:spacing w:line="417" w:lineRule="auto"/>
        <w:ind w:left="778" w:right="869" w:firstLine="419"/>
        <w:jc w:val="both"/>
      </w:pPr>
      <w:r>
        <w:rPr/>
        <w:t>投资者申购基金成功后，注册登记机构在</w:t>
      </w:r>
      <w:r>
        <w:rPr>
          <w:rFonts w:ascii="Times New Roman" w:eastAsia="Times New Roman"/>
        </w:rPr>
        <w:t>T+1</w:t>
      </w:r>
      <w:r>
        <w:rPr/>
        <w:t>日为投资者办理增加权益的登记手续，投资者不晚于</w:t>
      </w:r>
      <w:r>
        <w:rPr>
          <w:rFonts w:ascii="Times New Roman" w:eastAsia="Times New Roman"/>
        </w:rPr>
        <w:t>T+2</w:t>
      </w:r>
      <w:r>
        <w:rPr/>
        <w:t>日起即有权赎回该部分基金份额，具体办理时间参照销售机构的相关规定。投资者赎回基金成功后，注册登记机构在</w:t>
      </w:r>
      <w:r>
        <w:rPr>
          <w:rFonts w:ascii="Times New Roman" w:eastAsia="Times New Roman"/>
        </w:rPr>
        <w:t>T+1</w:t>
      </w:r>
      <w:r>
        <w:rPr/>
        <w:t>日为投资者办理扣除权益的登记手续。</w:t>
      </w:r>
    </w:p>
    <w:p>
      <w:pPr>
        <w:pStyle w:val="BodyText"/>
        <w:spacing w:line="417" w:lineRule="auto"/>
        <w:ind w:left="778" w:right="889" w:firstLine="419"/>
      </w:pPr>
      <w:r>
        <w:rPr>
          <w:spacing w:val="-8"/>
        </w:rPr>
        <w:t>基金管理人可在法律法规允许的范围内，对上述注册登记办理时间进行调整，并最迟于</w:t>
      </w:r>
      <w:r>
        <w:rPr>
          <w:spacing w:val="-6"/>
        </w:rPr>
        <w:t>开始实施前</w:t>
      </w:r>
      <w:r>
        <w:rPr>
          <w:rFonts w:ascii="Times New Roman" w:eastAsia="Times New Roman"/>
        </w:rPr>
        <w:t>3</w:t>
      </w:r>
      <w:r>
        <w:rPr>
          <w:spacing w:val="-3"/>
        </w:rPr>
        <w:t>个工作日在至少一种中国证监会指定媒介公告。</w:t>
      </w:r>
    </w:p>
    <w:p>
      <w:pPr>
        <w:pStyle w:val="BodyText"/>
        <w:ind w:left="1198"/>
      </w:pPr>
      <w:r>
        <w:rPr/>
        <w:t>（九）巨额赎回的认定及处理方式</w:t>
      </w:r>
    </w:p>
    <w:p>
      <w:pPr>
        <w:pStyle w:val="BodyText"/>
        <w:spacing w:before="7"/>
        <w:rPr>
          <w:sz w:val="15"/>
        </w:rPr>
      </w:pPr>
    </w:p>
    <w:p>
      <w:pPr>
        <w:pStyle w:val="BodyText"/>
        <w:ind w:left="1198"/>
      </w:pPr>
      <w:r>
        <w:rPr>
          <w:rFonts w:ascii="Times New Roman" w:eastAsia="Times New Roman"/>
        </w:rPr>
        <w:t>1</w:t>
      </w:r>
      <w:r>
        <w:rPr/>
        <w:t>、巨额赎回的认定</w:t>
      </w:r>
    </w:p>
    <w:p>
      <w:pPr>
        <w:pStyle w:val="BodyText"/>
        <w:spacing w:before="6"/>
        <w:rPr>
          <w:sz w:val="15"/>
        </w:rPr>
      </w:pPr>
    </w:p>
    <w:p>
      <w:pPr>
        <w:pStyle w:val="BodyText"/>
        <w:ind w:left="1198"/>
      </w:pPr>
      <w:r>
        <w:rPr/>
        <w:t>单个开放日本基金的赎回总额－申购总额</w:t>
      </w:r>
      <w:r>
        <w:rPr>
          <w:rFonts w:ascii="Times New Roman" w:eastAsia="Times New Roman"/>
        </w:rPr>
        <w:t>+</w:t>
      </w:r>
      <w:r>
        <w:rPr/>
        <w:t>转换转出总额超出上一开放日基金总份额的</w:t>
      </w:r>
    </w:p>
    <w:p>
      <w:pPr>
        <w:pStyle w:val="BodyText"/>
        <w:spacing w:before="7"/>
        <w:rPr>
          <w:sz w:val="15"/>
        </w:rPr>
      </w:pPr>
    </w:p>
    <w:p>
      <w:pPr>
        <w:pStyle w:val="BodyText"/>
        <w:ind w:left="778"/>
      </w:pPr>
      <w:r>
        <w:rPr>
          <w:rFonts w:ascii="Times New Roman" w:eastAsia="Times New Roman"/>
        </w:rPr>
        <w:t>10</w:t>
      </w:r>
      <w:r>
        <w:rPr/>
        <w:t>％时，为巨额赎回。</w:t>
      </w:r>
    </w:p>
    <w:p>
      <w:pPr>
        <w:pStyle w:val="BodyText"/>
        <w:spacing w:before="7"/>
        <w:rPr>
          <w:sz w:val="15"/>
        </w:rPr>
      </w:pPr>
    </w:p>
    <w:p>
      <w:pPr>
        <w:pStyle w:val="BodyText"/>
        <w:ind w:left="1198"/>
      </w:pPr>
      <w:r>
        <w:rPr>
          <w:rFonts w:ascii="Times New Roman" w:eastAsia="Times New Roman"/>
        </w:rPr>
        <w:t>2</w:t>
      </w:r>
      <w:r>
        <w:rPr/>
        <w:t>、巨额赎回的处理方式</w:t>
      </w:r>
    </w:p>
    <w:p>
      <w:pPr>
        <w:pStyle w:val="BodyText"/>
        <w:spacing w:before="7"/>
        <w:rPr>
          <w:sz w:val="15"/>
        </w:rPr>
      </w:pPr>
    </w:p>
    <w:p>
      <w:pPr>
        <w:pStyle w:val="BodyText"/>
        <w:spacing w:line="417" w:lineRule="auto"/>
        <w:ind w:left="778" w:right="888" w:firstLine="419"/>
      </w:pPr>
      <w:r>
        <w:rPr>
          <w:spacing w:val="-12"/>
        </w:rPr>
        <w:t>出现巨额赎回时，基金管理人可以根据本基金当时的资产组合状况决定接受全额赎回或</w:t>
      </w:r>
      <w:r>
        <w:rPr>
          <w:spacing w:val="-6"/>
        </w:rPr>
        <w:t>部分延期赎回。</w:t>
      </w:r>
    </w:p>
    <w:p>
      <w:pPr>
        <w:pStyle w:val="ListParagraph"/>
        <w:numPr>
          <w:ilvl w:val="0"/>
          <w:numId w:val="10"/>
        </w:numPr>
        <w:tabs>
          <w:tab w:pos="1727" w:val="left" w:leader="none"/>
        </w:tabs>
        <w:spacing w:line="417" w:lineRule="auto" w:before="0" w:after="0"/>
        <w:ind w:left="778" w:right="889" w:firstLine="419"/>
        <w:jc w:val="left"/>
        <w:rPr>
          <w:sz w:val="21"/>
        </w:rPr>
      </w:pPr>
      <w:r>
        <w:rPr>
          <w:spacing w:val="-3"/>
          <w:sz w:val="21"/>
        </w:rPr>
        <w:t>接受全额赎回：当基金管理人认为有能力兑付投资者的全部赎回申请时，按正常赎回程序执行。</w:t>
      </w:r>
    </w:p>
    <w:p>
      <w:pPr>
        <w:pStyle w:val="ListParagraph"/>
        <w:numPr>
          <w:ilvl w:val="0"/>
          <w:numId w:val="10"/>
        </w:numPr>
        <w:tabs>
          <w:tab w:pos="1727" w:val="left" w:leader="none"/>
        </w:tabs>
        <w:spacing w:line="417" w:lineRule="auto" w:before="0" w:after="0"/>
        <w:ind w:left="778" w:right="783" w:firstLine="419"/>
        <w:jc w:val="left"/>
        <w:rPr>
          <w:sz w:val="21"/>
        </w:rPr>
      </w:pPr>
      <w:r>
        <w:rPr>
          <w:spacing w:val="-3"/>
          <w:sz w:val="21"/>
        </w:rPr>
        <w:t>部分延期赎回：当基金管理人认为兑付投资者的赎回申请有困难，或认为为兑付</w:t>
      </w:r>
      <w:r>
        <w:rPr>
          <w:spacing w:val="-6"/>
          <w:sz w:val="21"/>
        </w:rPr>
        <w:t>投资者的赎回申请进行的资产变现可能使基金资产净值发生较大波动时，基金管理人在当日</w:t>
      </w:r>
      <w:r>
        <w:rPr>
          <w:spacing w:val="-4"/>
          <w:sz w:val="21"/>
        </w:rPr>
        <w:t>接受赎回比例不低于上一日基金总份额</w:t>
      </w:r>
      <w:r>
        <w:rPr>
          <w:rFonts w:ascii="Times New Roman" w:eastAsia="Times New Roman"/>
          <w:sz w:val="21"/>
        </w:rPr>
        <w:t>10%</w:t>
      </w:r>
      <w:r>
        <w:rPr>
          <w:spacing w:val="-9"/>
          <w:sz w:val="21"/>
        </w:rPr>
        <w:t>的前提下，对其余赎回申请延期办理。对于当日</w:t>
      </w:r>
      <w:r>
        <w:rPr>
          <w:spacing w:val="-16"/>
          <w:sz w:val="21"/>
        </w:rPr>
        <w:t>的赎回申请，应当按单个账户赎回申请量占赎回申请总量的比例，确定当日受理的赎回份额； </w:t>
      </w:r>
      <w:r>
        <w:rPr>
          <w:spacing w:val="-10"/>
          <w:sz w:val="21"/>
        </w:rPr>
        <w:t>未受理部分除投资者在提交赎回申请时选择将当日未获受理部分予以撤销者外，延迟至下一</w:t>
      </w:r>
      <w:r>
        <w:rPr>
          <w:spacing w:val="-16"/>
          <w:sz w:val="21"/>
        </w:rPr>
        <w:t>开放日办理。转入下一开放日的赎回申请不享有赎回优先权，以此类推，直到全部赎回为止。</w:t>
      </w:r>
    </w:p>
    <w:p>
      <w:pPr>
        <w:pStyle w:val="ListParagraph"/>
        <w:numPr>
          <w:ilvl w:val="0"/>
          <w:numId w:val="10"/>
        </w:numPr>
        <w:tabs>
          <w:tab w:pos="1725" w:val="left" w:leader="none"/>
        </w:tabs>
        <w:spacing w:line="268" w:lineRule="exact" w:before="0" w:after="0"/>
        <w:ind w:left="1724" w:right="0" w:hanging="527"/>
        <w:jc w:val="left"/>
        <w:rPr>
          <w:sz w:val="21"/>
        </w:rPr>
      </w:pPr>
      <w:r>
        <w:rPr>
          <w:spacing w:val="-6"/>
          <w:sz w:val="21"/>
        </w:rPr>
        <w:t>当发生巨额赎回并部分延期赎回时，基金管理人应于</w:t>
      </w:r>
      <w:r>
        <w:rPr>
          <w:rFonts w:ascii="Times New Roman" w:eastAsia="Times New Roman"/>
          <w:sz w:val="21"/>
        </w:rPr>
        <w:t>3</w:t>
      </w:r>
      <w:r>
        <w:rPr>
          <w:spacing w:val="-3"/>
          <w:sz w:val="21"/>
        </w:rPr>
        <w:t>个工作日内在至少一种中国</w:t>
      </w:r>
    </w:p>
    <w:p>
      <w:pPr>
        <w:spacing w:after="0" w:line="268" w:lineRule="exact"/>
        <w:jc w:val="left"/>
        <w:rPr>
          <w:sz w:val="21"/>
        </w:rPr>
        <w:sectPr>
          <w:pgSz w:w="11910" w:h="16840"/>
          <w:pgMar w:header="877" w:footer="995" w:top="1280" w:bottom="1180" w:left="1020" w:right="900"/>
        </w:sectPr>
      </w:pPr>
    </w:p>
    <w:p>
      <w:pPr>
        <w:pStyle w:val="BodyText"/>
        <w:spacing w:before="7"/>
        <w:rPr>
          <w:sz w:val="12"/>
        </w:rPr>
      </w:pPr>
    </w:p>
    <w:p>
      <w:pPr>
        <w:pStyle w:val="BodyText"/>
        <w:spacing w:before="71"/>
        <w:ind w:left="778"/>
      </w:pPr>
      <w:r>
        <w:rPr/>
        <w:t>证监会指定媒介公告，并说明有关处理方法。</w:t>
      </w:r>
    </w:p>
    <w:p>
      <w:pPr>
        <w:pStyle w:val="BodyText"/>
        <w:spacing w:before="7"/>
        <w:rPr>
          <w:sz w:val="15"/>
        </w:rPr>
      </w:pPr>
    </w:p>
    <w:p>
      <w:pPr>
        <w:pStyle w:val="BodyText"/>
        <w:spacing w:line="417" w:lineRule="auto"/>
        <w:ind w:left="778" w:right="889" w:firstLine="419"/>
        <w:jc w:val="both"/>
      </w:pPr>
      <w:r>
        <w:rPr>
          <w:spacing w:val="-8"/>
        </w:rPr>
        <w:t>本基金连续两个开放日以上发生巨额赎回，如基金管理人认为有必要，可暂停接受赎回</w:t>
      </w:r>
      <w:r>
        <w:rPr>
          <w:spacing w:val="-9"/>
        </w:rPr>
        <w:t>申请；已经接受的赎回申请可以延缓支付赎回款项，但延缓期限不得超过</w:t>
      </w:r>
      <w:r>
        <w:rPr>
          <w:rFonts w:ascii="Times New Roman" w:eastAsia="Times New Roman"/>
          <w:spacing w:val="-3"/>
        </w:rPr>
        <w:t>20</w:t>
      </w:r>
      <w:r>
        <w:rPr>
          <w:spacing w:val="-7"/>
        </w:rPr>
        <w:t>个工作日，并应</w:t>
      </w:r>
      <w:r>
        <w:rPr>
          <w:spacing w:val="-5"/>
        </w:rPr>
        <w:t>当在至少一种中国证监会指定媒介公告。</w:t>
      </w:r>
    </w:p>
    <w:p>
      <w:pPr>
        <w:pStyle w:val="ListParagraph"/>
        <w:numPr>
          <w:ilvl w:val="0"/>
          <w:numId w:val="10"/>
        </w:numPr>
        <w:tabs>
          <w:tab w:pos="1730" w:val="left" w:leader="none"/>
        </w:tabs>
        <w:spacing w:line="417" w:lineRule="auto" w:before="0" w:after="0"/>
        <w:ind w:left="778" w:right="888" w:firstLine="419"/>
        <w:jc w:val="both"/>
        <w:rPr>
          <w:sz w:val="21"/>
        </w:rPr>
      </w:pPr>
      <w:r>
        <w:rPr>
          <w:sz w:val="21"/>
        </w:rPr>
        <w:t>如果基金发生巨额赎回，在单个基金份额持有人超过基金总份额</w:t>
      </w:r>
      <w:r>
        <w:rPr>
          <w:rFonts w:ascii="Times New Roman" w:eastAsia="Times New Roman"/>
          <w:sz w:val="21"/>
        </w:rPr>
        <w:t>20%</w:t>
      </w:r>
      <w:r>
        <w:rPr>
          <w:spacing w:val="-3"/>
          <w:sz w:val="21"/>
        </w:rPr>
        <w:t>以上的大额</w:t>
      </w:r>
      <w:r>
        <w:rPr>
          <w:spacing w:val="-12"/>
          <w:sz w:val="21"/>
        </w:rPr>
        <w:t>赎回申请情形下，如果基金管理人认为支付全部投资人的赎回申请有困难或认为因支付全部</w:t>
      </w:r>
      <w:r>
        <w:rPr>
          <w:spacing w:val="-9"/>
          <w:sz w:val="21"/>
        </w:rPr>
        <w:t>投资人的赎回申请而进行的财产变现可能会对基金资产净值造成较大波动时，基金管理人可</w:t>
      </w:r>
      <w:r>
        <w:rPr>
          <w:spacing w:val="-5"/>
          <w:sz w:val="21"/>
        </w:rPr>
        <w:t>以延期办理赎回申请。具体分为两种情况：</w:t>
      </w:r>
    </w:p>
    <w:p>
      <w:pPr>
        <w:pStyle w:val="BodyText"/>
        <w:spacing w:line="417" w:lineRule="auto"/>
        <w:ind w:left="778" w:right="783" w:firstLine="419"/>
      </w:pPr>
      <w:r>
        <w:rPr>
          <w:spacing w:val="-7"/>
        </w:rPr>
        <w:t>①如果基金管理人认为有能力支付其他投资人的全部赎回申请，为了保护其他赎回投资人的利益，对于其他投资人的赎回申请按正常程序进行。对于单个投资人超过基金总份额</w:t>
      </w:r>
      <w:r>
        <w:rPr>
          <w:rFonts w:ascii="Times New Roman" w:hAnsi="Times New Roman" w:eastAsia="Times New Roman"/>
          <w:spacing w:val="-7"/>
        </w:rPr>
        <w:t>20%</w:t>
      </w:r>
      <w:r>
        <w:rPr>
          <w:spacing w:val="-9"/>
        </w:rPr>
        <w:t>以上的大额赎回申请，基金管理人在剩余支付能力范围内对其按比例确认当日受理的赎</w:t>
      </w:r>
      <w:r>
        <w:rPr>
          <w:spacing w:val="-12"/>
        </w:rPr>
        <w:t>回份额，未确认的赎回部分作自动延期处理。延期的赎回申请与下一开放日赎回申请一并处</w:t>
      </w:r>
      <w:r>
        <w:rPr>
          <w:spacing w:val="-17"/>
        </w:rPr>
        <w:t>理，无优先权，以此类推，直到全部赎回为止。如投资人在提交赎回申请时选择取消赎回的， </w:t>
      </w:r>
      <w:r>
        <w:rPr>
          <w:spacing w:val="-7"/>
        </w:rPr>
        <w:t>则当日未获受理的部分赎回申请将被撤销。</w:t>
      </w:r>
    </w:p>
    <w:p>
      <w:pPr>
        <w:pStyle w:val="BodyText"/>
        <w:spacing w:line="417" w:lineRule="auto"/>
        <w:ind w:left="778" w:right="836" w:firstLine="419"/>
        <w:jc w:val="both"/>
      </w:pPr>
      <w:r>
        <w:rPr>
          <w:spacing w:val="-7"/>
        </w:rPr>
        <w:t>②如果基金管理人认为仅支付其他投资人的赎回申请也有困难时，则所有投资人的赎回申请</w:t>
      </w:r>
      <w:r>
        <w:rPr>
          <w:spacing w:val="-3"/>
        </w:rPr>
        <w:t>（包括单个投资人超过基金总份额</w:t>
      </w:r>
      <w:r>
        <w:rPr>
          <w:rFonts w:ascii="Times New Roman" w:hAnsi="Times New Roman" w:eastAsia="Times New Roman"/>
        </w:rPr>
        <w:t>20%</w:t>
      </w:r>
      <w:r>
        <w:rPr>
          <w:spacing w:val="-3"/>
        </w:rPr>
        <w:t>以上的大额赎回申请和其他投资人的赎回申请</w:t>
      </w:r>
      <w:r>
        <w:rPr/>
        <w:t>） </w:t>
      </w:r>
      <w:r>
        <w:rPr>
          <w:spacing w:val="-20"/>
          <w:w w:val="100"/>
        </w:rPr>
        <w:t>都按照上述“</w:t>
      </w:r>
      <w:r>
        <w:rPr>
          <w:spacing w:val="-1"/>
          <w:w w:val="100"/>
        </w:rPr>
        <w:t>（</w:t>
      </w:r>
      <w:r>
        <w:rPr>
          <w:rFonts w:ascii="Times New Roman" w:hAnsi="Times New Roman" w:eastAsia="Times New Roman"/>
          <w:spacing w:val="-3"/>
          <w:w w:val="100"/>
        </w:rPr>
        <w:t>2</w:t>
      </w:r>
      <w:r>
        <w:rPr>
          <w:w w:val="100"/>
        </w:rPr>
        <w:t>）</w:t>
      </w:r>
      <w:r>
        <w:rPr>
          <w:spacing w:val="-3"/>
          <w:w w:val="100"/>
        </w:rPr>
        <w:t>部分延期赎回”的约定一并办理。</w:t>
      </w:r>
    </w:p>
    <w:p>
      <w:pPr>
        <w:pStyle w:val="BodyText"/>
        <w:spacing w:line="417" w:lineRule="auto"/>
        <w:ind w:left="778" w:right="828" w:firstLine="419"/>
      </w:pPr>
      <w:r>
        <w:rPr/>
        <w:t>（十）单个基金份额持有人在单个开放日申请赎回基金份额超过基金总份额</w:t>
      </w:r>
      <w:r>
        <w:rPr>
          <w:rFonts w:ascii="Times New Roman" w:eastAsia="Times New Roman"/>
        </w:rPr>
        <w:t>10%</w:t>
      </w:r>
      <w:r>
        <w:rPr/>
        <w:t>的，基金管理人可以采取延期办理部分赎回申请或者延缓支付赎回款项的措施。</w:t>
      </w:r>
    </w:p>
    <w:p>
      <w:pPr>
        <w:pStyle w:val="BodyText"/>
        <w:spacing w:line="269" w:lineRule="exact"/>
        <w:ind w:left="1198"/>
      </w:pPr>
      <w:r>
        <w:rPr/>
        <w:t>（十一）拒绝或暂停申购、暂停赎回或延缓支付赎回款项的情形及处理</w:t>
      </w:r>
    </w:p>
    <w:p>
      <w:pPr>
        <w:pStyle w:val="BodyText"/>
        <w:spacing w:before="5"/>
        <w:rPr>
          <w:sz w:val="15"/>
        </w:rPr>
      </w:pPr>
    </w:p>
    <w:p>
      <w:pPr>
        <w:pStyle w:val="BodyText"/>
        <w:ind w:left="1198"/>
      </w:pPr>
      <w:r>
        <w:rPr>
          <w:rFonts w:ascii="Times New Roman" w:eastAsia="Times New Roman"/>
        </w:rPr>
        <w:t>1</w:t>
      </w:r>
      <w:r>
        <w:rPr/>
        <w:t>、在如下情况下，基金管理人可以拒绝或暂停接受投资者的申购申请：</w:t>
      </w:r>
    </w:p>
    <w:p>
      <w:pPr>
        <w:pStyle w:val="BodyText"/>
        <w:spacing w:before="7"/>
        <w:rPr>
          <w:sz w:val="15"/>
        </w:rPr>
      </w:pPr>
    </w:p>
    <w:p>
      <w:pPr>
        <w:pStyle w:val="ListParagraph"/>
        <w:numPr>
          <w:ilvl w:val="0"/>
          <w:numId w:val="11"/>
        </w:numPr>
        <w:tabs>
          <w:tab w:pos="1727" w:val="left" w:leader="none"/>
        </w:tabs>
        <w:spacing w:line="240" w:lineRule="auto" w:before="0" w:after="0"/>
        <w:ind w:left="1727" w:right="0" w:hanging="529"/>
        <w:jc w:val="left"/>
        <w:rPr>
          <w:sz w:val="21"/>
        </w:rPr>
      </w:pPr>
      <w:r>
        <w:rPr>
          <w:spacing w:val="-3"/>
          <w:sz w:val="21"/>
        </w:rPr>
        <w:t>不可抗力。</w:t>
      </w:r>
    </w:p>
    <w:p>
      <w:pPr>
        <w:pStyle w:val="BodyText"/>
        <w:spacing w:before="7"/>
        <w:rPr>
          <w:sz w:val="15"/>
        </w:rPr>
      </w:pPr>
    </w:p>
    <w:p>
      <w:pPr>
        <w:pStyle w:val="ListParagraph"/>
        <w:numPr>
          <w:ilvl w:val="0"/>
          <w:numId w:val="11"/>
        </w:numPr>
        <w:tabs>
          <w:tab w:pos="1727" w:val="left" w:leader="none"/>
        </w:tabs>
        <w:spacing w:line="240" w:lineRule="auto" w:before="0" w:after="0"/>
        <w:ind w:left="1727" w:right="0" w:hanging="529"/>
        <w:jc w:val="left"/>
        <w:rPr>
          <w:sz w:val="21"/>
        </w:rPr>
      </w:pPr>
      <w:r>
        <w:rPr>
          <w:spacing w:val="-3"/>
          <w:sz w:val="21"/>
        </w:rPr>
        <w:t>证券交易市场交易时间非正常停市。</w:t>
      </w:r>
    </w:p>
    <w:p>
      <w:pPr>
        <w:pStyle w:val="BodyText"/>
        <w:spacing w:before="7"/>
        <w:rPr>
          <w:sz w:val="15"/>
        </w:rPr>
      </w:pPr>
    </w:p>
    <w:p>
      <w:pPr>
        <w:pStyle w:val="ListParagraph"/>
        <w:numPr>
          <w:ilvl w:val="0"/>
          <w:numId w:val="11"/>
        </w:numPr>
        <w:tabs>
          <w:tab w:pos="1727" w:val="left" w:leader="none"/>
        </w:tabs>
        <w:spacing w:line="417" w:lineRule="auto" w:before="0" w:after="0"/>
        <w:ind w:left="778" w:right="889" w:firstLine="419"/>
        <w:jc w:val="left"/>
        <w:rPr>
          <w:sz w:val="21"/>
        </w:rPr>
      </w:pPr>
      <w:r>
        <w:rPr>
          <w:spacing w:val="-3"/>
          <w:sz w:val="21"/>
        </w:rPr>
        <w:t>基金资产规模过大，使基金管理人无法找到合适的投资品种，或可能对基金业绩产生负面影响，从而损害已有基金份额持有人的利益。</w:t>
      </w:r>
    </w:p>
    <w:p>
      <w:pPr>
        <w:pStyle w:val="ListParagraph"/>
        <w:numPr>
          <w:ilvl w:val="0"/>
          <w:numId w:val="11"/>
        </w:numPr>
        <w:tabs>
          <w:tab w:pos="1727" w:val="left" w:leader="none"/>
        </w:tabs>
        <w:spacing w:line="417" w:lineRule="auto" w:before="0" w:after="0"/>
        <w:ind w:left="778" w:right="888" w:firstLine="419"/>
        <w:jc w:val="both"/>
        <w:rPr>
          <w:sz w:val="21"/>
        </w:rPr>
      </w:pPr>
      <w:r>
        <w:rPr>
          <w:spacing w:val="-3"/>
          <w:sz w:val="21"/>
        </w:rPr>
        <w:t>个别投资者的申购、赎回过于频繁，导致基金的交易费用和变现成本增加，或使</w:t>
      </w:r>
      <w:r>
        <w:rPr>
          <w:spacing w:val="-9"/>
          <w:sz w:val="21"/>
        </w:rPr>
        <w:t>得基金管理人无法顺利实施投资策略，继续接受其申购可能对其他基金份额持有人的利益产</w:t>
      </w:r>
      <w:r>
        <w:rPr>
          <w:spacing w:val="-6"/>
          <w:sz w:val="21"/>
        </w:rPr>
        <w:t>生损害。</w:t>
      </w:r>
    </w:p>
    <w:p>
      <w:pPr>
        <w:pStyle w:val="ListParagraph"/>
        <w:numPr>
          <w:ilvl w:val="0"/>
          <w:numId w:val="11"/>
        </w:numPr>
        <w:tabs>
          <w:tab w:pos="1727" w:val="left" w:leader="none"/>
        </w:tabs>
        <w:spacing w:line="417" w:lineRule="auto" w:before="0" w:after="0"/>
        <w:ind w:left="778" w:right="889" w:firstLine="419"/>
        <w:jc w:val="left"/>
        <w:rPr>
          <w:sz w:val="21"/>
        </w:rPr>
      </w:pPr>
      <w:r>
        <w:rPr>
          <w:spacing w:val="-3"/>
          <w:sz w:val="21"/>
        </w:rPr>
        <w:t>基金管理人、基金托管人、基金销售代理人或注册登记机构的技术保障或人员支持等不充分。</w:t>
      </w:r>
    </w:p>
    <w:p>
      <w:pPr>
        <w:spacing w:after="0" w:line="417" w:lineRule="auto"/>
        <w:jc w:val="left"/>
        <w:rPr>
          <w:sz w:val="21"/>
        </w:rPr>
        <w:sectPr>
          <w:pgSz w:w="11910" w:h="16840"/>
          <w:pgMar w:header="877" w:footer="995" w:top="1280" w:bottom="1180" w:left="1020" w:right="900"/>
        </w:sectPr>
      </w:pPr>
    </w:p>
    <w:p>
      <w:pPr>
        <w:pStyle w:val="BodyText"/>
        <w:rPr>
          <w:sz w:val="12"/>
        </w:rPr>
      </w:pPr>
    </w:p>
    <w:p>
      <w:pPr>
        <w:pStyle w:val="ListParagraph"/>
        <w:numPr>
          <w:ilvl w:val="0"/>
          <w:numId w:val="11"/>
        </w:numPr>
        <w:tabs>
          <w:tab w:pos="1727" w:val="left" w:leader="none"/>
        </w:tabs>
        <w:spacing w:line="240" w:lineRule="auto" w:before="78" w:after="0"/>
        <w:ind w:left="1727" w:right="0" w:hanging="529"/>
        <w:jc w:val="left"/>
        <w:rPr>
          <w:sz w:val="21"/>
        </w:rPr>
      </w:pPr>
      <w:r>
        <w:rPr>
          <w:spacing w:val="-3"/>
          <w:sz w:val="21"/>
        </w:rPr>
        <w:t>当正偏离度绝对值达到</w:t>
      </w:r>
      <w:r>
        <w:rPr>
          <w:rFonts w:ascii="Times New Roman" w:eastAsia="Times New Roman"/>
          <w:sz w:val="21"/>
        </w:rPr>
        <w:t>0.5%</w:t>
      </w:r>
      <w:r>
        <w:rPr>
          <w:spacing w:val="-3"/>
          <w:sz w:val="21"/>
        </w:rPr>
        <w:t>时，基金管理人应当暂停接受申购；</w:t>
      </w:r>
    </w:p>
    <w:p>
      <w:pPr>
        <w:pStyle w:val="BodyText"/>
        <w:spacing w:before="7"/>
        <w:rPr>
          <w:sz w:val="15"/>
        </w:rPr>
      </w:pPr>
    </w:p>
    <w:p>
      <w:pPr>
        <w:pStyle w:val="ListParagraph"/>
        <w:numPr>
          <w:ilvl w:val="0"/>
          <w:numId w:val="11"/>
        </w:numPr>
        <w:tabs>
          <w:tab w:pos="1727" w:val="left" w:leader="none"/>
        </w:tabs>
        <w:spacing w:line="417" w:lineRule="auto" w:before="0" w:after="0"/>
        <w:ind w:left="778" w:right="888" w:firstLine="419"/>
        <w:jc w:val="left"/>
        <w:rPr>
          <w:sz w:val="21"/>
        </w:rPr>
      </w:pPr>
      <w:r>
        <w:rPr>
          <w:spacing w:val="-3"/>
          <w:sz w:val="21"/>
        </w:rPr>
        <w:t>为了保护基金份额持有人的合法权益，基金管理人可以依照相关法律法规以及基金合同的约定，在特定市场条件下暂停或者拒绝接受一定金额以上的资金申购；</w:t>
      </w:r>
    </w:p>
    <w:p>
      <w:pPr>
        <w:pStyle w:val="ListParagraph"/>
        <w:numPr>
          <w:ilvl w:val="0"/>
          <w:numId w:val="11"/>
        </w:numPr>
        <w:tabs>
          <w:tab w:pos="1730" w:val="left" w:leader="none"/>
        </w:tabs>
        <w:spacing w:line="417" w:lineRule="auto" w:before="0" w:after="0"/>
        <w:ind w:left="778" w:right="889" w:firstLine="419"/>
        <w:jc w:val="both"/>
        <w:rPr>
          <w:sz w:val="21"/>
        </w:rPr>
      </w:pPr>
      <w:r>
        <w:rPr>
          <w:sz w:val="21"/>
        </w:rPr>
        <w:t>当前一估值日基金资产净值</w:t>
      </w:r>
      <w:r>
        <w:rPr>
          <w:rFonts w:ascii="Times New Roman" w:eastAsia="Times New Roman"/>
          <w:sz w:val="21"/>
        </w:rPr>
        <w:t>50%</w:t>
      </w:r>
      <w:r>
        <w:rPr>
          <w:spacing w:val="-1"/>
          <w:sz w:val="21"/>
        </w:rPr>
        <w:t>以上的资产出现无可参考的活跃市场价格且采用</w:t>
      </w:r>
      <w:r>
        <w:rPr>
          <w:spacing w:val="-8"/>
          <w:sz w:val="21"/>
        </w:rPr>
        <w:t>估值技术仍导致公允价值存在重大不确定性时，经与基金托管人协商确认后，基金管理人应</w:t>
      </w:r>
      <w:r>
        <w:rPr>
          <w:spacing w:val="-5"/>
          <w:sz w:val="21"/>
        </w:rPr>
        <w:t>当暂停接受基金申购申请；</w:t>
      </w:r>
    </w:p>
    <w:p>
      <w:pPr>
        <w:pStyle w:val="ListParagraph"/>
        <w:numPr>
          <w:ilvl w:val="0"/>
          <w:numId w:val="11"/>
        </w:numPr>
        <w:tabs>
          <w:tab w:pos="1727" w:val="left" w:leader="none"/>
        </w:tabs>
        <w:spacing w:line="417" w:lineRule="auto" w:before="0" w:after="0"/>
        <w:ind w:left="778" w:right="889" w:firstLine="419"/>
        <w:jc w:val="both"/>
        <w:rPr>
          <w:sz w:val="21"/>
        </w:rPr>
      </w:pPr>
      <w:r>
        <w:rPr>
          <w:spacing w:val="-3"/>
          <w:sz w:val="21"/>
        </w:rPr>
        <w:t>基金管理人接受某笔或者某些申购申请有可能导致单一投资者持有基金份额的比例达到或者超过</w:t>
      </w:r>
      <w:r>
        <w:rPr>
          <w:rFonts w:ascii="Times New Roman" w:eastAsia="Times New Roman"/>
          <w:sz w:val="21"/>
        </w:rPr>
        <w:t>50%</w:t>
      </w:r>
      <w:r>
        <w:rPr>
          <w:spacing w:val="-3"/>
          <w:sz w:val="21"/>
        </w:rPr>
        <w:t>，或者变相规避</w:t>
      </w:r>
      <w:r>
        <w:rPr>
          <w:rFonts w:ascii="Times New Roman" w:eastAsia="Times New Roman"/>
          <w:sz w:val="21"/>
        </w:rPr>
        <w:t>50%</w:t>
      </w:r>
      <w:r>
        <w:rPr>
          <w:spacing w:val="-3"/>
          <w:sz w:val="21"/>
        </w:rPr>
        <w:t>集中度的情形时 ；</w:t>
      </w:r>
    </w:p>
    <w:p>
      <w:pPr>
        <w:pStyle w:val="ListParagraph"/>
        <w:numPr>
          <w:ilvl w:val="0"/>
          <w:numId w:val="11"/>
        </w:numPr>
        <w:tabs>
          <w:tab w:pos="1833" w:val="left" w:leader="none"/>
        </w:tabs>
        <w:spacing w:line="240" w:lineRule="auto" w:before="0" w:after="0"/>
        <w:ind w:left="1832" w:right="0" w:hanging="635"/>
        <w:jc w:val="left"/>
        <w:rPr>
          <w:sz w:val="21"/>
        </w:rPr>
      </w:pPr>
      <w:r>
        <w:rPr>
          <w:spacing w:val="-3"/>
          <w:sz w:val="21"/>
        </w:rPr>
        <w:t>法律法规规定或经中国证监会批准的其他情形。</w:t>
      </w:r>
    </w:p>
    <w:p>
      <w:pPr>
        <w:pStyle w:val="BodyText"/>
        <w:spacing w:before="6"/>
        <w:rPr>
          <w:sz w:val="15"/>
        </w:rPr>
      </w:pPr>
    </w:p>
    <w:p>
      <w:pPr>
        <w:pStyle w:val="BodyText"/>
        <w:spacing w:line="417" w:lineRule="auto"/>
        <w:ind w:left="778" w:right="889" w:firstLine="419"/>
      </w:pPr>
      <w:r>
        <w:rPr>
          <w:spacing w:val="-8"/>
        </w:rPr>
        <w:t>基金管理人拒绝接受某些投资者的申购申请时，申购款项将退回投资者账户。基金管理</w:t>
      </w:r>
      <w:r>
        <w:rPr>
          <w:spacing w:val="-5"/>
        </w:rPr>
        <w:t>人暂停接受投资者的申购申请时需按规定公告。</w:t>
      </w:r>
    </w:p>
    <w:p>
      <w:pPr>
        <w:pStyle w:val="BodyText"/>
        <w:spacing w:line="269" w:lineRule="exact"/>
        <w:ind w:left="1198"/>
      </w:pPr>
      <w:r>
        <w:rPr>
          <w:rFonts w:ascii="Times New Roman" w:eastAsia="Times New Roman"/>
        </w:rPr>
        <w:t>2</w:t>
      </w:r>
      <w:r>
        <w:rPr/>
        <w:t>、在如下情况下，基金管理人可以暂停接受投资者的赎回申请或延缓支付赎回款项：</w:t>
      </w:r>
    </w:p>
    <w:p>
      <w:pPr>
        <w:pStyle w:val="BodyText"/>
        <w:spacing w:before="7"/>
        <w:rPr>
          <w:sz w:val="15"/>
        </w:rPr>
      </w:pPr>
    </w:p>
    <w:p>
      <w:pPr>
        <w:pStyle w:val="ListParagraph"/>
        <w:numPr>
          <w:ilvl w:val="0"/>
          <w:numId w:val="12"/>
        </w:numPr>
        <w:tabs>
          <w:tab w:pos="1727" w:val="left" w:leader="none"/>
        </w:tabs>
        <w:spacing w:line="240" w:lineRule="auto" w:before="0" w:after="0"/>
        <w:ind w:left="1727" w:right="0" w:hanging="529"/>
        <w:jc w:val="left"/>
        <w:rPr>
          <w:sz w:val="21"/>
        </w:rPr>
      </w:pPr>
      <w:r>
        <w:rPr>
          <w:spacing w:val="-3"/>
          <w:sz w:val="21"/>
        </w:rPr>
        <w:t>不可抗力。</w:t>
      </w:r>
    </w:p>
    <w:p>
      <w:pPr>
        <w:pStyle w:val="BodyText"/>
        <w:spacing w:before="6"/>
        <w:rPr>
          <w:sz w:val="15"/>
        </w:rPr>
      </w:pPr>
    </w:p>
    <w:p>
      <w:pPr>
        <w:pStyle w:val="ListParagraph"/>
        <w:numPr>
          <w:ilvl w:val="0"/>
          <w:numId w:val="12"/>
        </w:numPr>
        <w:tabs>
          <w:tab w:pos="1727" w:val="left" w:leader="none"/>
        </w:tabs>
        <w:spacing w:line="240" w:lineRule="auto" w:before="1" w:after="0"/>
        <w:ind w:left="1727" w:right="0" w:hanging="529"/>
        <w:jc w:val="left"/>
        <w:rPr>
          <w:sz w:val="21"/>
        </w:rPr>
      </w:pPr>
      <w:r>
        <w:rPr>
          <w:spacing w:val="-3"/>
          <w:sz w:val="21"/>
        </w:rPr>
        <w:t>证券交易市场交易时间非正常停市。</w:t>
      </w:r>
    </w:p>
    <w:p>
      <w:pPr>
        <w:pStyle w:val="BodyText"/>
        <w:spacing w:before="7"/>
        <w:rPr>
          <w:sz w:val="15"/>
        </w:rPr>
      </w:pPr>
    </w:p>
    <w:p>
      <w:pPr>
        <w:pStyle w:val="ListParagraph"/>
        <w:numPr>
          <w:ilvl w:val="0"/>
          <w:numId w:val="12"/>
        </w:numPr>
        <w:tabs>
          <w:tab w:pos="1727" w:val="left" w:leader="none"/>
        </w:tabs>
        <w:spacing w:line="240" w:lineRule="auto" w:before="0" w:after="0"/>
        <w:ind w:left="1727" w:right="0" w:hanging="529"/>
        <w:jc w:val="left"/>
        <w:rPr>
          <w:sz w:val="21"/>
        </w:rPr>
      </w:pPr>
      <w:r>
        <w:rPr>
          <w:spacing w:val="-3"/>
          <w:sz w:val="21"/>
        </w:rPr>
        <w:t>本基金连续两个开放日以上发生巨额赎回。</w:t>
      </w:r>
    </w:p>
    <w:p>
      <w:pPr>
        <w:pStyle w:val="BodyText"/>
        <w:spacing w:before="6"/>
        <w:rPr>
          <w:sz w:val="15"/>
        </w:rPr>
      </w:pPr>
    </w:p>
    <w:p>
      <w:pPr>
        <w:pStyle w:val="ListParagraph"/>
        <w:numPr>
          <w:ilvl w:val="0"/>
          <w:numId w:val="12"/>
        </w:numPr>
        <w:tabs>
          <w:tab w:pos="1730" w:val="left" w:leader="none"/>
        </w:tabs>
        <w:spacing w:line="417" w:lineRule="auto" w:before="1" w:after="0"/>
        <w:ind w:left="778" w:right="889" w:firstLine="419"/>
        <w:jc w:val="both"/>
        <w:rPr>
          <w:sz w:val="21"/>
        </w:rPr>
      </w:pPr>
      <w:r>
        <w:rPr>
          <w:sz w:val="21"/>
        </w:rPr>
        <w:t>当前一估值日基金资产净值</w:t>
      </w:r>
      <w:r>
        <w:rPr>
          <w:rFonts w:ascii="Times New Roman" w:eastAsia="Times New Roman"/>
          <w:sz w:val="21"/>
        </w:rPr>
        <w:t>50%</w:t>
      </w:r>
      <w:r>
        <w:rPr>
          <w:spacing w:val="-1"/>
          <w:sz w:val="21"/>
        </w:rPr>
        <w:t>以上的资产出现无可参考的活跃市场价格且采用</w:t>
      </w:r>
      <w:r>
        <w:rPr>
          <w:spacing w:val="-8"/>
          <w:sz w:val="21"/>
        </w:rPr>
        <w:t>估值技术仍导致公允价值存在重大不确定性时，经与基金托管人协商确认后，基金管理人应</w:t>
      </w:r>
      <w:r>
        <w:rPr>
          <w:spacing w:val="-5"/>
          <w:sz w:val="21"/>
        </w:rPr>
        <w:t>当暂停接受基金赎回申请或延缓支付赎回款项。</w:t>
      </w:r>
    </w:p>
    <w:p>
      <w:pPr>
        <w:pStyle w:val="ListParagraph"/>
        <w:numPr>
          <w:ilvl w:val="0"/>
          <w:numId w:val="12"/>
        </w:numPr>
        <w:tabs>
          <w:tab w:pos="1727" w:val="left" w:leader="none"/>
        </w:tabs>
        <w:spacing w:line="269" w:lineRule="exact" w:before="0" w:after="0"/>
        <w:ind w:left="1727" w:right="0" w:hanging="529"/>
        <w:jc w:val="left"/>
        <w:rPr>
          <w:sz w:val="21"/>
        </w:rPr>
      </w:pPr>
      <w:r>
        <w:rPr>
          <w:spacing w:val="-3"/>
          <w:sz w:val="21"/>
        </w:rPr>
        <w:t>法律法规规定或经中国证监会批准的其他情形。</w:t>
      </w:r>
    </w:p>
    <w:p>
      <w:pPr>
        <w:pStyle w:val="BodyText"/>
        <w:spacing w:before="6"/>
        <w:rPr>
          <w:sz w:val="15"/>
        </w:rPr>
      </w:pPr>
    </w:p>
    <w:p>
      <w:pPr>
        <w:pStyle w:val="BodyText"/>
        <w:spacing w:line="417" w:lineRule="auto"/>
        <w:ind w:left="778" w:right="889" w:firstLine="419"/>
        <w:jc w:val="both"/>
      </w:pPr>
      <w:r>
        <w:rPr>
          <w:spacing w:val="-10"/>
        </w:rPr>
        <w:t>发生上述情形之一的，基金管理人应当在当日立即向中国证监会备案。已接受的赎回申</w:t>
      </w:r>
      <w:r>
        <w:rPr>
          <w:spacing w:val="-11"/>
        </w:rPr>
        <w:t>请，基金管理人应当足额兑付；如暂时不能足额兑付，应当按单个账户已被接受的赎回申请</w:t>
      </w:r>
      <w:r>
        <w:rPr>
          <w:spacing w:val="-9"/>
        </w:rPr>
        <w:t>量占已接受的赎回申请总量的比例分配给赎回申请人，其余部分在后续开放日予以兑付。投</w:t>
      </w:r>
      <w:r>
        <w:rPr>
          <w:spacing w:val="-5"/>
        </w:rPr>
        <w:t>资者在申请赎回时可选择将当日未获受理部分予以撤销。</w:t>
      </w:r>
    </w:p>
    <w:p>
      <w:pPr>
        <w:pStyle w:val="BodyText"/>
        <w:ind w:left="1198"/>
      </w:pPr>
      <w:r>
        <w:rPr/>
        <w:t>在暂停赎回的情况消除时，基金管理人应及时恢复赎回业务的办理。</w:t>
      </w:r>
    </w:p>
    <w:p>
      <w:pPr>
        <w:pStyle w:val="BodyText"/>
        <w:spacing w:before="7"/>
        <w:rPr>
          <w:sz w:val="15"/>
        </w:rPr>
      </w:pPr>
    </w:p>
    <w:p>
      <w:pPr>
        <w:pStyle w:val="BodyText"/>
        <w:spacing w:line="417" w:lineRule="auto"/>
        <w:ind w:left="778" w:right="889" w:firstLine="419"/>
        <w:jc w:val="both"/>
      </w:pPr>
      <w:r>
        <w:rPr>
          <w:rFonts w:ascii="Times New Roman" w:eastAsia="Times New Roman"/>
        </w:rPr>
        <w:t>3</w:t>
      </w:r>
      <w:r>
        <w:rPr>
          <w:spacing w:val="-3"/>
        </w:rPr>
        <w:t>、发生基金合同、招募说明书中未予载明的事项，但基金管理人有正当理由认为需要</w:t>
      </w:r>
      <w:r>
        <w:rPr>
          <w:spacing w:val="-9"/>
        </w:rPr>
        <w:t>暂停接受基金申购、赎回申请的，报经中国证监会批准后可以暂停接受投资者的申购、赎回申请。</w:t>
      </w:r>
    </w:p>
    <w:p>
      <w:pPr>
        <w:pStyle w:val="BodyText"/>
        <w:spacing w:line="269" w:lineRule="exact"/>
        <w:ind w:left="1198"/>
      </w:pPr>
      <w:r>
        <w:rPr>
          <w:rFonts w:ascii="Times New Roman" w:eastAsia="Times New Roman"/>
        </w:rPr>
        <w:t>4</w:t>
      </w:r>
      <w:r>
        <w:rPr/>
        <w:t>、暂停基金的申购、赎回，基金管理人应及时在至少一种中国证监会指定媒介公告。</w:t>
      </w:r>
    </w:p>
    <w:p>
      <w:pPr>
        <w:pStyle w:val="BodyText"/>
        <w:spacing w:before="7"/>
        <w:rPr>
          <w:sz w:val="15"/>
        </w:rPr>
      </w:pPr>
    </w:p>
    <w:p>
      <w:pPr>
        <w:pStyle w:val="BodyText"/>
        <w:ind w:left="1198"/>
      </w:pPr>
      <w:r>
        <w:rPr>
          <w:rFonts w:ascii="Times New Roman" w:eastAsia="Times New Roman"/>
        </w:rPr>
        <w:t>5</w:t>
      </w:r>
      <w:r>
        <w:rPr/>
        <w:t>、暂停期间结束基金重新开放时，基金管理人应予公告。</w:t>
      </w:r>
    </w:p>
    <w:p>
      <w:pPr>
        <w:pStyle w:val="BodyText"/>
        <w:spacing w:before="7"/>
        <w:rPr>
          <w:sz w:val="15"/>
        </w:rPr>
      </w:pPr>
    </w:p>
    <w:p>
      <w:pPr>
        <w:pStyle w:val="BodyText"/>
        <w:ind w:left="1198"/>
      </w:pPr>
      <w:r>
        <w:rPr/>
        <w:t>如果发生暂停的时间为一天，基金管理人将于重新开放日在至少一种中国证监会指定媒</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778"/>
      </w:pPr>
      <w:r>
        <w:rPr/>
        <w:t>介刊登基金重新开放申购或赎回的公告并公告暂停期间的基金收益情况。</w:t>
      </w:r>
    </w:p>
    <w:p>
      <w:pPr>
        <w:pStyle w:val="BodyText"/>
        <w:spacing w:before="7"/>
        <w:rPr>
          <w:sz w:val="15"/>
        </w:rPr>
      </w:pPr>
    </w:p>
    <w:p>
      <w:pPr>
        <w:pStyle w:val="BodyText"/>
        <w:spacing w:line="417" w:lineRule="auto"/>
        <w:ind w:left="778" w:right="889" w:firstLine="419"/>
        <w:jc w:val="both"/>
      </w:pPr>
      <w:r>
        <w:rPr>
          <w:spacing w:val="-8"/>
        </w:rPr>
        <w:t>如果发生暂停的时间超过一天但少于两周，暂停结束基金重新开放申购或赎回时，基金</w:t>
      </w:r>
      <w:r>
        <w:rPr>
          <w:spacing w:val="-5"/>
        </w:rPr>
        <w:t>管理人将提前</w:t>
      </w:r>
      <w:r>
        <w:rPr>
          <w:rFonts w:ascii="Times New Roman" w:eastAsia="Times New Roman"/>
        </w:rPr>
        <w:t>1</w:t>
      </w:r>
      <w:r>
        <w:rPr>
          <w:spacing w:val="-3"/>
        </w:rPr>
        <w:t>个工作日在至少一种中国证监会指定媒介刊登基金重新开放申购或赎回的公告，并在重新开放申购或赎回日公告暂停期间的基金收益情况。</w:t>
      </w:r>
    </w:p>
    <w:p>
      <w:pPr>
        <w:pStyle w:val="BodyText"/>
        <w:spacing w:line="417" w:lineRule="auto"/>
        <w:ind w:left="778" w:right="889" w:firstLine="419"/>
        <w:jc w:val="both"/>
      </w:pPr>
      <w:r>
        <w:rPr>
          <w:spacing w:val="-8"/>
        </w:rPr>
        <w:t>如果发生暂停的时间超过两周，暂停期间，基金管理人应每两周至少重复刊登暂停公告</w:t>
      </w:r>
      <w:r>
        <w:rPr>
          <w:spacing w:val="-11"/>
        </w:rPr>
        <w:t>一次；当连续暂停时间超过两个月时，可对重复刊登暂停公告的频率进行调整。暂停结束基</w:t>
      </w:r>
      <w:r>
        <w:rPr>
          <w:spacing w:val="-6"/>
        </w:rPr>
        <w:t>金重新开放申购或赎回时，基金管理人应提前</w:t>
      </w:r>
      <w:r>
        <w:rPr>
          <w:rFonts w:ascii="Times New Roman" w:eastAsia="Times New Roman"/>
        </w:rPr>
        <w:t>3</w:t>
      </w:r>
      <w:r>
        <w:rPr>
          <w:spacing w:val="-3"/>
        </w:rPr>
        <w:t>个工作日在至少一种中国证监会指定媒介连</w:t>
      </w:r>
      <w:r>
        <w:rPr>
          <w:spacing w:val="-8"/>
        </w:rPr>
        <w:t>续刊登基金重新开放申购或赎回的公告，并在重新开放申购或赎回日公告暂停期间的基金收</w:t>
      </w:r>
      <w:r>
        <w:rPr>
          <w:spacing w:val="-6"/>
        </w:rPr>
        <w:t>益情况。</w:t>
      </w:r>
    </w:p>
    <w:p>
      <w:pPr>
        <w:pStyle w:val="BodyText"/>
        <w:spacing w:line="269" w:lineRule="exact"/>
        <w:ind w:left="1198"/>
      </w:pPr>
      <w:r>
        <w:rPr/>
        <w:t>（十二）基金份额的转换</w:t>
      </w:r>
    </w:p>
    <w:p>
      <w:pPr>
        <w:pStyle w:val="BodyText"/>
        <w:spacing w:before="6"/>
        <w:rPr>
          <w:sz w:val="15"/>
        </w:rPr>
      </w:pPr>
    </w:p>
    <w:p>
      <w:pPr>
        <w:pStyle w:val="BodyText"/>
        <w:ind w:left="1198"/>
      </w:pPr>
      <w:r>
        <w:rPr>
          <w:rFonts w:ascii="Times New Roman" w:eastAsia="Times New Roman"/>
        </w:rPr>
        <w:t>1</w:t>
      </w:r>
      <w:r>
        <w:rPr/>
        <w:t>、基金转换的原则</w:t>
      </w:r>
    </w:p>
    <w:p>
      <w:pPr>
        <w:pStyle w:val="BodyText"/>
        <w:spacing w:before="7"/>
        <w:rPr>
          <w:sz w:val="15"/>
        </w:rPr>
      </w:pPr>
    </w:p>
    <w:p>
      <w:pPr>
        <w:pStyle w:val="ListParagraph"/>
        <w:numPr>
          <w:ilvl w:val="0"/>
          <w:numId w:val="13"/>
        </w:numPr>
        <w:tabs>
          <w:tab w:pos="1727" w:val="left" w:leader="none"/>
        </w:tabs>
        <w:spacing w:line="240" w:lineRule="auto" w:before="0" w:after="0"/>
        <w:ind w:left="1727" w:right="0" w:hanging="529"/>
        <w:jc w:val="left"/>
        <w:rPr>
          <w:sz w:val="21"/>
        </w:rPr>
      </w:pPr>
      <w:r>
        <w:rPr>
          <w:spacing w:val="-3"/>
          <w:sz w:val="21"/>
        </w:rPr>
        <w:t>投资者只可在同时销售转出基金及转入基金的机构办理基金转换业务。</w:t>
      </w:r>
    </w:p>
    <w:p>
      <w:pPr>
        <w:pStyle w:val="BodyText"/>
        <w:spacing w:before="7"/>
        <w:rPr>
          <w:sz w:val="15"/>
        </w:rPr>
      </w:pPr>
    </w:p>
    <w:p>
      <w:pPr>
        <w:pStyle w:val="ListParagraph"/>
        <w:numPr>
          <w:ilvl w:val="0"/>
          <w:numId w:val="13"/>
        </w:numPr>
        <w:tabs>
          <w:tab w:pos="1727" w:val="left" w:leader="none"/>
        </w:tabs>
        <w:spacing w:line="240" w:lineRule="auto" w:before="0" w:after="0"/>
        <w:ind w:left="1727" w:right="0" w:hanging="529"/>
        <w:jc w:val="left"/>
        <w:rPr>
          <w:sz w:val="21"/>
        </w:rPr>
      </w:pPr>
      <w:r>
        <w:rPr>
          <w:spacing w:val="-3"/>
          <w:sz w:val="21"/>
        </w:rPr>
        <w:t>基金转换以份额为单位进行申请。</w:t>
      </w:r>
    </w:p>
    <w:p>
      <w:pPr>
        <w:pStyle w:val="BodyText"/>
        <w:spacing w:before="6"/>
        <w:rPr>
          <w:sz w:val="15"/>
        </w:rPr>
      </w:pPr>
    </w:p>
    <w:p>
      <w:pPr>
        <w:pStyle w:val="ListParagraph"/>
        <w:numPr>
          <w:ilvl w:val="0"/>
          <w:numId w:val="13"/>
        </w:numPr>
        <w:tabs>
          <w:tab w:pos="1727" w:val="left" w:leader="none"/>
        </w:tabs>
        <w:spacing w:line="417" w:lineRule="auto" w:before="0" w:after="0"/>
        <w:ind w:left="778" w:right="889" w:firstLine="419"/>
        <w:jc w:val="left"/>
        <w:rPr>
          <w:sz w:val="21"/>
        </w:rPr>
      </w:pPr>
      <w:r>
        <w:rPr>
          <w:spacing w:val="-3"/>
          <w:sz w:val="21"/>
        </w:rPr>
        <w:t>基金转换采取未知价法，即基金的转换价格以转换申请受理当日转出、转入基金的单位净值为基准进行计算。</w:t>
      </w:r>
    </w:p>
    <w:p>
      <w:pPr>
        <w:pStyle w:val="ListParagraph"/>
        <w:numPr>
          <w:ilvl w:val="0"/>
          <w:numId w:val="13"/>
        </w:numPr>
        <w:tabs>
          <w:tab w:pos="1727" w:val="left" w:leader="none"/>
        </w:tabs>
        <w:spacing w:line="240" w:lineRule="auto" w:before="1" w:after="0"/>
        <w:ind w:left="1727" w:right="0" w:hanging="529"/>
        <w:jc w:val="left"/>
        <w:rPr>
          <w:sz w:val="21"/>
        </w:rPr>
      </w:pPr>
      <w:r>
        <w:rPr>
          <w:spacing w:val="-3"/>
          <w:sz w:val="21"/>
        </w:rPr>
        <w:t>投资者Ｔ日申请基金转换后，</w:t>
      </w:r>
      <w:r>
        <w:rPr>
          <w:rFonts w:ascii="Times New Roman" w:eastAsia="Times New Roman"/>
          <w:sz w:val="21"/>
        </w:rPr>
        <w:t>T+1</w:t>
      </w:r>
      <w:r>
        <w:rPr>
          <w:spacing w:val="-3"/>
          <w:sz w:val="21"/>
        </w:rPr>
        <w:t>日可获得确认。</w:t>
      </w:r>
    </w:p>
    <w:p>
      <w:pPr>
        <w:pStyle w:val="BodyText"/>
        <w:spacing w:before="6"/>
        <w:rPr>
          <w:sz w:val="15"/>
        </w:rPr>
      </w:pPr>
    </w:p>
    <w:p>
      <w:pPr>
        <w:pStyle w:val="ListParagraph"/>
        <w:numPr>
          <w:ilvl w:val="0"/>
          <w:numId w:val="13"/>
        </w:numPr>
        <w:tabs>
          <w:tab w:pos="1725" w:val="left" w:leader="none"/>
        </w:tabs>
        <w:spacing w:line="417" w:lineRule="auto" w:before="0" w:after="0"/>
        <w:ind w:left="778" w:right="783" w:firstLine="419"/>
        <w:jc w:val="left"/>
        <w:rPr>
          <w:sz w:val="21"/>
        </w:rPr>
      </w:pPr>
      <w:r>
        <w:rPr>
          <w:spacing w:val="-9"/>
          <w:sz w:val="21"/>
        </w:rPr>
        <w:t>除另有规定外，基金份额持有人单笔转出申请遵循转出基金有关赎回份额的限制 </w:t>
      </w:r>
      <w:r>
        <w:rPr>
          <w:spacing w:val="-3"/>
          <w:sz w:val="21"/>
        </w:rPr>
        <w:t>，单笔转入申请不受转入基金最低申购限额限制。</w:t>
      </w:r>
    </w:p>
    <w:p>
      <w:pPr>
        <w:pStyle w:val="ListParagraph"/>
        <w:numPr>
          <w:ilvl w:val="0"/>
          <w:numId w:val="13"/>
        </w:numPr>
        <w:tabs>
          <w:tab w:pos="1727" w:val="left" w:leader="none"/>
        </w:tabs>
        <w:spacing w:line="417" w:lineRule="auto" w:before="0" w:after="0"/>
        <w:ind w:left="778" w:right="889" w:firstLine="419"/>
        <w:jc w:val="both"/>
        <w:rPr>
          <w:sz w:val="21"/>
        </w:rPr>
      </w:pPr>
      <w:r>
        <w:rPr>
          <w:spacing w:val="-3"/>
          <w:sz w:val="21"/>
        </w:rPr>
        <w:t>发生巨额赎回时，基金转出与基金赎回具有相同的优先级，基金管理人可根据基</w:t>
      </w:r>
      <w:r>
        <w:rPr>
          <w:spacing w:val="-10"/>
          <w:sz w:val="21"/>
        </w:rPr>
        <w:t>金资产组合情况，决定全额转出或部分转出，并且对于基金转出和基金赎回，将采取相同的</w:t>
      </w:r>
      <w:r>
        <w:rPr>
          <w:spacing w:val="-12"/>
          <w:sz w:val="21"/>
        </w:rPr>
        <w:t>比例确认；在转出申请得到部分确认的情况下，未确认的转出申请可根据投资者事先的选择</w:t>
      </w:r>
      <w:r>
        <w:rPr>
          <w:spacing w:val="-6"/>
          <w:sz w:val="21"/>
        </w:rPr>
        <w:t>和代销机构的相关规定予以顺延或撤销基金转换。</w:t>
      </w:r>
    </w:p>
    <w:p>
      <w:pPr>
        <w:pStyle w:val="ListParagraph"/>
        <w:numPr>
          <w:ilvl w:val="0"/>
          <w:numId w:val="13"/>
        </w:numPr>
        <w:tabs>
          <w:tab w:pos="1727" w:val="left" w:leader="none"/>
        </w:tabs>
        <w:spacing w:line="417" w:lineRule="auto" w:before="0" w:after="0"/>
        <w:ind w:left="778" w:right="889" w:firstLine="419"/>
        <w:jc w:val="left"/>
        <w:rPr>
          <w:sz w:val="21"/>
        </w:rPr>
      </w:pPr>
      <w:r>
        <w:rPr>
          <w:spacing w:val="-3"/>
          <w:sz w:val="21"/>
        </w:rPr>
        <w:t>投资者办理基金转换业务时，转出基金必须处于可赎回状态，转入基金必须处于可申购状态。</w:t>
      </w:r>
    </w:p>
    <w:p>
      <w:pPr>
        <w:pStyle w:val="BodyText"/>
        <w:spacing w:line="417" w:lineRule="auto"/>
        <w:ind w:left="778" w:right="889" w:firstLine="419"/>
      </w:pPr>
      <w:r>
        <w:rPr>
          <w:spacing w:val="-8"/>
        </w:rPr>
        <w:t>由于各代销机构系统及业务安排等原因，可能开展基金转换业务的时间有所不同，投资</w:t>
      </w:r>
      <w:r>
        <w:rPr>
          <w:spacing w:val="-5"/>
        </w:rPr>
        <w:t>者应参照各代销机构的具体规定。</w:t>
      </w:r>
    </w:p>
    <w:p>
      <w:pPr>
        <w:pStyle w:val="BodyText"/>
        <w:spacing w:line="417" w:lineRule="auto"/>
        <w:ind w:left="778" w:right="888" w:firstLine="419"/>
      </w:pPr>
      <w:r>
        <w:rPr/>
        <w:t>基金管理人有权根据市场情况调整转换的程序及有关限制，但应最迟在调整生效前</w:t>
      </w:r>
      <w:r>
        <w:rPr>
          <w:rFonts w:ascii="Times New Roman" w:eastAsia="Times New Roman"/>
        </w:rPr>
        <w:t>3</w:t>
      </w:r>
      <w:r>
        <w:rPr/>
        <w:t>个工作日在至少一种中国证监会指定媒介公告。</w:t>
      </w:r>
    </w:p>
    <w:p>
      <w:pPr>
        <w:pStyle w:val="BodyText"/>
        <w:ind w:left="1198"/>
      </w:pPr>
      <w:r>
        <w:rPr>
          <w:rFonts w:ascii="Times New Roman" w:eastAsia="Times New Roman"/>
        </w:rPr>
        <w:t>2</w:t>
      </w:r>
      <w:r>
        <w:rPr/>
        <w:t>、暂停基金转换的情形及处理</w:t>
      </w:r>
    </w:p>
    <w:p>
      <w:pPr>
        <w:pStyle w:val="BodyText"/>
        <w:spacing w:before="6"/>
        <w:rPr>
          <w:sz w:val="15"/>
        </w:rPr>
      </w:pPr>
    </w:p>
    <w:p>
      <w:pPr>
        <w:pStyle w:val="BodyText"/>
        <w:ind w:left="1198"/>
      </w:pPr>
      <w:r>
        <w:rPr/>
        <w:t>出现下列情况之一时，基金管理人可以暂停基金转换业务：</w:t>
      </w:r>
    </w:p>
    <w:p>
      <w:pPr>
        <w:spacing w:after="0"/>
        <w:sectPr>
          <w:pgSz w:w="11910" w:h="16840"/>
          <w:pgMar w:header="877" w:footer="995" w:top="1280" w:bottom="1180" w:left="1020" w:right="900"/>
        </w:sectPr>
      </w:pPr>
    </w:p>
    <w:p>
      <w:pPr>
        <w:pStyle w:val="BodyText"/>
        <w:rPr>
          <w:sz w:val="12"/>
        </w:rPr>
      </w:pPr>
    </w:p>
    <w:p>
      <w:pPr>
        <w:pStyle w:val="ListParagraph"/>
        <w:numPr>
          <w:ilvl w:val="0"/>
          <w:numId w:val="14"/>
        </w:numPr>
        <w:tabs>
          <w:tab w:pos="1727" w:val="left" w:leader="none"/>
        </w:tabs>
        <w:spacing w:line="240" w:lineRule="auto" w:before="78" w:after="0"/>
        <w:ind w:left="1727" w:right="0" w:hanging="529"/>
        <w:jc w:val="left"/>
        <w:rPr>
          <w:sz w:val="21"/>
        </w:rPr>
      </w:pPr>
      <w:r>
        <w:rPr>
          <w:spacing w:val="-3"/>
          <w:sz w:val="21"/>
        </w:rPr>
        <w:t>不可抗力的原因导致基金无法正常运作。</w:t>
      </w:r>
    </w:p>
    <w:p>
      <w:pPr>
        <w:pStyle w:val="BodyText"/>
        <w:spacing w:before="7"/>
        <w:rPr>
          <w:sz w:val="15"/>
        </w:rPr>
      </w:pPr>
    </w:p>
    <w:p>
      <w:pPr>
        <w:pStyle w:val="ListParagraph"/>
        <w:numPr>
          <w:ilvl w:val="0"/>
          <w:numId w:val="14"/>
        </w:numPr>
        <w:tabs>
          <w:tab w:pos="1727" w:val="left" w:leader="none"/>
        </w:tabs>
        <w:spacing w:line="417" w:lineRule="auto" w:before="0" w:after="0"/>
        <w:ind w:left="778" w:right="889" w:firstLine="419"/>
        <w:jc w:val="left"/>
        <w:rPr>
          <w:sz w:val="21"/>
        </w:rPr>
      </w:pPr>
      <w:r>
        <w:rPr>
          <w:spacing w:val="-3"/>
          <w:sz w:val="21"/>
        </w:rPr>
        <w:t>证券交易场所在交易时间非正常停市，导致基金管理人无法计算当日基金资产净值。</w:t>
      </w:r>
    </w:p>
    <w:p>
      <w:pPr>
        <w:pStyle w:val="ListParagraph"/>
        <w:numPr>
          <w:ilvl w:val="0"/>
          <w:numId w:val="14"/>
        </w:numPr>
        <w:tabs>
          <w:tab w:pos="1727" w:val="left" w:leader="none"/>
        </w:tabs>
        <w:spacing w:line="417" w:lineRule="auto" w:before="0" w:after="0"/>
        <w:ind w:left="778" w:right="889" w:firstLine="419"/>
        <w:jc w:val="left"/>
        <w:rPr>
          <w:sz w:val="21"/>
        </w:rPr>
      </w:pPr>
      <w:r>
        <w:rPr>
          <w:spacing w:val="-3"/>
          <w:sz w:val="21"/>
        </w:rPr>
        <w:t>因市场剧烈波动或其它原因而出现连续巨额赎回，基金管理人认为有必要暂停接受该基金份额的转出申请。</w:t>
      </w:r>
    </w:p>
    <w:p>
      <w:pPr>
        <w:pStyle w:val="ListParagraph"/>
        <w:numPr>
          <w:ilvl w:val="0"/>
          <w:numId w:val="14"/>
        </w:numPr>
        <w:tabs>
          <w:tab w:pos="1727" w:val="left" w:leader="none"/>
        </w:tabs>
        <w:spacing w:line="269" w:lineRule="exact" w:before="0" w:after="0"/>
        <w:ind w:left="1727" w:right="0" w:hanging="529"/>
        <w:jc w:val="left"/>
        <w:rPr>
          <w:sz w:val="21"/>
        </w:rPr>
      </w:pPr>
      <w:r>
        <w:rPr>
          <w:spacing w:val="-3"/>
          <w:sz w:val="21"/>
        </w:rPr>
        <w:t>基金管理人认为会有损于现有基金份额持有人利益的某笔转换申请。</w:t>
      </w:r>
    </w:p>
    <w:p>
      <w:pPr>
        <w:pStyle w:val="BodyText"/>
        <w:spacing w:before="6"/>
        <w:rPr>
          <w:sz w:val="15"/>
        </w:rPr>
      </w:pPr>
    </w:p>
    <w:p>
      <w:pPr>
        <w:pStyle w:val="ListParagraph"/>
        <w:numPr>
          <w:ilvl w:val="0"/>
          <w:numId w:val="14"/>
        </w:numPr>
        <w:tabs>
          <w:tab w:pos="1727" w:val="left" w:leader="none"/>
        </w:tabs>
        <w:spacing w:line="240" w:lineRule="auto" w:before="0" w:after="0"/>
        <w:ind w:left="1727" w:right="0" w:hanging="529"/>
        <w:jc w:val="left"/>
        <w:rPr>
          <w:sz w:val="21"/>
        </w:rPr>
      </w:pPr>
      <w:r>
        <w:rPr>
          <w:spacing w:val="-3"/>
          <w:sz w:val="21"/>
        </w:rPr>
        <w:t>基金管理人有正当理由认为需要拒绝或暂停接受基金转换申请的。</w:t>
      </w:r>
    </w:p>
    <w:p>
      <w:pPr>
        <w:pStyle w:val="BodyText"/>
        <w:spacing w:before="8"/>
        <w:rPr>
          <w:sz w:val="15"/>
        </w:rPr>
      </w:pPr>
    </w:p>
    <w:p>
      <w:pPr>
        <w:pStyle w:val="ListParagraph"/>
        <w:numPr>
          <w:ilvl w:val="0"/>
          <w:numId w:val="14"/>
        </w:numPr>
        <w:tabs>
          <w:tab w:pos="1727" w:val="left" w:leader="none"/>
        </w:tabs>
        <w:spacing w:line="240" w:lineRule="auto" w:before="0" w:after="0"/>
        <w:ind w:left="1727" w:right="0" w:hanging="529"/>
        <w:jc w:val="left"/>
        <w:rPr>
          <w:sz w:val="21"/>
        </w:rPr>
      </w:pPr>
      <w:r>
        <w:rPr>
          <w:spacing w:val="-3"/>
          <w:sz w:val="21"/>
        </w:rPr>
        <w:t>发生基金合同规定的暂停基金申购或赎回的情形。</w:t>
      </w:r>
    </w:p>
    <w:p>
      <w:pPr>
        <w:pStyle w:val="BodyText"/>
        <w:spacing w:before="6"/>
        <w:rPr>
          <w:sz w:val="15"/>
        </w:rPr>
      </w:pPr>
    </w:p>
    <w:p>
      <w:pPr>
        <w:pStyle w:val="ListParagraph"/>
        <w:numPr>
          <w:ilvl w:val="0"/>
          <w:numId w:val="14"/>
        </w:numPr>
        <w:tabs>
          <w:tab w:pos="1727" w:val="left" w:leader="none"/>
        </w:tabs>
        <w:spacing w:line="240" w:lineRule="auto" w:before="1" w:after="0"/>
        <w:ind w:left="1727" w:right="0" w:hanging="529"/>
        <w:jc w:val="left"/>
        <w:rPr>
          <w:sz w:val="21"/>
        </w:rPr>
      </w:pPr>
      <w:r>
        <w:rPr>
          <w:spacing w:val="-3"/>
          <w:sz w:val="21"/>
        </w:rPr>
        <w:t>法律法规规定或中国证监会认定的其他情形。</w:t>
      </w:r>
    </w:p>
    <w:p>
      <w:pPr>
        <w:pStyle w:val="BodyText"/>
        <w:spacing w:before="6"/>
        <w:rPr>
          <w:sz w:val="15"/>
        </w:rPr>
      </w:pPr>
    </w:p>
    <w:p>
      <w:pPr>
        <w:pStyle w:val="BodyText"/>
        <w:spacing w:line="417" w:lineRule="auto"/>
        <w:ind w:left="778" w:right="890" w:firstLine="419"/>
        <w:jc w:val="both"/>
      </w:pPr>
      <w:r>
        <w:rPr>
          <w:spacing w:val="-12"/>
        </w:rPr>
        <w:t>发生上述情形之一的，基金管理人应于规定期限内在至少一种中国证监会指定媒介上刊</w:t>
      </w:r>
      <w:r>
        <w:rPr>
          <w:spacing w:val="-13"/>
        </w:rPr>
        <w:t>登暂停公告。重新开放基金转换时，基金管理人应及时在至少一种中国证监会指定媒介上刊</w:t>
      </w:r>
      <w:r>
        <w:rPr>
          <w:spacing w:val="-6"/>
        </w:rPr>
        <w:t>登重新开放基金转换的公告。</w:t>
      </w:r>
    </w:p>
    <w:p>
      <w:pPr>
        <w:pStyle w:val="BodyText"/>
        <w:spacing w:line="269" w:lineRule="exact"/>
        <w:ind w:left="1212"/>
      </w:pPr>
      <w:r>
        <w:rPr>
          <w:rFonts w:ascii="Times New Roman" w:eastAsia="Times New Roman"/>
        </w:rPr>
        <w:t>3</w:t>
      </w:r>
      <w:r>
        <w:rPr/>
        <w:t>、基金转换费用</w:t>
      </w:r>
    </w:p>
    <w:p>
      <w:pPr>
        <w:pStyle w:val="BodyText"/>
        <w:spacing w:before="7"/>
        <w:rPr>
          <w:sz w:val="15"/>
        </w:rPr>
      </w:pPr>
    </w:p>
    <w:p>
      <w:pPr>
        <w:pStyle w:val="ListParagraph"/>
        <w:numPr>
          <w:ilvl w:val="0"/>
          <w:numId w:val="15"/>
        </w:numPr>
        <w:tabs>
          <w:tab w:pos="1727" w:val="left" w:leader="none"/>
        </w:tabs>
        <w:spacing w:line="240" w:lineRule="auto" w:before="0" w:after="0"/>
        <w:ind w:left="1727" w:right="0" w:hanging="529"/>
        <w:jc w:val="left"/>
        <w:rPr>
          <w:sz w:val="21"/>
        </w:rPr>
      </w:pPr>
      <w:r>
        <w:rPr>
          <w:spacing w:val="-3"/>
          <w:sz w:val="21"/>
        </w:rPr>
        <w:t>基金转换费：无。</w:t>
      </w:r>
    </w:p>
    <w:p>
      <w:pPr>
        <w:pStyle w:val="BodyText"/>
        <w:spacing w:before="7"/>
        <w:rPr>
          <w:sz w:val="15"/>
        </w:rPr>
      </w:pPr>
    </w:p>
    <w:p>
      <w:pPr>
        <w:pStyle w:val="ListParagraph"/>
        <w:numPr>
          <w:ilvl w:val="0"/>
          <w:numId w:val="15"/>
        </w:numPr>
        <w:tabs>
          <w:tab w:pos="1727" w:val="left" w:leader="none"/>
        </w:tabs>
        <w:spacing w:line="417" w:lineRule="auto" w:before="0" w:after="0"/>
        <w:ind w:left="778" w:right="889" w:firstLine="419"/>
        <w:jc w:val="both"/>
        <w:rPr>
          <w:sz w:val="21"/>
        </w:rPr>
      </w:pPr>
      <w:r>
        <w:rPr>
          <w:spacing w:val="-3"/>
          <w:sz w:val="21"/>
        </w:rPr>
        <w:t>转出基金费用：按转出基金赎回时应收的赎回费收取，如该部分基金采用后端收</w:t>
      </w:r>
      <w:r>
        <w:rPr>
          <w:spacing w:val="-10"/>
          <w:sz w:val="21"/>
        </w:rPr>
        <w:t>费模式购买，除收取赎回费外，还需收取赎回时应收的后端申购费。转换金额指扣除赎回费</w:t>
      </w:r>
      <w:r>
        <w:rPr>
          <w:spacing w:val="-5"/>
          <w:sz w:val="21"/>
        </w:rPr>
        <w:t>与后端申购费</w:t>
      </w:r>
      <w:r>
        <w:rPr>
          <w:spacing w:val="-3"/>
          <w:sz w:val="21"/>
        </w:rPr>
        <w:t>（</w:t>
      </w:r>
      <w:r>
        <w:rPr>
          <w:spacing w:val="-2"/>
          <w:sz w:val="21"/>
        </w:rPr>
        <w:t>若有</w:t>
      </w:r>
      <w:r>
        <w:rPr>
          <w:sz w:val="21"/>
        </w:rPr>
        <w:t>）</w:t>
      </w:r>
      <w:r>
        <w:rPr>
          <w:spacing w:val="-3"/>
          <w:sz w:val="21"/>
        </w:rPr>
        <w:t>后的余额。</w:t>
      </w:r>
    </w:p>
    <w:p>
      <w:pPr>
        <w:pStyle w:val="ListParagraph"/>
        <w:numPr>
          <w:ilvl w:val="0"/>
          <w:numId w:val="15"/>
        </w:numPr>
        <w:tabs>
          <w:tab w:pos="1727" w:val="left" w:leader="none"/>
        </w:tabs>
        <w:spacing w:line="269" w:lineRule="exact" w:before="0" w:after="0"/>
        <w:ind w:left="1727" w:right="0" w:hanging="529"/>
        <w:jc w:val="left"/>
        <w:rPr>
          <w:sz w:val="21"/>
        </w:rPr>
      </w:pPr>
      <w:r>
        <w:rPr>
          <w:spacing w:val="-3"/>
          <w:sz w:val="21"/>
        </w:rPr>
        <w:t>转入基金费用：转入基金申购费用根据适用的转换情形收取，详细如下：</w:t>
      </w:r>
    </w:p>
    <w:p>
      <w:pPr>
        <w:pStyle w:val="BodyText"/>
        <w:spacing w:before="7"/>
        <w:rPr>
          <w:sz w:val="15"/>
        </w:rPr>
      </w:pPr>
    </w:p>
    <w:p>
      <w:pPr>
        <w:pStyle w:val="BodyText"/>
        <w:ind w:left="1198"/>
      </w:pPr>
      <w:r>
        <w:rPr/>
        <w:t>①从前端（比例费率）收费基金转出，转入其他前端（比例费率）收费基金</w:t>
      </w:r>
    </w:p>
    <w:p>
      <w:pPr>
        <w:pStyle w:val="BodyText"/>
        <w:spacing w:before="6"/>
        <w:rPr>
          <w:sz w:val="15"/>
        </w:rPr>
      </w:pPr>
    </w:p>
    <w:p>
      <w:pPr>
        <w:pStyle w:val="BodyText"/>
        <w:spacing w:line="417" w:lineRule="auto" w:before="1"/>
        <w:ind w:left="778" w:right="889" w:firstLine="419"/>
      </w:pPr>
      <w:r>
        <w:rPr>
          <w:spacing w:val="-12"/>
        </w:rPr>
        <w:t>情形描述：投资者将其持有的某一前端收费基金的基金份额转换为本公司管理的其他前</w:t>
      </w:r>
      <w:r>
        <w:rPr>
          <w:spacing w:val="-6"/>
        </w:rPr>
        <w:t>端收费基金基金份额，且转出基金和转入基金的申购费率均适用比例费率。</w:t>
      </w:r>
    </w:p>
    <w:p>
      <w:pPr>
        <w:pStyle w:val="BodyText"/>
        <w:spacing w:line="417" w:lineRule="auto"/>
        <w:ind w:left="778" w:right="889"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spacing w:line="269" w:lineRule="exact"/>
        <w:ind w:left="1198"/>
      </w:pPr>
      <w:r>
        <w:rPr/>
        <w:t>业务举例：详见“</w:t>
      </w:r>
      <w:r>
        <w:rPr>
          <w:rFonts w:ascii="Times New Roman" w:hAnsi="Times New Roman" w:eastAsia="Times New Roman"/>
        </w:rPr>
        <w:t>4</w:t>
      </w:r>
      <w:r>
        <w:rPr/>
        <w:t>、业务举例”中例一。</w:t>
      </w:r>
    </w:p>
    <w:p>
      <w:pPr>
        <w:pStyle w:val="BodyText"/>
        <w:spacing w:before="6"/>
        <w:rPr>
          <w:sz w:val="15"/>
        </w:rPr>
      </w:pPr>
    </w:p>
    <w:p>
      <w:pPr>
        <w:pStyle w:val="BodyText"/>
        <w:spacing w:before="1"/>
        <w:ind w:left="1198"/>
      </w:pPr>
      <w:r>
        <w:rPr/>
        <w:t>②从前端（比例费率）收费基金转出，转入其他前端（固定费用）收费基金</w:t>
      </w:r>
    </w:p>
    <w:p>
      <w:pPr>
        <w:pStyle w:val="BodyText"/>
        <w:spacing w:before="6"/>
        <w:rPr>
          <w:sz w:val="15"/>
        </w:rPr>
      </w:pPr>
    </w:p>
    <w:p>
      <w:pPr>
        <w:pStyle w:val="BodyText"/>
        <w:spacing w:line="417" w:lineRule="auto"/>
        <w:ind w:left="778" w:right="785" w:firstLine="419"/>
      </w:pPr>
      <w:r>
        <w:rPr>
          <w:spacing w:val="-12"/>
        </w:rPr>
        <w:t>情形描述：投资者将其持有的某一前端收费基金的基金份额转换为本公司管理的其他前</w:t>
      </w:r>
      <w:r>
        <w:rPr>
          <w:spacing w:val="-17"/>
        </w:rPr>
        <w:t>端收费基金基金份额，且转出基金申购费率适用比例费率，转入基金申购费率适用固定费用。</w:t>
      </w:r>
    </w:p>
    <w:p>
      <w:pPr>
        <w:pStyle w:val="BodyText"/>
        <w:spacing w:line="417" w:lineRule="auto"/>
        <w:ind w:left="778" w:right="889" w:firstLine="419"/>
      </w:pPr>
      <w:r>
        <w:rPr>
          <w:spacing w:val="-12"/>
        </w:rPr>
        <w:t>费用收取方式：如果转入基金的前端申购费率最高档比转出基金的前端申购费率最高档</w:t>
      </w:r>
      <w:r>
        <w:rPr>
          <w:spacing w:val="-8"/>
        </w:rPr>
        <w:t>高，则收取的申购费用为转入基金适用的固定费用；反之，收取的申购费用为 </w:t>
      </w:r>
      <w:r>
        <w:rPr>
          <w:rFonts w:ascii="Times New Roman" w:eastAsia="Times New Roman"/>
        </w:rPr>
        <w:t>0</w:t>
      </w:r>
      <w:r>
        <w:rPr/>
        <w:t>。</w:t>
      </w:r>
    </w:p>
    <w:p>
      <w:pPr>
        <w:pStyle w:val="BodyText"/>
        <w:ind w:left="1198"/>
      </w:pPr>
      <w:r>
        <w:rPr/>
        <w:t>业务举例：详见“</w:t>
      </w:r>
      <w:r>
        <w:rPr>
          <w:rFonts w:ascii="Times New Roman" w:hAnsi="Times New Roman" w:eastAsia="Times New Roman"/>
        </w:rPr>
        <w:t>4</w:t>
      </w:r>
      <w:r>
        <w:rPr/>
        <w:t>、业务举例”中例二。</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1198"/>
      </w:pPr>
      <w:r>
        <w:rPr/>
        <w:t>③从前端（比例费率）收费基金转出，转入其他后端收费基金</w:t>
      </w:r>
    </w:p>
    <w:p>
      <w:pPr>
        <w:pStyle w:val="BodyText"/>
        <w:spacing w:before="7"/>
        <w:rPr>
          <w:sz w:val="15"/>
        </w:rPr>
      </w:pPr>
    </w:p>
    <w:p>
      <w:pPr>
        <w:pStyle w:val="BodyText"/>
        <w:spacing w:line="417" w:lineRule="auto"/>
        <w:ind w:left="778" w:right="889" w:firstLine="419"/>
      </w:pPr>
      <w:r>
        <w:rPr>
          <w:spacing w:val="-12"/>
        </w:rPr>
        <w:t>情形描述：投资者将其持有的某一前端收费基金的基金份额转换为本公司管理的其他后</w:t>
      </w:r>
      <w:r>
        <w:rPr>
          <w:spacing w:val="-6"/>
        </w:rPr>
        <w:t>端收费基金基金份额，且转出基金申购费率适用比例费率。</w:t>
      </w:r>
    </w:p>
    <w:p>
      <w:pPr>
        <w:pStyle w:val="BodyText"/>
        <w:spacing w:line="417" w:lineRule="auto"/>
        <w:ind w:left="778" w:right="889" w:firstLine="419"/>
      </w:pPr>
      <w:r>
        <w:rPr>
          <w:spacing w:val="-10"/>
        </w:rPr>
        <w:t>费用收取方式：前端收费基金转入其他后端收费基金时，转入的基金份额的持有期将自</w:t>
      </w:r>
      <w:r>
        <w:rPr>
          <w:spacing w:val="-5"/>
        </w:rPr>
        <w:t>转入的基金份额被确认之日起重新开始计算。</w:t>
      </w:r>
    </w:p>
    <w:p>
      <w:pPr>
        <w:pStyle w:val="BodyText"/>
        <w:spacing w:line="269" w:lineRule="exact"/>
        <w:ind w:left="1198"/>
      </w:pPr>
      <w:r>
        <w:rPr/>
        <w:t>业务举例：详见“</w:t>
      </w:r>
      <w:r>
        <w:rPr>
          <w:rFonts w:ascii="Times New Roman" w:hAnsi="Times New Roman" w:eastAsia="Times New Roman"/>
        </w:rPr>
        <w:t>4</w:t>
      </w:r>
      <w:r>
        <w:rPr/>
        <w:t>、业务举例”中例三。</w:t>
      </w:r>
    </w:p>
    <w:p>
      <w:pPr>
        <w:pStyle w:val="BodyText"/>
        <w:spacing w:before="6"/>
        <w:rPr>
          <w:sz w:val="15"/>
        </w:rPr>
      </w:pPr>
    </w:p>
    <w:p>
      <w:pPr>
        <w:pStyle w:val="BodyText"/>
        <w:ind w:left="1198"/>
      </w:pPr>
      <w:r>
        <w:rPr/>
        <w:t>④从前端（比例费率）收费基金转出，转入其他不收取申购费用的基金</w:t>
      </w:r>
    </w:p>
    <w:p>
      <w:pPr>
        <w:pStyle w:val="BodyText"/>
        <w:spacing w:before="8"/>
        <w:rPr>
          <w:sz w:val="15"/>
        </w:rPr>
      </w:pPr>
    </w:p>
    <w:p>
      <w:pPr>
        <w:pStyle w:val="BodyText"/>
        <w:spacing w:line="417" w:lineRule="auto"/>
        <w:ind w:left="778" w:right="889" w:firstLine="419"/>
      </w:pPr>
      <w:r>
        <w:rPr>
          <w:spacing w:val="-12"/>
        </w:rPr>
        <w:t>情形描述：投资者将其持有的某一前端收费基金的基金份额转换为本公司管理的其他不</w:t>
      </w:r>
      <w:r>
        <w:rPr>
          <w:spacing w:val="-6"/>
        </w:rPr>
        <w:t>收取申购费用的基金基金份额，且转出基金申购费率适用比例费率。</w:t>
      </w:r>
    </w:p>
    <w:p>
      <w:pPr>
        <w:pStyle w:val="BodyText"/>
        <w:spacing w:line="269" w:lineRule="exact"/>
        <w:ind w:left="1198"/>
      </w:pPr>
      <w:r>
        <w:rPr/>
        <w:t>费用收取方式：不收取申购费用。</w:t>
      </w:r>
    </w:p>
    <w:p>
      <w:pPr>
        <w:pStyle w:val="BodyText"/>
        <w:spacing w:before="6"/>
        <w:rPr>
          <w:sz w:val="15"/>
        </w:rPr>
      </w:pPr>
    </w:p>
    <w:p>
      <w:pPr>
        <w:pStyle w:val="BodyText"/>
        <w:spacing w:before="1"/>
        <w:ind w:left="1198"/>
      </w:pPr>
      <w:r>
        <w:rPr/>
        <w:t>业务举例：详见“</w:t>
      </w:r>
      <w:r>
        <w:rPr>
          <w:rFonts w:ascii="Times New Roman" w:hAnsi="Times New Roman" w:eastAsia="Times New Roman"/>
        </w:rPr>
        <w:t>4</w:t>
      </w:r>
      <w:r>
        <w:rPr/>
        <w:t>、业务举例”中例四。</w:t>
      </w:r>
    </w:p>
    <w:p>
      <w:pPr>
        <w:pStyle w:val="BodyText"/>
        <w:spacing w:before="6"/>
        <w:rPr>
          <w:sz w:val="15"/>
        </w:rPr>
      </w:pPr>
    </w:p>
    <w:p>
      <w:pPr>
        <w:pStyle w:val="BodyText"/>
        <w:ind w:left="1198"/>
      </w:pPr>
      <w:r>
        <w:rPr/>
        <w:t>⑤从前端（固定费用）收费基金转出，转入其他前端（比例费率）收费基金</w:t>
      </w:r>
    </w:p>
    <w:p>
      <w:pPr>
        <w:pStyle w:val="BodyText"/>
        <w:spacing w:before="7"/>
        <w:rPr>
          <w:sz w:val="15"/>
        </w:rPr>
      </w:pPr>
    </w:p>
    <w:p>
      <w:pPr>
        <w:pStyle w:val="BodyText"/>
        <w:spacing w:line="417" w:lineRule="auto"/>
        <w:ind w:left="778" w:right="785" w:firstLine="419"/>
      </w:pPr>
      <w:r>
        <w:rPr>
          <w:spacing w:val="-12"/>
        </w:rPr>
        <w:t>情形描述：投资者将其持有的某一前端收费基金的基金份额转换为本公司管理的其他前</w:t>
      </w:r>
      <w:r>
        <w:rPr>
          <w:spacing w:val="-17"/>
        </w:rPr>
        <w:t>端收费基金基金份额，且转出基金申购费率适用固定费用，转入基金申购费率适用比例费率。</w:t>
      </w:r>
    </w:p>
    <w:p>
      <w:pPr>
        <w:pStyle w:val="BodyText"/>
        <w:spacing w:line="417" w:lineRule="auto"/>
        <w:ind w:left="778" w:right="889"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spacing w:line="269" w:lineRule="exact"/>
        <w:ind w:left="1198"/>
      </w:pPr>
      <w:r>
        <w:rPr/>
        <w:t>业务举例：详见“</w:t>
      </w:r>
      <w:r>
        <w:rPr>
          <w:rFonts w:ascii="Times New Roman" w:hAnsi="Times New Roman" w:eastAsia="Times New Roman"/>
        </w:rPr>
        <w:t>4</w:t>
      </w:r>
      <w:r>
        <w:rPr/>
        <w:t>、业务举例”中例五。</w:t>
      </w:r>
    </w:p>
    <w:p>
      <w:pPr>
        <w:pStyle w:val="BodyText"/>
        <w:spacing w:before="7"/>
        <w:rPr>
          <w:sz w:val="15"/>
        </w:rPr>
      </w:pPr>
    </w:p>
    <w:p>
      <w:pPr>
        <w:pStyle w:val="BodyText"/>
        <w:ind w:left="1198"/>
      </w:pPr>
      <w:r>
        <w:rPr/>
        <w:t>⑥从前端（固定费用）收费基金转出，转入其他前端（固定费用）收费基金</w:t>
      </w:r>
    </w:p>
    <w:p>
      <w:pPr>
        <w:pStyle w:val="BodyText"/>
        <w:spacing w:before="6"/>
        <w:rPr>
          <w:sz w:val="15"/>
        </w:rPr>
      </w:pPr>
    </w:p>
    <w:p>
      <w:pPr>
        <w:pStyle w:val="BodyText"/>
        <w:spacing w:line="417" w:lineRule="auto" w:before="1"/>
        <w:ind w:left="778" w:right="889" w:firstLine="419"/>
      </w:pPr>
      <w:r>
        <w:rPr>
          <w:spacing w:val="-12"/>
        </w:rPr>
        <w:t>情形描述：投资者将其持有的某一前端收费基金的基金份额转换为本公司管理的其他前</w:t>
      </w:r>
      <w:r>
        <w:rPr>
          <w:spacing w:val="-6"/>
        </w:rPr>
        <w:t>端收费基金基金份额，且转出基金和转入基金的申购费率均适用固定费用。</w:t>
      </w:r>
    </w:p>
    <w:p>
      <w:pPr>
        <w:pStyle w:val="BodyText"/>
        <w:spacing w:line="417" w:lineRule="auto"/>
        <w:ind w:left="1198" w:right="793"/>
      </w:pPr>
      <w:r>
        <w:rPr/>
        <w:t>费用收取方式：收取的申购费用＝转入基金申购费用－转出基金申购费用，最低为 </w:t>
      </w:r>
      <w:r>
        <w:rPr>
          <w:rFonts w:ascii="Times New Roman" w:hAnsi="Times New Roman" w:eastAsia="Times New Roman"/>
        </w:rPr>
        <w:t>0</w:t>
      </w:r>
      <w:r>
        <w:rPr/>
        <w:t>。业务举例：详见“</w:t>
      </w:r>
      <w:r>
        <w:rPr>
          <w:rFonts w:ascii="Times New Roman" w:hAnsi="Times New Roman" w:eastAsia="Times New Roman"/>
        </w:rPr>
        <w:t>4</w:t>
      </w:r>
      <w:r>
        <w:rPr/>
        <w:t>、业务举例”中例六。</w:t>
      </w:r>
    </w:p>
    <w:p>
      <w:pPr>
        <w:pStyle w:val="BodyText"/>
        <w:ind w:left="1198"/>
      </w:pPr>
      <w:r>
        <w:rPr/>
        <w:t>⑦从前端（固定费用）收费基金转出，转入其他后端收费基金</w:t>
      </w:r>
    </w:p>
    <w:p>
      <w:pPr>
        <w:pStyle w:val="BodyText"/>
        <w:spacing w:before="6"/>
        <w:rPr>
          <w:sz w:val="15"/>
        </w:rPr>
      </w:pPr>
    </w:p>
    <w:p>
      <w:pPr>
        <w:pStyle w:val="BodyText"/>
        <w:spacing w:line="417" w:lineRule="auto"/>
        <w:ind w:left="778" w:right="889" w:firstLine="419"/>
      </w:pPr>
      <w:r>
        <w:rPr>
          <w:spacing w:val="-12"/>
        </w:rPr>
        <w:t>情形描述：投资者将其持有的某一前端收费基金的基金份额转换为本公司管理的其他后</w:t>
      </w:r>
      <w:r>
        <w:rPr>
          <w:spacing w:val="-6"/>
        </w:rPr>
        <w:t>端收费基金基金份额，且转出基金申购费率适用固定费用。</w:t>
      </w:r>
    </w:p>
    <w:p>
      <w:pPr>
        <w:pStyle w:val="BodyText"/>
        <w:spacing w:line="417" w:lineRule="auto"/>
        <w:ind w:left="778" w:right="889" w:firstLine="419"/>
      </w:pPr>
      <w:r>
        <w:rPr>
          <w:spacing w:val="-10"/>
        </w:rPr>
        <w:t>费用收取方式：前端收费基金转入其他后端收费基金时，转入的基金份额的持有期将自</w:t>
      </w:r>
      <w:r>
        <w:rPr>
          <w:spacing w:val="-5"/>
        </w:rPr>
        <w:t>转入的基金份额被确认之日起重新开始计算。</w:t>
      </w:r>
    </w:p>
    <w:p>
      <w:pPr>
        <w:pStyle w:val="BodyText"/>
        <w:spacing w:line="269" w:lineRule="exact"/>
        <w:ind w:left="1198"/>
      </w:pPr>
      <w:r>
        <w:rPr/>
        <w:t>业务举例：详见“</w:t>
      </w:r>
      <w:r>
        <w:rPr>
          <w:rFonts w:ascii="Times New Roman" w:hAnsi="Times New Roman" w:eastAsia="Times New Roman"/>
        </w:rPr>
        <w:t>4</w:t>
      </w:r>
      <w:r>
        <w:rPr/>
        <w:t>、业务举例”中例七。</w:t>
      </w:r>
    </w:p>
    <w:p>
      <w:pPr>
        <w:pStyle w:val="BodyText"/>
        <w:spacing w:before="7"/>
        <w:rPr>
          <w:sz w:val="15"/>
        </w:rPr>
      </w:pPr>
    </w:p>
    <w:p>
      <w:pPr>
        <w:pStyle w:val="BodyText"/>
        <w:ind w:left="1198"/>
      </w:pPr>
      <w:r>
        <w:rPr/>
        <w:t>⑧从前端（固定费用）收费基金转出，转入其他不收取申购费用的基金</w:t>
      </w:r>
    </w:p>
    <w:p>
      <w:pPr>
        <w:pStyle w:val="BodyText"/>
        <w:spacing w:before="7"/>
        <w:rPr>
          <w:sz w:val="15"/>
        </w:rPr>
      </w:pPr>
    </w:p>
    <w:p>
      <w:pPr>
        <w:pStyle w:val="BodyText"/>
        <w:ind w:left="1198"/>
      </w:pPr>
      <w:r>
        <w:rPr/>
        <w:t>情形描述：投资者将其持有的某一前端收费基金的基金份额转换为本公司管理的其他不</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1198" w:right="2900" w:hanging="420"/>
      </w:pPr>
      <w:r>
        <w:rPr/>
        <w:t>收取申购费用的基金基金份额，且转出基金申购费率适用固定费用。费用收取方式：不收取申购费用。</w:t>
      </w:r>
    </w:p>
    <w:p>
      <w:pPr>
        <w:pStyle w:val="BodyText"/>
        <w:spacing w:line="269" w:lineRule="exact"/>
        <w:ind w:left="1198"/>
      </w:pPr>
      <w:r>
        <w:rPr/>
        <w:t>业务举例：详见“</w:t>
      </w:r>
      <w:r>
        <w:rPr>
          <w:rFonts w:ascii="Times New Roman" w:hAnsi="Times New Roman" w:eastAsia="Times New Roman"/>
        </w:rPr>
        <w:t>4</w:t>
      </w:r>
      <w:r>
        <w:rPr/>
        <w:t>、业务举例”中例八。</w:t>
      </w:r>
    </w:p>
    <w:p>
      <w:pPr>
        <w:pStyle w:val="BodyText"/>
        <w:spacing w:before="7"/>
        <w:rPr>
          <w:sz w:val="15"/>
        </w:rPr>
      </w:pPr>
    </w:p>
    <w:p>
      <w:pPr>
        <w:pStyle w:val="BodyText"/>
        <w:ind w:left="1198"/>
      </w:pPr>
      <w:r>
        <w:rPr/>
        <w:t>⑨从后端收费基金转出，转入其他前端（比例费率）收费基金</w:t>
      </w:r>
    </w:p>
    <w:p>
      <w:pPr>
        <w:pStyle w:val="BodyText"/>
        <w:spacing w:before="7"/>
        <w:rPr>
          <w:sz w:val="15"/>
        </w:rPr>
      </w:pPr>
    </w:p>
    <w:p>
      <w:pPr>
        <w:pStyle w:val="BodyText"/>
        <w:spacing w:line="417" w:lineRule="auto"/>
        <w:ind w:left="778" w:right="889" w:firstLine="419"/>
      </w:pPr>
      <w:r>
        <w:rPr>
          <w:spacing w:val="-12"/>
        </w:rPr>
        <w:t>情形描述：投资者将其持有的某一后端收费基金的基金份额转换为本公司管理的其他前</w:t>
      </w:r>
      <w:r>
        <w:rPr>
          <w:spacing w:val="-6"/>
        </w:rPr>
        <w:t>端收费基金基金份额，且转入基金申购费率适用比例费率。</w:t>
      </w:r>
    </w:p>
    <w:p>
      <w:pPr>
        <w:pStyle w:val="BodyText"/>
        <w:spacing w:line="417" w:lineRule="auto"/>
        <w:ind w:left="778" w:right="889" w:firstLine="419"/>
      </w:pPr>
      <w:r>
        <w:rPr>
          <w:spacing w:val="-12"/>
        </w:rPr>
        <w:t>费用收取方式：收取的申购费率</w:t>
      </w:r>
      <w:r>
        <w:rPr>
          <w:spacing w:val="-3"/>
        </w:rPr>
        <w:t>＝转入基金的前端申购费率最高档－转出基金的前端申</w:t>
      </w:r>
      <w:r>
        <w:rPr>
          <w:spacing w:val="-8"/>
        </w:rPr>
        <w:t>购费率最高档，最低为 </w:t>
      </w:r>
      <w:r>
        <w:rPr>
          <w:rFonts w:ascii="Times New Roman" w:eastAsia="Times New Roman"/>
          <w:spacing w:val="-3"/>
        </w:rPr>
        <w:t>0</w:t>
      </w:r>
      <w:r>
        <w:rPr/>
        <w:t>。</w:t>
      </w:r>
    </w:p>
    <w:p>
      <w:pPr>
        <w:pStyle w:val="BodyText"/>
        <w:ind w:left="1198"/>
      </w:pPr>
      <w:r>
        <w:rPr/>
        <w:t>业务举例：详见“</w:t>
      </w:r>
      <w:r>
        <w:rPr>
          <w:rFonts w:ascii="Times New Roman" w:hAnsi="Times New Roman" w:eastAsia="Times New Roman"/>
        </w:rPr>
        <w:t>4</w:t>
      </w:r>
      <w:r>
        <w:rPr/>
        <w:t>、业务举例”中例九。</w:t>
      </w:r>
    </w:p>
    <w:p>
      <w:pPr>
        <w:pStyle w:val="BodyText"/>
        <w:spacing w:before="6"/>
        <w:rPr>
          <w:sz w:val="15"/>
        </w:rPr>
      </w:pPr>
    </w:p>
    <w:p>
      <w:pPr>
        <w:pStyle w:val="BodyText"/>
        <w:ind w:left="1198"/>
      </w:pPr>
      <w:r>
        <w:rPr/>
        <w:t>⑩从后端收费基金转出，转入其他前端（固定费用）收费基金</w:t>
      </w:r>
    </w:p>
    <w:p>
      <w:pPr>
        <w:pStyle w:val="BodyText"/>
        <w:spacing w:before="7"/>
        <w:rPr>
          <w:sz w:val="15"/>
        </w:rPr>
      </w:pPr>
    </w:p>
    <w:p>
      <w:pPr>
        <w:pStyle w:val="BodyText"/>
        <w:spacing w:line="417" w:lineRule="auto"/>
        <w:ind w:left="778" w:right="889" w:firstLine="419"/>
      </w:pPr>
      <w:r>
        <w:rPr>
          <w:spacing w:val="-12"/>
        </w:rPr>
        <w:t>情形描述：投资者将其持有的某一后端收费基金的基金份额转换为本公司管理的其他前</w:t>
      </w:r>
      <w:r>
        <w:rPr>
          <w:spacing w:val="-6"/>
        </w:rPr>
        <w:t>端收费基金基金份额，且转入基金申购费率适用固定费用。</w:t>
      </w:r>
    </w:p>
    <w:p>
      <w:pPr>
        <w:pStyle w:val="BodyText"/>
        <w:spacing w:line="417" w:lineRule="auto"/>
        <w:ind w:left="778" w:right="889" w:firstLine="419"/>
      </w:pPr>
      <w:r>
        <w:rPr>
          <w:spacing w:val="-12"/>
        </w:rPr>
        <w:t>费用收取方式：如果转入基金的前端申购费率最高档比转出基金的前端申购费率最高档</w:t>
      </w:r>
      <w:r>
        <w:rPr>
          <w:spacing w:val="-8"/>
        </w:rPr>
        <w:t>高，则收取的申购费用为转入基金适用的固定费用；反之，收取的申购费用为 </w:t>
      </w:r>
      <w:r>
        <w:rPr>
          <w:rFonts w:ascii="Times New Roman" w:eastAsia="Times New Roman"/>
        </w:rPr>
        <w:t>0</w:t>
      </w:r>
      <w:r>
        <w:rPr/>
        <w:t>。</w:t>
      </w:r>
    </w:p>
    <w:p>
      <w:pPr>
        <w:pStyle w:val="BodyText"/>
        <w:ind w:left="1198"/>
      </w:pPr>
      <w:r>
        <w:rPr/>
        <w:t>业务举例：详见“</w:t>
      </w:r>
      <w:r>
        <w:rPr>
          <w:rFonts w:ascii="Times New Roman" w:hAnsi="Times New Roman" w:eastAsia="Times New Roman"/>
        </w:rPr>
        <w:t>4</w:t>
      </w:r>
      <w:r>
        <w:rPr/>
        <w:t>、业务举例”中例十。</w:t>
      </w:r>
    </w:p>
    <w:p>
      <w:pPr>
        <w:pStyle w:val="BodyText"/>
        <w:spacing w:before="6"/>
        <w:rPr>
          <w:sz w:val="15"/>
        </w:rPr>
      </w:pPr>
    </w:p>
    <w:p>
      <w:pPr>
        <w:pStyle w:val="BodyText"/>
        <w:spacing w:before="1"/>
        <w:ind w:left="1198"/>
      </w:pPr>
      <w:r>
        <w:rPr>
          <w:rFonts w:ascii="Batang" w:hAnsi="Batang" w:eastAsia="Batang" w:hint="eastAsia"/>
        </w:rPr>
        <w:t>⑪</w:t>
      </w:r>
      <w:r>
        <w:rPr/>
        <w:t>从后端收费基金转出，转入其他后端收费基金</w:t>
      </w:r>
    </w:p>
    <w:p>
      <w:pPr>
        <w:pStyle w:val="BodyText"/>
        <w:spacing w:before="6"/>
        <w:rPr>
          <w:sz w:val="15"/>
        </w:rPr>
      </w:pPr>
    </w:p>
    <w:p>
      <w:pPr>
        <w:pStyle w:val="BodyText"/>
        <w:spacing w:line="417" w:lineRule="auto"/>
        <w:ind w:left="778" w:right="889" w:firstLine="419"/>
      </w:pPr>
      <w:r>
        <w:rPr>
          <w:spacing w:val="-12"/>
        </w:rPr>
        <w:t>情形描述：投资者将其持有的某一后端收费基金的基金份额转换为本公司管理的其他后</w:t>
      </w:r>
      <w:r>
        <w:rPr>
          <w:spacing w:val="-6"/>
        </w:rPr>
        <w:t>端收费基金基金份额。</w:t>
      </w:r>
    </w:p>
    <w:p>
      <w:pPr>
        <w:pStyle w:val="BodyText"/>
        <w:spacing w:line="417" w:lineRule="auto"/>
        <w:ind w:left="778" w:right="889" w:firstLine="419"/>
      </w:pPr>
      <w:r>
        <w:rPr>
          <w:spacing w:val="-10"/>
        </w:rPr>
        <w:t>费用收取方式：后端收费基金转入其他后端收费基金时，转入的基金份额的持有期将自</w:t>
      </w:r>
      <w:r>
        <w:rPr>
          <w:spacing w:val="-5"/>
        </w:rPr>
        <w:t>转入的基金份额被确认之日起重新开始计算。</w:t>
      </w:r>
    </w:p>
    <w:p>
      <w:pPr>
        <w:pStyle w:val="BodyText"/>
        <w:spacing w:line="269" w:lineRule="exact"/>
        <w:ind w:left="1198"/>
      </w:pPr>
      <w:r>
        <w:rPr/>
        <w:t>业务举例：详见“</w:t>
      </w:r>
      <w:r>
        <w:rPr>
          <w:rFonts w:ascii="Times New Roman" w:hAnsi="Times New Roman" w:eastAsia="Times New Roman"/>
        </w:rPr>
        <w:t>4</w:t>
      </w:r>
      <w:r>
        <w:rPr/>
        <w:t>、业务举例”中例十一。</w:t>
      </w:r>
    </w:p>
    <w:p>
      <w:pPr>
        <w:pStyle w:val="BodyText"/>
        <w:spacing w:before="7"/>
        <w:rPr>
          <w:sz w:val="15"/>
        </w:rPr>
      </w:pPr>
    </w:p>
    <w:p>
      <w:pPr>
        <w:pStyle w:val="BodyText"/>
        <w:ind w:left="1198"/>
      </w:pPr>
      <w:r>
        <w:rPr>
          <w:rFonts w:ascii="Batang" w:hAnsi="Batang" w:eastAsia="Batang" w:hint="eastAsia"/>
        </w:rPr>
        <w:t>⑫</w:t>
      </w:r>
      <w:r>
        <w:rPr/>
        <w:t>从后端收费基金转出，转入其他不收取申购费用的基金</w:t>
      </w:r>
    </w:p>
    <w:p>
      <w:pPr>
        <w:pStyle w:val="BodyText"/>
        <w:spacing w:before="6"/>
        <w:rPr>
          <w:sz w:val="15"/>
        </w:rPr>
      </w:pPr>
    </w:p>
    <w:p>
      <w:pPr>
        <w:pStyle w:val="BodyText"/>
        <w:spacing w:line="417" w:lineRule="auto"/>
        <w:ind w:left="778" w:right="889" w:firstLine="419"/>
      </w:pPr>
      <w:r>
        <w:rPr>
          <w:spacing w:val="-12"/>
        </w:rPr>
        <w:t>情形描述：投资者将其持有的某一后端收费基金的基金份额转换为本公司管理的其他不</w:t>
      </w:r>
      <w:r>
        <w:rPr>
          <w:spacing w:val="-6"/>
        </w:rPr>
        <w:t>收取申购费用的基金基金份额。</w:t>
      </w:r>
    </w:p>
    <w:p>
      <w:pPr>
        <w:pStyle w:val="BodyText"/>
        <w:spacing w:line="269" w:lineRule="exact"/>
        <w:ind w:left="1198"/>
      </w:pPr>
      <w:r>
        <w:rPr/>
        <w:t>费用收取方式：不收取申购费用。</w:t>
      </w:r>
    </w:p>
    <w:p>
      <w:pPr>
        <w:pStyle w:val="BodyText"/>
        <w:spacing w:before="7"/>
        <w:rPr>
          <w:sz w:val="15"/>
        </w:rPr>
      </w:pPr>
    </w:p>
    <w:p>
      <w:pPr>
        <w:pStyle w:val="BodyText"/>
        <w:ind w:left="1198"/>
      </w:pPr>
      <w:r>
        <w:rPr/>
        <w:t>业务举例：详见“</w:t>
      </w:r>
      <w:r>
        <w:rPr>
          <w:rFonts w:ascii="Times New Roman" w:hAnsi="Times New Roman" w:eastAsia="Times New Roman"/>
        </w:rPr>
        <w:t>4</w:t>
      </w:r>
      <w:r>
        <w:rPr/>
        <w:t>、业务举例”中例十二。</w:t>
      </w:r>
    </w:p>
    <w:p>
      <w:pPr>
        <w:pStyle w:val="BodyText"/>
        <w:spacing w:before="7"/>
        <w:rPr>
          <w:sz w:val="15"/>
        </w:rPr>
      </w:pPr>
    </w:p>
    <w:p>
      <w:pPr>
        <w:pStyle w:val="BodyText"/>
        <w:ind w:left="1198"/>
      </w:pPr>
      <w:r>
        <w:rPr>
          <w:rFonts w:ascii="Batang" w:hAnsi="Batang" w:eastAsia="Batang" w:hint="eastAsia"/>
        </w:rPr>
        <w:t>⑬</w:t>
      </w:r>
      <w:r>
        <w:rPr/>
        <w:t>从不收取申购费用的基金转出，转入其他前端（比例费率）收费基金</w:t>
      </w:r>
    </w:p>
    <w:p>
      <w:pPr>
        <w:pStyle w:val="BodyText"/>
        <w:spacing w:before="6"/>
        <w:rPr>
          <w:sz w:val="15"/>
        </w:rPr>
      </w:pPr>
    </w:p>
    <w:p>
      <w:pPr>
        <w:pStyle w:val="BodyText"/>
        <w:spacing w:line="417" w:lineRule="auto"/>
        <w:ind w:left="778" w:right="889" w:firstLine="419"/>
      </w:pPr>
      <w:r>
        <w:rPr>
          <w:spacing w:val="-12"/>
        </w:rPr>
        <w:t>情形描述：投资者将其持有的某一不收取申购费用基金的基金份额转换为本公司管理的</w:t>
      </w:r>
      <w:r>
        <w:rPr>
          <w:spacing w:val="-6"/>
        </w:rPr>
        <w:t>其他前端收费基金基金份额，且转入基金申购费率适用比例费率。</w:t>
      </w:r>
    </w:p>
    <w:p>
      <w:pPr>
        <w:pStyle w:val="BodyText"/>
        <w:ind w:left="1198"/>
      </w:pPr>
      <w:r>
        <w:rPr/>
        <w:t>费用收取方式：收取的申购费率</w:t>
      </w:r>
      <w:r>
        <w:rPr>
          <w:rFonts w:ascii="Times New Roman" w:hAnsi="Times New Roman" w:eastAsia="Times New Roman"/>
        </w:rPr>
        <w:t>=</w:t>
      </w:r>
      <w:r>
        <w:rPr/>
        <w:t>转入基金的申购费率－转出基金的销售服务费率</w:t>
      </w:r>
      <w:r>
        <w:rPr>
          <w:rFonts w:ascii="Times New Roman" w:hAnsi="Times New Roman" w:eastAsia="Times New Roman"/>
        </w:rPr>
        <w:t>×</w:t>
      </w:r>
      <w:r>
        <w:rPr/>
        <w:t>转</w:t>
      </w:r>
    </w:p>
    <w:p>
      <w:pPr>
        <w:spacing w:after="0"/>
        <w:sectPr>
          <w:pgSz w:w="11910" w:h="16840"/>
          <w:pgMar w:header="877" w:footer="995" w:top="1280" w:bottom="1180" w:left="1020" w:right="900"/>
        </w:sectPr>
      </w:pPr>
    </w:p>
    <w:p>
      <w:pPr>
        <w:pStyle w:val="BodyText"/>
        <w:rPr>
          <w:sz w:val="12"/>
        </w:rPr>
      </w:pPr>
    </w:p>
    <w:p>
      <w:pPr>
        <w:pStyle w:val="BodyText"/>
        <w:spacing w:before="78"/>
        <w:ind w:left="778"/>
      </w:pPr>
      <w:r>
        <w:rPr>
          <w:spacing w:val="-3"/>
          <w:w w:val="100"/>
        </w:rPr>
        <w:t>出基金的持有时间（</w:t>
      </w:r>
      <w:r>
        <w:rPr>
          <w:spacing w:val="-2"/>
          <w:w w:val="100"/>
        </w:rPr>
        <w:t>单位为年</w:t>
      </w:r>
      <w:r>
        <w:rPr>
          <w:spacing w:val="-108"/>
          <w:w w:val="100"/>
        </w:rPr>
        <w:t>）</w:t>
      </w:r>
      <w:r>
        <w:rPr>
          <w:spacing w:val="-2"/>
          <w:w w:val="100"/>
        </w:rPr>
        <w:t>，最低为</w:t>
      </w:r>
      <w:r>
        <w:rPr>
          <w:spacing w:val="-55"/>
        </w:rPr>
        <w:t> </w:t>
      </w:r>
      <w:r>
        <w:rPr>
          <w:rFonts w:ascii="Times New Roman" w:eastAsia="Times New Roman"/>
          <w:w w:val="100"/>
        </w:rPr>
        <w:t>0</w:t>
      </w:r>
      <w:r>
        <w:rPr>
          <w:w w:val="100"/>
        </w:rPr>
        <w:t>。</w:t>
      </w:r>
    </w:p>
    <w:p>
      <w:pPr>
        <w:pStyle w:val="BodyText"/>
        <w:spacing w:before="7"/>
        <w:rPr>
          <w:sz w:val="15"/>
        </w:rPr>
      </w:pPr>
    </w:p>
    <w:p>
      <w:pPr>
        <w:pStyle w:val="BodyText"/>
        <w:ind w:left="1198"/>
      </w:pPr>
      <w:r>
        <w:rPr/>
        <w:t>业务举例：详见“</w:t>
      </w:r>
      <w:r>
        <w:rPr>
          <w:rFonts w:ascii="Times New Roman" w:hAnsi="Times New Roman" w:eastAsia="Times New Roman"/>
        </w:rPr>
        <w:t>4</w:t>
      </w:r>
      <w:r>
        <w:rPr/>
        <w:t>、业务举例”中例十三。</w:t>
      </w:r>
    </w:p>
    <w:p>
      <w:pPr>
        <w:pStyle w:val="BodyText"/>
        <w:spacing w:before="7"/>
        <w:rPr>
          <w:sz w:val="15"/>
        </w:rPr>
      </w:pPr>
    </w:p>
    <w:p>
      <w:pPr>
        <w:pStyle w:val="BodyText"/>
        <w:ind w:left="1198"/>
      </w:pPr>
      <w:r>
        <w:rPr>
          <w:rFonts w:ascii="Batang" w:hAnsi="Batang" w:eastAsia="Batang" w:hint="eastAsia"/>
        </w:rPr>
        <w:t>⑭</w:t>
      </w:r>
      <w:r>
        <w:rPr/>
        <w:t>从不收取申购费用基金转出，转入其他前端（固定费用）收费基金</w:t>
      </w:r>
    </w:p>
    <w:p>
      <w:pPr>
        <w:pStyle w:val="BodyText"/>
        <w:spacing w:before="6"/>
        <w:rPr>
          <w:sz w:val="15"/>
        </w:rPr>
      </w:pPr>
    </w:p>
    <w:p>
      <w:pPr>
        <w:pStyle w:val="BodyText"/>
        <w:spacing w:line="417" w:lineRule="auto"/>
        <w:ind w:left="778" w:right="889" w:firstLine="419"/>
      </w:pPr>
      <w:r>
        <w:rPr>
          <w:spacing w:val="-12"/>
        </w:rPr>
        <w:t>情形描述：投资者将其持有的某一不收取申购费用基金的基金份额转换为本公司管理的</w:t>
      </w:r>
      <w:r>
        <w:rPr>
          <w:spacing w:val="-6"/>
        </w:rPr>
        <w:t>其他前端收费基金基金份额，且转入基金申购费率适用固定费用。</w:t>
      </w:r>
    </w:p>
    <w:p>
      <w:pPr>
        <w:pStyle w:val="BodyText"/>
        <w:spacing w:line="417" w:lineRule="auto"/>
        <w:ind w:left="778" w:right="888" w:firstLine="419"/>
      </w:pPr>
      <w:r>
        <w:rPr>
          <w:spacing w:val="-6"/>
        </w:rPr>
        <w:t>费用收取方式：收取的申购费用</w:t>
      </w:r>
      <w:r>
        <w:rPr>
          <w:rFonts w:ascii="Times New Roman" w:hAnsi="Times New Roman" w:eastAsia="Times New Roman"/>
        </w:rPr>
        <w:t>=</w:t>
      </w:r>
      <w:r>
        <w:rPr>
          <w:spacing w:val="-3"/>
        </w:rPr>
        <w:t>固定费用－转换金额</w:t>
      </w:r>
      <w:r>
        <w:rPr>
          <w:rFonts w:ascii="Times New Roman" w:hAnsi="Times New Roman" w:eastAsia="Times New Roman"/>
          <w:spacing w:val="-4"/>
        </w:rPr>
        <w:t>×</w:t>
      </w:r>
      <w:r>
        <w:rPr>
          <w:spacing w:val="-3"/>
        </w:rPr>
        <w:t>转出基金的销售服务费率</w:t>
      </w:r>
      <w:r>
        <w:rPr>
          <w:rFonts w:ascii="Times New Roman" w:hAnsi="Times New Roman" w:eastAsia="Times New Roman"/>
          <w:spacing w:val="-4"/>
        </w:rPr>
        <w:t>×</w:t>
      </w:r>
      <w:r>
        <w:rPr/>
        <w:t>转出</w:t>
      </w:r>
      <w:r>
        <w:rPr>
          <w:spacing w:val="-3"/>
          <w:w w:val="100"/>
        </w:rPr>
        <w:t>基金的持有时间</w:t>
      </w:r>
      <w:r>
        <w:rPr>
          <w:w w:val="100"/>
        </w:rPr>
        <w:t>（</w:t>
      </w:r>
      <w:r>
        <w:rPr>
          <w:spacing w:val="-3"/>
          <w:w w:val="100"/>
        </w:rPr>
        <w:t>单位为年</w:t>
      </w:r>
      <w:r>
        <w:rPr>
          <w:spacing w:val="-106"/>
          <w:w w:val="100"/>
        </w:rPr>
        <w:t>）</w:t>
      </w:r>
      <w:r>
        <w:rPr>
          <w:spacing w:val="-3"/>
          <w:w w:val="100"/>
        </w:rPr>
        <w:t>，最低为</w:t>
      </w:r>
      <w:r>
        <w:rPr>
          <w:spacing w:val="-3"/>
        </w:rPr>
        <w:t> </w:t>
      </w:r>
      <w:r>
        <w:rPr>
          <w:rFonts w:ascii="Times New Roman" w:hAnsi="Times New Roman" w:eastAsia="Times New Roman"/>
          <w:spacing w:val="-3"/>
          <w:w w:val="100"/>
        </w:rPr>
        <w:t>0</w:t>
      </w:r>
      <w:r>
        <w:rPr>
          <w:w w:val="100"/>
        </w:rPr>
        <w:t>。</w:t>
      </w:r>
    </w:p>
    <w:p>
      <w:pPr>
        <w:pStyle w:val="BodyText"/>
        <w:ind w:left="1198"/>
      </w:pPr>
      <w:r>
        <w:rPr/>
        <w:t>业务举例：详见“</w:t>
      </w:r>
      <w:r>
        <w:rPr>
          <w:rFonts w:ascii="Times New Roman" w:hAnsi="Times New Roman" w:eastAsia="Times New Roman"/>
        </w:rPr>
        <w:t>4</w:t>
      </w:r>
      <w:r>
        <w:rPr/>
        <w:t>、业务举例”中例十四。</w:t>
      </w:r>
    </w:p>
    <w:p>
      <w:pPr>
        <w:pStyle w:val="BodyText"/>
        <w:spacing w:before="7"/>
        <w:rPr>
          <w:sz w:val="15"/>
        </w:rPr>
      </w:pPr>
    </w:p>
    <w:p>
      <w:pPr>
        <w:pStyle w:val="BodyText"/>
        <w:ind w:left="1198"/>
      </w:pPr>
      <w:r>
        <w:rPr>
          <w:rFonts w:ascii="Batang" w:hAnsi="Batang" w:eastAsia="Batang" w:hint="eastAsia"/>
        </w:rPr>
        <w:t>⑮</w:t>
      </w:r>
      <w:r>
        <w:rPr/>
        <w:t>从不收取申购费用的基金转出，转入其他后端收费基金</w:t>
      </w:r>
    </w:p>
    <w:p>
      <w:pPr>
        <w:pStyle w:val="BodyText"/>
        <w:spacing w:before="6"/>
        <w:rPr>
          <w:sz w:val="15"/>
        </w:rPr>
      </w:pPr>
    </w:p>
    <w:p>
      <w:pPr>
        <w:pStyle w:val="BodyText"/>
        <w:spacing w:line="417" w:lineRule="auto"/>
        <w:ind w:left="778" w:right="889" w:firstLine="419"/>
      </w:pPr>
      <w:r>
        <w:rPr>
          <w:spacing w:val="-12"/>
        </w:rPr>
        <w:t>情形描述：投资者将其持有的某一不收取申购费用基金的基金份额转换为本公司管理的</w:t>
      </w:r>
      <w:r>
        <w:rPr>
          <w:spacing w:val="-6"/>
        </w:rPr>
        <w:t>其他后端收费基金基金份额。</w:t>
      </w:r>
    </w:p>
    <w:p>
      <w:pPr>
        <w:pStyle w:val="BodyText"/>
        <w:spacing w:line="417" w:lineRule="auto"/>
        <w:ind w:left="778" w:right="889" w:firstLine="419"/>
      </w:pPr>
      <w:r>
        <w:rPr>
          <w:spacing w:val="-10"/>
        </w:rPr>
        <w:t>费用收取方式：不收取申购费用的基金转入其他后端收费基金时，转入的基金份额的持</w:t>
      </w:r>
      <w:r>
        <w:rPr>
          <w:spacing w:val="-5"/>
        </w:rPr>
        <w:t>有期将自转入的基金份额被确认之日起重新开始计算。</w:t>
      </w:r>
    </w:p>
    <w:p>
      <w:pPr>
        <w:pStyle w:val="BodyText"/>
        <w:spacing w:line="269" w:lineRule="exact"/>
        <w:ind w:left="1198"/>
      </w:pPr>
      <w:r>
        <w:rPr/>
        <w:t>业务举例：详见“</w:t>
      </w:r>
      <w:r>
        <w:rPr>
          <w:rFonts w:ascii="Times New Roman" w:hAnsi="Times New Roman" w:eastAsia="Times New Roman"/>
        </w:rPr>
        <w:t>4</w:t>
      </w:r>
      <w:r>
        <w:rPr/>
        <w:t>、业务举例”中例十五。</w:t>
      </w:r>
    </w:p>
    <w:p>
      <w:pPr>
        <w:pStyle w:val="BodyText"/>
        <w:spacing w:before="7"/>
        <w:rPr>
          <w:sz w:val="15"/>
        </w:rPr>
      </w:pPr>
    </w:p>
    <w:p>
      <w:pPr>
        <w:pStyle w:val="BodyText"/>
        <w:ind w:left="1198"/>
      </w:pPr>
      <w:r>
        <w:rPr>
          <w:rFonts w:ascii="MS Mincho" w:hAnsi="MS Mincho" w:eastAsia="MS Mincho" w:hint="eastAsia"/>
        </w:rPr>
        <w:t>⑯</w:t>
      </w:r>
      <w:r>
        <w:rPr/>
        <w:t>从不收取申购费用的基金转出，转入其他不收取申购费用的基金</w:t>
      </w:r>
    </w:p>
    <w:p>
      <w:pPr>
        <w:pStyle w:val="BodyText"/>
        <w:spacing w:before="6"/>
        <w:rPr>
          <w:sz w:val="15"/>
        </w:rPr>
      </w:pPr>
    </w:p>
    <w:p>
      <w:pPr>
        <w:pStyle w:val="BodyText"/>
        <w:spacing w:line="417" w:lineRule="auto" w:before="1"/>
        <w:ind w:left="778" w:right="889" w:firstLine="419"/>
      </w:pPr>
      <w:r>
        <w:rPr>
          <w:spacing w:val="-12"/>
        </w:rPr>
        <w:t>情形描述：投资者将其持有的某一不收取申购费用基金的基金份额转换为本公司管理的</w:t>
      </w:r>
      <w:r>
        <w:rPr>
          <w:spacing w:val="-6"/>
        </w:rPr>
        <w:t>其他不收取申购费用的基金基金份额。</w:t>
      </w:r>
    </w:p>
    <w:p>
      <w:pPr>
        <w:pStyle w:val="BodyText"/>
        <w:spacing w:line="269" w:lineRule="exact"/>
        <w:ind w:left="1198"/>
      </w:pPr>
      <w:r>
        <w:rPr>
          <w:spacing w:val="-3"/>
        </w:rPr>
        <w:t>费用收取方式：不收取申购费用。</w:t>
      </w:r>
    </w:p>
    <w:p>
      <w:pPr>
        <w:pStyle w:val="BodyText"/>
        <w:spacing w:before="6"/>
        <w:rPr>
          <w:sz w:val="15"/>
        </w:rPr>
      </w:pPr>
    </w:p>
    <w:p>
      <w:pPr>
        <w:pStyle w:val="BodyText"/>
        <w:ind w:left="1198"/>
      </w:pPr>
      <w:r>
        <w:rPr/>
        <w:t>业务举例：详见“</w:t>
      </w:r>
      <w:r>
        <w:rPr>
          <w:rFonts w:ascii="Times New Roman" w:hAnsi="Times New Roman" w:eastAsia="Times New Roman"/>
        </w:rPr>
        <w:t>4</w:t>
      </w:r>
      <w:r>
        <w:rPr/>
        <w:t>、业务举例”中例十六。</w:t>
      </w:r>
    </w:p>
    <w:p>
      <w:pPr>
        <w:pStyle w:val="BodyText"/>
        <w:spacing w:before="7"/>
        <w:rPr>
          <w:sz w:val="15"/>
        </w:rPr>
      </w:pPr>
    </w:p>
    <w:p>
      <w:pPr>
        <w:pStyle w:val="BodyText"/>
        <w:ind w:left="1198"/>
      </w:pPr>
      <w:r>
        <w:rPr>
          <w:rFonts w:ascii="MS Mincho" w:hAnsi="MS Mincho" w:eastAsia="MS Mincho" w:hint="eastAsia"/>
        </w:rPr>
        <w:t>⑰</w:t>
      </w:r>
      <w:r>
        <w:rPr/>
        <w:t>对于货币基金的基金份额转出情况的补充说明</w:t>
      </w:r>
    </w:p>
    <w:p>
      <w:pPr>
        <w:pStyle w:val="BodyText"/>
        <w:spacing w:before="7"/>
        <w:rPr>
          <w:sz w:val="15"/>
        </w:rPr>
      </w:pPr>
    </w:p>
    <w:p>
      <w:pPr>
        <w:pStyle w:val="BodyText"/>
        <w:spacing w:line="417" w:lineRule="auto"/>
        <w:ind w:left="1198" w:right="1640"/>
      </w:pPr>
      <w:r>
        <w:rPr/>
        <w:t>对于货币型基金，每当有基金新增份额时，均调整持有时间，计算方法如下： 调整后的持有时间</w:t>
      </w:r>
      <w:r>
        <w:rPr>
          <w:rFonts w:ascii="Times New Roman" w:hAnsi="Times New Roman" w:eastAsia="Times New Roman"/>
        </w:rPr>
        <w:t>=</w:t>
      </w:r>
      <w:r>
        <w:rPr/>
        <w:t>原持有时间×原份额</w:t>
      </w:r>
      <w:r>
        <w:rPr>
          <w:rFonts w:ascii="Times New Roman" w:hAnsi="Times New Roman" w:eastAsia="Times New Roman"/>
        </w:rPr>
        <w:t>/</w:t>
      </w:r>
      <w:r>
        <w:rPr/>
        <w:t>（原份额</w:t>
      </w:r>
      <w:r>
        <w:rPr>
          <w:rFonts w:ascii="Times New Roman" w:hAnsi="Times New Roman" w:eastAsia="Times New Roman"/>
        </w:rPr>
        <w:t>+</w:t>
      </w:r>
      <w:r>
        <w:rPr/>
        <w:t>新增份额）</w:t>
      </w:r>
    </w:p>
    <w:p>
      <w:pPr>
        <w:pStyle w:val="ListParagraph"/>
        <w:numPr>
          <w:ilvl w:val="0"/>
          <w:numId w:val="15"/>
        </w:numPr>
        <w:tabs>
          <w:tab w:pos="1727" w:val="left" w:leader="none"/>
        </w:tabs>
        <w:spacing w:line="240" w:lineRule="auto" w:before="0" w:after="0"/>
        <w:ind w:left="1727" w:right="0" w:hanging="529"/>
        <w:jc w:val="left"/>
        <w:rPr>
          <w:sz w:val="21"/>
        </w:rPr>
      </w:pPr>
      <w:r>
        <w:rPr>
          <w:spacing w:val="-3"/>
          <w:sz w:val="21"/>
        </w:rPr>
        <w:t>上述费用另有优惠的，从其规定。</w:t>
      </w:r>
    </w:p>
    <w:p>
      <w:pPr>
        <w:pStyle w:val="BodyText"/>
        <w:spacing w:before="7"/>
        <w:rPr>
          <w:sz w:val="15"/>
        </w:rPr>
      </w:pPr>
    </w:p>
    <w:p>
      <w:pPr>
        <w:pStyle w:val="BodyText"/>
        <w:ind w:left="1198"/>
      </w:pPr>
      <w:r>
        <w:rPr/>
        <w:t>基金管理人可以在法律法规和本基金合同规定范围内调整基金转换的有关业务规则。</w:t>
      </w:r>
    </w:p>
    <w:p>
      <w:pPr>
        <w:pStyle w:val="BodyText"/>
        <w:spacing w:before="6"/>
        <w:rPr>
          <w:sz w:val="15"/>
        </w:rPr>
      </w:pPr>
    </w:p>
    <w:p>
      <w:pPr>
        <w:pStyle w:val="BodyText"/>
        <w:spacing w:before="1"/>
        <w:ind w:left="1198"/>
      </w:pPr>
      <w:r>
        <w:rPr>
          <w:rFonts w:ascii="Times New Roman" w:eastAsia="Times New Roman"/>
        </w:rPr>
        <w:t>4</w:t>
      </w:r>
      <w:r>
        <w:rPr/>
        <w:t>、业务举例</w:t>
      </w:r>
    </w:p>
    <w:p>
      <w:pPr>
        <w:pStyle w:val="BodyText"/>
        <w:spacing w:before="6"/>
        <w:rPr>
          <w:sz w:val="15"/>
        </w:rPr>
      </w:pPr>
    </w:p>
    <w:p>
      <w:pPr>
        <w:pStyle w:val="BodyText"/>
        <w:spacing w:line="417" w:lineRule="auto"/>
        <w:ind w:left="778" w:right="891" w:firstLine="419"/>
      </w:pPr>
      <w:r>
        <w:rPr>
          <w:spacing w:val="-3"/>
          <w:w w:val="100"/>
        </w:rPr>
        <w:t>例一：假定投资者在</w:t>
      </w:r>
      <w:r>
        <w:rPr>
          <w:spacing w:val="-3"/>
        </w:rPr>
        <w:t> </w:t>
      </w:r>
      <w:r>
        <w:rPr>
          <w:rFonts w:ascii="Times New Roman" w:eastAsia="Times New Roman"/>
          <w:w w:val="100"/>
        </w:rPr>
        <w:t>T</w:t>
      </w:r>
      <w:r>
        <w:rPr>
          <w:rFonts w:ascii="Times New Roman" w:eastAsia="Times New Roman"/>
        </w:rPr>
        <w:t> </w:t>
      </w:r>
      <w:r>
        <w:rPr>
          <w:spacing w:val="-2"/>
          <w:w w:val="100"/>
        </w:rPr>
        <w:t>日转出</w:t>
      </w:r>
      <w:r>
        <w:rPr>
          <w:spacing w:val="-2"/>
        </w:rPr>
        <w:t> </w:t>
      </w:r>
      <w:r>
        <w:rPr>
          <w:rFonts w:ascii="Times New Roman" w:eastAsia="Times New Roman"/>
          <w:w w:val="100"/>
        </w:rPr>
        <w:t>1,0</w:t>
      </w:r>
      <w:r>
        <w:rPr>
          <w:rFonts w:ascii="Times New Roman" w:eastAsia="Times New Roman"/>
          <w:spacing w:val="-3"/>
          <w:w w:val="100"/>
        </w:rPr>
        <w:t>0</w:t>
      </w:r>
      <w:r>
        <w:rPr>
          <w:rFonts w:ascii="Times New Roman" w:eastAsia="Times New Roman"/>
          <w:w w:val="100"/>
        </w:rPr>
        <w:t>0</w:t>
      </w:r>
      <w:r>
        <w:rPr>
          <w:rFonts w:ascii="Times New Roman" w:eastAsia="Times New Roman"/>
        </w:rPr>
        <w:t> </w:t>
      </w:r>
      <w:r>
        <w:rPr>
          <w:spacing w:val="-3"/>
          <w:w w:val="100"/>
        </w:rPr>
        <w:t>份甲基金基金份额（前端收费模式</w:t>
      </w:r>
      <w:r>
        <w:rPr>
          <w:spacing w:val="-106"/>
          <w:w w:val="100"/>
        </w:rPr>
        <w:t>）</w:t>
      </w:r>
      <w:r>
        <w:rPr>
          <w:spacing w:val="-3"/>
          <w:w w:val="100"/>
        </w:rPr>
        <w:t>，该日甲基金</w:t>
      </w:r>
      <w:r>
        <w:rPr>
          <w:spacing w:val="-9"/>
        </w:rPr>
        <w:t>基金份额净值为 </w:t>
      </w:r>
      <w:r>
        <w:rPr>
          <w:rFonts w:ascii="Times New Roman" w:eastAsia="Times New Roman"/>
        </w:rPr>
        <w:t>1.200 </w:t>
      </w:r>
      <w:r>
        <w:rPr>
          <w:spacing w:val="-6"/>
        </w:rPr>
        <w:t>元。甲基金前端申购费率最高档为 </w:t>
      </w:r>
      <w:r>
        <w:rPr>
          <w:rFonts w:ascii="Times New Roman" w:eastAsia="Times New Roman"/>
        </w:rPr>
        <w:t>1.5%</w:t>
      </w:r>
      <w:r>
        <w:rPr>
          <w:spacing w:val="-11"/>
        </w:rPr>
        <w:t>，赎回费率为 </w:t>
      </w:r>
      <w:r>
        <w:rPr>
          <w:rFonts w:ascii="Times New Roman" w:eastAsia="Times New Roman"/>
        </w:rPr>
        <w:t>0.5%</w:t>
      </w:r>
      <w:r>
        <w:rPr/>
        <w:t>。</w:t>
      </w:r>
    </w:p>
    <w:p>
      <w:pPr>
        <w:pStyle w:val="ListParagraph"/>
        <w:numPr>
          <w:ilvl w:val="0"/>
          <w:numId w:val="16"/>
        </w:numPr>
        <w:tabs>
          <w:tab w:pos="1727" w:val="left" w:leader="none"/>
        </w:tabs>
        <w:spacing w:line="417" w:lineRule="auto" w:before="0" w:after="0"/>
        <w:ind w:left="778" w:right="783" w:firstLine="419"/>
        <w:jc w:val="left"/>
        <w:rPr>
          <w:sz w:val="21"/>
        </w:rPr>
      </w:pPr>
      <w:r>
        <w:rPr/>
        <w:pict>
          <v:shape style="position:absolute;margin-left:110.300003pt;margin-top:41.840023pt;width:375.1pt;height:16.6pt;mso-position-horizontal-relative:page;mso-position-vertical-relative:paragraph;z-index:2516633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3226"/>
                  </w:tblGrid>
                  <w:tr>
                    <w:trPr>
                      <w:trHeight w:val="311" w:hRule="atLeast"/>
                    </w:trPr>
                    <w:tc>
                      <w:tcPr>
                        <w:tcW w:w="4261" w:type="dxa"/>
                      </w:tcPr>
                      <w:p>
                        <w:pPr>
                          <w:pStyle w:val="TableParagraph"/>
                          <w:ind w:left="1901" w:right="1889"/>
                          <w:jc w:val="center"/>
                          <w:rPr>
                            <w:rFonts w:ascii="宋体" w:eastAsia="宋体" w:hint="eastAsia"/>
                            <w:sz w:val="21"/>
                          </w:rPr>
                        </w:pPr>
                        <w:r>
                          <w:rPr>
                            <w:rFonts w:ascii="宋体" w:eastAsia="宋体" w:hint="eastAsia"/>
                            <w:sz w:val="21"/>
                          </w:rPr>
                          <w:t>项目</w:t>
                        </w:r>
                      </w:p>
                    </w:tc>
                    <w:tc>
                      <w:tcPr>
                        <w:tcW w:w="3226" w:type="dxa"/>
                      </w:tcPr>
                      <w:p>
                        <w:pPr>
                          <w:pStyle w:val="TableParagraph"/>
                          <w:ind w:left="1173" w:right="1162"/>
                          <w:jc w:val="center"/>
                          <w:rPr>
                            <w:rFonts w:ascii="宋体" w:eastAsia="宋体" w:hint="eastAsia"/>
                            <w:sz w:val="21"/>
                          </w:rPr>
                        </w:pPr>
                        <w:r>
                          <w:rPr>
                            <w:rFonts w:ascii="宋体" w:eastAsia="宋体" w:hint="eastAsia"/>
                            <w:sz w:val="21"/>
                          </w:rPr>
                          <w:t>费用计算</w:t>
                        </w:r>
                      </w:p>
                    </w:tc>
                  </w:tr>
                </w:tbl>
                <w:p>
                  <w:pPr>
                    <w:pStyle w:val="BodyText"/>
                  </w:pPr>
                </w:p>
              </w:txbxContent>
            </v:textbox>
            <w10:wrap type="none"/>
          </v:shape>
        </w:pict>
      </w:r>
      <w:r>
        <w:rPr>
          <w:spacing w:val="-24"/>
          <w:sz w:val="21"/>
        </w:rPr>
        <w:t>若 </w:t>
      </w:r>
      <w:r>
        <w:rPr>
          <w:rFonts w:ascii="Times New Roman" w:eastAsia="Times New Roman"/>
          <w:sz w:val="21"/>
        </w:rPr>
        <w:t>T</w:t>
      </w:r>
      <w:r>
        <w:rPr>
          <w:rFonts w:ascii="Times New Roman" w:eastAsia="Times New Roman"/>
          <w:spacing w:val="3"/>
          <w:sz w:val="21"/>
        </w:rPr>
        <w:t> </w:t>
      </w:r>
      <w:r>
        <w:rPr>
          <w:spacing w:val="-19"/>
          <w:sz w:val="21"/>
        </w:rPr>
        <w:t>日转入乙基金</w:t>
      </w:r>
      <w:r>
        <w:rPr>
          <w:spacing w:val="-3"/>
          <w:sz w:val="21"/>
        </w:rPr>
        <w:t>（</w:t>
      </w:r>
      <w:r>
        <w:rPr>
          <w:spacing w:val="-2"/>
          <w:sz w:val="21"/>
        </w:rPr>
        <w:t>前端收费模式</w:t>
      </w:r>
      <w:r>
        <w:rPr>
          <w:spacing w:val="-103"/>
          <w:sz w:val="21"/>
        </w:rPr>
        <w:t>）</w:t>
      </w:r>
      <w:r>
        <w:rPr>
          <w:spacing w:val="-13"/>
          <w:sz w:val="21"/>
        </w:rPr>
        <w:t>，且乙基金适用的前端申购费率最高档为</w:t>
      </w:r>
      <w:r>
        <w:rPr>
          <w:rFonts w:ascii="Times New Roman" w:eastAsia="Times New Roman"/>
          <w:sz w:val="21"/>
        </w:rPr>
        <w:t>2.0%</w:t>
      </w:r>
      <w:r>
        <w:rPr>
          <w:sz w:val="21"/>
        </w:rPr>
        <w:t>，</w:t>
      </w:r>
      <w:r>
        <w:rPr>
          <w:spacing w:val="-7"/>
          <w:sz w:val="21"/>
        </w:rPr>
        <w:t>该日乙基金基金份额净值为 </w:t>
      </w:r>
      <w:r>
        <w:rPr>
          <w:rFonts w:ascii="Times New Roman" w:eastAsia="Times New Roman"/>
          <w:sz w:val="21"/>
        </w:rPr>
        <w:t>1.300</w:t>
      </w:r>
      <w:r>
        <w:rPr>
          <w:rFonts w:ascii="Times New Roman" w:eastAsia="Times New Roman"/>
          <w:spacing w:val="11"/>
          <w:sz w:val="21"/>
        </w:rPr>
        <w:t> </w:t>
      </w:r>
      <w:r>
        <w:rPr>
          <w:spacing w:val="-3"/>
          <w:sz w:val="21"/>
        </w:rPr>
        <w:t>元。则转出基金费用、转入基金费用及份额计算如下：</w:t>
      </w:r>
    </w:p>
    <w:p>
      <w:pPr>
        <w:spacing w:after="0" w:line="417" w:lineRule="auto"/>
        <w:jc w:val="left"/>
        <w:rPr>
          <w:sz w:val="21"/>
        </w:rPr>
        <w:sectPr>
          <w:pgSz w:w="11910" w:h="16840"/>
          <w:pgMar w:header="877" w:footer="995" w:top="1280" w:bottom="1180" w:left="1020" w:right="900"/>
        </w:sectPr>
      </w:pPr>
    </w:p>
    <w:p>
      <w:pPr>
        <w:pStyle w:val="BodyText"/>
        <w:spacing w:before="4"/>
        <w:rPr>
          <w:sz w:val="10"/>
        </w:rPr>
      </w:pPr>
    </w:p>
    <w:tbl>
      <w:tblPr>
        <w:tblW w:w="0" w:type="auto"/>
        <w:jc w:val="left"/>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3226"/>
      </w:tblGrid>
      <w:tr>
        <w:trPr>
          <w:trHeight w:val="312" w:hRule="atLeast"/>
        </w:trPr>
        <w:tc>
          <w:tcPr>
            <w:tcW w:w="4261" w:type="dxa"/>
          </w:tcPr>
          <w:p>
            <w:pPr>
              <w:pStyle w:val="TableParagraph"/>
              <w:spacing w:before="23"/>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6" w:type="dxa"/>
          </w:tcPr>
          <w:p>
            <w:pPr>
              <w:pStyle w:val="TableParagraph"/>
              <w:spacing w:before="34"/>
              <w:ind w:right="94"/>
              <w:jc w:val="right"/>
              <w:rPr>
                <w:sz w:val="21"/>
              </w:rPr>
            </w:pPr>
            <w:r>
              <w:rPr>
                <w:sz w:val="21"/>
              </w:rPr>
              <w:t>1,000.00</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6" w:type="dxa"/>
          </w:tcPr>
          <w:p>
            <w:pPr>
              <w:pStyle w:val="TableParagraph"/>
              <w:spacing w:before="34"/>
              <w:ind w:right="93"/>
              <w:jc w:val="right"/>
              <w:rPr>
                <w:sz w:val="21"/>
              </w:rPr>
            </w:pPr>
            <w:r>
              <w:rPr>
                <w:sz w:val="21"/>
              </w:rPr>
              <w:t>1.200</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6" w:type="dxa"/>
          </w:tcPr>
          <w:p>
            <w:pPr>
              <w:pStyle w:val="TableParagraph"/>
              <w:spacing w:before="34"/>
              <w:ind w:right="94"/>
              <w:jc w:val="right"/>
              <w:rPr>
                <w:sz w:val="21"/>
              </w:rPr>
            </w:pPr>
            <w:r>
              <w:rPr>
                <w:sz w:val="21"/>
              </w:rPr>
              <w:t>1,200.00</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6" w:type="dxa"/>
          </w:tcPr>
          <w:p>
            <w:pPr>
              <w:pStyle w:val="TableParagraph"/>
              <w:spacing w:before="34"/>
              <w:ind w:right="92"/>
              <w:jc w:val="right"/>
              <w:rPr>
                <w:sz w:val="21"/>
              </w:rPr>
            </w:pPr>
            <w:r>
              <w:rPr>
                <w:sz w:val="21"/>
              </w:rPr>
              <w:t>0.5%</w:t>
            </w:r>
          </w:p>
        </w:tc>
      </w:tr>
      <w:tr>
        <w:trPr>
          <w:trHeight w:val="313" w:hRule="atLeast"/>
        </w:trPr>
        <w:tc>
          <w:tcPr>
            <w:tcW w:w="4261" w:type="dxa"/>
          </w:tcPr>
          <w:p>
            <w:pPr>
              <w:pStyle w:val="TableParagraph"/>
              <w:spacing w:before="25"/>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6" w:type="dxa"/>
          </w:tcPr>
          <w:p>
            <w:pPr>
              <w:pStyle w:val="TableParagraph"/>
              <w:spacing w:before="36"/>
              <w:ind w:right="93"/>
              <w:jc w:val="right"/>
              <w:rPr>
                <w:sz w:val="21"/>
              </w:rPr>
            </w:pPr>
            <w:r>
              <w:rPr>
                <w:sz w:val="21"/>
              </w:rPr>
              <w:t>6.00</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6" w:type="dxa"/>
          </w:tcPr>
          <w:p>
            <w:pPr>
              <w:pStyle w:val="TableParagraph"/>
              <w:spacing w:before="34"/>
              <w:ind w:right="94"/>
              <w:jc w:val="right"/>
              <w:rPr>
                <w:sz w:val="21"/>
              </w:rPr>
            </w:pPr>
            <w:r>
              <w:rPr>
                <w:sz w:val="21"/>
              </w:rPr>
              <w:t>1,194.00</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26" w:type="dxa"/>
          </w:tcPr>
          <w:p>
            <w:pPr>
              <w:pStyle w:val="TableParagraph"/>
              <w:spacing w:before="34"/>
              <w:ind w:right="93"/>
              <w:jc w:val="right"/>
              <w:rPr>
                <w:sz w:val="21"/>
              </w:rPr>
            </w:pPr>
            <w:r>
              <w:rPr>
                <w:sz w:val="21"/>
              </w:rPr>
              <w:t>2.0%-1.5%=0.5%</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26" w:type="dxa"/>
          </w:tcPr>
          <w:p>
            <w:pPr>
              <w:pStyle w:val="TableParagraph"/>
              <w:spacing w:before="34"/>
              <w:ind w:right="94"/>
              <w:jc w:val="right"/>
              <w:rPr>
                <w:sz w:val="21"/>
              </w:rPr>
            </w:pPr>
            <w:r>
              <w:rPr>
                <w:sz w:val="21"/>
              </w:rPr>
              <w:t>1,188.06</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26" w:type="dxa"/>
          </w:tcPr>
          <w:p>
            <w:pPr>
              <w:pStyle w:val="TableParagraph"/>
              <w:spacing w:before="34"/>
              <w:ind w:right="93"/>
              <w:jc w:val="right"/>
              <w:rPr>
                <w:sz w:val="21"/>
              </w:rPr>
            </w:pPr>
            <w:r>
              <w:rPr>
                <w:sz w:val="21"/>
              </w:rPr>
              <w:t>5.94</w:t>
            </w:r>
          </w:p>
        </w:tc>
      </w:tr>
      <w:tr>
        <w:trPr>
          <w:trHeight w:val="311" w:hRule="atLeast"/>
        </w:trPr>
        <w:tc>
          <w:tcPr>
            <w:tcW w:w="4261" w:type="dxa"/>
          </w:tcPr>
          <w:p>
            <w:pPr>
              <w:pStyle w:val="TableParagraph"/>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26" w:type="dxa"/>
          </w:tcPr>
          <w:p>
            <w:pPr>
              <w:pStyle w:val="TableParagraph"/>
              <w:spacing w:before="34"/>
              <w:ind w:right="93"/>
              <w:jc w:val="right"/>
              <w:rPr>
                <w:sz w:val="21"/>
              </w:rPr>
            </w:pPr>
            <w:r>
              <w:rPr>
                <w:sz w:val="21"/>
              </w:rPr>
              <w:t>1.300</w:t>
            </w:r>
          </w:p>
        </w:tc>
      </w:tr>
      <w:tr>
        <w:trPr>
          <w:trHeight w:val="314" w:hRule="atLeast"/>
        </w:trPr>
        <w:tc>
          <w:tcPr>
            <w:tcW w:w="4261" w:type="dxa"/>
          </w:tcPr>
          <w:p>
            <w:pPr>
              <w:pStyle w:val="TableParagraph"/>
              <w:spacing w:before="25"/>
              <w:ind w:left="107"/>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26" w:type="dxa"/>
          </w:tcPr>
          <w:p>
            <w:pPr>
              <w:pStyle w:val="TableParagraph"/>
              <w:spacing w:before="36"/>
              <w:ind w:right="93"/>
              <w:jc w:val="right"/>
              <w:rPr>
                <w:sz w:val="21"/>
              </w:rPr>
            </w:pPr>
            <w:r>
              <w:rPr>
                <w:sz w:val="21"/>
              </w:rPr>
              <w:t>913.89</w:t>
            </w:r>
          </w:p>
        </w:tc>
      </w:tr>
    </w:tbl>
    <w:p>
      <w:pPr>
        <w:pStyle w:val="ListParagraph"/>
        <w:numPr>
          <w:ilvl w:val="0"/>
          <w:numId w:val="16"/>
        </w:numPr>
        <w:tabs>
          <w:tab w:pos="1727" w:val="left" w:leader="none"/>
        </w:tabs>
        <w:spacing w:line="417" w:lineRule="auto" w:before="99" w:after="0"/>
        <w:ind w:left="778" w:right="783" w:firstLine="419"/>
        <w:jc w:val="both"/>
        <w:rPr>
          <w:sz w:val="21"/>
        </w:rPr>
      </w:pPr>
      <w:r>
        <w:rPr/>
        <w:pict>
          <v:shape style="position:absolute;margin-left:110.779999pt;margin-top:46.770016pt;width:374.25pt;height:193.7pt;mso-position-horizontal-relative:page;mso-position-vertical-relative:paragraph;z-index:2516643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1"/>
                    <w:gridCol w:w="3209"/>
                  </w:tblGrid>
                  <w:tr>
                    <w:trPr>
                      <w:trHeight w:val="311" w:hRule="atLeast"/>
                    </w:trPr>
                    <w:tc>
                      <w:tcPr>
                        <w:tcW w:w="4261" w:type="dxa"/>
                      </w:tcPr>
                      <w:p>
                        <w:pPr>
                          <w:pStyle w:val="TableParagraph"/>
                          <w:spacing w:line="250" w:lineRule="exact" w:before="42"/>
                          <w:ind w:left="1901" w:right="1889"/>
                          <w:jc w:val="center"/>
                          <w:rPr>
                            <w:rFonts w:ascii="宋体" w:eastAsia="宋体" w:hint="eastAsia"/>
                            <w:sz w:val="21"/>
                          </w:rPr>
                        </w:pPr>
                        <w:r>
                          <w:rPr>
                            <w:rFonts w:ascii="宋体" w:eastAsia="宋体" w:hint="eastAsia"/>
                            <w:sz w:val="21"/>
                          </w:rPr>
                          <w:t>项目</w:t>
                        </w:r>
                      </w:p>
                    </w:tc>
                    <w:tc>
                      <w:tcPr>
                        <w:tcW w:w="3209" w:type="dxa"/>
                      </w:tcPr>
                      <w:p>
                        <w:pPr>
                          <w:pStyle w:val="TableParagraph"/>
                          <w:spacing w:line="250" w:lineRule="exact" w:before="42"/>
                          <w:ind w:left="1163" w:right="1154"/>
                          <w:jc w:val="center"/>
                          <w:rPr>
                            <w:rFonts w:ascii="宋体" w:eastAsia="宋体" w:hint="eastAsia"/>
                            <w:sz w:val="21"/>
                          </w:rPr>
                        </w:pPr>
                        <w:r>
                          <w:rPr>
                            <w:rFonts w:ascii="宋体" w:eastAsia="宋体" w:hint="eastAsia"/>
                            <w:sz w:val="21"/>
                          </w:rPr>
                          <w:t>费用计算</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9" w:type="dxa"/>
                      </w:tcPr>
                      <w:p>
                        <w:pPr>
                          <w:pStyle w:val="TableParagraph"/>
                          <w:spacing w:line="226" w:lineRule="exact" w:before="65"/>
                          <w:ind w:right="96"/>
                          <w:jc w:val="right"/>
                          <w:rPr>
                            <w:sz w:val="21"/>
                          </w:rPr>
                        </w:pPr>
                        <w:r>
                          <w:rPr>
                            <w:sz w:val="21"/>
                          </w:rPr>
                          <w:t>1,000.00</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9" w:type="dxa"/>
                      </w:tcPr>
                      <w:p>
                        <w:pPr>
                          <w:pStyle w:val="TableParagraph"/>
                          <w:spacing w:line="226" w:lineRule="exact" w:before="65"/>
                          <w:ind w:right="95"/>
                          <w:jc w:val="right"/>
                          <w:rPr>
                            <w:sz w:val="21"/>
                          </w:rPr>
                        </w:pPr>
                        <w:r>
                          <w:rPr>
                            <w:sz w:val="21"/>
                          </w:rPr>
                          <w:t>1.200</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9" w:type="dxa"/>
                      </w:tcPr>
                      <w:p>
                        <w:pPr>
                          <w:pStyle w:val="TableParagraph"/>
                          <w:spacing w:line="226" w:lineRule="exact" w:before="65"/>
                          <w:ind w:right="96"/>
                          <w:jc w:val="right"/>
                          <w:rPr>
                            <w:sz w:val="21"/>
                          </w:rPr>
                        </w:pPr>
                        <w:r>
                          <w:rPr>
                            <w:sz w:val="21"/>
                          </w:rPr>
                          <w:t>1,200.00</w:t>
                        </w:r>
                      </w:p>
                    </w:tc>
                  </w:tr>
                  <w:tr>
                    <w:trPr>
                      <w:trHeight w:val="313" w:hRule="atLeast"/>
                    </w:trPr>
                    <w:tc>
                      <w:tcPr>
                        <w:tcW w:w="4261" w:type="dxa"/>
                      </w:tcPr>
                      <w:p>
                        <w:pPr>
                          <w:pStyle w:val="TableParagraph"/>
                          <w:spacing w:line="250" w:lineRule="exact" w:before="44"/>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9" w:type="dxa"/>
                      </w:tcPr>
                      <w:p>
                        <w:pPr>
                          <w:pStyle w:val="TableParagraph"/>
                          <w:spacing w:line="226" w:lineRule="exact" w:before="67"/>
                          <w:ind w:right="95"/>
                          <w:jc w:val="right"/>
                          <w:rPr>
                            <w:sz w:val="21"/>
                          </w:rPr>
                        </w:pPr>
                        <w:r>
                          <w:rPr>
                            <w:sz w:val="21"/>
                          </w:rPr>
                          <w:t>0.5%</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09" w:type="dxa"/>
                      </w:tcPr>
                      <w:p>
                        <w:pPr>
                          <w:pStyle w:val="TableParagraph"/>
                          <w:spacing w:line="226" w:lineRule="exact" w:before="65"/>
                          <w:ind w:right="95"/>
                          <w:jc w:val="right"/>
                          <w:rPr>
                            <w:sz w:val="21"/>
                          </w:rPr>
                        </w:pPr>
                        <w:r>
                          <w:rPr>
                            <w:sz w:val="21"/>
                          </w:rPr>
                          <w:t>6.00</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09" w:type="dxa"/>
                      </w:tcPr>
                      <w:p>
                        <w:pPr>
                          <w:pStyle w:val="TableParagraph"/>
                          <w:spacing w:line="226" w:lineRule="exact" w:before="65"/>
                          <w:ind w:right="96"/>
                          <w:jc w:val="right"/>
                          <w:rPr>
                            <w:sz w:val="21"/>
                          </w:rPr>
                        </w:pPr>
                        <w:r>
                          <w:rPr>
                            <w:sz w:val="21"/>
                          </w:rPr>
                          <w:t>1,194.00</w:t>
                        </w:r>
                      </w:p>
                    </w:tc>
                  </w:tr>
                  <w:tr>
                    <w:trPr>
                      <w:trHeight w:val="312" w:hRule="atLeast"/>
                    </w:trPr>
                    <w:tc>
                      <w:tcPr>
                        <w:tcW w:w="4261" w:type="dxa"/>
                      </w:tcPr>
                      <w:p>
                        <w:pPr>
                          <w:pStyle w:val="TableParagraph"/>
                          <w:spacing w:line="250" w:lineRule="exact" w:before="42"/>
                          <w:ind w:left="107"/>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09" w:type="dxa"/>
                      </w:tcPr>
                      <w:p>
                        <w:pPr>
                          <w:pStyle w:val="TableParagraph"/>
                          <w:spacing w:line="226" w:lineRule="exact" w:before="65"/>
                          <w:ind w:right="95"/>
                          <w:jc w:val="right"/>
                          <w:rPr>
                            <w:sz w:val="21"/>
                          </w:rPr>
                        </w:pPr>
                        <w:r>
                          <w:rPr>
                            <w:sz w:val="21"/>
                          </w:rPr>
                          <w:t>0.00%</w:t>
                        </w:r>
                      </w:p>
                    </w:tc>
                  </w:tr>
                  <w:tr>
                    <w:trPr>
                      <w:trHeight w:val="311" w:hRule="atLeast"/>
                    </w:trPr>
                    <w:tc>
                      <w:tcPr>
                        <w:tcW w:w="4261" w:type="dxa"/>
                      </w:tcPr>
                      <w:p>
                        <w:pPr>
                          <w:pStyle w:val="TableParagraph"/>
                          <w:spacing w:line="250" w:lineRule="exact" w:before="41"/>
                          <w:ind w:left="107"/>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09" w:type="dxa"/>
                      </w:tcPr>
                      <w:p>
                        <w:pPr>
                          <w:pStyle w:val="TableParagraph"/>
                          <w:spacing w:line="226" w:lineRule="exact" w:before="65"/>
                          <w:ind w:right="96"/>
                          <w:jc w:val="right"/>
                          <w:rPr>
                            <w:sz w:val="21"/>
                          </w:rPr>
                        </w:pPr>
                        <w:r>
                          <w:rPr>
                            <w:sz w:val="21"/>
                          </w:rPr>
                          <w:t>1,194.00</w:t>
                        </w:r>
                      </w:p>
                    </w:tc>
                  </w:tr>
                  <w:tr>
                    <w:trPr>
                      <w:trHeight w:val="311" w:hRule="atLeast"/>
                    </w:trPr>
                    <w:tc>
                      <w:tcPr>
                        <w:tcW w:w="4261" w:type="dxa"/>
                      </w:tcPr>
                      <w:p>
                        <w:pPr>
                          <w:pStyle w:val="TableParagraph"/>
                          <w:spacing w:line="250" w:lineRule="exact" w:before="42"/>
                          <w:ind w:left="107"/>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09" w:type="dxa"/>
                      </w:tcPr>
                      <w:p>
                        <w:pPr>
                          <w:pStyle w:val="TableParagraph"/>
                          <w:spacing w:line="226" w:lineRule="exact" w:before="65"/>
                          <w:ind w:right="95"/>
                          <w:jc w:val="right"/>
                          <w:rPr>
                            <w:sz w:val="21"/>
                          </w:rPr>
                        </w:pPr>
                        <w:r>
                          <w:rPr>
                            <w:sz w:val="21"/>
                          </w:rPr>
                          <w:t>0.00</w:t>
                        </w:r>
                      </w:p>
                    </w:tc>
                  </w:tr>
                  <w:tr>
                    <w:trPr>
                      <w:trHeight w:val="313" w:hRule="atLeast"/>
                    </w:trPr>
                    <w:tc>
                      <w:tcPr>
                        <w:tcW w:w="4261" w:type="dxa"/>
                      </w:tcPr>
                      <w:p>
                        <w:pPr>
                          <w:pStyle w:val="TableParagraph"/>
                          <w:spacing w:line="250" w:lineRule="exact" w:before="44"/>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09" w:type="dxa"/>
                      </w:tcPr>
                      <w:p>
                        <w:pPr>
                          <w:pStyle w:val="TableParagraph"/>
                          <w:spacing w:line="226" w:lineRule="exact" w:before="67"/>
                          <w:ind w:right="95"/>
                          <w:jc w:val="right"/>
                          <w:rPr>
                            <w:sz w:val="21"/>
                          </w:rPr>
                        </w:pPr>
                        <w:r>
                          <w:rPr>
                            <w:sz w:val="21"/>
                          </w:rPr>
                          <w:t>1.300</w:t>
                        </w:r>
                      </w:p>
                    </w:tc>
                  </w:tr>
                  <w:tr>
                    <w:trPr>
                      <w:trHeight w:val="311" w:hRule="atLeast"/>
                    </w:trPr>
                    <w:tc>
                      <w:tcPr>
                        <w:tcW w:w="4261" w:type="dxa"/>
                      </w:tcPr>
                      <w:p>
                        <w:pPr>
                          <w:pStyle w:val="TableParagraph"/>
                          <w:spacing w:line="250" w:lineRule="exact" w:before="42"/>
                          <w:ind w:left="107"/>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09" w:type="dxa"/>
                      </w:tcPr>
                      <w:p>
                        <w:pPr>
                          <w:pStyle w:val="TableParagraph"/>
                          <w:spacing w:line="226" w:lineRule="exact" w:before="65"/>
                          <w:ind w:right="95"/>
                          <w:jc w:val="right"/>
                          <w:rPr>
                            <w:sz w:val="21"/>
                          </w:rPr>
                        </w:pPr>
                        <w:r>
                          <w:rPr>
                            <w:sz w:val="21"/>
                          </w:rPr>
                          <w:t>918.46</w:t>
                        </w:r>
                      </w:p>
                    </w:tc>
                  </w:tr>
                </w:tbl>
                <w:p>
                  <w:pPr>
                    <w:pStyle w:val="BodyText"/>
                  </w:pPr>
                </w:p>
              </w:txbxContent>
            </v:textbox>
            <w10:wrap type="none"/>
          </v:shape>
        </w:pict>
      </w:r>
      <w:r>
        <w:rPr>
          <w:spacing w:val="-24"/>
          <w:sz w:val="21"/>
        </w:rPr>
        <w:t>若 </w:t>
      </w:r>
      <w:r>
        <w:rPr>
          <w:rFonts w:ascii="Times New Roman" w:eastAsia="Times New Roman"/>
          <w:sz w:val="21"/>
        </w:rPr>
        <w:t>T</w:t>
      </w:r>
      <w:r>
        <w:rPr>
          <w:rFonts w:ascii="Times New Roman" w:eastAsia="Times New Roman"/>
          <w:spacing w:val="3"/>
          <w:sz w:val="21"/>
        </w:rPr>
        <w:t> </w:t>
      </w:r>
      <w:r>
        <w:rPr>
          <w:spacing w:val="-19"/>
          <w:sz w:val="21"/>
        </w:rPr>
        <w:t>日转入丙基金</w:t>
      </w:r>
      <w:r>
        <w:rPr>
          <w:spacing w:val="-3"/>
          <w:sz w:val="21"/>
        </w:rPr>
        <w:t>（</w:t>
      </w:r>
      <w:r>
        <w:rPr>
          <w:spacing w:val="-2"/>
          <w:sz w:val="21"/>
        </w:rPr>
        <w:t>前端收费模式</w:t>
      </w:r>
      <w:r>
        <w:rPr>
          <w:spacing w:val="-103"/>
          <w:sz w:val="21"/>
        </w:rPr>
        <w:t>）</w:t>
      </w:r>
      <w:r>
        <w:rPr>
          <w:spacing w:val="-13"/>
          <w:sz w:val="21"/>
        </w:rPr>
        <w:t>，且丙基金适用的前端申购费率最高档为</w:t>
      </w:r>
      <w:r>
        <w:rPr>
          <w:rFonts w:ascii="Times New Roman" w:eastAsia="Times New Roman"/>
          <w:sz w:val="21"/>
        </w:rPr>
        <w:t>1.2%</w:t>
      </w:r>
      <w:r>
        <w:rPr>
          <w:sz w:val="21"/>
        </w:rPr>
        <w:t>，</w:t>
      </w:r>
      <w:r>
        <w:rPr>
          <w:spacing w:val="-7"/>
          <w:sz w:val="21"/>
        </w:rPr>
        <w:t>该日丙基金基金份额净值为 </w:t>
      </w:r>
      <w:r>
        <w:rPr>
          <w:rFonts w:ascii="Times New Roman" w:eastAsia="Times New Roman"/>
          <w:sz w:val="21"/>
        </w:rPr>
        <w:t>1.300</w:t>
      </w:r>
      <w:r>
        <w:rPr>
          <w:rFonts w:ascii="Times New Roman" w:eastAsia="Times New Roman"/>
          <w:spacing w:val="11"/>
          <w:sz w:val="21"/>
        </w:rPr>
        <w:t> </w:t>
      </w:r>
      <w:r>
        <w:rPr>
          <w:spacing w:val="-3"/>
          <w:sz w:val="21"/>
        </w:rPr>
        <w:t>元。则转出基金费用、转入基金费用及份额计算如下：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16"/>
        </w:rPr>
      </w:pPr>
    </w:p>
    <w:p>
      <w:pPr>
        <w:pStyle w:val="BodyText"/>
        <w:spacing w:line="417" w:lineRule="auto" w:before="1"/>
        <w:ind w:left="778" w:right="888" w:firstLine="419"/>
        <w:jc w:val="both"/>
      </w:pPr>
      <w:r>
        <w:rPr>
          <w:spacing w:val="2"/>
          <w:w w:val="100"/>
        </w:rPr>
        <w:t>例二：假定投资者在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3"/>
          <w:w w:val="100"/>
        </w:rPr>
        <w:t>份甲基金基金份额（前端收费模式</w:t>
      </w:r>
      <w:r>
        <w:rPr>
          <w:spacing w:val="-108"/>
          <w:w w:val="100"/>
        </w:rPr>
        <w:t>）</w:t>
      </w:r>
      <w:r>
        <w:rPr>
          <w:spacing w:val="-3"/>
          <w:w w:val="100"/>
        </w:rPr>
        <w:t>，甲基金</w:t>
      </w:r>
      <w:r>
        <w:rPr>
          <w:spacing w:val="-7"/>
        </w:rPr>
        <w:t>申购费率适用比例费率，该日甲基金基金份额净值为 </w:t>
      </w:r>
      <w:r>
        <w:rPr>
          <w:rFonts w:ascii="Times New Roman" w:eastAsia="Times New Roman"/>
        </w:rPr>
        <w:t>1.200 </w:t>
      </w:r>
      <w:r>
        <w:rPr>
          <w:spacing w:val="-6"/>
        </w:rPr>
        <w:t>元。甲基金前端申购费率最高档</w:t>
      </w:r>
      <w:r>
        <w:rPr>
          <w:spacing w:val="-30"/>
        </w:rPr>
        <w:t>为 </w:t>
      </w:r>
      <w:r>
        <w:rPr>
          <w:rFonts w:ascii="Times New Roman" w:eastAsia="Times New Roman"/>
        </w:rPr>
        <w:t>1.5%</w:t>
      </w:r>
      <w:r>
        <w:rPr>
          <w:spacing w:val="-11"/>
        </w:rPr>
        <w:t>，赎回费率为 </w:t>
      </w:r>
      <w:r>
        <w:rPr>
          <w:rFonts w:ascii="Times New Roman" w:eastAsia="Times New Roman"/>
        </w:rPr>
        <w:t>0.5%</w:t>
      </w:r>
      <w:r>
        <w:rPr/>
        <w:t>。</w:t>
      </w:r>
    </w:p>
    <w:p>
      <w:pPr>
        <w:pStyle w:val="ListParagraph"/>
        <w:numPr>
          <w:ilvl w:val="0"/>
          <w:numId w:val="17"/>
        </w:numPr>
        <w:tabs>
          <w:tab w:pos="1727" w:val="left" w:leader="none"/>
        </w:tabs>
        <w:spacing w:line="417" w:lineRule="auto" w:before="0" w:after="0"/>
        <w:ind w:left="778" w:right="888" w:firstLine="419"/>
        <w:jc w:val="both"/>
        <w:rPr>
          <w:sz w:val="21"/>
        </w:rPr>
      </w:pPr>
      <w:r>
        <w:rPr/>
        <w:pict>
          <v:shape style="position:absolute;margin-left:111.620003pt;margin-top:65.220032pt;width:372.6pt;height:129.3pt;mso-position-horizontal-relative:page;mso-position-vertical-relative:paragraph;z-index:2516654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3209"/>
                  </w:tblGrid>
                  <w:tr>
                    <w:trPr>
                      <w:trHeight w:val="311" w:hRule="atLeast"/>
                    </w:trPr>
                    <w:tc>
                      <w:tcPr>
                        <w:tcW w:w="4227" w:type="dxa"/>
                      </w:tcPr>
                      <w:p>
                        <w:pPr>
                          <w:pStyle w:val="TableParagraph"/>
                          <w:ind w:left="1882" w:right="1875"/>
                          <w:jc w:val="center"/>
                          <w:rPr>
                            <w:rFonts w:ascii="宋体" w:eastAsia="宋体" w:hint="eastAsia"/>
                            <w:sz w:val="21"/>
                          </w:rPr>
                        </w:pPr>
                        <w:r>
                          <w:rPr>
                            <w:rFonts w:ascii="宋体" w:eastAsia="宋体" w:hint="eastAsia"/>
                            <w:sz w:val="21"/>
                          </w:rPr>
                          <w:t>项目</w:t>
                        </w:r>
                      </w:p>
                    </w:tc>
                    <w:tc>
                      <w:tcPr>
                        <w:tcW w:w="3209" w:type="dxa"/>
                      </w:tcPr>
                      <w:p>
                        <w:pPr>
                          <w:pStyle w:val="TableParagraph"/>
                          <w:ind w:left="1164" w:right="1154"/>
                          <w:jc w:val="center"/>
                          <w:rPr>
                            <w:rFonts w:ascii="宋体" w:eastAsia="宋体" w:hint="eastAsia"/>
                            <w:sz w:val="21"/>
                          </w:rPr>
                        </w:pPr>
                        <w:r>
                          <w:rPr>
                            <w:rFonts w:ascii="宋体" w:eastAsia="宋体" w:hint="eastAsia"/>
                            <w:sz w:val="21"/>
                          </w:rPr>
                          <w:t>费用计算</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9" w:type="dxa"/>
                      </w:tcPr>
                      <w:p>
                        <w:pPr>
                          <w:pStyle w:val="TableParagraph"/>
                          <w:spacing w:before="34"/>
                          <w:ind w:right="93"/>
                          <w:jc w:val="right"/>
                          <w:rPr>
                            <w:sz w:val="21"/>
                          </w:rPr>
                        </w:pPr>
                        <w:r>
                          <w:rPr>
                            <w:sz w:val="21"/>
                          </w:rPr>
                          <w:t>10,000,000.00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9" w:type="dxa"/>
                      </w:tcPr>
                      <w:p>
                        <w:pPr>
                          <w:pStyle w:val="TableParagraph"/>
                          <w:spacing w:before="34"/>
                          <w:ind w:right="94"/>
                          <w:jc w:val="right"/>
                          <w:rPr>
                            <w:sz w:val="21"/>
                          </w:rPr>
                        </w:pPr>
                        <w:r>
                          <w:rPr>
                            <w:sz w:val="21"/>
                          </w:rPr>
                          <w:t>1.200</w:t>
                        </w:r>
                      </w:p>
                    </w:tc>
                  </w:tr>
                  <w:tr>
                    <w:trPr>
                      <w:trHeight w:val="313" w:hRule="atLeast"/>
                    </w:trPr>
                    <w:tc>
                      <w:tcPr>
                        <w:tcW w:w="4227" w:type="dxa"/>
                      </w:tcPr>
                      <w:p>
                        <w:pPr>
                          <w:pStyle w:val="TableParagraph"/>
                          <w:spacing w:before="25"/>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9" w:type="dxa"/>
                      </w:tcPr>
                      <w:p>
                        <w:pPr>
                          <w:pStyle w:val="TableParagraph"/>
                          <w:spacing w:before="36"/>
                          <w:ind w:right="93"/>
                          <w:jc w:val="right"/>
                          <w:rPr>
                            <w:sz w:val="21"/>
                          </w:rPr>
                        </w:pPr>
                        <w:r>
                          <w:rPr>
                            <w:sz w:val="21"/>
                          </w:rPr>
                          <w:t>12,000,000.00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9" w:type="dxa"/>
                      </w:tcPr>
                      <w:p>
                        <w:pPr>
                          <w:pStyle w:val="TableParagraph"/>
                          <w:spacing w:before="34"/>
                          <w:ind w:right="92"/>
                          <w:jc w:val="right"/>
                          <w:rPr>
                            <w:sz w:val="21"/>
                          </w:rPr>
                        </w:pPr>
                        <w:r>
                          <w:rPr>
                            <w:sz w:val="21"/>
                          </w:rPr>
                          <w:t>0.5%</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09" w:type="dxa"/>
                      </w:tcPr>
                      <w:p>
                        <w:pPr>
                          <w:pStyle w:val="TableParagraph"/>
                          <w:spacing w:before="34"/>
                          <w:ind w:right="93"/>
                          <w:jc w:val="right"/>
                          <w:rPr>
                            <w:sz w:val="21"/>
                          </w:rPr>
                        </w:pPr>
                        <w:r>
                          <w:rPr>
                            <w:sz w:val="21"/>
                          </w:rPr>
                          <w:t>60,000.00</w:t>
                        </w:r>
                      </w:p>
                    </w:tc>
                  </w:tr>
                  <w:tr>
                    <w:trPr>
                      <w:trHeight w:val="312" w:hRule="atLeast"/>
                    </w:trPr>
                    <w:tc>
                      <w:tcPr>
                        <w:tcW w:w="4227" w:type="dxa"/>
                      </w:tcPr>
                      <w:p>
                        <w:pPr>
                          <w:pStyle w:val="TableParagraph"/>
                          <w:spacing w:before="23"/>
                          <w:ind w:left="105"/>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09" w:type="dxa"/>
                      </w:tcPr>
                      <w:p>
                        <w:pPr>
                          <w:pStyle w:val="TableParagraph"/>
                          <w:spacing w:before="34"/>
                          <w:ind w:right="93"/>
                          <w:jc w:val="right"/>
                          <w:rPr>
                            <w:sz w:val="21"/>
                          </w:rPr>
                        </w:pPr>
                        <w:r>
                          <w:rPr>
                            <w:sz w:val="21"/>
                          </w:rPr>
                          <w:t>11,940,000.00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09" w:type="dxa"/>
                      </w:tcPr>
                      <w:p>
                        <w:pPr>
                          <w:pStyle w:val="TableParagraph"/>
                          <w:spacing w:before="34"/>
                          <w:ind w:right="93"/>
                          <w:jc w:val="right"/>
                          <w:rPr>
                            <w:sz w:val="21"/>
                          </w:rPr>
                        </w:pPr>
                        <w:r>
                          <w:rPr>
                            <w:sz w:val="21"/>
                          </w:rPr>
                          <w:t>1,000.00</w:t>
                        </w:r>
                      </w:p>
                    </w:tc>
                  </w:tr>
                </w:tbl>
                <w:p>
                  <w:pPr>
                    <w:pStyle w:val="BodyText"/>
                  </w:pPr>
                </w:p>
              </w:txbxContent>
            </v:textbox>
            <w10:wrap type="none"/>
          </v:shape>
        </w:pict>
      </w:r>
      <w:r>
        <w:rPr>
          <w:w w:val="100"/>
          <w:sz w:val="21"/>
        </w:rPr>
        <w:t>若</w:t>
      </w:r>
      <w:r>
        <w:rPr>
          <w:spacing w:val="-55"/>
          <w:sz w:val="21"/>
        </w:rPr>
        <w:t> </w:t>
      </w:r>
      <w:r>
        <w:rPr>
          <w:rFonts w:ascii="Times New Roman" w:eastAsia="Times New Roman"/>
          <w:w w:val="100"/>
          <w:sz w:val="21"/>
        </w:rPr>
        <w:t>T</w:t>
      </w:r>
      <w:r>
        <w:rPr>
          <w:rFonts w:ascii="Times New Roman" w:eastAsia="Times New Roman"/>
          <w:sz w:val="21"/>
        </w:rPr>
        <w:t> </w:t>
      </w:r>
      <w:r>
        <w:rPr>
          <w:spacing w:val="-5"/>
          <w:w w:val="100"/>
          <w:sz w:val="21"/>
        </w:rPr>
        <w:t>日转入乙基金</w:t>
      </w:r>
      <w:r>
        <w:rPr>
          <w:spacing w:val="-3"/>
          <w:w w:val="100"/>
          <w:sz w:val="21"/>
        </w:rPr>
        <w:t>（</w:t>
      </w:r>
      <w:r>
        <w:rPr>
          <w:spacing w:val="-2"/>
          <w:w w:val="100"/>
          <w:sz w:val="21"/>
        </w:rPr>
        <w:t>前端收费模式</w:t>
      </w:r>
      <w:r>
        <w:rPr>
          <w:spacing w:val="-108"/>
          <w:w w:val="100"/>
          <w:sz w:val="21"/>
        </w:rPr>
        <w:t>）</w:t>
      </w:r>
      <w:r>
        <w:rPr>
          <w:spacing w:val="-5"/>
          <w:w w:val="100"/>
          <w:sz w:val="21"/>
        </w:rPr>
        <w:t>，且乙基金适用的申购费用为</w:t>
      </w:r>
      <w:r>
        <w:rPr>
          <w:spacing w:val="-53"/>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5"/>
          <w:w w:val="100"/>
          <w:sz w:val="21"/>
        </w:rPr>
        <w:t>元，乙基</w:t>
      </w:r>
      <w:r>
        <w:rPr>
          <w:spacing w:val="-5"/>
          <w:sz w:val="21"/>
        </w:rPr>
        <w:t>金前端申购费率最高档为 </w:t>
      </w:r>
      <w:r>
        <w:rPr>
          <w:rFonts w:ascii="Times New Roman" w:eastAsia="Times New Roman"/>
          <w:sz w:val="21"/>
        </w:rPr>
        <w:t>2.0%</w:t>
      </w:r>
      <w:r>
        <w:rPr>
          <w:spacing w:val="-4"/>
          <w:sz w:val="21"/>
        </w:rPr>
        <w:t>，该日乙基金基金份额净值为 </w:t>
      </w:r>
      <w:r>
        <w:rPr>
          <w:rFonts w:ascii="Times New Roman" w:eastAsia="Times New Roman"/>
          <w:sz w:val="21"/>
        </w:rPr>
        <w:t>1.300</w:t>
      </w:r>
      <w:r>
        <w:rPr>
          <w:rFonts w:ascii="Times New Roman" w:eastAsia="Times New Roman"/>
          <w:spacing w:val="44"/>
          <w:sz w:val="21"/>
        </w:rPr>
        <w:t> </w:t>
      </w:r>
      <w:r>
        <w:rPr>
          <w:spacing w:val="-3"/>
          <w:sz w:val="21"/>
        </w:rPr>
        <w:t>元。则转出基金费用、转入基金费用及份额计算如下：</w:t>
      </w:r>
    </w:p>
    <w:p>
      <w:pPr>
        <w:spacing w:after="0" w:line="417" w:lineRule="auto"/>
        <w:jc w:val="both"/>
        <w:rPr>
          <w:sz w:val="21"/>
        </w:rPr>
        <w:sectPr>
          <w:pgSz w:w="11910" w:h="16840"/>
          <w:pgMar w:header="877" w:footer="995" w:top="1280" w:bottom="1180" w:left="1020" w:right="900"/>
        </w:sectPr>
      </w:pPr>
    </w:p>
    <w:p>
      <w:pPr>
        <w:pStyle w:val="BodyText"/>
        <w:spacing w:before="4"/>
        <w:rPr>
          <w:sz w:val="10"/>
        </w:rPr>
      </w:pPr>
    </w:p>
    <w:tbl>
      <w:tblPr>
        <w:tblW w:w="0" w:type="auto"/>
        <w:jc w:val="left"/>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3209"/>
      </w:tblGrid>
      <w:tr>
        <w:trPr>
          <w:trHeight w:val="312" w:hRule="atLeast"/>
        </w:trPr>
        <w:tc>
          <w:tcPr>
            <w:tcW w:w="4227" w:type="dxa"/>
          </w:tcPr>
          <w:p>
            <w:pPr>
              <w:pStyle w:val="TableParagraph"/>
              <w:spacing w:before="23"/>
              <w:ind w:left="105"/>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09" w:type="dxa"/>
          </w:tcPr>
          <w:p>
            <w:pPr>
              <w:pStyle w:val="TableParagraph"/>
              <w:spacing w:before="34"/>
              <w:ind w:right="93"/>
              <w:jc w:val="right"/>
              <w:rPr>
                <w:sz w:val="21"/>
              </w:rPr>
            </w:pPr>
            <w:r>
              <w:rPr>
                <w:sz w:val="21"/>
              </w:rPr>
              <w:t>11,939,000.00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09" w:type="dxa"/>
          </w:tcPr>
          <w:p>
            <w:pPr>
              <w:pStyle w:val="TableParagraph"/>
              <w:spacing w:before="34"/>
              <w:ind w:right="94"/>
              <w:jc w:val="right"/>
              <w:rPr>
                <w:sz w:val="21"/>
              </w:rPr>
            </w:pPr>
            <w:r>
              <w:rPr>
                <w:sz w:val="21"/>
              </w:rPr>
              <w:t>1.300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09" w:type="dxa"/>
          </w:tcPr>
          <w:p>
            <w:pPr>
              <w:pStyle w:val="TableParagraph"/>
              <w:spacing w:before="34"/>
              <w:ind w:right="93"/>
              <w:jc w:val="right"/>
              <w:rPr>
                <w:sz w:val="21"/>
              </w:rPr>
            </w:pPr>
            <w:r>
              <w:rPr>
                <w:sz w:val="21"/>
              </w:rPr>
              <w:t>9,183,846.15</w:t>
            </w:r>
          </w:p>
        </w:tc>
      </w:tr>
    </w:tbl>
    <w:p>
      <w:pPr>
        <w:pStyle w:val="ListParagraph"/>
        <w:numPr>
          <w:ilvl w:val="0"/>
          <w:numId w:val="17"/>
        </w:numPr>
        <w:tabs>
          <w:tab w:pos="1727" w:val="left" w:leader="none"/>
        </w:tabs>
        <w:spacing w:line="417" w:lineRule="auto" w:before="99" w:after="0"/>
        <w:ind w:left="778" w:right="888" w:firstLine="419"/>
        <w:jc w:val="both"/>
        <w:rPr>
          <w:sz w:val="21"/>
        </w:rPr>
      </w:pPr>
      <w:r>
        <w:rPr/>
        <w:pict>
          <v:shape style="position:absolute;margin-left:111.260002pt;margin-top:70.170029pt;width:373.3pt;height:177.65pt;mso-position-horizontal-relative:page;mso-position-vertical-relative:paragraph;z-index:2516664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7"/>
                  </w:tblGrid>
                  <w:tr>
                    <w:trPr>
                      <w:trHeight w:val="313" w:hRule="atLeast"/>
                    </w:trPr>
                    <w:tc>
                      <w:tcPr>
                        <w:tcW w:w="4235" w:type="dxa"/>
                      </w:tcPr>
                      <w:p>
                        <w:pPr>
                          <w:pStyle w:val="TableParagraph"/>
                          <w:spacing w:before="25"/>
                          <w:ind w:left="1882" w:right="1878"/>
                          <w:jc w:val="center"/>
                          <w:rPr>
                            <w:rFonts w:ascii="宋体" w:eastAsia="宋体" w:hint="eastAsia"/>
                            <w:sz w:val="21"/>
                          </w:rPr>
                        </w:pPr>
                        <w:r>
                          <w:rPr>
                            <w:rFonts w:ascii="宋体" w:eastAsia="宋体" w:hint="eastAsia"/>
                            <w:sz w:val="21"/>
                          </w:rPr>
                          <w:t>项目</w:t>
                        </w:r>
                      </w:p>
                    </w:tc>
                    <w:tc>
                      <w:tcPr>
                        <w:tcW w:w="3217" w:type="dxa"/>
                      </w:tcPr>
                      <w:p>
                        <w:pPr>
                          <w:pStyle w:val="TableParagraph"/>
                          <w:spacing w:before="25"/>
                          <w:ind w:left="1168" w:right="1158"/>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5"/>
                          <w:jc w:val="right"/>
                          <w:rPr>
                            <w:sz w:val="21"/>
                          </w:rPr>
                        </w:pPr>
                        <w:r>
                          <w:rPr>
                            <w:sz w:val="21"/>
                          </w:rPr>
                          <w:t>10,000,000.00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jc w:val="right"/>
                          <w:rPr>
                            <w:sz w:val="21"/>
                          </w:rPr>
                        </w:pPr>
                        <w:r>
                          <w:rPr>
                            <w:sz w:val="21"/>
                          </w:rPr>
                          <w:t>1.200</w:t>
                        </w:r>
                      </w:p>
                    </w:tc>
                  </w:tr>
                  <w:tr>
                    <w:trPr>
                      <w:trHeight w:val="312" w:hRule="atLeast"/>
                    </w:trPr>
                    <w:tc>
                      <w:tcPr>
                        <w:tcW w:w="4235" w:type="dxa"/>
                      </w:tcPr>
                      <w:p>
                        <w:pPr>
                          <w:pStyle w:val="TableParagraph"/>
                          <w:spacing w:before="23"/>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5"/>
                          <w:jc w:val="right"/>
                          <w:rPr>
                            <w:sz w:val="21"/>
                          </w:rPr>
                        </w:pPr>
                        <w:r>
                          <w:rPr>
                            <w:sz w:val="21"/>
                          </w:rPr>
                          <w:t>12,000,000.00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jc w:val="right"/>
                          <w:rPr>
                            <w:sz w:val="21"/>
                          </w:rPr>
                        </w:pPr>
                        <w:r>
                          <w:rPr>
                            <w:sz w:val="21"/>
                          </w:rPr>
                          <w:t>0.5%</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7" w:type="dxa"/>
                      </w:tcPr>
                      <w:p>
                        <w:pPr>
                          <w:pStyle w:val="TableParagraph"/>
                          <w:spacing w:before="34"/>
                          <w:ind w:right="95"/>
                          <w:jc w:val="right"/>
                          <w:rPr>
                            <w:sz w:val="21"/>
                          </w:rPr>
                        </w:pPr>
                        <w:r>
                          <w:rPr>
                            <w:sz w:val="21"/>
                          </w:rPr>
                          <w:t>60,000.00</w:t>
                        </w:r>
                      </w:p>
                    </w:tc>
                  </w:tr>
                  <w:tr>
                    <w:trPr>
                      <w:trHeight w:val="314" w:hRule="atLeast"/>
                    </w:trPr>
                    <w:tc>
                      <w:tcPr>
                        <w:tcW w:w="4235" w:type="dxa"/>
                      </w:tcPr>
                      <w:p>
                        <w:pPr>
                          <w:pStyle w:val="TableParagraph"/>
                          <w:spacing w:before="25"/>
                          <w:ind w:left="105"/>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7" w:type="dxa"/>
                      </w:tcPr>
                      <w:p>
                        <w:pPr>
                          <w:pStyle w:val="TableParagraph"/>
                          <w:spacing w:before="36"/>
                          <w:ind w:right="95"/>
                          <w:jc w:val="right"/>
                          <w:rPr>
                            <w:sz w:val="21"/>
                          </w:rPr>
                        </w:pPr>
                        <w:r>
                          <w:rPr>
                            <w:sz w:val="21"/>
                          </w:rPr>
                          <w:t>11,940,000.00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7" w:type="dxa"/>
                      </w:tcPr>
                      <w:p>
                        <w:pPr>
                          <w:pStyle w:val="TableParagraph"/>
                          <w:spacing w:before="34"/>
                          <w:ind w:right="94"/>
                          <w:jc w:val="right"/>
                          <w:rPr>
                            <w:sz w:val="21"/>
                          </w:rPr>
                        </w:pPr>
                        <w:r>
                          <w:rPr>
                            <w:sz w:val="21"/>
                          </w:rPr>
                          <w:t>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7" w:type="dxa"/>
                      </w:tcPr>
                      <w:p>
                        <w:pPr>
                          <w:pStyle w:val="TableParagraph"/>
                          <w:spacing w:before="34"/>
                          <w:ind w:right="95"/>
                          <w:jc w:val="right"/>
                          <w:rPr>
                            <w:sz w:val="21"/>
                          </w:rPr>
                        </w:pPr>
                        <w:r>
                          <w:rPr>
                            <w:sz w:val="21"/>
                          </w:rPr>
                          <w:t>11,940,000.00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7" w:type="dxa"/>
                      </w:tcPr>
                      <w:p>
                        <w:pPr>
                          <w:pStyle w:val="TableParagraph"/>
                          <w:spacing w:before="34"/>
                          <w:ind w:right="94"/>
                          <w:jc w:val="right"/>
                          <w:rPr>
                            <w:sz w:val="21"/>
                          </w:rPr>
                        </w:pPr>
                        <w:r>
                          <w:rPr>
                            <w:sz w:val="21"/>
                          </w:rPr>
                          <w:t>1.300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7" w:type="dxa"/>
                      </w:tcPr>
                      <w:p>
                        <w:pPr>
                          <w:pStyle w:val="TableParagraph"/>
                          <w:spacing w:before="34"/>
                          <w:ind w:right="95"/>
                          <w:jc w:val="right"/>
                          <w:rPr>
                            <w:sz w:val="21"/>
                          </w:rPr>
                        </w:pPr>
                        <w:r>
                          <w:rPr>
                            <w:sz w:val="21"/>
                          </w:rPr>
                          <w:t>9,184,615.38</w:t>
                        </w:r>
                      </w:p>
                    </w:tc>
                  </w:tr>
                </w:tbl>
                <w:p>
                  <w:pPr>
                    <w:pStyle w:val="BodyText"/>
                  </w:pPr>
                </w:p>
              </w:txbxContent>
            </v:textbox>
            <w10:wrap type="none"/>
          </v:shape>
        </w:pict>
      </w:r>
      <w:r>
        <w:rPr>
          <w:w w:val="100"/>
          <w:sz w:val="21"/>
        </w:rPr>
        <w:t>若</w:t>
      </w:r>
      <w:r>
        <w:rPr>
          <w:spacing w:val="-55"/>
          <w:sz w:val="21"/>
        </w:rPr>
        <w:t> </w:t>
      </w:r>
      <w:r>
        <w:rPr>
          <w:rFonts w:ascii="Times New Roman" w:eastAsia="Times New Roman"/>
          <w:w w:val="100"/>
          <w:sz w:val="21"/>
        </w:rPr>
        <w:t>T</w:t>
      </w:r>
      <w:r>
        <w:rPr>
          <w:rFonts w:ascii="Times New Roman" w:eastAsia="Times New Roman"/>
          <w:sz w:val="21"/>
        </w:rPr>
        <w:t> </w:t>
      </w:r>
      <w:r>
        <w:rPr>
          <w:spacing w:val="-5"/>
          <w:w w:val="100"/>
          <w:sz w:val="21"/>
        </w:rPr>
        <w:t>日转入丙基金</w:t>
      </w:r>
      <w:r>
        <w:rPr>
          <w:spacing w:val="-3"/>
          <w:w w:val="100"/>
          <w:sz w:val="21"/>
        </w:rPr>
        <w:t>（</w:t>
      </w:r>
      <w:r>
        <w:rPr>
          <w:spacing w:val="-2"/>
          <w:w w:val="100"/>
          <w:sz w:val="21"/>
        </w:rPr>
        <w:t>前端收费模式</w:t>
      </w:r>
      <w:r>
        <w:rPr>
          <w:spacing w:val="-108"/>
          <w:w w:val="100"/>
          <w:sz w:val="21"/>
        </w:rPr>
        <w:t>）</w:t>
      </w:r>
      <w:r>
        <w:rPr>
          <w:spacing w:val="-5"/>
          <w:w w:val="100"/>
          <w:sz w:val="21"/>
        </w:rPr>
        <w:t>，且丙基金适用的申购费用为</w:t>
      </w:r>
      <w:r>
        <w:rPr>
          <w:spacing w:val="-53"/>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5"/>
          <w:w w:val="100"/>
          <w:sz w:val="21"/>
        </w:rPr>
        <w:t>元，丙基</w:t>
      </w:r>
      <w:r>
        <w:rPr>
          <w:spacing w:val="-5"/>
          <w:sz w:val="21"/>
        </w:rPr>
        <w:t>金前端申购费率最高档为 </w:t>
      </w:r>
      <w:r>
        <w:rPr>
          <w:rFonts w:ascii="Times New Roman" w:eastAsia="Times New Roman"/>
          <w:sz w:val="21"/>
        </w:rPr>
        <w:t>1.2%</w:t>
      </w:r>
      <w:r>
        <w:rPr>
          <w:spacing w:val="-4"/>
          <w:sz w:val="21"/>
        </w:rPr>
        <w:t>，该日丙基金基金份额净值为 </w:t>
      </w:r>
      <w:r>
        <w:rPr>
          <w:rFonts w:ascii="Times New Roman" w:eastAsia="Times New Roman"/>
          <w:sz w:val="21"/>
        </w:rPr>
        <w:t>1.300</w:t>
      </w:r>
      <w:r>
        <w:rPr>
          <w:rFonts w:ascii="Times New Roman" w:eastAsia="Times New Roman"/>
          <w:spacing w:val="44"/>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spacing w:line="417" w:lineRule="auto"/>
        <w:ind w:left="778" w:right="783" w:firstLine="419"/>
      </w:pPr>
      <w:r>
        <w:rPr/>
        <w:pict>
          <v:shape style="position:absolute;margin-left:111.260002pt;margin-top:88.639999pt;width:373.2pt;height:177.65pt;mso-position-horizontal-relative:page;mso-position-vertical-relative:paragraph;z-index:2516674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5"/>
                  </w:tblGrid>
                  <w:tr>
                    <w:trPr>
                      <w:trHeight w:val="314" w:hRule="atLeast"/>
                    </w:trPr>
                    <w:tc>
                      <w:tcPr>
                        <w:tcW w:w="4235" w:type="dxa"/>
                      </w:tcPr>
                      <w:p>
                        <w:pPr>
                          <w:pStyle w:val="TableParagraph"/>
                          <w:spacing w:line="250" w:lineRule="exact" w:before="44"/>
                          <w:ind w:left="1884" w:right="1875"/>
                          <w:jc w:val="center"/>
                          <w:rPr>
                            <w:rFonts w:ascii="宋体" w:eastAsia="宋体" w:hint="eastAsia"/>
                            <w:sz w:val="21"/>
                          </w:rPr>
                        </w:pPr>
                        <w:r>
                          <w:rPr>
                            <w:rFonts w:ascii="宋体" w:eastAsia="宋体" w:hint="eastAsia"/>
                            <w:sz w:val="21"/>
                          </w:rPr>
                          <w:t>项目</w:t>
                        </w:r>
                      </w:p>
                    </w:tc>
                    <w:tc>
                      <w:tcPr>
                        <w:tcW w:w="3215" w:type="dxa"/>
                      </w:tcPr>
                      <w:p>
                        <w:pPr>
                          <w:pStyle w:val="TableParagraph"/>
                          <w:spacing w:line="250" w:lineRule="exact" w:before="44"/>
                          <w:ind w:left="1110" w:right="1215"/>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1,000.00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1.200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1,200.00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5" w:type="dxa"/>
                      </w:tcPr>
                      <w:p>
                        <w:pPr>
                          <w:pStyle w:val="TableParagraph"/>
                          <w:spacing w:line="226" w:lineRule="exact" w:before="65"/>
                          <w:ind w:right="91"/>
                          <w:jc w:val="right"/>
                          <w:rPr>
                            <w:sz w:val="21"/>
                          </w:rPr>
                        </w:pPr>
                        <w:r>
                          <w:rPr>
                            <w:sz w:val="21"/>
                          </w:rPr>
                          <w:t>0.5%</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6.00</w:t>
                        </w:r>
                      </w:p>
                    </w:tc>
                  </w:tr>
                  <w:tr>
                    <w:trPr>
                      <w:trHeight w:val="314" w:hRule="atLeast"/>
                    </w:trPr>
                    <w:tc>
                      <w:tcPr>
                        <w:tcW w:w="4235" w:type="dxa"/>
                      </w:tcPr>
                      <w:p>
                        <w:pPr>
                          <w:pStyle w:val="TableParagraph"/>
                          <w:spacing w:line="250" w:lineRule="exact" w:before="44"/>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5" w:type="dxa"/>
                      </w:tcPr>
                      <w:p>
                        <w:pPr>
                          <w:pStyle w:val="TableParagraph"/>
                          <w:spacing w:line="227" w:lineRule="exact" w:before="67"/>
                          <w:ind w:right="93"/>
                          <w:jc w:val="right"/>
                          <w:rPr>
                            <w:sz w:val="21"/>
                          </w:rPr>
                        </w:pPr>
                        <w:r>
                          <w:rPr>
                            <w:sz w:val="21"/>
                          </w:rPr>
                          <w:t>1,194.00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0.00</w:t>
                        </w:r>
                      </w:p>
                    </w:tc>
                  </w:tr>
                  <w:tr>
                    <w:trPr>
                      <w:trHeight w:val="311" w:hRule="atLeast"/>
                    </w:trPr>
                    <w:tc>
                      <w:tcPr>
                        <w:tcW w:w="4235" w:type="dxa"/>
                      </w:tcPr>
                      <w:p>
                        <w:pPr>
                          <w:pStyle w:val="TableParagraph"/>
                          <w:spacing w:line="250" w:lineRule="exact" w:before="42"/>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1,194.00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1.500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796.00</w:t>
                        </w:r>
                      </w:p>
                    </w:tc>
                  </w:tr>
                </w:tbl>
                <w:p>
                  <w:pPr>
                    <w:pStyle w:val="BodyText"/>
                  </w:pPr>
                </w:p>
              </w:txbxContent>
            </v:textbox>
            <w10:wrap type="none"/>
          </v:shape>
        </w:pict>
      </w:r>
      <w:r>
        <w:rPr>
          <w:spacing w:val="-12"/>
        </w:rPr>
        <w:t>例三：假定投资者在 </w:t>
      </w:r>
      <w:r>
        <w:rPr>
          <w:rFonts w:ascii="Times New Roman" w:eastAsia="Times New Roman"/>
        </w:rPr>
        <w:t>2010 </w:t>
      </w:r>
      <w:r>
        <w:rPr>
          <w:spacing w:val="-24"/>
        </w:rPr>
        <w:t>年 </w:t>
      </w:r>
      <w:r>
        <w:rPr>
          <w:rFonts w:ascii="Times New Roman" w:eastAsia="Times New Roman"/>
        </w:rPr>
        <w:t>3 </w:t>
      </w:r>
      <w:r>
        <w:rPr>
          <w:spacing w:val="-25"/>
        </w:rPr>
        <w:t>月 </w:t>
      </w:r>
      <w:r>
        <w:rPr>
          <w:rFonts w:ascii="Times New Roman" w:eastAsia="Times New Roman"/>
        </w:rPr>
        <w:t>15 </w:t>
      </w:r>
      <w:r>
        <w:rPr>
          <w:spacing w:val="-7"/>
        </w:rPr>
        <w:t>日成功提交了基金转换申请，转出持有的前端收费</w:t>
      </w:r>
      <w:r>
        <w:rPr>
          <w:spacing w:val="-16"/>
        </w:rPr>
        <w:t>基金甲 </w:t>
      </w:r>
      <w:r>
        <w:rPr>
          <w:rFonts w:ascii="Times New Roman" w:eastAsia="Times New Roman"/>
        </w:rPr>
        <w:t>1,000 </w:t>
      </w:r>
      <w:r>
        <w:rPr>
          <w:spacing w:val="-5"/>
        </w:rPr>
        <w:t>份，转入后端收费基金乙，该日甲、乙基金基金份额净值分别为 </w:t>
      </w:r>
      <w:r>
        <w:rPr>
          <w:rFonts w:ascii="Times New Roman" w:eastAsia="Times New Roman"/>
        </w:rPr>
        <w:t>1.200</w:t>
      </w:r>
      <w:r>
        <w:rPr/>
        <w:t>、</w:t>
      </w:r>
      <w:r>
        <w:rPr>
          <w:rFonts w:ascii="Times New Roman" w:eastAsia="Times New Roman"/>
        </w:rPr>
        <w:t>1.500 </w:t>
      </w:r>
      <w:r>
        <w:rPr/>
        <w:t>元。</w:t>
      </w:r>
      <w:r>
        <w:rPr>
          <w:rFonts w:ascii="Times New Roman" w:eastAsia="Times New Roman"/>
        </w:rPr>
        <w:t>2010 </w:t>
      </w:r>
      <w:r>
        <w:rPr>
          <w:spacing w:val="-24"/>
        </w:rPr>
        <w:t>年 </w:t>
      </w:r>
      <w:r>
        <w:rPr>
          <w:rFonts w:ascii="Times New Roman" w:eastAsia="Times New Roman"/>
        </w:rPr>
        <w:t>3 </w:t>
      </w:r>
      <w:r>
        <w:rPr>
          <w:spacing w:val="-24"/>
        </w:rPr>
        <w:t>月 </w:t>
      </w:r>
      <w:r>
        <w:rPr>
          <w:rFonts w:ascii="Times New Roman" w:eastAsia="Times New Roman"/>
        </w:rPr>
        <w:t>16 </w:t>
      </w:r>
      <w:r>
        <w:rPr>
          <w:spacing w:val="-6"/>
        </w:rPr>
        <w:t>日这笔转换确认成功。甲基金适用赎回费率为 </w:t>
      </w:r>
      <w:r>
        <w:rPr>
          <w:rFonts w:ascii="Times New Roman" w:eastAsia="Times New Roman"/>
        </w:rPr>
        <w:t>0.5%</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BodyText"/>
        <w:spacing w:line="417" w:lineRule="auto" w:before="1"/>
        <w:ind w:left="778" w:right="783" w:firstLine="419"/>
      </w:pPr>
      <w:r>
        <w:rPr/>
        <w:pict>
          <v:shape style="position:absolute;margin-left:111.379997pt;margin-top:65.27002pt;width:372.95pt;height:48.9pt;mso-position-horizontal-relative:page;mso-position-vertical-relative:paragraph;z-index:2516684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3" w:hRule="atLeast"/>
                    </w:trPr>
                    <w:tc>
                      <w:tcPr>
                        <w:tcW w:w="4232" w:type="dxa"/>
                      </w:tcPr>
                      <w:p>
                        <w:pPr>
                          <w:pStyle w:val="TableParagraph"/>
                          <w:spacing w:line="250" w:lineRule="exact" w:before="44"/>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spacing w:line="250" w:lineRule="exact" w:before="44"/>
                          <w:ind w:left="1049" w:right="1155"/>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spacing w:line="250" w:lineRule="exact" w:before="42"/>
                          <w:ind w:left="107"/>
                          <w:rPr>
                            <w:rFonts w:ascii="宋体" w:eastAsia="宋体" w:hint="eastAsia"/>
                            <w:sz w:val="21"/>
                          </w:rPr>
                        </w:pPr>
                        <w:r>
                          <w:rPr>
                            <w:rFonts w:ascii="宋体" w:eastAsia="宋体" w:hint="eastAsia"/>
                            <w:sz w:val="21"/>
                          </w:rPr>
                          <w:t>赎回份额（</w:t>
                        </w:r>
                        <w:r>
                          <w:rPr>
                            <w:sz w:val="21"/>
                          </w:rPr>
                          <w:t>K</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796.00</w:t>
                        </w:r>
                      </w:p>
                    </w:tc>
                  </w:tr>
                  <w:tr>
                    <w:trPr>
                      <w:trHeight w:val="311" w:hRule="atLeast"/>
                    </w:trPr>
                    <w:tc>
                      <w:tcPr>
                        <w:tcW w:w="4232" w:type="dxa"/>
                      </w:tcPr>
                      <w:p>
                        <w:pPr>
                          <w:pStyle w:val="TableParagraph"/>
                          <w:spacing w:line="250" w:lineRule="exact" w:before="42"/>
                          <w:ind w:left="107"/>
                          <w:rPr>
                            <w:rFonts w:ascii="宋体" w:eastAsia="宋体" w:hint="eastAsia"/>
                            <w:sz w:val="21"/>
                          </w:rPr>
                        </w:pPr>
                        <w:r>
                          <w:rPr>
                            <w:rFonts w:ascii="宋体" w:eastAsia="宋体" w:hint="eastAsia"/>
                            <w:sz w:val="21"/>
                          </w:rPr>
                          <w:t>赎回日基金份额净值（</w:t>
                        </w:r>
                        <w:r>
                          <w:rPr>
                            <w:sz w:val="21"/>
                          </w:rPr>
                          <w:t>L</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1.300</w:t>
                        </w:r>
                      </w:p>
                    </w:tc>
                  </w:tr>
                </w:tbl>
                <w:p>
                  <w:pPr>
                    <w:pStyle w:val="BodyText"/>
                  </w:pPr>
                </w:p>
              </w:txbxContent>
            </v:textbox>
            <w10:wrap type="none"/>
          </v:shape>
        </w:pict>
      </w:r>
      <w:r>
        <w:rPr>
          <w:spacing w:val="-10"/>
        </w:rPr>
        <w:t>若投资者在 </w:t>
      </w:r>
      <w:r>
        <w:rPr>
          <w:rFonts w:ascii="Times New Roman" w:eastAsia="Times New Roman"/>
        </w:rPr>
        <w:t>2011 </w:t>
      </w:r>
      <w:r>
        <w:rPr>
          <w:spacing w:val="-24"/>
        </w:rPr>
        <w:t>年 </w:t>
      </w:r>
      <w:r>
        <w:rPr>
          <w:rFonts w:ascii="Times New Roman" w:eastAsia="Times New Roman"/>
        </w:rPr>
        <w:t>1 </w:t>
      </w:r>
      <w:r>
        <w:rPr>
          <w:spacing w:val="-24"/>
        </w:rPr>
        <w:t>月 </w:t>
      </w:r>
      <w:r>
        <w:rPr>
          <w:rFonts w:ascii="Times New Roman" w:eastAsia="Times New Roman"/>
        </w:rPr>
        <w:t>1 </w:t>
      </w:r>
      <w:r>
        <w:rPr>
          <w:spacing w:val="-6"/>
        </w:rPr>
        <w:t>日赎回乙基金，则赎回时乙基金持有期在 </w:t>
      </w:r>
      <w:r>
        <w:rPr>
          <w:rFonts w:ascii="Times New Roman" w:eastAsia="Times New Roman"/>
        </w:rPr>
        <w:t>1 </w:t>
      </w:r>
      <w:r>
        <w:rPr>
          <w:spacing w:val="-3"/>
        </w:rPr>
        <w:t>年之内，适用后</w:t>
      </w:r>
      <w:r>
        <w:rPr>
          <w:spacing w:val="-9"/>
        </w:rPr>
        <w:t>端申购费率为 </w:t>
      </w:r>
      <w:r>
        <w:rPr>
          <w:rFonts w:ascii="Times New Roman" w:eastAsia="Times New Roman"/>
        </w:rPr>
        <w:t>1.2%</w:t>
      </w:r>
      <w:r>
        <w:rPr>
          <w:spacing w:val="-5"/>
        </w:rPr>
        <w:t>，此时赎回乙基金不收取赎回费，该日乙基金基金份额净值为 </w:t>
      </w:r>
      <w:r>
        <w:rPr>
          <w:rFonts w:ascii="Times New Roman" w:eastAsia="Times New Roman"/>
        </w:rPr>
        <w:t>1.300 </w:t>
      </w:r>
      <w:r>
        <w:rPr/>
        <w:t>元。</w:t>
      </w:r>
      <w:r>
        <w:rPr>
          <w:spacing w:val="-3"/>
        </w:rPr>
        <w:t>则赎回金额计算如下：</w:t>
      </w:r>
    </w:p>
    <w:p>
      <w:pPr>
        <w:spacing w:after="0" w:line="417" w:lineRule="auto"/>
        <w:sectPr>
          <w:pgSz w:w="11910" w:h="16840"/>
          <w:pgMar w:header="877" w:footer="995" w:top="1280" w:bottom="1180" w:left="1020" w:right="900"/>
        </w:sectPr>
      </w:pPr>
    </w:p>
    <w:p>
      <w:pPr>
        <w:pStyle w:val="BodyText"/>
        <w:spacing w:before="4"/>
        <w:rPr>
          <w:sz w:val="10"/>
        </w:rPr>
      </w:pPr>
    </w:p>
    <w:tbl>
      <w:tblPr>
        <w:tblW w:w="0" w:type="auto"/>
        <w:jc w:val="left"/>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2" w:hRule="atLeast"/>
        </w:trPr>
        <w:tc>
          <w:tcPr>
            <w:tcW w:w="4232" w:type="dxa"/>
          </w:tcPr>
          <w:p>
            <w:pPr>
              <w:pStyle w:val="TableParagraph"/>
              <w:spacing w:line="250" w:lineRule="exact" w:before="42"/>
              <w:ind w:left="107"/>
              <w:rPr>
                <w:rFonts w:ascii="宋体" w:eastAsia="宋体" w:hint="eastAsia"/>
                <w:sz w:val="21"/>
              </w:rPr>
            </w:pPr>
            <w:r>
              <w:rPr>
                <w:rFonts w:ascii="宋体" w:eastAsia="宋体" w:hint="eastAsia"/>
                <w:sz w:val="21"/>
              </w:rPr>
              <w:t>赎回总金额（</w:t>
            </w:r>
            <w:r>
              <w:rPr>
                <w:sz w:val="21"/>
              </w:rPr>
              <w:t>M=K*L</w:t>
            </w:r>
            <w:r>
              <w:rPr>
                <w:rFonts w:ascii="宋体" w:eastAsia="宋体" w:hint="eastAsia"/>
                <w:sz w:val="21"/>
              </w:rPr>
              <w:t>）</w:t>
            </w:r>
          </w:p>
        </w:tc>
        <w:tc>
          <w:tcPr>
            <w:tcW w:w="3212" w:type="dxa"/>
          </w:tcPr>
          <w:p>
            <w:pPr>
              <w:pStyle w:val="TableParagraph"/>
              <w:spacing w:line="226" w:lineRule="exact" w:before="65"/>
              <w:ind w:right="94"/>
              <w:jc w:val="right"/>
              <w:rPr>
                <w:sz w:val="21"/>
              </w:rPr>
            </w:pPr>
            <w:r>
              <w:rPr>
                <w:sz w:val="21"/>
              </w:rPr>
              <w:t>1,034.80</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赎回费用（</w:t>
            </w:r>
            <w:r>
              <w:rPr>
                <w:sz w:val="21"/>
              </w:rPr>
              <w:t>N</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0.00</w:t>
            </w:r>
          </w:p>
        </w:tc>
      </w:tr>
      <w:tr>
        <w:trPr>
          <w:trHeight w:val="311" w:hRule="atLeast"/>
        </w:trPr>
        <w:tc>
          <w:tcPr>
            <w:tcW w:w="4232" w:type="dxa"/>
          </w:tcPr>
          <w:p>
            <w:pPr>
              <w:pStyle w:val="TableParagraph"/>
              <w:spacing w:line="250" w:lineRule="exact" w:before="42"/>
              <w:ind w:left="107"/>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1.2%</w:t>
            </w:r>
          </w:p>
        </w:tc>
      </w:tr>
      <w:tr>
        <w:trPr>
          <w:trHeight w:val="314" w:hRule="atLeast"/>
        </w:trPr>
        <w:tc>
          <w:tcPr>
            <w:tcW w:w="4232" w:type="dxa"/>
          </w:tcPr>
          <w:p>
            <w:pPr>
              <w:pStyle w:val="TableParagraph"/>
              <w:spacing w:line="250" w:lineRule="exact" w:before="44"/>
              <w:ind w:left="107"/>
              <w:rPr>
                <w:rFonts w:ascii="宋体" w:eastAsia="宋体" w:hint="eastAsia"/>
                <w:sz w:val="21"/>
              </w:rPr>
            </w:pPr>
            <w:r>
              <w:rPr>
                <w:rFonts w:ascii="宋体" w:eastAsia="宋体" w:hint="eastAsia"/>
                <w:sz w:val="21"/>
              </w:rPr>
              <w:t>后端申购费（</w:t>
            </w:r>
            <w:r>
              <w:rPr>
                <w:sz w:val="21"/>
              </w:rPr>
              <w:t>P=K*I*O/(1+O)</w:t>
            </w:r>
            <w:r>
              <w:rPr>
                <w:rFonts w:ascii="宋体" w:eastAsia="宋体" w:hint="eastAsia"/>
                <w:sz w:val="21"/>
              </w:rPr>
              <w:t>）</w:t>
            </w:r>
          </w:p>
        </w:tc>
        <w:tc>
          <w:tcPr>
            <w:tcW w:w="3212" w:type="dxa"/>
          </w:tcPr>
          <w:p>
            <w:pPr>
              <w:pStyle w:val="TableParagraph"/>
              <w:spacing w:line="226" w:lineRule="exact" w:before="67"/>
              <w:ind w:right="93"/>
              <w:jc w:val="right"/>
              <w:rPr>
                <w:sz w:val="21"/>
              </w:rPr>
            </w:pPr>
            <w:r>
              <w:rPr>
                <w:sz w:val="21"/>
              </w:rPr>
              <w:t>14.16</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赎回金额（</w:t>
            </w:r>
            <w:r>
              <w:rPr>
                <w:sz w:val="21"/>
              </w:rPr>
              <w:t>Q=M-N-P</w:t>
            </w:r>
            <w:r>
              <w:rPr>
                <w:rFonts w:ascii="宋体" w:eastAsia="宋体" w:hint="eastAsia"/>
                <w:sz w:val="21"/>
              </w:rPr>
              <w:t>）</w:t>
            </w:r>
          </w:p>
        </w:tc>
        <w:tc>
          <w:tcPr>
            <w:tcW w:w="3212" w:type="dxa"/>
          </w:tcPr>
          <w:p>
            <w:pPr>
              <w:pStyle w:val="TableParagraph"/>
              <w:spacing w:line="226" w:lineRule="exact" w:before="65"/>
              <w:ind w:right="94"/>
              <w:jc w:val="right"/>
              <w:rPr>
                <w:sz w:val="21"/>
              </w:rPr>
            </w:pPr>
            <w:r>
              <w:rPr>
                <w:sz w:val="21"/>
              </w:rPr>
              <w:t>1,020.64</w:t>
            </w:r>
          </w:p>
        </w:tc>
      </w:tr>
    </w:tbl>
    <w:p>
      <w:pPr>
        <w:pStyle w:val="BodyText"/>
        <w:spacing w:line="417" w:lineRule="auto" w:before="99"/>
        <w:ind w:left="778" w:right="831" w:firstLine="419"/>
        <w:jc w:val="both"/>
      </w:pPr>
      <w:r>
        <w:rPr/>
        <w:pict>
          <v:shape style="position:absolute;margin-left:110.779999pt;margin-top:70.169991pt;width:374.15pt;height:177.65pt;mso-position-horizontal-relative:page;mso-position-vertical-relative:paragraph;z-index:2516695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ind w:left="1774" w:right="1764"/>
                          <w:jc w:val="center"/>
                          <w:rPr>
                            <w:rFonts w:ascii="宋体" w:eastAsia="宋体" w:hint="eastAsia"/>
                            <w:sz w:val="21"/>
                          </w:rPr>
                        </w:pPr>
                        <w:r>
                          <w:rPr>
                            <w:rFonts w:ascii="宋体" w:eastAsia="宋体" w:hint="eastAsia"/>
                            <w:sz w:val="21"/>
                          </w:rPr>
                          <w:t>项目</w:t>
                        </w:r>
                      </w:p>
                    </w:tc>
                    <w:tc>
                      <w:tcPr>
                        <w:tcW w:w="3224" w:type="dxa"/>
                      </w:tcPr>
                      <w:p>
                        <w:pPr>
                          <w:pStyle w:val="TableParagraph"/>
                          <w:ind w:left="1171" w:right="1162"/>
                          <w:jc w:val="center"/>
                          <w:rPr>
                            <w:rFonts w:ascii="宋体" w:eastAsia="宋体" w:hint="eastAsia"/>
                            <w:sz w:val="21"/>
                          </w:rPr>
                        </w:pPr>
                        <w:r>
                          <w:rPr>
                            <w:rFonts w:ascii="宋体" w:eastAsia="宋体" w:hint="eastAsia"/>
                            <w:sz w:val="21"/>
                          </w:rPr>
                          <w:t>费用计算</w:t>
                        </w:r>
                      </w:p>
                    </w:tc>
                  </w:tr>
                  <w:tr>
                    <w:trPr>
                      <w:trHeight w:val="312" w:hRule="atLeast"/>
                    </w:trPr>
                    <w:tc>
                      <w:tcPr>
                        <w:tcW w:w="4244" w:type="dxa"/>
                      </w:tcPr>
                      <w:p>
                        <w:pPr>
                          <w:pStyle w:val="TableParagraph"/>
                          <w:spacing w:before="23"/>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before="34"/>
                          <w:ind w:right="94"/>
                          <w:jc w:val="right"/>
                          <w:rPr>
                            <w:sz w:val="21"/>
                          </w:rPr>
                        </w:pPr>
                        <w:r>
                          <w:rPr>
                            <w:sz w:val="21"/>
                          </w:rPr>
                          <w:t>1,000.00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before="34"/>
                          <w:ind w:right="93"/>
                          <w:jc w:val="right"/>
                          <w:rPr>
                            <w:sz w:val="21"/>
                          </w:rPr>
                        </w:pPr>
                        <w:r>
                          <w:rPr>
                            <w:sz w:val="21"/>
                          </w:rPr>
                          <w:t>1.300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before="34"/>
                          <w:ind w:right="94"/>
                          <w:jc w:val="right"/>
                          <w:rPr>
                            <w:sz w:val="21"/>
                          </w:rPr>
                        </w:pPr>
                        <w:r>
                          <w:rPr>
                            <w:sz w:val="21"/>
                          </w:rPr>
                          <w:t>1,300.00</w:t>
                        </w:r>
                      </w:p>
                    </w:tc>
                  </w:tr>
                  <w:tr>
                    <w:trPr>
                      <w:trHeight w:val="314" w:hRule="atLeast"/>
                    </w:trPr>
                    <w:tc>
                      <w:tcPr>
                        <w:tcW w:w="4244" w:type="dxa"/>
                      </w:tcPr>
                      <w:p>
                        <w:pPr>
                          <w:pStyle w:val="TableParagraph"/>
                          <w:spacing w:before="25"/>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before="36"/>
                          <w:ind w:right="93"/>
                          <w:jc w:val="right"/>
                          <w:rPr>
                            <w:sz w:val="21"/>
                          </w:rPr>
                        </w:pPr>
                        <w:r>
                          <w:rPr>
                            <w:sz w:val="21"/>
                          </w:rPr>
                          <w:t>0.5%</w:t>
                        </w:r>
                      </w:p>
                    </w:tc>
                  </w:tr>
                  <w:tr>
                    <w:trPr>
                      <w:trHeight w:val="311" w:hRule="atLeast"/>
                    </w:trPr>
                    <w:tc>
                      <w:tcPr>
                        <w:tcW w:w="4244" w:type="dxa"/>
                      </w:tcPr>
                      <w:p>
                        <w:pPr>
                          <w:pStyle w:val="TableParagraph"/>
                          <w:ind w:left="107"/>
                          <w:rPr>
                            <w:sz w:val="21"/>
                          </w:rPr>
                        </w:pPr>
                        <w:r>
                          <w:rPr>
                            <w:rFonts w:ascii="宋体" w:eastAsia="宋体" w:hint="eastAsia"/>
                            <w:sz w:val="21"/>
                          </w:rPr>
                          <w:t>转出基金费用</w:t>
                        </w:r>
                        <w:r>
                          <w:rPr>
                            <w:sz w:val="21"/>
                          </w:rPr>
                          <w:t>(E=C*D)</w:t>
                        </w:r>
                      </w:p>
                    </w:tc>
                    <w:tc>
                      <w:tcPr>
                        <w:tcW w:w="3224" w:type="dxa"/>
                      </w:tcPr>
                      <w:p>
                        <w:pPr>
                          <w:pStyle w:val="TableParagraph"/>
                          <w:spacing w:before="34"/>
                          <w:ind w:right="93"/>
                          <w:jc w:val="right"/>
                          <w:rPr>
                            <w:sz w:val="21"/>
                          </w:rPr>
                        </w:pPr>
                        <w:r>
                          <w:rPr>
                            <w:sz w:val="21"/>
                          </w:rPr>
                          <w:t>6.50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before="34"/>
                          <w:ind w:right="94"/>
                          <w:jc w:val="right"/>
                          <w:rPr>
                            <w:sz w:val="21"/>
                          </w:rPr>
                        </w:pPr>
                        <w:r>
                          <w:rPr>
                            <w:sz w:val="21"/>
                          </w:rPr>
                          <w:t>1,293.50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24" w:type="dxa"/>
                      </w:tcPr>
                      <w:p>
                        <w:pPr>
                          <w:pStyle w:val="TableParagraph"/>
                          <w:spacing w:before="34"/>
                          <w:ind w:right="93"/>
                          <w:jc w:val="right"/>
                          <w:rPr>
                            <w:sz w:val="21"/>
                          </w:rPr>
                        </w:pPr>
                        <w:r>
                          <w:rPr>
                            <w:sz w:val="21"/>
                          </w:rPr>
                          <w:t>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24" w:type="dxa"/>
                      </w:tcPr>
                      <w:p>
                        <w:pPr>
                          <w:pStyle w:val="TableParagraph"/>
                          <w:spacing w:before="34"/>
                          <w:ind w:right="94"/>
                          <w:jc w:val="right"/>
                          <w:rPr>
                            <w:sz w:val="21"/>
                          </w:rPr>
                        </w:pPr>
                        <w:r>
                          <w:rPr>
                            <w:sz w:val="21"/>
                          </w:rPr>
                          <w:t>1,293.50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24" w:type="dxa"/>
                      </w:tcPr>
                      <w:p>
                        <w:pPr>
                          <w:pStyle w:val="TableParagraph"/>
                          <w:spacing w:before="34"/>
                          <w:ind w:right="93"/>
                          <w:jc w:val="right"/>
                          <w:rPr>
                            <w:sz w:val="21"/>
                          </w:rPr>
                        </w:pPr>
                        <w:r>
                          <w:rPr>
                            <w:sz w:val="21"/>
                          </w:rPr>
                          <w:t>1.500</w:t>
                        </w:r>
                      </w:p>
                    </w:tc>
                  </w:tr>
                  <w:tr>
                    <w:trPr>
                      <w:trHeight w:val="313" w:hRule="atLeast"/>
                    </w:trPr>
                    <w:tc>
                      <w:tcPr>
                        <w:tcW w:w="4244" w:type="dxa"/>
                      </w:tcPr>
                      <w:p>
                        <w:pPr>
                          <w:pStyle w:val="TableParagraph"/>
                          <w:spacing w:before="25"/>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24" w:type="dxa"/>
                      </w:tcPr>
                      <w:p>
                        <w:pPr>
                          <w:pStyle w:val="TableParagraph"/>
                          <w:spacing w:before="36"/>
                          <w:ind w:right="93"/>
                          <w:jc w:val="right"/>
                          <w:rPr>
                            <w:sz w:val="21"/>
                          </w:rPr>
                        </w:pPr>
                        <w:r>
                          <w:rPr>
                            <w:sz w:val="21"/>
                          </w:rPr>
                          <w:t>862.33</w:t>
                        </w:r>
                      </w:p>
                    </w:tc>
                  </w:tr>
                </w:tbl>
                <w:p>
                  <w:pPr>
                    <w:pStyle w:val="BodyText"/>
                  </w:pPr>
                </w:p>
              </w:txbxContent>
            </v:textbox>
            <w10:wrap type="none"/>
          </v:shape>
        </w:pict>
      </w:r>
      <w:r>
        <w:rPr>
          <w:spacing w:val="-7"/>
        </w:rPr>
        <w:t>例四：假定投资者在 </w:t>
      </w:r>
      <w:r>
        <w:rPr>
          <w:rFonts w:ascii="Times New Roman" w:eastAsia="Times New Roman"/>
        </w:rPr>
        <w:t>T </w:t>
      </w:r>
      <w:r>
        <w:rPr>
          <w:spacing w:val="-7"/>
        </w:rPr>
        <w:t>日转出前端收费基金甲 </w:t>
      </w:r>
      <w:r>
        <w:rPr>
          <w:rFonts w:ascii="Times New Roman" w:eastAsia="Times New Roman"/>
        </w:rPr>
        <w:t>1,000 </w:t>
      </w:r>
      <w:r>
        <w:rPr>
          <w:spacing w:val="-3"/>
        </w:rPr>
        <w:t>份，转入不收取申购费用基金乙。</w:t>
      </w:r>
      <w:r>
        <w:rPr>
          <w:rFonts w:ascii="Times New Roman" w:eastAsia="Times New Roman"/>
          <w:spacing w:val="-3"/>
        </w:rPr>
        <w:t>T </w:t>
      </w:r>
      <w:r>
        <w:rPr>
          <w:spacing w:val="-5"/>
        </w:rPr>
        <w:t>日甲、乙基金基金份额净值分别为 </w:t>
      </w:r>
      <w:r>
        <w:rPr>
          <w:rFonts w:ascii="Times New Roman" w:eastAsia="Times New Roman"/>
        </w:rPr>
        <w:t>1.300</w:t>
      </w:r>
      <w:r>
        <w:rPr/>
        <w:t>、</w:t>
      </w:r>
      <w:r>
        <w:rPr>
          <w:rFonts w:ascii="Times New Roman" w:eastAsia="Times New Roman"/>
        </w:rPr>
        <w:t>1.500 </w:t>
      </w:r>
      <w:r>
        <w:rPr>
          <w:spacing w:val="-6"/>
        </w:rPr>
        <w:t>元。甲基金赎回费率为 </w:t>
      </w:r>
      <w:r>
        <w:rPr>
          <w:rFonts w:ascii="Times New Roman" w:eastAsia="Times New Roman"/>
        </w:rPr>
        <w:t>0.5%</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spacing w:line="417" w:lineRule="auto"/>
        <w:ind w:left="778" w:right="888" w:firstLine="419"/>
        <w:jc w:val="both"/>
      </w:pPr>
      <w:r>
        <w:rPr>
          <w:spacing w:val="2"/>
          <w:w w:val="100"/>
        </w:rPr>
        <w:t>例五：假定投资者在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3"/>
          <w:w w:val="100"/>
        </w:rPr>
        <w:t>份甲基金基金份额（前端收费模式</w:t>
      </w:r>
      <w:r>
        <w:rPr>
          <w:spacing w:val="-108"/>
          <w:w w:val="100"/>
        </w:rPr>
        <w:t>）</w:t>
      </w:r>
      <w:r>
        <w:rPr>
          <w:spacing w:val="-3"/>
          <w:w w:val="100"/>
        </w:rPr>
        <w:t>，甲基金</w:t>
      </w:r>
      <w:r>
        <w:rPr>
          <w:spacing w:val="-7"/>
        </w:rPr>
        <w:t>申购费率适用固定费用，该日甲基金基金份额净值为 </w:t>
      </w:r>
      <w:r>
        <w:rPr>
          <w:rFonts w:ascii="Times New Roman" w:eastAsia="Times New Roman"/>
        </w:rPr>
        <w:t>1.200 </w:t>
      </w:r>
      <w:r>
        <w:rPr>
          <w:spacing w:val="-6"/>
        </w:rPr>
        <w:t>元。甲基金前端申购费率最高档</w:t>
      </w:r>
      <w:r>
        <w:rPr>
          <w:spacing w:val="-30"/>
        </w:rPr>
        <w:t>为 </w:t>
      </w:r>
      <w:r>
        <w:rPr>
          <w:rFonts w:ascii="Times New Roman" w:eastAsia="Times New Roman"/>
        </w:rPr>
        <w:t>1.2%</w:t>
      </w:r>
      <w:r>
        <w:rPr>
          <w:spacing w:val="-11"/>
        </w:rPr>
        <w:t>，赎回费率为 </w:t>
      </w:r>
      <w:r>
        <w:rPr>
          <w:rFonts w:ascii="Times New Roman" w:eastAsia="Times New Roman"/>
        </w:rPr>
        <w:t>0.5%</w:t>
      </w:r>
      <w:r>
        <w:rPr/>
        <w:t>。</w:t>
      </w:r>
    </w:p>
    <w:p>
      <w:pPr>
        <w:pStyle w:val="ListParagraph"/>
        <w:numPr>
          <w:ilvl w:val="0"/>
          <w:numId w:val="18"/>
        </w:numPr>
        <w:tabs>
          <w:tab w:pos="1727" w:val="left" w:leader="none"/>
        </w:tabs>
        <w:spacing w:line="417" w:lineRule="auto" w:before="0" w:after="0"/>
        <w:ind w:left="778" w:right="889" w:firstLine="419"/>
        <w:jc w:val="both"/>
        <w:rPr>
          <w:sz w:val="21"/>
        </w:rPr>
      </w:pPr>
      <w:r>
        <w:rPr/>
        <w:pict>
          <v:shape style="position:absolute;margin-left:110.540001pt;margin-top:65.220032pt;width:374.75pt;height:193.75pt;mso-position-horizontal-relative:page;mso-position-vertical-relative:paragraph;z-index:2516705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68"/>
                    <w:gridCol w:w="3212"/>
                  </w:tblGrid>
                  <w:tr>
                    <w:trPr>
                      <w:trHeight w:val="311" w:hRule="atLeast"/>
                    </w:trPr>
                    <w:tc>
                      <w:tcPr>
                        <w:tcW w:w="4268" w:type="dxa"/>
                      </w:tcPr>
                      <w:p>
                        <w:pPr>
                          <w:pStyle w:val="TableParagraph"/>
                          <w:ind w:left="1904" w:right="1894"/>
                          <w:jc w:val="center"/>
                          <w:rPr>
                            <w:rFonts w:ascii="宋体" w:eastAsia="宋体" w:hint="eastAsia"/>
                            <w:sz w:val="21"/>
                          </w:rPr>
                        </w:pPr>
                        <w:r>
                          <w:rPr>
                            <w:rFonts w:ascii="宋体" w:eastAsia="宋体" w:hint="eastAsia"/>
                            <w:sz w:val="21"/>
                          </w:rPr>
                          <w:t>项目</w:t>
                        </w:r>
                      </w:p>
                    </w:tc>
                    <w:tc>
                      <w:tcPr>
                        <w:tcW w:w="3212" w:type="dxa"/>
                      </w:tcPr>
                      <w:p>
                        <w:pPr>
                          <w:pStyle w:val="TableParagraph"/>
                          <w:ind w:left="1108" w:right="1102"/>
                          <w:jc w:val="center"/>
                          <w:rPr>
                            <w:rFonts w:ascii="宋体" w:eastAsia="宋体" w:hint="eastAsia"/>
                            <w:sz w:val="21"/>
                          </w:rPr>
                        </w:pPr>
                        <w:r>
                          <w:rPr>
                            <w:rFonts w:ascii="宋体" w:eastAsia="宋体" w:hint="eastAsia"/>
                            <w:sz w:val="21"/>
                          </w:rPr>
                          <w:t>费用计算</w:t>
                        </w:r>
                      </w:p>
                    </w:tc>
                  </w:tr>
                  <w:tr>
                    <w:trPr>
                      <w:trHeight w:val="312" w:hRule="atLeast"/>
                    </w:trPr>
                    <w:tc>
                      <w:tcPr>
                        <w:tcW w:w="4268" w:type="dxa"/>
                      </w:tcPr>
                      <w:p>
                        <w:pPr>
                          <w:pStyle w:val="TableParagraph"/>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2" w:type="dxa"/>
                      </w:tcPr>
                      <w:p>
                        <w:pPr>
                          <w:pStyle w:val="TableParagraph"/>
                          <w:spacing w:before="34"/>
                          <w:ind w:right="96"/>
                          <w:jc w:val="right"/>
                          <w:rPr>
                            <w:sz w:val="21"/>
                          </w:rPr>
                        </w:pPr>
                        <w:r>
                          <w:rPr>
                            <w:sz w:val="21"/>
                          </w:rPr>
                          <w:t>10,000,000.00</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2" w:type="dxa"/>
                      </w:tcPr>
                      <w:p>
                        <w:pPr>
                          <w:pStyle w:val="TableParagraph"/>
                          <w:spacing w:before="34"/>
                          <w:ind w:right="96"/>
                          <w:jc w:val="right"/>
                          <w:rPr>
                            <w:sz w:val="21"/>
                          </w:rPr>
                        </w:pPr>
                        <w:r>
                          <w:rPr>
                            <w:sz w:val="21"/>
                          </w:rPr>
                          <w:t>1.200</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2" w:type="dxa"/>
                      </w:tcPr>
                      <w:p>
                        <w:pPr>
                          <w:pStyle w:val="TableParagraph"/>
                          <w:spacing w:before="34"/>
                          <w:ind w:right="96"/>
                          <w:jc w:val="right"/>
                          <w:rPr>
                            <w:sz w:val="21"/>
                          </w:rPr>
                        </w:pPr>
                        <w:r>
                          <w:rPr>
                            <w:sz w:val="21"/>
                          </w:rPr>
                          <w:t>12,000,000.00</w:t>
                        </w:r>
                      </w:p>
                    </w:tc>
                  </w:tr>
                  <w:tr>
                    <w:trPr>
                      <w:trHeight w:val="314" w:hRule="atLeast"/>
                    </w:trPr>
                    <w:tc>
                      <w:tcPr>
                        <w:tcW w:w="4268" w:type="dxa"/>
                      </w:tcPr>
                      <w:p>
                        <w:pPr>
                          <w:pStyle w:val="TableParagraph"/>
                          <w:spacing w:before="25"/>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2" w:type="dxa"/>
                      </w:tcPr>
                      <w:p>
                        <w:pPr>
                          <w:pStyle w:val="TableParagraph"/>
                          <w:spacing w:before="36"/>
                          <w:ind w:right="95"/>
                          <w:jc w:val="right"/>
                          <w:rPr>
                            <w:sz w:val="21"/>
                          </w:rPr>
                        </w:pPr>
                        <w:r>
                          <w:rPr>
                            <w:sz w:val="21"/>
                          </w:rPr>
                          <w:t>0.5%</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2" w:type="dxa"/>
                      </w:tcPr>
                      <w:p>
                        <w:pPr>
                          <w:pStyle w:val="TableParagraph"/>
                          <w:spacing w:before="34"/>
                          <w:ind w:right="96"/>
                          <w:jc w:val="right"/>
                          <w:rPr>
                            <w:sz w:val="21"/>
                          </w:rPr>
                        </w:pPr>
                        <w:r>
                          <w:rPr>
                            <w:sz w:val="21"/>
                          </w:rPr>
                          <w:t>60,000.00</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2" w:type="dxa"/>
                      </w:tcPr>
                      <w:p>
                        <w:pPr>
                          <w:pStyle w:val="TableParagraph"/>
                          <w:spacing w:before="34"/>
                          <w:ind w:right="96"/>
                          <w:jc w:val="right"/>
                          <w:rPr>
                            <w:sz w:val="21"/>
                          </w:rPr>
                        </w:pPr>
                        <w:r>
                          <w:rPr>
                            <w:sz w:val="21"/>
                          </w:rPr>
                          <w:t>11,940,000.00</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12" w:type="dxa"/>
                      </w:tcPr>
                      <w:p>
                        <w:pPr>
                          <w:pStyle w:val="TableParagraph"/>
                          <w:spacing w:before="34"/>
                          <w:ind w:right="96"/>
                          <w:jc w:val="right"/>
                          <w:rPr>
                            <w:sz w:val="21"/>
                          </w:rPr>
                        </w:pPr>
                        <w:r>
                          <w:rPr>
                            <w:sz w:val="21"/>
                          </w:rPr>
                          <w:t>1.5%-1.2%=0.3%</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12" w:type="dxa"/>
                      </w:tcPr>
                      <w:p>
                        <w:pPr>
                          <w:pStyle w:val="TableParagraph"/>
                          <w:spacing w:before="34"/>
                          <w:ind w:right="96"/>
                          <w:jc w:val="right"/>
                          <w:rPr>
                            <w:sz w:val="21"/>
                          </w:rPr>
                        </w:pPr>
                        <w:r>
                          <w:rPr>
                            <w:sz w:val="21"/>
                          </w:rPr>
                          <w:t>11,904,287.14</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12" w:type="dxa"/>
                      </w:tcPr>
                      <w:p>
                        <w:pPr>
                          <w:pStyle w:val="TableParagraph"/>
                          <w:spacing w:before="34"/>
                          <w:ind w:right="96"/>
                          <w:jc w:val="right"/>
                          <w:rPr>
                            <w:sz w:val="21"/>
                          </w:rPr>
                        </w:pPr>
                        <w:r>
                          <w:rPr>
                            <w:sz w:val="21"/>
                          </w:rPr>
                          <w:t>35,712.86</w:t>
                        </w:r>
                      </w:p>
                    </w:tc>
                  </w:tr>
                  <w:tr>
                    <w:trPr>
                      <w:trHeight w:val="314" w:hRule="atLeast"/>
                    </w:trPr>
                    <w:tc>
                      <w:tcPr>
                        <w:tcW w:w="4268" w:type="dxa"/>
                      </w:tcPr>
                      <w:p>
                        <w:pPr>
                          <w:pStyle w:val="TableParagraph"/>
                          <w:spacing w:before="25"/>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12" w:type="dxa"/>
                      </w:tcPr>
                      <w:p>
                        <w:pPr>
                          <w:pStyle w:val="TableParagraph"/>
                          <w:spacing w:before="36"/>
                          <w:ind w:right="96"/>
                          <w:jc w:val="right"/>
                          <w:rPr>
                            <w:sz w:val="21"/>
                          </w:rPr>
                        </w:pPr>
                        <w:r>
                          <w:rPr>
                            <w:sz w:val="21"/>
                          </w:rPr>
                          <w:t>1.300</w:t>
                        </w:r>
                      </w:p>
                    </w:tc>
                  </w:tr>
                  <w:tr>
                    <w:trPr>
                      <w:trHeight w:val="311" w:hRule="atLeast"/>
                    </w:trPr>
                    <w:tc>
                      <w:tcPr>
                        <w:tcW w:w="4268" w:type="dxa"/>
                      </w:tcPr>
                      <w:p>
                        <w:pPr>
                          <w:pStyle w:val="TableParagraph"/>
                          <w:ind w:left="107"/>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12" w:type="dxa"/>
                      </w:tcPr>
                      <w:p>
                        <w:pPr>
                          <w:pStyle w:val="TableParagraph"/>
                          <w:spacing w:before="34"/>
                          <w:ind w:right="96"/>
                          <w:jc w:val="right"/>
                          <w:rPr>
                            <w:sz w:val="21"/>
                          </w:rPr>
                        </w:pPr>
                        <w:r>
                          <w:rPr>
                            <w:sz w:val="21"/>
                          </w:rPr>
                          <w:t>9,157,143.95</w:t>
                        </w:r>
                      </w:p>
                    </w:tc>
                  </w:tr>
                </w:tbl>
                <w:p>
                  <w:pPr>
                    <w:pStyle w:val="BodyText"/>
                  </w:pPr>
                </w:p>
              </w:txbxContent>
            </v:textbox>
            <w10:wrap type="none"/>
          </v:shape>
        </w:pict>
      </w:r>
      <w:r>
        <w:rPr>
          <w:w w:val="100"/>
          <w:sz w:val="21"/>
        </w:rPr>
        <w:t>若</w:t>
      </w:r>
      <w:r>
        <w:rPr>
          <w:spacing w:val="-5"/>
          <w:sz w:val="21"/>
        </w:rPr>
        <w:t> </w:t>
      </w:r>
      <w:r>
        <w:rPr>
          <w:rFonts w:ascii="Times New Roman" w:eastAsia="Times New Roman"/>
          <w:w w:val="100"/>
          <w:sz w:val="21"/>
        </w:rPr>
        <w:t>T</w:t>
      </w:r>
      <w:r>
        <w:rPr>
          <w:rFonts w:ascii="Times New Roman" w:eastAsia="Times New Roman"/>
          <w:spacing w:val="-3"/>
          <w:sz w:val="21"/>
        </w:rPr>
        <w:t>  </w:t>
      </w:r>
      <w:r>
        <w:rPr>
          <w:spacing w:val="-3"/>
          <w:w w:val="100"/>
          <w:sz w:val="21"/>
        </w:rPr>
        <w:t>日转入乙基金</w:t>
      </w:r>
      <w:r>
        <w:rPr>
          <w:w w:val="100"/>
          <w:sz w:val="21"/>
        </w:rPr>
        <w:t>（</w:t>
      </w:r>
      <w:r>
        <w:rPr>
          <w:spacing w:val="-3"/>
          <w:w w:val="100"/>
          <w:sz w:val="21"/>
        </w:rPr>
        <w:t>前端收费模式</w:t>
      </w:r>
      <w:r>
        <w:rPr>
          <w:spacing w:val="-106"/>
          <w:w w:val="100"/>
          <w:sz w:val="21"/>
        </w:rPr>
        <w:t>）</w:t>
      </w:r>
      <w:r>
        <w:rPr>
          <w:spacing w:val="-3"/>
          <w:w w:val="100"/>
          <w:sz w:val="21"/>
        </w:rPr>
        <w:t>，且乙基金申购费率适用比例费率，乙基金</w:t>
      </w:r>
      <w:r>
        <w:rPr>
          <w:spacing w:val="-4"/>
          <w:sz w:val="21"/>
        </w:rPr>
        <w:t>前端申购费率最高档为 </w:t>
      </w:r>
      <w:r>
        <w:rPr>
          <w:rFonts w:ascii="Times New Roman" w:eastAsia="Times New Roman"/>
          <w:sz w:val="21"/>
        </w:rPr>
        <w:t>1.5%</w:t>
      </w:r>
      <w:r>
        <w:rPr>
          <w:spacing w:val="-4"/>
          <w:sz w:val="21"/>
        </w:rPr>
        <w:t>，该日乙基金基金份额净值为 </w:t>
      </w:r>
      <w:r>
        <w:rPr>
          <w:rFonts w:ascii="Times New Roman" w:eastAsia="Times New Roman"/>
          <w:sz w:val="21"/>
        </w:rPr>
        <w:t>1.300</w:t>
      </w:r>
      <w:r>
        <w:rPr>
          <w:rFonts w:ascii="Times New Roman" w:eastAsia="Times New Roman"/>
          <w:spacing w:val="45"/>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ListParagraph"/>
        <w:numPr>
          <w:ilvl w:val="0"/>
          <w:numId w:val="18"/>
        </w:numPr>
        <w:tabs>
          <w:tab w:pos="1727" w:val="left" w:leader="none"/>
        </w:tabs>
        <w:spacing w:line="240" w:lineRule="auto" w:before="0" w:after="0"/>
        <w:ind w:left="1727" w:right="0" w:hanging="1421"/>
        <w:jc w:val="left"/>
        <w:rPr>
          <w:sz w:val="21"/>
        </w:rPr>
      </w:pPr>
      <w:r>
        <w:rPr>
          <w:w w:val="100"/>
          <w:sz w:val="21"/>
        </w:rPr>
        <w:t>若</w:t>
      </w:r>
      <w:r>
        <w:rPr>
          <w:spacing w:val="-5"/>
          <w:sz w:val="21"/>
        </w:rPr>
        <w:t> </w:t>
      </w:r>
      <w:r>
        <w:rPr>
          <w:rFonts w:ascii="Times New Roman" w:eastAsia="Times New Roman"/>
          <w:w w:val="100"/>
          <w:sz w:val="21"/>
        </w:rPr>
        <w:t>T</w:t>
      </w:r>
      <w:r>
        <w:rPr>
          <w:rFonts w:ascii="Times New Roman" w:eastAsia="Times New Roman"/>
          <w:spacing w:val="-3"/>
          <w:sz w:val="21"/>
        </w:rPr>
        <w:t>  </w:t>
      </w:r>
      <w:r>
        <w:rPr>
          <w:spacing w:val="-3"/>
          <w:w w:val="100"/>
          <w:sz w:val="21"/>
        </w:rPr>
        <w:t>日转入丙基金</w:t>
      </w:r>
      <w:r>
        <w:rPr>
          <w:w w:val="100"/>
          <w:sz w:val="21"/>
        </w:rPr>
        <w:t>（</w:t>
      </w:r>
      <w:r>
        <w:rPr>
          <w:spacing w:val="-3"/>
          <w:w w:val="100"/>
          <w:sz w:val="21"/>
        </w:rPr>
        <w:t>前端收费模式</w:t>
      </w:r>
      <w:r>
        <w:rPr>
          <w:spacing w:val="-106"/>
          <w:w w:val="100"/>
          <w:sz w:val="21"/>
        </w:rPr>
        <w:t>）</w:t>
      </w:r>
      <w:r>
        <w:rPr>
          <w:spacing w:val="-3"/>
          <w:w w:val="100"/>
          <w:sz w:val="21"/>
        </w:rPr>
        <w:t>，且丙基金申购费率适用比例费率，丙基金</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BodyText"/>
        <w:spacing w:line="417" w:lineRule="auto" w:before="78"/>
        <w:ind w:left="778" w:right="889"/>
      </w:pPr>
      <w:r>
        <w:rPr/>
        <w:pict>
          <v:shape style="position:absolute;margin-left:110.779999pt;margin-top:45.720001pt;width:374.25pt;height:193.75pt;mso-position-horizontal-relative:page;mso-position-vertical-relative:paragraph;z-index:25167155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6"/>
                  </w:tblGrid>
                  <w:tr>
                    <w:trPr>
                      <w:trHeight w:val="311" w:hRule="atLeast"/>
                    </w:trPr>
                    <w:tc>
                      <w:tcPr>
                        <w:tcW w:w="4244" w:type="dxa"/>
                      </w:tcPr>
                      <w:p>
                        <w:pPr>
                          <w:pStyle w:val="TableParagraph"/>
                          <w:spacing w:line="250" w:lineRule="exact" w:before="42"/>
                          <w:ind w:left="1774" w:right="1764"/>
                          <w:jc w:val="center"/>
                          <w:rPr>
                            <w:rFonts w:ascii="宋体" w:eastAsia="宋体" w:hint="eastAsia"/>
                            <w:sz w:val="21"/>
                          </w:rPr>
                        </w:pPr>
                        <w:r>
                          <w:rPr>
                            <w:rFonts w:ascii="宋体" w:eastAsia="宋体" w:hint="eastAsia"/>
                            <w:sz w:val="21"/>
                          </w:rPr>
                          <w:t>项目</w:t>
                        </w:r>
                      </w:p>
                    </w:tc>
                    <w:tc>
                      <w:tcPr>
                        <w:tcW w:w="3226" w:type="dxa"/>
                      </w:tcPr>
                      <w:p>
                        <w:pPr>
                          <w:pStyle w:val="TableParagraph"/>
                          <w:spacing w:line="250" w:lineRule="exact" w:before="42"/>
                          <w:ind w:left="1173" w:right="1161"/>
                          <w:jc w:val="center"/>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10,000,000.00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1.200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12,000,000.00</w:t>
                        </w:r>
                      </w:p>
                    </w:tc>
                  </w:tr>
                  <w:tr>
                    <w:trPr>
                      <w:trHeight w:val="314" w:hRule="atLeast"/>
                    </w:trPr>
                    <w:tc>
                      <w:tcPr>
                        <w:tcW w:w="4244" w:type="dxa"/>
                      </w:tcPr>
                      <w:p>
                        <w:pPr>
                          <w:pStyle w:val="TableParagraph"/>
                          <w:spacing w:line="250" w:lineRule="exact" w:before="44"/>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6" w:type="dxa"/>
                      </w:tcPr>
                      <w:p>
                        <w:pPr>
                          <w:pStyle w:val="TableParagraph"/>
                          <w:spacing w:line="226" w:lineRule="exact" w:before="67"/>
                          <w:ind w:right="92"/>
                          <w:jc w:val="right"/>
                          <w:rPr>
                            <w:sz w:val="21"/>
                          </w:rPr>
                        </w:pPr>
                        <w:r>
                          <w:rPr>
                            <w:sz w:val="21"/>
                          </w:rPr>
                          <w:t>0.5%</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60,000.00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11,940,000.00</w:t>
                        </w:r>
                      </w:p>
                    </w:tc>
                  </w:tr>
                  <w:tr>
                    <w:trPr>
                      <w:trHeight w:val="312"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转入时收取申购费率（</w:t>
                        </w:r>
                        <w:r>
                          <w:rPr>
                            <w:sz w:val="21"/>
                          </w:rPr>
                          <w:t>G</w:t>
                        </w:r>
                        <w:r>
                          <w:rPr>
                            <w:rFonts w:ascii="宋体" w:eastAsia="宋体" w:hint="eastAsia"/>
                            <w:sz w:val="21"/>
                          </w:rPr>
                          <w:t>）</w:t>
                        </w:r>
                      </w:p>
                    </w:tc>
                    <w:tc>
                      <w:tcPr>
                        <w:tcW w:w="3226" w:type="dxa"/>
                      </w:tcPr>
                      <w:p>
                        <w:pPr>
                          <w:pStyle w:val="TableParagraph"/>
                          <w:spacing w:line="227" w:lineRule="exact" w:before="65"/>
                          <w:ind w:right="92"/>
                          <w:jc w:val="right"/>
                          <w:rPr>
                            <w:sz w:val="21"/>
                          </w:rPr>
                        </w:pPr>
                        <w:r>
                          <w:rPr>
                            <w:sz w:val="21"/>
                          </w:rPr>
                          <w:t>0.00%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净转入金额（</w:t>
                        </w:r>
                        <w:r>
                          <w:rPr>
                            <w:sz w:val="21"/>
                          </w:rPr>
                          <w:t>H=F/(1+G)</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11,940,000.00</w:t>
                        </w:r>
                      </w:p>
                    </w:tc>
                  </w:tr>
                  <w:tr>
                    <w:trPr>
                      <w:trHeight w:val="314" w:hRule="atLeast"/>
                    </w:trPr>
                    <w:tc>
                      <w:tcPr>
                        <w:tcW w:w="4244" w:type="dxa"/>
                      </w:tcPr>
                      <w:p>
                        <w:pPr>
                          <w:pStyle w:val="TableParagraph"/>
                          <w:spacing w:line="250" w:lineRule="exact" w:before="44"/>
                          <w:ind w:left="107"/>
                          <w:rPr>
                            <w:rFonts w:ascii="宋体" w:eastAsia="宋体" w:hint="eastAsia"/>
                            <w:sz w:val="21"/>
                          </w:rPr>
                        </w:pPr>
                        <w:r>
                          <w:rPr>
                            <w:rFonts w:ascii="宋体" w:eastAsia="宋体" w:hint="eastAsia"/>
                            <w:sz w:val="21"/>
                          </w:rPr>
                          <w:t>转入基金费用（</w:t>
                        </w:r>
                        <w:r>
                          <w:rPr>
                            <w:sz w:val="21"/>
                          </w:rPr>
                          <w:t>I=F-H</w:t>
                        </w:r>
                        <w:r>
                          <w:rPr>
                            <w:rFonts w:ascii="宋体" w:eastAsia="宋体" w:hint="eastAsia"/>
                            <w:sz w:val="21"/>
                          </w:rPr>
                          <w:t>）</w:t>
                        </w:r>
                      </w:p>
                    </w:tc>
                    <w:tc>
                      <w:tcPr>
                        <w:tcW w:w="3226" w:type="dxa"/>
                      </w:tcPr>
                      <w:p>
                        <w:pPr>
                          <w:pStyle w:val="TableParagraph"/>
                          <w:spacing w:line="226" w:lineRule="exact" w:before="67"/>
                          <w:ind w:right="93"/>
                          <w:jc w:val="right"/>
                          <w:rPr>
                            <w:sz w:val="21"/>
                          </w:rPr>
                        </w:pPr>
                        <w:r>
                          <w:rPr>
                            <w:sz w:val="21"/>
                          </w:rPr>
                          <w:t>0.00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1.300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转入基金份额（</w:t>
                        </w:r>
                        <w:r>
                          <w:rPr>
                            <w:sz w:val="21"/>
                          </w:rPr>
                          <w:t>K=H/J</w:t>
                        </w:r>
                        <w:r>
                          <w:rPr>
                            <w:rFonts w:ascii="宋体" w:eastAsia="宋体" w:hint="eastAsia"/>
                            <w:sz w:val="21"/>
                          </w:rPr>
                          <w:t>）</w:t>
                        </w:r>
                      </w:p>
                    </w:tc>
                    <w:tc>
                      <w:tcPr>
                        <w:tcW w:w="3226" w:type="dxa"/>
                      </w:tcPr>
                      <w:p>
                        <w:pPr>
                          <w:pStyle w:val="TableParagraph"/>
                          <w:spacing w:line="226" w:lineRule="exact" w:before="65"/>
                          <w:ind w:right="93"/>
                          <w:jc w:val="right"/>
                          <w:rPr>
                            <w:sz w:val="21"/>
                          </w:rPr>
                        </w:pPr>
                        <w:r>
                          <w:rPr>
                            <w:sz w:val="21"/>
                          </w:rPr>
                          <w:t>9,184,615.38</w:t>
                        </w:r>
                      </w:p>
                    </w:tc>
                  </w:tr>
                </w:tbl>
                <w:p>
                  <w:pPr>
                    <w:pStyle w:val="BodyText"/>
                  </w:pPr>
                </w:p>
              </w:txbxContent>
            </v:textbox>
            <w10:wrap type="none"/>
          </v:shape>
        </w:pict>
      </w:r>
      <w:r>
        <w:rPr/>
        <w:t>前端申购费率最高档为 </w:t>
      </w:r>
      <w:r>
        <w:rPr>
          <w:rFonts w:ascii="Times New Roman" w:eastAsia="Times New Roman"/>
        </w:rPr>
        <w:t>1.0%</w:t>
      </w:r>
      <w:r>
        <w:rPr/>
        <w:t>，该日丙基金基金份额净值为 </w:t>
      </w:r>
      <w:r>
        <w:rPr>
          <w:rFonts w:ascii="Times New Roman" w:eastAsia="Times New Roman"/>
        </w:rPr>
        <w:t>1.300 </w:t>
      </w:r>
      <w:r>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BodyText"/>
        <w:spacing w:line="417" w:lineRule="auto"/>
        <w:ind w:left="778" w:right="891" w:firstLine="419"/>
        <w:jc w:val="both"/>
      </w:pPr>
      <w:r>
        <w:rPr>
          <w:spacing w:val="2"/>
          <w:w w:val="100"/>
        </w:rPr>
        <w:t>例六：假定投资者在</w:t>
      </w:r>
      <w:r>
        <w:rPr>
          <w:rFonts w:ascii="Times New Roman" w:eastAsia="Times New Roman"/>
          <w:w w:val="100"/>
        </w:rPr>
        <w:t>T</w:t>
      </w:r>
      <w:r>
        <w:rPr>
          <w:rFonts w:ascii="Times New Roman" w:eastAsia="Times New Roman"/>
        </w:rPr>
        <w:t> </w:t>
      </w:r>
      <w:r>
        <w:rPr>
          <w:spacing w:val="-2"/>
          <w:w w:val="100"/>
        </w:rPr>
        <w:t>日转出</w:t>
      </w:r>
      <w:r>
        <w:rPr>
          <w:spacing w:val="-53"/>
        </w:rPr>
        <w:t> </w:t>
      </w:r>
      <w:r>
        <w:rPr>
          <w:rFonts w:ascii="Times New Roman" w:eastAsia="Times New Roman"/>
          <w:spacing w:val="-3"/>
          <w:w w:val="100"/>
        </w:rPr>
        <w:t>1</w:t>
      </w:r>
      <w:r>
        <w:rPr>
          <w:rFonts w:ascii="Times New Roman" w:eastAsia="Times New Roman"/>
          <w:w w:val="100"/>
        </w:rPr>
        <w:t>0,00</w:t>
      </w:r>
      <w:r>
        <w:rPr>
          <w:rFonts w:ascii="Times New Roman" w:eastAsia="Times New Roman"/>
          <w:spacing w:val="-3"/>
          <w:w w:val="100"/>
        </w:rPr>
        <w:t>0</w:t>
      </w:r>
      <w:r>
        <w:rPr>
          <w:rFonts w:ascii="Times New Roman" w:eastAsia="Times New Roman"/>
          <w:w w:val="100"/>
        </w:rPr>
        <w:t>,000</w:t>
      </w:r>
      <w:r>
        <w:rPr>
          <w:rFonts w:ascii="Times New Roman" w:eastAsia="Times New Roman"/>
        </w:rPr>
        <w:t> </w:t>
      </w:r>
      <w:r>
        <w:rPr>
          <w:spacing w:val="-3"/>
          <w:w w:val="100"/>
        </w:rPr>
        <w:t>份甲基金基金份额（前端收费模式</w:t>
      </w:r>
      <w:r>
        <w:rPr>
          <w:spacing w:val="-108"/>
          <w:w w:val="100"/>
        </w:rPr>
        <w:t>）</w:t>
      </w:r>
      <w:r>
        <w:rPr>
          <w:spacing w:val="-3"/>
          <w:w w:val="100"/>
        </w:rPr>
        <w:t>，该日甲</w:t>
      </w:r>
      <w:r>
        <w:rPr>
          <w:spacing w:val="-8"/>
        </w:rPr>
        <w:t>基金基金份额净值为 </w:t>
      </w:r>
      <w:r>
        <w:rPr>
          <w:rFonts w:ascii="Times New Roman" w:eastAsia="Times New Roman"/>
        </w:rPr>
        <w:t>1.200 </w:t>
      </w:r>
      <w:r>
        <w:rPr>
          <w:spacing w:val="-8"/>
        </w:rPr>
        <w:t>元。甲基金赎回费率为 </w:t>
      </w:r>
      <w:r>
        <w:rPr>
          <w:rFonts w:ascii="Times New Roman" w:eastAsia="Times New Roman"/>
        </w:rPr>
        <w:t>0.5%</w:t>
      </w:r>
      <w:r>
        <w:rPr/>
        <w:t>。</w:t>
      </w:r>
    </w:p>
    <w:p>
      <w:pPr>
        <w:pStyle w:val="ListParagraph"/>
        <w:numPr>
          <w:ilvl w:val="0"/>
          <w:numId w:val="19"/>
        </w:numPr>
        <w:tabs>
          <w:tab w:pos="1727" w:val="left" w:leader="none"/>
        </w:tabs>
        <w:spacing w:line="417" w:lineRule="auto" w:before="0" w:after="0"/>
        <w:ind w:left="778" w:right="889" w:firstLine="419"/>
        <w:jc w:val="both"/>
        <w:rPr>
          <w:sz w:val="21"/>
        </w:rPr>
      </w:pPr>
      <w:r>
        <w:rPr/>
        <w:pict>
          <v:shape style="position:absolute;margin-left:111.019997pt;margin-top:65.240021pt;width:373.65pt;height:177.65pt;mso-position-horizontal-relative:page;mso-position-vertical-relative:paragraph;z-index:25167257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9"/>
                    <w:gridCol w:w="3219"/>
                  </w:tblGrid>
                  <w:tr>
                    <w:trPr>
                      <w:trHeight w:val="311" w:hRule="atLeast"/>
                    </w:trPr>
                    <w:tc>
                      <w:tcPr>
                        <w:tcW w:w="4239" w:type="dxa"/>
                      </w:tcPr>
                      <w:p>
                        <w:pPr>
                          <w:pStyle w:val="TableParagraph"/>
                          <w:ind w:left="1889" w:right="1879"/>
                          <w:jc w:val="center"/>
                          <w:rPr>
                            <w:rFonts w:ascii="宋体" w:eastAsia="宋体" w:hint="eastAsia"/>
                            <w:sz w:val="21"/>
                          </w:rPr>
                        </w:pPr>
                        <w:r>
                          <w:rPr>
                            <w:rFonts w:ascii="宋体" w:eastAsia="宋体" w:hint="eastAsia"/>
                            <w:sz w:val="21"/>
                          </w:rPr>
                          <w:t>项目</w:t>
                        </w:r>
                      </w:p>
                    </w:tc>
                    <w:tc>
                      <w:tcPr>
                        <w:tcW w:w="3219" w:type="dxa"/>
                      </w:tcPr>
                      <w:p>
                        <w:pPr>
                          <w:pStyle w:val="TableParagraph"/>
                          <w:ind w:left="1169" w:right="1160"/>
                          <w:jc w:val="center"/>
                          <w:rPr>
                            <w:rFonts w:ascii="宋体" w:eastAsia="宋体" w:hint="eastAsia"/>
                            <w:sz w:val="21"/>
                          </w:rPr>
                        </w:pPr>
                        <w:r>
                          <w:rPr>
                            <w:rFonts w:ascii="宋体" w:eastAsia="宋体" w:hint="eastAsia"/>
                            <w:sz w:val="21"/>
                          </w:rPr>
                          <w:t>费用计算</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9" w:type="dxa"/>
                      </w:tcPr>
                      <w:p>
                        <w:pPr>
                          <w:pStyle w:val="TableParagraph"/>
                          <w:spacing w:before="34"/>
                          <w:ind w:right="93"/>
                          <w:jc w:val="right"/>
                          <w:rPr>
                            <w:sz w:val="21"/>
                          </w:rPr>
                        </w:pPr>
                        <w:r>
                          <w:rPr>
                            <w:sz w:val="21"/>
                          </w:rPr>
                          <w:t>10,000,000.00</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9" w:type="dxa"/>
                      </w:tcPr>
                      <w:p>
                        <w:pPr>
                          <w:pStyle w:val="TableParagraph"/>
                          <w:spacing w:before="34"/>
                          <w:ind w:right="93"/>
                          <w:jc w:val="right"/>
                          <w:rPr>
                            <w:sz w:val="21"/>
                          </w:rPr>
                        </w:pPr>
                        <w:r>
                          <w:rPr>
                            <w:sz w:val="21"/>
                          </w:rPr>
                          <w:t>1.200</w:t>
                        </w:r>
                      </w:p>
                    </w:tc>
                  </w:tr>
                  <w:tr>
                    <w:trPr>
                      <w:trHeight w:val="314" w:hRule="atLeast"/>
                    </w:trPr>
                    <w:tc>
                      <w:tcPr>
                        <w:tcW w:w="4239" w:type="dxa"/>
                      </w:tcPr>
                      <w:p>
                        <w:pPr>
                          <w:pStyle w:val="TableParagraph"/>
                          <w:spacing w:before="25"/>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9" w:type="dxa"/>
                      </w:tcPr>
                      <w:p>
                        <w:pPr>
                          <w:pStyle w:val="TableParagraph"/>
                          <w:spacing w:before="36"/>
                          <w:ind w:right="93"/>
                          <w:jc w:val="right"/>
                          <w:rPr>
                            <w:sz w:val="21"/>
                          </w:rPr>
                        </w:pPr>
                        <w:r>
                          <w:rPr>
                            <w:sz w:val="21"/>
                          </w:rPr>
                          <w:t>12,000,000.00</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9" w:type="dxa"/>
                      </w:tcPr>
                      <w:p>
                        <w:pPr>
                          <w:pStyle w:val="TableParagraph"/>
                          <w:spacing w:before="34"/>
                          <w:ind w:right="92"/>
                          <w:jc w:val="right"/>
                          <w:rPr>
                            <w:sz w:val="21"/>
                          </w:rPr>
                        </w:pPr>
                        <w:r>
                          <w:rPr>
                            <w:sz w:val="21"/>
                          </w:rPr>
                          <w:t>0.5%</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9" w:type="dxa"/>
                      </w:tcPr>
                      <w:p>
                        <w:pPr>
                          <w:pStyle w:val="TableParagraph"/>
                          <w:spacing w:before="34"/>
                          <w:ind w:right="93"/>
                          <w:jc w:val="right"/>
                          <w:rPr>
                            <w:sz w:val="21"/>
                          </w:rPr>
                        </w:pPr>
                        <w:r>
                          <w:rPr>
                            <w:sz w:val="21"/>
                          </w:rPr>
                          <w:t>60,000.00</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9" w:type="dxa"/>
                      </w:tcPr>
                      <w:p>
                        <w:pPr>
                          <w:pStyle w:val="TableParagraph"/>
                          <w:spacing w:before="34"/>
                          <w:ind w:right="93"/>
                          <w:jc w:val="right"/>
                          <w:rPr>
                            <w:sz w:val="21"/>
                          </w:rPr>
                        </w:pPr>
                        <w:r>
                          <w:rPr>
                            <w:sz w:val="21"/>
                          </w:rPr>
                          <w:t>11,940,000.00</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9" w:type="dxa"/>
                      </w:tcPr>
                      <w:p>
                        <w:pPr>
                          <w:pStyle w:val="TableParagraph"/>
                          <w:spacing w:before="34"/>
                          <w:ind w:right="93"/>
                          <w:jc w:val="right"/>
                          <w:rPr>
                            <w:sz w:val="21"/>
                          </w:rPr>
                        </w:pPr>
                        <w:r>
                          <w:rPr>
                            <w:sz w:val="21"/>
                          </w:rPr>
                          <w:t>1,000-500=500.00</w:t>
                        </w:r>
                      </w:p>
                    </w:tc>
                  </w:tr>
                  <w:tr>
                    <w:trPr>
                      <w:trHeight w:val="312" w:hRule="atLeast"/>
                    </w:trPr>
                    <w:tc>
                      <w:tcPr>
                        <w:tcW w:w="4239" w:type="dxa"/>
                      </w:tcPr>
                      <w:p>
                        <w:pPr>
                          <w:pStyle w:val="TableParagraph"/>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9" w:type="dxa"/>
                      </w:tcPr>
                      <w:p>
                        <w:pPr>
                          <w:pStyle w:val="TableParagraph"/>
                          <w:spacing w:before="34"/>
                          <w:ind w:right="93"/>
                          <w:jc w:val="right"/>
                          <w:rPr>
                            <w:sz w:val="21"/>
                          </w:rPr>
                        </w:pPr>
                        <w:r>
                          <w:rPr>
                            <w:sz w:val="21"/>
                          </w:rPr>
                          <w:t>11,939,500.00</w:t>
                        </w:r>
                      </w:p>
                    </w:tc>
                  </w:tr>
                  <w:tr>
                    <w:trPr>
                      <w:trHeight w:val="314" w:hRule="atLeast"/>
                    </w:trPr>
                    <w:tc>
                      <w:tcPr>
                        <w:tcW w:w="4239" w:type="dxa"/>
                      </w:tcPr>
                      <w:p>
                        <w:pPr>
                          <w:pStyle w:val="TableParagraph"/>
                          <w:spacing w:before="25"/>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9" w:type="dxa"/>
                      </w:tcPr>
                      <w:p>
                        <w:pPr>
                          <w:pStyle w:val="TableParagraph"/>
                          <w:spacing w:before="36"/>
                          <w:ind w:right="93"/>
                          <w:jc w:val="right"/>
                          <w:rPr>
                            <w:sz w:val="21"/>
                          </w:rPr>
                        </w:pPr>
                        <w:r>
                          <w:rPr>
                            <w:sz w:val="21"/>
                          </w:rPr>
                          <w:t>1.300</w:t>
                        </w:r>
                      </w:p>
                    </w:tc>
                  </w:tr>
                  <w:tr>
                    <w:trPr>
                      <w:trHeight w:val="311" w:hRule="atLeast"/>
                    </w:trPr>
                    <w:tc>
                      <w:tcPr>
                        <w:tcW w:w="4239" w:type="dxa"/>
                      </w:tcPr>
                      <w:p>
                        <w:pPr>
                          <w:pStyle w:val="TableParagraph"/>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9" w:type="dxa"/>
                      </w:tcPr>
                      <w:p>
                        <w:pPr>
                          <w:pStyle w:val="TableParagraph"/>
                          <w:spacing w:before="34"/>
                          <w:ind w:right="93"/>
                          <w:jc w:val="right"/>
                          <w:rPr>
                            <w:sz w:val="21"/>
                          </w:rPr>
                        </w:pPr>
                        <w:r>
                          <w:rPr>
                            <w:sz w:val="21"/>
                          </w:rPr>
                          <w:t>9,184,230.77</w:t>
                        </w:r>
                      </w:p>
                    </w:tc>
                  </w:tr>
                </w:tbl>
                <w:p>
                  <w:pPr>
                    <w:pStyle w:val="BodyText"/>
                  </w:pPr>
                </w:p>
              </w:txbxContent>
            </v:textbox>
            <w10:wrap type="none"/>
          </v:shape>
        </w:pict>
      </w:r>
      <w:r>
        <w:rPr>
          <w:w w:val="100"/>
          <w:sz w:val="21"/>
        </w:rPr>
        <w:t>若</w:t>
      </w:r>
      <w:r>
        <w:rPr>
          <w:spacing w:val="-29"/>
          <w:sz w:val="21"/>
        </w:rPr>
        <w:t> </w:t>
      </w:r>
      <w:r>
        <w:rPr>
          <w:rFonts w:ascii="Times New Roman" w:eastAsia="Times New Roman"/>
          <w:w w:val="100"/>
          <w:sz w:val="21"/>
        </w:rPr>
        <w:t>T</w:t>
      </w:r>
      <w:r>
        <w:rPr>
          <w:rFonts w:ascii="Times New Roman" w:eastAsia="Times New Roman"/>
          <w:spacing w:val="24"/>
          <w:sz w:val="21"/>
        </w:rPr>
        <w:t> </w:t>
      </w:r>
      <w:r>
        <w:rPr>
          <w:spacing w:val="-3"/>
          <w:w w:val="100"/>
          <w:sz w:val="21"/>
        </w:rPr>
        <w:t>日转入乙基金</w:t>
      </w:r>
      <w:r>
        <w:rPr>
          <w:w w:val="100"/>
          <w:sz w:val="21"/>
        </w:rPr>
        <w:t>（</w:t>
      </w:r>
      <w:r>
        <w:rPr>
          <w:spacing w:val="-3"/>
          <w:w w:val="100"/>
          <w:sz w:val="21"/>
        </w:rPr>
        <w:t>前端收费模式</w:t>
      </w:r>
      <w:r>
        <w:rPr>
          <w:spacing w:val="-106"/>
          <w:w w:val="100"/>
          <w:sz w:val="21"/>
        </w:rPr>
        <w:t>）</w:t>
      </w:r>
      <w:r>
        <w:rPr>
          <w:spacing w:val="-3"/>
          <w:w w:val="100"/>
          <w:sz w:val="21"/>
        </w:rPr>
        <w:t>，甲基金适用的申购费用为</w:t>
      </w:r>
      <w:r>
        <w:rPr>
          <w:spacing w:val="-29"/>
          <w:sz w:val="21"/>
        </w:rPr>
        <w:t> </w:t>
      </w:r>
      <w:r>
        <w:rPr>
          <w:rFonts w:ascii="Times New Roman" w:eastAsia="Times New Roman"/>
          <w:w w:val="100"/>
          <w:sz w:val="21"/>
        </w:rPr>
        <w:t>500</w:t>
      </w:r>
      <w:r>
        <w:rPr>
          <w:rFonts w:ascii="Times New Roman" w:eastAsia="Times New Roman"/>
          <w:spacing w:val="22"/>
          <w:sz w:val="21"/>
        </w:rPr>
        <w:t> </w:t>
      </w:r>
      <w:r>
        <w:rPr>
          <w:spacing w:val="-3"/>
          <w:w w:val="100"/>
          <w:sz w:val="21"/>
        </w:rPr>
        <w:t>元，乙基金</w:t>
      </w:r>
      <w:r>
        <w:rPr>
          <w:spacing w:val="-8"/>
          <w:sz w:val="21"/>
        </w:rPr>
        <w:t>适用的申购费用为 </w:t>
      </w:r>
      <w:r>
        <w:rPr>
          <w:rFonts w:ascii="Times New Roman" w:eastAsia="Times New Roman"/>
          <w:sz w:val="21"/>
        </w:rPr>
        <w:t>1,000</w:t>
      </w:r>
      <w:r>
        <w:rPr>
          <w:rFonts w:ascii="Times New Roman" w:eastAsia="Times New Roman"/>
          <w:spacing w:val="12"/>
          <w:sz w:val="21"/>
        </w:rPr>
        <w:t> </w:t>
      </w:r>
      <w:r>
        <w:rPr>
          <w:spacing w:val="-6"/>
          <w:sz w:val="21"/>
        </w:rPr>
        <w:t>元，该日乙基金基金份额净值为 </w:t>
      </w:r>
      <w:r>
        <w:rPr>
          <w:rFonts w:ascii="Times New Roman" w:eastAsia="Times New Roman"/>
          <w:sz w:val="21"/>
        </w:rPr>
        <w:t>1.300</w:t>
      </w:r>
      <w:r>
        <w:rPr>
          <w:rFonts w:ascii="Times New Roman" w:eastAsia="Times New Roman"/>
          <w:spacing w:val="12"/>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pStyle w:val="ListParagraph"/>
        <w:numPr>
          <w:ilvl w:val="0"/>
          <w:numId w:val="19"/>
        </w:numPr>
        <w:tabs>
          <w:tab w:pos="1727" w:val="left" w:leader="none"/>
        </w:tabs>
        <w:spacing w:line="417" w:lineRule="auto" w:before="0" w:after="0"/>
        <w:ind w:left="778" w:right="888" w:firstLine="419"/>
        <w:jc w:val="both"/>
        <w:rPr>
          <w:sz w:val="21"/>
        </w:rPr>
      </w:pPr>
      <w:r>
        <w:rPr/>
        <w:pict>
          <v:shape style="position:absolute;margin-left:111.379997pt;margin-top:65.220016pt;width:372.95pt;height:81.05pt;mso-position-horizontal-relative:page;mso-position-vertical-relative:paragraph;z-index:2516736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ind w:left="1882" w:right="1875"/>
                          <w:jc w:val="center"/>
                          <w:rPr>
                            <w:rFonts w:ascii="宋体" w:eastAsia="宋体" w:hint="eastAsia"/>
                            <w:sz w:val="21"/>
                          </w:rPr>
                        </w:pPr>
                        <w:r>
                          <w:rPr>
                            <w:rFonts w:ascii="宋体" w:eastAsia="宋体" w:hint="eastAsia"/>
                            <w:sz w:val="21"/>
                          </w:rPr>
                          <w:t>项目</w:t>
                        </w:r>
                      </w:p>
                    </w:tc>
                    <w:tc>
                      <w:tcPr>
                        <w:tcW w:w="3212" w:type="dxa"/>
                      </w:tcPr>
                      <w:p>
                        <w:pPr>
                          <w:pStyle w:val="TableParagraph"/>
                          <w:ind w:left="1108" w:right="1097"/>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2" w:type="dxa"/>
                      </w:tcPr>
                      <w:p>
                        <w:pPr>
                          <w:pStyle w:val="TableParagraph"/>
                          <w:spacing w:before="34"/>
                          <w:ind w:right="94"/>
                          <w:jc w:val="right"/>
                          <w:rPr>
                            <w:sz w:val="21"/>
                          </w:rPr>
                        </w:pPr>
                        <w:r>
                          <w:rPr>
                            <w:sz w:val="21"/>
                          </w:rPr>
                          <w:t>10,000,000.00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2" w:type="dxa"/>
                      </w:tcPr>
                      <w:p>
                        <w:pPr>
                          <w:pStyle w:val="TableParagraph"/>
                          <w:spacing w:before="34"/>
                          <w:ind w:right="93"/>
                          <w:jc w:val="right"/>
                          <w:rPr>
                            <w:sz w:val="21"/>
                          </w:rPr>
                        </w:pPr>
                        <w:r>
                          <w:rPr>
                            <w:sz w:val="21"/>
                          </w:rPr>
                          <w:t>1.200</w:t>
                        </w:r>
                      </w:p>
                    </w:tc>
                  </w:tr>
                  <w:tr>
                    <w:trPr>
                      <w:trHeight w:val="314" w:hRule="atLeast"/>
                    </w:trPr>
                    <w:tc>
                      <w:tcPr>
                        <w:tcW w:w="4232" w:type="dxa"/>
                      </w:tcPr>
                      <w:p>
                        <w:pPr>
                          <w:pStyle w:val="TableParagraph"/>
                          <w:spacing w:before="25"/>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2" w:type="dxa"/>
                      </w:tcPr>
                      <w:p>
                        <w:pPr>
                          <w:pStyle w:val="TableParagraph"/>
                          <w:spacing w:before="37"/>
                          <w:ind w:right="94"/>
                          <w:jc w:val="right"/>
                          <w:rPr>
                            <w:sz w:val="21"/>
                          </w:rPr>
                        </w:pPr>
                        <w:r>
                          <w:rPr>
                            <w:sz w:val="21"/>
                          </w:rPr>
                          <w:t>12,000,000.00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2" w:type="dxa"/>
                      </w:tcPr>
                      <w:p>
                        <w:pPr>
                          <w:pStyle w:val="TableParagraph"/>
                          <w:spacing w:before="34"/>
                          <w:ind w:right="93"/>
                          <w:jc w:val="right"/>
                          <w:rPr>
                            <w:sz w:val="21"/>
                          </w:rPr>
                        </w:pPr>
                        <w:r>
                          <w:rPr>
                            <w:sz w:val="21"/>
                          </w:rPr>
                          <w:t>0.5%</w:t>
                        </w:r>
                      </w:p>
                    </w:tc>
                  </w:tr>
                </w:tbl>
                <w:p>
                  <w:pPr>
                    <w:pStyle w:val="BodyText"/>
                  </w:pPr>
                </w:p>
              </w:txbxContent>
            </v:textbox>
            <w10:wrap type="none"/>
          </v:shape>
        </w:pict>
      </w:r>
      <w:r>
        <w:rPr>
          <w:w w:val="100"/>
          <w:sz w:val="21"/>
        </w:rPr>
        <w:t>若</w:t>
      </w:r>
      <w:r>
        <w:rPr>
          <w:spacing w:val="-55"/>
          <w:sz w:val="21"/>
        </w:rPr>
        <w:t> </w:t>
      </w:r>
      <w:r>
        <w:rPr>
          <w:rFonts w:ascii="Times New Roman" w:eastAsia="Times New Roman"/>
          <w:w w:val="100"/>
          <w:sz w:val="21"/>
        </w:rPr>
        <w:t>T</w:t>
      </w:r>
      <w:r>
        <w:rPr>
          <w:rFonts w:ascii="Times New Roman" w:eastAsia="Times New Roman"/>
          <w:sz w:val="21"/>
        </w:rPr>
        <w:t> </w:t>
      </w:r>
      <w:r>
        <w:rPr>
          <w:spacing w:val="-5"/>
          <w:w w:val="100"/>
          <w:sz w:val="21"/>
        </w:rPr>
        <w:t>日转入丙基金</w:t>
      </w:r>
      <w:r>
        <w:rPr>
          <w:spacing w:val="-3"/>
          <w:w w:val="100"/>
          <w:sz w:val="21"/>
        </w:rPr>
        <w:t>（</w:t>
      </w:r>
      <w:r>
        <w:rPr>
          <w:spacing w:val="-2"/>
          <w:w w:val="100"/>
          <w:sz w:val="21"/>
        </w:rPr>
        <w:t>前端收费模式</w:t>
      </w:r>
      <w:r>
        <w:rPr>
          <w:spacing w:val="-108"/>
          <w:w w:val="100"/>
          <w:sz w:val="21"/>
        </w:rPr>
        <w:t>）</w:t>
      </w:r>
      <w:r>
        <w:rPr>
          <w:spacing w:val="-5"/>
          <w:w w:val="100"/>
          <w:sz w:val="21"/>
        </w:rPr>
        <w:t>，甲基金适用的申购费用为</w:t>
      </w:r>
      <w:r>
        <w:rPr>
          <w:spacing w:val="-53"/>
          <w:sz w:val="21"/>
        </w:rPr>
        <w:t> </w:t>
      </w:r>
      <w:r>
        <w:rPr>
          <w:rFonts w:ascii="Times New Roman" w:eastAsia="Times New Roman"/>
          <w:w w:val="100"/>
          <w:sz w:val="21"/>
        </w:rPr>
        <w:t>1,0</w:t>
      </w:r>
      <w:r>
        <w:rPr>
          <w:rFonts w:ascii="Times New Roman" w:eastAsia="Times New Roman"/>
          <w:spacing w:val="-3"/>
          <w:w w:val="100"/>
          <w:sz w:val="21"/>
        </w:rPr>
        <w:t>0</w:t>
      </w:r>
      <w:r>
        <w:rPr>
          <w:rFonts w:ascii="Times New Roman" w:eastAsia="Times New Roman"/>
          <w:w w:val="100"/>
          <w:sz w:val="21"/>
        </w:rPr>
        <w:t>0</w:t>
      </w:r>
      <w:r>
        <w:rPr>
          <w:rFonts w:ascii="Times New Roman" w:eastAsia="Times New Roman"/>
          <w:sz w:val="21"/>
        </w:rPr>
        <w:t> </w:t>
      </w:r>
      <w:r>
        <w:rPr>
          <w:spacing w:val="-5"/>
          <w:w w:val="100"/>
          <w:sz w:val="21"/>
        </w:rPr>
        <w:t>元，丙基金</w:t>
      </w:r>
      <w:r>
        <w:rPr>
          <w:spacing w:val="-9"/>
          <w:sz w:val="21"/>
        </w:rPr>
        <w:t>适用的申购费用为 </w:t>
      </w:r>
      <w:r>
        <w:rPr>
          <w:rFonts w:ascii="Times New Roman" w:eastAsia="Times New Roman"/>
          <w:sz w:val="21"/>
        </w:rPr>
        <w:t>500</w:t>
      </w:r>
      <w:r>
        <w:rPr>
          <w:rFonts w:ascii="Times New Roman" w:eastAsia="Times New Roman"/>
          <w:spacing w:val="9"/>
          <w:sz w:val="21"/>
        </w:rPr>
        <w:t> </w:t>
      </w:r>
      <w:r>
        <w:rPr>
          <w:spacing w:val="-8"/>
          <w:sz w:val="21"/>
        </w:rPr>
        <w:t>元，该日丙基金基金份额净值为 </w:t>
      </w:r>
      <w:r>
        <w:rPr>
          <w:rFonts w:ascii="Times New Roman" w:eastAsia="Times New Roman"/>
          <w:sz w:val="21"/>
        </w:rPr>
        <w:t>1.300</w:t>
      </w:r>
      <w:r>
        <w:rPr>
          <w:rFonts w:ascii="Times New Roman" w:eastAsia="Times New Roman"/>
          <w:spacing w:val="6"/>
          <w:sz w:val="21"/>
        </w:rPr>
        <w:t> </w:t>
      </w:r>
      <w:r>
        <w:rPr>
          <w:spacing w:val="-6"/>
          <w:sz w:val="21"/>
        </w:rPr>
        <w:t>元。则转出基金费用、转入基</w:t>
      </w:r>
      <w:r>
        <w:rPr>
          <w:spacing w:val="-4"/>
          <w:sz w:val="21"/>
        </w:rPr>
        <w:t>金费用及份额计算如下：</w:t>
      </w:r>
    </w:p>
    <w:p>
      <w:pPr>
        <w:spacing w:after="0" w:line="417" w:lineRule="auto"/>
        <w:jc w:val="both"/>
        <w:rPr>
          <w:sz w:val="21"/>
        </w:rPr>
        <w:sectPr>
          <w:pgSz w:w="11910" w:h="16840"/>
          <w:pgMar w:header="877" w:footer="995" w:top="1280" w:bottom="1180" w:left="1020" w:right="900"/>
        </w:sectPr>
      </w:pPr>
    </w:p>
    <w:p>
      <w:pPr>
        <w:pStyle w:val="BodyText"/>
        <w:spacing w:before="4"/>
        <w:rPr>
          <w:sz w:val="10"/>
        </w:rPr>
      </w:pPr>
    </w:p>
    <w:tbl>
      <w:tblPr>
        <w:tblW w:w="0" w:type="auto"/>
        <w:jc w:val="left"/>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2" w:hRule="atLeast"/>
        </w:trPr>
        <w:tc>
          <w:tcPr>
            <w:tcW w:w="4232" w:type="dxa"/>
          </w:tcPr>
          <w:p>
            <w:pPr>
              <w:pStyle w:val="TableParagraph"/>
              <w:spacing w:before="23"/>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2" w:type="dxa"/>
          </w:tcPr>
          <w:p>
            <w:pPr>
              <w:pStyle w:val="TableParagraph"/>
              <w:spacing w:before="34"/>
              <w:ind w:right="94"/>
              <w:jc w:val="right"/>
              <w:rPr>
                <w:sz w:val="21"/>
              </w:rPr>
            </w:pPr>
            <w:r>
              <w:rPr>
                <w:sz w:val="21"/>
              </w:rPr>
              <w:t>60,000.00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2" w:type="dxa"/>
          </w:tcPr>
          <w:p>
            <w:pPr>
              <w:pStyle w:val="TableParagraph"/>
              <w:spacing w:before="34"/>
              <w:ind w:right="94"/>
              <w:jc w:val="right"/>
              <w:rPr>
                <w:sz w:val="21"/>
              </w:rPr>
            </w:pPr>
            <w:r>
              <w:rPr>
                <w:sz w:val="21"/>
              </w:rPr>
              <w:t>11,940,000.00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2" w:type="dxa"/>
          </w:tcPr>
          <w:p>
            <w:pPr>
              <w:pStyle w:val="TableParagraph"/>
              <w:spacing w:before="34"/>
              <w:ind w:right="93"/>
              <w:jc w:val="right"/>
              <w:rPr>
                <w:sz w:val="21"/>
              </w:rPr>
            </w:pPr>
            <w:r>
              <w:rPr>
                <w:sz w:val="21"/>
              </w:rPr>
              <w:t>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2" w:type="dxa"/>
          </w:tcPr>
          <w:p>
            <w:pPr>
              <w:pStyle w:val="TableParagraph"/>
              <w:spacing w:before="34"/>
              <w:ind w:right="94"/>
              <w:jc w:val="right"/>
              <w:rPr>
                <w:sz w:val="21"/>
              </w:rPr>
            </w:pPr>
            <w:r>
              <w:rPr>
                <w:sz w:val="21"/>
              </w:rPr>
              <w:t>11,940,000.00</w:t>
            </w:r>
          </w:p>
        </w:tc>
      </w:tr>
      <w:tr>
        <w:trPr>
          <w:trHeight w:val="313" w:hRule="atLeast"/>
        </w:trPr>
        <w:tc>
          <w:tcPr>
            <w:tcW w:w="4232" w:type="dxa"/>
          </w:tcPr>
          <w:p>
            <w:pPr>
              <w:pStyle w:val="TableParagraph"/>
              <w:spacing w:before="25"/>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2" w:type="dxa"/>
          </w:tcPr>
          <w:p>
            <w:pPr>
              <w:pStyle w:val="TableParagraph"/>
              <w:spacing w:before="36"/>
              <w:ind w:right="93"/>
              <w:jc w:val="right"/>
              <w:rPr>
                <w:sz w:val="21"/>
              </w:rPr>
            </w:pPr>
            <w:r>
              <w:rPr>
                <w:sz w:val="21"/>
              </w:rPr>
              <w:t>1.300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2" w:type="dxa"/>
          </w:tcPr>
          <w:p>
            <w:pPr>
              <w:pStyle w:val="TableParagraph"/>
              <w:spacing w:before="34"/>
              <w:ind w:right="94"/>
              <w:jc w:val="right"/>
              <w:rPr>
                <w:sz w:val="21"/>
              </w:rPr>
            </w:pPr>
            <w:r>
              <w:rPr>
                <w:sz w:val="21"/>
              </w:rPr>
              <w:t>9,184,615.38</w:t>
            </w:r>
          </w:p>
        </w:tc>
      </w:tr>
    </w:tbl>
    <w:p>
      <w:pPr>
        <w:pStyle w:val="BodyText"/>
        <w:spacing w:before="99"/>
        <w:ind w:left="1198"/>
        <w:jc w:val="both"/>
      </w:pPr>
      <w:r>
        <w:rPr/>
        <w:t>例七：假定投资者在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日成功提交了基金转换申请，转出持有的前端收费</w:t>
      </w:r>
    </w:p>
    <w:p>
      <w:pPr>
        <w:pStyle w:val="BodyText"/>
        <w:spacing w:before="7"/>
        <w:rPr>
          <w:sz w:val="15"/>
        </w:rPr>
      </w:pPr>
    </w:p>
    <w:p>
      <w:pPr>
        <w:pStyle w:val="BodyText"/>
        <w:spacing w:line="417" w:lineRule="auto"/>
        <w:ind w:left="778" w:right="891"/>
        <w:jc w:val="both"/>
      </w:pPr>
      <w:r>
        <w:rPr/>
        <w:pict>
          <v:shape style="position:absolute;margin-left:111.260002pt;margin-top:65.250038pt;width:373.2pt;height:177.65pt;mso-position-horizontal-relative:page;mso-position-vertical-relative:paragraph;z-index:25167462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5"/>
                  </w:tblGrid>
                  <w:tr>
                    <w:trPr>
                      <w:trHeight w:val="311" w:hRule="atLeast"/>
                    </w:trPr>
                    <w:tc>
                      <w:tcPr>
                        <w:tcW w:w="4235" w:type="dxa"/>
                      </w:tcPr>
                      <w:p>
                        <w:pPr>
                          <w:pStyle w:val="TableParagraph"/>
                          <w:spacing w:line="250" w:lineRule="exact" w:before="41"/>
                          <w:ind w:left="1884" w:right="1875"/>
                          <w:jc w:val="center"/>
                          <w:rPr>
                            <w:rFonts w:ascii="宋体" w:eastAsia="宋体" w:hint="eastAsia"/>
                            <w:sz w:val="21"/>
                          </w:rPr>
                        </w:pPr>
                        <w:r>
                          <w:rPr>
                            <w:rFonts w:ascii="宋体" w:eastAsia="宋体" w:hint="eastAsia"/>
                            <w:sz w:val="21"/>
                          </w:rPr>
                          <w:t>项目</w:t>
                        </w:r>
                      </w:p>
                    </w:tc>
                    <w:tc>
                      <w:tcPr>
                        <w:tcW w:w="3215" w:type="dxa"/>
                      </w:tcPr>
                      <w:p>
                        <w:pPr>
                          <w:pStyle w:val="TableParagraph"/>
                          <w:spacing w:line="250" w:lineRule="exact" w:before="41"/>
                          <w:ind w:left="1110" w:right="1215"/>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spacing w:line="250" w:lineRule="exact" w:before="42"/>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10,000,000.00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1.200</w:t>
                        </w:r>
                      </w:p>
                    </w:tc>
                  </w:tr>
                  <w:tr>
                    <w:trPr>
                      <w:trHeight w:val="314" w:hRule="atLeast"/>
                    </w:trPr>
                    <w:tc>
                      <w:tcPr>
                        <w:tcW w:w="4235" w:type="dxa"/>
                      </w:tcPr>
                      <w:p>
                        <w:pPr>
                          <w:pStyle w:val="TableParagraph"/>
                          <w:spacing w:line="250" w:lineRule="exact" w:before="44"/>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5" w:type="dxa"/>
                      </w:tcPr>
                      <w:p>
                        <w:pPr>
                          <w:pStyle w:val="TableParagraph"/>
                          <w:spacing w:line="226" w:lineRule="exact" w:before="67"/>
                          <w:ind w:right="93"/>
                          <w:jc w:val="right"/>
                          <w:rPr>
                            <w:sz w:val="21"/>
                          </w:rPr>
                        </w:pPr>
                        <w:r>
                          <w:rPr>
                            <w:sz w:val="21"/>
                          </w:rPr>
                          <w:t>12,000,000.00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5" w:type="dxa"/>
                      </w:tcPr>
                      <w:p>
                        <w:pPr>
                          <w:pStyle w:val="TableParagraph"/>
                          <w:spacing w:line="226" w:lineRule="exact" w:before="65"/>
                          <w:ind w:right="91"/>
                          <w:jc w:val="right"/>
                          <w:rPr>
                            <w:sz w:val="21"/>
                          </w:rPr>
                        </w:pPr>
                        <w:r>
                          <w:rPr>
                            <w:sz w:val="21"/>
                          </w:rPr>
                          <w:t>0.5%</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60,000.00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11,940,000.00</w:t>
                        </w:r>
                      </w:p>
                    </w:tc>
                  </w:tr>
                  <w:tr>
                    <w:trPr>
                      <w:trHeight w:val="311" w:hRule="atLeast"/>
                    </w:trPr>
                    <w:tc>
                      <w:tcPr>
                        <w:tcW w:w="4235" w:type="dxa"/>
                      </w:tcPr>
                      <w:p>
                        <w:pPr>
                          <w:pStyle w:val="TableParagraph"/>
                          <w:spacing w:line="250" w:lineRule="exact" w:before="41"/>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15" w:type="dxa"/>
                      </w:tcPr>
                      <w:p>
                        <w:pPr>
                          <w:pStyle w:val="TableParagraph"/>
                          <w:spacing w:line="226" w:lineRule="exact" w:before="65"/>
                          <w:ind w:right="92"/>
                          <w:jc w:val="right"/>
                          <w:rPr>
                            <w:sz w:val="21"/>
                          </w:rPr>
                        </w:pPr>
                        <w:r>
                          <w:rPr>
                            <w:sz w:val="21"/>
                          </w:rPr>
                          <w:t>0.00</w:t>
                        </w:r>
                      </w:p>
                    </w:tc>
                  </w:tr>
                  <w:tr>
                    <w:trPr>
                      <w:trHeight w:val="311" w:hRule="atLeast"/>
                    </w:trPr>
                    <w:tc>
                      <w:tcPr>
                        <w:tcW w:w="4235" w:type="dxa"/>
                      </w:tcPr>
                      <w:p>
                        <w:pPr>
                          <w:pStyle w:val="TableParagraph"/>
                          <w:spacing w:line="250" w:lineRule="exact" w:before="42"/>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11,940,000.00</w:t>
                        </w:r>
                      </w:p>
                    </w:tc>
                  </w:tr>
                  <w:tr>
                    <w:trPr>
                      <w:trHeight w:val="314" w:hRule="atLeast"/>
                    </w:trPr>
                    <w:tc>
                      <w:tcPr>
                        <w:tcW w:w="4235" w:type="dxa"/>
                      </w:tcPr>
                      <w:p>
                        <w:pPr>
                          <w:pStyle w:val="TableParagraph"/>
                          <w:spacing w:line="250" w:lineRule="exact" w:before="44"/>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15" w:type="dxa"/>
                      </w:tcPr>
                      <w:p>
                        <w:pPr>
                          <w:pStyle w:val="TableParagraph"/>
                          <w:spacing w:line="226" w:lineRule="exact" w:before="68"/>
                          <w:ind w:right="92"/>
                          <w:jc w:val="right"/>
                          <w:rPr>
                            <w:sz w:val="21"/>
                          </w:rPr>
                        </w:pPr>
                        <w:r>
                          <w:rPr>
                            <w:sz w:val="21"/>
                          </w:rPr>
                          <w:t>1.500</w:t>
                        </w:r>
                      </w:p>
                    </w:tc>
                  </w:tr>
                  <w:tr>
                    <w:trPr>
                      <w:trHeight w:val="311" w:hRule="atLeast"/>
                    </w:trPr>
                    <w:tc>
                      <w:tcPr>
                        <w:tcW w:w="4235" w:type="dxa"/>
                      </w:tcPr>
                      <w:p>
                        <w:pPr>
                          <w:pStyle w:val="TableParagraph"/>
                          <w:spacing w:line="250" w:lineRule="exact" w:before="42"/>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15" w:type="dxa"/>
                      </w:tcPr>
                      <w:p>
                        <w:pPr>
                          <w:pStyle w:val="TableParagraph"/>
                          <w:spacing w:line="226" w:lineRule="exact" w:before="65"/>
                          <w:ind w:right="93"/>
                          <w:jc w:val="right"/>
                          <w:rPr>
                            <w:sz w:val="21"/>
                          </w:rPr>
                        </w:pPr>
                        <w:r>
                          <w:rPr>
                            <w:sz w:val="21"/>
                          </w:rPr>
                          <w:t>7,960,000.00</w:t>
                        </w:r>
                      </w:p>
                    </w:tc>
                  </w:tr>
                </w:tbl>
                <w:p>
                  <w:pPr>
                    <w:pStyle w:val="BodyText"/>
                  </w:pPr>
                </w:p>
              </w:txbxContent>
            </v:textbox>
            <w10:wrap type="none"/>
          </v:shape>
        </w:pict>
      </w:r>
      <w:r>
        <w:rPr>
          <w:spacing w:val="-11"/>
        </w:rPr>
        <w:t>基金甲 </w:t>
      </w:r>
      <w:r>
        <w:rPr>
          <w:rFonts w:ascii="Times New Roman" w:eastAsia="Times New Roman"/>
        </w:rPr>
        <w:t>10,000,000 </w:t>
      </w:r>
      <w:r>
        <w:rPr>
          <w:spacing w:val="-11"/>
        </w:rPr>
        <w:t>份，转入后端收费基金乙，甲基金申购费率适用固定费用，该日甲、乙基</w:t>
      </w:r>
      <w:r>
        <w:rPr>
          <w:spacing w:val="-10"/>
        </w:rPr>
        <w:t>金基金份额净值分别为 </w:t>
      </w:r>
      <w:r>
        <w:rPr>
          <w:rFonts w:ascii="Times New Roman" w:eastAsia="Times New Roman"/>
        </w:rPr>
        <w:t>1.200</w:t>
      </w:r>
      <w:r>
        <w:rPr>
          <w:spacing w:val="-12"/>
        </w:rPr>
        <w:t>、</w:t>
      </w:r>
      <w:r>
        <w:rPr>
          <w:rFonts w:ascii="Times New Roman" w:eastAsia="Times New Roman"/>
        </w:rPr>
        <w:t>1.500 </w:t>
      </w:r>
      <w:r>
        <w:rPr>
          <w:spacing w:val="-6"/>
        </w:rPr>
        <w:t>元。</w:t>
      </w:r>
      <w:r>
        <w:rPr>
          <w:rFonts w:ascii="Times New Roman" w:eastAsia="Times New Roman"/>
        </w:rPr>
        <w:t>2010 </w:t>
      </w:r>
      <w:r>
        <w:rPr>
          <w:spacing w:val="-25"/>
        </w:rPr>
        <w:t>年 </w:t>
      </w:r>
      <w:r>
        <w:rPr>
          <w:rFonts w:ascii="Times New Roman" w:eastAsia="Times New Roman"/>
        </w:rPr>
        <w:t>3 </w:t>
      </w:r>
      <w:r>
        <w:rPr>
          <w:spacing w:val="-24"/>
        </w:rPr>
        <w:t>月 </w:t>
      </w:r>
      <w:r>
        <w:rPr>
          <w:rFonts w:ascii="Times New Roman" w:eastAsia="Times New Roman"/>
        </w:rPr>
        <w:t>16 </w:t>
      </w:r>
      <w:r>
        <w:rPr>
          <w:spacing w:val="-4"/>
        </w:rPr>
        <w:t>日这笔转换确认成功。甲基金适用</w:t>
      </w:r>
      <w:r>
        <w:rPr>
          <w:spacing w:val="-13"/>
        </w:rPr>
        <w:t>赎回费率为 </w:t>
      </w:r>
      <w:r>
        <w:rPr>
          <w:rFonts w:ascii="Times New Roman" w:eastAsia="Times New Roman"/>
        </w:rPr>
        <w:t>0.5%</w:t>
      </w:r>
      <w:r>
        <w:rPr>
          <w:spacing w:val="-3"/>
        </w:rPr>
        <w:t>。则转出基金费用、转入基金费用及份额计算如下：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417" w:lineRule="auto" w:before="170"/>
        <w:ind w:left="778" w:right="783" w:firstLine="419"/>
      </w:pPr>
      <w:r>
        <w:rPr/>
        <w:pict>
          <v:shape style="position:absolute;margin-left:111.379997pt;margin-top:73.720032pt;width:372.95pt;height:129.3pt;mso-position-horizontal-relative:page;mso-position-vertical-relative:paragraph;z-index:2516756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spacing w:line="250" w:lineRule="exact" w:before="41"/>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spacing w:line="250" w:lineRule="exact" w:before="41"/>
                          <w:ind w:left="1049" w:right="1155"/>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赎回份额（</w:t>
                        </w:r>
                        <w:r>
                          <w:rPr>
                            <w:sz w:val="21"/>
                          </w:rPr>
                          <w:t>K</w:t>
                        </w:r>
                        <w:r>
                          <w:rPr>
                            <w:rFonts w:ascii="宋体" w:eastAsia="宋体" w:hint="eastAsia"/>
                            <w:sz w:val="21"/>
                          </w:rPr>
                          <w:t>）</w:t>
                        </w:r>
                      </w:p>
                    </w:tc>
                    <w:tc>
                      <w:tcPr>
                        <w:tcW w:w="3212" w:type="dxa"/>
                      </w:tcPr>
                      <w:p>
                        <w:pPr>
                          <w:pStyle w:val="TableParagraph"/>
                          <w:spacing w:line="226" w:lineRule="exact" w:before="65"/>
                          <w:ind w:right="94"/>
                          <w:jc w:val="right"/>
                          <w:rPr>
                            <w:sz w:val="21"/>
                          </w:rPr>
                        </w:pPr>
                        <w:r>
                          <w:rPr>
                            <w:sz w:val="21"/>
                          </w:rPr>
                          <w:t>7,960,000.00</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赎回日基金份额净值（</w:t>
                        </w:r>
                        <w:r>
                          <w:rPr>
                            <w:sz w:val="21"/>
                          </w:rPr>
                          <w:t>L</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1.300</w:t>
                        </w:r>
                      </w:p>
                    </w:tc>
                  </w:tr>
                  <w:tr>
                    <w:trPr>
                      <w:trHeight w:val="314" w:hRule="atLeast"/>
                    </w:trPr>
                    <w:tc>
                      <w:tcPr>
                        <w:tcW w:w="4232" w:type="dxa"/>
                      </w:tcPr>
                      <w:p>
                        <w:pPr>
                          <w:pStyle w:val="TableParagraph"/>
                          <w:spacing w:line="250" w:lineRule="exact" w:before="44"/>
                          <w:ind w:left="107"/>
                          <w:rPr>
                            <w:rFonts w:ascii="宋体" w:eastAsia="宋体" w:hint="eastAsia"/>
                            <w:sz w:val="21"/>
                          </w:rPr>
                        </w:pPr>
                        <w:r>
                          <w:rPr>
                            <w:rFonts w:ascii="宋体" w:eastAsia="宋体" w:hint="eastAsia"/>
                            <w:sz w:val="21"/>
                          </w:rPr>
                          <w:t>赎回总金额（</w:t>
                        </w:r>
                        <w:r>
                          <w:rPr>
                            <w:sz w:val="21"/>
                          </w:rPr>
                          <w:t>M=K*L</w:t>
                        </w:r>
                        <w:r>
                          <w:rPr>
                            <w:rFonts w:ascii="宋体" w:eastAsia="宋体" w:hint="eastAsia"/>
                            <w:sz w:val="21"/>
                          </w:rPr>
                          <w:t>）</w:t>
                        </w:r>
                      </w:p>
                    </w:tc>
                    <w:tc>
                      <w:tcPr>
                        <w:tcW w:w="3212" w:type="dxa"/>
                      </w:tcPr>
                      <w:p>
                        <w:pPr>
                          <w:pStyle w:val="TableParagraph"/>
                          <w:spacing w:line="227" w:lineRule="exact" w:before="67"/>
                          <w:ind w:right="94"/>
                          <w:jc w:val="right"/>
                          <w:rPr>
                            <w:sz w:val="21"/>
                          </w:rPr>
                        </w:pPr>
                        <w:r>
                          <w:rPr>
                            <w:sz w:val="21"/>
                          </w:rPr>
                          <w:t>10,348,000.00</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赎回费用（</w:t>
                        </w:r>
                        <w:r>
                          <w:rPr>
                            <w:sz w:val="21"/>
                          </w:rPr>
                          <w:t>N</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0.00</w:t>
                        </w:r>
                      </w:p>
                    </w:tc>
                  </w:tr>
                  <w:tr>
                    <w:trPr>
                      <w:trHeight w:val="311" w:hRule="atLeast"/>
                    </w:trPr>
                    <w:tc>
                      <w:tcPr>
                        <w:tcW w:w="4232" w:type="dxa"/>
                      </w:tcPr>
                      <w:p>
                        <w:pPr>
                          <w:pStyle w:val="TableParagraph"/>
                          <w:spacing w:line="250" w:lineRule="exact" w:before="42"/>
                          <w:ind w:left="107"/>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12" w:type="dxa"/>
                      </w:tcPr>
                      <w:p>
                        <w:pPr>
                          <w:pStyle w:val="TableParagraph"/>
                          <w:spacing w:line="226" w:lineRule="exact" w:before="65"/>
                          <w:ind w:right="93"/>
                          <w:jc w:val="right"/>
                          <w:rPr>
                            <w:sz w:val="21"/>
                          </w:rPr>
                        </w:pPr>
                        <w:r>
                          <w:rPr>
                            <w:sz w:val="21"/>
                          </w:rPr>
                          <w:t>1.2%</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后端申购费（</w:t>
                        </w:r>
                        <w:r>
                          <w:rPr>
                            <w:sz w:val="21"/>
                          </w:rPr>
                          <w:t>P=K*I*O/(1+O)</w:t>
                        </w:r>
                        <w:r>
                          <w:rPr>
                            <w:rFonts w:ascii="宋体" w:eastAsia="宋体" w:hint="eastAsia"/>
                            <w:sz w:val="21"/>
                          </w:rPr>
                          <w:t>）</w:t>
                        </w:r>
                      </w:p>
                    </w:tc>
                    <w:tc>
                      <w:tcPr>
                        <w:tcW w:w="3212" w:type="dxa"/>
                      </w:tcPr>
                      <w:p>
                        <w:pPr>
                          <w:pStyle w:val="TableParagraph"/>
                          <w:spacing w:line="226" w:lineRule="exact" w:before="65"/>
                          <w:ind w:right="94"/>
                          <w:jc w:val="right"/>
                          <w:rPr>
                            <w:sz w:val="21"/>
                          </w:rPr>
                        </w:pPr>
                        <w:r>
                          <w:rPr>
                            <w:sz w:val="21"/>
                          </w:rPr>
                          <w:t>141,581.03</w:t>
                        </w:r>
                      </w:p>
                    </w:tc>
                  </w:tr>
                  <w:tr>
                    <w:trPr>
                      <w:trHeight w:val="311" w:hRule="atLeast"/>
                    </w:trPr>
                    <w:tc>
                      <w:tcPr>
                        <w:tcW w:w="4232" w:type="dxa"/>
                      </w:tcPr>
                      <w:p>
                        <w:pPr>
                          <w:pStyle w:val="TableParagraph"/>
                          <w:spacing w:line="250" w:lineRule="exact" w:before="41"/>
                          <w:ind w:left="107"/>
                          <w:rPr>
                            <w:rFonts w:ascii="宋体" w:eastAsia="宋体" w:hint="eastAsia"/>
                            <w:sz w:val="21"/>
                          </w:rPr>
                        </w:pPr>
                        <w:r>
                          <w:rPr>
                            <w:rFonts w:ascii="宋体" w:eastAsia="宋体" w:hint="eastAsia"/>
                            <w:sz w:val="21"/>
                          </w:rPr>
                          <w:t>赎回金额（</w:t>
                        </w:r>
                        <w:r>
                          <w:rPr>
                            <w:sz w:val="21"/>
                          </w:rPr>
                          <w:t>Q=M-N-P</w:t>
                        </w:r>
                        <w:r>
                          <w:rPr>
                            <w:rFonts w:ascii="宋体" w:eastAsia="宋体" w:hint="eastAsia"/>
                            <w:sz w:val="21"/>
                          </w:rPr>
                          <w:t>）</w:t>
                        </w:r>
                      </w:p>
                    </w:tc>
                    <w:tc>
                      <w:tcPr>
                        <w:tcW w:w="3212" w:type="dxa"/>
                      </w:tcPr>
                      <w:p>
                        <w:pPr>
                          <w:pStyle w:val="TableParagraph"/>
                          <w:spacing w:line="226" w:lineRule="exact" w:before="65"/>
                          <w:ind w:right="94"/>
                          <w:jc w:val="right"/>
                          <w:rPr>
                            <w:sz w:val="21"/>
                          </w:rPr>
                        </w:pPr>
                        <w:r>
                          <w:rPr>
                            <w:sz w:val="21"/>
                          </w:rPr>
                          <w:t>10,206,418.97</w:t>
                        </w:r>
                      </w:p>
                    </w:tc>
                  </w:tr>
                </w:tbl>
                <w:p>
                  <w:pPr>
                    <w:pStyle w:val="BodyText"/>
                  </w:pPr>
                </w:p>
              </w:txbxContent>
            </v:textbox>
            <w10:wrap type="none"/>
          </v:shape>
        </w:pict>
      </w:r>
      <w:r>
        <w:rPr>
          <w:spacing w:val="-10"/>
        </w:rPr>
        <w:t>若投资者在 </w:t>
      </w:r>
      <w:r>
        <w:rPr>
          <w:rFonts w:ascii="Times New Roman" w:eastAsia="Times New Roman"/>
        </w:rPr>
        <w:t>2011 </w:t>
      </w:r>
      <w:r>
        <w:rPr>
          <w:spacing w:val="-24"/>
        </w:rPr>
        <w:t>年 </w:t>
      </w:r>
      <w:r>
        <w:rPr>
          <w:rFonts w:ascii="Times New Roman" w:eastAsia="Times New Roman"/>
        </w:rPr>
        <w:t>1 </w:t>
      </w:r>
      <w:r>
        <w:rPr>
          <w:spacing w:val="-24"/>
        </w:rPr>
        <w:t>月 </w:t>
      </w:r>
      <w:r>
        <w:rPr>
          <w:rFonts w:ascii="Times New Roman" w:eastAsia="Times New Roman"/>
        </w:rPr>
        <w:t>1 </w:t>
      </w:r>
      <w:r>
        <w:rPr>
          <w:spacing w:val="-6"/>
        </w:rPr>
        <w:t>日赎回乙基金，则赎回时乙基金持有期在 </w:t>
      </w:r>
      <w:r>
        <w:rPr>
          <w:rFonts w:ascii="Times New Roman" w:eastAsia="Times New Roman"/>
        </w:rPr>
        <w:t>1 </w:t>
      </w:r>
      <w:r>
        <w:rPr>
          <w:spacing w:val="-3"/>
        </w:rPr>
        <w:t>年之内，适用后</w:t>
      </w:r>
      <w:r>
        <w:rPr>
          <w:spacing w:val="-9"/>
        </w:rPr>
        <w:t>端申购费率为 </w:t>
      </w:r>
      <w:r>
        <w:rPr>
          <w:rFonts w:ascii="Times New Roman" w:eastAsia="Times New Roman"/>
        </w:rPr>
        <w:t>1.2%</w:t>
      </w:r>
      <w:r>
        <w:rPr>
          <w:spacing w:val="-5"/>
        </w:rPr>
        <w:t>，此时赎回乙基金不收取赎回费，该日乙基金基金份额净值为 </w:t>
      </w:r>
      <w:r>
        <w:rPr>
          <w:rFonts w:ascii="Times New Roman" w:eastAsia="Times New Roman"/>
        </w:rPr>
        <w:t>1.300 </w:t>
      </w:r>
      <w:r>
        <w:rPr/>
        <w:t>元。</w:t>
      </w:r>
      <w:r>
        <w:rPr>
          <w:spacing w:val="-3"/>
        </w:rPr>
        <w:t>则赎回金额计算如下：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pStyle w:val="BodyText"/>
        <w:spacing w:line="417" w:lineRule="auto" w:before="1"/>
        <w:ind w:left="778" w:right="783" w:firstLine="419"/>
      </w:pPr>
      <w:r>
        <w:rPr/>
        <w:pict>
          <v:shape style="position:absolute;margin-left:110.779999pt;margin-top:65.27002pt;width:374.15pt;height:48.9pt;mso-position-horizontal-relative:page;mso-position-vertical-relative:paragraph;z-index:25167667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3" w:hRule="atLeast"/>
                    </w:trPr>
                    <w:tc>
                      <w:tcPr>
                        <w:tcW w:w="4244" w:type="dxa"/>
                      </w:tcPr>
                      <w:p>
                        <w:pPr>
                          <w:pStyle w:val="TableParagraph"/>
                          <w:spacing w:before="25"/>
                          <w:ind w:left="1774" w:right="1764"/>
                          <w:jc w:val="center"/>
                          <w:rPr>
                            <w:rFonts w:ascii="宋体" w:eastAsia="宋体" w:hint="eastAsia"/>
                            <w:sz w:val="21"/>
                          </w:rPr>
                        </w:pPr>
                        <w:r>
                          <w:rPr>
                            <w:rFonts w:ascii="宋体" w:eastAsia="宋体" w:hint="eastAsia"/>
                            <w:sz w:val="21"/>
                          </w:rPr>
                          <w:t>项目</w:t>
                        </w:r>
                      </w:p>
                    </w:tc>
                    <w:tc>
                      <w:tcPr>
                        <w:tcW w:w="3224" w:type="dxa"/>
                      </w:tcPr>
                      <w:p>
                        <w:pPr>
                          <w:pStyle w:val="TableParagraph"/>
                          <w:spacing w:before="25"/>
                          <w:ind w:left="1171" w:right="1162"/>
                          <w:jc w:val="center"/>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spacing w:before="23"/>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before="34"/>
                          <w:ind w:right="94"/>
                          <w:jc w:val="right"/>
                          <w:rPr>
                            <w:sz w:val="21"/>
                          </w:rPr>
                        </w:pPr>
                        <w:r>
                          <w:rPr>
                            <w:sz w:val="21"/>
                          </w:rPr>
                          <w:t>10,000,000.00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before="34"/>
                          <w:ind w:right="93"/>
                          <w:jc w:val="right"/>
                          <w:rPr>
                            <w:sz w:val="21"/>
                          </w:rPr>
                        </w:pPr>
                        <w:r>
                          <w:rPr>
                            <w:sz w:val="21"/>
                          </w:rPr>
                          <w:t>1.300</w:t>
                        </w:r>
                      </w:p>
                    </w:tc>
                  </w:tr>
                </w:tbl>
                <w:p>
                  <w:pPr>
                    <w:pStyle w:val="BodyText"/>
                  </w:pPr>
                </w:p>
              </w:txbxContent>
            </v:textbox>
            <w10:wrap type="none"/>
          </v:shape>
        </w:pict>
      </w:r>
      <w:r>
        <w:rPr>
          <w:spacing w:val="-6"/>
        </w:rPr>
        <w:t>例八：假定投资者在 </w:t>
      </w:r>
      <w:r>
        <w:rPr>
          <w:rFonts w:ascii="Times New Roman" w:eastAsia="Times New Roman"/>
        </w:rPr>
        <w:t>T </w:t>
      </w:r>
      <w:r>
        <w:rPr>
          <w:spacing w:val="-5"/>
        </w:rPr>
        <w:t>日转出前端收费基金甲 </w:t>
      </w:r>
      <w:r>
        <w:rPr>
          <w:rFonts w:ascii="Times New Roman" w:eastAsia="Times New Roman"/>
        </w:rPr>
        <w:t>10,000,000 </w:t>
      </w:r>
      <w:r>
        <w:rPr>
          <w:spacing w:val="-3"/>
        </w:rPr>
        <w:t>份，转入不收取申购费用基</w:t>
      </w:r>
      <w:r>
        <w:rPr>
          <w:spacing w:val="-11"/>
        </w:rPr>
        <w:t>金乙，甲基金申购费率适用固定费用。</w:t>
      </w:r>
      <w:r>
        <w:rPr>
          <w:rFonts w:ascii="Times New Roman" w:eastAsia="Times New Roman"/>
        </w:rPr>
        <w:t>T </w:t>
      </w:r>
      <w:r>
        <w:rPr>
          <w:spacing w:val="-11"/>
        </w:rPr>
        <w:t>日甲、乙基金基金份额净值分别为 </w:t>
      </w:r>
      <w:r>
        <w:rPr>
          <w:rFonts w:ascii="Times New Roman" w:eastAsia="Times New Roman"/>
        </w:rPr>
        <w:t>1.300</w:t>
      </w:r>
      <w:r>
        <w:rPr>
          <w:spacing w:val="-41"/>
        </w:rPr>
        <w:t>、</w:t>
      </w:r>
      <w:r>
        <w:rPr>
          <w:rFonts w:ascii="Times New Roman" w:eastAsia="Times New Roman"/>
        </w:rPr>
        <w:t>1.500 </w:t>
      </w:r>
      <w:r>
        <w:rPr/>
        <w:t>元。</w:t>
      </w:r>
      <w:r>
        <w:rPr>
          <w:spacing w:val="-9"/>
        </w:rPr>
        <w:t>甲基金赎回费率为 </w:t>
      </w:r>
      <w:r>
        <w:rPr>
          <w:rFonts w:ascii="Times New Roman" w:eastAsia="Times New Roman"/>
        </w:rPr>
        <w:t>0.5%</w:t>
      </w:r>
      <w:r>
        <w:rPr>
          <w:spacing w:val="-3"/>
        </w:rPr>
        <w:t>。则转出基金费用、转入基金费用及份额计算如下：</w:t>
      </w:r>
    </w:p>
    <w:p>
      <w:pPr>
        <w:spacing w:after="0" w:line="417" w:lineRule="auto"/>
        <w:sectPr>
          <w:pgSz w:w="11910" w:h="16840"/>
          <w:pgMar w:header="877" w:footer="995" w:top="1280" w:bottom="1180" w:left="1020" w:right="900"/>
        </w:sectPr>
      </w:pPr>
    </w:p>
    <w:p>
      <w:pPr>
        <w:pStyle w:val="BodyText"/>
        <w:spacing w:before="4"/>
        <w:rPr>
          <w:sz w:val="10"/>
        </w:rPr>
      </w:pPr>
    </w:p>
    <w:tbl>
      <w:tblPr>
        <w:tblW w:w="0" w:type="auto"/>
        <w:jc w:val="left"/>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2" w:hRule="atLeast"/>
        </w:trPr>
        <w:tc>
          <w:tcPr>
            <w:tcW w:w="4244" w:type="dxa"/>
          </w:tcPr>
          <w:p>
            <w:pPr>
              <w:pStyle w:val="TableParagraph"/>
              <w:spacing w:before="23"/>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before="34"/>
              <w:ind w:right="94"/>
              <w:jc w:val="right"/>
              <w:rPr>
                <w:sz w:val="21"/>
              </w:rPr>
            </w:pPr>
            <w:r>
              <w:rPr>
                <w:sz w:val="21"/>
              </w:rPr>
              <w:t>13,000,000.00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before="34"/>
              <w:ind w:right="93"/>
              <w:jc w:val="right"/>
              <w:rPr>
                <w:sz w:val="21"/>
              </w:rPr>
            </w:pPr>
            <w:r>
              <w:rPr>
                <w:sz w:val="21"/>
              </w:rPr>
              <w:t>0.5%</w:t>
            </w:r>
          </w:p>
        </w:tc>
      </w:tr>
      <w:tr>
        <w:trPr>
          <w:trHeight w:val="311" w:hRule="atLeast"/>
        </w:trPr>
        <w:tc>
          <w:tcPr>
            <w:tcW w:w="4244" w:type="dxa"/>
          </w:tcPr>
          <w:p>
            <w:pPr>
              <w:pStyle w:val="TableParagraph"/>
              <w:ind w:left="107"/>
              <w:rPr>
                <w:sz w:val="21"/>
              </w:rPr>
            </w:pPr>
            <w:r>
              <w:rPr>
                <w:rFonts w:ascii="宋体" w:eastAsia="宋体" w:hint="eastAsia"/>
                <w:sz w:val="21"/>
              </w:rPr>
              <w:t>转出基金费用</w:t>
            </w:r>
            <w:r>
              <w:rPr>
                <w:sz w:val="21"/>
              </w:rPr>
              <w:t>(E=C*D)</w:t>
            </w:r>
          </w:p>
        </w:tc>
        <w:tc>
          <w:tcPr>
            <w:tcW w:w="3224" w:type="dxa"/>
          </w:tcPr>
          <w:p>
            <w:pPr>
              <w:pStyle w:val="TableParagraph"/>
              <w:spacing w:before="34"/>
              <w:ind w:right="94"/>
              <w:jc w:val="right"/>
              <w:rPr>
                <w:sz w:val="21"/>
              </w:rPr>
            </w:pPr>
            <w:r>
              <w:rPr>
                <w:sz w:val="21"/>
              </w:rPr>
              <w:t>65,000.00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before="34"/>
              <w:ind w:right="94"/>
              <w:jc w:val="right"/>
              <w:rPr>
                <w:sz w:val="21"/>
              </w:rPr>
            </w:pPr>
            <w:r>
              <w:rPr>
                <w:sz w:val="21"/>
              </w:rPr>
              <w:t>12,935,000.00</w:t>
            </w:r>
          </w:p>
        </w:tc>
      </w:tr>
      <w:tr>
        <w:trPr>
          <w:trHeight w:val="313" w:hRule="atLeast"/>
        </w:trPr>
        <w:tc>
          <w:tcPr>
            <w:tcW w:w="4244" w:type="dxa"/>
          </w:tcPr>
          <w:p>
            <w:pPr>
              <w:pStyle w:val="TableParagraph"/>
              <w:spacing w:before="25"/>
              <w:ind w:left="107"/>
              <w:rPr>
                <w:rFonts w:ascii="宋体" w:eastAsia="宋体" w:hint="eastAsia"/>
                <w:sz w:val="21"/>
              </w:rPr>
            </w:pPr>
            <w:r>
              <w:rPr>
                <w:rFonts w:ascii="宋体" w:eastAsia="宋体" w:hint="eastAsia"/>
                <w:sz w:val="21"/>
              </w:rPr>
              <w:t>转入基金费用（</w:t>
            </w:r>
            <w:r>
              <w:rPr>
                <w:sz w:val="21"/>
              </w:rPr>
              <w:t>G</w:t>
            </w:r>
            <w:r>
              <w:rPr>
                <w:rFonts w:ascii="宋体" w:eastAsia="宋体" w:hint="eastAsia"/>
                <w:sz w:val="21"/>
              </w:rPr>
              <w:t>）</w:t>
            </w:r>
          </w:p>
        </w:tc>
        <w:tc>
          <w:tcPr>
            <w:tcW w:w="3224" w:type="dxa"/>
          </w:tcPr>
          <w:p>
            <w:pPr>
              <w:pStyle w:val="TableParagraph"/>
              <w:spacing w:before="36"/>
              <w:ind w:right="93"/>
              <w:jc w:val="right"/>
              <w:rPr>
                <w:sz w:val="21"/>
              </w:rPr>
            </w:pPr>
            <w:r>
              <w:rPr>
                <w:sz w:val="21"/>
              </w:rPr>
              <w:t>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净转入金额（</w:t>
            </w:r>
            <w:r>
              <w:rPr>
                <w:sz w:val="21"/>
              </w:rPr>
              <w:t>H=F-G</w:t>
            </w:r>
            <w:r>
              <w:rPr>
                <w:rFonts w:ascii="宋体" w:eastAsia="宋体" w:hint="eastAsia"/>
                <w:sz w:val="21"/>
              </w:rPr>
              <w:t>）</w:t>
            </w:r>
          </w:p>
        </w:tc>
        <w:tc>
          <w:tcPr>
            <w:tcW w:w="3224" w:type="dxa"/>
          </w:tcPr>
          <w:p>
            <w:pPr>
              <w:pStyle w:val="TableParagraph"/>
              <w:spacing w:before="34"/>
              <w:ind w:right="94"/>
              <w:jc w:val="right"/>
              <w:rPr>
                <w:sz w:val="21"/>
              </w:rPr>
            </w:pPr>
            <w:r>
              <w:rPr>
                <w:sz w:val="21"/>
              </w:rPr>
              <w:t>12,935,000.00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I</w:t>
            </w:r>
            <w:r>
              <w:rPr>
                <w:rFonts w:ascii="宋体" w:eastAsia="宋体" w:hint="eastAsia"/>
                <w:sz w:val="21"/>
              </w:rPr>
              <w:t>）</w:t>
            </w:r>
          </w:p>
        </w:tc>
        <w:tc>
          <w:tcPr>
            <w:tcW w:w="3224" w:type="dxa"/>
          </w:tcPr>
          <w:p>
            <w:pPr>
              <w:pStyle w:val="TableParagraph"/>
              <w:spacing w:before="34"/>
              <w:ind w:right="93"/>
              <w:jc w:val="right"/>
              <w:rPr>
                <w:sz w:val="21"/>
              </w:rPr>
            </w:pPr>
            <w:r>
              <w:rPr>
                <w:sz w:val="21"/>
              </w:rPr>
              <w:t>1.500</w:t>
            </w:r>
          </w:p>
        </w:tc>
      </w:tr>
      <w:tr>
        <w:trPr>
          <w:trHeight w:val="311" w:hRule="atLeast"/>
        </w:trPr>
        <w:tc>
          <w:tcPr>
            <w:tcW w:w="4244" w:type="dxa"/>
          </w:tcPr>
          <w:p>
            <w:pPr>
              <w:pStyle w:val="TableParagraph"/>
              <w:ind w:left="107"/>
              <w:rPr>
                <w:rFonts w:ascii="宋体" w:eastAsia="宋体" w:hint="eastAsia"/>
                <w:sz w:val="21"/>
              </w:rPr>
            </w:pPr>
            <w:r>
              <w:rPr>
                <w:rFonts w:ascii="宋体" w:eastAsia="宋体" w:hint="eastAsia"/>
                <w:sz w:val="21"/>
              </w:rPr>
              <w:t>转入基金份额（</w:t>
            </w:r>
            <w:r>
              <w:rPr>
                <w:sz w:val="21"/>
              </w:rPr>
              <w:t>J=H/I</w:t>
            </w:r>
            <w:r>
              <w:rPr>
                <w:rFonts w:ascii="宋体" w:eastAsia="宋体" w:hint="eastAsia"/>
                <w:sz w:val="21"/>
              </w:rPr>
              <w:t>）</w:t>
            </w:r>
          </w:p>
        </w:tc>
        <w:tc>
          <w:tcPr>
            <w:tcW w:w="3224" w:type="dxa"/>
          </w:tcPr>
          <w:p>
            <w:pPr>
              <w:pStyle w:val="TableParagraph"/>
              <w:spacing w:before="34"/>
              <w:ind w:right="94"/>
              <w:jc w:val="right"/>
              <w:rPr>
                <w:sz w:val="21"/>
              </w:rPr>
            </w:pPr>
            <w:r>
              <w:rPr>
                <w:sz w:val="21"/>
              </w:rPr>
              <w:t>8,623,333.33</w:t>
            </w:r>
          </w:p>
        </w:tc>
      </w:tr>
    </w:tbl>
    <w:p>
      <w:pPr>
        <w:pStyle w:val="BodyText"/>
        <w:spacing w:line="417" w:lineRule="auto" w:before="99"/>
        <w:ind w:left="778" w:right="783" w:firstLine="419"/>
      </w:pPr>
      <w:r>
        <w:rPr>
          <w:spacing w:val="-11"/>
          <w:w w:val="100"/>
        </w:rPr>
        <w:t>例九：假定投资者在</w:t>
      </w:r>
      <w:r>
        <w:rPr>
          <w:rFonts w:ascii="Times New Roman" w:eastAsia="Times New Roman"/>
          <w:w w:val="100"/>
        </w:rPr>
        <w:t>T</w:t>
      </w:r>
      <w:r>
        <w:rPr>
          <w:rFonts w:ascii="Times New Roman" w:eastAsia="Times New Roman"/>
        </w:rPr>
        <w:t> </w:t>
      </w:r>
      <w:r>
        <w:rPr>
          <w:spacing w:val="-2"/>
          <w:w w:val="100"/>
        </w:rPr>
        <w:t>日转出</w:t>
      </w:r>
      <w:r>
        <w:rPr>
          <w:spacing w:val="-67"/>
        </w:rPr>
        <w:t> </w:t>
      </w:r>
      <w:r>
        <w:rPr>
          <w:rFonts w:ascii="Times New Roman" w:eastAsia="Times New Roman"/>
          <w:w w:val="100"/>
        </w:rPr>
        <w:t>1,</w:t>
      </w:r>
      <w:r>
        <w:rPr>
          <w:rFonts w:ascii="Times New Roman" w:eastAsia="Times New Roman"/>
          <w:spacing w:val="-3"/>
          <w:w w:val="100"/>
        </w:rPr>
        <w:t>0</w:t>
      </w:r>
      <w:r>
        <w:rPr>
          <w:rFonts w:ascii="Times New Roman" w:eastAsia="Times New Roman"/>
          <w:w w:val="100"/>
        </w:rPr>
        <w:t>00</w:t>
      </w:r>
      <w:r>
        <w:rPr>
          <w:rFonts w:ascii="Times New Roman" w:eastAsia="Times New Roman"/>
        </w:rPr>
        <w:t> </w:t>
      </w:r>
      <w:r>
        <w:rPr>
          <w:spacing w:val="-10"/>
          <w:w w:val="100"/>
        </w:rPr>
        <w:t>份持有期为半年的甲基金基金份额</w:t>
      </w:r>
      <w:r>
        <w:rPr>
          <w:w w:val="100"/>
        </w:rPr>
        <w:t>（</w:t>
      </w:r>
      <w:r>
        <w:rPr>
          <w:spacing w:val="-3"/>
          <w:w w:val="100"/>
        </w:rPr>
        <w:t>后端收费模式</w:t>
      </w:r>
      <w:r>
        <w:rPr>
          <w:spacing w:val="-106"/>
          <w:w w:val="100"/>
        </w:rPr>
        <w:t>）</w:t>
      </w:r>
      <w:r>
        <w:rPr>
          <w:w w:val="100"/>
        </w:rPr>
        <w:t>，</w:t>
      </w:r>
      <w:r>
        <w:rPr>
          <w:spacing w:val="-4"/>
        </w:rPr>
        <w:t>转出时适用甲基金后端申购费率为 </w:t>
      </w:r>
      <w:r>
        <w:rPr>
          <w:rFonts w:ascii="Times New Roman" w:eastAsia="Times New Roman"/>
        </w:rPr>
        <w:t>1.8%</w:t>
      </w:r>
      <w:r>
        <w:rPr>
          <w:spacing w:val="-4"/>
        </w:rPr>
        <w:t>，该日甲基金基金份额净值为 </w:t>
      </w:r>
      <w:r>
        <w:rPr>
          <w:rFonts w:ascii="Times New Roman" w:eastAsia="Times New Roman"/>
        </w:rPr>
        <w:t>1.200 </w:t>
      </w:r>
      <w:r>
        <w:rPr>
          <w:spacing w:val="-2"/>
        </w:rPr>
        <w:t>元。甲基金前</w:t>
      </w:r>
      <w:r>
        <w:rPr>
          <w:spacing w:val="-8"/>
        </w:rPr>
        <w:t>端申购费率最高档为 </w:t>
      </w:r>
      <w:r>
        <w:rPr>
          <w:rFonts w:ascii="Times New Roman" w:eastAsia="Times New Roman"/>
        </w:rPr>
        <w:t>1.5%</w:t>
      </w:r>
      <w:r>
        <w:rPr>
          <w:spacing w:val="-9"/>
        </w:rPr>
        <w:t>，赎回费率为 </w:t>
      </w:r>
      <w:r>
        <w:rPr>
          <w:rFonts w:ascii="Times New Roman" w:eastAsia="Times New Roman"/>
        </w:rPr>
        <w:t>0.5%</w:t>
      </w:r>
      <w:r>
        <w:rPr>
          <w:spacing w:val="-7"/>
        </w:rPr>
        <w:t>。申购日甲基金基金份额净值为 </w:t>
      </w:r>
      <w:r>
        <w:rPr>
          <w:rFonts w:ascii="Times New Roman" w:eastAsia="Times New Roman"/>
        </w:rPr>
        <w:t>1.100 </w:t>
      </w:r>
      <w:r>
        <w:rPr/>
        <w:t>元。</w:t>
      </w:r>
    </w:p>
    <w:p>
      <w:pPr>
        <w:pStyle w:val="ListParagraph"/>
        <w:numPr>
          <w:ilvl w:val="0"/>
          <w:numId w:val="20"/>
        </w:numPr>
        <w:tabs>
          <w:tab w:pos="1727" w:val="left" w:leader="none"/>
        </w:tabs>
        <w:spacing w:line="417" w:lineRule="auto" w:before="0" w:after="0"/>
        <w:ind w:left="778" w:right="783" w:firstLine="419"/>
        <w:jc w:val="left"/>
        <w:rPr>
          <w:sz w:val="21"/>
        </w:rPr>
      </w:pPr>
      <w:r>
        <w:rPr/>
        <w:pict>
          <v:shape style="position:absolute;margin-left:111.139999pt;margin-top:41.820049pt;width:373.4pt;height:258.2pt;mso-position-horizontal-relative:page;mso-position-vertical-relative:paragraph;z-index:25167769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7" w:right="1875"/>
                          <w:jc w:val="center"/>
                          <w:rPr>
                            <w:rFonts w:ascii="宋体" w:eastAsia="宋体" w:hint="eastAsia"/>
                            <w:sz w:val="21"/>
                          </w:rPr>
                        </w:pPr>
                        <w:r>
                          <w:rPr>
                            <w:rFonts w:ascii="宋体" w:eastAsia="宋体" w:hint="eastAsia"/>
                            <w:sz w:val="21"/>
                          </w:rPr>
                          <w:t>项目</w:t>
                        </w:r>
                      </w:p>
                    </w:tc>
                    <w:tc>
                      <w:tcPr>
                        <w:tcW w:w="3217" w:type="dxa"/>
                      </w:tcPr>
                      <w:p>
                        <w:pPr>
                          <w:pStyle w:val="TableParagraph"/>
                          <w:ind w:left="1168" w:right="1157"/>
                          <w:jc w:val="center"/>
                          <w:rPr>
                            <w:rFonts w:ascii="宋体" w:eastAsia="宋体" w:hint="eastAsia"/>
                            <w:sz w:val="21"/>
                          </w:rPr>
                        </w:pPr>
                        <w:r>
                          <w:rPr>
                            <w:rFonts w:ascii="宋体" w:eastAsia="宋体" w:hint="eastAsia"/>
                            <w:sz w:val="21"/>
                          </w:rPr>
                          <w:t>费用计算</w:t>
                        </w:r>
                      </w:p>
                    </w:tc>
                  </w:tr>
                  <w:tr>
                    <w:trPr>
                      <w:trHeight w:val="313" w:hRule="atLeast"/>
                    </w:trPr>
                    <w:tc>
                      <w:tcPr>
                        <w:tcW w:w="4237" w:type="dxa"/>
                      </w:tcPr>
                      <w:p>
                        <w:pPr>
                          <w:pStyle w:val="TableParagraph"/>
                          <w:spacing w:before="25"/>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6"/>
                          <w:ind w:right="94"/>
                          <w:jc w:val="right"/>
                          <w:rPr>
                            <w:sz w:val="21"/>
                          </w:rPr>
                        </w:pPr>
                        <w:r>
                          <w:rPr>
                            <w:sz w:val="21"/>
                          </w:rPr>
                          <w:t>1,000.00</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jc w:val="right"/>
                          <w:rPr>
                            <w:sz w:val="21"/>
                          </w:rPr>
                        </w:pPr>
                        <w:r>
                          <w:rPr>
                            <w:sz w:val="21"/>
                          </w:rPr>
                          <w:t>1.200</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4"/>
                          <w:jc w:val="right"/>
                          <w:rPr>
                            <w:sz w:val="21"/>
                          </w:rPr>
                        </w:pPr>
                        <w:r>
                          <w:rPr>
                            <w:sz w:val="21"/>
                          </w:rPr>
                          <w:t>1,200.00</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4"/>
                          <w:ind w:right="93"/>
                          <w:jc w:val="right"/>
                          <w:rPr>
                            <w:sz w:val="21"/>
                          </w:rPr>
                        </w:pPr>
                        <w:r>
                          <w:rPr>
                            <w:sz w:val="21"/>
                          </w:rPr>
                          <w:t>0.5%</w:t>
                        </w:r>
                      </w:p>
                    </w:tc>
                  </w:tr>
                  <w:tr>
                    <w:trPr>
                      <w:trHeight w:val="311" w:hRule="atLeast"/>
                    </w:trPr>
                    <w:tc>
                      <w:tcPr>
                        <w:tcW w:w="4237" w:type="dxa"/>
                      </w:tcPr>
                      <w:p>
                        <w:pPr>
                          <w:pStyle w:val="TableParagraph"/>
                          <w:spacing w:before="23"/>
                          <w:ind w:left="107"/>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before="34"/>
                          <w:ind w:right="94"/>
                          <w:jc w:val="right"/>
                          <w:rPr>
                            <w:sz w:val="21"/>
                          </w:rPr>
                        </w:pPr>
                        <w:r>
                          <w:rPr>
                            <w:sz w:val="21"/>
                          </w:rPr>
                          <w:t>6.00</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before="34"/>
                          <w:ind w:right="94"/>
                          <w:jc w:val="right"/>
                          <w:rPr>
                            <w:sz w:val="21"/>
                          </w:rPr>
                        </w:pPr>
                        <w:r>
                          <w:rPr>
                            <w:sz w:val="21"/>
                          </w:rPr>
                          <w:t>1.100</w:t>
                        </w:r>
                      </w:p>
                    </w:tc>
                  </w:tr>
                  <w:tr>
                    <w:trPr>
                      <w:trHeight w:val="313" w:hRule="atLeast"/>
                    </w:trPr>
                    <w:tc>
                      <w:tcPr>
                        <w:tcW w:w="4237" w:type="dxa"/>
                      </w:tcPr>
                      <w:p>
                        <w:pPr>
                          <w:pStyle w:val="TableParagraph"/>
                          <w:spacing w:before="25"/>
                          <w:ind w:left="107"/>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before="36"/>
                          <w:ind w:right="93"/>
                          <w:jc w:val="right"/>
                          <w:rPr>
                            <w:sz w:val="21"/>
                          </w:rPr>
                        </w:pPr>
                        <w:r>
                          <w:rPr>
                            <w:sz w:val="21"/>
                          </w:rPr>
                          <w:t>1.8%</w:t>
                        </w:r>
                      </w:p>
                    </w:tc>
                  </w:tr>
                  <w:tr>
                    <w:trPr>
                      <w:trHeight w:val="311" w:hRule="atLeast"/>
                    </w:trPr>
                    <w:tc>
                      <w:tcPr>
                        <w:tcW w:w="4237" w:type="dxa"/>
                      </w:tcPr>
                      <w:p>
                        <w:pPr>
                          <w:pStyle w:val="TableParagraph"/>
                          <w:ind w:left="107"/>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before="34"/>
                          <w:ind w:right="94"/>
                          <w:jc w:val="right"/>
                          <w:rPr>
                            <w:sz w:val="21"/>
                          </w:rPr>
                        </w:pPr>
                        <w:r>
                          <w:rPr>
                            <w:sz w:val="21"/>
                          </w:rPr>
                          <w:t>19.45</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before="34"/>
                          <w:ind w:right="94"/>
                          <w:jc w:val="right"/>
                          <w:rPr>
                            <w:sz w:val="21"/>
                          </w:rPr>
                        </w:pPr>
                        <w:r>
                          <w:rPr>
                            <w:sz w:val="21"/>
                          </w:rPr>
                          <w:t>25.45</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before="34"/>
                          <w:ind w:right="94"/>
                          <w:jc w:val="right"/>
                          <w:rPr>
                            <w:sz w:val="21"/>
                          </w:rPr>
                        </w:pPr>
                        <w:r>
                          <w:rPr>
                            <w:sz w:val="21"/>
                          </w:rPr>
                          <w:t>1,174.55</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转入时收取申购费率（</w:t>
                        </w:r>
                        <w:r>
                          <w:rPr>
                            <w:sz w:val="21"/>
                          </w:rPr>
                          <w:t>K</w:t>
                        </w:r>
                        <w:r>
                          <w:rPr>
                            <w:rFonts w:ascii="宋体" w:eastAsia="宋体" w:hint="eastAsia"/>
                            <w:sz w:val="21"/>
                          </w:rPr>
                          <w:t>）</w:t>
                        </w:r>
                      </w:p>
                    </w:tc>
                    <w:tc>
                      <w:tcPr>
                        <w:tcW w:w="3217" w:type="dxa"/>
                      </w:tcPr>
                      <w:p>
                        <w:pPr>
                          <w:pStyle w:val="TableParagraph"/>
                          <w:spacing w:before="34"/>
                          <w:ind w:right="94"/>
                          <w:jc w:val="right"/>
                          <w:rPr>
                            <w:sz w:val="21"/>
                          </w:rPr>
                        </w:pPr>
                        <w:r>
                          <w:rPr>
                            <w:sz w:val="21"/>
                          </w:rPr>
                          <w:t>2.0%-1.5%=0.5%</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净转入金额（</w:t>
                        </w:r>
                        <w:r>
                          <w:rPr>
                            <w:sz w:val="21"/>
                          </w:rPr>
                          <w:t>L=J/(1+K)</w:t>
                        </w:r>
                        <w:r>
                          <w:rPr>
                            <w:rFonts w:ascii="宋体" w:eastAsia="宋体" w:hint="eastAsia"/>
                            <w:sz w:val="21"/>
                          </w:rPr>
                          <w:t>）</w:t>
                        </w:r>
                      </w:p>
                    </w:tc>
                    <w:tc>
                      <w:tcPr>
                        <w:tcW w:w="3217" w:type="dxa"/>
                      </w:tcPr>
                      <w:p>
                        <w:pPr>
                          <w:pStyle w:val="TableParagraph"/>
                          <w:spacing w:before="34"/>
                          <w:ind w:right="94"/>
                          <w:jc w:val="right"/>
                          <w:rPr>
                            <w:sz w:val="21"/>
                          </w:rPr>
                        </w:pPr>
                        <w:r>
                          <w:rPr>
                            <w:sz w:val="21"/>
                          </w:rPr>
                          <w:t>1,168.71</w:t>
                        </w:r>
                      </w:p>
                    </w:tc>
                  </w:tr>
                  <w:tr>
                    <w:trPr>
                      <w:trHeight w:val="313" w:hRule="atLeast"/>
                    </w:trPr>
                    <w:tc>
                      <w:tcPr>
                        <w:tcW w:w="4237" w:type="dxa"/>
                      </w:tcPr>
                      <w:p>
                        <w:pPr>
                          <w:pStyle w:val="TableParagraph"/>
                          <w:spacing w:before="25"/>
                          <w:ind w:left="107"/>
                          <w:rPr>
                            <w:rFonts w:ascii="宋体" w:eastAsia="宋体" w:hint="eastAsia"/>
                            <w:sz w:val="21"/>
                          </w:rPr>
                        </w:pPr>
                        <w:r>
                          <w:rPr>
                            <w:rFonts w:ascii="宋体" w:eastAsia="宋体" w:hint="eastAsia"/>
                            <w:sz w:val="21"/>
                          </w:rPr>
                          <w:t>转入基金费用（</w:t>
                        </w:r>
                        <w:r>
                          <w:rPr>
                            <w:sz w:val="21"/>
                          </w:rPr>
                          <w:t>M=J-L</w:t>
                        </w:r>
                        <w:r>
                          <w:rPr>
                            <w:rFonts w:ascii="宋体" w:eastAsia="宋体" w:hint="eastAsia"/>
                            <w:sz w:val="21"/>
                          </w:rPr>
                          <w:t>）</w:t>
                        </w:r>
                      </w:p>
                    </w:tc>
                    <w:tc>
                      <w:tcPr>
                        <w:tcW w:w="3217" w:type="dxa"/>
                      </w:tcPr>
                      <w:p>
                        <w:pPr>
                          <w:pStyle w:val="TableParagraph"/>
                          <w:spacing w:before="36"/>
                          <w:ind w:right="94"/>
                          <w:jc w:val="right"/>
                          <w:rPr>
                            <w:sz w:val="21"/>
                          </w:rPr>
                        </w:pPr>
                        <w:r>
                          <w:rPr>
                            <w:sz w:val="21"/>
                          </w:rPr>
                          <w:t>5.84</w:t>
                        </w:r>
                      </w:p>
                    </w:tc>
                  </w:tr>
                  <w:tr>
                    <w:trPr>
                      <w:trHeight w:val="311" w:hRule="atLeast"/>
                    </w:trPr>
                    <w:tc>
                      <w:tcPr>
                        <w:tcW w:w="4237" w:type="dxa"/>
                      </w:tcPr>
                      <w:p>
                        <w:pPr>
                          <w:pStyle w:val="TableParagraph"/>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N</w:t>
                        </w:r>
                        <w:r>
                          <w:rPr>
                            <w:rFonts w:ascii="宋体" w:eastAsia="宋体" w:hint="eastAsia"/>
                            <w:sz w:val="21"/>
                          </w:rPr>
                          <w:t>）</w:t>
                        </w:r>
                      </w:p>
                    </w:tc>
                    <w:tc>
                      <w:tcPr>
                        <w:tcW w:w="3217" w:type="dxa"/>
                      </w:tcPr>
                      <w:p>
                        <w:pPr>
                          <w:pStyle w:val="TableParagraph"/>
                          <w:spacing w:before="34"/>
                          <w:ind w:right="94"/>
                          <w:jc w:val="right"/>
                          <w:rPr>
                            <w:sz w:val="21"/>
                          </w:rPr>
                        </w:pPr>
                        <w:r>
                          <w:rPr>
                            <w:sz w:val="21"/>
                          </w:rPr>
                          <w:t>1.300</w:t>
                        </w:r>
                      </w:p>
                    </w:tc>
                  </w:tr>
                  <w:tr>
                    <w:trPr>
                      <w:trHeight w:val="312" w:hRule="atLeast"/>
                    </w:trPr>
                    <w:tc>
                      <w:tcPr>
                        <w:tcW w:w="4237" w:type="dxa"/>
                      </w:tcPr>
                      <w:p>
                        <w:pPr>
                          <w:pStyle w:val="TableParagraph"/>
                          <w:ind w:left="107"/>
                          <w:rPr>
                            <w:rFonts w:ascii="宋体" w:eastAsia="宋体" w:hint="eastAsia"/>
                            <w:sz w:val="21"/>
                          </w:rPr>
                        </w:pPr>
                        <w:r>
                          <w:rPr>
                            <w:rFonts w:ascii="宋体" w:eastAsia="宋体" w:hint="eastAsia"/>
                            <w:sz w:val="21"/>
                          </w:rPr>
                          <w:t>转入基金份额（</w:t>
                        </w:r>
                        <w:r>
                          <w:rPr>
                            <w:sz w:val="21"/>
                          </w:rPr>
                          <w:t>O=L/N</w:t>
                        </w:r>
                        <w:r>
                          <w:rPr>
                            <w:rFonts w:ascii="宋体" w:eastAsia="宋体" w:hint="eastAsia"/>
                            <w:sz w:val="21"/>
                          </w:rPr>
                          <w:t>）</w:t>
                        </w:r>
                      </w:p>
                    </w:tc>
                    <w:tc>
                      <w:tcPr>
                        <w:tcW w:w="3217" w:type="dxa"/>
                      </w:tcPr>
                      <w:p>
                        <w:pPr>
                          <w:pStyle w:val="TableParagraph"/>
                          <w:spacing w:before="34"/>
                          <w:ind w:right="94"/>
                          <w:jc w:val="right"/>
                          <w:rPr>
                            <w:sz w:val="21"/>
                          </w:rPr>
                        </w:pPr>
                        <w:r>
                          <w:rPr>
                            <w:sz w:val="21"/>
                          </w:rPr>
                          <w:t>899.01</w:t>
                        </w:r>
                      </w:p>
                    </w:tc>
                  </w:tr>
                </w:tbl>
                <w:p>
                  <w:pPr>
                    <w:pStyle w:val="BodyText"/>
                  </w:pPr>
                </w:p>
              </w:txbxContent>
            </v:textbox>
            <w10:wrap type="none"/>
          </v:shape>
        </w:pict>
      </w:r>
      <w:r>
        <w:rPr>
          <w:spacing w:val="-24"/>
          <w:sz w:val="21"/>
        </w:rPr>
        <w:t>若 </w:t>
      </w:r>
      <w:r>
        <w:rPr>
          <w:rFonts w:ascii="Times New Roman" w:eastAsia="Times New Roman"/>
          <w:sz w:val="21"/>
        </w:rPr>
        <w:t>T</w:t>
      </w:r>
      <w:r>
        <w:rPr>
          <w:rFonts w:ascii="Times New Roman" w:eastAsia="Times New Roman"/>
          <w:spacing w:val="3"/>
          <w:sz w:val="21"/>
        </w:rPr>
        <w:t> </w:t>
      </w:r>
      <w:r>
        <w:rPr>
          <w:spacing w:val="-19"/>
          <w:sz w:val="21"/>
        </w:rPr>
        <w:t>日转入乙基金</w:t>
      </w:r>
      <w:r>
        <w:rPr>
          <w:spacing w:val="-3"/>
          <w:sz w:val="21"/>
        </w:rPr>
        <w:t>（</w:t>
      </w:r>
      <w:r>
        <w:rPr>
          <w:spacing w:val="-2"/>
          <w:sz w:val="21"/>
        </w:rPr>
        <w:t>前端收费模式</w:t>
      </w:r>
      <w:r>
        <w:rPr>
          <w:spacing w:val="-103"/>
          <w:sz w:val="21"/>
        </w:rPr>
        <w:t>）</w:t>
      </w:r>
      <w:r>
        <w:rPr>
          <w:spacing w:val="-13"/>
          <w:sz w:val="21"/>
        </w:rPr>
        <w:t>，且乙基金适用的前端申购费率最高档为</w:t>
      </w:r>
      <w:r>
        <w:rPr>
          <w:rFonts w:ascii="Times New Roman" w:eastAsia="Times New Roman"/>
          <w:sz w:val="21"/>
        </w:rPr>
        <w:t>2.0%</w:t>
      </w:r>
      <w:r>
        <w:rPr>
          <w:sz w:val="21"/>
        </w:rPr>
        <w:t>，</w:t>
      </w:r>
      <w:r>
        <w:rPr>
          <w:spacing w:val="-7"/>
          <w:sz w:val="21"/>
        </w:rPr>
        <w:t>该日乙基金基金份额净值为 </w:t>
      </w:r>
      <w:r>
        <w:rPr>
          <w:rFonts w:ascii="Times New Roman" w:eastAsia="Times New Roman"/>
          <w:sz w:val="21"/>
        </w:rPr>
        <w:t>1.300</w:t>
      </w:r>
      <w:r>
        <w:rPr>
          <w:rFonts w:ascii="Times New Roman" w:eastAsia="Times New Roman"/>
          <w:spacing w:val="11"/>
          <w:sz w:val="21"/>
        </w:rPr>
        <w:t> </w:t>
      </w:r>
      <w:r>
        <w:rPr>
          <w:spacing w:val="-3"/>
          <w:sz w:val="21"/>
        </w:rPr>
        <w:t>元。则转出基金费用、转入基金费用及份额计算如下：</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9"/>
        </w:rPr>
      </w:pPr>
    </w:p>
    <w:p>
      <w:pPr>
        <w:pStyle w:val="ListParagraph"/>
        <w:numPr>
          <w:ilvl w:val="0"/>
          <w:numId w:val="20"/>
        </w:numPr>
        <w:tabs>
          <w:tab w:pos="1727" w:val="left" w:leader="none"/>
        </w:tabs>
        <w:spacing w:line="417" w:lineRule="auto" w:before="0" w:after="0"/>
        <w:ind w:left="778" w:right="783" w:firstLine="419"/>
        <w:jc w:val="left"/>
        <w:rPr>
          <w:sz w:val="21"/>
        </w:rPr>
      </w:pPr>
      <w:r>
        <w:rPr/>
        <w:pict>
          <v:shape style="position:absolute;margin-left:111.739998pt;margin-top:41.820019pt;width:372.35pt;height:145.5pt;mso-position-horizontal-relative:page;mso-position-vertical-relative:paragraph;z-index:25167872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5"/>
                    <w:gridCol w:w="3207"/>
                  </w:tblGrid>
                  <w:tr>
                    <w:trPr>
                      <w:trHeight w:val="311" w:hRule="atLeast"/>
                    </w:trPr>
                    <w:tc>
                      <w:tcPr>
                        <w:tcW w:w="4225" w:type="dxa"/>
                      </w:tcPr>
                      <w:p>
                        <w:pPr>
                          <w:pStyle w:val="TableParagraph"/>
                          <w:ind w:left="1882" w:right="1873"/>
                          <w:jc w:val="center"/>
                          <w:rPr>
                            <w:rFonts w:ascii="宋体" w:eastAsia="宋体" w:hint="eastAsia"/>
                            <w:sz w:val="21"/>
                          </w:rPr>
                        </w:pPr>
                        <w:r>
                          <w:rPr>
                            <w:rFonts w:ascii="宋体" w:eastAsia="宋体" w:hint="eastAsia"/>
                            <w:sz w:val="21"/>
                          </w:rPr>
                          <w:t>项目</w:t>
                        </w:r>
                      </w:p>
                    </w:tc>
                    <w:tc>
                      <w:tcPr>
                        <w:tcW w:w="3207" w:type="dxa"/>
                      </w:tcPr>
                      <w:p>
                        <w:pPr>
                          <w:pStyle w:val="TableParagraph"/>
                          <w:ind w:left="1163" w:right="1152"/>
                          <w:jc w:val="center"/>
                          <w:rPr>
                            <w:rFonts w:ascii="宋体" w:eastAsia="宋体" w:hint="eastAsia"/>
                            <w:sz w:val="21"/>
                          </w:rPr>
                        </w:pPr>
                        <w:r>
                          <w:rPr>
                            <w:rFonts w:ascii="宋体" w:eastAsia="宋体" w:hint="eastAsia"/>
                            <w:sz w:val="21"/>
                          </w:rPr>
                          <w:t>费用计算</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7" w:type="dxa"/>
                      </w:tcPr>
                      <w:p>
                        <w:pPr>
                          <w:pStyle w:val="TableParagraph"/>
                          <w:spacing w:before="34"/>
                          <w:ind w:right="94"/>
                          <w:jc w:val="right"/>
                          <w:rPr>
                            <w:sz w:val="21"/>
                          </w:rPr>
                        </w:pPr>
                        <w:r>
                          <w:rPr>
                            <w:sz w:val="21"/>
                          </w:rPr>
                          <w:t>1,000.00</w:t>
                        </w:r>
                      </w:p>
                    </w:tc>
                  </w:tr>
                  <w:tr>
                    <w:trPr>
                      <w:trHeight w:val="313" w:hRule="atLeast"/>
                    </w:trPr>
                    <w:tc>
                      <w:tcPr>
                        <w:tcW w:w="4225" w:type="dxa"/>
                      </w:tcPr>
                      <w:p>
                        <w:pPr>
                          <w:pStyle w:val="TableParagraph"/>
                          <w:spacing w:before="25"/>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7" w:type="dxa"/>
                      </w:tcPr>
                      <w:p>
                        <w:pPr>
                          <w:pStyle w:val="TableParagraph"/>
                          <w:spacing w:before="36"/>
                          <w:ind w:right="93"/>
                          <w:jc w:val="right"/>
                          <w:rPr>
                            <w:sz w:val="21"/>
                          </w:rPr>
                        </w:pPr>
                        <w:r>
                          <w:rPr>
                            <w:sz w:val="21"/>
                          </w:rPr>
                          <w:t>1.200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7" w:type="dxa"/>
                      </w:tcPr>
                      <w:p>
                        <w:pPr>
                          <w:pStyle w:val="TableParagraph"/>
                          <w:spacing w:before="34"/>
                          <w:ind w:right="94"/>
                          <w:jc w:val="right"/>
                          <w:rPr>
                            <w:sz w:val="21"/>
                          </w:rPr>
                        </w:pPr>
                        <w:r>
                          <w:rPr>
                            <w:sz w:val="21"/>
                          </w:rPr>
                          <w:t>1,200.00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7" w:type="dxa"/>
                      </w:tcPr>
                      <w:p>
                        <w:pPr>
                          <w:pStyle w:val="TableParagraph"/>
                          <w:spacing w:before="34"/>
                          <w:ind w:right="93"/>
                          <w:jc w:val="right"/>
                          <w:rPr>
                            <w:sz w:val="21"/>
                          </w:rPr>
                        </w:pPr>
                        <w:r>
                          <w:rPr>
                            <w:sz w:val="21"/>
                          </w:rPr>
                          <w:t>0.5%</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07" w:type="dxa"/>
                      </w:tcPr>
                      <w:p>
                        <w:pPr>
                          <w:pStyle w:val="TableParagraph"/>
                          <w:spacing w:before="34"/>
                          <w:ind w:right="93"/>
                          <w:jc w:val="right"/>
                          <w:rPr>
                            <w:sz w:val="21"/>
                          </w:rPr>
                        </w:pPr>
                        <w:r>
                          <w:rPr>
                            <w:sz w:val="21"/>
                          </w:rPr>
                          <w:t>6.00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07" w:type="dxa"/>
                      </w:tcPr>
                      <w:p>
                        <w:pPr>
                          <w:pStyle w:val="TableParagraph"/>
                          <w:spacing w:before="34"/>
                          <w:ind w:right="93"/>
                          <w:jc w:val="right"/>
                          <w:rPr>
                            <w:sz w:val="21"/>
                          </w:rPr>
                        </w:pPr>
                        <w:r>
                          <w:rPr>
                            <w:sz w:val="21"/>
                          </w:rPr>
                          <w:t>1.100</w:t>
                        </w:r>
                      </w:p>
                    </w:tc>
                  </w:tr>
                  <w:tr>
                    <w:trPr>
                      <w:trHeight w:val="311" w:hRule="atLeast"/>
                    </w:trPr>
                    <w:tc>
                      <w:tcPr>
                        <w:tcW w:w="4225" w:type="dxa"/>
                      </w:tcPr>
                      <w:p>
                        <w:pPr>
                          <w:pStyle w:val="TableParagraph"/>
                          <w:spacing w:before="23"/>
                          <w:ind w:left="107"/>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07" w:type="dxa"/>
                      </w:tcPr>
                      <w:p>
                        <w:pPr>
                          <w:pStyle w:val="TableParagraph"/>
                          <w:spacing w:before="34"/>
                          <w:ind w:right="93"/>
                          <w:jc w:val="right"/>
                          <w:rPr>
                            <w:sz w:val="21"/>
                          </w:rPr>
                        </w:pPr>
                        <w:r>
                          <w:rPr>
                            <w:sz w:val="21"/>
                          </w:rPr>
                          <w:t>1.8%</w:t>
                        </w:r>
                      </w:p>
                    </w:tc>
                  </w:tr>
                  <w:tr>
                    <w:trPr>
                      <w:trHeight w:val="313" w:hRule="atLeast"/>
                    </w:trPr>
                    <w:tc>
                      <w:tcPr>
                        <w:tcW w:w="4225" w:type="dxa"/>
                      </w:tcPr>
                      <w:p>
                        <w:pPr>
                          <w:pStyle w:val="TableParagraph"/>
                          <w:spacing w:before="25"/>
                          <w:ind w:left="107"/>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07" w:type="dxa"/>
                      </w:tcPr>
                      <w:p>
                        <w:pPr>
                          <w:pStyle w:val="TableParagraph"/>
                          <w:spacing w:before="36"/>
                          <w:ind w:right="93"/>
                          <w:jc w:val="right"/>
                          <w:rPr>
                            <w:sz w:val="21"/>
                          </w:rPr>
                        </w:pPr>
                        <w:r>
                          <w:rPr>
                            <w:sz w:val="21"/>
                          </w:rPr>
                          <w:t>19.45</w:t>
                        </w:r>
                      </w:p>
                    </w:tc>
                  </w:tr>
                </w:tbl>
                <w:p>
                  <w:pPr>
                    <w:pStyle w:val="BodyText"/>
                  </w:pPr>
                </w:p>
              </w:txbxContent>
            </v:textbox>
            <w10:wrap type="none"/>
          </v:shape>
        </w:pict>
      </w:r>
      <w:r>
        <w:rPr>
          <w:spacing w:val="-24"/>
          <w:sz w:val="21"/>
        </w:rPr>
        <w:t>若 </w:t>
      </w:r>
      <w:r>
        <w:rPr>
          <w:rFonts w:ascii="Times New Roman" w:eastAsia="Times New Roman"/>
          <w:sz w:val="21"/>
        </w:rPr>
        <w:t>T</w:t>
      </w:r>
      <w:r>
        <w:rPr>
          <w:rFonts w:ascii="Times New Roman" w:eastAsia="Times New Roman"/>
          <w:spacing w:val="3"/>
          <w:sz w:val="21"/>
        </w:rPr>
        <w:t> </w:t>
      </w:r>
      <w:r>
        <w:rPr>
          <w:spacing w:val="-19"/>
          <w:sz w:val="21"/>
        </w:rPr>
        <w:t>日转入丙基金</w:t>
      </w:r>
      <w:r>
        <w:rPr>
          <w:spacing w:val="-3"/>
          <w:sz w:val="21"/>
        </w:rPr>
        <w:t>（</w:t>
      </w:r>
      <w:r>
        <w:rPr>
          <w:spacing w:val="-2"/>
          <w:sz w:val="21"/>
        </w:rPr>
        <w:t>前端收费模式</w:t>
      </w:r>
      <w:r>
        <w:rPr>
          <w:spacing w:val="-103"/>
          <w:sz w:val="21"/>
        </w:rPr>
        <w:t>）</w:t>
      </w:r>
      <w:r>
        <w:rPr>
          <w:spacing w:val="-13"/>
          <w:sz w:val="21"/>
        </w:rPr>
        <w:t>，且丙基金适用的前端申购费率最高档为</w:t>
      </w:r>
      <w:r>
        <w:rPr>
          <w:rFonts w:ascii="Times New Roman" w:eastAsia="Times New Roman"/>
          <w:sz w:val="21"/>
        </w:rPr>
        <w:t>1.2%</w:t>
      </w:r>
      <w:r>
        <w:rPr>
          <w:sz w:val="21"/>
        </w:rPr>
        <w:t>，</w:t>
      </w:r>
      <w:r>
        <w:rPr>
          <w:spacing w:val="-7"/>
          <w:sz w:val="21"/>
        </w:rPr>
        <w:t>该日丙基金基金份额净值为 </w:t>
      </w:r>
      <w:r>
        <w:rPr>
          <w:rFonts w:ascii="Times New Roman" w:eastAsia="Times New Roman"/>
          <w:sz w:val="21"/>
        </w:rPr>
        <w:t>1.300</w:t>
      </w:r>
      <w:r>
        <w:rPr>
          <w:rFonts w:ascii="Times New Roman" w:eastAsia="Times New Roman"/>
          <w:spacing w:val="11"/>
          <w:sz w:val="21"/>
        </w:rPr>
        <w:t> </w:t>
      </w:r>
      <w:r>
        <w:rPr>
          <w:spacing w:val="-3"/>
          <w:sz w:val="21"/>
        </w:rPr>
        <w:t>元。则转出基金费用、转入基金费用及份额计算如下：</w:t>
      </w:r>
    </w:p>
    <w:p>
      <w:pPr>
        <w:spacing w:after="0" w:line="417" w:lineRule="auto"/>
        <w:jc w:val="left"/>
        <w:rPr>
          <w:sz w:val="21"/>
        </w:rPr>
        <w:sectPr>
          <w:pgSz w:w="11910" w:h="16840"/>
          <w:pgMar w:header="877" w:footer="995" w:top="1280" w:bottom="1180" w:left="1020" w:right="900"/>
        </w:sectPr>
      </w:pPr>
    </w:p>
    <w:p>
      <w:pPr>
        <w:pStyle w:val="BodyText"/>
        <w:spacing w:before="4"/>
        <w:rPr>
          <w:sz w:val="10"/>
        </w:rPr>
      </w:pPr>
    </w:p>
    <w:tbl>
      <w:tblPr>
        <w:tblW w:w="0" w:type="auto"/>
        <w:jc w:val="left"/>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5"/>
        <w:gridCol w:w="3207"/>
      </w:tblGrid>
      <w:tr>
        <w:trPr>
          <w:trHeight w:val="312" w:hRule="atLeast"/>
        </w:trPr>
        <w:tc>
          <w:tcPr>
            <w:tcW w:w="4225" w:type="dxa"/>
          </w:tcPr>
          <w:p>
            <w:pPr>
              <w:pStyle w:val="TableParagraph"/>
              <w:spacing w:before="23"/>
              <w:ind w:left="107"/>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07" w:type="dxa"/>
          </w:tcPr>
          <w:p>
            <w:pPr>
              <w:pStyle w:val="TableParagraph"/>
              <w:spacing w:before="34"/>
              <w:ind w:right="93"/>
              <w:jc w:val="right"/>
              <w:rPr>
                <w:sz w:val="21"/>
              </w:rPr>
            </w:pPr>
            <w:r>
              <w:rPr>
                <w:sz w:val="21"/>
              </w:rPr>
              <w:t>25.45</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07" w:type="dxa"/>
          </w:tcPr>
          <w:p>
            <w:pPr>
              <w:pStyle w:val="TableParagraph"/>
              <w:spacing w:before="34"/>
              <w:ind w:right="94"/>
              <w:jc w:val="right"/>
              <w:rPr>
                <w:sz w:val="21"/>
              </w:rPr>
            </w:pPr>
            <w:r>
              <w:rPr>
                <w:sz w:val="21"/>
              </w:rPr>
              <w:t>1,174.55</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转入时收取申购费率（</w:t>
            </w:r>
            <w:r>
              <w:rPr>
                <w:sz w:val="21"/>
              </w:rPr>
              <w:t>K</w:t>
            </w:r>
            <w:r>
              <w:rPr>
                <w:rFonts w:ascii="宋体" w:eastAsia="宋体" w:hint="eastAsia"/>
                <w:sz w:val="21"/>
              </w:rPr>
              <w:t>）</w:t>
            </w:r>
          </w:p>
        </w:tc>
        <w:tc>
          <w:tcPr>
            <w:tcW w:w="3207" w:type="dxa"/>
          </w:tcPr>
          <w:p>
            <w:pPr>
              <w:pStyle w:val="TableParagraph"/>
              <w:spacing w:before="34"/>
              <w:ind w:right="93"/>
              <w:jc w:val="right"/>
              <w:rPr>
                <w:sz w:val="21"/>
              </w:rPr>
            </w:pPr>
            <w:r>
              <w:rPr>
                <w:sz w:val="21"/>
              </w:rPr>
              <w:t>0.00%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净转入金额（</w:t>
            </w:r>
            <w:r>
              <w:rPr>
                <w:sz w:val="21"/>
              </w:rPr>
              <w:t>L=J/(1+K)</w:t>
            </w:r>
            <w:r>
              <w:rPr>
                <w:rFonts w:ascii="宋体" w:eastAsia="宋体" w:hint="eastAsia"/>
                <w:sz w:val="21"/>
              </w:rPr>
              <w:t>）</w:t>
            </w:r>
          </w:p>
        </w:tc>
        <w:tc>
          <w:tcPr>
            <w:tcW w:w="3207" w:type="dxa"/>
          </w:tcPr>
          <w:p>
            <w:pPr>
              <w:pStyle w:val="TableParagraph"/>
              <w:spacing w:before="34"/>
              <w:ind w:right="94"/>
              <w:jc w:val="right"/>
              <w:rPr>
                <w:sz w:val="21"/>
              </w:rPr>
            </w:pPr>
            <w:r>
              <w:rPr>
                <w:sz w:val="21"/>
              </w:rPr>
              <w:t>1,174.55</w:t>
            </w:r>
          </w:p>
        </w:tc>
      </w:tr>
      <w:tr>
        <w:trPr>
          <w:trHeight w:val="313" w:hRule="atLeast"/>
        </w:trPr>
        <w:tc>
          <w:tcPr>
            <w:tcW w:w="4225" w:type="dxa"/>
          </w:tcPr>
          <w:p>
            <w:pPr>
              <w:pStyle w:val="TableParagraph"/>
              <w:spacing w:before="25"/>
              <w:ind w:left="107"/>
              <w:rPr>
                <w:rFonts w:ascii="宋体" w:eastAsia="宋体" w:hint="eastAsia"/>
                <w:sz w:val="21"/>
              </w:rPr>
            </w:pPr>
            <w:r>
              <w:rPr>
                <w:rFonts w:ascii="宋体" w:eastAsia="宋体" w:hint="eastAsia"/>
                <w:sz w:val="21"/>
              </w:rPr>
              <w:t>转入基金费用（</w:t>
            </w:r>
            <w:r>
              <w:rPr>
                <w:sz w:val="21"/>
              </w:rPr>
              <w:t>M=J-L</w:t>
            </w:r>
            <w:r>
              <w:rPr>
                <w:rFonts w:ascii="宋体" w:eastAsia="宋体" w:hint="eastAsia"/>
                <w:sz w:val="21"/>
              </w:rPr>
              <w:t>）</w:t>
            </w:r>
          </w:p>
        </w:tc>
        <w:tc>
          <w:tcPr>
            <w:tcW w:w="3207" w:type="dxa"/>
          </w:tcPr>
          <w:p>
            <w:pPr>
              <w:pStyle w:val="TableParagraph"/>
              <w:spacing w:before="36"/>
              <w:ind w:right="93"/>
              <w:jc w:val="right"/>
              <w:rPr>
                <w:sz w:val="21"/>
              </w:rPr>
            </w:pPr>
            <w:r>
              <w:rPr>
                <w:sz w:val="21"/>
              </w:rPr>
              <w:t>0.00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N</w:t>
            </w:r>
            <w:r>
              <w:rPr>
                <w:rFonts w:ascii="宋体" w:eastAsia="宋体" w:hint="eastAsia"/>
                <w:sz w:val="21"/>
              </w:rPr>
              <w:t>）</w:t>
            </w:r>
          </w:p>
        </w:tc>
        <w:tc>
          <w:tcPr>
            <w:tcW w:w="3207" w:type="dxa"/>
          </w:tcPr>
          <w:p>
            <w:pPr>
              <w:pStyle w:val="TableParagraph"/>
              <w:spacing w:before="34"/>
              <w:ind w:right="93"/>
              <w:jc w:val="right"/>
              <w:rPr>
                <w:sz w:val="21"/>
              </w:rPr>
            </w:pPr>
            <w:r>
              <w:rPr>
                <w:sz w:val="21"/>
              </w:rPr>
              <w:t>1.300</w:t>
            </w:r>
          </w:p>
        </w:tc>
      </w:tr>
      <w:tr>
        <w:trPr>
          <w:trHeight w:val="311" w:hRule="atLeast"/>
        </w:trPr>
        <w:tc>
          <w:tcPr>
            <w:tcW w:w="4225" w:type="dxa"/>
          </w:tcPr>
          <w:p>
            <w:pPr>
              <w:pStyle w:val="TableParagraph"/>
              <w:ind w:left="107"/>
              <w:rPr>
                <w:rFonts w:ascii="宋体" w:eastAsia="宋体" w:hint="eastAsia"/>
                <w:sz w:val="21"/>
              </w:rPr>
            </w:pPr>
            <w:r>
              <w:rPr>
                <w:rFonts w:ascii="宋体" w:eastAsia="宋体" w:hint="eastAsia"/>
                <w:sz w:val="21"/>
              </w:rPr>
              <w:t>转入基金份额（</w:t>
            </w:r>
            <w:r>
              <w:rPr>
                <w:sz w:val="21"/>
              </w:rPr>
              <w:t>O=L/N</w:t>
            </w:r>
            <w:r>
              <w:rPr>
                <w:rFonts w:ascii="宋体" w:eastAsia="宋体" w:hint="eastAsia"/>
                <w:sz w:val="21"/>
              </w:rPr>
              <w:t>）</w:t>
            </w:r>
          </w:p>
        </w:tc>
        <w:tc>
          <w:tcPr>
            <w:tcW w:w="3207" w:type="dxa"/>
          </w:tcPr>
          <w:p>
            <w:pPr>
              <w:pStyle w:val="TableParagraph"/>
              <w:spacing w:before="34"/>
              <w:ind w:right="93"/>
              <w:jc w:val="right"/>
              <w:rPr>
                <w:sz w:val="21"/>
              </w:rPr>
            </w:pPr>
            <w:r>
              <w:rPr>
                <w:sz w:val="21"/>
              </w:rPr>
              <w:t>903.50</w:t>
            </w:r>
          </w:p>
        </w:tc>
      </w:tr>
    </w:tbl>
    <w:p>
      <w:pPr>
        <w:pStyle w:val="BodyText"/>
        <w:spacing w:line="417" w:lineRule="auto" w:before="99"/>
        <w:ind w:left="778" w:right="888" w:firstLine="419"/>
        <w:jc w:val="both"/>
      </w:pPr>
      <w:r>
        <w:rPr>
          <w:spacing w:val="-5"/>
        </w:rPr>
        <w:t>例十：假定投资者在 </w:t>
      </w:r>
      <w:r>
        <w:rPr>
          <w:rFonts w:ascii="Times New Roman" w:eastAsia="Times New Roman"/>
        </w:rPr>
        <w:t>T</w:t>
      </w:r>
      <w:r>
        <w:rPr>
          <w:rFonts w:ascii="Times New Roman" w:eastAsia="Times New Roman"/>
          <w:spacing w:val="33"/>
        </w:rPr>
        <w:t> </w:t>
      </w:r>
      <w:r>
        <w:rPr>
          <w:spacing w:val="-7"/>
        </w:rPr>
        <w:t>日转出 </w:t>
      </w:r>
      <w:r>
        <w:rPr>
          <w:rFonts w:ascii="Times New Roman" w:eastAsia="Times New Roman"/>
        </w:rPr>
        <w:t>10,000,000</w:t>
      </w:r>
      <w:r>
        <w:rPr>
          <w:rFonts w:ascii="Times New Roman" w:eastAsia="Times New Roman"/>
          <w:spacing w:val="32"/>
        </w:rPr>
        <w:t> </w:t>
      </w:r>
      <w:r>
        <w:rPr>
          <w:spacing w:val="-3"/>
        </w:rPr>
        <w:t>份持有期为半年的甲基金基金份额</w:t>
      </w:r>
      <w:r>
        <w:rPr/>
        <w:t>（</w:t>
      </w:r>
      <w:r>
        <w:rPr>
          <w:spacing w:val="-2"/>
        </w:rPr>
        <w:t>后端收</w:t>
      </w:r>
      <w:r>
        <w:rPr>
          <w:spacing w:val="-3"/>
          <w:w w:val="100"/>
        </w:rPr>
        <w:t>费模式</w:t>
      </w:r>
      <w:r>
        <w:rPr>
          <w:spacing w:val="-106"/>
          <w:w w:val="100"/>
        </w:rPr>
        <w:t>）</w:t>
      </w:r>
      <w:r>
        <w:rPr>
          <w:spacing w:val="-3"/>
          <w:w w:val="100"/>
        </w:rPr>
        <w:t>，转出时适用甲基金后端申购费率为</w:t>
      </w:r>
      <w:r>
        <w:rPr>
          <w:spacing w:val="-53"/>
        </w:rPr>
        <w:t> </w:t>
      </w:r>
      <w:r>
        <w:rPr>
          <w:rFonts w:ascii="Times New Roman" w:eastAsia="Times New Roman"/>
          <w:w w:val="100"/>
        </w:rPr>
        <w:t>1</w:t>
      </w:r>
      <w:r>
        <w:rPr>
          <w:rFonts w:ascii="Times New Roman" w:eastAsia="Times New Roman"/>
          <w:spacing w:val="-3"/>
          <w:w w:val="100"/>
        </w:rPr>
        <w:t>.</w:t>
      </w:r>
      <w:r>
        <w:rPr>
          <w:rFonts w:ascii="Times New Roman" w:eastAsia="Times New Roman"/>
          <w:w w:val="100"/>
        </w:rPr>
        <w:t>8</w:t>
      </w:r>
      <w:r>
        <w:rPr>
          <w:rFonts w:ascii="Times New Roman" w:eastAsia="Times New Roman"/>
          <w:spacing w:val="-1"/>
          <w:w w:val="100"/>
        </w:rPr>
        <w:t>%</w:t>
      </w:r>
      <w:r>
        <w:rPr>
          <w:spacing w:val="-3"/>
          <w:w w:val="100"/>
        </w:rPr>
        <w:t>，该日甲基金基金份额净值为</w:t>
      </w:r>
      <w:r>
        <w:rPr>
          <w:spacing w:val="-53"/>
        </w:rPr>
        <w:t> </w:t>
      </w:r>
      <w:r>
        <w:rPr>
          <w:rFonts w:ascii="Times New Roman" w:eastAsia="Times New Roman"/>
          <w:w w:val="100"/>
        </w:rPr>
        <w:t>1.2</w:t>
      </w:r>
      <w:r>
        <w:rPr>
          <w:rFonts w:ascii="Times New Roman" w:eastAsia="Times New Roman"/>
          <w:spacing w:val="-3"/>
          <w:w w:val="100"/>
        </w:rPr>
        <w:t>0</w:t>
      </w:r>
      <w:r>
        <w:rPr>
          <w:rFonts w:ascii="Times New Roman" w:eastAsia="Times New Roman"/>
          <w:w w:val="100"/>
        </w:rPr>
        <w:t>0</w:t>
      </w:r>
      <w:r>
        <w:rPr>
          <w:rFonts w:ascii="Times New Roman" w:eastAsia="Times New Roman"/>
        </w:rPr>
        <w:t> </w:t>
      </w:r>
      <w:r>
        <w:rPr>
          <w:spacing w:val="-3"/>
          <w:w w:val="100"/>
        </w:rPr>
        <w:t>元。</w:t>
      </w:r>
      <w:r>
        <w:rPr>
          <w:spacing w:val="-6"/>
        </w:rPr>
        <w:t>甲基金前端申购费率最高档为 </w:t>
      </w:r>
      <w:r>
        <w:rPr>
          <w:rFonts w:ascii="Times New Roman" w:eastAsia="Times New Roman"/>
          <w:spacing w:val="-14"/>
        </w:rPr>
        <w:t>1.5%</w:t>
      </w:r>
      <w:r>
        <w:rPr>
          <w:spacing w:val="-10"/>
        </w:rPr>
        <w:t>，赎回费率为 </w:t>
      </w:r>
      <w:r>
        <w:rPr>
          <w:rFonts w:ascii="Times New Roman" w:eastAsia="Times New Roman"/>
        </w:rPr>
        <w:t>0.5%</w:t>
      </w:r>
      <w:r>
        <w:rPr>
          <w:spacing w:val="-13"/>
        </w:rPr>
        <w:t>。申购日甲基金基金份额净值为 </w:t>
      </w:r>
      <w:r>
        <w:rPr>
          <w:rFonts w:ascii="Times New Roman" w:eastAsia="Times New Roman"/>
        </w:rPr>
        <w:t>1.100 </w:t>
      </w:r>
      <w:r>
        <w:rPr/>
        <w:t>元。</w:t>
      </w:r>
    </w:p>
    <w:p>
      <w:pPr>
        <w:pStyle w:val="ListParagraph"/>
        <w:numPr>
          <w:ilvl w:val="0"/>
          <w:numId w:val="21"/>
        </w:numPr>
        <w:tabs>
          <w:tab w:pos="1727" w:val="left" w:leader="none"/>
        </w:tabs>
        <w:spacing w:line="417" w:lineRule="auto" w:before="0" w:after="0"/>
        <w:ind w:left="778" w:right="888" w:firstLine="419"/>
        <w:jc w:val="both"/>
        <w:rPr>
          <w:sz w:val="21"/>
        </w:rPr>
      </w:pPr>
      <w:r>
        <w:rPr/>
        <w:pict>
          <v:shape style="position:absolute;margin-left:111.620003pt;margin-top:65.220039pt;width:372.45pt;height:242.1pt;mso-position-horizontal-relative:page;mso-position-vertical-relative:paragraph;z-index:2516797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27"/>
                    <w:gridCol w:w="3207"/>
                  </w:tblGrid>
                  <w:tr>
                    <w:trPr>
                      <w:trHeight w:val="311" w:hRule="atLeast"/>
                    </w:trPr>
                    <w:tc>
                      <w:tcPr>
                        <w:tcW w:w="4227" w:type="dxa"/>
                      </w:tcPr>
                      <w:p>
                        <w:pPr>
                          <w:pStyle w:val="TableParagraph"/>
                          <w:ind w:left="1882" w:right="1875"/>
                          <w:jc w:val="center"/>
                          <w:rPr>
                            <w:rFonts w:ascii="宋体" w:eastAsia="宋体" w:hint="eastAsia"/>
                            <w:sz w:val="21"/>
                          </w:rPr>
                        </w:pPr>
                        <w:r>
                          <w:rPr>
                            <w:rFonts w:ascii="宋体" w:eastAsia="宋体" w:hint="eastAsia"/>
                            <w:sz w:val="21"/>
                          </w:rPr>
                          <w:t>项目</w:t>
                        </w:r>
                      </w:p>
                    </w:tc>
                    <w:tc>
                      <w:tcPr>
                        <w:tcW w:w="3207" w:type="dxa"/>
                      </w:tcPr>
                      <w:p>
                        <w:pPr>
                          <w:pStyle w:val="TableParagraph"/>
                          <w:ind w:left="1164" w:right="1152"/>
                          <w:jc w:val="center"/>
                          <w:rPr>
                            <w:rFonts w:ascii="宋体" w:eastAsia="宋体" w:hint="eastAsia"/>
                            <w:sz w:val="21"/>
                          </w:rPr>
                        </w:pPr>
                        <w:r>
                          <w:rPr>
                            <w:rFonts w:ascii="宋体" w:eastAsia="宋体" w:hint="eastAsia"/>
                            <w:sz w:val="21"/>
                          </w:rPr>
                          <w:t>费用计算</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07" w:type="dxa"/>
                      </w:tcPr>
                      <w:p>
                        <w:pPr>
                          <w:pStyle w:val="TableParagraph"/>
                          <w:spacing w:before="34"/>
                          <w:ind w:right="91"/>
                          <w:jc w:val="right"/>
                          <w:rPr>
                            <w:sz w:val="21"/>
                          </w:rPr>
                        </w:pPr>
                        <w:r>
                          <w:rPr>
                            <w:sz w:val="21"/>
                          </w:rPr>
                          <w:t>10,000,000.00</w:t>
                        </w:r>
                      </w:p>
                    </w:tc>
                  </w:tr>
                  <w:tr>
                    <w:trPr>
                      <w:trHeight w:val="313" w:hRule="atLeast"/>
                    </w:trPr>
                    <w:tc>
                      <w:tcPr>
                        <w:tcW w:w="4227" w:type="dxa"/>
                      </w:tcPr>
                      <w:p>
                        <w:pPr>
                          <w:pStyle w:val="TableParagraph"/>
                          <w:spacing w:before="25"/>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07" w:type="dxa"/>
                      </w:tcPr>
                      <w:p>
                        <w:pPr>
                          <w:pStyle w:val="TableParagraph"/>
                          <w:spacing w:before="36"/>
                          <w:ind w:right="92"/>
                          <w:jc w:val="right"/>
                          <w:rPr>
                            <w:sz w:val="21"/>
                          </w:rPr>
                        </w:pPr>
                        <w:r>
                          <w:rPr>
                            <w:sz w:val="21"/>
                          </w:rPr>
                          <w:t>1.200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07" w:type="dxa"/>
                      </w:tcPr>
                      <w:p>
                        <w:pPr>
                          <w:pStyle w:val="TableParagraph"/>
                          <w:spacing w:before="34"/>
                          <w:ind w:right="91"/>
                          <w:jc w:val="right"/>
                          <w:rPr>
                            <w:sz w:val="21"/>
                          </w:rPr>
                        </w:pPr>
                        <w:r>
                          <w:rPr>
                            <w:sz w:val="21"/>
                          </w:rPr>
                          <w:t>12,000,000.00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07" w:type="dxa"/>
                      </w:tcPr>
                      <w:p>
                        <w:pPr>
                          <w:pStyle w:val="TableParagraph"/>
                          <w:spacing w:before="34"/>
                          <w:ind w:right="90"/>
                          <w:jc w:val="right"/>
                          <w:rPr>
                            <w:sz w:val="21"/>
                          </w:rPr>
                        </w:pPr>
                        <w:r>
                          <w:rPr>
                            <w:sz w:val="21"/>
                          </w:rPr>
                          <w:t>0.5%</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07" w:type="dxa"/>
                      </w:tcPr>
                      <w:p>
                        <w:pPr>
                          <w:pStyle w:val="TableParagraph"/>
                          <w:spacing w:before="34"/>
                          <w:ind w:right="91"/>
                          <w:jc w:val="right"/>
                          <w:rPr>
                            <w:sz w:val="21"/>
                          </w:rPr>
                        </w:pPr>
                        <w:r>
                          <w:rPr>
                            <w:sz w:val="21"/>
                          </w:rPr>
                          <w:t>60,000.00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07" w:type="dxa"/>
                      </w:tcPr>
                      <w:p>
                        <w:pPr>
                          <w:pStyle w:val="TableParagraph"/>
                          <w:spacing w:before="34"/>
                          <w:ind w:right="92"/>
                          <w:jc w:val="right"/>
                          <w:rPr>
                            <w:sz w:val="21"/>
                          </w:rPr>
                        </w:pPr>
                        <w:r>
                          <w:rPr>
                            <w:sz w:val="21"/>
                          </w:rPr>
                          <w:t>1.100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07" w:type="dxa"/>
                      </w:tcPr>
                      <w:p>
                        <w:pPr>
                          <w:pStyle w:val="TableParagraph"/>
                          <w:spacing w:before="34"/>
                          <w:ind w:right="90"/>
                          <w:jc w:val="right"/>
                          <w:rPr>
                            <w:sz w:val="21"/>
                          </w:rPr>
                        </w:pPr>
                        <w:r>
                          <w:rPr>
                            <w:sz w:val="21"/>
                          </w:rPr>
                          <w:t>1.8%</w:t>
                        </w:r>
                      </w:p>
                    </w:tc>
                  </w:tr>
                  <w:tr>
                    <w:trPr>
                      <w:trHeight w:val="314" w:hRule="atLeast"/>
                    </w:trPr>
                    <w:tc>
                      <w:tcPr>
                        <w:tcW w:w="4227" w:type="dxa"/>
                      </w:tcPr>
                      <w:p>
                        <w:pPr>
                          <w:pStyle w:val="TableParagraph"/>
                          <w:spacing w:before="25"/>
                          <w:ind w:left="105"/>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07" w:type="dxa"/>
                      </w:tcPr>
                      <w:p>
                        <w:pPr>
                          <w:pStyle w:val="TableParagraph"/>
                          <w:spacing w:before="36"/>
                          <w:ind w:right="91"/>
                          <w:jc w:val="right"/>
                          <w:rPr>
                            <w:sz w:val="21"/>
                          </w:rPr>
                        </w:pPr>
                        <w:r>
                          <w:rPr>
                            <w:sz w:val="21"/>
                          </w:rPr>
                          <w:t>194,499.02</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07" w:type="dxa"/>
                      </w:tcPr>
                      <w:p>
                        <w:pPr>
                          <w:pStyle w:val="TableParagraph"/>
                          <w:spacing w:before="34"/>
                          <w:ind w:right="91"/>
                          <w:jc w:val="right"/>
                          <w:rPr>
                            <w:sz w:val="21"/>
                          </w:rPr>
                        </w:pPr>
                        <w:r>
                          <w:rPr>
                            <w:sz w:val="21"/>
                          </w:rPr>
                          <w:t>254,499.02</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07" w:type="dxa"/>
                      </w:tcPr>
                      <w:p>
                        <w:pPr>
                          <w:pStyle w:val="TableParagraph"/>
                          <w:spacing w:before="34"/>
                          <w:ind w:right="91"/>
                          <w:jc w:val="right"/>
                          <w:rPr>
                            <w:sz w:val="21"/>
                          </w:rPr>
                        </w:pPr>
                        <w:r>
                          <w:rPr>
                            <w:sz w:val="21"/>
                          </w:rPr>
                          <w:t>11,745,500.98</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07" w:type="dxa"/>
                      </w:tcPr>
                      <w:p>
                        <w:pPr>
                          <w:pStyle w:val="TableParagraph"/>
                          <w:spacing w:before="34"/>
                          <w:ind w:right="91"/>
                          <w:jc w:val="right"/>
                          <w:rPr>
                            <w:sz w:val="21"/>
                          </w:rPr>
                        </w:pPr>
                        <w:r>
                          <w:rPr>
                            <w:sz w:val="21"/>
                          </w:rPr>
                          <w:t>1,000.00</w:t>
                        </w:r>
                      </w:p>
                    </w:tc>
                  </w:tr>
                  <w:tr>
                    <w:trPr>
                      <w:trHeight w:val="311" w:hRule="atLeast"/>
                    </w:trPr>
                    <w:tc>
                      <w:tcPr>
                        <w:tcW w:w="4227" w:type="dxa"/>
                      </w:tcPr>
                      <w:p>
                        <w:pPr>
                          <w:pStyle w:val="TableParagraph"/>
                          <w:ind w:left="105"/>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07" w:type="dxa"/>
                      </w:tcPr>
                      <w:p>
                        <w:pPr>
                          <w:pStyle w:val="TableParagraph"/>
                          <w:spacing w:before="34"/>
                          <w:ind w:right="91"/>
                          <w:jc w:val="right"/>
                          <w:rPr>
                            <w:sz w:val="21"/>
                          </w:rPr>
                        </w:pPr>
                        <w:r>
                          <w:rPr>
                            <w:sz w:val="21"/>
                          </w:rPr>
                          <w:t>11,744,500.98</w:t>
                        </w:r>
                      </w:p>
                    </w:tc>
                  </w:tr>
                  <w:tr>
                    <w:trPr>
                      <w:trHeight w:val="312" w:hRule="atLeast"/>
                    </w:trPr>
                    <w:tc>
                      <w:tcPr>
                        <w:tcW w:w="4227" w:type="dxa"/>
                      </w:tcPr>
                      <w:p>
                        <w:pPr>
                          <w:pStyle w:val="TableParagraph"/>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07" w:type="dxa"/>
                      </w:tcPr>
                      <w:p>
                        <w:pPr>
                          <w:pStyle w:val="TableParagraph"/>
                          <w:spacing w:before="34"/>
                          <w:ind w:right="92"/>
                          <w:jc w:val="right"/>
                          <w:rPr>
                            <w:sz w:val="21"/>
                          </w:rPr>
                        </w:pPr>
                        <w:r>
                          <w:rPr>
                            <w:sz w:val="21"/>
                          </w:rPr>
                          <w:t>1.300</w:t>
                        </w:r>
                      </w:p>
                    </w:tc>
                  </w:tr>
                  <w:tr>
                    <w:trPr>
                      <w:trHeight w:val="314" w:hRule="atLeast"/>
                    </w:trPr>
                    <w:tc>
                      <w:tcPr>
                        <w:tcW w:w="4227" w:type="dxa"/>
                      </w:tcPr>
                      <w:p>
                        <w:pPr>
                          <w:pStyle w:val="TableParagraph"/>
                          <w:spacing w:before="25"/>
                          <w:ind w:left="105"/>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07" w:type="dxa"/>
                      </w:tcPr>
                      <w:p>
                        <w:pPr>
                          <w:pStyle w:val="TableParagraph"/>
                          <w:spacing w:before="36"/>
                          <w:ind w:right="91"/>
                          <w:jc w:val="right"/>
                          <w:rPr>
                            <w:sz w:val="21"/>
                          </w:rPr>
                        </w:pPr>
                        <w:r>
                          <w:rPr>
                            <w:sz w:val="21"/>
                          </w:rPr>
                          <w:t>9,034,231.52</w:t>
                        </w:r>
                      </w:p>
                    </w:tc>
                  </w:tr>
                </w:tbl>
                <w:p>
                  <w:pPr>
                    <w:pStyle w:val="BodyText"/>
                  </w:pPr>
                </w:p>
              </w:txbxContent>
            </v:textbox>
            <w10:wrap type="none"/>
          </v:shape>
        </w:pict>
      </w:r>
      <w:r>
        <w:rPr>
          <w:w w:val="100"/>
          <w:sz w:val="21"/>
        </w:rPr>
        <w:t>若</w:t>
      </w:r>
      <w:r>
        <w:rPr>
          <w:spacing w:val="-55"/>
          <w:sz w:val="21"/>
        </w:rPr>
        <w:t> </w:t>
      </w:r>
      <w:r>
        <w:rPr>
          <w:rFonts w:ascii="Times New Roman" w:eastAsia="Times New Roman"/>
          <w:w w:val="100"/>
          <w:sz w:val="21"/>
        </w:rPr>
        <w:t>T</w:t>
      </w:r>
      <w:r>
        <w:rPr>
          <w:rFonts w:ascii="Times New Roman" w:eastAsia="Times New Roman"/>
          <w:sz w:val="21"/>
        </w:rPr>
        <w:t> </w:t>
      </w:r>
      <w:r>
        <w:rPr>
          <w:spacing w:val="-5"/>
          <w:w w:val="100"/>
          <w:sz w:val="21"/>
        </w:rPr>
        <w:t>日转入乙基金</w:t>
      </w:r>
      <w:r>
        <w:rPr>
          <w:spacing w:val="-3"/>
          <w:w w:val="100"/>
          <w:sz w:val="21"/>
        </w:rPr>
        <w:t>（</w:t>
      </w:r>
      <w:r>
        <w:rPr>
          <w:spacing w:val="-2"/>
          <w:w w:val="100"/>
          <w:sz w:val="21"/>
        </w:rPr>
        <w:t>前端收费模式</w:t>
      </w:r>
      <w:r>
        <w:rPr>
          <w:spacing w:val="-108"/>
          <w:w w:val="100"/>
          <w:sz w:val="21"/>
        </w:rPr>
        <w:t>）</w:t>
      </w:r>
      <w:r>
        <w:rPr>
          <w:spacing w:val="-5"/>
          <w:w w:val="100"/>
          <w:sz w:val="21"/>
        </w:rPr>
        <w:t>，且乙基金适用的申购费用为</w:t>
      </w:r>
      <w:r>
        <w:rPr>
          <w:spacing w:val="-53"/>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5"/>
          <w:w w:val="100"/>
          <w:sz w:val="21"/>
        </w:rPr>
        <w:t>元，乙基</w:t>
      </w:r>
      <w:r>
        <w:rPr>
          <w:spacing w:val="-5"/>
          <w:sz w:val="21"/>
        </w:rPr>
        <w:t>金前端申购费率最高档为 </w:t>
      </w:r>
      <w:r>
        <w:rPr>
          <w:rFonts w:ascii="Times New Roman" w:eastAsia="Times New Roman"/>
          <w:sz w:val="21"/>
        </w:rPr>
        <w:t>2.0%</w:t>
      </w:r>
      <w:r>
        <w:rPr>
          <w:spacing w:val="-4"/>
          <w:sz w:val="21"/>
        </w:rPr>
        <w:t>，该日乙基金基金份额净值为 </w:t>
      </w:r>
      <w:r>
        <w:rPr>
          <w:rFonts w:ascii="Times New Roman" w:eastAsia="Times New Roman"/>
          <w:sz w:val="21"/>
        </w:rPr>
        <w:t>1.300</w:t>
      </w:r>
      <w:r>
        <w:rPr>
          <w:rFonts w:ascii="Times New Roman" w:eastAsia="Times New Roman"/>
          <w:spacing w:val="44"/>
          <w:sz w:val="21"/>
        </w:rPr>
        <w:t> </w:t>
      </w:r>
      <w:r>
        <w:rPr>
          <w:spacing w:val="-3"/>
          <w:sz w:val="21"/>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ListParagraph"/>
        <w:numPr>
          <w:ilvl w:val="0"/>
          <w:numId w:val="21"/>
        </w:numPr>
        <w:tabs>
          <w:tab w:pos="1727" w:val="left" w:leader="none"/>
        </w:tabs>
        <w:spacing w:line="417" w:lineRule="auto" w:before="0" w:after="0"/>
        <w:ind w:left="778" w:right="888" w:firstLine="419"/>
        <w:jc w:val="both"/>
        <w:rPr>
          <w:sz w:val="21"/>
        </w:rPr>
      </w:pPr>
      <w:r>
        <w:rPr/>
        <w:pict>
          <v:shape style="position:absolute;margin-left:111.139999pt;margin-top:65.220016pt;width:373.4pt;height:97.1pt;mso-position-horizontal-relative:page;mso-position-vertical-relative:paragraph;z-index:2516807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1" w:hRule="atLeast"/>
                    </w:trPr>
                    <w:tc>
                      <w:tcPr>
                        <w:tcW w:w="4237" w:type="dxa"/>
                      </w:tcPr>
                      <w:p>
                        <w:pPr>
                          <w:pStyle w:val="TableParagraph"/>
                          <w:ind w:left="1884" w:right="1877"/>
                          <w:jc w:val="center"/>
                          <w:rPr>
                            <w:rFonts w:ascii="宋体" w:eastAsia="宋体" w:hint="eastAsia"/>
                            <w:sz w:val="21"/>
                          </w:rPr>
                        </w:pPr>
                        <w:r>
                          <w:rPr>
                            <w:rFonts w:ascii="宋体" w:eastAsia="宋体" w:hint="eastAsia"/>
                            <w:sz w:val="21"/>
                          </w:rPr>
                          <w:t>项目</w:t>
                        </w:r>
                      </w:p>
                    </w:tc>
                    <w:tc>
                      <w:tcPr>
                        <w:tcW w:w="3217" w:type="dxa"/>
                      </w:tcPr>
                      <w:p>
                        <w:pPr>
                          <w:pStyle w:val="TableParagraph"/>
                          <w:ind w:left="1168" w:right="1157"/>
                          <w:jc w:val="center"/>
                          <w:rPr>
                            <w:rFonts w:ascii="宋体" w:eastAsia="宋体" w:hint="eastAsia"/>
                            <w:sz w:val="21"/>
                          </w:rPr>
                        </w:pPr>
                        <w:r>
                          <w:rPr>
                            <w:rFonts w:ascii="宋体" w:eastAsia="宋体" w:hint="eastAsia"/>
                            <w:sz w:val="21"/>
                          </w:rPr>
                          <w:t>费用计算</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4"/>
                          <w:jc w:val="right"/>
                          <w:rPr>
                            <w:sz w:val="21"/>
                          </w:rPr>
                        </w:pPr>
                        <w:r>
                          <w:rPr>
                            <w:sz w:val="21"/>
                          </w:rPr>
                          <w:t>10,000,000.00</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jc w:val="right"/>
                          <w:rPr>
                            <w:sz w:val="21"/>
                          </w:rPr>
                        </w:pPr>
                        <w:r>
                          <w:rPr>
                            <w:sz w:val="21"/>
                          </w:rPr>
                          <w:t>1.200</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4"/>
                          <w:ind w:right="94"/>
                          <w:jc w:val="right"/>
                          <w:rPr>
                            <w:sz w:val="21"/>
                          </w:rPr>
                        </w:pPr>
                        <w:r>
                          <w:rPr>
                            <w:sz w:val="21"/>
                          </w:rPr>
                          <w:t>12,000,000.00</w:t>
                        </w:r>
                      </w:p>
                    </w:tc>
                  </w:tr>
                  <w:tr>
                    <w:trPr>
                      <w:trHeight w:val="314" w:hRule="atLeast"/>
                    </w:trPr>
                    <w:tc>
                      <w:tcPr>
                        <w:tcW w:w="4237" w:type="dxa"/>
                      </w:tcPr>
                      <w:p>
                        <w:pPr>
                          <w:pStyle w:val="TableParagraph"/>
                          <w:spacing w:before="25"/>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before="37"/>
                          <w:ind w:right="93"/>
                          <w:jc w:val="right"/>
                          <w:rPr>
                            <w:sz w:val="21"/>
                          </w:rPr>
                        </w:pPr>
                        <w:r>
                          <w:rPr>
                            <w:sz w:val="21"/>
                          </w:rPr>
                          <w:t>0.5%</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before="34"/>
                          <w:ind w:right="94"/>
                          <w:jc w:val="right"/>
                          <w:rPr>
                            <w:sz w:val="21"/>
                          </w:rPr>
                        </w:pPr>
                        <w:r>
                          <w:rPr>
                            <w:sz w:val="21"/>
                          </w:rPr>
                          <w:t>60,000.00</w:t>
                        </w:r>
                      </w:p>
                    </w:tc>
                  </w:tr>
                </w:tbl>
                <w:p>
                  <w:pPr>
                    <w:pStyle w:val="BodyText"/>
                  </w:pPr>
                </w:p>
              </w:txbxContent>
            </v:textbox>
            <w10:wrap type="none"/>
          </v:shape>
        </w:pict>
      </w:r>
      <w:r>
        <w:rPr>
          <w:w w:val="100"/>
          <w:sz w:val="21"/>
        </w:rPr>
        <w:t>若</w:t>
      </w:r>
      <w:r>
        <w:rPr>
          <w:spacing w:val="-55"/>
          <w:sz w:val="21"/>
        </w:rPr>
        <w:t> </w:t>
      </w:r>
      <w:r>
        <w:rPr>
          <w:rFonts w:ascii="Times New Roman" w:eastAsia="Times New Roman"/>
          <w:w w:val="100"/>
          <w:sz w:val="21"/>
        </w:rPr>
        <w:t>T</w:t>
      </w:r>
      <w:r>
        <w:rPr>
          <w:rFonts w:ascii="Times New Roman" w:eastAsia="Times New Roman"/>
          <w:sz w:val="21"/>
        </w:rPr>
        <w:t> </w:t>
      </w:r>
      <w:r>
        <w:rPr>
          <w:spacing w:val="-5"/>
          <w:w w:val="100"/>
          <w:sz w:val="21"/>
        </w:rPr>
        <w:t>日转入丙基金</w:t>
      </w:r>
      <w:r>
        <w:rPr>
          <w:spacing w:val="-3"/>
          <w:w w:val="100"/>
          <w:sz w:val="21"/>
        </w:rPr>
        <w:t>（</w:t>
      </w:r>
      <w:r>
        <w:rPr>
          <w:spacing w:val="-2"/>
          <w:w w:val="100"/>
          <w:sz w:val="21"/>
        </w:rPr>
        <w:t>前端收费模式</w:t>
      </w:r>
      <w:r>
        <w:rPr>
          <w:spacing w:val="-108"/>
          <w:w w:val="100"/>
          <w:sz w:val="21"/>
        </w:rPr>
        <w:t>）</w:t>
      </w:r>
      <w:r>
        <w:rPr>
          <w:spacing w:val="-5"/>
          <w:w w:val="100"/>
          <w:sz w:val="21"/>
        </w:rPr>
        <w:t>，且丙基金适用的申购费用为</w:t>
      </w:r>
      <w:r>
        <w:rPr>
          <w:spacing w:val="-53"/>
          <w:sz w:val="21"/>
        </w:rPr>
        <w:t> </w:t>
      </w:r>
      <w:r>
        <w:rPr>
          <w:rFonts w:ascii="Times New Roman" w:eastAsia="Times New Roman"/>
          <w:w w:val="100"/>
          <w:sz w:val="21"/>
        </w:rPr>
        <w:t>1</w:t>
      </w:r>
      <w:r>
        <w:rPr>
          <w:rFonts w:ascii="Times New Roman" w:eastAsia="Times New Roman"/>
          <w:spacing w:val="-3"/>
          <w:w w:val="100"/>
          <w:sz w:val="21"/>
        </w:rPr>
        <w:t>,</w:t>
      </w:r>
      <w:r>
        <w:rPr>
          <w:rFonts w:ascii="Times New Roman" w:eastAsia="Times New Roman"/>
          <w:w w:val="100"/>
          <w:sz w:val="21"/>
        </w:rPr>
        <w:t>000</w:t>
      </w:r>
      <w:r>
        <w:rPr>
          <w:rFonts w:ascii="Times New Roman" w:eastAsia="Times New Roman"/>
          <w:spacing w:val="-2"/>
          <w:sz w:val="21"/>
        </w:rPr>
        <w:t> </w:t>
      </w:r>
      <w:r>
        <w:rPr>
          <w:spacing w:val="-5"/>
          <w:w w:val="100"/>
          <w:sz w:val="21"/>
        </w:rPr>
        <w:t>元，丙基</w:t>
      </w:r>
      <w:r>
        <w:rPr>
          <w:spacing w:val="-5"/>
          <w:sz w:val="21"/>
        </w:rPr>
        <w:t>金前端申购费率最高档为 </w:t>
      </w:r>
      <w:r>
        <w:rPr>
          <w:rFonts w:ascii="Times New Roman" w:eastAsia="Times New Roman"/>
          <w:sz w:val="21"/>
        </w:rPr>
        <w:t>1.2%</w:t>
      </w:r>
      <w:r>
        <w:rPr>
          <w:spacing w:val="-4"/>
          <w:sz w:val="21"/>
        </w:rPr>
        <w:t>，该日丙基金基金份额净值为 </w:t>
      </w:r>
      <w:r>
        <w:rPr>
          <w:rFonts w:ascii="Times New Roman" w:eastAsia="Times New Roman"/>
          <w:sz w:val="21"/>
        </w:rPr>
        <w:t>1.300</w:t>
      </w:r>
      <w:r>
        <w:rPr>
          <w:rFonts w:ascii="Times New Roman" w:eastAsia="Times New Roman"/>
          <w:spacing w:val="44"/>
          <w:sz w:val="21"/>
        </w:rPr>
        <w:t> </w:t>
      </w:r>
      <w:r>
        <w:rPr>
          <w:spacing w:val="-3"/>
          <w:sz w:val="21"/>
        </w:rPr>
        <w:t>元。则转出基金费用、转入基金费用及份额计算如下：</w:t>
      </w:r>
    </w:p>
    <w:p>
      <w:pPr>
        <w:spacing w:after="0" w:line="417" w:lineRule="auto"/>
        <w:jc w:val="both"/>
        <w:rPr>
          <w:sz w:val="21"/>
        </w:rPr>
        <w:sectPr>
          <w:pgSz w:w="11910" w:h="16840"/>
          <w:pgMar w:header="877" w:footer="995" w:top="1280" w:bottom="1180" w:left="1020" w:right="900"/>
        </w:sectPr>
      </w:pPr>
    </w:p>
    <w:p>
      <w:pPr>
        <w:pStyle w:val="BodyText"/>
        <w:spacing w:before="4"/>
        <w:rPr>
          <w:sz w:val="10"/>
        </w:rPr>
      </w:pPr>
    </w:p>
    <w:tbl>
      <w:tblPr>
        <w:tblW w:w="0" w:type="auto"/>
        <w:jc w:val="left"/>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7"/>
        <w:gridCol w:w="3217"/>
      </w:tblGrid>
      <w:tr>
        <w:trPr>
          <w:trHeight w:val="312" w:hRule="atLeast"/>
        </w:trPr>
        <w:tc>
          <w:tcPr>
            <w:tcW w:w="4237" w:type="dxa"/>
          </w:tcPr>
          <w:p>
            <w:pPr>
              <w:pStyle w:val="TableParagraph"/>
              <w:spacing w:before="23"/>
              <w:ind w:left="105"/>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before="34"/>
              <w:ind w:right="94"/>
              <w:jc w:val="right"/>
              <w:rPr>
                <w:sz w:val="21"/>
              </w:rPr>
            </w:pPr>
            <w:r>
              <w:rPr>
                <w:sz w:val="21"/>
              </w:rPr>
              <w:t>1.100</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before="34"/>
              <w:ind w:right="93"/>
              <w:jc w:val="right"/>
              <w:rPr>
                <w:sz w:val="21"/>
              </w:rPr>
            </w:pPr>
            <w:r>
              <w:rPr>
                <w:sz w:val="21"/>
              </w:rPr>
              <w:t>1.8%</w:t>
            </w:r>
          </w:p>
        </w:tc>
      </w:tr>
      <w:tr>
        <w:trPr>
          <w:trHeight w:val="311" w:hRule="atLeast"/>
        </w:trPr>
        <w:tc>
          <w:tcPr>
            <w:tcW w:w="4237" w:type="dxa"/>
          </w:tcPr>
          <w:p>
            <w:pPr>
              <w:pStyle w:val="TableParagraph"/>
              <w:ind w:left="105"/>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before="34"/>
              <w:ind w:right="94"/>
              <w:jc w:val="right"/>
              <w:rPr>
                <w:sz w:val="21"/>
              </w:rPr>
            </w:pPr>
            <w:r>
              <w:rPr>
                <w:sz w:val="21"/>
              </w:rPr>
              <w:t>194,499.02</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before="34"/>
              <w:ind w:right="94"/>
              <w:jc w:val="right"/>
              <w:rPr>
                <w:sz w:val="21"/>
              </w:rPr>
            </w:pPr>
            <w:r>
              <w:rPr>
                <w:sz w:val="21"/>
              </w:rPr>
              <w:t>254,499.02</w:t>
            </w:r>
          </w:p>
        </w:tc>
      </w:tr>
      <w:tr>
        <w:trPr>
          <w:trHeight w:val="313" w:hRule="atLeast"/>
        </w:trPr>
        <w:tc>
          <w:tcPr>
            <w:tcW w:w="4237" w:type="dxa"/>
          </w:tcPr>
          <w:p>
            <w:pPr>
              <w:pStyle w:val="TableParagraph"/>
              <w:spacing w:before="25"/>
              <w:ind w:left="105"/>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before="36"/>
              <w:ind w:right="94"/>
              <w:jc w:val="right"/>
              <w:rPr>
                <w:sz w:val="21"/>
              </w:rPr>
            </w:pPr>
            <w:r>
              <w:rPr>
                <w:sz w:val="21"/>
              </w:rPr>
              <w:t>11,745,500.98</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17" w:type="dxa"/>
          </w:tcPr>
          <w:p>
            <w:pPr>
              <w:pStyle w:val="TableParagraph"/>
              <w:spacing w:before="34"/>
              <w:ind w:right="94"/>
              <w:jc w:val="right"/>
              <w:rPr>
                <w:sz w:val="21"/>
              </w:rPr>
            </w:pPr>
            <w:r>
              <w:rPr>
                <w:sz w:val="21"/>
              </w:rPr>
              <w:t>0.00</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17" w:type="dxa"/>
          </w:tcPr>
          <w:p>
            <w:pPr>
              <w:pStyle w:val="TableParagraph"/>
              <w:spacing w:before="34"/>
              <w:ind w:right="94"/>
              <w:jc w:val="right"/>
              <w:rPr>
                <w:sz w:val="21"/>
              </w:rPr>
            </w:pPr>
            <w:r>
              <w:rPr>
                <w:sz w:val="21"/>
              </w:rPr>
              <w:t>11,745,500.98</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17" w:type="dxa"/>
          </w:tcPr>
          <w:p>
            <w:pPr>
              <w:pStyle w:val="TableParagraph"/>
              <w:spacing w:before="34"/>
              <w:ind w:right="94"/>
              <w:jc w:val="right"/>
              <w:rPr>
                <w:sz w:val="21"/>
              </w:rPr>
            </w:pPr>
            <w:r>
              <w:rPr>
                <w:sz w:val="21"/>
              </w:rPr>
              <w:t>1.300</w:t>
            </w:r>
          </w:p>
        </w:tc>
      </w:tr>
      <w:tr>
        <w:trPr>
          <w:trHeight w:val="311" w:hRule="atLeast"/>
        </w:trPr>
        <w:tc>
          <w:tcPr>
            <w:tcW w:w="4237" w:type="dxa"/>
          </w:tcPr>
          <w:p>
            <w:pPr>
              <w:pStyle w:val="TableParagraph"/>
              <w:ind w:left="105"/>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17" w:type="dxa"/>
          </w:tcPr>
          <w:p>
            <w:pPr>
              <w:pStyle w:val="TableParagraph"/>
              <w:spacing w:before="34"/>
              <w:ind w:right="94"/>
              <w:jc w:val="right"/>
              <w:rPr>
                <w:sz w:val="21"/>
              </w:rPr>
            </w:pPr>
            <w:r>
              <w:rPr>
                <w:sz w:val="21"/>
              </w:rPr>
              <w:t>9,035,000.75</w:t>
            </w:r>
          </w:p>
        </w:tc>
      </w:tr>
    </w:tbl>
    <w:p>
      <w:pPr>
        <w:pStyle w:val="BodyText"/>
        <w:spacing w:before="99"/>
        <w:ind w:left="1198"/>
        <w:jc w:val="both"/>
        <w:rPr>
          <w:rFonts w:ascii="Times New Roman" w:eastAsia="Times New Roman"/>
        </w:rPr>
      </w:pPr>
      <w:r>
        <w:rPr/>
        <w:t>例十一：假定投资者在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日成功提交了基金转换申请，转出持有期为 </w:t>
      </w:r>
      <w:r>
        <w:rPr>
          <w:rFonts w:ascii="Times New Roman" w:eastAsia="Times New Roman"/>
        </w:rPr>
        <w:t>3</w:t>
      </w:r>
    </w:p>
    <w:p>
      <w:pPr>
        <w:pStyle w:val="BodyText"/>
        <w:spacing w:before="4"/>
        <w:rPr>
          <w:rFonts w:ascii="Times New Roman"/>
          <w:sz w:val="17"/>
        </w:rPr>
      </w:pPr>
    </w:p>
    <w:p>
      <w:pPr>
        <w:pStyle w:val="BodyText"/>
        <w:spacing w:line="417" w:lineRule="auto"/>
        <w:ind w:left="778" w:right="889"/>
        <w:jc w:val="both"/>
      </w:pPr>
      <w:r>
        <w:rPr/>
        <w:pict>
          <v:shape style="position:absolute;margin-left:111.260002pt;margin-top:88.619987pt;width:373.3pt;height:242.1pt;mso-position-horizontal-relative:page;mso-position-vertical-relative:paragraph;z-index:2516817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7"/>
                  </w:tblGrid>
                  <w:tr>
                    <w:trPr>
                      <w:trHeight w:val="313" w:hRule="atLeast"/>
                    </w:trPr>
                    <w:tc>
                      <w:tcPr>
                        <w:tcW w:w="4235" w:type="dxa"/>
                      </w:tcPr>
                      <w:p>
                        <w:pPr>
                          <w:pStyle w:val="TableParagraph"/>
                          <w:spacing w:line="250" w:lineRule="exact" w:before="44"/>
                          <w:ind w:left="1882" w:right="1878"/>
                          <w:jc w:val="center"/>
                          <w:rPr>
                            <w:rFonts w:ascii="宋体" w:eastAsia="宋体" w:hint="eastAsia"/>
                            <w:sz w:val="21"/>
                          </w:rPr>
                        </w:pPr>
                        <w:r>
                          <w:rPr>
                            <w:rFonts w:ascii="宋体" w:eastAsia="宋体" w:hint="eastAsia"/>
                            <w:sz w:val="21"/>
                          </w:rPr>
                          <w:t>项目</w:t>
                        </w:r>
                      </w:p>
                    </w:tc>
                    <w:tc>
                      <w:tcPr>
                        <w:tcW w:w="3217" w:type="dxa"/>
                      </w:tcPr>
                      <w:p>
                        <w:pPr>
                          <w:pStyle w:val="TableParagraph"/>
                          <w:spacing w:line="250" w:lineRule="exact" w:before="44"/>
                          <w:ind w:left="1168" w:right="1158"/>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spacing w:line="250" w:lineRule="exact" w:before="41"/>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line="226" w:lineRule="exact" w:before="65"/>
                          <w:ind w:right="95"/>
                          <w:jc w:val="right"/>
                          <w:rPr>
                            <w:sz w:val="21"/>
                          </w:rPr>
                        </w:pPr>
                        <w:r>
                          <w:rPr>
                            <w:sz w:val="21"/>
                          </w:rPr>
                          <w:t>1,000.00</w:t>
                        </w:r>
                      </w:p>
                    </w:tc>
                  </w:tr>
                  <w:tr>
                    <w:trPr>
                      <w:trHeight w:val="311"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line="226" w:lineRule="exact" w:before="65"/>
                          <w:ind w:right="94"/>
                          <w:jc w:val="right"/>
                          <w:rPr>
                            <w:sz w:val="21"/>
                          </w:rPr>
                        </w:pPr>
                        <w:r>
                          <w:rPr>
                            <w:sz w:val="21"/>
                          </w:rPr>
                          <w:t>1.300</w:t>
                        </w:r>
                      </w:p>
                    </w:tc>
                  </w:tr>
                  <w:tr>
                    <w:trPr>
                      <w:trHeight w:val="311" w:hRule="atLeast"/>
                    </w:trPr>
                    <w:tc>
                      <w:tcPr>
                        <w:tcW w:w="4235" w:type="dxa"/>
                      </w:tcPr>
                      <w:p>
                        <w:pPr>
                          <w:pStyle w:val="TableParagraph"/>
                          <w:spacing w:line="250" w:lineRule="exact" w:before="41"/>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line="226" w:lineRule="exact" w:before="65"/>
                          <w:ind w:right="95"/>
                          <w:jc w:val="right"/>
                          <w:rPr>
                            <w:sz w:val="21"/>
                          </w:rPr>
                        </w:pPr>
                        <w:r>
                          <w:rPr>
                            <w:sz w:val="21"/>
                          </w:rPr>
                          <w:t>1,300.00</w:t>
                        </w:r>
                      </w:p>
                    </w:tc>
                  </w:tr>
                  <w:tr>
                    <w:trPr>
                      <w:trHeight w:val="311"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17" w:type="dxa"/>
                      </w:tcPr>
                      <w:p>
                        <w:pPr>
                          <w:pStyle w:val="TableParagraph"/>
                          <w:spacing w:line="226" w:lineRule="exact" w:before="65"/>
                          <w:ind w:right="93"/>
                          <w:jc w:val="right"/>
                          <w:rPr>
                            <w:sz w:val="21"/>
                          </w:rPr>
                        </w:pPr>
                        <w:r>
                          <w:rPr>
                            <w:sz w:val="21"/>
                          </w:rPr>
                          <w:t>0.5%</w:t>
                        </w:r>
                      </w:p>
                    </w:tc>
                  </w:tr>
                  <w:tr>
                    <w:trPr>
                      <w:trHeight w:val="311" w:hRule="atLeast"/>
                    </w:trPr>
                    <w:tc>
                      <w:tcPr>
                        <w:tcW w:w="4235" w:type="dxa"/>
                      </w:tcPr>
                      <w:p>
                        <w:pPr>
                          <w:pStyle w:val="TableParagraph"/>
                          <w:spacing w:line="250" w:lineRule="exact" w:before="41"/>
                          <w:ind w:left="105"/>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17" w:type="dxa"/>
                      </w:tcPr>
                      <w:p>
                        <w:pPr>
                          <w:pStyle w:val="TableParagraph"/>
                          <w:spacing w:line="226" w:lineRule="exact" w:before="65"/>
                          <w:ind w:right="94"/>
                          <w:jc w:val="right"/>
                          <w:rPr>
                            <w:sz w:val="21"/>
                          </w:rPr>
                        </w:pPr>
                        <w:r>
                          <w:rPr>
                            <w:sz w:val="21"/>
                          </w:rPr>
                          <w:t>6.50</w:t>
                        </w:r>
                      </w:p>
                    </w:tc>
                  </w:tr>
                  <w:tr>
                    <w:trPr>
                      <w:trHeight w:val="313" w:hRule="atLeast"/>
                    </w:trPr>
                    <w:tc>
                      <w:tcPr>
                        <w:tcW w:w="4235" w:type="dxa"/>
                      </w:tcPr>
                      <w:p>
                        <w:pPr>
                          <w:pStyle w:val="TableParagraph"/>
                          <w:spacing w:line="250" w:lineRule="exact" w:before="44"/>
                          <w:ind w:left="105"/>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17" w:type="dxa"/>
                      </w:tcPr>
                      <w:p>
                        <w:pPr>
                          <w:pStyle w:val="TableParagraph"/>
                          <w:spacing w:line="226" w:lineRule="exact" w:before="67"/>
                          <w:ind w:right="94"/>
                          <w:jc w:val="right"/>
                          <w:rPr>
                            <w:sz w:val="21"/>
                          </w:rPr>
                        </w:pPr>
                        <w:r>
                          <w:rPr>
                            <w:sz w:val="21"/>
                          </w:rPr>
                          <w:t>1.100</w:t>
                        </w:r>
                      </w:p>
                    </w:tc>
                  </w:tr>
                  <w:tr>
                    <w:trPr>
                      <w:trHeight w:val="311" w:hRule="atLeast"/>
                    </w:trPr>
                    <w:tc>
                      <w:tcPr>
                        <w:tcW w:w="4235" w:type="dxa"/>
                      </w:tcPr>
                      <w:p>
                        <w:pPr>
                          <w:pStyle w:val="TableParagraph"/>
                          <w:spacing w:line="250" w:lineRule="exact" w:before="41"/>
                          <w:ind w:left="105"/>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17" w:type="dxa"/>
                      </w:tcPr>
                      <w:p>
                        <w:pPr>
                          <w:pStyle w:val="TableParagraph"/>
                          <w:spacing w:line="226" w:lineRule="exact" w:before="65"/>
                          <w:ind w:right="93"/>
                          <w:jc w:val="right"/>
                          <w:rPr>
                            <w:sz w:val="21"/>
                          </w:rPr>
                        </w:pPr>
                        <w:r>
                          <w:rPr>
                            <w:sz w:val="21"/>
                          </w:rPr>
                          <w:t>1.0%</w:t>
                        </w:r>
                      </w:p>
                    </w:tc>
                  </w:tr>
                  <w:tr>
                    <w:trPr>
                      <w:trHeight w:val="311" w:hRule="atLeast"/>
                    </w:trPr>
                    <w:tc>
                      <w:tcPr>
                        <w:tcW w:w="4235" w:type="dxa"/>
                      </w:tcPr>
                      <w:p>
                        <w:pPr>
                          <w:pStyle w:val="TableParagraph"/>
                          <w:spacing w:line="250" w:lineRule="exact" w:before="41"/>
                          <w:ind w:left="105"/>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17" w:type="dxa"/>
                      </w:tcPr>
                      <w:p>
                        <w:pPr>
                          <w:pStyle w:val="TableParagraph"/>
                          <w:spacing w:line="226" w:lineRule="exact" w:before="65"/>
                          <w:ind w:right="94"/>
                          <w:jc w:val="right"/>
                          <w:rPr>
                            <w:sz w:val="21"/>
                          </w:rPr>
                        </w:pPr>
                        <w:r>
                          <w:rPr>
                            <w:sz w:val="21"/>
                          </w:rPr>
                          <w:t>10.89</w:t>
                        </w:r>
                      </w:p>
                    </w:tc>
                  </w:tr>
                  <w:tr>
                    <w:trPr>
                      <w:trHeight w:val="311" w:hRule="atLeast"/>
                    </w:trPr>
                    <w:tc>
                      <w:tcPr>
                        <w:tcW w:w="4235" w:type="dxa"/>
                      </w:tcPr>
                      <w:p>
                        <w:pPr>
                          <w:pStyle w:val="TableParagraph"/>
                          <w:spacing w:line="250" w:lineRule="exact" w:before="41"/>
                          <w:ind w:left="105"/>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17" w:type="dxa"/>
                      </w:tcPr>
                      <w:p>
                        <w:pPr>
                          <w:pStyle w:val="TableParagraph"/>
                          <w:spacing w:line="226" w:lineRule="exact" w:before="65"/>
                          <w:ind w:right="94"/>
                          <w:jc w:val="right"/>
                          <w:rPr>
                            <w:sz w:val="21"/>
                          </w:rPr>
                        </w:pPr>
                        <w:r>
                          <w:rPr>
                            <w:sz w:val="21"/>
                          </w:rPr>
                          <w:t>17.39</w:t>
                        </w:r>
                      </w:p>
                    </w:tc>
                  </w:tr>
                  <w:tr>
                    <w:trPr>
                      <w:trHeight w:val="311"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17" w:type="dxa"/>
                      </w:tcPr>
                      <w:p>
                        <w:pPr>
                          <w:pStyle w:val="TableParagraph"/>
                          <w:spacing w:line="226" w:lineRule="exact" w:before="65"/>
                          <w:ind w:right="95"/>
                          <w:jc w:val="right"/>
                          <w:rPr>
                            <w:sz w:val="21"/>
                          </w:rPr>
                        </w:pPr>
                        <w:r>
                          <w:rPr>
                            <w:sz w:val="21"/>
                          </w:rPr>
                          <w:t>1,282.61</w:t>
                        </w:r>
                      </w:p>
                    </w:tc>
                  </w:tr>
                  <w:tr>
                    <w:trPr>
                      <w:trHeight w:val="311"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17" w:type="dxa"/>
                      </w:tcPr>
                      <w:p>
                        <w:pPr>
                          <w:pStyle w:val="TableParagraph"/>
                          <w:spacing w:line="226" w:lineRule="exact" w:before="65"/>
                          <w:ind w:right="94"/>
                          <w:jc w:val="right"/>
                          <w:rPr>
                            <w:sz w:val="21"/>
                          </w:rPr>
                        </w:pPr>
                        <w:r>
                          <w:rPr>
                            <w:sz w:val="21"/>
                          </w:rPr>
                          <w:t>0.00</w:t>
                        </w:r>
                      </w:p>
                    </w:tc>
                  </w:tr>
                  <w:tr>
                    <w:trPr>
                      <w:trHeight w:val="313" w:hRule="atLeast"/>
                    </w:trPr>
                    <w:tc>
                      <w:tcPr>
                        <w:tcW w:w="4235" w:type="dxa"/>
                      </w:tcPr>
                      <w:p>
                        <w:pPr>
                          <w:pStyle w:val="TableParagraph"/>
                          <w:spacing w:line="250" w:lineRule="exact" w:before="44"/>
                          <w:ind w:left="105"/>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17" w:type="dxa"/>
                      </w:tcPr>
                      <w:p>
                        <w:pPr>
                          <w:pStyle w:val="TableParagraph"/>
                          <w:spacing w:line="226" w:lineRule="exact" w:before="67"/>
                          <w:ind w:right="95"/>
                          <w:jc w:val="right"/>
                          <w:rPr>
                            <w:sz w:val="21"/>
                          </w:rPr>
                        </w:pPr>
                        <w:r>
                          <w:rPr>
                            <w:sz w:val="21"/>
                          </w:rPr>
                          <w:t>1,282.61</w:t>
                        </w:r>
                      </w:p>
                    </w:tc>
                  </w:tr>
                  <w:tr>
                    <w:trPr>
                      <w:trHeight w:val="311"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17" w:type="dxa"/>
                      </w:tcPr>
                      <w:p>
                        <w:pPr>
                          <w:pStyle w:val="TableParagraph"/>
                          <w:spacing w:line="226" w:lineRule="exact" w:before="65"/>
                          <w:ind w:right="94"/>
                          <w:jc w:val="right"/>
                          <w:rPr>
                            <w:sz w:val="21"/>
                          </w:rPr>
                        </w:pPr>
                        <w:r>
                          <w:rPr>
                            <w:sz w:val="21"/>
                          </w:rPr>
                          <w:t>1.500</w:t>
                        </w:r>
                      </w:p>
                    </w:tc>
                  </w:tr>
                  <w:tr>
                    <w:trPr>
                      <w:trHeight w:val="312" w:hRule="atLeast"/>
                    </w:trPr>
                    <w:tc>
                      <w:tcPr>
                        <w:tcW w:w="4235" w:type="dxa"/>
                      </w:tcPr>
                      <w:p>
                        <w:pPr>
                          <w:pStyle w:val="TableParagraph"/>
                          <w:spacing w:line="250" w:lineRule="exact" w:before="42"/>
                          <w:ind w:left="105"/>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17" w:type="dxa"/>
                      </w:tcPr>
                      <w:p>
                        <w:pPr>
                          <w:pStyle w:val="TableParagraph"/>
                          <w:spacing w:line="226" w:lineRule="exact" w:before="66"/>
                          <w:ind w:right="94"/>
                          <w:jc w:val="right"/>
                          <w:rPr>
                            <w:sz w:val="21"/>
                          </w:rPr>
                        </w:pPr>
                        <w:r>
                          <w:rPr>
                            <w:sz w:val="21"/>
                          </w:rPr>
                          <w:t>855.07</w:t>
                        </w:r>
                      </w:p>
                    </w:tc>
                  </w:tr>
                </w:tbl>
                <w:p>
                  <w:pPr>
                    <w:pStyle w:val="BodyText"/>
                  </w:pPr>
                </w:p>
              </w:txbxContent>
            </v:textbox>
            <w10:wrap type="none"/>
          </v:shape>
        </w:pict>
      </w:r>
      <w:r>
        <w:rPr>
          <w:spacing w:val="3"/>
        </w:rPr>
        <w:t>年的后端收费基金甲 </w:t>
      </w:r>
      <w:r>
        <w:rPr>
          <w:rFonts w:ascii="Times New Roman" w:eastAsia="Times New Roman"/>
        </w:rPr>
        <w:t>1,000 </w:t>
      </w:r>
      <w:r>
        <w:rPr/>
        <w:t>份，转入后端收费基金乙，转出时适用甲基金后端申购费率为</w:t>
      </w:r>
      <w:r>
        <w:rPr>
          <w:rFonts w:ascii="Times New Roman" w:eastAsia="Times New Roman"/>
          <w:spacing w:val="-4"/>
        </w:rPr>
        <w:t>1.0%</w:t>
      </w:r>
      <w:r>
        <w:rPr>
          <w:spacing w:val="-8"/>
        </w:rPr>
        <w:t>，该日甲、乙基金基金份额净值分别为 </w:t>
      </w:r>
      <w:r>
        <w:rPr>
          <w:rFonts w:ascii="Times New Roman" w:eastAsia="Times New Roman"/>
        </w:rPr>
        <w:t>1.300</w:t>
      </w:r>
      <w:r>
        <w:rPr>
          <w:spacing w:val="-17"/>
        </w:rPr>
        <w:t>、</w:t>
      </w:r>
      <w:r>
        <w:rPr>
          <w:rFonts w:ascii="Times New Roman" w:eastAsia="Times New Roman"/>
        </w:rPr>
        <w:t>1.500 </w:t>
      </w:r>
      <w:r>
        <w:rPr>
          <w:spacing w:val="-8"/>
        </w:rPr>
        <w:t>元。</w:t>
      </w:r>
      <w:r>
        <w:rPr>
          <w:rFonts w:ascii="Times New Roman" w:eastAsia="Times New Roman"/>
        </w:rPr>
        <w:t>2010 </w:t>
      </w:r>
      <w:r>
        <w:rPr>
          <w:spacing w:val="-25"/>
        </w:rPr>
        <w:t>年 </w:t>
      </w:r>
      <w:r>
        <w:rPr>
          <w:rFonts w:ascii="Times New Roman" w:eastAsia="Times New Roman"/>
        </w:rPr>
        <w:t>3 </w:t>
      </w:r>
      <w:r>
        <w:rPr>
          <w:spacing w:val="-25"/>
        </w:rPr>
        <w:t>月 </w:t>
      </w:r>
      <w:r>
        <w:rPr>
          <w:rFonts w:ascii="Times New Roman" w:eastAsia="Times New Roman"/>
        </w:rPr>
        <w:t>16 </w:t>
      </w:r>
      <w:r>
        <w:rPr>
          <w:spacing w:val="-2"/>
        </w:rPr>
        <w:t>日这笔转换确</w:t>
      </w:r>
      <w:r>
        <w:rPr>
          <w:spacing w:val="-4"/>
        </w:rPr>
        <w:t>认成功。申购当日甲基金基金份额净值为 </w:t>
      </w:r>
      <w:r>
        <w:rPr>
          <w:rFonts w:ascii="Times New Roman" w:eastAsia="Times New Roman"/>
        </w:rPr>
        <w:t>1.100 </w:t>
      </w:r>
      <w:r>
        <w:rPr>
          <w:spacing w:val="-4"/>
        </w:rPr>
        <w:t>元，适用赎回费率为 </w:t>
      </w:r>
      <w:r>
        <w:rPr>
          <w:rFonts w:ascii="Times New Roman" w:eastAsia="Times New Roman"/>
        </w:rPr>
        <w:t>0.5%</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BodyText"/>
        <w:spacing w:line="417" w:lineRule="auto"/>
        <w:ind w:left="778" w:right="891" w:firstLine="419"/>
        <w:jc w:val="both"/>
      </w:pPr>
      <w:r>
        <w:rPr/>
        <w:pict>
          <v:shape style="position:absolute;margin-left:110.660004pt;margin-top:65.219955pt;width:374.5pt;height:113.2pt;mso-position-horizontal-relative:page;mso-position-vertical-relative:paragraph;z-index:25168281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7"/>
                    <w:gridCol w:w="3229"/>
                  </w:tblGrid>
                  <w:tr>
                    <w:trPr>
                      <w:trHeight w:val="311" w:hRule="atLeast"/>
                    </w:trPr>
                    <w:tc>
                      <w:tcPr>
                        <w:tcW w:w="4247" w:type="dxa"/>
                      </w:tcPr>
                      <w:p>
                        <w:pPr>
                          <w:pStyle w:val="TableParagraph"/>
                          <w:spacing w:line="250" w:lineRule="exact" w:before="42"/>
                          <w:ind w:left="1892" w:right="1885"/>
                          <w:jc w:val="center"/>
                          <w:rPr>
                            <w:rFonts w:ascii="宋体" w:eastAsia="宋体" w:hint="eastAsia"/>
                            <w:sz w:val="21"/>
                          </w:rPr>
                        </w:pPr>
                        <w:r>
                          <w:rPr>
                            <w:rFonts w:ascii="宋体" w:eastAsia="宋体" w:hint="eastAsia"/>
                            <w:sz w:val="21"/>
                          </w:rPr>
                          <w:t>项目</w:t>
                        </w:r>
                      </w:p>
                    </w:tc>
                    <w:tc>
                      <w:tcPr>
                        <w:tcW w:w="3229" w:type="dxa"/>
                      </w:tcPr>
                      <w:p>
                        <w:pPr>
                          <w:pStyle w:val="TableParagraph"/>
                          <w:spacing w:line="250" w:lineRule="exact" w:before="42"/>
                          <w:ind w:left="1173" w:right="1166"/>
                          <w:jc w:val="center"/>
                          <w:rPr>
                            <w:rFonts w:ascii="宋体" w:eastAsia="宋体" w:hint="eastAsia"/>
                            <w:sz w:val="21"/>
                          </w:rPr>
                        </w:pPr>
                        <w:r>
                          <w:rPr>
                            <w:rFonts w:ascii="宋体" w:eastAsia="宋体" w:hint="eastAsia"/>
                            <w:sz w:val="21"/>
                          </w:rPr>
                          <w:t>费用计算</w:t>
                        </w:r>
                      </w:p>
                    </w:tc>
                  </w:tr>
                  <w:tr>
                    <w:trPr>
                      <w:trHeight w:val="311" w:hRule="atLeast"/>
                    </w:trPr>
                    <w:tc>
                      <w:tcPr>
                        <w:tcW w:w="4247" w:type="dxa"/>
                      </w:tcPr>
                      <w:p>
                        <w:pPr>
                          <w:pStyle w:val="TableParagraph"/>
                          <w:spacing w:line="250" w:lineRule="exact" w:before="41"/>
                          <w:ind w:left="105"/>
                          <w:rPr>
                            <w:rFonts w:ascii="宋体" w:eastAsia="宋体" w:hint="eastAsia"/>
                            <w:sz w:val="21"/>
                          </w:rPr>
                        </w:pPr>
                        <w:r>
                          <w:rPr>
                            <w:rFonts w:ascii="宋体" w:eastAsia="宋体" w:hint="eastAsia"/>
                            <w:sz w:val="21"/>
                          </w:rPr>
                          <w:t>赎回份额（</w:t>
                        </w:r>
                        <w:r>
                          <w:rPr>
                            <w:sz w:val="21"/>
                          </w:rPr>
                          <w:t>O</w:t>
                        </w:r>
                        <w:r>
                          <w:rPr>
                            <w:rFonts w:ascii="宋体" w:eastAsia="宋体" w:hint="eastAsia"/>
                            <w:sz w:val="21"/>
                          </w:rPr>
                          <w:t>）</w:t>
                        </w:r>
                      </w:p>
                    </w:tc>
                    <w:tc>
                      <w:tcPr>
                        <w:tcW w:w="3229" w:type="dxa"/>
                      </w:tcPr>
                      <w:p>
                        <w:pPr>
                          <w:pStyle w:val="TableParagraph"/>
                          <w:spacing w:line="226" w:lineRule="exact" w:before="65"/>
                          <w:ind w:right="94"/>
                          <w:jc w:val="right"/>
                          <w:rPr>
                            <w:sz w:val="21"/>
                          </w:rPr>
                        </w:pPr>
                        <w:r>
                          <w:rPr>
                            <w:sz w:val="21"/>
                          </w:rPr>
                          <w:t>855.07</w:t>
                        </w:r>
                      </w:p>
                    </w:tc>
                  </w:tr>
                  <w:tr>
                    <w:trPr>
                      <w:trHeight w:val="313" w:hRule="atLeast"/>
                    </w:trPr>
                    <w:tc>
                      <w:tcPr>
                        <w:tcW w:w="4247" w:type="dxa"/>
                      </w:tcPr>
                      <w:p>
                        <w:pPr>
                          <w:pStyle w:val="TableParagraph"/>
                          <w:spacing w:line="250" w:lineRule="exact" w:before="44"/>
                          <w:ind w:left="105"/>
                          <w:rPr>
                            <w:rFonts w:ascii="宋体" w:eastAsia="宋体" w:hint="eastAsia"/>
                            <w:sz w:val="21"/>
                          </w:rPr>
                        </w:pPr>
                        <w:r>
                          <w:rPr>
                            <w:rFonts w:ascii="宋体" w:eastAsia="宋体" w:hint="eastAsia"/>
                            <w:sz w:val="21"/>
                          </w:rPr>
                          <w:t>赎回日基金份额净值（</w:t>
                        </w:r>
                        <w:r>
                          <w:rPr>
                            <w:sz w:val="21"/>
                          </w:rPr>
                          <w:t>P</w:t>
                        </w:r>
                        <w:r>
                          <w:rPr>
                            <w:rFonts w:ascii="宋体" w:eastAsia="宋体" w:hint="eastAsia"/>
                            <w:sz w:val="21"/>
                          </w:rPr>
                          <w:t>）</w:t>
                        </w:r>
                      </w:p>
                    </w:tc>
                    <w:tc>
                      <w:tcPr>
                        <w:tcW w:w="3229" w:type="dxa"/>
                      </w:tcPr>
                      <w:p>
                        <w:pPr>
                          <w:pStyle w:val="TableParagraph"/>
                          <w:spacing w:line="226" w:lineRule="exact" w:before="67"/>
                          <w:ind w:right="94"/>
                          <w:jc w:val="right"/>
                          <w:rPr>
                            <w:sz w:val="21"/>
                          </w:rPr>
                        </w:pPr>
                        <w:r>
                          <w:rPr>
                            <w:sz w:val="21"/>
                          </w:rPr>
                          <w:t>1.300</w:t>
                        </w:r>
                      </w:p>
                    </w:tc>
                  </w:tr>
                  <w:tr>
                    <w:trPr>
                      <w:trHeight w:val="311" w:hRule="atLeast"/>
                    </w:trPr>
                    <w:tc>
                      <w:tcPr>
                        <w:tcW w:w="4247" w:type="dxa"/>
                      </w:tcPr>
                      <w:p>
                        <w:pPr>
                          <w:pStyle w:val="TableParagraph"/>
                          <w:spacing w:line="250" w:lineRule="exact" w:before="41"/>
                          <w:ind w:left="105"/>
                          <w:rPr>
                            <w:rFonts w:ascii="宋体" w:eastAsia="宋体" w:hint="eastAsia"/>
                            <w:sz w:val="21"/>
                          </w:rPr>
                        </w:pPr>
                        <w:r>
                          <w:rPr>
                            <w:rFonts w:ascii="宋体" w:eastAsia="宋体" w:hint="eastAsia"/>
                            <w:sz w:val="21"/>
                          </w:rPr>
                          <w:t>赎回总金额（</w:t>
                        </w:r>
                        <w:r>
                          <w:rPr>
                            <w:sz w:val="21"/>
                          </w:rPr>
                          <w:t>Q=O*P</w:t>
                        </w:r>
                        <w:r>
                          <w:rPr>
                            <w:rFonts w:ascii="宋体" w:eastAsia="宋体" w:hint="eastAsia"/>
                            <w:sz w:val="21"/>
                          </w:rPr>
                          <w:t>）</w:t>
                        </w:r>
                      </w:p>
                    </w:tc>
                    <w:tc>
                      <w:tcPr>
                        <w:tcW w:w="3229" w:type="dxa"/>
                      </w:tcPr>
                      <w:p>
                        <w:pPr>
                          <w:pStyle w:val="TableParagraph"/>
                          <w:spacing w:line="226" w:lineRule="exact" w:before="65"/>
                          <w:ind w:right="95"/>
                          <w:jc w:val="right"/>
                          <w:rPr>
                            <w:sz w:val="21"/>
                          </w:rPr>
                        </w:pPr>
                        <w:r>
                          <w:rPr>
                            <w:sz w:val="21"/>
                          </w:rPr>
                          <w:t>1,111.59</w:t>
                        </w:r>
                      </w:p>
                    </w:tc>
                  </w:tr>
                  <w:tr>
                    <w:trPr>
                      <w:trHeight w:val="311" w:hRule="atLeast"/>
                    </w:trPr>
                    <w:tc>
                      <w:tcPr>
                        <w:tcW w:w="4247" w:type="dxa"/>
                      </w:tcPr>
                      <w:p>
                        <w:pPr>
                          <w:pStyle w:val="TableParagraph"/>
                          <w:spacing w:line="250" w:lineRule="exact" w:before="42"/>
                          <w:ind w:left="105"/>
                          <w:rPr>
                            <w:rFonts w:ascii="宋体" w:eastAsia="宋体" w:hint="eastAsia"/>
                            <w:sz w:val="21"/>
                          </w:rPr>
                        </w:pPr>
                        <w:r>
                          <w:rPr>
                            <w:rFonts w:ascii="宋体" w:eastAsia="宋体" w:hint="eastAsia"/>
                            <w:sz w:val="21"/>
                          </w:rPr>
                          <w:t>赎回费率（</w:t>
                        </w:r>
                        <w:r>
                          <w:rPr>
                            <w:sz w:val="21"/>
                          </w:rPr>
                          <w:t>R</w:t>
                        </w:r>
                        <w:r>
                          <w:rPr>
                            <w:rFonts w:ascii="宋体" w:eastAsia="宋体" w:hint="eastAsia"/>
                            <w:sz w:val="21"/>
                          </w:rPr>
                          <w:t>）</w:t>
                        </w:r>
                      </w:p>
                    </w:tc>
                    <w:tc>
                      <w:tcPr>
                        <w:tcW w:w="3229" w:type="dxa"/>
                      </w:tcPr>
                      <w:p>
                        <w:pPr>
                          <w:pStyle w:val="TableParagraph"/>
                          <w:spacing w:line="226" w:lineRule="exact" w:before="65"/>
                          <w:ind w:right="93"/>
                          <w:jc w:val="right"/>
                          <w:rPr>
                            <w:sz w:val="21"/>
                          </w:rPr>
                        </w:pPr>
                        <w:r>
                          <w:rPr>
                            <w:sz w:val="21"/>
                          </w:rPr>
                          <w:t>0.5%</w:t>
                        </w:r>
                      </w:p>
                    </w:tc>
                  </w:tr>
                  <w:tr>
                    <w:trPr>
                      <w:trHeight w:val="312" w:hRule="atLeast"/>
                    </w:trPr>
                    <w:tc>
                      <w:tcPr>
                        <w:tcW w:w="4247" w:type="dxa"/>
                      </w:tcPr>
                      <w:p>
                        <w:pPr>
                          <w:pStyle w:val="TableParagraph"/>
                          <w:spacing w:line="250" w:lineRule="exact" w:before="42"/>
                          <w:ind w:left="105"/>
                          <w:rPr>
                            <w:rFonts w:ascii="宋体" w:eastAsia="宋体" w:hint="eastAsia"/>
                            <w:sz w:val="21"/>
                          </w:rPr>
                        </w:pPr>
                        <w:r>
                          <w:rPr>
                            <w:rFonts w:ascii="宋体" w:eastAsia="宋体" w:hint="eastAsia"/>
                            <w:sz w:val="21"/>
                          </w:rPr>
                          <w:t>赎回费（</w:t>
                        </w:r>
                        <w:r>
                          <w:rPr>
                            <w:sz w:val="21"/>
                          </w:rPr>
                          <w:t>S=Q*R</w:t>
                        </w:r>
                        <w:r>
                          <w:rPr>
                            <w:rFonts w:ascii="宋体" w:eastAsia="宋体" w:hint="eastAsia"/>
                            <w:sz w:val="21"/>
                          </w:rPr>
                          <w:t>）</w:t>
                        </w:r>
                      </w:p>
                    </w:tc>
                    <w:tc>
                      <w:tcPr>
                        <w:tcW w:w="3229" w:type="dxa"/>
                      </w:tcPr>
                      <w:p>
                        <w:pPr>
                          <w:pStyle w:val="TableParagraph"/>
                          <w:spacing w:line="226" w:lineRule="exact" w:before="65"/>
                          <w:ind w:right="94"/>
                          <w:jc w:val="right"/>
                          <w:rPr>
                            <w:sz w:val="21"/>
                          </w:rPr>
                        </w:pPr>
                        <w:r>
                          <w:rPr>
                            <w:sz w:val="21"/>
                          </w:rPr>
                          <w:t>5.56</w:t>
                        </w:r>
                      </w:p>
                    </w:tc>
                  </w:tr>
                  <w:tr>
                    <w:trPr>
                      <w:trHeight w:val="311" w:hRule="atLeast"/>
                    </w:trPr>
                    <w:tc>
                      <w:tcPr>
                        <w:tcW w:w="4247" w:type="dxa"/>
                      </w:tcPr>
                      <w:p>
                        <w:pPr>
                          <w:pStyle w:val="TableParagraph"/>
                          <w:spacing w:line="250" w:lineRule="exact" w:before="41"/>
                          <w:ind w:left="105"/>
                          <w:rPr>
                            <w:rFonts w:ascii="宋体" w:eastAsia="宋体" w:hint="eastAsia"/>
                            <w:sz w:val="21"/>
                          </w:rPr>
                        </w:pPr>
                        <w:r>
                          <w:rPr>
                            <w:rFonts w:ascii="宋体" w:eastAsia="宋体" w:hint="eastAsia"/>
                            <w:sz w:val="21"/>
                          </w:rPr>
                          <w:t>适用后端申购费率（</w:t>
                        </w:r>
                        <w:r>
                          <w:rPr>
                            <w:sz w:val="21"/>
                          </w:rPr>
                          <w:t>T</w:t>
                        </w:r>
                        <w:r>
                          <w:rPr>
                            <w:rFonts w:ascii="宋体" w:eastAsia="宋体" w:hint="eastAsia"/>
                            <w:sz w:val="21"/>
                          </w:rPr>
                          <w:t>）</w:t>
                        </w:r>
                      </w:p>
                    </w:tc>
                    <w:tc>
                      <w:tcPr>
                        <w:tcW w:w="3229" w:type="dxa"/>
                      </w:tcPr>
                      <w:p>
                        <w:pPr>
                          <w:pStyle w:val="TableParagraph"/>
                          <w:spacing w:line="226" w:lineRule="exact" w:before="65"/>
                          <w:ind w:right="93"/>
                          <w:jc w:val="right"/>
                          <w:rPr>
                            <w:sz w:val="21"/>
                          </w:rPr>
                        </w:pPr>
                        <w:r>
                          <w:rPr>
                            <w:sz w:val="21"/>
                          </w:rPr>
                          <w:t>1.2%</w:t>
                        </w:r>
                      </w:p>
                    </w:tc>
                  </w:tr>
                </w:tbl>
                <w:p>
                  <w:pPr>
                    <w:pStyle w:val="BodyText"/>
                  </w:pPr>
                </w:p>
              </w:txbxContent>
            </v:textbox>
            <w10:wrap type="none"/>
          </v:shape>
        </w:pict>
      </w:r>
      <w:r>
        <w:rPr>
          <w:spacing w:val="-10"/>
        </w:rPr>
        <w:t>若投资者在 </w:t>
      </w:r>
      <w:r>
        <w:rPr>
          <w:rFonts w:ascii="Times New Roman" w:eastAsia="Times New Roman"/>
        </w:rPr>
        <w:t>2012 </w:t>
      </w:r>
      <w:r>
        <w:rPr>
          <w:spacing w:val="-25"/>
        </w:rPr>
        <w:t>年 </w:t>
      </w:r>
      <w:r>
        <w:rPr>
          <w:rFonts w:ascii="Times New Roman" w:eastAsia="Times New Roman"/>
        </w:rPr>
        <w:t>9 </w:t>
      </w:r>
      <w:r>
        <w:rPr>
          <w:spacing w:val="-25"/>
        </w:rPr>
        <w:t>月 </w:t>
      </w:r>
      <w:r>
        <w:rPr>
          <w:rFonts w:ascii="Times New Roman" w:eastAsia="Times New Roman"/>
        </w:rPr>
        <w:t>15 </w:t>
      </w:r>
      <w:r>
        <w:rPr>
          <w:spacing w:val="-12"/>
        </w:rPr>
        <w:t>日赎回乙基金，则赎回时乙基金持有期为 </w:t>
      </w:r>
      <w:r>
        <w:rPr>
          <w:rFonts w:ascii="Times New Roman" w:eastAsia="Times New Roman"/>
        </w:rPr>
        <w:t>2 </w:t>
      </w:r>
      <w:r>
        <w:rPr>
          <w:spacing w:val="-10"/>
        </w:rPr>
        <w:t>年半，适用后端</w:t>
      </w:r>
      <w:r>
        <w:rPr>
          <w:spacing w:val="-11"/>
        </w:rPr>
        <w:t>申购费率为 </w:t>
      </w:r>
      <w:r>
        <w:rPr>
          <w:rFonts w:ascii="Times New Roman" w:eastAsia="Times New Roman"/>
        </w:rPr>
        <w:t>1.2%</w:t>
      </w:r>
      <w:r>
        <w:rPr>
          <w:spacing w:val="-7"/>
        </w:rPr>
        <w:t>，且乙基金赎回费率为 </w:t>
      </w:r>
      <w:r>
        <w:rPr>
          <w:rFonts w:ascii="Times New Roman" w:eastAsia="Times New Roman"/>
        </w:rPr>
        <w:t>0.5%</w:t>
      </w:r>
      <w:r>
        <w:rPr>
          <w:spacing w:val="-6"/>
        </w:rPr>
        <w:t>，该日乙基金基金份额净值为 </w:t>
      </w:r>
      <w:r>
        <w:rPr>
          <w:rFonts w:ascii="Times New Roman" w:eastAsia="Times New Roman"/>
        </w:rPr>
        <w:t>1.300 </w:t>
      </w:r>
      <w:r>
        <w:rPr>
          <w:spacing w:val="-1"/>
        </w:rPr>
        <w:t>元。则赎</w:t>
      </w:r>
      <w:r>
        <w:rPr>
          <w:spacing w:val="-3"/>
        </w:rPr>
        <w:t>回金额计算如下：</w:t>
      </w:r>
    </w:p>
    <w:p>
      <w:pPr>
        <w:spacing w:after="0" w:line="417" w:lineRule="auto"/>
        <w:jc w:val="both"/>
        <w:sectPr>
          <w:pgSz w:w="11910" w:h="16840"/>
          <w:pgMar w:header="877" w:footer="995" w:top="1280" w:bottom="1180" w:left="1020" w:right="900"/>
        </w:sectPr>
      </w:pPr>
    </w:p>
    <w:p>
      <w:pPr>
        <w:pStyle w:val="BodyText"/>
        <w:spacing w:before="4"/>
        <w:rPr>
          <w:sz w:val="10"/>
        </w:rPr>
      </w:pPr>
    </w:p>
    <w:tbl>
      <w:tblPr>
        <w:tblW w:w="0" w:type="auto"/>
        <w:jc w:val="left"/>
        <w:tblInd w:w="1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7"/>
        <w:gridCol w:w="3229"/>
      </w:tblGrid>
      <w:tr>
        <w:trPr>
          <w:trHeight w:val="312" w:hRule="atLeast"/>
        </w:trPr>
        <w:tc>
          <w:tcPr>
            <w:tcW w:w="4247" w:type="dxa"/>
          </w:tcPr>
          <w:p>
            <w:pPr>
              <w:pStyle w:val="TableParagraph"/>
              <w:spacing w:line="250" w:lineRule="exact" w:before="42"/>
              <w:ind w:left="105"/>
              <w:rPr>
                <w:rFonts w:ascii="宋体" w:eastAsia="宋体" w:hint="eastAsia"/>
                <w:sz w:val="21"/>
              </w:rPr>
            </w:pPr>
            <w:r>
              <w:rPr>
                <w:rFonts w:ascii="宋体" w:eastAsia="宋体" w:hint="eastAsia"/>
                <w:sz w:val="21"/>
              </w:rPr>
              <w:t>后端申购费（</w:t>
            </w:r>
            <w:r>
              <w:rPr>
                <w:sz w:val="21"/>
              </w:rPr>
              <w:t>U=O*M*T/(1+T)</w:t>
            </w:r>
            <w:r>
              <w:rPr>
                <w:rFonts w:ascii="宋体" w:eastAsia="宋体" w:hint="eastAsia"/>
                <w:sz w:val="21"/>
              </w:rPr>
              <w:t>）</w:t>
            </w:r>
          </w:p>
        </w:tc>
        <w:tc>
          <w:tcPr>
            <w:tcW w:w="3229" w:type="dxa"/>
          </w:tcPr>
          <w:p>
            <w:pPr>
              <w:pStyle w:val="TableParagraph"/>
              <w:spacing w:line="226" w:lineRule="exact" w:before="65"/>
              <w:ind w:right="94"/>
              <w:jc w:val="right"/>
              <w:rPr>
                <w:sz w:val="21"/>
              </w:rPr>
            </w:pPr>
            <w:r>
              <w:rPr>
                <w:sz w:val="21"/>
              </w:rPr>
              <w:t>15.21</w:t>
            </w:r>
          </w:p>
        </w:tc>
      </w:tr>
      <w:tr>
        <w:trPr>
          <w:trHeight w:val="311" w:hRule="atLeast"/>
        </w:trPr>
        <w:tc>
          <w:tcPr>
            <w:tcW w:w="4247" w:type="dxa"/>
          </w:tcPr>
          <w:p>
            <w:pPr>
              <w:pStyle w:val="TableParagraph"/>
              <w:spacing w:line="250" w:lineRule="exact" w:before="41"/>
              <w:ind w:left="105"/>
              <w:rPr>
                <w:rFonts w:ascii="宋体" w:eastAsia="宋体" w:hint="eastAsia"/>
                <w:sz w:val="21"/>
              </w:rPr>
            </w:pPr>
            <w:r>
              <w:rPr>
                <w:rFonts w:ascii="宋体" w:eastAsia="宋体" w:hint="eastAsia"/>
                <w:sz w:val="21"/>
              </w:rPr>
              <w:t>赎回金额（</w:t>
            </w:r>
            <w:r>
              <w:rPr>
                <w:sz w:val="21"/>
              </w:rPr>
              <w:t>V=Q-S-U</w:t>
            </w:r>
            <w:r>
              <w:rPr>
                <w:rFonts w:ascii="宋体" w:eastAsia="宋体" w:hint="eastAsia"/>
                <w:sz w:val="21"/>
              </w:rPr>
              <w:t>）</w:t>
            </w:r>
          </w:p>
        </w:tc>
        <w:tc>
          <w:tcPr>
            <w:tcW w:w="3229" w:type="dxa"/>
          </w:tcPr>
          <w:p>
            <w:pPr>
              <w:pStyle w:val="TableParagraph"/>
              <w:spacing w:line="226" w:lineRule="exact" w:before="65"/>
              <w:ind w:right="95"/>
              <w:jc w:val="right"/>
              <w:rPr>
                <w:sz w:val="21"/>
              </w:rPr>
            </w:pPr>
            <w:r>
              <w:rPr>
                <w:sz w:val="21"/>
              </w:rPr>
              <w:t>1,090.82</w:t>
            </w:r>
          </w:p>
        </w:tc>
      </w:tr>
    </w:tbl>
    <w:p>
      <w:pPr>
        <w:pStyle w:val="BodyText"/>
        <w:spacing w:line="417" w:lineRule="auto" w:before="99"/>
        <w:ind w:left="778" w:right="888" w:firstLine="419"/>
        <w:jc w:val="both"/>
      </w:pPr>
      <w:r>
        <w:rPr/>
        <w:pict>
          <v:shape style="position:absolute;margin-left:110.900002pt;margin-top:93.569984pt;width:374pt;height:242.1pt;mso-position-horizontal-relative:page;mso-position-vertical-relative:paragraph;z-index:25168384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2"/>
                    <w:gridCol w:w="3224"/>
                  </w:tblGrid>
                  <w:tr>
                    <w:trPr>
                      <w:trHeight w:val="311" w:hRule="atLeast"/>
                    </w:trPr>
                    <w:tc>
                      <w:tcPr>
                        <w:tcW w:w="4242" w:type="dxa"/>
                      </w:tcPr>
                      <w:p>
                        <w:pPr>
                          <w:pStyle w:val="TableParagraph"/>
                          <w:spacing w:line="250" w:lineRule="exact" w:before="42"/>
                          <w:ind w:left="1769" w:right="1762"/>
                          <w:jc w:val="center"/>
                          <w:rPr>
                            <w:rFonts w:ascii="宋体" w:eastAsia="宋体" w:hint="eastAsia"/>
                            <w:sz w:val="21"/>
                          </w:rPr>
                        </w:pPr>
                        <w:r>
                          <w:rPr>
                            <w:rFonts w:ascii="宋体" w:eastAsia="宋体" w:hint="eastAsia"/>
                            <w:sz w:val="21"/>
                          </w:rPr>
                          <w:t>项目</w:t>
                        </w:r>
                      </w:p>
                    </w:tc>
                    <w:tc>
                      <w:tcPr>
                        <w:tcW w:w="3224" w:type="dxa"/>
                      </w:tcPr>
                      <w:p>
                        <w:pPr>
                          <w:pStyle w:val="TableParagraph"/>
                          <w:spacing w:line="250" w:lineRule="exact" w:before="42"/>
                          <w:ind w:left="1170" w:right="1162"/>
                          <w:jc w:val="center"/>
                          <w:rPr>
                            <w:rFonts w:ascii="宋体" w:eastAsia="宋体" w:hint="eastAsia"/>
                            <w:sz w:val="21"/>
                          </w:rPr>
                        </w:pPr>
                        <w:r>
                          <w:rPr>
                            <w:rFonts w:ascii="宋体" w:eastAsia="宋体" w:hint="eastAsia"/>
                            <w:sz w:val="21"/>
                          </w:rPr>
                          <w:t>费用计算</w:t>
                        </w:r>
                      </w:p>
                    </w:tc>
                  </w:tr>
                  <w:tr>
                    <w:trPr>
                      <w:trHeight w:val="313" w:hRule="atLeast"/>
                    </w:trPr>
                    <w:tc>
                      <w:tcPr>
                        <w:tcW w:w="4242" w:type="dxa"/>
                      </w:tcPr>
                      <w:p>
                        <w:pPr>
                          <w:pStyle w:val="TableParagraph"/>
                          <w:spacing w:line="250" w:lineRule="exact" w:before="44"/>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line="226" w:lineRule="exact" w:before="67"/>
                          <w:ind w:right="94"/>
                          <w:jc w:val="right"/>
                          <w:rPr>
                            <w:sz w:val="21"/>
                          </w:rPr>
                        </w:pPr>
                        <w:r>
                          <w:rPr>
                            <w:sz w:val="21"/>
                          </w:rPr>
                          <w:t>1,000.00</w:t>
                        </w:r>
                      </w:p>
                    </w:tc>
                  </w:tr>
                  <w:tr>
                    <w:trPr>
                      <w:trHeight w:val="312"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line="227" w:lineRule="exact" w:before="65"/>
                          <w:ind w:right="94"/>
                          <w:jc w:val="right"/>
                          <w:rPr>
                            <w:sz w:val="21"/>
                          </w:rPr>
                        </w:pPr>
                        <w:r>
                          <w:rPr>
                            <w:sz w:val="21"/>
                          </w:rPr>
                          <w:t>1.200</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1,200.00</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0.5%</w:t>
                        </w:r>
                      </w:p>
                    </w:tc>
                  </w:tr>
                  <w:tr>
                    <w:trPr>
                      <w:trHeight w:val="311" w:hRule="atLeast"/>
                    </w:trPr>
                    <w:tc>
                      <w:tcPr>
                        <w:tcW w:w="4242" w:type="dxa"/>
                      </w:tcPr>
                      <w:p>
                        <w:pPr>
                          <w:pStyle w:val="TableParagraph"/>
                          <w:spacing w:line="250" w:lineRule="exact" w:before="42"/>
                          <w:ind w:left="105"/>
                          <w:rPr>
                            <w:rFonts w:ascii="宋体" w:eastAsia="宋体" w:hint="eastAsia"/>
                            <w:sz w:val="21"/>
                          </w:rPr>
                        </w:pPr>
                        <w:r>
                          <w:rPr>
                            <w:rFonts w:ascii="宋体" w:eastAsia="宋体" w:hint="eastAsia"/>
                            <w:sz w:val="21"/>
                          </w:rPr>
                          <w:t>赎回费（</w:t>
                        </w:r>
                        <w:r>
                          <w:rPr>
                            <w:sz w:val="21"/>
                          </w:rPr>
                          <w:t>E=C*D</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6.00</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申购日转出基金基金份额净值（</w:t>
                        </w:r>
                        <w:r>
                          <w:rPr>
                            <w:sz w:val="21"/>
                          </w:rPr>
                          <w:t>F</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1.100</w:t>
                        </w:r>
                      </w:p>
                    </w:tc>
                  </w:tr>
                  <w:tr>
                    <w:trPr>
                      <w:trHeight w:val="314" w:hRule="atLeast"/>
                    </w:trPr>
                    <w:tc>
                      <w:tcPr>
                        <w:tcW w:w="4242" w:type="dxa"/>
                      </w:tcPr>
                      <w:p>
                        <w:pPr>
                          <w:pStyle w:val="TableParagraph"/>
                          <w:spacing w:line="250" w:lineRule="exact" w:before="44"/>
                          <w:ind w:left="105"/>
                          <w:rPr>
                            <w:rFonts w:ascii="宋体" w:eastAsia="宋体" w:hint="eastAsia"/>
                            <w:sz w:val="21"/>
                          </w:rPr>
                        </w:pPr>
                        <w:r>
                          <w:rPr>
                            <w:rFonts w:ascii="宋体" w:eastAsia="宋体" w:hint="eastAsia"/>
                            <w:sz w:val="21"/>
                          </w:rPr>
                          <w:t>适用后端申购费率（</w:t>
                        </w:r>
                        <w:r>
                          <w:rPr>
                            <w:sz w:val="21"/>
                          </w:rPr>
                          <w:t>G</w:t>
                        </w:r>
                        <w:r>
                          <w:rPr>
                            <w:rFonts w:ascii="宋体" w:eastAsia="宋体" w:hint="eastAsia"/>
                            <w:sz w:val="21"/>
                          </w:rPr>
                          <w:t>）</w:t>
                        </w:r>
                      </w:p>
                    </w:tc>
                    <w:tc>
                      <w:tcPr>
                        <w:tcW w:w="3224" w:type="dxa"/>
                      </w:tcPr>
                      <w:p>
                        <w:pPr>
                          <w:pStyle w:val="TableParagraph"/>
                          <w:spacing w:line="226" w:lineRule="exact" w:before="67"/>
                          <w:ind w:right="93"/>
                          <w:jc w:val="right"/>
                          <w:rPr>
                            <w:sz w:val="21"/>
                          </w:rPr>
                        </w:pPr>
                        <w:r>
                          <w:rPr>
                            <w:sz w:val="21"/>
                          </w:rPr>
                          <w:t>1.0%</w:t>
                        </w:r>
                      </w:p>
                    </w:tc>
                  </w:tr>
                  <w:tr>
                    <w:trPr>
                      <w:trHeight w:val="311" w:hRule="atLeast"/>
                    </w:trPr>
                    <w:tc>
                      <w:tcPr>
                        <w:tcW w:w="4242" w:type="dxa"/>
                      </w:tcPr>
                      <w:p>
                        <w:pPr>
                          <w:pStyle w:val="TableParagraph"/>
                          <w:spacing w:line="250" w:lineRule="exact" w:before="41"/>
                          <w:ind w:left="105"/>
                          <w:rPr>
                            <w:rFonts w:ascii="宋体" w:hAnsi="宋体" w:eastAsia="宋体" w:hint="eastAsia"/>
                            <w:sz w:val="21"/>
                          </w:rPr>
                        </w:pPr>
                        <w:r>
                          <w:rPr>
                            <w:rFonts w:ascii="宋体" w:hAnsi="宋体" w:eastAsia="宋体" w:hint="eastAsia"/>
                            <w:spacing w:val="-2"/>
                            <w:w w:val="100"/>
                            <w:sz w:val="21"/>
                          </w:rPr>
                          <w:t>后端申购费</w:t>
                        </w:r>
                        <w:r>
                          <w:rPr>
                            <w:rFonts w:ascii="宋体" w:hAnsi="宋体" w:eastAsia="宋体" w:hint="eastAsia"/>
                            <w:spacing w:val="-3"/>
                            <w:w w:val="100"/>
                            <w:sz w:val="21"/>
                          </w:rPr>
                          <w:t>（</w:t>
                        </w:r>
                        <w:r>
                          <w:rPr>
                            <w:w w:val="100"/>
                            <w:sz w:val="21"/>
                          </w:rPr>
                          <w:t>H</w:t>
                        </w:r>
                        <w:r>
                          <w:rPr>
                            <w:spacing w:val="-2"/>
                            <w:w w:val="100"/>
                            <w:sz w:val="21"/>
                          </w:rPr>
                          <w:t>=</w:t>
                        </w:r>
                        <w:r>
                          <w:rPr>
                            <w:w w:val="100"/>
                            <w:sz w:val="21"/>
                          </w:rPr>
                          <w:t>A</w:t>
                        </w:r>
                        <w:r>
                          <w:rPr>
                            <w:spacing w:val="-24"/>
                            <w:w w:val="100"/>
                            <w:sz w:val="21"/>
                          </w:rPr>
                          <w:t>×</w:t>
                        </w:r>
                        <w:r>
                          <w:rPr>
                            <w:spacing w:val="-3"/>
                            <w:w w:val="100"/>
                            <w:sz w:val="21"/>
                          </w:rPr>
                          <w:t>F</w:t>
                        </w:r>
                        <w:r>
                          <w:rPr>
                            <w:spacing w:val="-24"/>
                            <w:w w:val="100"/>
                            <w:sz w:val="21"/>
                          </w:rPr>
                          <w:t>×</w:t>
                        </w:r>
                        <w:r>
                          <w:rPr>
                            <w:w w:val="100"/>
                            <w:sz w:val="21"/>
                          </w:rPr>
                          <w:t>G</w:t>
                        </w:r>
                        <w:r>
                          <w:rPr>
                            <w:w w:val="100"/>
                            <w:sz w:val="21"/>
                          </w:rPr>
                          <w:t>/</w:t>
                        </w:r>
                        <w:r>
                          <w:rPr>
                            <w:spacing w:val="-8"/>
                            <w:sz w:val="21"/>
                          </w:rPr>
                          <w:t> </w:t>
                        </w:r>
                        <w:r>
                          <w:rPr>
                            <w:rFonts w:ascii="宋体" w:hAnsi="宋体" w:eastAsia="宋体" w:hint="eastAsia"/>
                            <w:spacing w:val="-3"/>
                            <w:w w:val="100"/>
                            <w:sz w:val="21"/>
                          </w:rPr>
                          <w:t>（</w:t>
                        </w:r>
                        <w:r>
                          <w:rPr>
                            <w:w w:val="100"/>
                            <w:sz w:val="21"/>
                          </w:rPr>
                          <w:t>1</w:t>
                        </w:r>
                        <w:r>
                          <w:rPr>
                            <w:spacing w:val="-2"/>
                            <w:w w:val="100"/>
                            <w:sz w:val="21"/>
                          </w:rPr>
                          <w:t>+</w:t>
                        </w:r>
                        <w:r>
                          <w:rPr>
                            <w:spacing w:val="1"/>
                            <w:w w:val="100"/>
                            <w:sz w:val="21"/>
                          </w:rPr>
                          <w:t>G</w:t>
                        </w:r>
                        <w:r>
                          <w:rPr>
                            <w:rFonts w:ascii="宋体" w:hAnsi="宋体" w:eastAsia="宋体" w:hint="eastAsia"/>
                            <w:spacing w:val="-106"/>
                            <w:w w:val="100"/>
                            <w:sz w:val="21"/>
                          </w:rPr>
                          <w:t>））</w:t>
                        </w:r>
                      </w:p>
                    </w:tc>
                    <w:tc>
                      <w:tcPr>
                        <w:tcW w:w="3224" w:type="dxa"/>
                      </w:tcPr>
                      <w:p>
                        <w:pPr>
                          <w:pStyle w:val="TableParagraph"/>
                          <w:spacing w:line="226" w:lineRule="exact" w:before="65"/>
                          <w:ind w:right="94"/>
                          <w:jc w:val="right"/>
                          <w:rPr>
                            <w:sz w:val="21"/>
                          </w:rPr>
                        </w:pPr>
                        <w:r>
                          <w:rPr>
                            <w:sz w:val="21"/>
                          </w:rPr>
                          <w:t>10.89</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转出基金费用（</w:t>
                        </w:r>
                        <w:r>
                          <w:rPr>
                            <w:sz w:val="21"/>
                          </w:rPr>
                          <w:t>I=E+H</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16.89</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转换金额（</w:t>
                        </w:r>
                        <w:r>
                          <w:rPr>
                            <w:sz w:val="21"/>
                          </w:rPr>
                          <w:t>J=C-I</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1,183.11</w:t>
                        </w:r>
                      </w:p>
                    </w:tc>
                  </w:tr>
                  <w:tr>
                    <w:trPr>
                      <w:trHeight w:val="311" w:hRule="atLeast"/>
                    </w:trPr>
                    <w:tc>
                      <w:tcPr>
                        <w:tcW w:w="4242" w:type="dxa"/>
                      </w:tcPr>
                      <w:p>
                        <w:pPr>
                          <w:pStyle w:val="TableParagraph"/>
                          <w:spacing w:line="250" w:lineRule="exact" w:before="41"/>
                          <w:ind w:left="105"/>
                          <w:rPr>
                            <w:rFonts w:ascii="宋体" w:eastAsia="宋体" w:hint="eastAsia"/>
                            <w:sz w:val="21"/>
                          </w:rPr>
                        </w:pPr>
                        <w:r>
                          <w:rPr>
                            <w:rFonts w:ascii="宋体" w:eastAsia="宋体" w:hint="eastAsia"/>
                            <w:sz w:val="21"/>
                          </w:rPr>
                          <w:t>转入基金费用（</w:t>
                        </w:r>
                        <w:r>
                          <w:rPr>
                            <w:sz w:val="21"/>
                          </w:rPr>
                          <w:t>K</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0.00</w:t>
                        </w:r>
                      </w:p>
                    </w:tc>
                  </w:tr>
                  <w:tr>
                    <w:trPr>
                      <w:trHeight w:val="313" w:hRule="atLeast"/>
                    </w:trPr>
                    <w:tc>
                      <w:tcPr>
                        <w:tcW w:w="4242" w:type="dxa"/>
                      </w:tcPr>
                      <w:p>
                        <w:pPr>
                          <w:pStyle w:val="TableParagraph"/>
                          <w:spacing w:line="252" w:lineRule="exact" w:before="42"/>
                          <w:ind w:left="105"/>
                          <w:rPr>
                            <w:rFonts w:ascii="宋体" w:eastAsia="宋体" w:hint="eastAsia"/>
                            <w:sz w:val="21"/>
                          </w:rPr>
                        </w:pPr>
                        <w:r>
                          <w:rPr>
                            <w:rFonts w:ascii="宋体" w:eastAsia="宋体" w:hint="eastAsia"/>
                            <w:sz w:val="21"/>
                          </w:rPr>
                          <w:t>净转入金额（</w:t>
                        </w:r>
                        <w:r>
                          <w:rPr>
                            <w:sz w:val="21"/>
                          </w:rPr>
                          <w:t>L=J-K</w:t>
                        </w:r>
                        <w:r>
                          <w:rPr>
                            <w:rFonts w:ascii="宋体" w:eastAsia="宋体" w:hint="eastAsia"/>
                            <w:sz w:val="21"/>
                          </w:rPr>
                          <w:t>）</w:t>
                        </w:r>
                      </w:p>
                    </w:tc>
                    <w:tc>
                      <w:tcPr>
                        <w:tcW w:w="3224" w:type="dxa"/>
                      </w:tcPr>
                      <w:p>
                        <w:pPr>
                          <w:pStyle w:val="TableParagraph"/>
                          <w:spacing w:line="229" w:lineRule="exact" w:before="65"/>
                          <w:ind w:right="94"/>
                          <w:jc w:val="right"/>
                          <w:rPr>
                            <w:sz w:val="21"/>
                          </w:rPr>
                        </w:pPr>
                        <w:r>
                          <w:rPr>
                            <w:sz w:val="21"/>
                          </w:rPr>
                          <w:t>1,183.11</w:t>
                        </w:r>
                      </w:p>
                    </w:tc>
                  </w:tr>
                  <w:tr>
                    <w:trPr>
                      <w:trHeight w:val="311" w:hRule="atLeast"/>
                    </w:trPr>
                    <w:tc>
                      <w:tcPr>
                        <w:tcW w:w="4242" w:type="dxa"/>
                      </w:tcPr>
                      <w:p>
                        <w:pPr>
                          <w:pStyle w:val="TableParagraph"/>
                          <w:spacing w:line="250" w:lineRule="exact" w:before="42"/>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M</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1.500</w:t>
                        </w:r>
                      </w:p>
                    </w:tc>
                  </w:tr>
                  <w:tr>
                    <w:trPr>
                      <w:trHeight w:val="311" w:hRule="atLeast"/>
                    </w:trPr>
                    <w:tc>
                      <w:tcPr>
                        <w:tcW w:w="4242" w:type="dxa"/>
                      </w:tcPr>
                      <w:p>
                        <w:pPr>
                          <w:pStyle w:val="TableParagraph"/>
                          <w:spacing w:line="250" w:lineRule="exact" w:before="42"/>
                          <w:ind w:left="105"/>
                          <w:rPr>
                            <w:rFonts w:ascii="宋体" w:eastAsia="宋体" w:hint="eastAsia"/>
                            <w:sz w:val="21"/>
                          </w:rPr>
                        </w:pPr>
                        <w:r>
                          <w:rPr>
                            <w:rFonts w:ascii="宋体" w:eastAsia="宋体" w:hint="eastAsia"/>
                            <w:sz w:val="21"/>
                          </w:rPr>
                          <w:t>转入基金份额（</w:t>
                        </w:r>
                        <w:r>
                          <w:rPr>
                            <w:sz w:val="21"/>
                          </w:rPr>
                          <w:t>N=L/M</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788.74</w:t>
                        </w:r>
                      </w:p>
                    </w:tc>
                  </w:tr>
                </w:tbl>
                <w:p>
                  <w:pPr>
                    <w:pStyle w:val="BodyText"/>
                  </w:pPr>
                </w:p>
              </w:txbxContent>
            </v:textbox>
            <w10:wrap type="none"/>
          </v:shape>
        </w:pict>
      </w:r>
      <w:r>
        <w:rPr>
          <w:spacing w:val="-11"/>
        </w:rPr>
        <w:t>例十二：假定投资者在 </w:t>
      </w:r>
      <w:r>
        <w:rPr>
          <w:rFonts w:ascii="Times New Roman" w:eastAsia="Times New Roman"/>
        </w:rPr>
        <w:t>T </w:t>
      </w:r>
      <w:r>
        <w:rPr>
          <w:spacing w:val="-9"/>
        </w:rPr>
        <w:t>日转出持有期为 </w:t>
      </w:r>
      <w:r>
        <w:rPr>
          <w:rFonts w:ascii="Times New Roman" w:eastAsia="Times New Roman"/>
        </w:rPr>
        <w:t>3 </w:t>
      </w:r>
      <w:r>
        <w:rPr>
          <w:spacing w:val="-8"/>
        </w:rPr>
        <w:t>年的后端收费基金甲 </w:t>
      </w:r>
      <w:r>
        <w:rPr>
          <w:rFonts w:ascii="Times New Roman" w:eastAsia="Times New Roman"/>
        </w:rPr>
        <w:t>1,000 </w:t>
      </w:r>
      <w:r>
        <w:rPr>
          <w:spacing w:val="-7"/>
        </w:rPr>
        <w:t>份，转入不收取申购费用基金乙。</w:t>
      </w:r>
      <w:r>
        <w:rPr>
          <w:rFonts w:ascii="Times New Roman" w:eastAsia="Times New Roman"/>
        </w:rPr>
        <w:t>T </w:t>
      </w:r>
      <w:r>
        <w:rPr>
          <w:spacing w:val="-8"/>
        </w:rPr>
        <w:t>日甲、乙基金基金份额净值分别为 </w:t>
      </w:r>
      <w:r>
        <w:rPr>
          <w:rFonts w:ascii="Times New Roman" w:eastAsia="Times New Roman"/>
        </w:rPr>
        <w:t>1.200</w:t>
      </w:r>
      <w:r>
        <w:rPr>
          <w:spacing w:val="-15"/>
        </w:rPr>
        <w:t>、</w:t>
      </w:r>
      <w:r>
        <w:rPr>
          <w:rFonts w:ascii="Times New Roman" w:eastAsia="Times New Roman"/>
        </w:rPr>
        <w:t>1.500 </w:t>
      </w:r>
      <w:r>
        <w:rPr>
          <w:spacing w:val="-5"/>
        </w:rPr>
        <w:t>元。申购当日甲基金基</w:t>
      </w:r>
      <w:r>
        <w:rPr>
          <w:spacing w:val="-10"/>
        </w:rPr>
        <w:t>金份额净值为 </w:t>
      </w:r>
      <w:r>
        <w:rPr>
          <w:rFonts w:ascii="Times New Roman" w:eastAsia="Times New Roman"/>
        </w:rPr>
        <w:t>1.100 </w:t>
      </w:r>
      <w:r>
        <w:rPr>
          <w:spacing w:val="-8"/>
        </w:rPr>
        <w:t>元，赎回费率为 </w:t>
      </w:r>
      <w:r>
        <w:rPr>
          <w:rFonts w:ascii="Times New Roman" w:eastAsia="Times New Roman"/>
        </w:rPr>
        <w:t>0.5%</w:t>
      </w:r>
      <w:r>
        <w:rPr>
          <w:spacing w:val="-5"/>
        </w:rPr>
        <w:t>，转出时适用甲基金后端申购费率为 </w:t>
      </w:r>
      <w:r>
        <w:rPr>
          <w:rFonts w:ascii="Times New Roman" w:eastAsia="Times New Roman"/>
        </w:rPr>
        <w:t>1.0%</w:t>
      </w:r>
      <w:r>
        <w:rPr>
          <w:spacing w:val="-2"/>
        </w:rPr>
        <w:t>。则转</w:t>
      </w:r>
      <w:r>
        <w:rPr>
          <w:spacing w:val="-3"/>
        </w:rPr>
        <w:t>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7"/>
        </w:rPr>
      </w:pPr>
    </w:p>
    <w:p>
      <w:pPr>
        <w:pStyle w:val="BodyText"/>
        <w:spacing w:line="417" w:lineRule="auto"/>
        <w:ind w:left="778" w:right="888" w:firstLine="419"/>
        <w:jc w:val="both"/>
      </w:pPr>
      <w:r>
        <w:rPr/>
        <w:pict>
          <v:shape style="position:absolute;margin-left:111.260002pt;margin-top:88.620033pt;width:373.3pt;height:225.45pt;mso-position-horizontal-relative:page;mso-position-vertical-relative:paragraph;z-index:2516848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5"/>
                    <w:gridCol w:w="3217"/>
                  </w:tblGrid>
                  <w:tr>
                    <w:trPr>
                      <w:trHeight w:val="311" w:hRule="atLeast"/>
                    </w:trPr>
                    <w:tc>
                      <w:tcPr>
                        <w:tcW w:w="4235" w:type="dxa"/>
                      </w:tcPr>
                      <w:p>
                        <w:pPr>
                          <w:pStyle w:val="TableParagraph"/>
                          <w:ind w:left="1882" w:right="1878"/>
                          <w:jc w:val="center"/>
                          <w:rPr>
                            <w:rFonts w:ascii="宋体" w:eastAsia="宋体" w:hint="eastAsia"/>
                            <w:sz w:val="21"/>
                          </w:rPr>
                        </w:pPr>
                        <w:r>
                          <w:rPr>
                            <w:rFonts w:ascii="宋体" w:eastAsia="宋体" w:hint="eastAsia"/>
                            <w:sz w:val="21"/>
                          </w:rPr>
                          <w:t>项目</w:t>
                        </w:r>
                      </w:p>
                    </w:tc>
                    <w:tc>
                      <w:tcPr>
                        <w:tcW w:w="3217" w:type="dxa"/>
                      </w:tcPr>
                      <w:p>
                        <w:pPr>
                          <w:pStyle w:val="TableParagraph"/>
                          <w:ind w:left="1168" w:right="1158"/>
                          <w:jc w:val="center"/>
                          <w:rPr>
                            <w:rFonts w:ascii="宋体" w:eastAsia="宋体" w:hint="eastAsia"/>
                            <w:sz w:val="21"/>
                          </w:rPr>
                        </w:pPr>
                        <w:r>
                          <w:rPr>
                            <w:rFonts w:ascii="宋体" w:eastAsia="宋体" w:hint="eastAsia"/>
                            <w:sz w:val="21"/>
                          </w:rPr>
                          <w:t>费用计算</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7" w:type="dxa"/>
                      </w:tcPr>
                      <w:p>
                        <w:pPr>
                          <w:pStyle w:val="TableParagraph"/>
                          <w:spacing w:before="34"/>
                          <w:ind w:right="95"/>
                          <w:jc w:val="right"/>
                          <w:rPr>
                            <w:sz w:val="21"/>
                          </w:rPr>
                        </w:pPr>
                        <w:r>
                          <w:rPr>
                            <w:sz w:val="21"/>
                          </w:rPr>
                          <w:t>1,000.00</w:t>
                        </w:r>
                      </w:p>
                    </w:tc>
                  </w:tr>
                  <w:tr>
                    <w:trPr>
                      <w:trHeight w:val="312" w:hRule="atLeast"/>
                    </w:trPr>
                    <w:tc>
                      <w:tcPr>
                        <w:tcW w:w="4235" w:type="dxa"/>
                      </w:tcPr>
                      <w:p>
                        <w:pPr>
                          <w:pStyle w:val="TableParagraph"/>
                          <w:spacing w:before="23"/>
                          <w:ind w:left="105"/>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7" w:type="dxa"/>
                      </w:tcPr>
                      <w:p>
                        <w:pPr>
                          <w:pStyle w:val="TableParagraph"/>
                          <w:spacing w:before="34"/>
                          <w:ind w:right="94"/>
                          <w:jc w:val="right"/>
                          <w:rPr>
                            <w:sz w:val="21"/>
                          </w:rPr>
                        </w:pPr>
                        <w:r>
                          <w:rPr>
                            <w:sz w:val="21"/>
                          </w:rPr>
                          <w:t>1.200</w:t>
                        </w:r>
                      </w:p>
                    </w:tc>
                  </w:tr>
                  <w:tr>
                    <w:trPr>
                      <w:trHeight w:val="314" w:hRule="atLeast"/>
                    </w:trPr>
                    <w:tc>
                      <w:tcPr>
                        <w:tcW w:w="4235" w:type="dxa"/>
                      </w:tcPr>
                      <w:p>
                        <w:pPr>
                          <w:pStyle w:val="TableParagraph"/>
                          <w:spacing w:before="25"/>
                          <w:ind w:left="105"/>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7" w:type="dxa"/>
                      </w:tcPr>
                      <w:p>
                        <w:pPr>
                          <w:pStyle w:val="TableParagraph"/>
                          <w:spacing w:before="36"/>
                          <w:ind w:right="95"/>
                          <w:jc w:val="right"/>
                          <w:rPr>
                            <w:sz w:val="21"/>
                          </w:rPr>
                        </w:pPr>
                        <w:r>
                          <w:rPr>
                            <w:sz w:val="21"/>
                          </w:rPr>
                          <w:t>1,200.00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17" w:type="dxa"/>
                      </w:tcPr>
                      <w:p>
                        <w:pPr>
                          <w:pStyle w:val="TableParagraph"/>
                          <w:spacing w:before="34"/>
                          <w:ind w:right="94"/>
                          <w:jc w:val="right"/>
                          <w:rPr>
                            <w:sz w:val="21"/>
                          </w:rPr>
                        </w:pPr>
                        <w:r>
                          <w:rPr>
                            <w:sz w:val="21"/>
                          </w:rPr>
                          <w:t>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17" w:type="dxa"/>
                      </w:tcPr>
                      <w:p>
                        <w:pPr>
                          <w:pStyle w:val="TableParagraph"/>
                          <w:spacing w:before="34"/>
                          <w:ind w:right="95"/>
                          <w:jc w:val="right"/>
                          <w:rPr>
                            <w:sz w:val="21"/>
                          </w:rPr>
                        </w:pPr>
                        <w:r>
                          <w:rPr>
                            <w:sz w:val="21"/>
                          </w:rPr>
                          <w:t>1,200.00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销售服务费率（</w:t>
                        </w:r>
                        <w:r>
                          <w:rPr>
                            <w:sz w:val="21"/>
                          </w:rPr>
                          <w:t>F</w:t>
                        </w:r>
                        <w:r>
                          <w:rPr>
                            <w:rFonts w:ascii="宋体" w:eastAsia="宋体" w:hint="eastAsia"/>
                            <w:sz w:val="21"/>
                          </w:rPr>
                          <w:t>）</w:t>
                        </w:r>
                      </w:p>
                    </w:tc>
                    <w:tc>
                      <w:tcPr>
                        <w:tcW w:w="3217" w:type="dxa"/>
                      </w:tcPr>
                      <w:p>
                        <w:pPr>
                          <w:pStyle w:val="TableParagraph"/>
                          <w:spacing w:before="34"/>
                          <w:ind w:right="93"/>
                          <w:jc w:val="right"/>
                          <w:rPr>
                            <w:sz w:val="21"/>
                          </w:rPr>
                        </w:pPr>
                        <w:r>
                          <w:rPr>
                            <w:sz w:val="21"/>
                          </w:rPr>
                          <w:t>0.3%</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转入基金申购费率（</w:t>
                        </w:r>
                        <w:r>
                          <w:rPr>
                            <w:sz w:val="21"/>
                          </w:rPr>
                          <w:t>G</w:t>
                        </w:r>
                        <w:r>
                          <w:rPr>
                            <w:rFonts w:ascii="宋体" w:eastAsia="宋体" w:hint="eastAsia"/>
                            <w:sz w:val="21"/>
                          </w:rPr>
                          <w:t>）</w:t>
                        </w:r>
                      </w:p>
                    </w:tc>
                    <w:tc>
                      <w:tcPr>
                        <w:tcW w:w="3217" w:type="dxa"/>
                      </w:tcPr>
                      <w:p>
                        <w:pPr>
                          <w:pStyle w:val="TableParagraph"/>
                          <w:spacing w:before="34"/>
                          <w:ind w:right="93"/>
                          <w:jc w:val="right"/>
                          <w:rPr>
                            <w:sz w:val="21"/>
                          </w:rPr>
                        </w:pPr>
                        <w:r>
                          <w:rPr>
                            <w:sz w:val="21"/>
                          </w:rPr>
                          <w:t>2.0%</w:t>
                        </w:r>
                      </w:p>
                    </w:tc>
                  </w:tr>
                  <w:tr>
                    <w:trPr>
                      <w:trHeight w:val="623" w:hRule="atLeast"/>
                    </w:trPr>
                    <w:tc>
                      <w:tcPr>
                        <w:tcW w:w="4235" w:type="dxa"/>
                      </w:tcPr>
                      <w:p>
                        <w:pPr>
                          <w:pStyle w:val="TableParagraph"/>
                          <w:ind w:left="105"/>
                          <w:rPr>
                            <w:rFonts w:ascii="宋体" w:eastAsia="宋体" w:hint="eastAsia"/>
                            <w:sz w:val="21"/>
                          </w:rPr>
                        </w:pPr>
                        <w:r>
                          <w:rPr>
                            <w:rFonts w:ascii="宋体" w:eastAsia="宋体" w:hint="eastAsia"/>
                            <w:sz w:val="21"/>
                          </w:rPr>
                          <w:t>收取的申购费率（</w:t>
                        </w:r>
                        <w:r>
                          <w:rPr>
                            <w:sz w:val="21"/>
                          </w:rPr>
                          <w:t>H=G-F*</w:t>
                        </w:r>
                        <w:r>
                          <w:rPr>
                            <w:rFonts w:ascii="宋体" w:eastAsia="宋体" w:hint="eastAsia"/>
                            <w:sz w:val="21"/>
                          </w:rPr>
                          <w:t>转出基金的持有时</w:t>
                        </w:r>
                      </w:p>
                      <w:p>
                        <w:pPr>
                          <w:pStyle w:val="TableParagraph"/>
                          <w:spacing w:before="43"/>
                          <w:ind w:left="105"/>
                          <w:rPr>
                            <w:rFonts w:ascii="宋体" w:eastAsia="宋体" w:hint="eastAsia"/>
                            <w:sz w:val="21"/>
                          </w:rPr>
                        </w:pPr>
                        <w:r>
                          <w:rPr>
                            <w:rFonts w:ascii="宋体" w:eastAsia="宋体" w:hint="eastAsia"/>
                            <w:w w:val="100"/>
                            <w:sz w:val="21"/>
                          </w:rPr>
                          <w:t>间（</w:t>
                        </w:r>
                        <w:r>
                          <w:rPr>
                            <w:rFonts w:ascii="宋体" w:eastAsia="宋体" w:hint="eastAsia"/>
                            <w:spacing w:val="-3"/>
                            <w:w w:val="100"/>
                            <w:sz w:val="21"/>
                          </w:rPr>
                          <w:t>单位为年</w:t>
                        </w:r>
                        <w:r>
                          <w:rPr>
                            <w:rFonts w:ascii="宋体" w:eastAsia="宋体" w:hint="eastAsia"/>
                            <w:spacing w:val="-108"/>
                            <w:w w:val="100"/>
                            <w:sz w:val="21"/>
                          </w:rPr>
                          <w:t>）</w:t>
                        </w:r>
                        <w:r>
                          <w:rPr>
                            <w:rFonts w:ascii="宋体" w:eastAsia="宋体" w:hint="eastAsia"/>
                            <w:w w:val="100"/>
                            <w:sz w:val="21"/>
                          </w:rPr>
                          <w:t>）</w:t>
                        </w:r>
                      </w:p>
                    </w:tc>
                    <w:tc>
                      <w:tcPr>
                        <w:tcW w:w="3217" w:type="dxa"/>
                      </w:tcPr>
                      <w:p>
                        <w:pPr>
                          <w:pStyle w:val="TableParagraph"/>
                          <w:spacing w:before="190"/>
                          <w:ind w:right="93"/>
                          <w:jc w:val="right"/>
                          <w:rPr>
                            <w:sz w:val="21"/>
                          </w:rPr>
                        </w:pPr>
                        <w:r>
                          <w:rPr>
                            <w:sz w:val="21"/>
                          </w:rPr>
                          <w:t>1.88%</w:t>
                        </w:r>
                      </w:p>
                    </w:tc>
                  </w:tr>
                  <w:tr>
                    <w:trPr>
                      <w:trHeight w:val="313" w:hRule="atLeast"/>
                    </w:trPr>
                    <w:tc>
                      <w:tcPr>
                        <w:tcW w:w="4235" w:type="dxa"/>
                      </w:tcPr>
                      <w:p>
                        <w:pPr>
                          <w:pStyle w:val="TableParagraph"/>
                          <w:spacing w:before="25"/>
                          <w:ind w:left="105"/>
                          <w:rPr>
                            <w:rFonts w:ascii="宋体" w:eastAsia="宋体" w:hint="eastAsia"/>
                            <w:sz w:val="21"/>
                          </w:rPr>
                        </w:pPr>
                        <w:r>
                          <w:rPr>
                            <w:rFonts w:ascii="宋体" w:eastAsia="宋体" w:hint="eastAsia"/>
                            <w:sz w:val="21"/>
                          </w:rPr>
                          <w:t>净转入金额（</w:t>
                        </w:r>
                        <w:r>
                          <w:rPr>
                            <w:sz w:val="21"/>
                          </w:rPr>
                          <w:t>I=E/(1+H)</w:t>
                        </w:r>
                        <w:r>
                          <w:rPr>
                            <w:rFonts w:ascii="宋体" w:eastAsia="宋体" w:hint="eastAsia"/>
                            <w:sz w:val="21"/>
                          </w:rPr>
                          <w:t>）</w:t>
                        </w:r>
                      </w:p>
                    </w:tc>
                    <w:tc>
                      <w:tcPr>
                        <w:tcW w:w="3217" w:type="dxa"/>
                      </w:tcPr>
                      <w:p>
                        <w:pPr>
                          <w:pStyle w:val="TableParagraph"/>
                          <w:spacing w:before="36"/>
                          <w:ind w:right="95"/>
                          <w:jc w:val="right"/>
                          <w:rPr>
                            <w:sz w:val="21"/>
                          </w:rPr>
                        </w:pPr>
                        <w:r>
                          <w:rPr>
                            <w:sz w:val="21"/>
                          </w:rPr>
                          <w:t>1,177.86</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转入基金费用（</w:t>
                        </w:r>
                        <w:r>
                          <w:rPr>
                            <w:sz w:val="21"/>
                          </w:rPr>
                          <w:t>J=E-I</w:t>
                        </w:r>
                        <w:r>
                          <w:rPr>
                            <w:rFonts w:ascii="宋体" w:eastAsia="宋体" w:hint="eastAsia"/>
                            <w:sz w:val="21"/>
                          </w:rPr>
                          <w:t>）</w:t>
                        </w:r>
                      </w:p>
                    </w:tc>
                    <w:tc>
                      <w:tcPr>
                        <w:tcW w:w="3217" w:type="dxa"/>
                      </w:tcPr>
                      <w:p>
                        <w:pPr>
                          <w:pStyle w:val="TableParagraph"/>
                          <w:spacing w:before="34"/>
                          <w:ind w:right="94"/>
                          <w:jc w:val="right"/>
                          <w:rPr>
                            <w:sz w:val="21"/>
                          </w:rPr>
                        </w:pPr>
                        <w:r>
                          <w:rPr>
                            <w:sz w:val="21"/>
                          </w:rPr>
                          <w:t>22.14</w:t>
                        </w:r>
                      </w:p>
                    </w:tc>
                  </w:tr>
                  <w:tr>
                    <w:trPr>
                      <w:trHeight w:val="311" w:hRule="atLeast"/>
                    </w:trPr>
                    <w:tc>
                      <w:tcPr>
                        <w:tcW w:w="4235" w:type="dxa"/>
                      </w:tcPr>
                      <w:p>
                        <w:pPr>
                          <w:pStyle w:val="TableParagraph"/>
                          <w:spacing w:before="23"/>
                          <w:ind w:left="105"/>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K</w:t>
                        </w:r>
                        <w:r>
                          <w:rPr>
                            <w:rFonts w:ascii="宋体" w:eastAsia="宋体" w:hint="eastAsia"/>
                            <w:sz w:val="21"/>
                          </w:rPr>
                          <w:t>）</w:t>
                        </w:r>
                      </w:p>
                    </w:tc>
                    <w:tc>
                      <w:tcPr>
                        <w:tcW w:w="3217" w:type="dxa"/>
                      </w:tcPr>
                      <w:p>
                        <w:pPr>
                          <w:pStyle w:val="TableParagraph"/>
                          <w:spacing w:before="34"/>
                          <w:ind w:right="94"/>
                          <w:jc w:val="right"/>
                          <w:rPr>
                            <w:sz w:val="21"/>
                          </w:rPr>
                        </w:pPr>
                        <w:r>
                          <w:rPr>
                            <w:sz w:val="21"/>
                          </w:rPr>
                          <w:t>1.300</w:t>
                        </w:r>
                      </w:p>
                    </w:tc>
                  </w:tr>
                  <w:tr>
                    <w:trPr>
                      <w:trHeight w:val="311" w:hRule="atLeast"/>
                    </w:trPr>
                    <w:tc>
                      <w:tcPr>
                        <w:tcW w:w="4235" w:type="dxa"/>
                      </w:tcPr>
                      <w:p>
                        <w:pPr>
                          <w:pStyle w:val="TableParagraph"/>
                          <w:ind w:left="105"/>
                          <w:rPr>
                            <w:rFonts w:ascii="宋体" w:eastAsia="宋体" w:hint="eastAsia"/>
                            <w:sz w:val="21"/>
                          </w:rPr>
                        </w:pPr>
                        <w:r>
                          <w:rPr>
                            <w:rFonts w:ascii="宋体" w:eastAsia="宋体" w:hint="eastAsia"/>
                            <w:sz w:val="21"/>
                          </w:rPr>
                          <w:t>转入基金份额（</w:t>
                        </w:r>
                        <w:r>
                          <w:rPr>
                            <w:sz w:val="21"/>
                          </w:rPr>
                          <w:t>L=I/K</w:t>
                        </w:r>
                        <w:r>
                          <w:rPr>
                            <w:rFonts w:ascii="宋体" w:eastAsia="宋体" w:hint="eastAsia"/>
                            <w:sz w:val="21"/>
                          </w:rPr>
                          <w:t>）</w:t>
                        </w:r>
                      </w:p>
                    </w:tc>
                    <w:tc>
                      <w:tcPr>
                        <w:tcW w:w="3217" w:type="dxa"/>
                      </w:tcPr>
                      <w:p>
                        <w:pPr>
                          <w:pStyle w:val="TableParagraph"/>
                          <w:spacing w:before="34"/>
                          <w:ind w:right="94"/>
                          <w:jc w:val="right"/>
                          <w:rPr>
                            <w:sz w:val="21"/>
                          </w:rPr>
                        </w:pPr>
                        <w:r>
                          <w:rPr>
                            <w:sz w:val="21"/>
                          </w:rPr>
                          <w:t>906.05</w:t>
                        </w:r>
                      </w:p>
                    </w:tc>
                  </w:tr>
                </w:tbl>
                <w:p>
                  <w:pPr>
                    <w:pStyle w:val="BodyText"/>
                  </w:pPr>
                </w:p>
              </w:txbxContent>
            </v:textbox>
            <w10:wrap type="none"/>
          </v:shape>
        </w:pict>
      </w:r>
      <w:r>
        <w:rPr>
          <w:spacing w:val="-11"/>
        </w:rPr>
        <w:t>例十三：假定投资者在 </w:t>
      </w:r>
      <w:r>
        <w:rPr>
          <w:rFonts w:ascii="Times New Roman" w:eastAsia="Times New Roman"/>
        </w:rPr>
        <w:t>T </w:t>
      </w:r>
      <w:r>
        <w:rPr>
          <w:spacing w:val="-9"/>
        </w:rPr>
        <w:t>日转出持有期为 </w:t>
      </w:r>
      <w:r>
        <w:rPr>
          <w:rFonts w:ascii="Times New Roman" w:eastAsia="Times New Roman"/>
        </w:rPr>
        <w:t>146 </w:t>
      </w:r>
      <w:r>
        <w:rPr>
          <w:spacing w:val="-7"/>
        </w:rPr>
        <w:t>天的不收取申购费用基金甲 </w:t>
      </w:r>
      <w:r>
        <w:rPr>
          <w:rFonts w:ascii="Times New Roman" w:eastAsia="Times New Roman"/>
        </w:rPr>
        <w:t>1,000 </w:t>
      </w:r>
      <w:r>
        <w:rPr>
          <w:spacing w:val="-11"/>
        </w:rPr>
        <w:t>份，转</w:t>
      </w:r>
      <w:r>
        <w:rPr>
          <w:spacing w:val="-7"/>
        </w:rPr>
        <w:t>入前端收费基金乙。</w:t>
      </w:r>
      <w:r>
        <w:rPr>
          <w:rFonts w:ascii="Times New Roman" w:eastAsia="Times New Roman"/>
        </w:rPr>
        <w:t>T </w:t>
      </w:r>
      <w:r>
        <w:rPr>
          <w:spacing w:val="-8"/>
        </w:rPr>
        <w:t>日甲、乙基金基金份额净值分别为 </w:t>
      </w:r>
      <w:r>
        <w:rPr>
          <w:rFonts w:ascii="Times New Roman" w:eastAsia="Times New Roman"/>
        </w:rPr>
        <w:t>1.200</w:t>
      </w:r>
      <w:r>
        <w:rPr>
          <w:spacing w:val="-17"/>
        </w:rPr>
        <w:t>、</w:t>
      </w:r>
      <w:r>
        <w:rPr>
          <w:rFonts w:ascii="Times New Roman" w:eastAsia="Times New Roman"/>
        </w:rPr>
        <w:t>1.300 </w:t>
      </w:r>
      <w:r>
        <w:rPr>
          <w:spacing w:val="-5"/>
        </w:rPr>
        <w:t>元。甲基金销售服务</w:t>
      </w:r>
      <w:r>
        <w:rPr>
          <w:spacing w:val="-12"/>
        </w:rPr>
        <w:t>费率为 </w:t>
      </w:r>
      <w:r>
        <w:rPr>
          <w:rFonts w:ascii="Times New Roman" w:eastAsia="Times New Roman"/>
        </w:rPr>
        <w:t>0.3%</w:t>
      </w:r>
      <w:r>
        <w:rPr>
          <w:spacing w:val="-6"/>
        </w:rPr>
        <w:t>，此时转出不收取赎回费。乙基金适用申购费率为 </w:t>
      </w:r>
      <w:r>
        <w:rPr>
          <w:rFonts w:ascii="Times New Roman" w:eastAsia="Times New Roman"/>
        </w:rPr>
        <w:t>2.0%</w:t>
      </w:r>
      <w:r>
        <w:rPr>
          <w:spacing w:val="-4"/>
        </w:rPr>
        <w:t>。则转出基金费用、转</w:t>
      </w:r>
      <w:r>
        <w:rPr>
          <w:spacing w:val="-3"/>
        </w:rPr>
        <w:t>入基金费用及份额计算如下：</w:t>
      </w:r>
    </w:p>
    <w:p>
      <w:pPr>
        <w:spacing w:after="0" w:line="417" w:lineRule="auto"/>
        <w:jc w:val="both"/>
        <w:sectPr>
          <w:pgSz w:w="11910" w:h="16840"/>
          <w:pgMar w:header="877" w:footer="995" w:top="1280" w:bottom="1180" w:left="1020" w:right="900"/>
        </w:sectPr>
      </w:pPr>
    </w:p>
    <w:p>
      <w:pPr>
        <w:pStyle w:val="BodyText"/>
        <w:rPr>
          <w:sz w:val="12"/>
        </w:rPr>
      </w:pPr>
    </w:p>
    <w:p>
      <w:pPr>
        <w:pStyle w:val="BodyText"/>
        <w:spacing w:line="417" w:lineRule="auto" w:before="78"/>
        <w:ind w:left="778" w:right="785" w:firstLine="419"/>
      </w:pPr>
      <w:r>
        <w:rPr/>
        <w:pict>
          <v:shape style="position:absolute;margin-left:111.379997pt;margin-top:92.519997pt;width:372.95pt;height:209.35pt;mso-position-horizontal-relative:page;mso-position-vertical-relative:paragraph;z-index:25168588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32"/>
                    <w:gridCol w:w="3212"/>
                  </w:tblGrid>
                  <w:tr>
                    <w:trPr>
                      <w:trHeight w:val="311" w:hRule="atLeast"/>
                    </w:trPr>
                    <w:tc>
                      <w:tcPr>
                        <w:tcW w:w="4232" w:type="dxa"/>
                      </w:tcPr>
                      <w:p>
                        <w:pPr>
                          <w:pStyle w:val="TableParagraph"/>
                          <w:ind w:left="1884" w:right="1872"/>
                          <w:jc w:val="center"/>
                          <w:rPr>
                            <w:rFonts w:ascii="宋体" w:eastAsia="宋体" w:hint="eastAsia"/>
                            <w:sz w:val="21"/>
                          </w:rPr>
                        </w:pPr>
                        <w:r>
                          <w:rPr>
                            <w:rFonts w:ascii="宋体" w:eastAsia="宋体" w:hint="eastAsia"/>
                            <w:sz w:val="21"/>
                          </w:rPr>
                          <w:t>项目</w:t>
                        </w:r>
                      </w:p>
                    </w:tc>
                    <w:tc>
                      <w:tcPr>
                        <w:tcW w:w="3212" w:type="dxa"/>
                      </w:tcPr>
                      <w:p>
                        <w:pPr>
                          <w:pStyle w:val="TableParagraph"/>
                          <w:ind w:left="1108" w:right="1097"/>
                          <w:jc w:val="center"/>
                          <w:rPr>
                            <w:rFonts w:ascii="宋体" w:eastAsia="宋体" w:hint="eastAsia"/>
                            <w:sz w:val="21"/>
                          </w:rPr>
                        </w:pPr>
                        <w:r>
                          <w:rPr>
                            <w:rFonts w:ascii="宋体" w:eastAsia="宋体" w:hint="eastAsia"/>
                            <w:sz w:val="21"/>
                          </w:rPr>
                          <w:t>费用计算</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12" w:type="dxa"/>
                      </w:tcPr>
                      <w:p>
                        <w:pPr>
                          <w:pStyle w:val="TableParagraph"/>
                          <w:spacing w:before="34"/>
                          <w:ind w:right="94"/>
                          <w:jc w:val="right"/>
                          <w:rPr>
                            <w:sz w:val="21"/>
                          </w:rPr>
                        </w:pPr>
                        <w:r>
                          <w:rPr>
                            <w:sz w:val="21"/>
                          </w:rPr>
                          <w:t>10,000,000.00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12" w:type="dxa"/>
                      </w:tcPr>
                      <w:p>
                        <w:pPr>
                          <w:pStyle w:val="TableParagraph"/>
                          <w:spacing w:before="34"/>
                          <w:ind w:right="93"/>
                          <w:jc w:val="right"/>
                          <w:rPr>
                            <w:sz w:val="21"/>
                          </w:rPr>
                        </w:pPr>
                        <w:r>
                          <w:rPr>
                            <w:sz w:val="21"/>
                          </w:rPr>
                          <w:t>1.200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12" w:type="dxa"/>
                      </w:tcPr>
                      <w:p>
                        <w:pPr>
                          <w:pStyle w:val="TableParagraph"/>
                          <w:spacing w:before="34"/>
                          <w:ind w:right="94"/>
                          <w:jc w:val="right"/>
                          <w:rPr>
                            <w:sz w:val="21"/>
                          </w:rPr>
                        </w:pPr>
                        <w:r>
                          <w:rPr>
                            <w:sz w:val="21"/>
                          </w:rPr>
                          <w:t>12,000,000.00</w:t>
                        </w:r>
                      </w:p>
                    </w:tc>
                  </w:tr>
                  <w:tr>
                    <w:trPr>
                      <w:trHeight w:val="311" w:hRule="atLeast"/>
                    </w:trPr>
                    <w:tc>
                      <w:tcPr>
                        <w:tcW w:w="4232" w:type="dxa"/>
                        <w:tcBorders>
                          <w:bottom w:val="single" w:sz="6" w:space="0" w:color="000000"/>
                        </w:tcBorders>
                      </w:tcPr>
                      <w:p>
                        <w:pPr>
                          <w:pStyle w:val="TableParagraph"/>
                          <w:spacing w:line="267" w:lineRule="exact" w:before="25"/>
                          <w:ind w:left="107"/>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12" w:type="dxa"/>
                        <w:tcBorders>
                          <w:bottom w:val="single" w:sz="6" w:space="0" w:color="000000"/>
                        </w:tcBorders>
                      </w:tcPr>
                      <w:p>
                        <w:pPr>
                          <w:pStyle w:val="TableParagraph"/>
                          <w:spacing w:before="36"/>
                          <w:ind w:right="93"/>
                          <w:jc w:val="right"/>
                          <w:rPr>
                            <w:sz w:val="21"/>
                          </w:rPr>
                        </w:pPr>
                        <w:r>
                          <w:rPr>
                            <w:sz w:val="21"/>
                          </w:rPr>
                          <w:t>0.00</w:t>
                        </w:r>
                      </w:p>
                    </w:tc>
                  </w:tr>
                  <w:tr>
                    <w:trPr>
                      <w:trHeight w:val="309" w:hRule="atLeast"/>
                    </w:trPr>
                    <w:tc>
                      <w:tcPr>
                        <w:tcW w:w="4232" w:type="dxa"/>
                        <w:tcBorders>
                          <w:top w:val="single" w:sz="6" w:space="0" w:color="000000"/>
                        </w:tcBorders>
                      </w:tcPr>
                      <w:p>
                        <w:pPr>
                          <w:pStyle w:val="TableParagraph"/>
                          <w:spacing w:before="20"/>
                          <w:ind w:left="107"/>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12" w:type="dxa"/>
                        <w:tcBorders>
                          <w:top w:val="single" w:sz="6" w:space="0" w:color="000000"/>
                        </w:tcBorders>
                      </w:tcPr>
                      <w:p>
                        <w:pPr>
                          <w:pStyle w:val="TableParagraph"/>
                          <w:spacing w:before="32"/>
                          <w:ind w:right="94"/>
                          <w:jc w:val="right"/>
                          <w:rPr>
                            <w:sz w:val="21"/>
                          </w:rPr>
                        </w:pPr>
                        <w:r>
                          <w:rPr>
                            <w:sz w:val="21"/>
                          </w:rPr>
                          <w:t>12,000,000.00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销售服务费率（</w:t>
                        </w:r>
                        <w:r>
                          <w:rPr>
                            <w:sz w:val="21"/>
                          </w:rPr>
                          <w:t>F</w:t>
                        </w:r>
                        <w:r>
                          <w:rPr>
                            <w:rFonts w:ascii="宋体" w:eastAsia="宋体" w:hint="eastAsia"/>
                            <w:sz w:val="21"/>
                          </w:rPr>
                          <w:t>）</w:t>
                        </w:r>
                      </w:p>
                    </w:tc>
                    <w:tc>
                      <w:tcPr>
                        <w:tcW w:w="3212" w:type="dxa"/>
                      </w:tcPr>
                      <w:p>
                        <w:pPr>
                          <w:pStyle w:val="TableParagraph"/>
                          <w:spacing w:before="34"/>
                          <w:ind w:right="93"/>
                          <w:jc w:val="right"/>
                          <w:rPr>
                            <w:sz w:val="21"/>
                          </w:rPr>
                        </w:pPr>
                        <w:r>
                          <w:rPr>
                            <w:sz w:val="21"/>
                          </w:rPr>
                          <w:t>0.3%</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转入基金申购费用（</w:t>
                        </w:r>
                        <w:r>
                          <w:rPr>
                            <w:sz w:val="21"/>
                          </w:rPr>
                          <w:t>G</w:t>
                        </w:r>
                        <w:r>
                          <w:rPr>
                            <w:rFonts w:ascii="宋体" w:eastAsia="宋体" w:hint="eastAsia"/>
                            <w:sz w:val="21"/>
                          </w:rPr>
                          <w:t>）</w:t>
                        </w:r>
                      </w:p>
                    </w:tc>
                    <w:tc>
                      <w:tcPr>
                        <w:tcW w:w="3212" w:type="dxa"/>
                      </w:tcPr>
                      <w:p>
                        <w:pPr>
                          <w:pStyle w:val="TableParagraph"/>
                          <w:spacing w:before="34"/>
                          <w:ind w:right="94"/>
                          <w:jc w:val="right"/>
                          <w:rPr>
                            <w:sz w:val="21"/>
                          </w:rPr>
                        </w:pPr>
                        <w:r>
                          <w:rPr>
                            <w:sz w:val="21"/>
                          </w:rPr>
                          <w:t>1,000.00</w:t>
                        </w:r>
                      </w:p>
                    </w:tc>
                  </w:tr>
                  <w:tr>
                    <w:trPr>
                      <w:trHeight w:val="623" w:hRule="atLeast"/>
                    </w:trPr>
                    <w:tc>
                      <w:tcPr>
                        <w:tcW w:w="4232" w:type="dxa"/>
                      </w:tcPr>
                      <w:p>
                        <w:pPr>
                          <w:pStyle w:val="TableParagraph"/>
                          <w:ind w:left="107"/>
                          <w:rPr>
                            <w:rFonts w:ascii="宋体" w:eastAsia="宋体" w:hint="eastAsia"/>
                            <w:sz w:val="21"/>
                          </w:rPr>
                        </w:pPr>
                        <w:r>
                          <w:rPr>
                            <w:rFonts w:ascii="宋体" w:eastAsia="宋体" w:hint="eastAsia"/>
                            <w:sz w:val="21"/>
                          </w:rPr>
                          <w:t>转入基金费用（</w:t>
                        </w:r>
                        <w:r>
                          <w:rPr>
                            <w:sz w:val="21"/>
                          </w:rPr>
                          <w:t>H=G-E*F*</w:t>
                        </w:r>
                        <w:r>
                          <w:rPr>
                            <w:rFonts w:ascii="宋体" w:eastAsia="宋体" w:hint="eastAsia"/>
                            <w:sz w:val="21"/>
                          </w:rPr>
                          <w:t>转出基金的持有时</w:t>
                        </w:r>
                      </w:p>
                      <w:p>
                        <w:pPr>
                          <w:pStyle w:val="TableParagraph"/>
                          <w:spacing w:before="43"/>
                          <w:ind w:left="107"/>
                          <w:rPr>
                            <w:rFonts w:ascii="宋体" w:eastAsia="宋体" w:hint="eastAsia"/>
                            <w:sz w:val="21"/>
                          </w:rPr>
                        </w:pPr>
                        <w:r>
                          <w:rPr>
                            <w:rFonts w:ascii="宋体" w:eastAsia="宋体" w:hint="eastAsia"/>
                            <w:w w:val="100"/>
                            <w:sz w:val="21"/>
                          </w:rPr>
                          <w:t>间（</w:t>
                        </w:r>
                        <w:r>
                          <w:rPr>
                            <w:rFonts w:ascii="宋体" w:eastAsia="宋体" w:hint="eastAsia"/>
                            <w:spacing w:val="-3"/>
                            <w:w w:val="100"/>
                            <w:sz w:val="21"/>
                          </w:rPr>
                          <w:t>单位为年</w:t>
                        </w:r>
                        <w:r>
                          <w:rPr>
                            <w:rFonts w:ascii="宋体" w:eastAsia="宋体" w:hint="eastAsia"/>
                            <w:spacing w:val="-108"/>
                            <w:w w:val="100"/>
                            <w:sz w:val="21"/>
                          </w:rPr>
                          <w:t>）</w:t>
                        </w:r>
                        <w:r>
                          <w:rPr>
                            <w:rFonts w:ascii="宋体" w:eastAsia="宋体" w:hint="eastAsia"/>
                            <w:w w:val="100"/>
                            <w:sz w:val="21"/>
                          </w:rPr>
                          <w:t>）</w:t>
                        </w:r>
                      </w:p>
                    </w:tc>
                    <w:tc>
                      <w:tcPr>
                        <w:tcW w:w="3212" w:type="dxa"/>
                      </w:tcPr>
                      <w:p>
                        <w:pPr>
                          <w:pStyle w:val="TableParagraph"/>
                          <w:spacing w:before="190"/>
                          <w:ind w:right="93"/>
                          <w:jc w:val="right"/>
                          <w:rPr>
                            <w:sz w:val="21"/>
                          </w:rPr>
                        </w:pPr>
                        <w:r>
                          <w:rPr>
                            <w:sz w:val="21"/>
                          </w:rPr>
                          <w:t>13.70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净转入金额（</w:t>
                        </w:r>
                        <w:r>
                          <w:rPr>
                            <w:sz w:val="21"/>
                          </w:rPr>
                          <w:t>I=E-H</w:t>
                        </w:r>
                        <w:r>
                          <w:rPr>
                            <w:rFonts w:ascii="宋体" w:eastAsia="宋体" w:hint="eastAsia"/>
                            <w:sz w:val="21"/>
                          </w:rPr>
                          <w:t>）</w:t>
                        </w:r>
                      </w:p>
                    </w:tc>
                    <w:tc>
                      <w:tcPr>
                        <w:tcW w:w="3212" w:type="dxa"/>
                      </w:tcPr>
                      <w:p>
                        <w:pPr>
                          <w:pStyle w:val="TableParagraph"/>
                          <w:spacing w:before="34"/>
                          <w:ind w:right="94"/>
                          <w:jc w:val="right"/>
                          <w:rPr>
                            <w:sz w:val="21"/>
                          </w:rPr>
                        </w:pPr>
                        <w:r>
                          <w:rPr>
                            <w:sz w:val="21"/>
                          </w:rPr>
                          <w:t>11,999,986.30</w:t>
                        </w:r>
                      </w:p>
                    </w:tc>
                  </w:tr>
                  <w:tr>
                    <w:trPr>
                      <w:trHeight w:val="313" w:hRule="atLeast"/>
                    </w:trPr>
                    <w:tc>
                      <w:tcPr>
                        <w:tcW w:w="4232" w:type="dxa"/>
                      </w:tcPr>
                      <w:p>
                        <w:pPr>
                          <w:pStyle w:val="TableParagraph"/>
                          <w:spacing w:before="25"/>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J</w:t>
                        </w:r>
                        <w:r>
                          <w:rPr>
                            <w:rFonts w:ascii="宋体" w:eastAsia="宋体" w:hint="eastAsia"/>
                            <w:sz w:val="21"/>
                          </w:rPr>
                          <w:t>）</w:t>
                        </w:r>
                      </w:p>
                    </w:tc>
                    <w:tc>
                      <w:tcPr>
                        <w:tcW w:w="3212" w:type="dxa"/>
                      </w:tcPr>
                      <w:p>
                        <w:pPr>
                          <w:pStyle w:val="TableParagraph"/>
                          <w:spacing w:before="36"/>
                          <w:ind w:right="93"/>
                          <w:jc w:val="right"/>
                          <w:rPr>
                            <w:sz w:val="21"/>
                          </w:rPr>
                        </w:pPr>
                        <w:r>
                          <w:rPr>
                            <w:sz w:val="21"/>
                          </w:rPr>
                          <w:t>1.300</w:t>
                        </w:r>
                      </w:p>
                    </w:tc>
                  </w:tr>
                  <w:tr>
                    <w:trPr>
                      <w:trHeight w:val="311" w:hRule="atLeast"/>
                    </w:trPr>
                    <w:tc>
                      <w:tcPr>
                        <w:tcW w:w="4232" w:type="dxa"/>
                      </w:tcPr>
                      <w:p>
                        <w:pPr>
                          <w:pStyle w:val="TableParagraph"/>
                          <w:ind w:left="107"/>
                          <w:rPr>
                            <w:rFonts w:ascii="宋体" w:eastAsia="宋体" w:hint="eastAsia"/>
                            <w:sz w:val="21"/>
                          </w:rPr>
                        </w:pPr>
                        <w:r>
                          <w:rPr>
                            <w:rFonts w:ascii="宋体" w:eastAsia="宋体" w:hint="eastAsia"/>
                            <w:sz w:val="21"/>
                          </w:rPr>
                          <w:t>转入基金份额（</w:t>
                        </w:r>
                        <w:r>
                          <w:rPr>
                            <w:sz w:val="21"/>
                          </w:rPr>
                          <w:t>K=I/J</w:t>
                        </w:r>
                        <w:r>
                          <w:rPr>
                            <w:rFonts w:ascii="宋体" w:eastAsia="宋体" w:hint="eastAsia"/>
                            <w:sz w:val="21"/>
                          </w:rPr>
                          <w:t>）</w:t>
                        </w:r>
                      </w:p>
                    </w:tc>
                    <w:tc>
                      <w:tcPr>
                        <w:tcW w:w="3212" w:type="dxa"/>
                      </w:tcPr>
                      <w:p>
                        <w:pPr>
                          <w:pStyle w:val="TableParagraph"/>
                          <w:spacing w:before="34"/>
                          <w:ind w:right="94"/>
                          <w:jc w:val="right"/>
                          <w:rPr>
                            <w:sz w:val="21"/>
                          </w:rPr>
                        </w:pPr>
                        <w:r>
                          <w:rPr>
                            <w:sz w:val="21"/>
                          </w:rPr>
                          <w:t>9,230,758.69</w:t>
                        </w:r>
                      </w:p>
                    </w:tc>
                  </w:tr>
                </w:tbl>
                <w:p>
                  <w:pPr>
                    <w:pStyle w:val="BodyText"/>
                  </w:pPr>
                </w:p>
              </w:txbxContent>
            </v:textbox>
            <w10:wrap type="none"/>
          </v:shape>
        </w:pict>
      </w:r>
      <w:r>
        <w:rPr>
          <w:spacing w:val="-18"/>
        </w:rPr>
        <w:t>例十四：假定投资者在 </w:t>
      </w:r>
      <w:r>
        <w:rPr>
          <w:rFonts w:ascii="Times New Roman" w:eastAsia="Times New Roman"/>
        </w:rPr>
        <w:t>T </w:t>
      </w:r>
      <w:r>
        <w:rPr>
          <w:spacing w:val="-9"/>
        </w:rPr>
        <w:t>日转出持有期为 </w:t>
      </w:r>
      <w:r>
        <w:rPr>
          <w:rFonts w:ascii="Times New Roman" w:eastAsia="Times New Roman"/>
        </w:rPr>
        <w:t>10 </w:t>
      </w:r>
      <w:r>
        <w:rPr>
          <w:spacing w:val="-7"/>
        </w:rPr>
        <w:t>天的不收取申购费用基金甲 </w:t>
      </w:r>
      <w:r>
        <w:rPr>
          <w:rFonts w:ascii="Times New Roman" w:eastAsia="Times New Roman"/>
        </w:rPr>
        <w:t>10,000,000 </w:t>
      </w:r>
      <w:r>
        <w:rPr/>
        <w:t>份， </w:t>
      </w:r>
      <w:r>
        <w:rPr>
          <w:spacing w:val="-5"/>
        </w:rPr>
        <w:t>转入前端收费基金乙。</w:t>
      </w:r>
      <w:r>
        <w:rPr>
          <w:rFonts w:ascii="Times New Roman" w:eastAsia="Times New Roman"/>
        </w:rPr>
        <w:t>T </w:t>
      </w:r>
      <w:r>
        <w:rPr>
          <w:spacing w:val="-8"/>
        </w:rPr>
        <w:t>日甲、乙基金基金份额净值分别为 </w:t>
      </w:r>
      <w:r>
        <w:rPr>
          <w:rFonts w:ascii="Times New Roman" w:eastAsia="Times New Roman"/>
        </w:rPr>
        <w:t>1.200</w:t>
      </w:r>
      <w:r>
        <w:rPr>
          <w:spacing w:val="-15"/>
        </w:rPr>
        <w:t>、</w:t>
      </w:r>
      <w:r>
        <w:rPr>
          <w:rFonts w:ascii="Times New Roman" w:eastAsia="Times New Roman"/>
        </w:rPr>
        <w:t>1.300 </w:t>
      </w:r>
      <w:r>
        <w:rPr>
          <w:spacing w:val="-5"/>
        </w:rPr>
        <w:t>元。甲基金销售服</w:t>
      </w:r>
      <w:r>
        <w:rPr>
          <w:spacing w:val="-9"/>
        </w:rPr>
        <w:t>务费率为 </w:t>
      </w:r>
      <w:r>
        <w:rPr>
          <w:rFonts w:ascii="Times New Roman" w:eastAsia="Times New Roman"/>
        </w:rPr>
        <w:t>0.3%</w:t>
      </w:r>
      <w:r>
        <w:rPr>
          <w:spacing w:val="-5"/>
        </w:rPr>
        <w:t>，此时转出不收取赎回费。乙基金适用固定申购费 </w:t>
      </w:r>
      <w:r>
        <w:rPr>
          <w:rFonts w:ascii="Times New Roman" w:eastAsia="Times New Roman"/>
        </w:rPr>
        <w:t>1,000.00 </w:t>
      </w:r>
      <w:r>
        <w:rPr>
          <w:spacing w:val="-3"/>
        </w:rPr>
        <w:t>元。则转出基金费用、转入基金费用及份额计算如下：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pStyle w:val="BodyText"/>
        <w:ind w:left="1198"/>
        <w:jc w:val="both"/>
      </w:pPr>
      <w:r>
        <w:rPr/>
        <w:t>例十五：假定投资者在 </w:t>
      </w:r>
      <w:r>
        <w:rPr>
          <w:rFonts w:ascii="Times New Roman" w:eastAsia="Times New Roman"/>
        </w:rPr>
        <w:t>2010 </w:t>
      </w:r>
      <w:r>
        <w:rPr/>
        <w:t>年 </w:t>
      </w:r>
      <w:r>
        <w:rPr>
          <w:rFonts w:ascii="Times New Roman" w:eastAsia="Times New Roman"/>
        </w:rPr>
        <w:t>3 </w:t>
      </w:r>
      <w:r>
        <w:rPr/>
        <w:t>月 </w:t>
      </w:r>
      <w:r>
        <w:rPr>
          <w:rFonts w:ascii="Times New Roman" w:eastAsia="Times New Roman"/>
        </w:rPr>
        <w:t>15 </w:t>
      </w:r>
      <w:r>
        <w:rPr/>
        <w:t>日成功提交了基金转换申请，转出持有 </w:t>
      </w:r>
      <w:r>
        <w:rPr>
          <w:rFonts w:ascii="Times New Roman" w:eastAsia="Times New Roman"/>
        </w:rPr>
        <w:t>60 </w:t>
      </w:r>
      <w:r>
        <w:rPr/>
        <w:t>天的</w:t>
      </w:r>
    </w:p>
    <w:p>
      <w:pPr>
        <w:pStyle w:val="BodyText"/>
        <w:spacing w:before="7"/>
        <w:rPr>
          <w:sz w:val="15"/>
        </w:rPr>
      </w:pPr>
    </w:p>
    <w:p>
      <w:pPr>
        <w:pStyle w:val="BodyText"/>
        <w:spacing w:line="417" w:lineRule="auto"/>
        <w:ind w:left="778" w:right="855"/>
        <w:jc w:val="both"/>
      </w:pPr>
      <w:r>
        <w:rPr/>
        <w:pict>
          <v:shape style="position:absolute;margin-left:110.900002pt;margin-top:65.220032pt;width:373.9pt;height:161.550pt;mso-position-horizontal-relative:page;mso-position-vertical-relative:paragraph;z-index:2516869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2"/>
                    <w:gridCol w:w="3222"/>
                  </w:tblGrid>
                  <w:tr>
                    <w:trPr>
                      <w:trHeight w:val="311" w:hRule="atLeast"/>
                    </w:trPr>
                    <w:tc>
                      <w:tcPr>
                        <w:tcW w:w="4242" w:type="dxa"/>
                      </w:tcPr>
                      <w:p>
                        <w:pPr>
                          <w:pStyle w:val="TableParagraph"/>
                          <w:spacing w:line="250" w:lineRule="exact" w:before="41"/>
                          <w:ind w:left="1889" w:right="1642"/>
                          <w:jc w:val="center"/>
                          <w:rPr>
                            <w:rFonts w:ascii="宋体" w:eastAsia="宋体" w:hint="eastAsia"/>
                            <w:sz w:val="21"/>
                          </w:rPr>
                        </w:pPr>
                        <w:r>
                          <w:rPr>
                            <w:rFonts w:ascii="宋体" w:eastAsia="宋体" w:hint="eastAsia"/>
                            <w:sz w:val="21"/>
                          </w:rPr>
                          <w:t>项目</w:t>
                        </w:r>
                      </w:p>
                    </w:tc>
                    <w:tc>
                      <w:tcPr>
                        <w:tcW w:w="3222" w:type="dxa"/>
                      </w:tcPr>
                      <w:p>
                        <w:pPr>
                          <w:pStyle w:val="TableParagraph"/>
                          <w:spacing w:line="250" w:lineRule="exact" w:before="41"/>
                          <w:ind w:left="1171" w:right="1161"/>
                          <w:jc w:val="center"/>
                          <w:rPr>
                            <w:rFonts w:ascii="宋体" w:eastAsia="宋体" w:hint="eastAsia"/>
                            <w:sz w:val="21"/>
                          </w:rPr>
                        </w:pPr>
                        <w:r>
                          <w:rPr>
                            <w:rFonts w:ascii="宋体" w:eastAsia="宋体" w:hint="eastAsia"/>
                            <w:sz w:val="21"/>
                          </w:rPr>
                          <w:t>费用计算</w:t>
                        </w:r>
                      </w:p>
                    </w:tc>
                  </w:tr>
                  <w:tr>
                    <w:trPr>
                      <w:trHeight w:val="311" w:hRule="atLeast"/>
                    </w:trPr>
                    <w:tc>
                      <w:tcPr>
                        <w:tcW w:w="4242" w:type="dxa"/>
                      </w:tcPr>
                      <w:p>
                        <w:pPr>
                          <w:pStyle w:val="TableParagraph"/>
                          <w:spacing w:line="250" w:lineRule="exact" w:before="41"/>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1,000</w:t>
                        </w:r>
                      </w:p>
                    </w:tc>
                  </w:tr>
                  <w:tr>
                    <w:trPr>
                      <w:trHeight w:val="311" w:hRule="atLeast"/>
                    </w:trPr>
                    <w:tc>
                      <w:tcPr>
                        <w:tcW w:w="4242"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1.200</w:t>
                        </w:r>
                      </w:p>
                    </w:tc>
                  </w:tr>
                  <w:tr>
                    <w:trPr>
                      <w:trHeight w:val="314" w:hRule="atLeast"/>
                    </w:trPr>
                    <w:tc>
                      <w:tcPr>
                        <w:tcW w:w="4242" w:type="dxa"/>
                      </w:tcPr>
                      <w:p>
                        <w:pPr>
                          <w:pStyle w:val="TableParagraph"/>
                          <w:spacing w:line="250" w:lineRule="exact" w:before="44"/>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2" w:type="dxa"/>
                      </w:tcPr>
                      <w:p>
                        <w:pPr>
                          <w:pStyle w:val="TableParagraph"/>
                          <w:spacing w:line="226" w:lineRule="exact" w:before="67"/>
                          <w:ind w:right="92"/>
                          <w:jc w:val="right"/>
                          <w:rPr>
                            <w:sz w:val="21"/>
                          </w:rPr>
                        </w:pPr>
                        <w:r>
                          <w:rPr>
                            <w:sz w:val="21"/>
                          </w:rPr>
                          <w:t>1,200.00</w:t>
                        </w:r>
                      </w:p>
                    </w:tc>
                  </w:tr>
                  <w:tr>
                    <w:trPr>
                      <w:trHeight w:val="311" w:hRule="atLeast"/>
                    </w:trPr>
                    <w:tc>
                      <w:tcPr>
                        <w:tcW w:w="4242" w:type="dxa"/>
                      </w:tcPr>
                      <w:p>
                        <w:pPr>
                          <w:pStyle w:val="TableParagraph"/>
                          <w:spacing w:line="250" w:lineRule="exact" w:before="42"/>
                          <w:ind w:left="107"/>
                          <w:rPr>
                            <w:rFonts w:ascii="宋体" w:eastAsia="宋体" w:hint="eastAsia"/>
                            <w:sz w:val="21"/>
                          </w:rPr>
                        </w:pPr>
                        <w:r>
                          <w:rPr>
                            <w:rFonts w:ascii="宋体" w:eastAsia="宋体" w:hint="eastAsia"/>
                            <w:sz w:val="21"/>
                          </w:rPr>
                          <w:t>转出基金费用（</w:t>
                        </w:r>
                        <w:r>
                          <w:rPr>
                            <w:sz w:val="21"/>
                          </w:rPr>
                          <w:t>D</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0.00</w:t>
                        </w:r>
                      </w:p>
                    </w:tc>
                  </w:tr>
                  <w:tr>
                    <w:trPr>
                      <w:trHeight w:val="311" w:hRule="atLeast"/>
                    </w:trPr>
                    <w:tc>
                      <w:tcPr>
                        <w:tcW w:w="4242" w:type="dxa"/>
                      </w:tcPr>
                      <w:p>
                        <w:pPr>
                          <w:pStyle w:val="TableParagraph"/>
                          <w:spacing w:line="250" w:lineRule="exact" w:before="41"/>
                          <w:ind w:left="107"/>
                          <w:rPr>
                            <w:rFonts w:ascii="宋体" w:eastAsia="宋体" w:hint="eastAsia"/>
                            <w:sz w:val="21"/>
                          </w:rPr>
                        </w:pPr>
                        <w:r>
                          <w:rPr>
                            <w:rFonts w:ascii="宋体" w:eastAsia="宋体" w:hint="eastAsia"/>
                            <w:sz w:val="21"/>
                          </w:rPr>
                          <w:t>转换金额（</w:t>
                        </w:r>
                        <w:r>
                          <w:rPr>
                            <w:sz w:val="21"/>
                          </w:rPr>
                          <w:t>E=C-D</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1,200.00</w:t>
                        </w:r>
                      </w:p>
                    </w:tc>
                  </w:tr>
                  <w:tr>
                    <w:trPr>
                      <w:trHeight w:val="312" w:hRule="atLeast"/>
                    </w:trPr>
                    <w:tc>
                      <w:tcPr>
                        <w:tcW w:w="4242" w:type="dxa"/>
                      </w:tcPr>
                      <w:p>
                        <w:pPr>
                          <w:pStyle w:val="TableParagraph"/>
                          <w:spacing w:line="250" w:lineRule="exact" w:before="42"/>
                          <w:ind w:left="107"/>
                          <w:rPr>
                            <w:rFonts w:ascii="宋体" w:eastAsia="宋体" w:hint="eastAsia"/>
                            <w:sz w:val="21"/>
                          </w:rPr>
                        </w:pPr>
                        <w:r>
                          <w:rPr>
                            <w:rFonts w:ascii="宋体" w:eastAsia="宋体" w:hint="eastAsia"/>
                            <w:sz w:val="21"/>
                          </w:rPr>
                          <w:t>转入基金费用（</w:t>
                        </w:r>
                        <w:r>
                          <w:rPr>
                            <w:sz w:val="21"/>
                          </w:rPr>
                          <w:t>F</w:t>
                        </w:r>
                        <w:r>
                          <w:rPr>
                            <w:rFonts w:ascii="宋体" w:eastAsia="宋体" w:hint="eastAsia"/>
                            <w:sz w:val="21"/>
                          </w:rPr>
                          <w:t>）</w:t>
                        </w:r>
                      </w:p>
                    </w:tc>
                    <w:tc>
                      <w:tcPr>
                        <w:tcW w:w="3222" w:type="dxa"/>
                      </w:tcPr>
                      <w:p>
                        <w:pPr>
                          <w:pStyle w:val="TableParagraph"/>
                          <w:spacing w:line="226" w:lineRule="exact" w:before="66"/>
                          <w:ind w:right="92"/>
                          <w:jc w:val="right"/>
                          <w:rPr>
                            <w:sz w:val="21"/>
                          </w:rPr>
                        </w:pPr>
                        <w:r>
                          <w:rPr>
                            <w:sz w:val="21"/>
                          </w:rPr>
                          <w:t>0.00</w:t>
                        </w:r>
                      </w:p>
                    </w:tc>
                  </w:tr>
                  <w:tr>
                    <w:trPr>
                      <w:trHeight w:val="311" w:hRule="atLeast"/>
                    </w:trPr>
                    <w:tc>
                      <w:tcPr>
                        <w:tcW w:w="4242" w:type="dxa"/>
                      </w:tcPr>
                      <w:p>
                        <w:pPr>
                          <w:pStyle w:val="TableParagraph"/>
                          <w:spacing w:line="250" w:lineRule="exact" w:before="41"/>
                          <w:ind w:left="107"/>
                          <w:rPr>
                            <w:rFonts w:ascii="宋体" w:eastAsia="宋体" w:hint="eastAsia"/>
                            <w:sz w:val="21"/>
                          </w:rPr>
                        </w:pPr>
                        <w:r>
                          <w:rPr>
                            <w:rFonts w:ascii="宋体" w:eastAsia="宋体" w:hint="eastAsia"/>
                            <w:sz w:val="21"/>
                          </w:rPr>
                          <w:t>净转入金额（</w:t>
                        </w:r>
                        <w:r>
                          <w:rPr>
                            <w:sz w:val="21"/>
                          </w:rPr>
                          <w:t>G=E-F</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1,200.00</w:t>
                        </w:r>
                      </w:p>
                    </w:tc>
                  </w:tr>
                  <w:tr>
                    <w:trPr>
                      <w:trHeight w:val="311" w:hRule="atLeast"/>
                    </w:trPr>
                    <w:tc>
                      <w:tcPr>
                        <w:tcW w:w="4242" w:type="dxa"/>
                      </w:tcPr>
                      <w:p>
                        <w:pPr>
                          <w:pStyle w:val="TableParagraph"/>
                          <w:spacing w:line="250" w:lineRule="exact" w:before="42"/>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H</w:t>
                        </w:r>
                        <w:r>
                          <w:rPr>
                            <w:rFonts w:ascii="宋体" w:eastAsia="宋体" w:hint="eastAsia"/>
                            <w:sz w:val="21"/>
                          </w:rPr>
                          <w:t>）</w:t>
                        </w:r>
                      </w:p>
                    </w:tc>
                    <w:tc>
                      <w:tcPr>
                        <w:tcW w:w="3222" w:type="dxa"/>
                      </w:tcPr>
                      <w:p>
                        <w:pPr>
                          <w:pStyle w:val="TableParagraph"/>
                          <w:spacing w:line="226" w:lineRule="exact" w:before="65"/>
                          <w:ind w:right="92"/>
                          <w:jc w:val="right"/>
                          <w:rPr>
                            <w:sz w:val="21"/>
                          </w:rPr>
                        </w:pPr>
                        <w:r>
                          <w:rPr>
                            <w:sz w:val="21"/>
                          </w:rPr>
                          <w:t>1.500</w:t>
                        </w:r>
                      </w:p>
                    </w:tc>
                  </w:tr>
                  <w:tr>
                    <w:trPr>
                      <w:trHeight w:val="313" w:hRule="atLeast"/>
                    </w:trPr>
                    <w:tc>
                      <w:tcPr>
                        <w:tcW w:w="4242" w:type="dxa"/>
                      </w:tcPr>
                      <w:p>
                        <w:pPr>
                          <w:pStyle w:val="TableParagraph"/>
                          <w:spacing w:line="250" w:lineRule="exact" w:before="44"/>
                          <w:ind w:left="107"/>
                          <w:rPr>
                            <w:rFonts w:ascii="宋体" w:eastAsia="宋体" w:hint="eastAsia"/>
                            <w:sz w:val="21"/>
                          </w:rPr>
                        </w:pPr>
                        <w:r>
                          <w:rPr>
                            <w:rFonts w:ascii="宋体" w:eastAsia="宋体" w:hint="eastAsia"/>
                            <w:sz w:val="21"/>
                          </w:rPr>
                          <w:t>转入基金份额（</w:t>
                        </w:r>
                        <w:r>
                          <w:rPr>
                            <w:sz w:val="21"/>
                          </w:rPr>
                          <w:t>I=G/H</w:t>
                        </w:r>
                        <w:r>
                          <w:rPr>
                            <w:rFonts w:ascii="宋体" w:eastAsia="宋体" w:hint="eastAsia"/>
                            <w:sz w:val="21"/>
                          </w:rPr>
                          <w:t>）</w:t>
                        </w:r>
                      </w:p>
                    </w:tc>
                    <w:tc>
                      <w:tcPr>
                        <w:tcW w:w="3222" w:type="dxa"/>
                      </w:tcPr>
                      <w:p>
                        <w:pPr>
                          <w:pStyle w:val="TableParagraph"/>
                          <w:spacing w:line="226" w:lineRule="exact" w:before="67"/>
                          <w:ind w:right="92"/>
                          <w:jc w:val="right"/>
                          <w:rPr>
                            <w:sz w:val="21"/>
                          </w:rPr>
                        </w:pPr>
                        <w:r>
                          <w:rPr>
                            <w:sz w:val="21"/>
                          </w:rPr>
                          <w:t>800.00</w:t>
                        </w:r>
                      </w:p>
                    </w:tc>
                  </w:tr>
                </w:tbl>
                <w:p>
                  <w:pPr>
                    <w:pStyle w:val="BodyText"/>
                  </w:pPr>
                </w:p>
              </w:txbxContent>
            </v:textbox>
            <w10:wrap type="none"/>
          </v:shape>
        </w:pict>
      </w:r>
      <w:r>
        <w:rPr>
          <w:spacing w:val="-7"/>
        </w:rPr>
        <w:t>不收取申购费用基金甲 </w:t>
      </w:r>
      <w:r>
        <w:rPr>
          <w:rFonts w:ascii="Times New Roman" w:eastAsia="Times New Roman"/>
        </w:rPr>
        <w:t>1,000 </w:t>
      </w:r>
      <w:r>
        <w:rPr>
          <w:spacing w:val="-7"/>
        </w:rPr>
        <w:t>份，转入后端收费基金乙，该日甲、乙基金基金份额净值分别</w:t>
      </w:r>
      <w:r>
        <w:rPr>
          <w:spacing w:val="-29"/>
        </w:rPr>
        <w:t>为 </w:t>
      </w:r>
      <w:r>
        <w:rPr>
          <w:rFonts w:ascii="Times New Roman" w:eastAsia="Times New Roman"/>
        </w:rPr>
        <w:t>1.200</w:t>
      </w:r>
      <w:r>
        <w:rPr/>
        <w:t>、</w:t>
      </w:r>
      <w:r>
        <w:rPr>
          <w:rFonts w:ascii="Times New Roman" w:eastAsia="Times New Roman"/>
        </w:rPr>
        <w:t>1.500 </w:t>
      </w:r>
      <w:r>
        <w:rPr>
          <w:spacing w:val="-2"/>
        </w:rPr>
        <w:t>元。</w:t>
      </w:r>
      <w:r>
        <w:rPr>
          <w:rFonts w:ascii="Times New Roman" w:eastAsia="Times New Roman"/>
        </w:rPr>
        <w:t>2010 </w:t>
      </w:r>
      <w:r>
        <w:rPr>
          <w:spacing w:val="-24"/>
        </w:rPr>
        <w:t>年 </w:t>
      </w:r>
      <w:r>
        <w:rPr>
          <w:rFonts w:ascii="Times New Roman" w:eastAsia="Times New Roman"/>
        </w:rPr>
        <w:t>3 </w:t>
      </w:r>
      <w:r>
        <w:rPr>
          <w:spacing w:val="-24"/>
        </w:rPr>
        <w:t>月 </w:t>
      </w:r>
      <w:r>
        <w:rPr>
          <w:rFonts w:ascii="Times New Roman" w:eastAsia="Times New Roman"/>
        </w:rPr>
        <w:t>16 </w:t>
      </w:r>
      <w:r>
        <w:rPr>
          <w:spacing w:val="-3"/>
        </w:rPr>
        <w:t>日这笔转换确认成功。此时转出甲基金不收取赎回费。则转出基金费用、转入基金费用及份额计算如下：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line="417" w:lineRule="auto" w:before="156"/>
        <w:ind w:left="778" w:right="891" w:firstLine="419"/>
        <w:jc w:val="both"/>
      </w:pPr>
      <w:r>
        <w:rPr/>
        <w:pict>
          <v:shape style="position:absolute;margin-left:110.779999pt;margin-top:73.02002pt;width:374.15pt;height:64.95pt;mso-position-horizontal-relative:page;mso-position-vertical-relative:paragraph;z-index:2516879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spacing w:line="250" w:lineRule="exact" w:before="41"/>
                          <w:ind w:left="1892" w:right="1647"/>
                          <w:jc w:val="center"/>
                          <w:rPr>
                            <w:rFonts w:ascii="宋体" w:eastAsia="宋体" w:hint="eastAsia"/>
                            <w:sz w:val="21"/>
                          </w:rPr>
                        </w:pPr>
                        <w:r>
                          <w:rPr>
                            <w:rFonts w:ascii="宋体" w:eastAsia="宋体" w:hint="eastAsia"/>
                            <w:sz w:val="21"/>
                          </w:rPr>
                          <w:t>项目</w:t>
                        </w:r>
                      </w:p>
                    </w:tc>
                    <w:tc>
                      <w:tcPr>
                        <w:tcW w:w="3224" w:type="dxa"/>
                      </w:tcPr>
                      <w:p>
                        <w:pPr>
                          <w:pStyle w:val="TableParagraph"/>
                          <w:spacing w:line="250" w:lineRule="exact" w:before="41"/>
                          <w:ind w:left="1171" w:right="1162"/>
                          <w:jc w:val="center"/>
                          <w:rPr>
                            <w:rFonts w:ascii="宋体" w:eastAsia="宋体" w:hint="eastAsia"/>
                            <w:sz w:val="21"/>
                          </w:rPr>
                        </w:pPr>
                        <w:r>
                          <w:rPr>
                            <w:rFonts w:ascii="宋体" w:eastAsia="宋体" w:hint="eastAsia"/>
                            <w:sz w:val="21"/>
                          </w:rPr>
                          <w:t>费用计算</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赎回份额（</w:t>
                        </w:r>
                        <w:r>
                          <w:rPr>
                            <w:sz w:val="21"/>
                          </w:rPr>
                          <w:t>J</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800.00</w:t>
                        </w:r>
                      </w:p>
                    </w:tc>
                  </w:tr>
                  <w:tr>
                    <w:trPr>
                      <w:trHeight w:val="312"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赎回日基金份额净值（</w:t>
                        </w:r>
                        <w:r>
                          <w:rPr>
                            <w:sz w:val="21"/>
                          </w:rPr>
                          <w:t>K</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1.300</w:t>
                        </w:r>
                      </w:p>
                    </w:tc>
                  </w:tr>
                  <w:tr>
                    <w:trPr>
                      <w:trHeight w:val="313" w:hRule="atLeast"/>
                    </w:trPr>
                    <w:tc>
                      <w:tcPr>
                        <w:tcW w:w="4244" w:type="dxa"/>
                      </w:tcPr>
                      <w:p>
                        <w:pPr>
                          <w:pStyle w:val="TableParagraph"/>
                          <w:spacing w:line="252" w:lineRule="exact" w:before="42"/>
                          <w:ind w:left="107"/>
                          <w:rPr>
                            <w:rFonts w:ascii="宋体" w:eastAsia="宋体" w:hint="eastAsia"/>
                            <w:sz w:val="21"/>
                          </w:rPr>
                        </w:pPr>
                        <w:r>
                          <w:rPr>
                            <w:rFonts w:ascii="宋体" w:eastAsia="宋体" w:hint="eastAsia"/>
                            <w:sz w:val="21"/>
                          </w:rPr>
                          <w:t>赎回总金额（</w:t>
                        </w:r>
                        <w:r>
                          <w:rPr>
                            <w:sz w:val="21"/>
                          </w:rPr>
                          <w:t>L=J*K</w:t>
                        </w:r>
                        <w:r>
                          <w:rPr>
                            <w:rFonts w:ascii="宋体" w:eastAsia="宋体" w:hint="eastAsia"/>
                            <w:sz w:val="21"/>
                          </w:rPr>
                          <w:t>）</w:t>
                        </w:r>
                      </w:p>
                    </w:tc>
                    <w:tc>
                      <w:tcPr>
                        <w:tcW w:w="3224" w:type="dxa"/>
                      </w:tcPr>
                      <w:p>
                        <w:pPr>
                          <w:pStyle w:val="TableParagraph"/>
                          <w:spacing w:line="229" w:lineRule="exact" w:before="65"/>
                          <w:ind w:right="94"/>
                          <w:jc w:val="right"/>
                          <w:rPr>
                            <w:sz w:val="21"/>
                          </w:rPr>
                        </w:pPr>
                        <w:r>
                          <w:rPr>
                            <w:sz w:val="21"/>
                          </w:rPr>
                          <w:t>1,040.00</w:t>
                        </w:r>
                      </w:p>
                    </w:tc>
                  </w:tr>
                </w:tbl>
                <w:p>
                  <w:pPr>
                    <w:pStyle w:val="BodyText"/>
                  </w:pPr>
                </w:p>
              </w:txbxContent>
            </v:textbox>
            <w10:wrap type="none"/>
          </v:shape>
        </w:pict>
      </w:r>
      <w:r>
        <w:rPr>
          <w:spacing w:val="-10"/>
        </w:rPr>
        <w:t>若投资者在 </w:t>
      </w:r>
      <w:r>
        <w:rPr>
          <w:rFonts w:ascii="Times New Roman" w:eastAsia="Times New Roman"/>
        </w:rPr>
        <w:t>2013 </w:t>
      </w:r>
      <w:r>
        <w:rPr>
          <w:spacing w:val="-25"/>
        </w:rPr>
        <w:t>年 </w:t>
      </w:r>
      <w:r>
        <w:rPr>
          <w:rFonts w:ascii="Times New Roman" w:eastAsia="Times New Roman"/>
        </w:rPr>
        <w:t>9 </w:t>
      </w:r>
      <w:r>
        <w:rPr>
          <w:spacing w:val="-25"/>
        </w:rPr>
        <w:t>月 </w:t>
      </w:r>
      <w:r>
        <w:rPr>
          <w:rFonts w:ascii="Times New Roman" w:eastAsia="Times New Roman"/>
        </w:rPr>
        <w:t>15 </w:t>
      </w:r>
      <w:r>
        <w:rPr>
          <w:spacing w:val="-12"/>
        </w:rPr>
        <w:t>日赎回乙基金，则赎回时乙基金持有期为 </w:t>
      </w:r>
      <w:r>
        <w:rPr>
          <w:rFonts w:ascii="Times New Roman" w:eastAsia="Times New Roman"/>
        </w:rPr>
        <w:t>3 </w:t>
      </w:r>
      <w:r>
        <w:rPr>
          <w:spacing w:val="-10"/>
        </w:rPr>
        <w:t>年半，适用后端</w:t>
      </w:r>
      <w:r>
        <w:rPr>
          <w:spacing w:val="-11"/>
        </w:rPr>
        <w:t>申购费率为 </w:t>
      </w:r>
      <w:r>
        <w:rPr>
          <w:rFonts w:ascii="Times New Roman" w:eastAsia="Times New Roman"/>
        </w:rPr>
        <w:t>1.0%</w:t>
      </w:r>
      <w:r>
        <w:rPr>
          <w:spacing w:val="-7"/>
        </w:rPr>
        <w:t>，且乙基金赎回费率为 </w:t>
      </w:r>
      <w:r>
        <w:rPr>
          <w:rFonts w:ascii="Times New Roman" w:eastAsia="Times New Roman"/>
        </w:rPr>
        <w:t>0.5%</w:t>
      </w:r>
      <w:r>
        <w:rPr>
          <w:spacing w:val="-6"/>
        </w:rPr>
        <w:t>，该日乙基金基金份额净值为 </w:t>
      </w:r>
      <w:r>
        <w:rPr>
          <w:rFonts w:ascii="Times New Roman" w:eastAsia="Times New Roman"/>
        </w:rPr>
        <w:t>1.300 </w:t>
      </w:r>
      <w:r>
        <w:rPr>
          <w:spacing w:val="-1"/>
        </w:rPr>
        <w:t>元。则赎</w:t>
      </w:r>
      <w:r>
        <w:rPr>
          <w:spacing w:val="-3"/>
        </w:rPr>
        <w:t>回金额计算如下：</w:t>
      </w:r>
    </w:p>
    <w:p>
      <w:pPr>
        <w:spacing w:after="0" w:line="417" w:lineRule="auto"/>
        <w:jc w:val="both"/>
        <w:sectPr>
          <w:pgSz w:w="11910" w:h="16840"/>
          <w:pgMar w:header="877" w:footer="995" w:top="1280" w:bottom="1180" w:left="1020" w:right="900"/>
        </w:sectPr>
      </w:pPr>
    </w:p>
    <w:p>
      <w:pPr>
        <w:pStyle w:val="BodyText"/>
        <w:spacing w:before="4"/>
        <w:rPr>
          <w:sz w:val="10"/>
        </w:rPr>
      </w:pPr>
    </w:p>
    <w:tbl>
      <w:tblPr>
        <w:tblW w:w="0" w:type="auto"/>
        <w:jc w:val="left"/>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2"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赎回费率（</w:t>
            </w:r>
            <w:r>
              <w:rPr>
                <w:sz w:val="21"/>
              </w:rPr>
              <w:t>M</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0.5%</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赎回费（</w:t>
            </w:r>
            <w:r>
              <w:rPr>
                <w:sz w:val="21"/>
              </w:rPr>
              <w:t>N=L*M</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5.20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适用后端申购费率（</w:t>
            </w:r>
            <w:r>
              <w:rPr>
                <w:sz w:val="21"/>
              </w:rPr>
              <w:t>O</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1.0%</w:t>
            </w:r>
          </w:p>
        </w:tc>
      </w:tr>
      <w:tr>
        <w:trPr>
          <w:trHeight w:val="314" w:hRule="atLeast"/>
        </w:trPr>
        <w:tc>
          <w:tcPr>
            <w:tcW w:w="4244" w:type="dxa"/>
          </w:tcPr>
          <w:p>
            <w:pPr>
              <w:pStyle w:val="TableParagraph"/>
              <w:spacing w:line="250" w:lineRule="exact" w:before="44"/>
              <w:ind w:left="107"/>
              <w:rPr>
                <w:rFonts w:ascii="宋体" w:eastAsia="宋体" w:hint="eastAsia"/>
                <w:sz w:val="21"/>
              </w:rPr>
            </w:pPr>
            <w:r>
              <w:rPr>
                <w:rFonts w:ascii="宋体" w:eastAsia="宋体" w:hint="eastAsia"/>
                <w:sz w:val="21"/>
              </w:rPr>
              <w:t>后端申购费（</w:t>
            </w:r>
            <w:r>
              <w:rPr>
                <w:sz w:val="21"/>
              </w:rPr>
              <w:t>P=J*H*O/(1+O)</w:t>
            </w:r>
            <w:r>
              <w:rPr>
                <w:rFonts w:ascii="宋体" w:eastAsia="宋体" w:hint="eastAsia"/>
                <w:sz w:val="21"/>
              </w:rPr>
              <w:t>）</w:t>
            </w:r>
          </w:p>
        </w:tc>
        <w:tc>
          <w:tcPr>
            <w:tcW w:w="3224" w:type="dxa"/>
          </w:tcPr>
          <w:p>
            <w:pPr>
              <w:pStyle w:val="TableParagraph"/>
              <w:spacing w:line="226" w:lineRule="exact" w:before="67"/>
              <w:ind w:right="93"/>
              <w:jc w:val="right"/>
              <w:rPr>
                <w:sz w:val="21"/>
              </w:rPr>
            </w:pPr>
            <w:r>
              <w:rPr>
                <w:sz w:val="21"/>
              </w:rPr>
              <w:t>11.88</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赎回金额（</w:t>
            </w:r>
            <w:r>
              <w:rPr>
                <w:sz w:val="21"/>
              </w:rPr>
              <w:t>Q=L-N-P</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1,022.92</w:t>
            </w:r>
          </w:p>
        </w:tc>
      </w:tr>
    </w:tbl>
    <w:p>
      <w:pPr>
        <w:pStyle w:val="BodyText"/>
        <w:spacing w:line="417" w:lineRule="auto" w:before="99"/>
        <w:ind w:left="778" w:right="888" w:firstLine="419"/>
        <w:jc w:val="both"/>
      </w:pPr>
      <w:r>
        <w:rPr/>
        <w:pict>
          <v:shape style="position:absolute;margin-left:110.779999pt;margin-top:70.169991pt;width:374.15pt;height:177.65pt;mso-position-horizontal-relative:page;mso-position-vertical-relative:paragraph;z-index:25168896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4"/>
                    <w:gridCol w:w="3224"/>
                  </w:tblGrid>
                  <w:tr>
                    <w:trPr>
                      <w:trHeight w:val="311" w:hRule="atLeast"/>
                    </w:trPr>
                    <w:tc>
                      <w:tcPr>
                        <w:tcW w:w="4244" w:type="dxa"/>
                      </w:tcPr>
                      <w:p>
                        <w:pPr>
                          <w:pStyle w:val="TableParagraph"/>
                          <w:spacing w:line="250" w:lineRule="exact" w:before="41"/>
                          <w:ind w:left="1774" w:right="1764"/>
                          <w:jc w:val="center"/>
                          <w:rPr>
                            <w:rFonts w:ascii="宋体" w:eastAsia="宋体" w:hint="eastAsia"/>
                            <w:sz w:val="21"/>
                          </w:rPr>
                        </w:pPr>
                        <w:r>
                          <w:rPr>
                            <w:rFonts w:ascii="宋体" w:eastAsia="宋体" w:hint="eastAsia"/>
                            <w:sz w:val="21"/>
                          </w:rPr>
                          <w:t>项目</w:t>
                        </w:r>
                      </w:p>
                    </w:tc>
                    <w:tc>
                      <w:tcPr>
                        <w:tcW w:w="3224" w:type="dxa"/>
                      </w:tcPr>
                      <w:p>
                        <w:pPr>
                          <w:pStyle w:val="TableParagraph"/>
                          <w:spacing w:line="250" w:lineRule="exact" w:before="41"/>
                          <w:ind w:left="1171" w:right="1162"/>
                          <w:jc w:val="center"/>
                          <w:rPr>
                            <w:rFonts w:ascii="宋体" w:eastAsia="宋体" w:hint="eastAsia"/>
                            <w:sz w:val="21"/>
                          </w:rPr>
                        </w:pPr>
                        <w:r>
                          <w:rPr>
                            <w:rFonts w:ascii="宋体" w:eastAsia="宋体" w:hint="eastAsia"/>
                            <w:sz w:val="21"/>
                          </w:rPr>
                          <w:t>费用计算</w:t>
                        </w:r>
                      </w:p>
                    </w:tc>
                  </w:tr>
                  <w:tr>
                    <w:trPr>
                      <w:trHeight w:val="312"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转出份额（</w:t>
                        </w:r>
                        <w:r>
                          <w:rPr>
                            <w:sz w:val="21"/>
                          </w:rPr>
                          <w:t>A</w:t>
                        </w:r>
                        <w:r>
                          <w:rPr>
                            <w:rFonts w:ascii="宋体" w:eastAsia="宋体" w:hint="eastAsia"/>
                            <w:sz w:val="21"/>
                          </w:rPr>
                          <w:t>）</w:t>
                        </w:r>
                      </w:p>
                    </w:tc>
                    <w:tc>
                      <w:tcPr>
                        <w:tcW w:w="3224" w:type="dxa"/>
                      </w:tcPr>
                      <w:p>
                        <w:pPr>
                          <w:pStyle w:val="TableParagraph"/>
                          <w:spacing w:line="226" w:lineRule="exact" w:before="66"/>
                          <w:ind w:right="94"/>
                          <w:jc w:val="right"/>
                          <w:rPr>
                            <w:sz w:val="21"/>
                          </w:rPr>
                        </w:pPr>
                        <w:r>
                          <w:rPr>
                            <w:sz w:val="21"/>
                          </w:rPr>
                          <w:t>1,000.00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转出基金</w:t>
                        </w:r>
                        <w:r>
                          <w:rPr>
                            <w:sz w:val="21"/>
                          </w:rPr>
                          <w:t>T </w:t>
                        </w:r>
                        <w:r>
                          <w:rPr>
                            <w:rFonts w:ascii="宋体" w:eastAsia="宋体" w:hint="eastAsia"/>
                            <w:sz w:val="21"/>
                          </w:rPr>
                          <w:t>日基金份额净值（</w:t>
                        </w:r>
                        <w:r>
                          <w:rPr>
                            <w:sz w:val="21"/>
                          </w:rPr>
                          <w:t>B</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1.300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转出总金额（</w:t>
                        </w:r>
                        <w:r>
                          <w:rPr>
                            <w:sz w:val="21"/>
                          </w:rPr>
                          <w:t>C=A*B</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1,300.00</w:t>
                        </w:r>
                      </w:p>
                    </w:tc>
                  </w:tr>
                  <w:tr>
                    <w:trPr>
                      <w:trHeight w:val="314" w:hRule="atLeast"/>
                    </w:trPr>
                    <w:tc>
                      <w:tcPr>
                        <w:tcW w:w="4244" w:type="dxa"/>
                      </w:tcPr>
                      <w:p>
                        <w:pPr>
                          <w:pStyle w:val="TableParagraph"/>
                          <w:spacing w:line="250" w:lineRule="exact" w:before="44"/>
                          <w:ind w:left="107"/>
                          <w:rPr>
                            <w:rFonts w:ascii="宋体" w:eastAsia="宋体" w:hint="eastAsia"/>
                            <w:sz w:val="21"/>
                          </w:rPr>
                        </w:pPr>
                        <w:r>
                          <w:rPr>
                            <w:rFonts w:ascii="宋体" w:eastAsia="宋体" w:hint="eastAsia"/>
                            <w:sz w:val="21"/>
                          </w:rPr>
                          <w:t>转出基金赎回费率（</w:t>
                        </w:r>
                        <w:r>
                          <w:rPr>
                            <w:sz w:val="21"/>
                          </w:rPr>
                          <w:t>D</w:t>
                        </w:r>
                        <w:r>
                          <w:rPr>
                            <w:rFonts w:ascii="宋体" w:eastAsia="宋体" w:hint="eastAsia"/>
                            <w:sz w:val="21"/>
                          </w:rPr>
                          <w:t>）</w:t>
                        </w:r>
                      </w:p>
                    </w:tc>
                    <w:tc>
                      <w:tcPr>
                        <w:tcW w:w="3224" w:type="dxa"/>
                      </w:tcPr>
                      <w:p>
                        <w:pPr>
                          <w:pStyle w:val="TableParagraph"/>
                          <w:spacing w:line="226" w:lineRule="exact" w:before="67"/>
                          <w:ind w:right="93"/>
                          <w:jc w:val="right"/>
                          <w:rPr>
                            <w:sz w:val="21"/>
                          </w:rPr>
                        </w:pPr>
                        <w:r>
                          <w:rPr>
                            <w:sz w:val="21"/>
                          </w:rPr>
                          <w:t>0.1%</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转出基金费用（</w:t>
                        </w:r>
                        <w:r>
                          <w:rPr>
                            <w:sz w:val="21"/>
                          </w:rPr>
                          <w:t>E=C*D</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1.30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转换金额（</w:t>
                        </w:r>
                        <w:r>
                          <w:rPr>
                            <w:sz w:val="21"/>
                          </w:rPr>
                          <w:t>F=C-E</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1,298.70</w:t>
                        </w:r>
                      </w:p>
                    </w:tc>
                  </w:tr>
                  <w:tr>
                    <w:trPr>
                      <w:trHeight w:val="311" w:hRule="atLeast"/>
                    </w:trPr>
                    <w:tc>
                      <w:tcPr>
                        <w:tcW w:w="4244" w:type="dxa"/>
                      </w:tcPr>
                      <w:p>
                        <w:pPr>
                          <w:pStyle w:val="TableParagraph"/>
                          <w:spacing w:line="250" w:lineRule="exact" w:before="42"/>
                          <w:ind w:left="107"/>
                          <w:rPr>
                            <w:rFonts w:ascii="宋体" w:eastAsia="宋体" w:hint="eastAsia"/>
                            <w:sz w:val="21"/>
                          </w:rPr>
                        </w:pPr>
                        <w:r>
                          <w:rPr>
                            <w:rFonts w:ascii="宋体" w:eastAsia="宋体" w:hint="eastAsia"/>
                            <w:sz w:val="21"/>
                          </w:rPr>
                          <w:t>转入基金费用（</w:t>
                        </w:r>
                        <w:r>
                          <w:rPr>
                            <w:sz w:val="21"/>
                          </w:rPr>
                          <w:t>F</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0.00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净转入金额（</w:t>
                        </w:r>
                        <w:r>
                          <w:rPr>
                            <w:sz w:val="21"/>
                          </w:rPr>
                          <w:t>G=E-F</w:t>
                        </w:r>
                        <w:r>
                          <w:rPr>
                            <w:rFonts w:ascii="宋体" w:eastAsia="宋体" w:hint="eastAsia"/>
                            <w:sz w:val="21"/>
                          </w:rPr>
                          <w:t>）</w:t>
                        </w:r>
                      </w:p>
                    </w:tc>
                    <w:tc>
                      <w:tcPr>
                        <w:tcW w:w="3224" w:type="dxa"/>
                      </w:tcPr>
                      <w:p>
                        <w:pPr>
                          <w:pStyle w:val="TableParagraph"/>
                          <w:spacing w:line="226" w:lineRule="exact" w:before="65"/>
                          <w:ind w:right="94"/>
                          <w:jc w:val="right"/>
                          <w:rPr>
                            <w:sz w:val="21"/>
                          </w:rPr>
                        </w:pPr>
                        <w:r>
                          <w:rPr>
                            <w:sz w:val="21"/>
                          </w:rPr>
                          <w:t>1,298.70</w:t>
                        </w:r>
                      </w:p>
                    </w:tc>
                  </w:tr>
                  <w:tr>
                    <w:trPr>
                      <w:trHeight w:val="314" w:hRule="atLeast"/>
                    </w:trPr>
                    <w:tc>
                      <w:tcPr>
                        <w:tcW w:w="4244" w:type="dxa"/>
                      </w:tcPr>
                      <w:p>
                        <w:pPr>
                          <w:pStyle w:val="TableParagraph"/>
                          <w:spacing w:line="250" w:lineRule="exact" w:before="44"/>
                          <w:ind w:left="107"/>
                          <w:rPr>
                            <w:rFonts w:ascii="宋体" w:eastAsia="宋体" w:hint="eastAsia"/>
                            <w:sz w:val="21"/>
                          </w:rPr>
                        </w:pPr>
                        <w:r>
                          <w:rPr>
                            <w:rFonts w:ascii="宋体" w:eastAsia="宋体" w:hint="eastAsia"/>
                            <w:sz w:val="21"/>
                          </w:rPr>
                          <w:t>转入基金</w:t>
                        </w:r>
                        <w:r>
                          <w:rPr>
                            <w:sz w:val="21"/>
                          </w:rPr>
                          <w:t>T </w:t>
                        </w:r>
                        <w:r>
                          <w:rPr>
                            <w:rFonts w:ascii="宋体" w:eastAsia="宋体" w:hint="eastAsia"/>
                            <w:sz w:val="21"/>
                          </w:rPr>
                          <w:t>日基金份额净值（</w:t>
                        </w:r>
                        <w:r>
                          <w:rPr>
                            <w:sz w:val="21"/>
                          </w:rPr>
                          <w:t>H</w:t>
                        </w:r>
                        <w:r>
                          <w:rPr>
                            <w:rFonts w:ascii="宋体" w:eastAsia="宋体" w:hint="eastAsia"/>
                            <w:sz w:val="21"/>
                          </w:rPr>
                          <w:t>）</w:t>
                        </w:r>
                      </w:p>
                    </w:tc>
                    <w:tc>
                      <w:tcPr>
                        <w:tcW w:w="3224" w:type="dxa"/>
                      </w:tcPr>
                      <w:p>
                        <w:pPr>
                          <w:pStyle w:val="TableParagraph"/>
                          <w:spacing w:line="226" w:lineRule="exact" w:before="67"/>
                          <w:ind w:right="93"/>
                          <w:jc w:val="right"/>
                          <w:rPr>
                            <w:sz w:val="21"/>
                          </w:rPr>
                        </w:pPr>
                        <w:r>
                          <w:rPr>
                            <w:sz w:val="21"/>
                          </w:rPr>
                          <w:t>1.500</w:t>
                        </w:r>
                      </w:p>
                    </w:tc>
                  </w:tr>
                  <w:tr>
                    <w:trPr>
                      <w:trHeight w:val="311" w:hRule="atLeast"/>
                    </w:trPr>
                    <w:tc>
                      <w:tcPr>
                        <w:tcW w:w="4244" w:type="dxa"/>
                      </w:tcPr>
                      <w:p>
                        <w:pPr>
                          <w:pStyle w:val="TableParagraph"/>
                          <w:spacing w:line="250" w:lineRule="exact" w:before="41"/>
                          <w:ind w:left="107"/>
                          <w:rPr>
                            <w:rFonts w:ascii="宋体" w:eastAsia="宋体" w:hint="eastAsia"/>
                            <w:sz w:val="21"/>
                          </w:rPr>
                        </w:pPr>
                        <w:r>
                          <w:rPr>
                            <w:rFonts w:ascii="宋体" w:eastAsia="宋体" w:hint="eastAsia"/>
                            <w:sz w:val="21"/>
                          </w:rPr>
                          <w:t>转入基金份额（</w:t>
                        </w:r>
                        <w:r>
                          <w:rPr>
                            <w:sz w:val="21"/>
                          </w:rPr>
                          <w:t>I=G/H</w:t>
                        </w:r>
                        <w:r>
                          <w:rPr>
                            <w:rFonts w:ascii="宋体" w:eastAsia="宋体" w:hint="eastAsia"/>
                            <w:sz w:val="21"/>
                          </w:rPr>
                          <w:t>）</w:t>
                        </w:r>
                      </w:p>
                    </w:tc>
                    <w:tc>
                      <w:tcPr>
                        <w:tcW w:w="3224" w:type="dxa"/>
                      </w:tcPr>
                      <w:p>
                        <w:pPr>
                          <w:pStyle w:val="TableParagraph"/>
                          <w:spacing w:line="226" w:lineRule="exact" w:before="65"/>
                          <w:ind w:right="93"/>
                          <w:jc w:val="right"/>
                          <w:rPr>
                            <w:sz w:val="21"/>
                          </w:rPr>
                        </w:pPr>
                        <w:r>
                          <w:rPr>
                            <w:sz w:val="21"/>
                          </w:rPr>
                          <w:t>865.80</w:t>
                        </w:r>
                      </w:p>
                    </w:tc>
                  </w:tr>
                </w:tbl>
                <w:p>
                  <w:pPr>
                    <w:pStyle w:val="BodyText"/>
                  </w:pPr>
                </w:p>
              </w:txbxContent>
            </v:textbox>
            <w10:wrap type="none"/>
          </v:shape>
        </w:pict>
      </w:r>
      <w:r>
        <w:rPr>
          <w:spacing w:val="-11"/>
        </w:rPr>
        <w:t>例十六：假定投资者在 </w:t>
      </w:r>
      <w:r>
        <w:rPr>
          <w:rFonts w:ascii="Times New Roman" w:eastAsia="Times New Roman"/>
        </w:rPr>
        <w:t>T </w:t>
      </w:r>
      <w:r>
        <w:rPr>
          <w:spacing w:val="-6"/>
        </w:rPr>
        <w:t>日转出不收取申购费用基金甲 </w:t>
      </w:r>
      <w:r>
        <w:rPr>
          <w:rFonts w:ascii="Times New Roman" w:eastAsia="Times New Roman"/>
        </w:rPr>
        <w:t>1,000 </w:t>
      </w:r>
      <w:r>
        <w:rPr>
          <w:spacing w:val="-7"/>
        </w:rPr>
        <w:t>份，转入不收取申购费用</w:t>
      </w:r>
      <w:r>
        <w:rPr>
          <w:spacing w:val="-5"/>
        </w:rPr>
        <w:t>基金乙。</w:t>
      </w:r>
      <w:r>
        <w:rPr>
          <w:rFonts w:ascii="Times New Roman" w:eastAsia="Times New Roman"/>
        </w:rPr>
        <w:t>T </w:t>
      </w:r>
      <w:r>
        <w:rPr>
          <w:spacing w:val="-5"/>
        </w:rPr>
        <w:t>日甲、乙基金基金份额净值分别为 </w:t>
      </w:r>
      <w:r>
        <w:rPr>
          <w:rFonts w:ascii="Times New Roman" w:eastAsia="Times New Roman"/>
        </w:rPr>
        <w:t>1.300</w:t>
      </w:r>
      <w:r>
        <w:rPr/>
        <w:t>、</w:t>
      </w:r>
      <w:r>
        <w:rPr>
          <w:rFonts w:ascii="Times New Roman" w:eastAsia="Times New Roman"/>
        </w:rPr>
        <w:t>1.500 </w:t>
      </w:r>
      <w:r>
        <w:rPr>
          <w:spacing w:val="-5"/>
        </w:rPr>
        <w:t>元。甲基金赎回费率为 </w:t>
      </w:r>
      <w:r>
        <w:rPr>
          <w:rFonts w:ascii="Times New Roman" w:eastAsia="Times New Roman"/>
        </w:rPr>
        <w:t>0.1%</w:t>
      </w:r>
      <w:r>
        <w:rPr/>
        <w:t>。</w:t>
      </w:r>
      <w:r>
        <w:rPr>
          <w:spacing w:val="-3"/>
        </w:rPr>
        <w:t>则转出基金费用、转入基金费用及份额计算如下：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pStyle w:val="BodyText"/>
        <w:ind w:left="1198"/>
      </w:pPr>
      <w:bookmarkStart w:name="_bookmark9" w:id="10"/>
      <w:bookmarkEnd w:id="10"/>
      <w:r>
        <w:rPr/>
      </w:r>
      <w:r>
        <w:rPr/>
        <w:t>（十三）基金份额转让</w:t>
      </w:r>
    </w:p>
    <w:p>
      <w:pPr>
        <w:pStyle w:val="BodyText"/>
        <w:spacing w:before="6"/>
        <w:rPr>
          <w:sz w:val="15"/>
        </w:rPr>
      </w:pPr>
    </w:p>
    <w:p>
      <w:pPr>
        <w:pStyle w:val="BodyText"/>
        <w:spacing w:line="417" w:lineRule="auto"/>
        <w:ind w:left="778" w:right="890" w:firstLine="419"/>
        <w:jc w:val="both"/>
      </w:pPr>
      <w:r>
        <w:rPr>
          <w:spacing w:val="-12"/>
        </w:rPr>
        <w:t>在条件允许的情况下，基金管理人可以根据相关业务规则受理基金份额持有人通过中国证监会认可的交易场所或者交易方式进行份额转让的申请。具体由基金管理人提前发布公告。</w:t>
      </w:r>
    </w:p>
    <w:p>
      <w:pPr>
        <w:pStyle w:val="BodyText"/>
        <w:spacing w:before="5"/>
        <w:rPr>
          <w:sz w:val="20"/>
        </w:rPr>
      </w:pPr>
    </w:p>
    <w:p>
      <w:pPr>
        <w:pStyle w:val="Heading1"/>
      </w:pPr>
      <w:r>
        <w:rPr/>
        <w:t>十、基金份额的非交易过户与转托管等业务</w:t>
      </w:r>
    </w:p>
    <w:p>
      <w:pPr>
        <w:pStyle w:val="BodyText"/>
        <w:rPr>
          <w:b/>
          <w:sz w:val="20"/>
        </w:rPr>
      </w:pPr>
    </w:p>
    <w:p>
      <w:pPr>
        <w:pStyle w:val="BodyText"/>
        <w:spacing w:before="7"/>
        <w:rPr>
          <w:b/>
          <w:sz w:val="15"/>
        </w:rPr>
      </w:pPr>
    </w:p>
    <w:p>
      <w:pPr>
        <w:pStyle w:val="BodyText"/>
        <w:spacing w:line="417" w:lineRule="auto" w:before="1"/>
        <w:ind w:left="778" w:right="785" w:firstLine="419"/>
      </w:pPr>
      <w:r>
        <w:rPr/>
        <w:t>（一</w:t>
      </w:r>
      <w:r>
        <w:rPr>
          <w:spacing w:val="-68"/>
        </w:rPr>
        <w:t>）</w:t>
      </w:r>
      <w:r>
        <w:rPr>
          <w:spacing w:val="-12"/>
        </w:rPr>
        <w:t>注册登记机构只受理继承、捐赠和司法强制执行的，以及经注册登记机构认可的、</w:t>
      </w:r>
      <w:r>
        <w:rPr>
          <w:spacing w:val="-10"/>
        </w:rPr>
        <w:t>符合法律法规的其他情况下的非交易过户申请。其中继承是指基金份额持有人死亡，其持有</w:t>
      </w:r>
      <w:r>
        <w:rPr>
          <w:spacing w:val="-11"/>
        </w:rPr>
        <w:t>的基金份额由其合法的继承人继承；捐赠仅指基金份额持有人将其合法持有的基金份额捐赠</w:t>
      </w:r>
      <w:r>
        <w:rPr>
          <w:spacing w:val="-10"/>
        </w:rPr>
        <w:t>给福利性质的基金会或其他具有社会公益性质的社会团体；司法强制执行是指司法机构依据</w:t>
      </w:r>
      <w:r>
        <w:rPr>
          <w:spacing w:val="-5"/>
        </w:rPr>
        <w:t>生效司法文书将基金份额持有人持有的基金份额强制划转给其他自然人、法人或其他组织。</w:t>
      </w:r>
      <w:r>
        <w:rPr>
          <w:spacing w:val="-7"/>
        </w:rPr>
        <w:t>办理非交易过户必须向基金注册登记机构提供符合要求的相关资料，对于符合条件的非交易</w:t>
      </w:r>
      <w:r>
        <w:rPr>
          <w:spacing w:val="-5"/>
        </w:rPr>
        <w:t>过户申请自申请受理日起</w:t>
      </w:r>
      <w:r>
        <w:rPr>
          <w:rFonts w:ascii="Times New Roman" w:eastAsia="Times New Roman"/>
          <w:spacing w:val="-3"/>
        </w:rPr>
        <w:t>2</w:t>
      </w:r>
      <w:r>
        <w:rPr>
          <w:spacing w:val="-3"/>
        </w:rPr>
        <w:t>个月内办理并按基金注册登记机构规定的标准收费。</w:t>
      </w:r>
    </w:p>
    <w:p>
      <w:pPr>
        <w:pStyle w:val="BodyText"/>
        <w:spacing w:line="417" w:lineRule="auto"/>
        <w:ind w:left="778" w:right="889" w:firstLine="419"/>
      </w:pPr>
      <w:r>
        <w:rPr/>
        <w:t>（</w:t>
      </w:r>
      <w:r>
        <w:rPr>
          <w:spacing w:val="-3"/>
        </w:rPr>
        <w:t>二</w:t>
      </w:r>
      <w:r>
        <w:rPr>
          <w:spacing w:val="-44"/>
        </w:rPr>
        <w:t>）</w:t>
      </w:r>
      <w:r>
        <w:rPr>
          <w:spacing w:val="-5"/>
        </w:rPr>
        <w:t>基金份额持有人可以办理其基金份额在不同交易账户间的转托管手续，基金销售</w:t>
      </w:r>
      <w:r>
        <w:rPr>
          <w:spacing w:val="-9"/>
        </w:rPr>
        <w:t>机构可以按照规定的标准收取转托管费。具体办理方法参照基金管理人及销售机构的业务规</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before="71"/>
        <w:ind w:left="778"/>
      </w:pPr>
      <w:r>
        <w:rPr/>
        <w:t>则。</w:t>
      </w:r>
    </w:p>
    <w:p>
      <w:pPr>
        <w:pStyle w:val="BodyText"/>
        <w:spacing w:before="7"/>
        <w:rPr>
          <w:sz w:val="15"/>
        </w:rPr>
      </w:pPr>
    </w:p>
    <w:p>
      <w:pPr>
        <w:pStyle w:val="BodyText"/>
        <w:spacing w:line="417" w:lineRule="auto"/>
        <w:ind w:left="778" w:right="889" w:firstLine="419"/>
        <w:jc w:val="both"/>
      </w:pPr>
      <w:r>
        <w:rPr/>
        <w:t>（三</w:t>
      </w:r>
      <w:r>
        <w:rPr>
          <w:spacing w:val="-92"/>
        </w:rPr>
        <w:t>）</w:t>
      </w:r>
      <w:r>
        <w:rPr>
          <w:spacing w:val="-3"/>
        </w:rPr>
        <w:t>注册登记机构只受理国家有权机关依法要求的基金账户或基金份额的冻结与解冻</w:t>
      </w:r>
      <w:r>
        <w:rPr>
          <w:spacing w:val="-9"/>
        </w:rPr>
        <w:t>以及注册登记机构认可的、符合法律法规的其他情况下的冻结与解冻。基金账户或基金份额</w:t>
      </w:r>
      <w:r>
        <w:rPr>
          <w:spacing w:val="-5"/>
        </w:rPr>
        <w:t>被冻结的，被冻结部分产生的权益按照有关规定来决定是否冻结。</w:t>
      </w:r>
    </w:p>
    <w:p>
      <w:pPr>
        <w:pStyle w:val="BodyText"/>
        <w:spacing w:line="417" w:lineRule="auto"/>
        <w:ind w:left="778" w:right="889" w:firstLine="419"/>
      </w:pPr>
      <w:r>
        <w:rPr/>
        <w:t>（</w:t>
      </w:r>
      <w:r>
        <w:rPr>
          <w:spacing w:val="-3"/>
        </w:rPr>
        <w:t>四</w:t>
      </w:r>
      <w:r>
        <w:rPr>
          <w:spacing w:val="-44"/>
        </w:rPr>
        <w:t>）</w:t>
      </w:r>
      <w:r>
        <w:rPr>
          <w:spacing w:val="-6"/>
        </w:rPr>
        <w:t>在相关法律法规有明确规定的条件下，注册登记机构可以办理基金份额的质押业</w:t>
      </w:r>
      <w:r>
        <w:rPr>
          <w:spacing w:val="-4"/>
        </w:rPr>
        <w:t>务，并制订公布相应的业务规则。</w:t>
      </w:r>
    </w:p>
    <w:p>
      <w:pPr>
        <w:pStyle w:val="BodyText"/>
        <w:spacing w:before="4"/>
        <w:rPr>
          <w:sz w:val="20"/>
        </w:rPr>
      </w:pPr>
    </w:p>
    <w:p>
      <w:pPr>
        <w:pStyle w:val="Heading1"/>
        <w:spacing w:before="1"/>
      </w:pPr>
      <w:bookmarkStart w:name="_bookmark10" w:id="11"/>
      <w:bookmarkEnd w:id="11"/>
      <w:r>
        <w:rPr>
          <w:b w:val="0"/>
        </w:rPr>
      </w:r>
      <w:r>
        <w:rPr/>
        <w:t>十一、基金的投资</w:t>
      </w:r>
    </w:p>
    <w:p>
      <w:pPr>
        <w:pStyle w:val="BodyText"/>
        <w:rPr>
          <w:b/>
          <w:sz w:val="20"/>
        </w:rPr>
      </w:pPr>
    </w:p>
    <w:p>
      <w:pPr>
        <w:pStyle w:val="BodyText"/>
        <w:spacing w:before="7"/>
        <w:rPr>
          <w:b/>
          <w:sz w:val="15"/>
        </w:rPr>
      </w:pPr>
    </w:p>
    <w:p>
      <w:pPr>
        <w:pStyle w:val="BodyText"/>
        <w:ind w:left="1198"/>
      </w:pPr>
      <w:r>
        <w:rPr/>
        <w:t>（一）投资目标</w:t>
      </w:r>
    </w:p>
    <w:p>
      <w:pPr>
        <w:pStyle w:val="BodyText"/>
        <w:spacing w:before="7"/>
        <w:rPr>
          <w:sz w:val="15"/>
        </w:rPr>
      </w:pPr>
    </w:p>
    <w:p>
      <w:pPr>
        <w:pStyle w:val="BodyText"/>
        <w:ind w:left="1198"/>
      </w:pPr>
      <w:r>
        <w:rPr/>
        <w:t>在确保本金安全和高流动性的前提下，追求超过基准的较高收益。</w:t>
      </w:r>
    </w:p>
    <w:p>
      <w:pPr>
        <w:pStyle w:val="BodyText"/>
        <w:spacing w:before="7"/>
        <w:rPr>
          <w:sz w:val="15"/>
        </w:rPr>
      </w:pPr>
    </w:p>
    <w:p>
      <w:pPr>
        <w:pStyle w:val="BodyText"/>
        <w:ind w:left="1198"/>
      </w:pPr>
      <w:r>
        <w:rPr/>
        <w:t>（二）投资范围</w:t>
      </w:r>
    </w:p>
    <w:p>
      <w:pPr>
        <w:pStyle w:val="BodyText"/>
        <w:spacing w:before="6"/>
        <w:rPr>
          <w:sz w:val="15"/>
        </w:rPr>
      </w:pPr>
    </w:p>
    <w:p>
      <w:pPr>
        <w:pStyle w:val="BodyText"/>
        <w:spacing w:line="417" w:lineRule="auto" w:before="1"/>
        <w:ind w:left="778" w:right="802" w:firstLine="419"/>
      </w:pPr>
      <w:r>
        <w:rPr>
          <w:spacing w:val="-6"/>
        </w:rPr>
        <w:t>包括：现金，期限在</w:t>
      </w:r>
      <w:r>
        <w:rPr>
          <w:rFonts w:ascii="Times New Roman" w:eastAsia="Times New Roman"/>
          <w:spacing w:val="-3"/>
        </w:rPr>
        <w:t>1</w:t>
      </w:r>
      <w:r>
        <w:rPr>
          <w:spacing w:val="-6"/>
        </w:rPr>
        <w:t>年以内</w:t>
      </w:r>
      <w:r>
        <w:rPr>
          <w:spacing w:val="-3"/>
        </w:rPr>
        <w:t>（</w:t>
      </w:r>
      <w:r>
        <w:rPr/>
        <w:t>含</w:t>
      </w:r>
      <w:r>
        <w:rPr>
          <w:rFonts w:ascii="Times New Roman" w:eastAsia="Times New Roman"/>
        </w:rPr>
        <w:t>1</w:t>
      </w:r>
      <w:r>
        <w:rPr>
          <w:spacing w:val="-3"/>
        </w:rPr>
        <w:t>年</w:t>
      </w:r>
      <w:r>
        <w:rPr>
          <w:spacing w:val="-15"/>
        </w:rPr>
        <w:t>）</w:t>
      </w:r>
      <w:r>
        <w:rPr>
          <w:spacing w:val="-7"/>
        </w:rPr>
        <w:t>的银行存款、债券回购、中央银行票据、同业存</w:t>
      </w:r>
      <w:r>
        <w:rPr>
          <w:spacing w:val="-5"/>
        </w:rPr>
        <w:t>单，剩余期限在</w:t>
      </w:r>
      <w:r>
        <w:rPr>
          <w:rFonts w:ascii="Times New Roman" w:eastAsia="Times New Roman"/>
        </w:rPr>
        <w:t>397</w:t>
      </w:r>
      <w:r>
        <w:rPr>
          <w:spacing w:val="-3"/>
        </w:rPr>
        <w:t>天以内</w:t>
      </w:r>
      <w:r>
        <w:rPr/>
        <w:t>（含</w:t>
      </w:r>
      <w:r>
        <w:rPr>
          <w:rFonts w:ascii="Times New Roman" w:eastAsia="Times New Roman"/>
        </w:rPr>
        <w:t>397</w:t>
      </w:r>
      <w:r>
        <w:rPr>
          <w:spacing w:val="-3"/>
        </w:rPr>
        <w:t>天</w:t>
      </w:r>
      <w:r>
        <w:rPr/>
        <w:t>）</w:t>
      </w:r>
      <w:r>
        <w:rPr>
          <w:spacing w:val="-3"/>
        </w:rPr>
        <w:t>的债券、非金融企业债务融资工具、资产支持证券， 以及法律法规或中国证监会、中国人民银行认可的其他具有良好流动性的金融工具。</w:t>
      </w:r>
    </w:p>
    <w:p>
      <w:pPr>
        <w:pStyle w:val="BodyText"/>
        <w:spacing w:line="417" w:lineRule="auto"/>
        <w:ind w:left="778" w:right="889" w:firstLine="419"/>
      </w:pPr>
      <w:r>
        <w:rPr>
          <w:spacing w:val="-7"/>
        </w:rPr>
        <w:t>如法律法规或监管机构以后允许基金投资其他品种，基金管理人在履行适当程序后，可</w:t>
      </w:r>
      <w:r>
        <w:rPr>
          <w:spacing w:val="-5"/>
        </w:rPr>
        <w:t>以将其纳入投资范围。</w:t>
      </w:r>
    </w:p>
    <w:p>
      <w:pPr>
        <w:pStyle w:val="BodyText"/>
        <w:spacing w:line="269" w:lineRule="exact"/>
        <w:ind w:left="1198"/>
      </w:pPr>
      <w:r>
        <w:rPr/>
        <w:t>（三）投资理念</w:t>
      </w:r>
    </w:p>
    <w:p>
      <w:pPr>
        <w:pStyle w:val="BodyText"/>
        <w:spacing w:before="6"/>
        <w:rPr>
          <w:sz w:val="15"/>
        </w:rPr>
      </w:pPr>
    </w:p>
    <w:p>
      <w:pPr>
        <w:pStyle w:val="BodyText"/>
        <w:spacing w:line="417" w:lineRule="auto"/>
        <w:ind w:left="778" w:right="800" w:firstLine="419"/>
      </w:pPr>
      <w:r>
        <w:rPr/>
        <w:t>积极判断短期利率变动，合理安排期限，细致研究，谨慎操作，以实现本金的安全性、流动性和稳定超过基准的较高收益。</w:t>
      </w:r>
    </w:p>
    <w:p>
      <w:pPr>
        <w:pStyle w:val="BodyText"/>
        <w:spacing w:line="417" w:lineRule="auto"/>
        <w:ind w:left="778" w:right="889" w:firstLine="419"/>
      </w:pPr>
      <w:r>
        <w:rPr>
          <w:rFonts w:ascii="Times New Roman" w:eastAsia="Times New Roman"/>
        </w:rPr>
        <w:t>1</w:t>
      </w:r>
      <w:r>
        <w:rPr/>
        <w:t>、短期利率受到货币政策和短期资金供求等因素的影响，通过对其走势和变动的积极判断，能够优化期限配置、类属和品种配置，从而提高组合收益。</w:t>
      </w:r>
    </w:p>
    <w:p>
      <w:pPr>
        <w:pStyle w:val="BodyText"/>
        <w:spacing w:line="417" w:lineRule="auto"/>
        <w:ind w:left="778" w:right="889" w:firstLine="419"/>
      </w:pPr>
      <w:r>
        <w:rPr>
          <w:rFonts w:ascii="Times New Roman" w:eastAsia="Times New Roman"/>
        </w:rPr>
        <w:t>2</w:t>
      </w:r>
      <w:r>
        <w:rPr/>
        <w:t>、通过合理期限安排，保持组合较高的流动性，既能满足投资者的流动性需求，又能避免组合规模的变化对投资策略实施的影响。</w:t>
      </w:r>
    </w:p>
    <w:p>
      <w:pPr>
        <w:pStyle w:val="BodyText"/>
        <w:spacing w:line="417" w:lineRule="auto"/>
        <w:ind w:left="778" w:right="889" w:firstLine="419"/>
      </w:pPr>
      <w:r>
        <w:rPr>
          <w:rFonts w:ascii="Times New Roman" w:eastAsia="Times New Roman"/>
        </w:rPr>
        <w:t>3</w:t>
      </w:r>
      <w:r>
        <w:rPr/>
        <w:t>、通过细致研究和谨慎操作，运用多种灵活策略，能够充分利用市场机会，不断积累超额收益。</w:t>
      </w:r>
    </w:p>
    <w:p>
      <w:pPr>
        <w:pStyle w:val="BodyText"/>
        <w:spacing w:line="269" w:lineRule="exact"/>
        <w:ind w:left="1198"/>
      </w:pPr>
      <w:r>
        <w:rPr/>
        <w:t>（四）投资策略</w:t>
      </w:r>
    </w:p>
    <w:p>
      <w:pPr>
        <w:pStyle w:val="BodyText"/>
        <w:spacing w:before="6"/>
        <w:rPr>
          <w:sz w:val="15"/>
        </w:rPr>
      </w:pPr>
    </w:p>
    <w:p>
      <w:pPr>
        <w:pStyle w:val="BodyText"/>
        <w:spacing w:before="1"/>
        <w:ind w:left="1198"/>
      </w:pPr>
      <w:r>
        <w:rPr>
          <w:rFonts w:ascii="Times New Roman" w:eastAsia="Times New Roman"/>
        </w:rPr>
        <w:t>1</w:t>
      </w:r>
      <w:r>
        <w:rPr/>
        <w:t>、短期利率预期策略</w:t>
      </w:r>
    </w:p>
    <w:p>
      <w:pPr>
        <w:pStyle w:val="BodyText"/>
        <w:spacing w:before="6"/>
        <w:rPr>
          <w:sz w:val="15"/>
        </w:rPr>
      </w:pPr>
    </w:p>
    <w:p>
      <w:pPr>
        <w:pStyle w:val="BodyText"/>
        <w:spacing w:line="417" w:lineRule="auto"/>
        <w:ind w:left="778" w:right="800" w:firstLine="419"/>
      </w:pPr>
      <w:r>
        <w:rPr>
          <w:spacing w:val="-3"/>
        </w:rPr>
        <w:t>短期利率预期策略是本基金的基本投资策略。根据对宏观经济指标、财政与货币政策、</w:t>
      </w:r>
      <w:r>
        <w:rPr>
          <w:spacing w:val="-10"/>
        </w:rPr>
        <w:t>金融监管政策、市场结构变化和市场资金供求等因素的研究与分析，对未来一段时期的短期</w:t>
      </w:r>
      <w:r>
        <w:rPr>
          <w:spacing w:val="-11"/>
        </w:rPr>
        <w:t>市场利率进行积极的判断，从而制定并调整组合的期限和品种配置，以适应短期市场利率的</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before="71"/>
        <w:ind w:left="778"/>
      </w:pPr>
      <w:r>
        <w:rPr/>
        <w:t>预期变化，追求更高收益。</w:t>
      </w:r>
    </w:p>
    <w:p>
      <w:pPr>
        <w:pStyle w:val="BodyText"/>
        <w:spacing w:before="7"/>
        <w:rPr>
          <w:sz w:val="15"/>
        </w:rPr>
      </w:pPr>
    </w:p>
    <w:p>
      <w:pPr>
        <w:pStyle w:val="BodyText"/>
        <w:ind w:left="1198"/>
      </w:pPr>
      <w:r>
        <w:rPr>
          <w:rFonts w:ascii="Times New Roman" w:eastAsia="Times New Roman"/>
        </w:rPr>
        <w:t>2</w:t>
      </w:r>
      <w:r>
        <w:rPr/>
        <w:t>、期限配置策略</w:t>
      </w:r>
    </w:p>
    <w:p>
      <w:pPr>
        <w:pStyle w:val="BodyText"/>
        <w:spacing w:before="7"/>
        <w:rPr>
          <w:sz w:val="15"/>
        </w:rPr>
      </w:pPr>
    </w:p>
    <w:p>
      <w:pPr>
        <w:pStyle w:val="BodyText"/>
        <w:spacing w:line="417" w:lineRule="auto"/>
        <w:ind w:left="778" w:right="889" w:firstLine="419"/>
        <w:jc w:val="both"/>
      </w:pPr>
      <w:r>
        <w:rPr>
          <w:spacing w:val="-7"/>
        </w:rPr>
        <w:t>根据对短期利率走势的判断确定并调整组合的平均期限。在预期短期利率上升时，缩短</w:t>
      </w:r>
      <w:r>
        <w:rPr>
          <w:spacing w:val="-10"/>
        </w:rPr>
        <w:t>组合的平均期限，以规避资本损失或获得较高的再投资收益；在预期短期利率下降时，延长</w:t>
      </w:r>
      <w:r>
        <w:rPr>
          <w:spacing w:val="-5"/>
        </w:rPr>
        <w:t>组合的平均期限，以获得资本利得或锁定较高的利率水平。</w:t>
      </w:r>
    </w:p>
    <w:p>
      <w:pPr>
        <w:pStyle w:val="BodyText"/>
        <w:spacing w:line="269" w:lineRule="exact"/>
        <w:ind w:left="1198"/>
      </w:pPr>
      <w:r>
        <w:rPr>
          <w:rFonts w:ascii="Times New Roman" w:eastAsia="Times New Roman"/>
        </w:rPr>
        <w:t>3</w:t>
      </w:r>
      <w:r>
        <w:rPr/>
        <w:t>、类属和品种配置策略</w:t>
      </w:r>
    </w:p>
    <w:p>
      <w:pPr>
        <w:pStyle w:val="BodyText"/>
        <w:spacing w:before="6"/>
        <w:rPr>
          <w:sz w:val="15"/>
        </w:rPr>
      </w:pPr>
    </w:p>
    <w:p>
      <w:pPr>
        <w:pStyle w:val="BodyText"/>
        <w:spacing w:line="417" w:lineRule="auto" w:before="1"/>
        <w:ind w:left="778" w:right="889" w:firstLine="419"/>
        <w:jc w:val="both"/>
      </w:pPr>
      <w:r>
        <w:rPr>
          <w:spacing w:val="-7"/>
        </w:rPr>
        <w:t>本基金的投资工具包括在交易所交易的短期国债、企业债和债券回购，在银行间市场交</w:t>
      </w:r>
      <w:r>
        <w:rPr>
          <w:spacing w:val="-12"/>
        </w:rPr>
        <w:t>易的短期国债、金融债、央行票据和债券回购，以及同业存款、定期存款等品种。由于上述</w:t>
      </w:r>
      <w:r>
        <w:rPr>
          <w:spacing w:val="-11"/>
        </w:rPr>
        <w:t>工具具有不同的流动性特征和收益特征，因此，本基金将研究它们的市场准入政策变化、参与主体资金供求变化、市场容量和税收政策等因素，制定并调整类属和品种配置，一方面提</w:t>
      </w:r>
      <w:r>
        <w:rPr>
          <w:spacing w:val="-6"/>
        </w:rPr>
        <w:t>高组合的收益性，另一方面满足组合的流动性要求。</w:t>
      </w:r>
    </w:p>
    <w:p>
      <w:pPr>
        <w:pStyle w:val="BodyText"/>
        <w:spacing w:line="269" w:lineRule="exact"/>
        <w:ind w:left="1198"/>
      </w:pPr>
      <w:r>
        <w:rPr>
          <w:rFonts w:ascii="Times New Roman" w:eastAsia="Times New Roman"/>
        </w:rPr>
        <w:t>4</w:t>
      </w:r>
      <w:r>
        <w:rPr/>
        <w:t>、利用短期市场机会的灵活策略</w:t>
      </w:r>
    </w:p>
    <w:p>
      <w:pPr>
        <w:pStyle w:val="BodyText"/>
        <w:spacing w:before="6"/>
        <w:rPr>
          <w:sz w:val="15"/>
        </w:rPr>
      </w:pPr>
    </w:p>
    <w:p>
      <w:pPr>
        <w:pStyle w:val="BodyText"/>
        <w:spacing w:line="417" w:lineRule="auto"/>
        <w:ind w:left="778" w:right="800" w:firstLine="419"/>
      </w:pPr>
      <w:r>
        <w:rPr>
          <w:spacing w:val="-3"/>
        </w:rPr>
        <w:t>由于市场分割、信息不对称、发行人信用等级意外变化等情况会造成短期内市场失衡； </w:t>
      </w:r>
      <w:r>
        <w:rPr>
          <w:spacing w:val="-11"/>
        </w:rPr>
        <w:t>新股、新债发行以及年末效应等因素会使市场资金供求发生短时的失衡。这种失衡将带来一定市场机会。通过分析短期市场机会发生的动因，研究其中的规律，据此调整组合配置，改</w:t>
      </w:r>
      <w:r>
        <w:rPr>
          <w:spacing w:val="-6"/>
        </w:rPr>
        <w:t>进操作方法，积极利用市场机会获得超额收益。</w:t>
      </w:r>
    </w:p>
    <w:p>
      <w:pPr>
        <w:pStyle w:val="BodyText"/>
        <w:spacing w:line="417" w:lineRule="auto"/>
        <w:ind w:left="778" w:right="891" w:firstLine="419"/>
      </w:pPr>
      <w:r>
        <w:rPr>
          <w:spacing w:val="-8"/>
        </w:rPr>
        <w:t>在上述投资策略实施的过程中，本基金特别重视风险控制，通过平均到期期限、组合的</w:t>
      </w:r>
      <w:r>
        <w:rPr>
          <w:spacing w:val="-5"/>
        </w:rPr>
        <w:t>分散程度、个券信用等级等指标的严格控制，保证基金风险得到良好的控制。</w:t>
      </w:r>
    </w:p>
    <w:p>
      <w:pPr>
        <w:pStyle w:val="BodyText"/>
        <w:spacing w:line="269" w:lineRule="exact"/>
        <w:ind w:left="1198"/>
      </w:pPr>
      <w:r>
        <w:rPr/>
        <w:t>（五）投资程序</w:t>
      </w:r>
    </w:p>
    <w:p>
      <w:pPr>
        <w:pStyle w:val="BodyText"/>
        <w:spacing w:before="7"/>
        <w:rPr>
          <w:sz w:val="15"/>
        </w:rPr>
      </w:pPr>
    </w:p>
    <w:p>
      <w:pPr>
        <w:pStyle w:val="BodyText"/>
        <w:ind w:left="1198"/>
      </w:pPr>
      <w:r>
        <w:rPr>
          <w:rFonts w:ascii="Times New Roman" w:eastAsia="Times New Roman"/>
        </w:rPr>
        <w:t>1</w:t>
      </w:r>
      <w:r>
        <w:rPr/>
        <w:t>、投资计划的拟定</w:t>
      </w:r>
    </w:p>
    <w:p>
      <w:pPr>
        <w:pStyle w:val="BodyText"/>
        <w:spacing w:before="6"/>
        <w:rPr>
          <w:sz w:val="15"/>
        </w:rPr>
      </w:pPr>
    </w:p>
    <w:p>
      <w:pPr>
        <w:pStyle w:val="BodyText"/>
        <w:spacing w:line="417" w:lineRule="auto"/>
        <w:ind w:left="778" w:right="785" w:firstLine="419"/>
        <w:jc w:val="both"/>
      </w:pPr>
      <w:r>
        <w:rPr>
          <w:spacing w:val="-9"/>
        </w:rPr>
        <w:t>基金经理每月拟定投资计划，报投资决策委员会审批。基金经理根据对未来一段时间短</w:t>
      </w:r>
      <w:r>
        <w:rPr>
          <w:spacing w:val="-12"/>
        </w:rPr>
        <w:t>期利率的判断，以及各类货币市场工具的流动性和信用风险的变化情况，结合目前基金组合</w:t>
      </w:r>
      <w:r>
        <w:rPr>
          <w:spacing w:val="-18"/>
        </w:rPr>
        <w:t>实际投资比例，制定下一月各期限、各品种货币市场工具的配置目标、变动范围和调整方案。</w:t>
      </w:r>
    </w:p>
    <w:p>
      <w:pPr>
        <w:pStyle w:val="BodyText"/>
        <w:spacing w:line="417" w:lineRule="auto" w:before="1"/>
        <w:ind w:left="778" w:right="889" w:firstLine="419"/>
      </w:pPr>
      <w:r>
        <w:rPr>
          <w:spacing w:val="-8"/>
        </w:rPr>
        <w:t>如果基金经理认为影响各期限、品种收益率的因素产生了重大变化，还可以临时提出新</w:t>
      </w:r>
      <w:r>
        <w:rPr>
          <w:spacing w:val="-5"/>
        </w:rPr>
        <w:t>的投资计划，并由投资决策委员会审批。</w:t>
      </w:r>
    </w:p>
    <w:p>
      <w:pPr>
        <w:pStyle w:val="BodyText"/>
        <w:spacing w:line="269" w:lineRule="exact"/>
        <w:ind w:left="1198"/>
      </w:pPr>
      <w:r>
        <w:rPr>
          <w:rFonts w:ascii="Times New Roman" w:eastAsia="Times New Roman"/>
        </w:rPr>
        <w:t>2</w:t>
      </w:r>
      <w:r>
        <w:rPr/>
        <w:t>、投资计划的实施</w:t>
      </w:r>
    </w:p>
    <w:p>
      <w:pPr>
        <w:pStyle w:val="BodyText"/>
        <w:spacing w:before="6"/>
        <w:rPr>
          <w:sz w:val="15"/>
        </w:rPr>
      </w:pPr>
    </w:p>
    <w:p>
      <w:pPr>
        <w:pStyle w:val="BodyText"/>
        <w:spacing w:line="417" w:lineRule="auto"/>
        <w:ind w:left="778" w:right="783" w:firstLine="419"/>
      </w:pPr>
      <w:r>
        <w:rPr>
          <w:spacing w:val="-3"/>
        </w:rPr>
        <w:t>基金经理在投资计划规定的期限、品种配置目标和变动范围内，根据市场的实际情况， </w:t>
      </w:r>
      <w:r>
        <w:rPr>
          <w:spacing w:val="-12"/>
        </w:rPr>
        <w:t>采用积极利用市场短期机会的灵活策略，通过动态调整优化投资组合，追求当期收益最大化。</w:t>
      </w:r>
      <w:r>
        <w:rPr>
          <w:spacing w:val="-11"/>
        </w:rPr>
        <w:t>在动态调整的过程中，基金经理将细致计算交易成本和市场流动性特征，平衡收益、成本与</w:t>
      </w:r>
      <w:r>
        <w:rPr>
          <w:spacing w:val="-6"/>
        </w:rPr>
        <w:t>流动性的关系。</w:t>
      </w:r>
    </w:p>
    <w:p>
      <w:pPr>
        <w:spacing w:after="0" w:line="417" w:lineRule="auto"/>
        <w:sectPr>
          <w:pgSz w:w="11910" w:h="16840"/>
          <w:pgMar w:header="877" w:footer="995" w:top="1280" w:bottom="1180" w:left="1020" w:right="900"/>
        </w:sectPr>
      </w:pPr>
    </w:p>
    <w:p>
      <w:pPr>
        <w:pStyle w:val="BodyText"/>
        <w:rPr>
          <w:sz w:val="12"/>
        </w:rPr>
      </w:pPr>
    </w:p>
    <w:p>
      <w:pPr>
        <w:pStyle w:val="BodyText"/>
        <w:spacing w:before="78"/>
        <w:ind w:left="1198"/>
      </w:pPr>
      <w:r>
        <w:rPr>
          <w:rFonts w:ascii="Times New Roman" w:eastAsia="Times New Roman"/>
        </w:rPr>
        <w:t>3</w:t>
      </w:r>
      <w:r>
        <w:rPr/>
        <w:t>、具体品种的选择</w:t>
      </w:r>
    </w:p>
    <w:p>
      <w:pPr>
        <w:pStyle w:val="BodyText"/>
        <w:spacing w:before="7"/>
        <w:rPr>
          <w:sz w:val="15"/>
        </w:rPr>
      </w:pPr>
    </w:p>
    <w:p>
      <w:pPr>
        <w:pStyle w:val="BodyText"/>
        <w:ind w:left="1198"/>
      </w:pPr>
      <w:r>
        <w:rPr/>
        <w:t>具有下列一项或多项特征的证券或回购是本基金重点投资的对象：</w:t>
      </w:r>
    </w:p>
    <w:p>
      <w:pPr>
        <w:pStyle w:val="BodyText"/>
        <w:spacing w:before="7"/>
        <w:rPr>
          <w:sz w:val="15"/>
        </w:rPr>
      </w:pPr>
    </w:p>
    <w:p>
      <w:pPr>
        <w:pStyle w:val="ListParagraph"/>
        <w:numPr>
          <w:ilvl w:val="0"/>
          <w:numId w:val="22"/>
        </w:numPr>
        <w:tabs>
          <w:tab w:pos="1727" w:val="left" w:leader="none"/>
        </w:tabs>
        <w:spacing w:line="240" w:lineRule="auto" w:before="0" w:after="0"/>
        <w:ind w:left="1727" w:right="0" w:hanging="529"/>
        <w:jc w:val="left"/>
        <w:rPr>
          <w:sz w:val="21"/>
        </w:rPr>
      </w:pPr>
      <w:r>
        <w:rPr>
          <w:spacing w:val="-3"/>
          <w:sz w:val="21"/>
        </w:rPr>
        <w:t>在相似到期期限和信用等级下，收益率较高的债券、票据或债券回购。</w:t>
      </w:r>
    </w:p>
    <w:p>
      <w:pPr>
        <w:pStyle w:val="BodyText"/>
        <w:spacing w:before="6"/>
        <w:rPr>
          <w:sz w:val="15"/>
        </w:rPr>
      </w:pPr>
    </w:p>
    <w:p>
      <w:pPr>
        <w:pStyle w:val="ListParagraph"/>
        <w:numPr>
          <w:ilvl w:val="0"/>
          <w:numId w:val="22"/>
        </w:numPr>
        <w:tabs>
          <w:tab w:pos="1727" w:val="left" w:leader="none"/>
        </w:tabs>
        <w:spacing w:line="240" w:lineRule="auto" w:before="1" w:after="0"/>
        <w:ind w:left="1727" w:right="0" w:hanging="529"/>
        <w:jc w:val="left"/>
        <w:rPr>
          <w:sz w:val="21"/>
        </w:rPr>
      </w:pPr>
      <w:r>
        <w:rPr>
          <w:spacing w:val="-3"/>
          <w:sz w:val="21"/>
        </w:rPr>
        <w:t>相似条件下，流动性较高的债券、票据。</w:t>
      </w:r>
    </w:p>
    <w:p>
      <w:pPr>
        <w:pStyle w:val="BodyText"/>
        <w:spacing w:before="6"/>
        <w:rPr>
          <w:sz w:val="15"/>
        </w:rPr>
      </w:pPr>
    </w:p>
    <w:p>
      <w:pPr>
        <w:pStyle w:val="ListParagraph"/>
        <w:numPr>
          <w:ilvl w:val="0"/>
          <w:numId w:val="22"/>
        </w:numPr>
        <w:tabs>
          <w:tab w:pos="1727" w:val="left" w:leader="none"/>
        </w:tabs>
        <w:spacing w:line="240" w:lineRule="auto" w:before="0" w:after="0"/>
        <w:ind w:left="1727" w:right="0" w:hanging="529"/>
        <w:jc w:val="left"/>
        <w:rPr>
          <w:sz w:val="21"/>
        </w:rPr>
      </w:pPr>
      <w:r>
        <w:rPr>
          <w:spacing w:val="-3"/>
          <w:sz w:val="21"/>
        </w:rPr>
        <w:t>相似条件下，交易对手信用等级较高的债券、票据或债券回购。</w:t>
      </w:r>
    </w:p>
    <w:p>
      <w:pPr>
        <w:pStyle w:val="BodyText"/>
        <w:spacing w:before="7"/>
        <w:rPr>
          <w:sz w:val="15"/>
        </w:rPr>
      </w:pPr>
    </w:p>
    <w:p>
      <w:pPr>
        <w:pStyle w:val="BodyText"/>
        <w:ind w:left="1198"/>
      </w:pPr>
      <w:r>
        <w:rPr>
          <w:rFonts w:ascii="Times New Roman" w:eastAsia="Times New Roman"/>
        </w:rPr>
        <w:t>4</w:t>
      </w:r>
      <w:r>
        <w:rPr/>
        <w:t>、交易执行</w:t>
      </w:r>
    </w:p>
    <w:p>
      <w:pPr>
        <w:pStyle w:val="BodyText"/>
        <w:spacing w:before="7"/>
        <w:rPr>
          <w:sz w:val="15"/>
        </w:rPr>
      </w:pPr>
    </w:p>
    <w:p>
      <w:pPr>
        <w:pStyle w:val="BodyText"/>
        <w:spacing w:line="417" w:lineRule="auto"/>
        <w:ind w:left="778" w:right="888" w:firstLine="419"/>
        <w:jc w:val="both"/>
      </w:pPr>
      <w:r>
        <w:rPr>
          <w:spacing w:val="-8"/>
        </w:rPr>
        <w:t>交易管理部负责执行基金经理下达的交易指令，同时履行一线监控的职能。在交易指令</w:t>
      </w:r>
      <w:r>
        <w:rPr>
          <w:spacing w:val="-12"/>
        </w:rPr>
        <w:t>执行前，交易管理部对交易指令进行复核，确保交易指令执行后基金各项投资比例符合法律</w:t>
      </w:r>
      <w:r>
        <w:rPr>
          <w:spacing w:val="-6"/>
        </w:rPr>
        <w:t>法规以及基金合同、招募说明书的各项规定。</w:t>
      </w:r>
    </w:p>
    <w:p>
      <w:pPr>
        <w:pStyle w:val="BodyText"/>
        <w:ind w:left="1198"/>
      </w:pPr>
      <w:r>
        <w:rPr>
          <w:rFonts w:ascii="Times New Roman" w:eastAsia="Times New Roman"/>
        </w:rPr>
        <w:t>5</w:t>
      </w:r>
      <w:r>
        <w:rPr/>
        <w:t>、组合监控与调整</w:t>
      </w:r>
    </w:p>
    <w:p>
      <w:pPr>
        <w:pStyle w:val="BodyText"/>
        <w:spacing w:before="6"/>
        <w:rPr>
          <w:sz w:val="15"/>
        </w:rPr>
      </w:pPr>
    </w:p>
    <w:p>
      <w:pPr>
        <w:pStyle w:val="BodyText"/>
        <w:spacing w:line="417" w:lineRule="auto" w:before="1"/>
        <w:ind w:left="778" w:right="800" w:firstLine="419"/>
      </w:pPr>
      <w:r>
        <w:rPr>
          <w:spacing w:val="-3"/>
        </w:rPr>
        <w:t>基金经理将密切关注宏观经济和市场变化，结合基金申购和赎回导致的现金流量情况， </w:t>
      </w:r>
      <w:r>
        <w:rPr>
          <w:spacing w:val="-7"/>
        </w:rPr>
        <w:t>每日对组合的风险和流动性进行监控，确保基金的各项风险控制指标维持在合理水平，确保</w:t>
      </w:r>
      <w:r>
        <w:rPr>
          <w:spacing w:val="-10"/>
        </w:rPr>
        <w:t>组合的流动性能够满足投资者的赎回要求。当组合中货币市场工具价格波动引起组合投资比例不能符合控制标准时，或当组合中货币市场工具信用评级调整导致信用等级不符合要求 </w:t>
      </w:r>
      <w:r>
        <w:rPr>
          <w:spacing w:val="-5"/>
        </w:rPr>
        <w:t>时，基金经理应采取有效的措施，在合理的时间内调整组合。</w:t>
      </w:r>
    </w:p>
    <w:p>
      <w:pPr>
        <w:pStyle w:val="BodyText"/>
        <w:spacing w:line="269" w:lineRule="exact"/>
        <w:ind w:left="1198"/>
      </w:pPr>
      <w:r>
        <w:rPr/>
        <w:t>（六）业绩比较基准</w:t>
      </w:r>
    </w:p>
    <w:p>
      <w:pPr>
        <w:pStyle w:val="BodyText"/>
        <w:spacing w:before="6"/>
        <w:rPr>
          <w:sz w:val="15"/>
        </w:rPr>
      </w:pPr>
    </w:p>
    <w:p>
      <w:pPr>
        <w:pStyle w:val="BodyText"/>
        <w:ind w:left="1198"/>
      </w:pPr>
      <w:r>
        <w:rPr/>
        <w:t>本基金业绩比较基准为同期</w:t>
      </w:r>
      <w:r>
        <w:rPr>
          <w:rFonts w:ascii="Times New Roman" w:eastAsia="Times New Roman"/>
        </w:rPr>
        <w:t>7</w:t>
      </w:r>
      <w:r>
        <w:rPr/>
        <w:t>天通知存款利率。</w:t>
      </w:r>
    </w:p>
    <w:p>
      <w:pPr>
        <w:pStyle w:val="BodyText"/>
        <w:spacing w:before="7"/>
        <w:rPr>
          <w:sz w:val="15"/>
        </w:rPr>
      </w:pPr>
    </w:p>
    <w:p>
      <w:pPr>
        <w:pStyle w:val="BodyText"/>
        <w:spacing w:line="417" w:lineRule="auto"/>
        <w:ind w:left="778" w:right="889" w:firstLine="419"/>
      </w:pPr>
      <w:r>
        <w:rPr>
          <w:spacing w:val="-8"/>
        </w:rPr>
        <w:t>在合理的市场化利率基准推出的情况下，基金管理人可根据投资目标和投资政策，确定</w:t>
      </w:r>
      <w:r>
        <w:rPr>
          <w:spacing w:val="-5"/>
        </w:rPr>
        <w:t>变更业绩比较基准，并及时公告。</w:t>
      </w:r>
    </w:p>
    <w:p>
      <w:pPr>
        <w:pStyle w:val="BodyText"/>
        <w:spacing w:line="269" w:lineRule="exact"/>
        <w:ind w:left="1198"/>
      </w:pPr>
      <w:r>
        <w:rPr/>
        <w:t>（七）投资限制</w:t>
      </w:r>
    </w:p>
    <w:p>
      <w:pPr>
        <w:pStyle w:val="BodyText"/>
        <w:spacing w:before="7"/>
        <w:rPr>
          <w:sz w:val="15"/>
        </w:rPr>
      </w:pPr>
    </w:p>
    <w:p>
      <w:pPr>
        <w:pStyle w:val="BodyText"/>
        <w:ind w:left="1198"/>
      </w:pPr>
      <w:r>
        <w:rPr>
          <w:spacing w:val="-3"/>
          <w:w w:val="100"/>
        </w:rPr>
        <w:t>本基金不得进行如下行为</w:t>
      </w:r>
      <w:r>
        <w:rPr>
          <w:w w:val="100"/>
        </w:rPr>
        <w:t>（</w:t>
      </w:r>
      <w:r>
        <w:rPr>
          <w:spacing w:val="-3"/>
          <w:w w:val="100"/>
        </w:rPr>
        <w:t>法律法规或监管部门另有规定的除外</w:t>
      </w:r>
      <w:r>
        <w:rPr>
          <w:spacing w:val="-108"/>
          <w:w w:val="100"/>
        </w:rPr>
        <w:t>）</w:t>
      </w:r>
      <w:r>
        <w:rPr>
          <w:w w:val="100"/>
        </w:rPr>
        <w:t>：</w:t>
      </w:r>
    </w:p>
    <w:p>
      <w:pPr>
        <w:pStyle w:val="BodyText"/>
        <w:spacing w:before="7"/>
        <w:rPr>
          <w:sz w:val="15"/>
        </w:rPr>
      </w:pPr>
    </w:p>
    <w:p>
      <w:pPr>
        <w:pStyle w:val="BodyText"/>
        <w:ind w:left="1198"/>
      </w:pPr>
      <w:r>
        <w:rPr>
          <w:rFonts w:ascii="Times New Roman" w:eastAsia="Times New Roman"/>
        </w:rPr>
        <w:t>1</w:t>
      </w:r>
      <w:r>
        <w:rPr/>
        <w:t>、投资于股票。</w:t>
      </w:r>
    </w:p>
    <w:p>
      <w:pPr>
        <w:pStyle w:val="BodyText"/>
        <w:spacing w:before="7"/>
        <w:rPr>
          <w:sz w:val="15"/>
        </w:rPr>
      </w:pPr>
    </w:p>
    <w:p>
      <w:pPr>
        <w:pStyle w:val="BodyText"/>
        <w:ind w:left="1198"/>
      </w:pPr>
      <w:r>
        <w:rPr>
          <w:rFonts w:ascii="Times New Roman" w:eastAsia="Times New Roman"/>
        </w:rPr>
        <w:t>2</w:t>
      </w:r>
      <w:r>
        <w:rPr/>
        <w:t>、投资于可转换债券、可交换债券。</w:t>
      </w:r>
    </w:p>
    <w:p>
      <w:pPr>
        <w:pStyle w:val="BodyText"/>
        <w:spacing w:before="7"/>
        <w:rPr>
          <w:sz w:val="15"/>
        </w:rPr>
      </w:pPr>
    </w:p>
    <w:p>
      <w:pPr>
        <w:pStyle w:val="BodyText"/>
        <w:spacing w:line="417" w:lineRule="auto"/>
        <w:ind w:left="778" w:right="889" w:firstLine="419"/>
      </w:pPr>
      <w:r>
        <w:rPr>
          <w:rFonts w:ascii="Times New Roman" w:eastAsia="Times New Roman"/>
        </w:rPr>
        <w:t>3</w:t>
      </w:r>
      <w:r>
        <w:rPr/>
        <w:t>、投资于以定期存款利率为基准利率的浮动利率债券，已进入最后一个利率调整期的除外。</w:t>
      </w:r>
    </w:p>
    <w:p>
      <w:pPr>
        <w:pStyle w:val="BodyText"/>
        <w:spacing w:line="269" w:lineRule="exact"/>
        <w:ind w:left="1198"/>
      </w:pPr>
      <w:r>
        <w:rPr>
          <w:rFonts w:ascii="Times New Roman" w:eastAsia="Times New Roman"/>
        </w:rPr>
        <w:t>4</w:t>
      </w:r>
      <w:r>
        <w:rPr/>
        <w:t>、投资于信用等级在</w:t>
      </w:r>
      <w:r>
        <w:rPr>
          <w:rFonts w:ascii="Times New Roman" w:eastAsia="Times New Roman"/>
        </w:rPr>
        <w:t>AA+</w:t>
      </w:r>
      <w:r>
        <w:rPr/>
        <w:t>以下的债券与非金融企业债务融资工具。</w:t>
      </w:r>
    </w:p>
    <w:p>
      <w:pPr>
        <w:pStyle w:val="BodyText"/>
        <w:spacing w:before="6"/>
        <w:rPr>
          <w:sz w:val="15"/>
        </w:rPr>
      </w:pPr>
    </w:p>
    <w:p>
      <w:pPr>
        <w:pStyle w:val="BodyText"/>
        <w:ind w:left="1198"/>
      </w:pPr>
      <w:r>
        <w:rPr>
          <w:rFonts w:ascii="Times New Roman" w:eastAsia="Times New Roman"/>
        </w:rPr>
        <w:t>5</w:t>
      </w:r>
      <w:r>
        <w:rPr/>
        <w:t>、投资于中国证监会、中国人民银行禁止投资的其他金融工具。</w:t>
      </w:r>
    </w:p>
    <w:p>
      <w:pPr>
        <w:pStyle w:val="BodyText"/>
        <w:spacing w:before="7"/>
        <w:rPr>
          <w:sz w:val="15"/>
        </w:rPr>
      </w:pPr>
    </w:p>
    <w:p>
      <w:pPr>
        <w:pStyle w:val="BodyText"/>
        <w:ind w:left="1198"/>
      </w:pPr>
      <w:r>
        <w:rPr>
          <w:rFonts w:ascii="Times New Roman" w:eastAsia="Times New Roman"/>
        </w:rPr>
        <w:t>6</w:t>
      </w:r>
      <w:r>
        <w:rPr/>
        <w:t>、从事法律法规及监管机关规定禁止从事的其他行为。</w:t>
      </w:r>
    </w:p>
    <w:p>
      <w:pPr>
        <w:pStyle w:val="BodyText"/>
        <w:spacing w:before="7"/>
        <w:rPr>
          <w:sz w:val="15"/>
        </w:rPr>
      </w:pPr>
    </w:p>
    <w:p>
      <w:pPr>
        <w:pStyle w:val="BodyText"/>
        <w:ind w:left="1198"/>
      </w:pPr>
      <w:r>
        <w:rPr/>
        <w:t>法律法规或监管部门取消上述限制后，本基金不受上述规定的限制。</w:t>
      </w:r>
    </w:p>
    <w:p>
      <w:pPr>
        <w:pStyle w:val="BodyText"/>
        <w:spacing w:before="7"/>
        <w:rPr>
          <w:sz w:val="15"/>
        </w:rPr>
      </w:pPr>
    </w:p>
    <w:p>
      <w:pPr>
        <w:pStyle w:val="BodyText"/>
        <w:ind w:left="1198"/>
      </w:pPr>
      <w:r>
        <w:rPr/>
        <w:t>（八）基金管理人代表基金行使股东权利的处理原则及方法</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89" w:firstLine="419"/>
      </w:pPr>
      <w:r>
        <w:rPr>
          <w:rFonts w:ascii="Times New Roman" w:eastAsia="Times New Roman"/>
        </w:rPr>
        <w:t>1</w:t>
      </w:r>
      <w:r>
        <w:rPr/>
        <w:t>、基金管理人按照国家有关规定代表基金独立行使债权人权利，保护基金投资者的利益。</w:t>
      </w:r>
    </w:p>
    <w:p>
      <w:pPr>
        <w:pStyle w:val="BodyText"/>
        <w:spacing w:line="269" w:lineRule="exact"/>
        <w:ind w:left="1198"/>
      </w:pPr>
      <w:r>
        <w:rPr>
          <w:rFonts w:ascii="Times New Roman" w:eastAsia="Times New Roman"/>
        </w:rPr>
        <w:t>2</w:t>
      </w:r>
      <w:r>
        <w:rPr/>
        <w:t>、有利于基金财产的安全与增值。</w:t>
      </w:r>
    </w:p>
    <w:p>
      <w:pPr>
        <w:pStyle w:val="BodyText"/>
        <w:spacing w:before="7"/>
        <w:rPr>
          <w:sz w:val="15"/>
        </w:rPr>
      </w:pPr>
    </w:p>
    <w:p>
      <w:pPr>
        <w:pStyle w:val="BodyText"/>
        <w:ind w:left="1198"/>
      </w:pPr>
      <w:r>
        <w:rPr/>
        <w:t>（九）投资组合</w:t>
      </w:r>
    </w:p>
    <w:p>
      <w:pPr>
        <w:pStyle w:val="BodyText"/>
        <w:spacing w:before="7"/>
        <w:rPr>
          <w:sz w:val="15"/>
        </w:rPr>
      </w:pPr>
    </w:p>
    <w:p>
      <w:pPr>
        <w:pStyle w:val="BodyText"/>
        <w:ind w:left="1198"/>
      </w:pPr>
      <w:r>
        <w:rPr/>
        <w:t>本基金投资组合符合以下规定：</w:t>
      </w:r>
    </w:p>
    <w:p>
      <w:pPr>
        <w:pStyle w:val="BodyText"/>
        <w:spacing w:before="6"/>
        <w:rPr>
          <w:sz w:val="15"/>
        </w:rPr>
      </w:pPr>
    </w:p>
    <w:p>
      <w:pPr>
        <w:pStyle w:val="BodyText"/>
        <w:spacing w:line="417" w:lineRule="auto" w:before="1"/>
        <w:ind w:left="778" w:right="889" w:firstLine="419"/>
      </w:pPr>
      <w:r>
        <w:rPr>
          <w:rFonts w:ascii="Times New Roman" w:eastAsia="Times New Roman"/>
        </w:rPr>
        <w:t>1</w:t>
      </w:r>
      <w:r>
        <w:rPr/>
        <w:t>、本基金与由本基金管理人管理的其他基金持有一家公司发行的证券，不超过该证券的</w:t>
      </w:r>
      <w:r>
        <w:rPr>
          <w:rFonts w:ascii="Times New Roman" w:eastAsia="Times New Roman"/>
        </w:rPr>
        <w:t>10%</w:t>
      </w:r>
      <w:r>
        <w:rPr/>
        <w:t>。</w:t>
      </w:r>
    </w:p>
    <w:p>
      <w:pPr>
        <w:pStyle w:val="BodyText"/>
        <w:spacing w:line="417" w:lineRule="auto"/>
        <w:ind w:left="778" w:right="889" w:firstLine="419"/>
        <w:jc w:val="both"/>
      </w:pPr>
      <w:r>
        <w:rPr>
          <w:rFonts w:ascii="Times New Roman" w:eastAsia="Times New Roman"/>
        </w:rPr>
        <w:t>2</w:t>
      </w:r>
      <w:r>
        <w:rPr>
          <w:spacing w:val="-9"/>
        </w:rPr>
        <w:t>、除基金合同另有约定外，本基金投资组合的平均剩余期限不得超过</w:t>
      </w:r>
      <w:r>
        <w:rPr>
          <w:rFonts w:ascii="Times New Roman" w:eastAsia="Times New Roman"/>
        </w:rPr>
        <w:t>120</w:t>
      </w:r>
      <w:r>
        <w:rPr>
          <w:spacing w:val="-7"/>
        </w:rPr>
        <w:t>天，平均剩余</w:t>
      </w:r>
      <w:r>
        <w:rPr>
          <w:spacing w:val="-5"/>
        </w:rPr>
        <w:t>存续期不得超过</w:t>
      </w:r>
      <w:r>
        <w:rPr>
          <w:rFonts w:ascii="Times New Roman" w:eastAsia="Times New Roman"/>
        </w:rPr>
        <w:t>240</w:t>
      </w:r>
      <w:r>
        <w:rPr>
          <w:spacing w:val="-15"/>
        </w:rPr>
        <w:t>天。基金投资组合平均剩余期限和平均剩余存续期限的计算方法参照《货</w:t>
      </w:r>
      <w:r>
        <w:rPr>
          <w:spacing w:val="-13"/>
        </w:rPr>
        <w:t>币市场基金监督管理办法》及相关法律法规的规定执行。如法律法规或监管机构对剩余期限</w:t>
      </w:r>
      <w:r>
        <w:rPr>
          <w:spacing w:val="-6"/>
        </w:rPr>
        <w:t>或剩余存续期限计算方法另有规定的，从其规定。</w:t>
      </w:r>
    </w:p>
    <w:p>
      <w:pPr>
        <w:pStyle w:val="BodyText"/>
        <w:spacing w:line="417" w:lineRule="auto"/>
        <w:ind w:left="778" w:right="836" w:firstLine="419"/>
        <w:jc w:val="both"/>
      </w:pPr>
      <w:r>
        <w:rPr>
          <w:rFonts w:ascii="Times New Roman" w:eastAsia="Times New Roman"/>
        </w:rPr>
        <w:t>3</w:t>
      </w:r>
      <w:r>
        <w:rPr>
          <w:spacing w:val="-3"/>
        </w:rPr>
        <w:t>、同一机构发行的债券、非金融企业债务融资工具及其作为原始权益人的资产支持证券占基金资产净值的比例合计不得超过</w:t>
      </w:r>
      <w:r>
        <w:rPr>
          <w:rFonts w:ascii="Times New Roman" w:eastAsia="Times New Roman"/>
        </w:rPr>
        <w:t>10%</w:t>
      </w:r>
      <w:r>
        <w:rPr>
          <w:spacing w:val="-3"/>
        </w:rPr>
        <w:t>，国债、中央银行票据、政策性金融债券除外。本基金投资的债券与非金融企业债务融资工具须具有评级资质的资信评级机构进行持续信</w:t>
      </w:r>
      <w:r>
        <w:rPr>
          <w:spacing w:val="-11"/>
        </w:rPr>
        <w:t>用评级，信用评级主要参照最近一个会计年度的主体信用评级，如果对发行人同时有两家以</w:t>
      </w:r>
      <w:r>
        <w:rPr>
          <w:spacing w:val="-13"/>
        </w:rPr>
        <w:t>上境内机构评级的，应采用孰低原则确定其评级，并结合基金管理人内部信用评级进行独立</w:t>
      </w:r>
      <w:r>
        <w:rPr>
          <w:spacing w:val="-6"/>
        </w:rPr>
        <w:t>判断与认定。</w:t>
      </w:r>
    </w:p>
    <w:p>
      <w:pPr>
        <w:pStyle w:val="BodyText"/>
        <w:spacing w:line="417" w:lineRule="auto"/>
        <w:ind w:left="778" w:right="888" w:firstLine="419"/>
        <w:jc w:val="both"/>
      </w:pPr>
      <w:r>
        <w:rPr>
          <w:rFonts w:ascii="Times New Roman" w:eastAsia="Times New Roman"/>
        </w:rPr>
        <w:t>4</w:t>
      </w:r>
      <w:r>
        <w:rPr/>
        <w:t>、本基金投资于有固定期限银行存款的比例，不得超过基金资产净值的</w:t>
      </w:r>
      <w:r>
        <w:rPr>
          <w:rFonts w:ascii="Times New Roman" w:eastAsia="Times New Roman"/>
        </w:rPr>
        <w:t>30%</w:t>
      </w:r>
      <w:r>
        <w:rPr>
          <w:spacing w:val="-4"/>
        </w:rPr>
        <w:t>，但投资</w:t>
      </w:r>
      <w:r>
        <w:rPr>
          <w:spacing w:val="-10"/>
        </w:rPr>
        <w:t>于有存款期限，根据协议可提前支取的银行存款不受上述比例限制；投资于具有基金托管人</w:t>
      </w:r>
      <w:r>
        <w:rPr>
          <w:spacing w:val="-7"/>
        </w:rPr>
        <w:t>资格的同一商业银行的银行存款、同业存单占基金资产净值的比例合计不得超过</w:t>
      </w:r>
      <w:r>
        <w:rPr>
          <w:rFonts w:ascii="Times New Roman" w:eastAsia="Times New Roman"/>
          <w:spacing w:val="-9"/>
        </w:rPr>
        <w:t>20%</w:t>
      </w:r>
      <w:r>
        <w:rPr>
          <w:spacing w:val="-4"/>
        </w:rPr>
        <w:t>，投资</w:t>
      </w:r>
      <w:r>
        <w:rPr>
          <w:spacing w:val="-7"/>
        </w:rPr>
        <w:t>于不具有基金托管人资格的同一商业银行的银行存款、同业存单占基金资产净值的比例合计</w:t>
      </w:r>
      <w:r>
        <w:rPr>
          <w:spacing w:val="-5"/>
        </w:rPr>
        <w:t>不得超过</w:t>
      </w:r>
      <w:r>
        <w:rPr>
          <w:rFonts w:ascii="Times New Roman" w:eastAsia="Times New Roman"/>
        </w:rPr>
        <w:t>5%</w:t>
      </w:r>
      <w:r>
        <w:rPr/>
        <w:t>。</w:t>
      </w:r>
    </w:p>
    <w:p>
      <w:pPr>
        <w:pStyle w:val="BodyText"/>
        <w:spacing w:line="417" w:lineRule="auto"/>
        <w:ind w:left="778" w:right="889" w:firstLine="419"/>
        <w:jc w:val="both"/>
      </w:pPr>
      <w:r>
        <w:rPr>
          <w:rFonts w:ascii="Times New Roman" w:eastAsia="Times New Roman"/>
        </w:rPr>
        <w:t>5</w:t>
      </w:r>
      <w:r>
        <w:rPr>
          <w:spacing w:val="-106"/>
        </w:rPr>
        <w:t>、</w:t>
      </w:r>
      <w:r>
        <w:rPr/>
        <w:t>（</w:t>
      </w:r>
      <w:r>
        <w:rPr>
          <w:rFonts w:ascii="Times New Roman" w:eastAsia="Times New Roman"/>
        </w:rPr>
        <w:t>1</w:t>
      </w:r>
      <w:r>
        <w:rPr/>
        <w:t>）</w:t>
      </w:r>
      <w:r>
        <w:rPr>
          <w:spacing w:val="-3"/>
        </w:rPr>
        <w:t>现金、国债、中央银行票据、政策性金融债券占基金资产净值的比例合计不得低于</w:t>
      </w:r>
      <w:r>
        <w:rPr>
          <w:rFonts w:ascii="Times New Roman" w:eastAsia="Times New Roman"/>
          <w:spacing w:val="-3"/>
        </w:rPr>
        <w:t>5%</w:t>
      </w:r>
      <w:r>
        <w:rPr>
          <w:spacing w:val="-3"/>
        </w:rPr>
        <w:t>；</w:t>
      </w:r>
    </w:p>
    <w:p>
      <w:pPr>
        <w:pStyle w:val="ListParagraph"/>
        <w:numPr>
          <w:ilvl w:val="0"/>
          <w:numId w:val="23"/>
        </w:numPr>
        <w:tabs>
          <w:tab w:pos="1727" w:val="left" w:leader="none"/>
        </w:tabs>
        <w:spacing w:line="417" w:lineRule="auto" w:before="0" w:after="0"/>
        <w:ind w:left="778" w:right="888" w:firstLine="419"/>
        <w:jc w:val="both"/>
        <w:rPr>
          <w:sz w:val="21"/>
        </w:rPr>
      </w:pPr>
      <w:r>
        <w:rPr>
          <w:spacing w:val="-3"/>
          <w:sz w:val="21"/>
        </w:rPr>
        <w:t>现金、国债、中央银行票据、政策性金融债券以及五个交易日内到期的其他金融工具占基金资产净值的比例合计不得低于</w:t>
      </w:r>
      <w:r>
        <w:rPr>
          <w:rFonts w:ascii="Times New Roman" w:eastAsia="Times New Roman"/>
          <w:spacing w:val="-15"/>
          <w:sz w:val="21"/>
        </w:rPr>
        <w:t>10%</w:t>
      </w:r>
      <w:r>
        <w:rPr>
          <w:spacing w:val="-5"/>
          <w:sz w:val="21"/>
        </w:rPr>
        <w:t>；当本基金前</w:t>
      </w:r>
      <w:r>
        <w:rPr>
          <w:rFonts w:ascii="Times New Roman" w:eastAsia="Times New Roman"/>
          <w:sz w:val="21"/>
        </w:rPr>
        <w:t>10</w:t>
      </w:r>
      <w:r>
        <w:rPr>
          <w:spacing w:val="-3"/>
          <w:sz w:val="21"/>
        </w:rPr>
        <w:t>名份额持有人的持有份额合计超过基金总份额的</w:t>
      </w:r>
      <w:r>
        <w:rPr>
          <w:rFonts w:ascii="Times New Roman" w:eastAsia="Times New Roman"/>
          <w:sz w:val="21"/>
        </w:rPr>
        <w:t>50%</w:t>
      </w:r>
      <w:r>
        <w:rPr>
          <w:spacing w:val="-4"/>
          <w:sz w:val="21"/>
        </w:rPr>
        <w:t>时，上述比例合计不得低于</w:t>
      </w:r>
      <w:r>
        <w:rPr>
          <w:rFonts w:ascii="Times New Roman" w:eastAsia="Times New Roman"/>
          <w:spacing w:val="-4"/>
          <w:sz w:val="21"/>
        </w:rPr>
        <w:t>30%</w:t>
      </w:r>
      <w:r>
        <w:rPr>
          <w:spacing w:val="-3"/>
          <w:sz w:val="21"/>
        </w:rPr>
        <w:t>；当本基金前</w:t>
      </w:r>
      <w:r>
        <w:rPr>
          <w:rFonts w:ascii="Times New Roman" w:eastAsia="Times New Roman"/>
          <w:sz w:val="21"/>
        </w:rPr>
        <w:t>10</w:t>
      </w:r>
      <w:r>
        <w:rPr>
          <w:spacing w:val="-3"/>
          <w:sz w:val="21"/>
        </w:rPr>
        <w:t>名份额持有人的持有份额合计超过基金总份额的</w:t>
      </w:r>
      <w:r>
        <w:rPr>
          <w:rFonts w:ascii="Times New Roman" w:eastAsia="Times New Roman"/>
          <w:sz w:val="21"/>
        </w:rPr>
        <w:t>20%</w:t>
      </w:r>
      <w:r>
        <w:rPr>
          <w:spacing w:val="-3"/>
          <w:sz w:val="21"/>
        </w:rPr>
        <w:t>时，上述比例合计不得低于</w:t>
      </w:r>
      <w:r>
        <w:rPr>
          <w:rFonts w:ascii="Times New Roman" w:eastAsia="Times New Roman"/>
          <w:sz w:val="21"/>
        </w:rPr>
        <w:t>20%</w:t>
      </w:r>
      <w:r>
        <w:rPr>
          <w:sz w:val="21"/>
        </w:rPr>
        <w:t>；</w:t>
      </w:r>
    </w:p>
    <w:p>
      <w:pPr>
        <w:pStyle w:val="ListParagraph"/>
        <w:numPr>
          <w:ilvl w:val="0"/>
          <w:numId w:val="23"/>
        </w:numPr>
        <w:tabs>
          <w:tab w:pos="1730" w:val="left" w:leader="none"/>
        </w:tabs>
        <w:spacing w:line="269" w:lineRule="exact" w:before="0" w:after="0"/>
        <w:ind w:left="1729" w:right="0" w:hanging="532"/>
        <w:jc w:val="left"/>
        <w:rPr>
          <w:sz w:val="21"/>
        </w:rPr>
      </w:pPr>
      <w:r>
        <w:rPr>
          <w:sz w:val="21"/>
        </w:rPr>
        <w:t>除发生巨额赎回、连续</w:t>
      </w:r>
      <w:r>
        <w:rPr>
          <w:rFonts w:ascii="Times New Roman" w:eastAsia="Times New Roman"/>
          <w:sz w:val="21"/>
        </w:rPr>
        <w:t>3</w:t>
      </w:r>
      <w:r>
        <w:rPr>
          <w:sz w:val="21"/>
        </w:rPr>
        <w:t>个交易日累计赎回</w:t>
      </w:r>
      <w:r>
        <w:rPr>
          <w:rFonts w:ascii="Times New Roman" w:eastAsia="Times New Roman"/>
          <w:sz w:val="21"/>
        </w:rPr>
        <w:t>20%</w:t>
      </w:r>
      <w:r>
        <w:rPr>
          <w:sz w:val="21"/>
        </w:rPr>
        <w:t>以上或者连续</w:t>
      </w:r>
      <w:r>
        <w:rPr>
          <w:rFonts w:ascii="Times New Roman" w:eastAsia="Times New Roman"/>
          <w:sz w:val="21"/>
        </w:rPr>
        <w:t>5</w:t>
      </w:r>
      <w:r>
        <w:rPr>
          <w:sz w:val="21"/>
        </w:rPr>
        <w:t>个交易日累计赎回</w:t>
      </w:r>
    </w:p>
    <w:p>
      <w:pPr>
        <w:pStyle w:val="BodyText"/>
        <w:spacing w:before="197"/>
        <w:ind w:left="778"/>
      </w:pPr>
      <w:r>
        <w:rPr>
          <w:rFonts w:ascii="Times New Roman" w:eastAsia="Times New Roman"/>
        </w:rPr>
        <w:t>30%</w:t>
      </w:r>
      <w:r>
        <w:rPr/>
        <w:t>以上的情形外，债券正回购的资金余额占基金资产净值的比例不得超过</w:t>
      </w:r>
      <w:r>
        <w:rPr>
          <w:rFonts w:ascii="Times New Roman" w:eastAsia="Times New Roman"/>
        </w:rPr>
        <w:t>20%</w:t>
      </w:r>
      <w:r>
        <w:rPr/>
        <w:t>。</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89" w:firstLine="419"/>
        <w:jc w:val="both"/>
      </w:pPr>
      <w:r>
        <w:rPr>
          <w:rFonts w:ascii="Times New Roman" w:eastAsia="Times New Roman"/>
        </w:rPr>
        <w:t>6</w:t>
      </w:r>
      <w:r>
        <w:rPr>
          <w:spacing w:val="-5"/>
        </w:rPr>
        <w:t>、本基金投资于主体信用评级低于</w:t>
      </w:r>
      <w:r>
        <w:rPr>
          <w:rFonts w:ascii="Times New Roman" w:eastAsia="Times New Roman"/>
        </w:rPr>
        <w:t>AAA</w:t>
      </w:r>
      <w:r>
        <w:rPr>
          <w:spacing w:val="-3"/>
        </w:rPr>
        <w:t>的机构发行的金融工具占基金资产净值的比例</w:t>
      </w:r>
      <w:r>
        <w:rPr>
          <w:spacing w:val="-2"/>
        </w:rPr>
        <w:t>合计不得超过</w:t>
      </w:r>
      <w:r>
        <w:rPr>
          <w:rFonts w:ascii="Times New Roman" w:eastAsia="Times New Roman"/>
        </w:rPr>
        <w:t>10%</w:t>
      </w:r>
      <w:r>
        <w:rPr/>
        <w:t>，其中单一机构发行的金融工具占基金资产净值的比例不得超过</w:t>
      </w:r>
      <w:r>
        <w:rPr>
          <w:rFonts w:ascii="Times New Roman" w:eastAsia="Times New Roman"/>
        </w:rPr>
        <w:t>2%</w:t>
      </w:r>
      <w:r>
        <w:rPr>
          <w:spacing w:val="-6"/>
        </w:rPr>
        <w:t>。前</w:t>
      </w:r>
      <w:r>
        <w:rPr>
          <w:spacing w:val="-9"/>
        </w:rPr>
        <w:t>述金融工具包括债券、非金融企业债务融资工具、银行存款、同业存单、相关机构作为原始</w:t>
      </w:r>
      <w:r>
        <w:rPr>
          <w:spacing w:val="-5"/>
        </w:rPr>
        <w:t>权益人的资产支持证券及中国证监会认定的其他品种</w:t>
      </w:r>
    </w:p>
    <w:p>
      <w:pPr>
        <w:pStyle w:val="BodyText"/>
        <w:spacing w:line="417" w:lineRule="auto"/>
        <w:ind w:left="778" w:right="889" w:firstLine="419"/>
        <w:jc w:val="both"/>
      </w:pPr>
      <w:r>
        <w:rPr>
          <w:rFonts w:ascii="Times New Roman" w:eastAsia="Times New Roman"/>
        </w:rPr>
        <w:t>7</w:t>
      </w:r>
      <w:r>
        <w:rPr>
          <w:spacing w:val="-3"/>
        </w:rPr>
        <w:t>、本基金拟投资于主体信用评级低于</w:t>
      </w:r>
      <w:r>
        <w:rPr>
          <w:rFonts w:ascii="Times New Roman" w:eastAsia="Times New Roman"/>
        </w:rPr>
        <w:t>AA+</w:t>
      </w:r>
      <w:r>
        <w:rPr>
          <w:spacing w:val="-3"/>
        </w:rPr>
        <w:t>的商业银行的银行存款与同业存单的，应当</w:t>
      </w:r>
      <w:r>
        <w:rPr>
          <w:spacing w:val="-8"/>
        </w:rPr>
        <w:t>经基金管理人董事会审议批准，相关交易应当事先征得基金托管人的同意，并作为重大事项</w:t>
      </w:r>
      <w:r>
        <w:rPr>
          <w:spacing w:val="-5"/>
        </w:rPr>
        <w:t>履行信息披露程序。</w:t>
      </w:r>
    </w:p>
    <w:p>
      <w:pPr>
        <w:pStyle w:val="BodyText"/>
        <w:spacing w:line="417" w:lineRule="auto"/>
        <w:ind w:left="778" w:right="889" w:firstLine="419"/>
      </w:pPr>
      <w:r>
        <w:rPr>
          <w:rFonts w:ascii="Times New Roman" w:eastAsia="Times New Roman"/>
        </w:rPr>
        <w:t>8</w:t>
      </w:r>
      <w:r>
        <w:rPr/>
        <w:t>、本基金管理人管理的全部货币市场基金投资同一商业银行的银行存款及其发行的同业存单与债券，不得超过该商业银行最近一个季度末净资产的</w:t>
      </w:r>
      <w:r>
        <w:rPr>
          <w:rFonts w:ascii="Times New Roman" w:eastAsia="Times New Roman"/>
        </w:rPr>
        <w:t>10%</w:t>
      </w:r>
      <w:r>
        <w:rPr/>
        <w:t>。</w:t>
      </w:r>
    </w:p>
    <w:p>
      <w:pPr>
        <w:pStyle w:val="BodyText"/>
        <w:spacing w:line="417" w:lineRule="auto"/>
        <w:ind w:left="778" w:right="888" w:firstLine="419"/>
        <w:jc w:val="both"/>
      </w:pPr>
      <w:r>
        <w:rPr>
          <w:rFonts w:ascii="Times New Roman" w:eastAsia="Times New Roman"/>
        </w:rPr>
        <w:t>9</w:t>
      </w:r>
      <w:r>
        <w:rPr/>
        <w:t>、当基金前</w:t>
      </w:r>
      <w:r>
        <w:rPr>
          <w:rFonts w:ascii="Times New Roman" w:eastAsia="Times New Roman"/>
        </w:rPr>
        <w:t>10</w:t>
      </w:r>
      <w:r>
        <w:rPr/>
        <w:t>名份额持有人的持有份额合计超过基金总份额的</w:t>
      </w:r>
      <w:r>
        <w:rPr>
          <w:rFonts w:ascii="Times New Roman" w:eastAsia="Times New Roman"/>
        </w:rPr>
        <w:t>50%</w:t>
      </w:r>
      <w:r>
        <w:rPr>
          <w:spacing w:val="-2"/>
        </w:rPr>
        <w:t>时，基金投资组合</w:t>
      </w:r>
      <w:r>
        <w:rPr>
          <w:spacing w:val="-3"/>
        </w:rPr>
        <w:t>的平均剩余期限不得超过</w:t>
      </w:r>
      <w:r>
        <w:rPr>
          <w:rFonts w:ascii="Times New Roman" w:eastAsia="Times New Roman"/>
        </w:rPr>
        <w:t>60</w:t>
      </w:r>
      <w:r>
        <w:rPr>
          <w:spacing w:val="-3"/>
        </w:rPr>
        <w:t>天，平均剩余存续期不得超过</w:t>
      </w:r>
      <w:r>
        <w:rPr>
          <w:rFonts w:ascii="Times New Roman" w:eastAsia="Times New Roman"/>
        </w:rPr>
        <w:t>120</w:t>
      </w:r>
      <w:r>
        <w:rPr>
          <w:spacing w:val="-3"/>
        </w:rPr>
        <w:t>天。当基金前</w:t>
      </w:r>
      <w:r>
        <w:rPr>
          <w:rFonts w:ascii="Times New Roman" w:eastAsia="Times New Roman"/>
        </w:rPr>
        <w:t>10</w:t>
      </w:r>
      <w:r>
        <w:rPr>
          <w:spacing w:val="-3"/>
        </w:rPr>
        <w:t>名份额持有人的持有份额合计超过基金总份额的</w:t>
      </w:r>
      <w:r>
        <w:rPr>
          <w:rFonts w:ascii="Times New Roman" w:eastAsia="Times New Roman"/>
        </w:rPr>
        <w:t>20%</w:t>
      </w:r>
      <w:r>
        <w:rPr>
          <w:spacing w:val="-6"/>
        </w:rPr>
        <w:t>时，基金投资组合的平均剩余期限不得超过</w:t>
      </w:r>
      <w:r>
        <w:rPr>
          <w:rFonts w:ascii="Times New Roman" w:eastAsia="Times New Roman"/>
        </w:rPr>
        <w:t>90</w:t>
      </w:r>
      <w:r>
        <w:rPr>
          <w:spacing w:val="-11"/>
        </w:rPr>
        <w:t>天，平</w:t>
      </w:r>
      <w:r>
        <w:rPr>
          <w:spacing w:val="-6"/>
        </w:rPr>
        <w:t>均剩余存续期不得超过</w:t>
      </w:r>
      <w:r>
        <w:rPr>
          <w:rFonts w:ascii="Times New Roman" w:eastAsia="Times New Roman"/>
        </w:rPr>
        <w:t>180</w:t>
      </w:r>
      <w:r>
        <w:rPr/>
        <w:t>天。</w:t>
      </w:r>
    </w:p>
    <w:p>
      <w:pPr>
        <w:pStyle w:val="BodyText"/>
        <w:spacing w:line="417" w:lineRule="auto"/>
        <w:ind w:left="778" w:right="889" w:firstLine="419"/>
        <w:jc w:val="both"/>
      </w:pPr>
      <w:r>
        <w:rPr>
          <w:rFonts w:ascii="Times New Roman" w:eastAsia="Times New Roman"/>
        </w:rPr>
        <w:t>10</w:t>
      </w:r>
      <w:r>
        <w:rPr>
          <w:spacing w:val="-7"/>
        </w:rPr>
        <w:t>、本基金主动投资于流动性受限资产的市值合计不得超过该基金资产净值的</w:t>
      </w:r>
      <w:r>
        <w:rPr>
          <w:rFonts w:ascii="Times New Roman" w:eastAsia="Times New Roman"/>
        </w:rPr>
        <w:t>10%</w:t>
      </w:r>
      <w:r>
        <w:rPr>
          <w:spacing w:val="-29"/>
        </w:rPr>
        <w:t>。因</w:t>
      </w:r>
      <w:r>
        <w:rPr>
          <w:spacing w:val="-12"/>
        </w:rPr>
        <w:t>证券市场波动、基金规模变动等基金管理人之外的因素致使基金不符合前述所规定比例限制</w:t>
      </w:r>
      <w:r>
        <w:rPr>
          <w:spacing w:val="-6"/>
        </w:rPr>
        <w:t>的，基金管理人不得主动新增流动性受限资产的投资。</w:t>
      </w:r>
    </w:p>
    <w:p>
      <w:pPr>
        <w:pStyle w:val="BodyText"/>
        <w:spacing w:line="417" w:lineRule="auto"/>
        <w:ind w:left="778" w:right="889" w:firstLine="419"/>
      </w:pPr>
      <w:r>
        <w:rPr>
          <w:rFonts w:ascii="Times New Roman" w:eastAsia="Times New Roman"/>
          <w:spacing w:val="-6"/>
        </w:rPr>
        <w:t>11</w:t>
      </w:r>
      <w:r>
        <w:rPr>
          <w:spacing w:val="-11"/>
        </w:rPr>
        <w:t>、本基金与私募类证券资管产品及中国证监会认定的其他主体为交易对手开展逆回购</w:t>
      </w:r>
      <w:r>
        <w:rPr>
          <w:spacing w:val="-6"/>
        </w:rPr>
        <w:t>交易的，可接受质押品的资质要求应当与本基金合同约定的投资范围保持一致。</w:t>
      </w:r>
    </w:p>
    <w:p>
      <w:pPr>
        <w:pStyle w:val="BodyText"/>
        <w:spacing w:line="269" w:lineRule="exact"/>
        <w:ind w:left="1198"/>
      </w:pPr>
      <w:r>
        <w:rPr>
          <w:rFonts w:ascii="Times New Roman" w:eastAsia="Times New Roman"/>
        </w:rPr>
        <w:t>12</w:t>
      </w:r>
      <w:r>
        <w:rPr/>
        <w:t>、法律法规或监管部门对上述比例限制另有规定的，从其规定。</w:t>
      </w:r>
    </w:p>
    <w:p>
      <w:pPr>
        <w:pStyle w:val="BodyText"/>
        <w:spacing w:line="417" w:lineRule="auto" w:before="197"/>
        <w:ind w:left="778" w:right="889" w:firstLine="419"/>
        <w:jc w:val="both"/>
      </w:pPr>
      <w:r>
        <w:rPr>
          <w:spacing w:val="-1"/>
          <w:w w:val="100"/>
        </w:rPr>
        <w:t>除上述第</w:t>
      </w:r>
      <w:r>
        <w:rPr>
          <w:rFonts w:ascii="Times New Roman" w:eastAsia="Times New Roman"/>
          <w:w w:val="100"/>
        </w:rPr>
        <w:t>2</w:t>
      </w:r>
      <w:r>
        <w:rPr>
          <w:spacing w:val="-17"/>
          <w:w w:val="100"/>
        </w:rPr>
        <w:t>、</w:t>
      </w:r>
      <w:r>
        <w:rPr>
          <w:rFonts w:ascii="Times New Roman" w:eastAsia="Times New Roman"/>
          <w:spacing w:val="-15"/>
          <w:w w:val="100"/>
        </w:rPr>
        <w:t>5</w:t>
      </w:r>
      <w:r>
        <w:rPr>
          <w:w w:val="100"/>
        </w:rPr>
        <w:t>（</w:t>
      </w:r>
      <w:r>
        <w:rPr>
          <w:rFonts w:ascii="Times New Roman" w:eastAsia="Times New Roman"/>
          <w:w w:val="100"/>
        </w:rPr>
        <w:t>1</w:t>
      </w:r>
      <w:r>
        <w:rPr>
          <w:spacing w:val="-106"/>
          <w:w w:val="100"/>
        </w:rPr>
        <w:t>）</w:t>
      </w:r>
      <w:r>
        <w:rPr>
          <w:spacing w:val="-14"/>
          <w:w w:val="100"/>
        </w:rPr>
        <w:t>、</w:t>
      </w:r>
      <w:r>
        <w:rPr>
          <w:rFonts w:ascii="Times New Roman" w:eastAsia="Times New Roman"/>
          <w:spacing w:val="-3"/>
          <w:w w:val="100"/>
        </w:rPr>
        <w:t>1</w:t>
      </w:r>
      <w:r>
        <w:rPr>
          <w:rFonts w:ascii="Times New Roman" w:eastAsia="Times New Roman"/>
          <w:w w:val="100"/>
        </w:rPr>
        <w:t>0</w:t>
      </w:r>
      <w:r>
        <w:rPr>
          <w:spacing w:val="-15"/>
          <w:w w:val="100"/>
        </w:rPr>
        <w:t>、</w:t>
      </w:r>
      <w:r>
        <w:rPr>
          <w:rFonts w:ascii="Times New Roman" w:eastAsia="Times New Roman"/>
          <w:spacing w:val="-10"/>
          <w:w w:val="100"/>
        </w:rPr>
        <w:t>1</w:t>
      </w:r>
      <w:r>
        <w:rPr>
          <w:rFonts w:ascii="Times New Roman" w:eastAsia="Times New Roman"/>
          <w:w w:val="100"/>
        </w:rPr>
        <w:t>1</w:t>
      </w:r>
      <w:r>
        <w:rPr>
          <w:spacing w:val="-6"/>
          <w:w w:val="100"/>
        </w:rPr>
        <w:t>项外，因基金规模或市场变化、基金份额持有人赎回等原因</w:t>
      </w:r>
      <w:r>
        <w:rPr>
          <w:spacing w:val="-9"/>
        </w:rPr>
        <w:t>导致投资组合超出上述规定不在限制之内，基金管理人应在合理期限内进行调整，以达到上</w:t>
      </w:r>
      <w:r>
        <w:rPr>
          <w:spacing w:val="-6"/>
        </w:rPr>
        <w:t>述标准。</w:t>
      </w:r>
    </w:p>
    <w:p>
      <w:pPr>
        <w:pStyle w:val="BodyText"/>
        <w:spacing w:before="1"/>
        <w:ind w:left="1198"/>
      </w:pPr>
      <w:r>
        <w:rPr/>
        <w:t>（十）基金投资组合报告</w:t>
      </w:r>
    </w:p>
    <w:p>
      <w:pPr>
        <w:pStyle w:val="BodyText"/>
        <w:spacing w:before="6"/>
        <w:rPr>
          <w:sz w:val="15"/>
        </w:rPr>
      </w:pPr>
    </w:p>
    <w:p>
      <w:pPr>
        <w:pStyle w:val="BodyText"/>
        <w:ind w:left="1200"/>
      </w:pPr>
      <w:r>
        <w:rPr/>
        <w:t>以下内容摘自本基金 </w:t>
      </w:r>
      <w:r>
        <w:rPr>
          <w:rFonts w:ascii="Times New Roman" w:eastAsia="Times New Roman"/>
        </w:rPr>
        <w:t>2020 </w:t>
      </w:r>
      <w:r>
        <w:rPr/>
        <w:t>年第 </w:t>
      </w:r>
      <w:r>
        <w:rPr>
          <w:rFonts w:ascii="Times New Roman" w:eastAsia="Times New Roman"/>
        </w:rPr>
        <w:t>2 </w:t>
      </w:r>
      <w:r>
        <w:rPr/>
        <w:t>季度报告：</w:t>
      </w:r>
    </w:p>
    <w:p>
      <w:pPr>
        <w:pStyle w:val="BodyText"/>
        <w:spacing w:before="7"/>
        <w:rPr>
          <w:sz w:val="15"/>
        </w:rPr>
      </w:pPr>
    </w:p>
    <w:p>
      <w:pPr>
        <w:pStyle w:val="ListParagraph"/>
        <w:numPr>
          <w:ilvl w:val="1"/>
          <w:numId w:val="24"/>
        </w:numPr>
        <w:tabs>
          <w:tab w:pos="1148" w:val="left" w:leader="none"/>
        </w:tabs>
        <w:spacing w:line="240" w:lineRule="auto" w:before="0" w:after="0"/>
        <w:ind w:left="1147" w:right="0" w:hanging="370"/>
        <w:jc w:val="left"/>
        <w:rPr>
          <w:sz w:val="21"/>
        </w:rPr>
      </w:pPr>
      <w:r>
        <w:rPr>
          <w:spacing w:val="-3"/>
          <w:sz w:val="21"/>
        </w:rPr>
        <w:t>报告期末基金资产组合情况</w:t>
      </w:r>
    </w:p>
    <w:p>
      <w:pPr>
        <w:pStyle w:val="BodyText"/>
        <w:spacing w:before="10"/>
        <w:rPr>
          <w:sz w:val="7"/>
        </w:rPr>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118"/>
        <w:gridCol w:w="3118"/>
        <w:gridCol w:w="1984"/>
      </w:tblGrid>
      <w:tr>
        <w:trPr>
          <w:trHeight w:val="964" w:hRule="atLeast"/>
        </w:trPr>
        <w:tc>
          <w:tcPr>
            <w:tcW w:w="852" w:type="dxa"/>
          </w:tcPr>
          <w:p>
            <w:pPr>
              <w:pStyle w:val="TableParagraph"/>
              <w:spacing w:before="4"/>
              <w:rPr>
                <w:rFonts w:ascii="宋体"/>
                <w:sz w:val="28"/>
              </w:rPr>
            </w:pPr>
          </w:p>
          <w:p>
            <w:pPr>
              <w:pStyle w:val="TableParagraph"/>
              <w:spacing w:before="0"/>
              <w:ind w:left="204" w:right="178"/>
              <w:jc w:val="center"/>
              <w:rPr>
                <w:rFonts w:ascii="宋体" w:eastAsia="宋体" w:hint="eastAsia"/>
                <w:sz w:val="21"/>
              </w:rPr>
            </w:pPr>
            <w:r>
              <w:rPr>
                <w:rFonts w:ascii="宋体" w:eastAsia="宋体" w:hint="eastAsia"/>
                <w:sz w:val="21"/>
              </w:rPr>
              <w:t>序号</w:t>
            </w:r>
          </w:p>
        </w:tc>
        <w:tc>
          <w:tcPr>
            <w:tcW w:w="3118" w:type="dxa"/>
          </w:tcPr>
          <w:p>
            <w:pPr>
              <w:pStyle w:val="TableParagraph"/>
              <w:spacing w:before="4"/>
              <w:rPr>
                <w:rFonts w:ascii="宋体"/>
                <w:sz w:val="28"/>
              </w:rPr>
            </w:pPr>
          </w:p>
          <w:p>
            <w:pPr>
              <w:pStyle w:val="TableParagraph"/>
              <w:spacing w:before="0"/>
              <w:ind w:left="1124" w:right="1102"/>
              <w:jc w:val="center"/>
              <w:rPr>
                <w:rFonts w:ascii="宋体" w:eastAsia="宋体" w:hint="eastAsia"/>
                <w:sz w:val="21"/>
              </w:rPr>
            </w:pPr>
            <w:r>
              <w:rPr>
                <w:rFonts w:ascii="宋体" w:eastAsia="宋体" w:hint="eastAsia"/>
                <w:sz w:val="21"/>
              </w:rPr>
              <w:t>项目</w:t>
            </w:r>
          </w:p>
        </w:tc>
        <w:tc>
          <w:tcPr>
            <w:tcW w:w="3118" w:type="dxa"/>
          </w:tcPr>
          <w:p>
            <w:pPr>
              <w:pStyle w:val="TableParagraph"/>
              <w:spacing w:before="4"/>
              <w:rPr>
                <w:rFonts w:ascii="宋体"/>
                <w:sz w:val="28"/>
              </w:rPr>
            </w:pPr>
          </w:p>
          <w:p>
            <w:pPr>
              <w:pStyle w:val="TableParagraph"/>
              <w:spacing w:before="0"/>
              <w:ind w:left="1125" w:right="1098"/>
              <w:jc w:val="center"/>
              <w:rPr>
                <w:sz w:val="21"/>
              </w:rPr>
            </w:pPr>
            <w:r>
              <w:rPr>
                <w:rFonts w:ascii="宋体" w:eastAsia="宋体" w:hint="eastAsia"/>
                <w:sz w:val="21"/>
              </w:rPr>
              <w:t>金额</w:t>
            </w:r>
            <w:r>
              <w:rPr>
                <w:sz w:val="21"/>
              </w:rPr>
              <w:t>(</w:t>
            </w:r>
            <w:r>
              <w:rPr>
                <w:rFonts w:ascii="宋体" w:eastAsia="宋体" w:hint="eastAsia"/>
                <w:sz w:val="21"/>
              </w:rPr>
              <w:t>元</w:t>
            </w:r>
            <w:r>
              <w:rPr>
                <w:sz w:val="21"/>
              </w:rPr>
              <w:t>)</w:t>
            </w:r>
          </w:p>
        </w:tc>
        <w:tc>
          <w:tcPr>
            <w:tcW w:w="1984" w:type="dxa"/>
          </w:tcPr>
          <w:p>
            <w:pPr>
              <w:pStyle w:val="TableParagraph"/>
              <w:spacing w:before="130"/>
              <w:ind w:left="142" w:right="111"/>
              <w:jc w:val="center"/>
              <w:rPr>
                <w:rFonts w:ascii="宋体" w:eastAsia="宋体" w:hint="eastAsia"/>
                <w:sz w:val="21"/>
              </w:rPr>
            </w:pPr>
            <w:r>
              <w:rPr>
                <w:rFonts w:ascii="宋体" w:eastAsia="宋体" w:hint="eastAsia"/>
                <w:sz w:val="21"/>
              </w:rPr>
              <w:t>占基金总资产的比</w:t>
            </w:r>
          </w:p>
          <w:p>
            <w:pPr>
              <w:pStyle w:val="TableParagraph"/>
              <w:spacing w:before="4"/>
              <w:rPr>
                <w:rFonts w:ascii="宋体"/>
                <w:sz w:val="15"/>
              </w:rPr>
            </w:pPr>
          </w:p>
          <w:p>
            <w:pPr>
              <w:pStyle w:val="TableParagraph"/>
              <w:spacing w:before="1"/>
              <w:ind w:left="137" w:right="111"/>
              <w:jc w:val="center"/>
              <w:rPr>
                <w:sz w:val="21"/>
              </w:rPr>
            </w:pPr>
            <w:r>
              <w:rPr>
                <w:rFonts w:ascii="宋体" w:eastAsia="宋体" w:hint="eastAsia"/>
                <w:sz w:val="21"/>
              </w:rPr>
              <w:t>例</w:t>
            </w:r>
            <w:r>
              <w:rPr>
                <w:sz w:val="21"/>
              </w:rPr>
              <w:t>(%)</w:t>
            </w:r>
          </w:p>
        </w:tc>
      </w:tr>
      <w:tr>
        <w:trPr>
          <w:trHeight w:val="496" w:hRule="atLeast"/>
        </w:trPr>
        <w:tc>
          <w:tcPr>
            <w:tcW w:w="852" w:type="dxa"/>
          </w:tcPr>
          <w:p>
            <w:pPr>
              <w:pStyle w:val="TableParagraph"/>
              <w:spacing w:before="142"/>
              <w:ind w:left="26"/>
              <w:jc w:val="center"/>
              <w:rPr>
                <w:sz w:val="21"/>
              </w:rPr>
            </w:pPr>
            <w:r>
              <w:rPr>
                <w:w w:val="100"/>
                <w:sz w:val="21"/>
              </w:rPr>
              <w:t>1</w:t>
            </w:r>
          </w:p>
        </w:tc>
        <w:tc>
          <w:tcPr>
            <w:tcW w:w="3118" w:type="dxa"/>
          </w:tcPr>
          <w:p>
            <w:pPr>
              <w:pStyle w:val="TableParagraph"/>
              <w:spacing w:before="130"/>
              <w:ind w:left="122"/>
              <w:rPr>
                <w:rFonts w:ascii="宋体" w:eastAsia="宋体" w:hint="eastAsia"/>
                <w:sz w:val="21"/>
              </w:rPr>
            </w:pPr>
            <w:r>
              <w:rPr>
                <w:rFonts w:ascii="宋体" w:eastAsia="宋体" w:hint="eastAsia"/>
                <w:sz w:val="21"/>
              </w:rPr>
              <w:t>固定收益投资</w:t>
            </w:r>
          </w:p>
        </w:tc>
        <w:tc>
          <w:tcPr>
            <w:tcW w:w="3118" w:type="dxa"/>
          </w:tcPr>
          <w:p>
            <w:pPr>
              <w:pStyle w:val="TableParagraph"/>
              <w:spacing w:before="142"/>
              <w:ind w:right="93"/>
              <w:jc w:val="right"/>
              <w:rPr>
                <w:sz w:val="21"/>
              </w:rPr>
            </w:pPr>
            <w:r>
              <w:rPr>
                <w:sz w:val="21"/>
              </w:rPr>
              <w:t>13,716,455,789.93</w:t>
            </w:r>
          </w:p>
        </w:tc>
        <w:tc>
          <w:tcPr>
            <w:tcW w:w="1984" w:type="dxa"/>
          </w:tcPr>
          <w:p>
            <w:pPr>
              <w:pStyle w:val="TableParagraph"/>
              <w:spacing w:before="142"/>
              <w:ind w:right="92"/>
              <w:jc w:val="right"/>
              <w:rPr>
                <w:sz w:val="21"/>
              </w:rPr>
            </w:pPr>
            <w:r>
              <w:rPr>
                <w:sz w:val="21"/>
              </w:rPr>
              <w:t>23.64</w:t>
            </w:r>
          </w:p>
        </w:tc>
      </w:tr>
      <w:tr>
        <w:trPr>
          <w:trHeight w:val="499" w:hRule="atLeast"/>
        </w:trPr>
        <w:tc>
          <w:tcPr>
            <w:tcW w:w="852" w:type="dxa"/>
          </w:tcPr>
          <w:p>
            <w:pPr>
              <w:pStyle w:val="TableParagraph"/>
              <w:spacing w:before="0"/>
              <w:rPr>
                <w:sz w:val="20"/>
              </w:rPr>
            </w:pPr>
          </w:p>
        </w:tc>
        <w:tc>
          <w:tcPr>
            <w:tcW w:w="3118" w:type="dxa"/>
          </w:tcPr>
          <w:p>
            <w:pPr>
              <w:pStyle w:val="TableParagraph"/>
              <w:spacing w:before="131"/>
              <w:ind w:left="122"/>
              <w:rPr>
                <w:rFonts w:ascii="宋体" w:eastAsia="宋体" w:hint="eastAsia"/>
                <w:sz w:val="21"/>
              </w:rPr>
            </w:pPr>
            <w:r>
              <w:rPr>
                <w:rFonts w:ascii="宋体" w:eastAsia="宋体" w:hint="eastAsia"/>
                <w:sz w:val="21"/>
              </w:rPr>
              <w:t>其中：债券</w:t>
            </w:r>
          </w:p>
        </w:tc>
        <w:tc>
          <w:tcPr>
            <w:tcW w:w="3118" w:type="dxa"/>
          </w:tcPr>
          <w:p>
            <w:pPr>
              <w:pStyle w:val="TableParagraph"/>
              <w:spacing w:before="142"/>
              <w:ind w:right="93"/>
              <w:jc w:val="right"/>
              <w:rPr>
                <w:sz w:val="21"/>
              </w:rPr>
            </w:pPr>
            <w:r>
              <w:rPr>
                <w:sz w:val="21"/>
              </w:rPr>
              <w:t>13,716,455,789.93</w:t>
            </w:r>
          </w:p>
        </w:tc>
        <w:tc>
          <w:tcPr>
            <w:tcW w:w="1984" w:type="dxa"/>
          </w:tcPr>
          <w:p>
            <w:pPr>
              <w:pStyle w:val="TableParagraph"/>
              <w:spacing w:before="142"/>
              <w:ind w:right="92"/>
              <w:jc w:val="right"/>
              <w:rPr>
                <w:sz w:val="21"/>
              </w:rPr>
            </w:pPr>
            <w:r>
              <w:rPr>
                <w:sz w:val="21"/>
              </w:rPr>
              <w:t>23.64</w:t>
            </w:r>
          </w:p>
        </w:tc>
      </w:tr>
    </w:tbl>
    <w:p>
      <w:pPr>
        <w:spacing w:after="0"/>
        <w:jc w:val="right"/>
        <w:rPr>
          <w:sz w:val="21"/>
        </w:rPr>
        <w:sectPr>
          <w:pgSz w:w="11910" w:h="16840"/>
          <w:pgMar w:header="877" w:footer="995" w:top="1280" w:bottom="1180" w:left="1020" w:right="900"/>
        </w:sectPr>
      </w:pPr>
    </w:p>
    <w:p>
      <w:pPr>
        <w:pStyle w:val="BodyText"/>
        <w:spacing w:before="4"/>
        <w:rPr>
          <w:sz w:val="10"/>
        </w:rPr>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118"/>
        <w:gridCol w:w="3118"/>
        <w:gridCol w:w="1984"/>
      </w:tblGrid>
      <w:tr>
        <w:trPr>
          <w:trHeight w:val="496" w:hRule="atLeast"/>
        </w:trPr>
        <w:tc>
          <w:tcPr>
            <w:tcW w:w="852" w:type="dxa"/>
          </w:tcPr>
          <w:p>
            <w:pPr>
              <w:pStyle w:val="TableParagraph"/>
              <w:spacing w:before="0"/>
              <w:rPr>
                <w:sz w:val="20"/>
              </w:rPr>
            </w:pPr>
          </w:p>
        </w:tc>
        <w:tc>
          <w:tcPr>
            <w:tcW w:w="3118" w:type="dxa"/>
          </w:tcPr>
          <w:p>
            <w:pPr>
              <w:pStyle w:val="TableParagraph"/>
              <w:spacing w:before="131"/>
              <w:ind w:left="122"/>
              <w:rPr>
                <w:rFonts w:ascii="宋体" w:eastAsia="宋体" w:hint="eastAsia"/>
                <w:sz w:val="21"/>
              </w:rPr>
            </w:pPr>
            <w:r>
              <w:rPr>
                <w:rFonts w:ascii="宋体" w:eastAsia="宋体" w:hint="eastAsia"/>
                <w:sz w:val="21"/>
              </w:rPr>
              <w:t>资产支持证券</w:t>
            </w:r>
          </w:p>
        </w:tc>
        <w:tc>
          <w:tcPr>
            <w:tcW w:w="3118" w:type="dxa"/>
          </w:tcPr>
          <w:p>
            <w:pPr>
              <w:pStyle w:val="TableParagraph"/>
              <w:spacing w:before="142"/>
              <w:ind w:right="95"/>
              <w:jc w:val="right"/>
              <w:rPr>
                <w:sz w:val="21"/>
              </w:rPr>
            </w:pPr>
            <w:r>
              <w:rPr>
                <w:w w:val="100"/>
                <w:sz w:val="21"/>
              </w:rPr>
              <w:t>-</w:t>
            </w:r>
          </w:p>
        </w:tc>
        <w:tc>
          <w:tcPr>
            <w:tcW w:w="1984" w:type="dxa"/>
          </w:tcPr>
          <w:p>
            <w:pPr>
              <w:pStyle w:val="TableParagraph"/>
              <w:spacing w:before="142"/>
              <w:ind w:right="93"/>
              <w:jc w:val="right"/>
              <w:rPr>
                <w:sz w:val="21"/>
              </w:rPr>
            </w:pPr>
            <w:r>
              <w:rPr>
                <w:w w:val="100"/>
                <w:sz w:val="21"/>
              </w:rPr>
              <w:t>-</w:t>
            </w:r>
          </w:p>
        </w:tc>
      </w:tr>
      <w:tr>
        <w:trPr>
          <w:trHeight w:val="496" w:hRule="atLeast"/>
        </w:trPr>
        <w:tc>
          <w:tcPr>
            <w:tcW w:w="852" w:type="dxa"/>
          </w:tcPr>
          <w:p>
            <w:pPr>
              <w:pStyle w:val="TableParagraph"/>
              <w:spacing w:before="142"/>
              <w:ind w:right="353"/>
              <w:jc w:val="right"/>
              <w:rPr>
                <w:sz w:val="21"/>
              </w:rPr>
            </w:pPr>
            <w:r>
              <w:rPr>
                <w:w w:val="100"/>
                <w:sz w:val="21"/>
              </w:rPr>
              <w:t>2</w:t>
            </w:r>
          </w:p>
        </w:tc>
        <w:tc>
          <w:tcPr>
            <w:tcW w:w="3118" w:type="dxa"/>
          </w:tcPr>
          <w:p>
            <w:pPr>
              <w:pStyle w:val="TableParagraph"/>
              <w:spacing w:before="130"/>
              <w:ind w:left="122"/>
              <w:rPr>
                <w:rFonts w:ascii="宋体" w:eastAsia="宋体" w:hint="eastAsia"/>
                <w:sz w:val="21"/>
              </w:rPr>
            </w:pPr>
            <w:r>
              <w:rPr>
                <w:rFonts w:ascii="宋体" w:eastAsia="宋体" w:hint="eastAsia"/>
                <w:sz w:val="21"/>
              </w:rPr>
              <w:t>买入返售金融资产</w:t>
            </w:r>
          </w:p>
        </w:tc>
        <w:tc>
          <w:tcPr>
            <w:tcW w:w="3118" w:type="dxa"/>
          </w:tcPr>
          <w:p>
            <w:pPr>
              <w:pStyle w:val="TableParagraph"/>
              <w:spacing w:before="142"/>
              <w:ind w:right="93"/>
              <w:jc w:val="right"/>
              <w:rPr>
                <w:sz w:val="21"/>
              </w:rPr>
            </w:pPr>
            <w:r>
              <w:rPr>
                <w:sz w:val="21"/>
              </w:rPr>
              <w:t>20,832,487,889.73</w:t>
            </w:r>
          </w:p>
        </w:tc>
        <w:tc>
          <w:tcPr>
            <w:tcW w:w="1984" w:type="dxa"/>
          </w:tcPr>
          <w:p>
            <w:pPr>
              <w:pStyle w:val="TableParagraph"/>
              <w:spacing w:before="142"/>
              <w:ind w:right="92"/>
              <w:jc w:val="right"/>
              <w:rPr>
                <w:sz w:val="21"/>
              </w:rPr>
            </w:pPr>
            <w:r>
              <w:rPr>
                <w:sz w:val="21"/>
              </w:rPr>
              <w:t>35.91</w:t>
            </w:r>
          </w:p>
        </w:tc>
      </w:tr>
      <w:tr>
        <w:trPr>
          <w:trHeight w:val="966" w:hRule="atLeast"/>
        </w:trPr>
        <w:tc>
          <w:tcPr>
            <w:tcW w:w="852" w:type="dxa"/>
          </w:tcPr>
          <w:p>
            <w:pPr>
              <w:pStyle w:val="TableParagraph"/>
              <w:spacing w:before="0"/>
              <w:rPr>
                <w:sz w:val="20"/>
              </w:rPr>
            </w:pPr>
          </w:p>
        </w:tc>
        <w:tc>
          <w:tcPr>
            <w:tcW w:w="3118" w:type="dxa"/>
          </w:tcPr>
          <w:p>
            <w:pPr>
              <w:pStyle w:val="TableParagraph"/>
              <w:spacing w:before="130"/>
              <w:ind w:left="122"/>
              <w:rPr>
                <w:rFonts w:ascii="宋体" w:eastAsia="宋体" w:hint="eastAsia"/>
                <w:sz w:val="21"/>
              </w:rPr>
            </w:pPr>
            <w:r>
              <w:rPr>
                <w:rFonts w:ascii="宋体" w:eastAsia="宋体" w:hint="eastAsia"/>
                <w:sz w:val="21"/>
              </w:rPr>
              <w:t>其中：买断式回购的买入返售金</w:t>
            </w:r>
          </w:p>
          <w:p>
            <w:pPr>
              <w:pStyle w:val="TableParagraph"/>
              <w:spacing w:before="7"/>
              <w:rPr>
                <w:rFonts w:ascii="宋体"/>
                <w:sz w:val="15"/>
              </w:rPr>
            </w:pPr>
          </w:p>
          <w:p>
            <w:pPr>
              <w:pStyle w:val="TableParagraph"/>
              <w:spacing w:before="0"/>
              <w:ind w:left="122"/>
              <w:rPr>
                <w:rFonts w:ascii="宋体" w:eastAsia="宋体" w:hint="eastAsia"/>
                <w:sz w:val="21"/>
              </w:rPr>
            </w:pPr>
            <w:r>
              <w:rPr>
                <w:rFonts w:ascii="宋体" w:eastAsia="宋体" w:hint="eastAsia"/>
                <w:sz w:val="21"/>
              </w:rPr>
              <w:t>融资产</w:t>
            </w:r>
          </w:p>
        </w:tc>
        <w:tc>
          <w:tcPr>
            <w:tcW w:w="3118" w:type="dxa"/>
          </w:tcPr>
          <w:p>
            <w:pPr>
              <w:pStyle w:val="TableParagraph"/>
              <w:spacing w:before="5"/>
              <w:rPr>
                <w:rFonts w:ascii="宋体"/>
                <w:sz w:val="29"/>
              </w:rPr>
            </w:pPr>
          </w:p>
          <w:p>
            <w:pPr>
              <w:pStyle w:val="TableParagraph"/>
              <w:spacing w:before="0"/>
              <w:ind w:right="95"/>
              <w:jc w:val="right"/>
              <w:rPr>
                <w:sz w:val="21"/>
              </w:rPr>
            </w:pPr>
            <w:r>
              <w:rPr>
                <w:w w:val="100"/>
                <w:sz w:val="21"/>
              </w:rPr>
              <w:t>-</w:t>
            </w:r>
          </w:p>
        </w:tc>
        <w:tc>
          <w:tcPr>
            <w:tcW w:w="1984" w:type="dxa"/>
          </w:tcPr>
          <w:p>
            <w:pPr>
              <w:pStyle w:val="TableParagraph"/>
              <w:spacing w:before="5"/>
              <w:rPr>
                <w:rFonts w:ascii="宋体"/>
                <w:sz w:val="29"/>
              </w:rPr>
            </w:pPr>
          </w:p>
          <w:p>
            <w:pPr>
              <w:pStyle w:val="TableParagraph"/>
              <w:spacing w:before="0"/>
              <w:ind w:right="93"/>
              <w:jc w:val="right"/>
              <w:rPr>
                <w:sz w:val="21"/>
              </w:rPr>
            </w:pPr>
            <w:r>
              <w:rPr>
                <w:w w:val="100"/>
                <w:sz w:val="21"/>
              </w:rPr>
              <w:t>-</w:t>
            </w:r>
          </w:p>
        </w:tc>
      </w:tr>
      <w:tr>
        <w:trPr>
          <w:trHeight w:val="496" w:hRule="atLeast"/>
        </w:trPr>
        <w:tc>
          <w:tcPr>
            <w:tcW w:w="852" w:type="dxa"/>
          </w:tcPr>
          <w:p>
            <w:pPr>
              <w:pStyle w:val="TableParagraph"/>
              <w:spacing w:before="142"/>
              <w:ind w:right="353"/>
              <w:jc w:val="right"/>
              <w:rPr>
                <w:sz w:val="21"/>
              </w:rPr>
            </w:pPr>
            <w:r>
              <w:rPr>
                <w:w w:val="100"/>
                <w:sz w:val="21"/>
              </w:rPr>
              <w:t>3</w:t>
            </w:r>
          </w:p>
        </w:tc>
        <w:tc>
          <w:tcPr>
            <w:tcW w:w="3118" w:type="dxa"/>
          </w:tcPr>
          <w:p>
            <w:pPr>
              <w:pStyle w:val="TableParagraph"/>
              <w:spacing w:before="130"/>
              <w:ind w:left="122"/>
              <w:rPr>
                <w:rFonts w:ascii="宋体" w:eastAsia="宋体" w:hint="eastAsia"/>
                <w:sz w:val="21"/>
              </w:rPr>
            </w:pPr>
            <w:r>
              <w:rPr>
                <w:rFonts w:ascii="宋体" w:eastAsia="宋体" w:hint="eastAsia"/>
                <w:sz w:val="21"/>
              </w:rPr>
              <w:t>银行存款和结算备付金合计</w:t>
            </w:r>
          </w:p>
        </w:tc>
        <w:tc>
          <w:tcPr>
            <w:tcW w:w="3118" w:type="dxa"/>
          </w:tcPr>
          <w:p>
            <w:pPr>
              <w:pStyle w:val="TableParagraph"/>
              <w:spacing w:before="142"/>
              <w:ind w:right="93"/>
              <w:jc w:val="right"/>
              <w:rPr>
                <w:sz w:val="21"/>
              </w:rPr>
            </w:pPr>
            <w:r>
              <w:rPr>
                <w:sz w:val="21"/>
              </w:rPr>
              <w:t>21,991,469,285.04</w:t>
            </w:r>
          </w:p>
        </w:tc>
        <w:tc>
          <w:tcPr>
            <w:tcW w:w="1984" w:type="dxa"/>
          </w:tcPr>
          <w:p>
            <w:pPr>
              <w:pStyle w:val="TableParagraph"/>
              <w:spacing w:before="142"/>
              <w:ind w:right="92"/>
              <w:jc w:val="right"/>
              <w:rPr>
                <w:sz w:val="21"/>
              </w:rPr>
            </w:pPr>
            <w:r>
              <w:rPr>
                <w:sz w:val="21"/>
              </w:rPr>
              <w:t>37.90</w:t>
            </w:r>
          </w:p>
        </w:tc>
      </w:tr>
      <w:tr>
        <w:trPr>
          <w:trHeight w:val="496" w:hRule="atLeast"/>
        </w:trPr>
        <w:tc>
          <w:tcPr>
            <w:tcW w:w="852" w:type="dxa"/>
          </w:tcPr>
          <w:p>
            <w:pPr>
              <w:pStyle w:val="TableParagraph"/>
              <w:spacing w:before="142"/>
              <w:ind w:right="353"/>
              <w:jc w:val="right"/>
              <w:rPr>
                <w:sz w:val="21"/>
              </w:rPr>
            </w:pPr>
            <w:r>
              <w:rPr>
                <w:w w:val="100"/>
                <w:sz w:val="21"/>
              </w:rPr>
              <w:t>4</w:t>
            </w:r>
          </w:p>
        </w:tc>
        <w:tc>
          <w:tcPr>
            <w:tcW w:w="3118" w:type="dxa"/>
          </w:tcPr>
          <w:p>
            <w:pPr>
              <w:pStyle w:val="TableParagraph"/>
              <w:spacing w:before="114"/>
              <w:ind w:left="105"/>
              <w:rPr>
                <w:rFonts w:ascii="宋体" w:eastAsia="宋体" w:hint="eastAsia"/>
                <w:sz w:val="21"/>
              </w:rPr>
            </w:pPr>
            <w:r>
              <w:rPr>
                <w:rFonts w:ascii="宋体" w:eastAsia="宋体" w:hint="eastAsia"/>
                <w:sz w:val="21"/>
              </w:rPr>
              <w:t>其他资产</w:t>
            </w:r>
          </w:p>
        </w:tc>
        <w:tc>
          <w:tcPr>
            <w:tcW w:w="3118" w:type="dxa"/>
          </w:tcPr>
          <w:p>
            <w:pPr>
              <w:pStyle w:val="TableParagraph"/>
              <w:spacing w:before="125"/>
              <w:ind w:right="93"/>
              <w:jc w:val="right"/>
              <w:rPr>
                <w:sz w:val="21"/>
              </w:rPr>
            </w:pPr>
            <w:r>
              <w:rPr>
                <w:sz w:val="21"/>
              </w:rPr>
              <w:t>1,477,468,391.34</w:t>
            </w:r>
          </w:p>
        </w:tc>
        <w:tc>
          <w:tcPr>
            <w:tcW w:w="1984" w:type="dxa"/>
          </w:tcPr>
          <w:p>
            <w:pPr>
              <w:pStyle w:val="TableParagraph"/>
              <w:spacing w:before="125"/>
              <w:ind w:right="92"/>
              <w:jc w:val="right"/>
              <w:rPr>
                <w:sz w:val="21"/>
              </w:rPr>
            </w:pPr>
            <w:r>
              <w:rPr>
                <w:sz w:val="21"/>
              </w:rPr>
              <w:t>2.55</w:t>
            </w:r>
          </w:p>
        </w:tc>
      </w:tr>
      <w:tr>
        <w:trPr>
          <w:trHeight w:val="497" w:hRule="atLeast"/>
        </w:trPr>
        <w:tc>
          <w:tcPr>
            <w:tcW w:w="852" w:type="dxa"/>
          </w:tcPr>
          <w:p>
            <w:pPr>
              <w:pStyle w:val="TableParagraph"/>
              <w:spacing w:before="142"/>
              <w:ind w:right="353"/>
              <w:jc w:val="right"/>
              <w:rPr>
                <w:sz w:val="21"/>
              </w:rPr>
            </w:pPr>
            <w:r>
              <w:rPr>
                <w:w w:val="100"/>
                <w:sz w:val="21"/>
              </w:rPr>
              <w:t>5</w:t>
            </w:r>
          </w:p>
        </w:tc>
        <w:tc>
          <w:tcPr>
            <w:tcW w:w="3118" w:type="dxa"/>
          </w:tcPr>
          <w:p>
            <w:pPr>
              <w:pStyle w:val="TableParagraph"/>
              <w:spacing w:before="114"/>
              <w:ind w:left="105"/>
              <w:rPr>
                <w:rFonts w:ascii="宋体" w:eastAsia="宋体" w:hint="eastAsia"/>
                <w:sz w:val="21"/>
              </w:rPr>
            </w:pPr>
            <w:r>
              <w:rPr>
                <w:rFonts w:ascii="宋体" w:eastAsia="宋体" w:hint="eastAsia"/>
                <w:sz w:val="21"/>
              </w:rPr>
              <w:t>合计</w:t>
            </w:r>
          </w:p>
        </w:tc>
        <w:tc>
          <w:tcPr>
            <w:tcW w:w="3118" w:type="dxa"/>
          </w:tcPr>
          <w:p>
            <w:pPr>
              <w:pStyle w:val="TableParagraph"/>
              <w:spacing w:before="125"/>
              <w:ind w:right="93"/>
              <w:jc w:val="right"/>
              <w:rPr>
                <w:sz w:val="21"/>
              </w:rPr>
            </w:pPr>
            <w:r>
              <w:rPr>
                <w:sz w:val="21"/>
              </w:rPr>
              <w:t>58,017,881,356.04</w:t>
            </w:r>
          </w:p>
        </w:tc>
        <w:tc>
          <w:tcPr>
            <w:tcW w:w="1984" w:type="dxa"/>
          </w:tcPr>
          <w:p>
            <w:pPr>
              <w:pStyle w:val="TableParagraph"/>
              <w:spacing w:before="125"/>
              <w:ind w:right="92"/>
              <w:jc w:val="right"/>
              <w:rPr>
                <w:sz w:val="21"/>
              </w:rPr>
            </w:pPr>
            <w:r>
              <w:rPr>
                <w:sz w:val="21"/>
              </w:rPr>
              <w:t>100.00</w:t>
            </w:r>
          </w:p>
        </w:tc>
      </w:tr>
    </w:tbl>
    <w:p>
      <w:pPr>
        <w:pStyle w:val="ListParagraph"/>
        <w:numPr>
          <w:ilvl w:val="1"/>
          <w:numId w:val="24"/>
        </w:numPr>
        <w:tabs>
          <w:tab w:pos="1148" w:val="left" w:leader="none"/>
        </w:tabs>
        <w:spacing w:line="240" w:lineRule="auto" w:before="99" w:after="0"/>
        <w:ind w:left="1147" w:right="0" w:hanging="370"/>
        <w:jc w:val="left"/>
        <w:rPr>
          <w:sz w:val="21"/>
        </w:rPr>
      </w:pPr>
      <w:r>
        <w:rPr>
          <w:spacing w:val="-3"/>
          <w:sz w:val="21"/>
        </w:rPr>
        <w:t>报告期债券回购融资情况</w:t>
      </w:r>
    </w:p>
    <w:p>
      <w:pPr>
        <w:pStyle w:val="BodyText"/>
        <w:spacing w:before="10"/>
        <w:rPr>
          <w:sz w:val="7"/>
        </w:rPr>
      </w:pPr>
    </w:p>
    <w:tbl>
      <w:tblPr>
        <w:tblW w:w="0" w:type="auto"/>
        <w:jc w:val="left"/>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62"/>
        <w:gridCol w:w="3109"/>
        <w:gridCol w:w="2977"/>
        <w:gridCol w:w="2128"/>
      </w:tblGrid>
      <w:tr>
        <w:trPr>
          <w:trHeight w:val="498" w:hRule="atLeast"/>
        </w:trPr>
        <w:tc>
          <w:tcPr>
            <w:tcW w:w="862" w:type="dxa"/>
          </w:tcPr>
          <w:p>
            <w:pPr>
              <w:pStyle w:val="TableParagraph"/>
              <w:spacing w:before="133"/>
              <w:ind w:right="190"/>
              <w:jc w:val="right"/>
              <w:rPr>
                <w:rFonts w:ascii="宋体" w:eastAsia="宋体" w:hint="eastAsia"/>
                <w:sz w:val="21"/>
              </w:rPr>
            </w:pPr>
            <w:r>
              <w:rPr>
                <w:rFonts w:ascii="宋体" w:eastAsia="宋体" w:hint="eastAsia"/>
                <w:sz w:val="21"/>
              </w:rPr>
              <w:t>序号</w:t>
            </w:r>
          </w:p>
        </w:tc>
        <w:tc>
          <w:tcPr>
            <w:tcW w:w="3109" w:type="dxa"/>
          </w:tcPr>
          <w:p>
            <w:pPr>
              <w:pStyle w:val="TableParagraph"/>
              <w:spacing w:before="133"/>
              <w:ind w:left="1324" w:right="1289"/>
              <w:jc w:val="center"/>
              <w:rPr>
                <w:rFonts w:ascii="宋体" w:eastAsia="宋体" w:hint="eastAsia"/>
                <w:sz w:val="21"/>
              </w:rPr>
            </w:pPr>
            <w:r>
              <w:rPr>
                <w:rFonts w:ascii="宋体" w:eastAsia="宋体" w:hint="eastAsia"/>
                <w:sz w:val="21"/>
              </w:rPr>
              <w:t>项目</w:t>
            </w:r>
          </w:p>
        </w:tc>
        <w:tc>
          <w:tcPr>
            <w:tcW w:w="5105" w:type="dxa"/>
            <w:gridSpan w:val="2"/>
          </w:tcPr>
          <w:p>
            <w:pPr>
              <w:pStyle w:val="TableParagraph"/>
              <w:spacing w:before="133"/>
              <w:ind w:left="1189"/>
              <w:rPr>
                <w:rFonts w:ascii="宋体" w:eastAsia="宋体" w:hint="eastAsia"/>
                <w:sz w:val="21"/>
              </w:rPr>
            </w:pPr>
            <w:r>
              <w:rPr>
                <w:rFonts w:ascii="宋体" w:eastAsia="宋体" w:hint="eastAsia"/>
                <w:sz w:val="21"/>
              </w:rPr>
              <w:t>占基金资产净值的比例（％）</w:t>
            </w:r>
          </w:p>
        </w:tc>
      </w:tr>
      <w:tr>
        <w:trPr>
          <w:trHeight w:val="311" w:hRule="atLeast"/>
        </w:trPr>
        <w:tc>
          <w:tcPr>
            <w:tcW w:w="862" w:type="dxa"/>
            <w:vMerge w:val="restart"/>
          </w:tcPr>
          <w:p>
            <w:pPr>
              <w:pStyle w:val="TableParagraph"/>
              <w:spacing w:before="11"/>
              <w:rPr>
                <w:rFonts w:ascii="宋体"/>
                <w:sz w:val="16"/>
              </w:rPr>
            </w:pPr>
          </w:p>
          <w:p>
            <w:pPr>
              <w:pStyle w:val="TableParagraph"/>
              <w:spacing w:before="0"/>
              <w:ind w:left="30"/>
              <w:jc w:val="center"/>
              <w:rPr>
                <w:sz w:val="21"/>
              </w:rPr>
            </w:pPr>
            <w:r>
              <w:rPr>
                <w:w w:val="100"/>
                <w:sz w:val="21"/>
              </w:rPr>
              <w:t>1</w:t>
            </w:r>
          </w:p>
        </w:tc>
        <w:tc>
          <w:tcPr>
            <w:tcW w:w="3109" w:type="dxa"/>
          </w:tcPr>
          <w:p>
            <w:pPr>
              <w:pStyle w:val="TableParagraph"/>
              <w:spacing w:line="269" w:lineRule="exact"/>
              <w:ind w:left="107"/>
              <w:rPr>
                <w:rFonts w:ascii="宋体" w:eastAsia="宋体" w:hint="eastAsia"/>
                <w:sz w:val="21"/>
              </w:rPr>
            </w:pPr>
            <w:r>
              <w:rPr>
                <w:rFonts w:ascii="宋体" w:eastAsia="宋体" w:hint="eastAsia"/>
                <w:sz w:val="21"/>
              </w:rPr>
              <w:t>报告期内债券回购融资余额</w:t>
            </w:r>
          </w:p>
        </w:tc>
        <w:tc>
          <w:tcPr>
            <w:tcW w:w="5105" w:type="dxa"/>
            <w:gridSpan w:val="2"/>
          </w:tcPr>
          <w:p>
            <w:pPr>
              <w:pStyle w:val="TableParagraph"/>
              <w:spacing w:before="34"/>
              <w:ind w:right="88"/>
              <w:jc w:val="right"/>
              <w:rPr>
                <w:sz w:val="21"/>
              </w:rPr>
            </w:pPr>
            <w:r>
              <w:rPr>
                <w:sz w:val="21"/>
              </w:rPr>
              <w:t>5.65</w:t>
            </w:r>
          </w:p>
        </w:tc>
      </w:tr>
      <w:tr>
        <w:trPr>
          <w:trHeight w:val="313" w:hRule="atLeast"/>
        </w:trPr>
        <w:tc>
          <w:tcPr>
            <w:tcW w:w="862" w:type="dxa"/>
            <w:vMerge/>
            <w:tcBorders>
              <w:top w:val="nil"/>
            </w:tcBorders>
          </w:tcPr>
          <w:p>
            <w:pPr>
              <w:rPr>
                <w:sz w:val="2"/>
                <w:szCs w:val="2"/>
              </w:rPr>
            </w:pPr>
          </w:p>
        </w:tc>
        <w:tc>
          <w:tcPr>
            <w:tcW w:w="3109" w:type="dxa"/>
          </w:tcPr>
          <w:p>
            <w:pPr>
              <w:pStyle w:val="TableParagraph"/>
              <w:spacing w:line="269" w:lineRule="exact" w:before="25"/>
              <w:ind w:left="107"/>
              <w:rPr>
                <w:rFonts w:ascii="宋体" w:eastAsia="宋体" w:hint="eastAsia"/>
                <w:sz w:val="21"/>
              </w:rPr>
            </w:pPr>
            <w:r>
              <w:rPr>
                <w:rFonts w:ascii="宋体" w:eastAsia="宋体" w:hint="eastAsia"/>
                <w:sz w:val="21"/>
              </w:rPr>
              <w:t>其中：买断式回购融资</w:t>
            </w:r>
          </w:p>
        </w:tc>
        <w:tc>
          <w:tcPr>
            <w:tcW w:w="5105" w:type="dxa"/>
            <w:gridSpan w:val="2"/>
          </w:tcPr>
          <w:p>
            <w:pPr>
              <w:pStyle w:val="TableParagraph"/>
              <w:spacing w:before="36"/>
              <w:ind w:right="90"/>
              <w:jc w:val="right"/>
              <w:rPr>
                <w:sz w:val="21"/>
              </w:rPr>
            </w:pPr>
            <w:r>
              <w:rPr>
                <w:w w:val="100"/>
                <w:sz w:val="21"/>
              </w:rPr>
              <w:t>-</w:t>
            </w:r>
          </w:p>
        </w:tc>
      </w:tr>
      <w:tr>
        <w:trPr>
          <w:trHeight w:val="623" w:hRule="atLeast"/>
        </w:trPr>
        <w:tc>
          <w:tcPr>
            <w:tcW w:w="862" w:type="dxa"/>
          </w:tcPr>
          <w:p>
            <w:pPr>
              <w:pStyle w:val="TableParagraph"/>
              <w:spacing w:before="0"/>
              <w:rPr>
                <w:rFonts w:ascii="宋体"/>
                <w:sz w:val="15"/>
              </w:rPr>
            </w:pPr>
          </w:p>
          <w:p>
            <w:pPr>
              <w:pStyle w:val="TableParagraph"/>
              <w:spacing w:before="0"/>
              <w:ind w:right="190"/>
              <w:jc w:val="right"/>
              <w:rPr>
                <w:rFonts w:ascii="宋体" w:eastAsia="宋体" w:hint="eastAsia"/>
                <w:sz w:val="21"/>
              </w:rPr>
            </w:pPr>
            <w:r>
              <w:rPr>
                <w:rFonts w:ascii="宋体" w:eastAsia="宋体" w:hint="eastAsia"/>
                <w:sz w:val="21"/>
              </w:rPr>
              <w:t>序号</w:t>
            </w:r>
          </w:p>
        </w:tc>
        <w:tc>
          <w:tcPr>
            <w:tcW w:w="3109" w:type="dxa"/>
          </w:tcPr>
          <w:p>
            <w:pPr>
              <w:pStyle w:val="TableParagraph"/>
              <w:spacing w:before="178"/>
              <w:ind w:left="1317" w:right="1297"/>
              <w:jc w:val="center"/>
              <w:rPr>
                <w:rFonts w:ascii="宋体" w:eastAsia="宋体" w:hint="eastAsia"/>
                <w:sz w:val="21"/>
              </w:rPr>
            </w:pPr>
            <w:r>
              <w:rPr>
                <w:rFonts w:ascii="宋体" w:eastAsia="宋体" w:hint="eastAsia"/>
                <w:sz w:val="21"/>
              </w:rPr>
              <w:t>项目</w:t>
            </w:r>
          </w:p>
        </w:tc>
        <w:tc>
          <w:tcPr>
            <w:tcW w:w="2977" w:type="dxa"/>
          </w:tcPr>
          <w:p>
            <w:pPr>
              <w:pStyle w:val="TableParagraph"/>
              <w:spacing w:before="178"/>
              <w:ind w:left="959"/>
              <w:rPr>
                <w:rFonts w:ascii="宋体" w:eastAsia="宋体" w:hint="eastAsia"/>
                <w:sz w:val="21"/>
              </w:rPr>
            </w:pPr>
            <w:r>
              <w:rPr>
                <w:rFonts w:ascii="宋体" w:eastAsia="宋体" w:hint="eastAsia"/>
                <w:sz w:val="21"/>
              </w:rPr>
              <w:t>金额（元）</w:t>
            </w:r>
          </w:p>
        </w:tc>
        <w:tc>
          <w:tcPr>
            <w:tcW w:w="2128" w:type="dxa"/>
          </w:tcPr>
          <w:p>
            <w:pPr>
              <w:pStyle w:val="TableParagraph"/>
              <w:ind w:left="97" w:right="80"/>
              <w:jc w:val="center"/>
              <w:rPr>
                <w:rFonts w:ascii="宋体" w:eastAsia="宋体" w:hint="eastAsia"/>
                <w:sz w:val="21"/>
              </w:rPr>
            </w:pPr>
            <w:r>
              <w:rPr>
                <w:rFonts w:ascii="宋体" w:eastAsia="宋体" w:hint="eastAsia"/>
                <w:sz w:val="21"/>
              </w:rPr>
              <w:t>占基金资产净值的比</w:t>
            </w:r>
          </w:p>
          <w:p>
            <w:pPr>
              <w:pStyle w:val="TableParagraph"/>
              <w:spacing w:line="269" w:lineRule="exact" w:before="43"/>
              <w:ind w:left="97" w:right="79"/>
              <w:jc w:val="center"/>
              <w:rPr>
                <w:rFonts w:ascii="宋体" w:eastAsia="宋体" w:hint="eastAsia"/>
                <w:sz w:val="21"/>
              </w:rPr>
            </w:pPr>
            <w:r>
              <w:rPr>
                <w:rFonts w:ascii="宋体" w:eastAsia="宋体" w:hint="eastAsia"/>
                <w:sz w:val="21"/>
              </w:rPr>
              <w:t>例（％）</w:t>
            </w:r>
          </w:p>
        </w:tc>
      </w:tr>
      <w:tr>
        <w:trPr>
          <w:trHeight w:val="311" w:hRule="atLeast"/>
        </w:trPr>
        <w:tc>
          <w:tcPr>
            <w:tcW w:w="862" w:type="dxa"/>
            <w:vMerge w:val="restart"/>
          </w:tcPr>
          <w:p>
            <w:pPr>
              <w:pStyle w:val="TableParagraph"/>
              <w:spacing w:before="11"/>
              <w:rPr>
                <w:rFonts w:ascii="宋体"/>
                <w:sz w:val="16"/>
              </w:rPr>
            </w:pPr>
          </w:p>
          <w:p>
            <w:pPr>
              <w:pStyle w:val="TableParagraph"/>
              <w:spacing w:before="0"/>
              <w:ind w:left="30"/>
              <w:jc w:val="center"/>
              <w:rPr>
                <w:sz w:val="21"/>
              </w:rPr>
            </w:pPr>
            <w:r>
              <w:rPr>
                <w:w w:val="100"/>
                <w:sz w:val="21"/>
              </w:rPr>
              <w:t>2</w:t>
            </w:r>
          </w:p>
        </w:tc>
        <w:tc>
          <w:tcPr>
            <w:tcW w:w="3109" w:type="dxa"/>
          </w:tcPr>
          <w:p>
            <w:pPr>
              <w:pStyle w:val="TableParagraph"/>
              <w:spacing w:line="269" w:lineRule="exact"/>
              <w:ind w:left="107"/>
              <w:rPr>
                <w:rFonts w:ascii="宋体" w:eastAsia="宋体" w:hint="eastAsia"/>
                <w:sz w:val="21"/>
              </w:rPr>
            </w:pPr>
            <w:r>
              <w:rPr>
                <w:rFonts w:ascii="宋体" w:eastAsia="宋体" w:hint="eastAsia"/>
                <w:sz w:val="21"/>
              </w:rPr>
              <w:t>报告期末债券回购融资余额</w:t>
            </w:r>
          </w:p>
        </w:tc>
        <w:tc>
          <w:tcPr>
            <w:tcW w:w="2977" w:type="dxa"/>
          </w:tcPr>
          <w:p>
            <w:pPr>
              <w:pStyle w:val="TableParagraph"/>
              <w:spacing w:before="34"/>
              <w:ind w:right="87"/>
              <w:jc w:val="right"/>
              <w:rPr>
                <w:sz w:val="21"/>
              </w:rPr>
            </w:pPr>
            <w:r>
              <w:rPr>
                <w:sz w:val="21"/>
              </w:rPr>
              <w:t>4,363,285,260.01</w:t>
            </w:r>
          </w:p>
        </w:tc>
        <w:tc>
          <w:tcPr>
            <w:tcW w:w="2128" w:type="dxa"/>
          </w:tcPr>
          <w:p>
            <w:pPr>
              <w:pStyle w:val="TableParagraph"/>
              <w:spacing w:before="34"/>
              <w:ind w:right="86"/>
              <w:jc w:val="right"/>
              <w:rPr>
                <w:sz w:val="21"/>
              </w:rPr>
            </w:pPr>
            <w:r>
              <w:rPr>
                <w:sz w:val="21"/>
              </w:rPr>
              <w:t>8.14</w:t>
            </w:r>
          </w:p>
        </w:tc>
      </w:tr>
      <w:tr>
        <w:trPr>
          <w:trHeight w:val="313" w:hRule="atLeast"/>
        </w:trPr>
        <w:tc>
          <w:tcPr>
            <w:tcW w:w="862" w:type="dxa"/>
            <w:vMerge/>
            <w:tcBorders>
              <w:top w:val="nil"/>
            </w:tcBorders>
          </w:tcPr>
          <w:p>
            <w:pPr>
              <w:rPr>
                <w:sz w:val="2"/>
                <w:szCs w:val="2"/>
              </w:rPr>
            </w:pPr>
          </w:p>
        </w:tc>
        <w:tc>
          <w:tcPr>
            <w:tcW w:w="3109" w:type="dxa"/>
          </w:tcPr>
          <w:p>
            <w:pPr>
              <w:pStyle w:val="TableParagraph"/>
              <w:spacing w:line="269" w:lineRule="exact" w:before="24"/>
              <w:ind w:left="107"/>
              <w:rPr>
                <w:rFonts w:ascii="宋体" w:eastAsia="宋体" w:hint="eastAsia"/>
                <w:sz w:val="21"/>
              </w:rPr>
            </w:pPr>
            <w:r>
              <w:rPr>
                <w:rFonts w:ascii="宋体" w:eastAsia="宋体" w:hint="eastAsia"/>
                <w:sz w:val="21"/>
              </w:rPr>
              <w:t>其中：买断式回购融资</w:t>
            </w:r>
          </w:p>
        </w:tc>
        <w:tc>
          <w:tcPr>
            <w:tcW w:w="2977" w:type="dxa"/>
          </w:tcPr>
          <w:p>
            <w:pPr>
              <w:pStyle w:val="TableParagraph"/>
              <w:spacing w:before="36"/>
              <w:ind w:right="89"/>
              <w:jc w:val="right"/>
              <w:rPr>
                <w:sz w:val="21"/>
              </w:rPr>
            </w:pPr>
            <w:r>
              <w:rPr>
                <w:w w:val="100"/>
                <w:sz w:val="21"/>
              </w:rPr>
              <w:t>-</w:t>
            </w:r>
          </w:p>
        </w:tc>
        <w:tc>
          <w:tcPr>
            <w:tcW w:w="2128" w:type="dxa"/>
          </w:tcPr>
          <w:p>
            <w:pPr>
              <w:pStyle w:val="TableParagraph"/>
              <w:spacing w:before="36"/>
              <w:ind w:right="88"/>
              <w:jc w:val="right"/>
              <w:rPr>
                <w:sz w:val="21"/>
              </w:rPr>
            </w:pPr>
            <w:r>
              <w:rPr>
                <w:w w:val="100"/>
                <w:sz w:val="21"/>
              </w:rPr>
              <w:t>-</w:t>
            </w:r>
          </w:p>
        </w:tc>
      </w:tr>
    </w:tbl>
    <w:p>
      <w:pPr>
        <w:pStyle w:val="BodyText"/>
        <w:spacing w:line="417" w:lineRule="auto" w:before="100"/>
        <w:ind w:left="778" w:right="890" w:firstLine="419"/>
      </w:pPr>
      <w:r>
        <w:rPr>
          <w:spacing w:val="-12"/>
        </w:rPr>
        <w:t>注：报告期内债券回购融资余额占基金资产净值的比例为报告期内每个交易日融资余额</w:t>
      </w:r>
      <w:r>
        <w:rPr>
          <w:spacing w:val="-6"/>
        </w:rPr>
        <w:t>占资产净值比例的简单平均值。</w:t>
      </w:r>
    </w:p>
    <w:p>
      <w:pPr>
        <w:pStyle w:val="BodyText"/>
        <w:spacing w:line="269" w:lineRule="exact"/>
        <w:ind w:left="778"/>
      </w:pPr>
      <w:r>
        <w:rPr/>
        <w:t>债券正回购的资金余额超过基金资产净值的 </w:t>
      </w:r>
      <w:r>
        <w:rPr>
          <w:rFonts w:ascii="Times New Roman" w:eastAsia="Times New Roman"/>
        </w:rPr>
        <w:t>20</w:t>
      </w:r>
      <w:r>
        <w:rPr/>
        <w:t>％的说明</w:t>
      </w:r>
    </w:p>
    <w:p>
      <w:pPr>
        <w:pStyle w:val="BodyText"/>
        <w:spacing w:before="7"/>
        <w:rPr>
          <w:sz w:val="15"/>
        </w:rPr>
      </w:pPr>
    </w:p>
    <w:p>
      <w:pPr>
        <w:pStyle w:val="BodyText"/>
        <w:ind w:left="1198"/>
      </w:pPr>
      <w:r>
        <w:rPr/>
        <w:t>在本报告期内本货币市场基金债券正回购的资金余额未超过资产净值的 </w:t>
      </w:r>
      <w:r>
        <w:rPr>
          <w:rFonts w:ascii="Times New Roman" w:eastAsia="Times New Roman"/>
        </w:rPr>
        <w:t>20%</w:t>
      </w:r>
      <w:r>
        <w:rPr/>
        <w:t>。</w:t>
      </w:r>
    </w:p>
    <w:p>
      <w:pPr>
        <w:pStyle w:val="BodyText"/>
        <w:spacing w:before="6"/>
        <w:rPr>
          <w:sz w:val="15"/>
        </w:rPr>
      </w:pPr>
    </w:p>
    <w:p>
      <w:pPr>
        <w:pStyle w:val="ListParagraph"/>
        <w:numPr>
          <w:ilvl w:val="1"/>
          <w:numId w:val="24"/>
        </w:numPr>
        <w:tabs>
          <w:tab w:pos="1148" w:val="left" w:leader="none"/>
        </w:tabs>
        <w:spacing w:line="240" w:lineRule="auto" w:before="0" w:after="0"/>
        <w:ind w:left="1147" w:right="0" w:hanging="370"/>
        <w:jc w:val="left"/>
        <w:rPr>
          <w:sz w:val="21"/>
        </w:rPr>
      </w:pPr>
      <w:r>
        <w:rPr>
          <w:spacing w:val="-3"/>
          <w:sz w:val="21"/>
        </w:rPr>
        <w:t>基金投资组合平均剩余期限</w:t>
      </w:r>
    </w:p>
    <w:p>
      <w:pPr>
        <w:pStyle w:val="BodyText"/>
        <w:spacing w:before="7"/>
        <w:rPr>
          <w:sz w:val="15"/>
        </w:rPr>
      </w:pPr>
    </w:p>
    <w:p>
      <w:pPr>
        <w:pStyle w:val="ListParagraph"/>
        <w:numPr>
          <w:ilvl w:val="2"/>
          <w:numId w:val="24"/>
        </w:numPr>
        <w:tabs>
          <w:tab w:pos="1304" w:val="left" w:leader="none"/>
        </w:tabs>
        <w:spacing w:line="240" w:lineRule="auto" w:before="0" w:after="0"/>
        <w:ind w:left="1303" w:right="0" w:hanging="526"/>
        <w:jc w:val="left"/>
        <w:rPr>
          <w:sz w:val="21"/>
        </w:rPr>
      </w:pPr>
      <w:r>
        <w:rPr>
          <w:spacing w:val="-3"/>
          <w:sz w:val="21"/>
        </w:rPr>
        <w:t>投资组合平均剩余期限基本情况</w:t>
      </w:r>
    </w:p>
    <w:p>
      <w:pPr>
        <w:pStyle w:val="BodyText"/>
        <w:spacing w:before="10"/>
        <w:rPr>
          <w:sz w:val="7"/>
        </w:rPr>
      </w:pPr>
    </w:p>
    <w:tbl>
      <w:tblPr>
        <w:tblW w:w="0" w:type="auto"/>
        <w:jc w:val="left"/>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57"/>
        <w:gridCol w:w="5017"/>
      </w:tblGrid>
      <w:tr>
        <w:trPr>
          <w:trHeight w:val="496" w:hRule="atLeast"/>
        </w:trPr>
        <w:tc>
          <w:tcPr>
            <w:tcW w:w="4057" w:type="dxa"/>
          </w:tcPr>
          <w:p>
            <w:pPr>
              <w:pStyle w:val="TableParagraph"/>
              <w:spacing w:before="130"/>
              <w:ind w:left="1804" w:right="1772"/>
              <w:jc w:val="center"/>
              <w:rPr>
                <w:rFonts w:ascii="宋体" w:eastAsia="宋体" w:hint="eastAsia"/>
                <w:sz w:val="21"/>
              </w:rPr>
            </w:pPr>
            <w:r>
              <w:rPr>
                <w:rFonts w:ascii="宋体" w:eastAsia="宋体" w:hint="eastAsia"/>
                <w:sz w:val="21"/>
              </w:rPr>
              <w:t>项目</w:t>
            </w:r>
          </w:p>
        </w:tc>
        <w:tc>
          <w:tcPr>
            <w:tcW w:w="5017" w:type="dxa"/>
          </w:tcPr>
          <w:p>
            <w:pPr>
              <w:pStyle w:val="TableParagraph"/>
              <w:spacing w:before="130"/>
              <w:ind w:left="2284" w:right="2252"/>
              <w:jc w:val="center"/>
              <w:rPr>
                <w:rFonts w:ascii="宋体" w:eastAsia="宋体" w:hint="eastAsia"/>
                <w:sz w:val="21"/>
              </w:rPr>
            </w:pPr>
            <w:r>
              <w:rPr>
                <w:rFonts w:ascii="宋体" w:eastAsia="宋体" w:hint="eastAsia"/>
                <w:sz w:val="21"/>
              </w:rPr>
              <w:t>天数</w:t>
            </w:r>
          </w:p>
        </w:tc>
      </w:tr>
      <w:tr>
        <w:trPr>
          <w:trHeight w:val="499" w:hRule="atLeast"/>
        </w:trPr>
        <w:tc>
          <w:tcPr>
            <w:tcW w:w="4057" w:type="dxa"/>
          </w:tcPr>
          <w:p>
            <w:pPr>
              <w:pStyle w:val="TableParagraph"/>
              <w:spacing w:before="133"/>
              <w:ind w:left="121"/>
              <w:rPr>
                <w:rFonts w:ascii="宋体" w:eastAsia="宋体" w:hint="eastAsia"/>
                <w:sz w:val="21"/>
              </w:rPr>
            </w:pPr>
            <w:r>
              <w:rPr>
                <w:rFonts w:ascii="宋体" w:eastAsia="宋体" w:hint="eastAsia"/>
                <w:sz w:val="21"/>
              </w:rPr>
              <w:t>报告期末投资组合平均剩余期限</w:t>
            </w:r>
          </w:p>
        </w:tc>
        <w:tc>
          <w:tcPr>
            <w:tcW w:w="5017" w:type="dxa"/>
          </w:tcPr>
          <w:p>
            <w:pPr>
              <w:pStyle w:val="TableParagraph"/>
              <w:spacing w:before="128"/>
              <w:ind w:right="86"/>
              <w:jc w:val="right"/>
              <w:rPr>
                <w:sz w:val="21"/>
              </w:rPr>
            </w:pPr>
            <w:r>
              <w:rPr>
                <w:sz w:val="21"/>
              </w:rPr>
              <w:t>86</w:t>
            </w:r>
          </w:p>
        </w:tc>
      </w:tr>
      <w:tr>
        <w:trPr>
          <w:trHeight w:val="495" w:hRule="atLeast"/>
        </w:trPr>
        <w:tc>
          <w:tcPr>
            <w:tcW w:w="4057" w:type="dxa"/>
          </w:tcPr>
          <w:p>
            <w:pPr>
              <w:pStyle w:val="TableParagraph"/>
              <w:spacing w:before="130"/>
              <w:ind w:left="121"/>
              <w:rPr>
                <w:rFonts w:ascii="宋体" w:eastAsia="宋体" w:hint="eastAsia"/>
                <w:sz w:val="21"/>
              </w:rPr>
            </w:pPr>
            <w:r>
              <w:rPr>
                <w:rFonts w:ascii="宋体" w:eastAsia="宋体" w:hint="eastAsia"/>
                <w:sz w:val="21"/>
              </w:rPr>
              <w:t>报告期内投资组合平均剩余期限最高值</w:t>
            </w:r>
          </w:p>
        </w:tc>
        <w:tc>
          <w:tcPr>
            <w:tcW w:w="5017" w:type="dxa"/>
          </w:tcPr>
          <w:p>
            <w:pPr>
              <w:pStyle w:val="TableParagraph"/>
              <w:spacing w:before="125"/>
              <w:ind w:right="86"/>
              <w:jc w:val="right"/>
              <w:rPr>
                <w:sz w:val="21"/>
              </w:rPr>
            </w:pPr>
            <w:r>
              <w:rPr>
                <w:sz w:val="21"/>
              </w:rPr>
              <w:t>89</w:t>
            </w:r>
          </w:p>
        </w:tc>
      </w:tr>
      <w:tr>
        <w:trPr>
          <w:trHeight w:val="498" w:hRule="atLeast"/>
        </w:trPr>
        <w:tc>
          <w:tcPr>
            <w:tcW w:w="4057" w:type="dxa"/>
          </w:tcPr>
          <w:p>
            <w:pPr>
              <w:pStyle w:val="TableParagraph"/>
              <w:spacing w:before="130"/>
              <w:ind w:left="121"/>
              <w:rPr>
                <w:rFonts w:ascii="宋体" w:eastAsia="宋体" w:hint="eastAsia"/>
                <w:sz w:val="21"/>
              </w:rPr>
            </w:pPr>
            <w:r>
              <w:rPr>
                <w:rFonts w:ascii="宋体" w:eastAsia="宋体" w:hint="eastAsia"/>
                <w:sz w:val="21"/>
              </w:rPr>
              <w:t>报告期内投资组合平均剩余期限最低值</w:t>
            </w:r>
          </w:p>
        </w:tc>
        <w:tc>
          <w:tcPr>
            <w:tcW w:w="5017" w:type="dxa"/>
          </w:tcPr>
          <w:p>
            <w:pPr>
              <w:pStyle w:val="TableParagraph"/>
              <w:spacing w:before="125"/>
              <w:ind w:right="86"/>
              <w:jc w:val="right"/>
              <w:rPr>
                <w:sz w:val="21"/>
              </w:rPr>
            </w:pPr>
            <w:r>
              <w:rPr>
                <w:sz w:val="21"/>
              </w:rPr>
              <w:t>54</w:t>
            </w:r>
          </w:p>
        </w:tc>
      </w:tr>
    </w:tbl>
    <w:p>
      <w:pPr>
        <w:pStyle w:val="BodyText"/>
        <w:spacing w:before="99"/>
        <w:ind w:left="778"/>
      </w:pPr>
      <w:r>
        <w:rPr/>
        <w:t>报告期内投资组合平均剩余期限超过 </w:t>
      </w:r>
      <w:r>
        <w:rPr>
          <w:rFonts w:ascii="Times New Roman" w:eastAsia="Times New Roman"/>
        </w:rPr>
        <w:t>120 </w:t>
      </w:r>
      <w:r>
        <w:rPr/>
        <w:t>天情况说明</w:t>
      </w:r>
    </w:p>
    <w:p>
      <w:pPr>
        <w:pStyle w:val="BodyText"/>
        <w:spacing w:before="7"/>
        <w:rPr>
          <w:sz w:val="15"/>
        </w:rPr>
      </w:pPr>
    </w:p>
    <w:p>
      <w:pPr>
        <w:pStyle w:val="BodyText"/>
        <w:ind w:left="1198"/>
      </w:pPr>
      <w:r>
        <w:rPr/>
        <w:t>在本报告期内本基金不存在投资组合平均剩余期限超过 </w:t>
      </w:r>
      <w:r>
        <w:rPr>
          <w:rFonts w:ascii="Times New Roman" w:eastAsia="Times New Roman"/>
        </w:rPr>
        <w:t>120 </w:t>
      </w:r>
      <w:r>
        <w:rPr/>
        <w:t>天的情况。</w:t>
      </w:r>
    </w:p>
    <w:p>
      <w:pPr>
        <w:pStyle w:val="BodyText"/>
        <w:spacing w:before="7"/>
        <w:rPr>
          <w:sz w:val="15"/>
        </w:rPr>
      </w:pPr>
    </w:p>
    <w:p>
      <w:pPr>
        <w:pStyle w:val="ListParagraph"/>
        <w:numPr>
          <w:ilvl w:val="2"/>
          <w:numId w:val="24"/>
        </w:numPr>
        <w:tabs>
          <w:tab w:pos="1304" w:val="left" w:leader="none"/>
        </w:tabs>
        <w:spacing w:line="240" w:lineRule="auto" w:before="0" w:after="0"/>
        <w:ind w:left="1303" w:right="0" w:hanging="526"/>
        <w:jc w:val="left"/>
        <w:rPr>
          <w:sz w:val="21"/>
        </w:rPr>
      </w:pPr>
      <w:r>
        <w:rPr>
          <w:spacing w:val="-3"/>
          <w:sz w:val="21"/>
        </w:rPr>
        <w:t>报告期末投资组合平均剩余期限分布比例</w:t>
      </w:r>
    </w:p>
    <w:p>
      <w:pPr>
        <w:pStyle w:val="BodyText"/>
        <w:spacing w:before="9"/>
        <w:rPr>
          <w:sz w:val="7"/>
        </w:rPr>
      </w:pPr>
    </w:p>
    <w:tbl>
      <w:tblPr>
        <w:tblW w:w="0" w:type="auto"/>
        <w:jc w:val="left"/>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2"/>
        <w:gridCol w:w="3351"/>
        <w:gridCol w:w="2530"/>
        <w:gridCol w:w="2341"/>
      </w:tblGrid>
      <w:tr>
        <w:trPr>
          <w:trHeight w:val="966" w:hRule="atLeast"/>
        </w:trPr>
        <w:tc>
          <w:tcPr>
            <w:tcW w:w="852" w:type="dxa"/>
          </w:tcPr>
          <w:p>
            <w:pPr>
              <w:pStyle w:val="TableParagraph"/>
              <w:spacing w:before="7"/>
              <w:rPr>
                <w:rFonts w:ascii="宋体"/>
                <w:sz w:val="28"/>
              </w:rPr>
            </w:pPr>
          </w:p>
          <w:p>
            <w:pPr>
              <w:pStyle w:val="TableParagraph"/>
              <w:spacing w:before="0"/>
              <w:ind w:left="222"/>
              <w:rPr>
                <w:rFonts w:ascii="宋体" w:eastAsia="宋体" w:hint="eastAsia"/>
                <w:sz w:val="21"/>
              </w:rPr>
            </w:pPr>
            <w:r>
              <w:rPr>
                <w:rFonts w:ascii="宋体" w:eastAsia="宋体" w:hint="eastAsia"/>
                <w:sz w:val="21"/>
              </w:rPr>
              <w:t>序号</w:t>
            </w:r>
          </w:p>
        </w:tc>
        <w:tc>
          <w:tcPr>
            <w:tcW w:w="3351" w:type="dxa"/>
          </w:tcPr>
          <w:p>
            <w:pPr>
              <w:pStyle w:val="TableParagraph"/>
              <w:spacing w:before="7"/>
              <w:rPr>
                <w:rFonts w:ascii="宋体"/>
                <w:sz w:val="28"/>
              </w:rPr>
            </w:pPr>
          </w:p>
          <w:p>
            <w:pPr>
              <w:pStyle w:val="TableParagraph"/>
              <w:spacing w:before="0"/>
              <w:ind w:left="1048"/>
              <w:rPr>
                <w:rFonts w:ascii="宋体" w:eastAsia="宋体" w:hint="eastAsia"/>
                <w:sz w:val="21"/>
              </w:rPr>
            </w:pPr>
            <w:r>
              <w:rPr>
                <w:rFonts w:ascii="宋体" w:eastAsia="宋体" w:hint="eastAsia"/>
                <w:sz w:val="21"/>
              </w:rPr>
              <w:t>平均剩余期限</w:t>
            </w:r>
          </w:p>
        </w:tc>
        <w:tc>
          <w:tcPr>
            <w:tcW w:w="2530" w:type="dxa"/>
          </w:tcPr>
          <w:p>
            <w:pPr>
              <w:pStyle w:val="TableParagraph"/>
              <w:spacing w:before="130"/>
              <w:ind w:left="201" w:right="168"/>
              <w:jc w:val="center"/>
              <w:rPr>
                <w:rFonts w:ascii="宋体" w:eastAsia="宋体" w:hint="eastAsia"/>
                <w:sz w:val="21"/>
              </w:rPr>
            </w:pPr>
            <w:r>
              <w:rPr>
                <w:rFonts w:ascii="宋体" w:eastAsia="宋体" w:hint="eastAsia"/>
                <w:sz w:val="21"/>
              </w:rPr>
              <w:t>各期限资产占基金资产</w:t>
            </w:r>
          </w:p>
          <w:p>
            <w:pPr>
              <w:pStyle w:val="TableParagraph"/>
              <w:spacing w:before="5"/>
              <w:rPr>
                <w:rFonts w:ascii="宋体"/>
                <w:sz w:val="15"/>
              </w:rPr>
            </w:pPr>
          </w:p>
          <w:p>
            <w:pPr>
              <w:pStyle w:val="TableParagraph"/>
              <w:spacing w:before="0"/>
              <w:ind w:left="201" w:right="165"/>
              <w:jc w:val="center"/>
              <w:rPr>
                <w:rFonts w:ascii="宋体" w:eastAsia="宋体" w:hint="eastAsia"/>
                <w:sz w:val="21"/>
              </w:rPr>
            </w:pPr>
            <w:r>
              <w:rPr>
                <w:rFonts w:ascii="宋体" w:eastAsia="宋体" w:hint="eastAsia"/>
                <w:sz w:val="21"/>
              </w:rPr>
              <w:t>净值的比例（％）</w:t>
            </w:r>
          </w:p>
        </w:tc>
        <w:tc>
          <w:tcPr>
            <w:tcW w:w="2341" w:type="dxa"/>
          </w:tcPr>
          <w:p>
            <w:pPr>
              <w:pStyle w:val="TableParagraph"/>
              <w:spacing w:before="130"/>
              <w:ind w:left="105" w:right="75"/>
              <w:jc w:val="center"/>
              <w:rPr>
                <w:rFonts w:ascii="宋体" w:eastAsia="宋体" w:hint="eastAsia"/>
                <w:sz w:val="21"/>
              </w:rPr>
            </w:pPr>
            <w:r>
              <w:rPr>
                <w:rFonts w:ascii="宋体" w:eastAsia="宋体" w:hint="eastAsia"/>
                <w:sz w:val="21"/>
              </w:rPr>
              <w:t>各期限负债占基金资产</w:t>
            </w:r>
          </w:p>
          <w:p>
            <w:pPr>
              <w:pStyle w:val="TableParagraph"/>
              <w:spacing w:before="5"/>
              <w:rPr>
                <w:rFonts w:ascii="宋体"/>
                <w:sz w:val="15"/>
              </w:rPr>
            </w:pPr>
          </w:p>
          <w:p>
            <w:pPr>
              <w:pStyle w:val="TableParagraph"/>
              <w:spacing w:before="0"/>
              <w:ind w:left="102" w:right="75"/>
              <w:jc w:val="center"/>
              <w:rPr>
                <w:rFonts w:ascii="宋体" w:eastAsia="宋体" w:hint="eastAsia"/>
                <w:sz w:val="21"/>
              </w:rPr>
            </w:pPr>
            <w:r>
              <w:rPr>
                <w:rFonts w:ascii="宋体" w:eastAsia="宋体" w:hint="eastAsia"/>
                <w:sz w:val="21"/>
              </w:rPr>
              <w:t>净值的比例（％）</w:t>
            </w:r>
          </w:p>
        </w:tc>
      </w:tr>
    </w:tbl>
    <w:p>
      <w:pPr>
        <w:spacing w:after="0"/>
        <w:jc w:val="center"/>
        <w:rPr>
          <w:rFonts w:ascii="宋体" w:eastAsia="宋体" w:hint="eastAsia"/>
          <w:sz w:val="21"/>
        </w:rPr>
        <w:sectPr>
          <w:pgSz w:w="11910" w:h="16840"/>
          <w:pgMar w:header="877" w:footer="995" w:top="1280" w:bottom="1180" w:left="1020" w:right="900"/>
        </w:sectPr>
      </w:pPr>
    </w:p>
    <w:p>
      <w:pPr>
        <w:pStyle w:val="BodyText"/>
        <w:spacing w:before="4"/>
        <w:rPr>
          <w:sz w:val="10"/>
        </w:rPr>
      </w:pPr>
    </w:p>
    <w:tbl>
      <w:tblPr>
        <w:tblW w:w="0" w:type="auto"/>
        <w:jc w:val="left"/>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2"/>
        <w:gridCol w:w="3351"/>
        <w:gridCol w:w="2530"/>
        <w:gridCol w:w="2341"/>
      </w:tblGrid>
      <w:tr>
        <w:trPr>
          <w:trHeight w:val="496" w:hRule="atLeast"/>
        </w:trPr>
        <w:tc>
          <w:tcPr>
            <w:tcW w:w="852" w:type="dxa"/>
          </w:tcPr>
          <w:p>
            <w:pPr>
              <w:pStyle w:val="TableParagraph"/>
              <w:spacing w:before="142"/>
              <w:ind w:right="345"/>
              <w:jc w:val="right"/>
              <w:rPr>
                <w:sz w:val="21"/>
              </w:rPr>
            </w:pPr>
            <w:r>
              <w:rPr>
                <w:w w:val="100"/>
                <w:sz w:val="21"/>
              </w:rPr>
              <w:t>1</w:t>
            </w:r>
          </w:p>
        </w:tc>
        <w:tc>
          <w:tcPr>
            <w:tcW w:w="3351" w:type="dxa"/>
          </w:tcPr>
          <w:p>
            <w:pPr>
              <w:pStyle w:val="TableParagraph"/>
              <w:spacing w:before="131"/>
              <w:ind w:left="119"/>
              <w:rPr>
                <w:rFonts w:ascii="宋体" w:eastAsia="宋体" w:hint="eastAsia"/>
                <w:sz w:val="21"/>
              </w:rPr>
            </w:pPr>
            <w:r>
              <w:rPr>
                <w:sz w:val="21"/>
              </w:rPr>
              <w:t>30</w:t>
            </w:r>
            <w:r>
              <w:rPr>
                <w:rFonts w:ascii="宋体" w:eastAsia="宋体" w:hint="eastAsia"/>
                <w:sz w:val="21"/>
              </w:rPr>
              <w:t>天以内</w:t>
            </w:r>
          </w:p>
        </w:tc>
        <w:tc>
          <w:tcPr>
            <w:tcW w:w="2530" w:type="dxa"/>
          </w:tcPr>
          <w:p>
            <w:pPr>
              <w:pStyle w:val="TableParagraph"/>
              <w:spacing w:before="142"/>
              <w:ind w:right="84"/>
              <w:jc w:val="right"/>
              <w:rPr>
                <w:sz w:val="21"/>
              </w:rPr>
            </w:pPr>
            <w:r>
              <w:rPr>
                <w:sz w:val="21"/>
              </w:rPr>
              <w:t>46.78</w:t>
            </w:r>
          </w:p>
        </w:tc>
        <w:tc>
          <w:tcPr>
            <w:tcW w:w="2341" w:type="dxa"/>
          </w:tcPr>
          <w:p>
            <w:pPr>
              <w:pStyle w:val="TableParagraph"/>
              <w:spacing w:before="142"/>
              <w:ind w:right="86"/>
              <w:jc w:val="right"/>
              <w:rPr>
                <w:sz w:val="21"/>
              </w:rPr>
            </w:pPr>
            <w:r>
              <w:rPr>
                <w:sz w:val="21"/>
              </w:rPr>
              <w:t>8.14</w:t>
            </w:r>
          </w:p>
        </w:tc>
      </w:tr>
      <w:tr>
        <w:trPr>
          <w:trHeight w:val="966" w:hRule="atLeast"/>
        </w:trPr>
        <w:tc>
          <w:tcPr>
            <w:tcW w:w="852" w:type="dxa"/>
          </w:tcPr>
          <w:p>
            <w:pPr>
              <w:pStyle w:val="TableParagraph"/>
              <w:spacing w:before="0"/>
              <w:rPr>
                <w:sz w:val="20"/>
              </w:rPr>
            </w:pPr>
          </w:p>
        </w:tc>
        <w:tc>
          <w:tcPr>
            <w:tcW w:w="3351" w:type="dxa"/>
          </w:tcPr>
          <w:p>
            <w:pPr>
              <w:pStyle w:val="TableParagraph"/>
              <w:spacing w:before="133"/>
              <w:ind w:left="119"/>
              <w:rPr>
                <w:rFonts w:ascii="宋体" w:eastAsia="宋体" w:hint="eastAsia"/>
                <w:sz w:val="21"/>
              </w:rPr>
            </w:pPr>
            <w:r>
              <w:rPr>
                <w:rFonts w:ascii="宋体" w:eastAsia="宋体" w:hint="eastAsia"/>
                <w:sz w:val="21"/>
              </w:rPr>
              <w:t>其中：剩余存续期超过</w:t>
            </w:r>
            <w:r>
              <w:rPr>
                <w:sz w:val="21"/>
              </w:rPr>
              <w:t>397</w:t>
            </w:r>
            <w:r>
              <w:rPr>
                <w:rFonts w:ascii="宋体" w:eastAsia="宋体" w:hint="eastAsia"/>
                <w:sz w:val="21"/>
              </w:rPr>
              <w:t>天的浮</w:t>
            </w:r>
          </w:p>
          <w:p>
            <w:pPr>
              <w:pStyle w:val="TableParagraph"/>
              <w:spacing w:before="196"/>
              <w:ind w:left="119"/>
              <w:rPr>
                <w:rFonts w:ascii="宋体" w:eastAsia="宋体" w:hint="eastAsia"/>
                <w:sz w:val="21"/>
              </w:rPr>
            </w:pPr>
            <w:r>
              <w:rPr>
                <w:rFonts w:ascii="宋体" w:eastAsia="宋体" w:hint="eastAsia"/>
                <w:sz w:val="21"/>
              </w:rPr>
              <w:t>动利率债</w:t>
            </w:r>
          </w:p>
        </w:tc>
        <w:tc>
          <w:tcPr>
            <w:tcW w:w="2530" w:type="dxa"/>
          </w:tcPr>
          <w:p>
            <w:pPr>
              <w:pStyle w:val="TableParagraph"/>
              <w:spacing w:before="5"/>
              <w:rPr>
                <w:rFonts w:ascii="宋体"/>
                <w:sz w:val="29"/>
              </w:rPr>
            </w:pPr>
          </w:p>
          <w:p>
            <w:pPr>
              <w:pStyle w:val="TableParagraph"/>
              <w:spacing w:before="0"/>
              <w:ind w:right="85"/>
              <w:jc w:val="right"/>
              <w:rPr>
                <w:sz w:val="21"/>
              </w:rPr>
            </w:pPr>
            <w:r>
              <w:rPr>
                <w:w w:val="100"/>
                <w:sz w:val="21"/>
              </w:rPr>
              <w:t>-</w:t>
            </w:r>
          </w:p>
        </w:tc>
        <w:tc>
          <w:tcPr>
            <w:tcW w:w="2341" w:type="dxa"/>
          </w:tcPr>
          <w:p>
            <w:pPr>
              <w:pStyle w:val="TableParagraph"/>
              <w:spacing w:before="5"/>
              <w:rPr>
                <w:rFonts w:ascii="宋体"/>
                <w:sz w:val="29"/>
              </w:rPr>
            </w:pPr>
          </w:p>
          <w:p>
            <w:pPr>
              <w:pStyle w:val="TableParagraph"/>
              <w:spacing w:before="0"/>
              <w:ind w:right="88"/>
              <w:jc w:val="right"/>
              <w:rPr>
                <w:sz w:val="21"/>
              </w:rPr>
            </w:pPr>
            <w:r>
              <w:rPr>
                <w:w w:val="100"/>
                <w:sz w:val="21"/>
              </w:rPr>
              <w:t>-</w:t>
            </w:r>
          </w:p>
        </w:tc>
      </w:tr>
      <w:tr>
        <w:trPr>
          <w:trHeight w:val="495" w:hRule="atLeast"/>
        </w:trPr>
        <w:tc>
          <w:tcPr>
            <w:tcW w:w="852" w:type="dxa"/>
          </w:tcPr>
          <w:p>
            <w:pPr>
              <w:pStyle w:val="TableParagraph"/>
              <w:spacing w:before="142"/>
              <w:ind w:right="345"/>
              <w:jc w:val="right"/>
              <w:rPr>
                <w:sz w:val="21"/>
              </w:rPr>
            </w:pPr>
            <w:r>
              <w:rPr>
                <w:w w:val="100"/>
                <w:sz w:val="21"/>
              </w:rPr>
              <w:t>2</w:t>
            </w:r>
          </w:p>
        </w:tc>
        <w:tc>
          <w:tcPr>
            <w:tcW w:w="3351" w:type="dxa"/>
          </w:tcPr>
          <w:p>
            <w:pPr>
              <w:pStyle w:val="TableParagraph"/>
              <w:spacing w:before="130"/>
              <w:ind w:left="119"/>
              <w:rPr>
                <w:rFonts w:ascii="宋体" w:hAnsi="宋体" w:eastAsia="宋体" w:hint="eastAsia"/>
                <w:sz w:val="21"/>
              </w:rPr>
            </w:pPr>
            <w:r>
              <w:rPr>
                <w:sz w:val="21"/>
              </w:rPr>
              <w:t>30</w:t>
            </w:r>
            <w:r>
              <w:rPr>
                <w:rFonts w:ascii="宋体" w:hAnsi="宋体" w:eastAsia="宋体" w:hint="eastAsia"/>
                <w:sz w:val="21"/>
              </w:rPr>
              <w:t>天（含）</w:t>
            </w:r>
            <w:r>
              <w:rPr>
                <w:sz w:val="21"/>
              </w:rPr>
              <w:t>—60</w:t>
            </w:r>
            <w:r>
              <w:rPr>
                <w:rFonts w:ascii="宋体" w:hAnsi="宋体" w:eastAsia="宋体" w:hint="eastAsia"/>
                <w:sz w:val="21"/>
              </w:rPr>
              <w:t>天</w:t>
            </w:r>
          </w:p>
        </w:tc>
        <w:tc>
          <w:tcPr>
            <w:tcW w:w="2530" w:type="dxa"/>
          </w:tcPr>
          <w:p>
            <w:pPr>
              <w:pStyle w:val="TableParagraph"/>
              <w:spacing w:before="142"/>
              <w:ind w:right="84"/>
              <w:jc w:val="right"/>
              <w:rPr>
                <w:sz w:val="21"/>
              </w:rPr>
            </w:pPr>
            <w:r>
              <w:rPr>
                <w:sz w:val="21"/>
              </w:rPr>
              <w:t>14.80</w:t>
            </w:r>
          </w:p>
        </w:tc>
        <w:tc>
          <w:tcPr>
            <w:tcW w:w="2341" w:type="dxa"/>
          </w:tcPr>
          <w:p>
            <w:pPr>
              <w:pStyle w:val="TableParagraph"/>
              <w:spacing w:before="142"/>
              <w:ind w:right="88"/>
              <w:jc w:val="right"/>
              <w:rPr>
                <w:sz w:val="21"/>
              </w:rPr>
            </w:pPr>
            <w:r>
              <w:rPr>
                <w:w w:val="100"/>
                <w:sz w:val="21"/>
              </w:rPr>
              <w:t>-</w:t>
            </w:r>
          </w:p>
        </w:tc>
      </w:tr>
      <w:tr>
        <w:trPr>
          <w:trHeight w:val="964" w:hRule="atLeast"/>
        </w:trPr>
        <w:tc>
          <w:tcPr>
            <w:tcW w:w="852" w:type="dxa"/>
          </w:tcPr>
          <w:p>
            <w:pPr>
              <w:pStyle w:val="TableParagraph"/>
              <w:spacing w:before="0"/>
              <w:rPr>
                <w:sz w:val="20"/>
              </w:rPr>
            </w:pPr>
          </w:p>
        </w:tc>
        <w:tc>
          <w:tcPr>
            <w:tcW w:w="3351" w:type="dxa"/>
          </w:tcPr>
          <w:p>
            <w:pPr>
              <w:pStyle w:val="TableParagraph"/>
              <w:spacing w:before="130"/>
              <w:ind w:left="119"/>
              <w:rPr>
                <w:rFonts w:ascii="宋体" w:eastAsia="宋体" w:hint="eastAsia"/>
                <w:sz w:val="21"/>
              </w:rPr>
            </w:pPr>
            <w:r>
              <w:rPr>
                <w:rFonts w:ascii="宋体" w:eastAsia="宋体" w:hint="eastAsia"/>
                <w:sz w:val="21"/>
              </w:rPr>
              <w:t>其中：剩余存续期超过</w:t>
            </w:r>
            <w:r>
              <w:rPr>
                <w:sz w:val="21"/>
              </w:rPr>
              <w:t>397</w:t>
            </w:r>
            <w:r>
              <w:rPr>
                <w:rFonts w:ascii="宋体" w:eastAsia="宋体" w:hint="eastAsia"/>
                <w:sz w:val="21"/>
              </w:rPr>
              <w:t>天的浮</w:t>
            </w:r>
          </w:p>
          <w:p>
            <w:pPr>
              <w:pStyle w:val="TableParagraph"/>
              <w:spacing w:before="197"/>
              <w:ind w:left="119"/>
              <w:rPr>
                <w:rFonts w:ascii="宋体" w:eastAsia="宋体" w:hint="eastAsia"/>
                <w:sz w:val="21"/>
              </w:rPr>
            </w:pPr>
            <w:r>
              <w:rPr>
                <w:rFonts w:ascii="宋体" w:eastAsia="宋体" w:hint="eastAsia"/>
                <w:sz w:val="21"/>
              </w:rPr>
              <w:t>动利率债</w:t>
            </w:r>
          </w:p>
        </w:tc>
        <w:tc>
          <w:tcPr>
            <w:tcW w:w="2530" w:type="dxa"/>
          </w:tcPr>
          <w:p>
            <w:pPr>
              <w:pStyle w:val="TableParagraph"/>
              <w:spacing w:before="5"/>
              <w:rPr>
                <w:rFonts w:ascii="宋体"/>
                <w:sz w:val="29"/>
              </w:rPr>
            </w:pPr>
          </w:p>
          <w:p>
            <w:pPr>
              <w:pStyle w:val="TableParagraph"/>
              <w:spacing w:before="0"/>
              <w:ind w:right="84"/>
              <w:jc w:val="right"/>
              <w:rPr>
                <w:sz w:val="21"/>
              </w:rPr>
            </w:pPr>
            <w:r>
              <w:rPr>
                <w:sz w:val="21"/>
              </w:rPr>
              <w:t>7.94</w:t>
            </w:r>
          </w:p>
        </w:tc>
        <w:tc>
          <w:tcPr>
            <w:tcW w:w="2341" w:type="dxa"/>
          </w:tcPr>
          <w:p>
            <w:pPr>
              <w:pStyle w:val="TableParagraph"/>
              <w:spacing w:before="5"/>
              <w:rPr>
                <w:rFonts w:ascii="宋体"/>
                <w:sz w:val="29"/>
              </w:rPr>
            </w:pPr>
          </w:p>
          <w:p>
            <w:pPr>
              <w:pStyle w:val="TableParagraph"/>
              <w:spacing w:before="0"/>
              <w:ind w:right="88"/>
              <w:jc w:val="right"/>
              <w:rPr>
                <w:sz w:val="21"/>
              </w:rPr>
            </w:pPr>
            <w:r>
              <w:rPr>
                <w:w w:val="100"/>
                <w:sz w:val="21"/>
              </w:rPr>
              <w:t>-</w:t>
            </w:r>
          </w:p>
        </w:tc>
      </w:tr>
      <w:tr>
        <w:trPr>
          <w:trHeight w:val="498" w:hRule="atLeast"/>
        </w:trPr>
        <w:tc>
          <w:tcPr>
            <w:tcW w:w="852" w:type="dxa"/>
          </w:tcPr>
          <w:p>
            <w:pPr>
              <w:pStyle w:val="TableParagraph"/>
              <w:spacing w:before="144"/>
              <w:ind w:right="345"/>
              <w:jc w:val="right"/>
              <w:rPr>
                <w:sz w:val="21"/>
              </w:rPr>
            </w:pPr>
            <w:r>
              <w:rPr>
                <w:w w:val="100"/>
                <w:sz w:val="21"/>
              </w:rPr>
              <w:t>3</w:t>
            </w:r>
          </w:p>
        </w:tc>
        <w:tc>
          <w:tcPr>
            <w:tcW w:w="3351" w:type="dxa"/>
          </w:tcPr>
          <w:p>
            <w:pPr>
              <w:pStyle w:val="TableParagraph"/>
              <w:spacing w:before="133"/>
              <w:ind w:left="119"/>
              <w:rPr>
                <w:rFonts w:ascii="宋体" w:hAnsi="宋体" w:eastAsia="宋体" w:hint="eastAsia"/>
                <w:sz w:val="21"/>
              </w:rPr>
            </w:pPr>
            <w:r>
              <w:rPr>
                <w:sz w:val="21"/>
              </w:rPr>
              <w:t>60</w:t>
            </w:r>
            <w:r>
              <w:rPr>
                <w:rFonts w:ascii="宋体" w:hAnsi="宋体" w:eastAsia="宋体" w:hint="eastAsia"/>
                <w:sz w:val="21"/>
              </w:rPr>
              <w:t>天（含）</w:t>
            </w:r>
            <w:r>
              <w:rPr>
                <w:sz w:val="21"/>
              </w:rPr>
              <w:t>—90</w:t>
            </w:r>
            <w:r>
              <w:rPr>
                <w:rFonts w:ascii="宋体" w:hAnsi="宋体" w:eastAsia="宋体" w:hint="eastAsia"/>
                <w:sz w:val="21"/>
              </w:rPr>
              <w:t>天</w:t>
            </w:r>
          </w:p>
        </w:tc>
        <w:tc>
          <w:tcPr>
            <w:tcW w:w="2530" w:type="dxa"/>
          </w:tcPr>
          <w:p>
            <w:pPr>
              <w:pStyle w:val="TableParagraph"/>
              <w:spacing w:before="144"/>
              <w:ind w:right="84"/>
              <w:jc w:val="right"/>
              <w:rPr>
                <w:sz w:val="21"/>
              </w:rPr>
            </w:pPr>
            <w:r>
              <w:rPr>
                <w:sz w:val="21"/>
              </w:rPr>
              <w:t>4.46</w:t>
            </w:r>
          </w:p>
        </w:tc>
        <w:tc>
          <w:tcPr>
            <w:tcW w:w="2341" w:type="dxa"/>
          </w:tcPr>
          <w:p>
            <w:pPr>
              <w:pStyle w:val="TableParagraph"/>
              <w:spacing w:before="144"/>
              <w:ind w:right="88"/>
              <w:jc w:val="right"/>
              <w:rPr>
                <w:sz w:val="21"/>
              </w:rPr>
            </w:pPr>
            <w:r>
              <w:rPr>
                <w:w w:val="100"/>
                <w:sz w:val="21"/>
              </w:rPr>
              <w:t>-</w:t>
            </w:r>
          </w:p>
        </w:tc>
      </w:tr>
      <w:tr>
        <w:trPr>
          <w:trHeight w:val="964" w:hRule="atLeast"/>
        </w:trPr>
        <w:tc>
          <w:tcPr>
            <w:tcW w:w="852" w:type="dxa"/>
          </w:tcPr>
          <w:p>
            <w:pPr>
              <w:pStyle w:val="TableParagraph"/>
              <w:spacing w:before="0"/>
              <w:rPr>
                <w:sz w:val="20"/>
              </w:rPr>
            </w:pPr>
          </w:p>
        </w:tc>
        <w:tc>
          <w:tcPr>
            <w:tcW w:w="3351" w:type="dxa"/>
          </w:tcPr>
          <w:p>
            <w:pPr>
              <w:pStyle w:val="TableParagraph"/>
              <w:spacing w:before="130"/>
              <w:ind w:left="119"/>
              <w:rPr>
                <w:rFonts w:ascii="宋体" w:eastAsia="宋体" w:hint="eastAsia"/>
                <w:sz w:val="21"/>
              </w:rPr>
            </w:pPr>
            <w:r>
              <w:rPr>
                <w:rFonts w:ascii="宋体" w:eastAsia="宋体" w:hint="eastAsia"/>
                <w:sz w:val="21"/>
              </w:rPr>
              <w:t>其中：剩余存续期超过</w:t>
            </w:r>
            <w:r>
              <w:rPr>
                <w:sz w:val="21"/>
              </w:rPr>
              <w:t>397</w:t>
            </w:r>
            <w:r>
              <w:rPr>
                <w:rFonts w:ascii="宋体" w:eastAsia="宋体" w:hint="eastAsia"/>
                <w:sz w:val="21"/>
              </w:rPr>
              <w:t>天的浮</w:t>
            </w:r>
          </w:p>
          <w:p>
            <w:pPr>
              <w:pStyle w:val="TableParagraph"/>
              <w:spacing w:before="197"/>
              <w:ind w:left="119"/>
              <w:rPr>
                <w:rFonts w:ascii="宋体" w:eastAsia="宋体" w:hint="eastAsia"/>
                <w:sz w:val="21"/>
              </w:rPr>
            </w:pPr>
            <w:r>
              <w:rPr>
                <w:rFonts w:ascii="宋体" w:eastAsia="宋体" w:hint="eastAsia"/>
                <w:sz w:val="21"/>
              </w:rPr>
              <w:t>动利率债</w:t>
            </w:r>
          </w:p>
        </w:tc>
        <w:tc>
          <w:tcPr>
            <w:tcW w:w="2530" w:type="dxa"/>
          </w:tcPr>
          <w:p>
            <w:pPr>
              <w:pStyle w:val="TableParagraph"/>
              <w:spacing w:before="5"/>
              <w:rPr>
                <w:rFonts w:ascii="宋体"/>
                <w:sz w:val="29"/>
              </w:rPr>
            </w:pPr>
          </w:p>
          <w:p>
            <w:pPr>
              <w:pStyle w:val="TableParagraph"/>
              <w:spacing w:before="0"/>
              <w:ind w:right="85"/>
              <w:jc w:val="right"/>
              <w:rPr>
                <w:sz w:val="21"/>
              </w:rPr>
            </w:pPr>
            <w:r>
              <w:rPr>
                <w:w w:val="100"/>
                <w:sz w:val="21"/>
              </w:rPr>
              <w:t>-</w:t>
            </w:r>
          </w:p>
        </w:tc>
        <w:tc>
          <w:tcPr>
            <w:tcW w:w="2341" w:type="dxa"/>
          </w:tcPr>
          <w:p>
            <w:pPr>
              <w:pStyle w:val="TableParagraph"/>
              <w:spacing w:before="5"/>
              <w:rPr>
                <w:rFonts w:ascii="宋体"/>
                <w:sz w:val="29"/>
              </w:rPr>
            </w:pPr>
          </w:p>
          <w:p>
            <w:pPr>
              <w:pStyle w:val="TableParagraph"/>
              <w:spacing w:before="0"/>
              <w:ind w:right="88"/>
              <w:jc w:val="right"/>
              <w:rPr>
                <w:sz w:val="21"/>
              </w:rPr>
            </w:pPr>
            <w:r>
              <w:rPr>
                <w:w w:val="100"/>
                <w:sz w:val="21"/>
              </w:rPr>
              <w:t>-</w:t>
            </w:r>
          </w:p>
        </w:tc>
      </w:tr>
      <w:tr>
        <w:trPr>
          <w:trHeight w:val="498" w:hRule="atLeast"/>
        </w:trPr>
        <w:tc>
          <w:tcPr>
            <w:tcW w:w="852" w:type="dxa"/>
          </w:tcPr>
          <w:p>
            <w:pPr>
              <w:pStyle w:val="TableParagraph"/>
              <w:spacing w:before="144"/>
              <w:ind w:right="345"/>
              <w:jc w:val="right"/>
              <w:rPr>
                <w:sz w:val="21"/>
              </w:rPr>
            </w:pPr>
            <w:r>
              <w:rPr>
                <w:w w:val="100"/>
                <w:sz w:val="21"/>
              </w:rPr>
              <w:t>4</w:t>
            </w:r>
          </w:p>
        </w:tc>
        <w:tc>
          <w:tcPr>
            <w:tcW w:w="3351" w:type="dxa"/>
          </w:tcPr>
          <w:p>
            <w:pPr>
              <w:pStyle w:val="TableParagraph"/>
              <w:spacing w:before="132"/>
              <w:ind w:left="119"/>
              <w:rPr>
                <w:rFonts w:ascii="宋体" w:hAnsi="宋体" w:eastAsia="宋体" w:hint="eastAsia"/>
                <w:sz w:val="21"/>
              </w:rPr>
            </w:pPr>
            <w:r>
              <w:rPr>
                <w:sz w:val="21"/>
              </w:rPr>
              <w:t>90</w:t>
            </w:r>
            <w:r>
              <w:rPr>
                <w:rFonts w:ascii="宋体" w:hAnsi="宋体" w:eastAsia="宋体" w:hint="eastAsia"/>
                <w:sz w:val="21"/>
              </w:rPr>
              <w:t>天（含）</w:t>
            </w:r>
            <w:r>
              <w:rPr>
                <w:sz w:val="21"/>
              </w:rPr>
              <w:t>—120</w:t>
            </w:r>
            <w:r>
              <w:rPr>
                <w:rFonts w:ascii="宋体" w:hAnsi="宋体" w:eastAsia="宋体" w:hint="eastAsia"/>
                <w:sz w:val="21"/>
              </w:rPr>
              <w:t>天</w:t>
            </w:r>
          </w:p>
        </w:tc>
        <w:tc>
          <w:tcPr>
            <w:tcW w:w="2530" w:type="dxa"/>
          </w:tcPr>
          <w:p>
            <w:pPr>
              <w:pStyle w:val="TableParagraph"/>
              <w:spacing w:before="144"/>
              <w:ind w:right="84"/>
              <w:jc w:val="right"/>
              <w:rPr>
                <w:sz w:val="21"/>
              </w:rPr>
            </w:pPr>
            <w:r>
              <w:rPr>
                <w:sz w:val="21"/>
              </w:rPr>
              <w:t>7.43</w:t>
            </w:r>
          </w:p>
        </w:tc>
        <w:tc>
          <w:tcPr>
            <w:tcW w:w="2341" w:type="dxa"/>
          </w:tcPr>
          <w:p>
            <w:pPr>
              <w:pStyle w:val="TableParagraph"/>
              <w:spacing w:before="144"/>
              <w:ind w:right="88"/>
              <w:jc w:val="right"/>
              <w:rPr>
                <w:sz w:val="21"/>
              </w:rPr>
            </w:pPr>
            <w:r>
              <w:rPr>
                <w:w w:val="100"/>
                <w:sz w:val="21"/>
              </w:rPr>
              <w:t>-</w:t>
            </w:r>
          </w:p>
        </w:tc>
      </w:tr>
      <w:tr>
        <w:trPr>
          <w:trHeight w:val="964" w:hRule="atLeast"/>
        </w:trPr>
        <w:tc>
          <w:tcPr>
            <w:tcW w:w="852" w:type="dxa"/>
          </w:tcPr>
          <w:p>
            <w:pPr>
              <w:pStyle w:val="TableParagraph"/>
              <w:spacing w:before="0"/>
              <w:rPr>
                <w:sz w:val="20"/>
              </w:rPr>
            </w:pPr>
          </w:p>
        </w:tc>
        <w:tc>
          <w:tcPr>
            <w:tcW w:w="3351" w:type="dxa"/>
          </w:tcPr>
          <w:p>
            <w:pPr>
              <w:pStyle w:val="TableParagraph"/>
              <w:spacing w:before="130"/>
              <w:ind w:left="119"/>
              <w:rPr>
                <w:rFonts w:ascii="宋体" w:eastAsia="宋体" w:hint="eastAsia"/>
                <w:sz w:val="21"/>
              </w:rPr>
            </w:pPr>
            <w:r>
              <w:rPr>
                <w:rFonts w:ascii="宋体" w:eastAsia="宋体" w:hint="eastAsia"/>
                <w:sz w:val="21"/>
              </w:rPr>
              <w:t>其中：剩余存续期超过</w:t>
            </w:r>
            <w:r>
              <w:rPr>
                <w:sz w:val="21"/>
              </w:rPr>
              <w:t>397</w:t>
            </w:r>
            <w:r>
              <w:rPr>
                <w:rFonts w:ascii="宋体" w:eastAsia="宋体" w:hint="eastAsia"/>
                <w:sz w:val="21"/>
              </w:rPr>
              <w:t>天的浮</w:t>
            </w:r>
          </w:p>
          <w:p>
            <w:pPr>
              <w:pStyle w:val="TableParagraph"/>
              <w:spacing w:before="197"/>
              <w:ind w:left="119"/>
              <w:rPr>
                <w:rFonts w:ascii="宋体" w:eastAsia="宋体" w:hint="eastAsia"/>
                <w:sz w:val="21"/>
              </w:rPr>
            </w:pPr>
            <w:r>
              <w:rPr>
                <w:rFonts w:ascii="宋体" w:eastAsia="宋体" w:hint="eastAsia"/>
                <w:sz w:val="21"/>
              </w:rPr>
              <w:t>动利率债</w:t>
            </w:r>
          </w:p>
        </w:tc>
        <w:tc>
          <w:tcPr>
            <w:tcW w:w="2530" w:type="dxa"/>
          </w:tcPr>
          <w:p>
            <w:pPr>
              <w:pStyle w:val="TableParagraph"/>
              <w:spacing w:before="5"/>
              <w:rPr>
                <w:rFonts w:ascii="宋体"/>
                <w:sz w:val="29"/>
              </w:rPr>
            </w:pPr>
          </w:p>
          <w:p>
            <w:pPr>
              <w:pStyle w:val="TableParagraph"/>
              <w:spacing w:before="0"/>
              <w:ind w:right="85"/>
              <w:jc w:val="right"/>
              <w:rPr>
                <w:sz w:val="21"/>
              </w:rPr>
            </w:pPr>
            <w:r>
              <w:rPr>
                <w:w w:val="100"/>
                <w:sz w:val="21"/>
              </w:rPr>
              <w:t>-</w:t>
            </w:r>
          </w:p>
        </w:tc>
        <w:tc>
          <w:tcPr>
            <w:tcW w:w="2341" w:type="dxa"/>
          </w:tcPr>
          <w:p>
            <w:pPr>
              <w:pStyle w:val="TableParagraph"/>
              <w:spacing w:before="5"/>
              <w:rPr>
                <w:rFonts w:ascii="宋体"/>
                <w:sz w:val="29"/>
              </w:rPr>
            </w:pPr>
          </w:p>
          <w:p>
            <w:pPr>
              <w:pStyle w:val="TableParagraph"/>
              <w:spacing w:before="0"/>
              <w:ind w:right="88"/>
              <w:jc w:val="right"/>
              <w:rPr>
                <w:sz w:val="21"/>
              </w:rPr>
            </w:pPr>
            <w:r>
              <w:rPr>
                <w:w w:val="100"/>
                <w:sz w:val="21"/>
              </w:rPr>
              <w:t>-</w:t>
            </w:r>
          </w:p>
        </w:tc>
      </w:tr>
      <w:tr>
        <w:trPr>
          <w:trHeight w:val="498" w:hRule="atLeast"/>
        </w:trPr>
        <w:tc>
          <w:tcPr>
            <w:tcW w:w="852" w:type="dxa"/>
          </w:tcPr>
          <w:p>
            <w:pPr>
              <w:pStyle w:val="TableParagraph"/>
              <w:spacing w:before="142"/>
              <w:ind w:right="345"/>
              <w:jc w:val="right"/>
              <w:rPr>
                <w:sz w:val="21"/>
              </w:rPr>
            </w:pPr>
            <w:r>
              <w:rPr>
                <w:w w:val="100"/>
                <w:sz w:val="21"/>
              </w:rPr>
              <w:t>5</w:t>
            </w:r>
          </w:p>
        </w:tc>
        <w:tc>
          <w:tcPr>
            <w:tcW w:w="3351" w:type="dxa"/>
          </w:tcPr>
          <w:p>
            <w:pPr>
              <w:pStyle w:val="TableParagraph"/>
              <w:spacing w:before="130"/>
              <w:ind w:left="119"/>
              <w:rPr>
                <w:rFonts w:ascii="宋体" w:hAnsi="宋体" w:eastAsia="宋体" w:hint="eastAsia"/>
                <w:sz w:val="21"/>
              </w:rPr>
            </w:pPr>
            <w:r>
              <w:rPr>
                <w:sz w:val="21"/>
              </w:rPr>
              <w:t>120</w:t>
            </w:r>
            <w:r>
              <w:rPr>
                <w:rFonts w:ascii="宋体" w:hAnsi="宋体" w:eastAsia="宋体" w:hint="eastAsia"/>
                <w:sz w:val="21"/>
              </w:rPr>
              <w:t>天（含）</w:t>
            </w:r>
            <w:r>
              <w:rPr>
                <w:sz w:val="21"/>
              </w:rPr>
              <w:t>—397</w:t>
            </w:r>
            <w:r>
              <w:rPr>
                <w:rFonts w:ascii="宋体" w:hAnsi="宋体" w:eastAsia="宋体" w:hint="eastAsia"/>
                <w:sz w:val="21"/>
              </w:rPr>
              <w:t>天（含）</w:t>
            </w:r>
          </w:p>
        </w:tc>
        <w:tc>
          <w:tcPr>
            <w:tcW w:w="2530" w:type="dxa"/>
          </w:tcPr>
          <w:p>
            <w:pPr>
              <w:pStyle w:val="TableParagraph"/>
              <w:spacing w:before="142"/>
              <w:ind w:right="84"/>
              <w:jc w:val="right"/>
              <w:rPr>
                <w:sz w:val="21"/>
              </w:rPr>
            </w:pPr>
            <w:r>
              <w:rPr>
                <w:sz w:val="21"/>
              </w:rPr>
              <w:t>31.98</w:t>
            </w:r>
          </w:p>
        </w:tc>
        <w:tc>
          <w:tcPr>
            <w:tcW w:w="2341" w:type="dxa"/>
          </w:tcPr>
          <w:p>
            <w:pPr>
              <w:pStyle w:val="TableParagraph"/>
              <w:spacing w:before="142"/>
              <w:ind w:right="88"/>
              <w:jc w:val="right"/>
              <w:rPr>
                <w:sz w:val="21"/>
              </w:rPr>
            </w:pPr>
            <w:r>
              <w:rPr>
                <w:w w:val="100"/>
                <w:sz w:val="21"/>
              </w:rPr>
              <w:t>-</w:t>
            </w:r>
          </w:p>
        </w:tc>
      </w:tr>
      <w:tr>
        <w:trPr>
          <w:trHeight w:val="964" w:hRule="atLeast"/>
        </w:trPr>
        <w:tc>
          <w:tcPr>
            <w:tcW w:w="852" w:type="dxa"/>
          </w:tcPr>
          <w:p>
            <w:pPr>
              <w:pStyle w:val="TableParagraph"/>
              <w:spacing w:before="0"/>
              <w:rPr>
                <w:sz w:val="20"/>
              </w:rPr>
            </w:pPr>
          </w:p>
        </w:tc>
        <w:tc>
          <w:tcPr>
            <w:tcW w:w="3351" w:type="dxa"/>
          </w:tcPr>
          <w:p>
            <w:pPr>
              <w:pStyle w:val="TableParagraph"/>
              <w:spacing w:before="131"/>
              <w:ind w:left="119"/>
              <w:rPr>
                <w:rFonts w:ascii="宋体" w:eastAsia="宋体" w:hint="eastAsia"/>
                <w:sz w:val="21"/>
              </w:rPr>
            </w:pPr>
            <w:r>
              <w:rPr>
                <w:rFonts w:ascii="宋体" w:eastAsia="宋体" w:hint="eastAsia"/>
                <w:sz w:val="21"/>
              </w:rPr>
              <w:t>其中：剩余存续期超过</w:t>
            </w:r>
            <w:r>
              <w:rPr>
                <w:sz w:val="21"/>
              </w:rPr>
              <w:t>397</w:t>
            </w:r>
            <w:r>
              <w:rPr>
                <w:rFonts w:ascii="宋体" w:eastAsia="宋体" w:hint="eastAsia"/>
                <w:sz w:val="21"/>
              </w:rPr>
              <w:t>天的浮</w:t>
            </w:r>
          </w:p>
          <w:p>
            <w:pPr>
              <w:pStyle w:val="TableParagraph"/>
              <w:spacing w:before="196"/>
              <w:ind w:left="119"/>
              <w:rPr>
                <w:rFonts w:ascii="宋体" w:eastAsia="宋体" w:hint="eastAsia"/>
                <w:sz w:val="21"/>
              </w:rPr>
            </w:pPr>
            <w:r>
              <w:rPr>
                <w:rFonts w:ascii="宋体" w:eastAsia="宋体" w:hint="eastAsia"/>
                <w:sz w:val="21"/>
              </w:rPr>
              <w:t>动利率债</w:t>
            </w:r>
          </w:p>
        </w:tc>
        <w:tc>
          <w:tcPr>
            <w:tcW w:w="2530" w:type="dxa"/>
          </w:tcPr>
          <w:p>
            <w:pPr>
              <w:pStyle w:val="TableParagraph"/>
              <w:spacing w:before="3"/>
              <w:rPr>
                <w:rFonts w:ascii="宋体"/>
                <w:sz w:val="29"/>
              </w:rPr>
            </w:pPr>
          </w:p>
          <w:p>
            <w:pPr>
              <w:pStyle w:val="TableParagraph"/>
              <w:spacing w:before="0"/>
              <w:ind w:right="85"/>
              <w:jc w:val="right"/>
              <w:rPr>
                <w:sz w:val="21"/>
              </w:rPr>
            </w:pPr>
            <w:r>
              <w:rPr>
                <w:w w:val="100"/>
                <w:sz w:val="21"/>
              </w:rPr>
              <w:t>-</w:t>
            </w:r>
          </w:p>
        </w:tc>
        <w:tc>
          <w:tcPr>
            <w:tcW w:w="2341" w:type="dxa"/>
          </w:tcPr>
          <w:p>
            <w:pPr>
              <w:pStyle w:val="TableParagraph"/>
              <w:spacing w:before="3"/>
              <w:rPr>
                <w:rFonts w:ascii="宋体"/>
                <w:sz w:val="29"/>
              </w:rPr>
            </w:pPr>
          </w:p>
          <w:p>
            <w:pPr>
              <w:pStyle w:val="TableParagraph"/>
              <w:spacing w:before="0"/>
              <w:ind w:right="88"/>
              <w:jc w:val="right"/>
              <w:rPr>
                <w:sz w:val="21"/>
              </w:rPr>
            </w:pPr>
            <w:r>
              <w:rPr>
                <w:w w:val="100"/>
                <w:sz w:val="21"/>
              </w:rPr>
              <w:t>-</w:t>
            </w:r>
          </w:p>
        </w:tc>
      </w:tr>
      <w:tr>
        <w:trPr>
          <w:trHeight w:val="498" w:hRule="atLeast"/>
        </w:trPr>
        <w:tc>
          <w:tcPr>
            <w:tcW w:w="4203" w:type="dxa"/>
            <w:gridSpan w:val="2"/>
          </w:tcPr>
          <w:p>
            <w:pPr>
              <w:pStyle w:val="TableParagraph"/>
              <w:spacing w:before="130"/>
              <w:ind w:left="1879" w:right="1844"/>
              <w:jc w:val="center"/>
              <w:rPr>
                <w:rFonts w:ascii="宋体" w:eastAsia="宋体" w:hint="eastAsia"/>
                <w:sz w:val="21"/>
              </w:rPr>
            </w:pPr>
            <w:r>
              <w:rPr>
                <w:rFonts w:ascii="宋体" w:eastAsia="宋体" w:hint="eastAsia"/>
                <w:sz w:val="21"/>
              </w:rPr>
              <w:t>合计</w:t>
            </w:r>
          </w:p>
        </w:tc>
        <w:tc>
          <w:tcPr>
            <w:tcW w:w="2530" w:type="dxa"/>
          </w:tcPr>
          <w:p>
            <w:pPr>
              <w:pStyle w:val="TableParagraph"/>
              <w:spacing w:before="142"/>
              <w:ind w:right="84"/>
              <w:jc w:val="right"/>
              <w:rPr>
                <w:sz w:val="21"/>
              </w:rPr>
            </w:pPr>
            <w:r>
              <w:rPr>
                <w:sz w:val="21"/>
              </w:rPr>
              <w:t>105.45</w:t>
            </w:r>
          </w:p>
        </w:tc>
        <w:tc>
          <w:tcPr>
            <w:tcW w:w="2341" w:type="dxa"/>
          </w:tcPr>
          <w:p>
            <w:pPr>
              <w:pStyle w:val="TableParagraph"/>
              <w:spacing w:before="142"/>
              <w:ind w:right="86"/>
              <w:jc w:val="right"/>
              <w:rPr>
                <w:sz w:val="21"/>
              </w:rPr>
            </w:pPr>
            <w:r>
              <w:rPr>
                <w:sz w:val="21"/>
              </w:rPr>
              <w:t>8.14</w:t>
            </w:r>
          </w:p>
        </w:tc>
      </w:tr>
    </w:tbl>
    <w:p>
      <w:pPr>
        <w:pStyle w:val="ListParagraph"/>
        <w:numPr>
          <w:ilvl w:val="1"/>
          <w:numId w:val="24"/>
        </w:numPr>
        <w:tabs>
          <w:tab w:pos="1148" w:val="left" w:leader="none"/>
        </w:tabs>
        <w:spacing w:line="240" w:lineRule="auto" w:before="99" w:after="0"/>
        <w:ind w:left="1147" w:right="0" w:hanging="370"/>
        <w:jc w:val="left"/>
        <w:rPr>
          <w:sz w:val="21"/>
        </w:rPr>
      </w:pPr>
      <w:r>
        <w:rPr>
          <w:spacing w:val="-6"/>
          <w:sz w:val="21"/>
        </w:rPr>
        <w:t>报告期内投资组合平均剩余存续期超过 </w:t>
      </w:r>
      <w:r>
        <w:rPr>
          <w:rFonts w:ascii="Times New Roman" w:eastAsia="Times New Roman"/>
          <w:sz w:val="21"/>
        </w:rPr>
        <w:t>240 </w:t>
      </w:r>
      <w:r>
        <w:rPr>
          <w:spacing w:val="-3"/>
          <w:sz w:val="21"/>
        </w:rPr>
        <w:t>天情况说明</w:t>
      </w:r>
    </w:p>
    <w:p>
      <w:pPr>
        <w:pStyle w:val="BodyText"/>
        <w:spacing w:before="7"/>
        <w:rPr>
          <w:sz w:val="15"/>
        </w:rPr>
      </w:pPr>
    </w:p>
    <w:p>
      <w:pPr>
        <w:pStyle w:val="BodyText"/>
        <w:ind w:left="1198"/>
      </w:pPr>
      <w:r>
        <w:rPr/>
        <w:t>在本报告期内本基金不存在投资组合平均剩余存续期限超过 </w:t>
      </w:r>
      <w:r>
        <w:rPr>
          <w:rFonts w:ascii="Times New Roman" w:eastAsia="Times New Roman"/>
        </w:rPr>
        <w:t>240 </w:t>
      </w:r>
      <w:r>
        <w:rPr/>
        <w:t>天的情况。</w:t>
      </w:r>
    </w:p>
    <w:p>
      <w:pPr>
        <w:pStyle w:val="BodyText"/>
        <w:spacing w:before="7"/>
        <w:rPr>
          <w:sz w:val="15"/>
        </w:rPr>
      </w:pPr>
    </w:p>
    <w:p>
      <w:pPr>
        <w:pStyle w:val="ListParagraph"/>
        <w:numPr>
          <w:ilvl w:val="1"/>
          <w:numId w:val="24"/>
        </w:numPr>
        <w:tabs>
          <w:tab w:pos="1095" w:val="left" w:leader="none"/>
        </w:tabs>
        <w:spacing w:line="240" w:lineRule="auto" w:before="0" w:after="0"/>
        <w:ind w:left="1094" w:right="0" w:hanging="317"/>
        <w:jc w:val="left"/>
        <w:rPr>
          <w:sz w:val="21"/>
        </w:rPr>
      </w:pPr>
      <w:r>
        <w:rPr>
          <w:spacing w:val="-3"/>
          <w:sz w:val="21"/>
        </w:rPr>
        <w:t>报告期末按债券品种分类的债券投资组合</w:t>
      </w:r>
    </w:p>
    <w:p>
      <w:pPr>
        <w:pStyle w:val="BodyText"/>
        <w:spacing w:before="9"/>
        <w:rPr>
          <w:sz w:val="7"/>
        </w:rPr>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118"/>
        <w:gridCol w:w="3262"/>
        <w:gridCol w:w="1840"/>
      </w:tblGrid>
      <w:tr>
        <w:trPr>
          <w:trHeight w:val="965" w:hRule="atLeast"/>
        </w:trPr>
        <w:tc>
          <w:tcPr>
            <w:tcW w:w="852" w:type="dxa"/>
          </w:tcPr>
          <w:p>
            <w:pPr>
              <w:pStyle w:val="TableParagraph"/>
              <w:spacing w:before="5"/>
              <w:rPr>
                <w:rFonts w:ascii="宋体"/>
                <w:sz w:val="28"/>
              </w:rPr>
            </w:pPr>
          </w:p>
          <w:p>
            <w:pPr>
              <w:pStyle w:val="TableParagraph"/>
              <w:spacing w:before="0"/>
              <w:ind w:left="204" w:right="178"/>
              <w:jc w:val="center"/>
              <w:rPr>
                <w:rFonts w:ascii="宋体" w:eastAsia="宋体" w:hint="eastAsia"/>
                <w:sz w:val="21"/>
              </w:rPr>
            </w:pPr>
            <w:r>
              <w:rPr>
                <w:rFonts w:ascii="宋体" w:eastAsia="宋体" w:hint="eastAsia"/>
                <w:sz w:val="21"/>
              </w:rPr>
              <w:t>序号</w:t>
            </w:r>
          </w:p>
        </w:tc>
        <w:tc>
          <w:tcPr>
            <w:tcW w:w="3118" w:type="dxa"/>
          </w:tcPr>
          <w:p>
            <w:pPr>
              <w:pStyle w:val="TableParagraph"/>
              <w:spacing w:before="5"/>
              <w:rPr>
                <w:rFonts w:ascii="宋体"/>
                <w:sz w:val="28"/>
              </w:rPr>
            </w:pPr>
          </w:p>
          <w:p>
            <w:pPr>
              <w:pStyle w:val="TableParagraph"/>
              <w:spacing w:before="0"/>
              <w:ind w:left="1125" w:right="1102"/>
              <w:jc w:val="center"/>
              <w:rPr>
                <w:rFonts w:ascii="宋体" w:eastAsia="宋体" w:hint="eastAsia"/>
                <w:sz w:val="21"/>
              </w:rPr>
            </w:pPr>
            <w:r>
              <w:rPr>
                <w:rFonts w:ascii="宋体" w:eastAsia="宋体" w:hint="eastAsia"/>
                <w:sz w:val="21"/>
              </w:rPr>
              <w:t>债券品种</w:t>
            </w:r>
          </w:p>
        </w:tc>
        <w:tc>
          <w:tcPr>
            <w:tcW w:w="3262" w:type="dxa"/>
          </w:tcPr>
          <w:p>
            <w:pPr>
              <w:pStyle w:val="TableParagraph"/>
              <w:spacing w:before="5"/>
              <w:rPr>
                <w:rFonts w:ascii="宋体"/>
                <w:sz w:val="28"/>
              </w:rPr>
            </w:pPr>
          </w:p>
          <w:p>
            <w:pPr>
              <w:pStyle w:val="TableParagraph"/>
              <w:spacing w:before="0"/>
              <w:ind w:left="900"/>
              <w:rPr>
                <w:rFonts w:ascii="宋体" w:eastAsia="宋体" w:hint="eastAsia"/>
                <w:sz w:val="21"/>
              </w:rPr>
            </w:pPr>
            <w:r>
              <w:rPr>
                <w:rFonts w:ascii="宋体" w:eastAsia="宋体" w:hint="eastAsia"/>
                <w:sz w:val="21"/>
              </w:rPr>
              <w:t>摊余成本（元）</w:t>
            </w:r>
          </w:p>
        </w:tc>
        <w:tc>
          <w:tcPr>
            <w:tcW w:w="1840" w:type="dxa"/>
          </w:tcPr>
          <w:p>
            <w:pPr>
              <w:pStyle w:val="TableParagraph"/>
              <w:spacing w:before="130"/>
              <w:ind w:left="174" w:right="146"/>
              <w:jc w:val="center"/>
              <w:rPr>
                <w:rFonts w:ascii="宋体" w:eastAsia="宋体" w:hint="eastAsia"/>
                <w:sz w:val="21"/>
              </w:rPr>
            </w:pPr>
            <w:r>
              <w:rPr>
                <w:rFonts w:ascii="宋体" w:eastAsia="宋体" w:hint="eastAsia"/>
                <w:sz w:val="21"/>
              </w:rPr>
              <w:t>占基金资产净值</w:t>
            </w:r>
          </w:p>
          <w:p>
            <w:pPr>
              <w:pStyle w:val="TableParagraph"/>
              <w:spacing w:before="5"/>
              <w:rPr>
                <w:rFonts w:ascii="宋体"/>
                <w:sz w:val="15"/>
              </w:rPr>
            </w:pPr>
          </w:p>
          <w:p>
            <w:pPr>
              <w:pStyle w:val="TableParagraph"/>
              <w:spacing w:before="0"/>
              <w:ind w:left="172" w:right="146"/>
              <w:jc w:val="center"/>
              <w:rPr>
                <w:rFonts w:ascii="宋体" w:eastAsia="宋体" w:hint="eastAsia"/>
                <w:sz w:val="21"/>
              </w:rPr>
            </w:pPr>
            <w:r>
              <w:rPr>
                <w:rFonts w:ascii="宋体" w:eastAsia="宋体" w:hint="eastAsia"/>
                <w:sz w:val="21"/>
              </w:rPr>
              <w:t>比例（％）</w:t>
            </w:r>
          </w:p>
        </w:tc>
      </w:tr>
      <w:tr>
        <w:trPr>
          <w:trHeight w:val="496" w:hRule="atLeast"/>
        </w:trPr>
        <w:tc>
          <w:tcPr>
            <w:tcW w:w="852" w:type="dxa"/>
          </w:tcPr>
          <w:p>
            <w:pPr>
              <w:pStyle w:val="TableParagraph"/>
              <w:spacing w:before="142"/>
              <w:ind w:left="26"/>
              <w:jc w:val="center"/>
              <w:rPr>
                <w:sz w:val="21"/>
              </w:rPr>
            </w:pPr>
            <w:r>
              <w:rPr>
                <w:w w:val="100"/>
                <w:sz w:val="21"/>
              </w:rPr>
              <w:t>1</w:t>
            </w:r>
          </w:p>
        </w:tc>
        <w:tc>
          <w:tcPr>
            <w:tcW w:w="3118" w:type="dxa"/>
          </w:tcPr>
          <w:p>
            <w:pPr>
              <w:pStyle w:val="TableParagraph"/>
              <w:spacing w:before="130"/>
              <w:ind w:left="122"/>
              <w:rPr>
                <w:rFonts w:ascii="宋体" w:eastAsia="宋体" w:hint="eastAsia"/>
                <w:sz w:val="21"/>
              </w:rPr>
            </w:pPr>
            <w:r>
              <w:rPr>
                <w:rFonts w:ascii="宋体" w:eastAsia="宋体" w:hint="eastAsia"/>
                <w:sz w:val="21"/>
              </w:rPr>
              <w:t>国家债券</w:t>
            </w:r>
          </w:p>
        </w:tc>
        <w:tc>
          <w:tcPr>
            <w:tcW w:w="3262" w:type="dxa"/>
          </w:tcPr>
          <w:p>
            <w:pPr>
              <w:pStyle w:val="TableParagraph"/>
              <w:spacing w:before="142"/>
              <w:ind w:right="97"/>
              <w:jc w:val="right"/>
              <w:rPr>
                <w:sz w:val="21"/>
              </w:rPr>
            </w:pPr>
            <w:r>
              <w:rPr>
                <w:w w:val="100"/>
                <w:sz w:val="21"/>
              </w:rPr>
              <w:t>-</w:t>
            </w:r>
          </w:p>
        </w:tc>
        <w:tc>
          <w:tcPr>
            <w:tcW w:w="1840" w:type="dxa"/>
          </w:tcPr>
          <w:p>
            <w:pPr>
              <w:pStyle w:val="TableParagraph"/>
              <w:spacing w:before="142"/>
              <w:ind w:right="93"/>
              <w:jc w:val="right"/>
              <w:rPr>
                <w:sz w:val="21"/>
              </w:rPr>
            </w:pPr>
            <w:r>
              <w:rPr>
                <w:w w:val="100"/>
                <w:sz w:val="21"/>
              </w:rPr>
              <w:t>-</w:t>
            </w:r>
          </w:p>
        </w:tc>
      </w:tr>
      <w:tr>
        <w:trPr>
          <w:trHeight w:val="496" w:hRule="atLeast"/>
        </w:trPr>
        <w:tc>
          <w:tcPr>
            <w:tcW w:w="852" w:type="dxa"/>
          </w:tcPr>
          <w:p>
            <w:pPr>
              <w:pStyle w:val="TableParagraph"/>
              <w:spacing w:before="142"/>
              <w:ind w:left="26"/>
              <w:jc w:val="center"/>
              <w:rPr>
                <w:sz w:val="21"/>
              </w:rPr>
            </w:pPr>
            <w:r>
              <w:rPr>
                <w:w w:val="100"/>
                <w:sz w:val="21"/>
              </w:rPr>
              <w:t>2</w:t>
            </w:r>
          </w:p>
        </w:tc>
        <w:tc>
          <w:tcPr>
            <w:tcW w:w="3118" w:type="dxa"/>
          </w:tcPr>
          <w:p>
            <w:pPr>
              <w:pStyle w:val="TableParagraph"/>
              <w:spacing w:before="130"/>
              <w:ind w:left="122"/>
              <w:rPr>
                <w:rFonts w:ascii="宋体" w:eastAsia="宋体" w:hint="eastAsia"/>
                <w:sz w:val="21"/>
              </w:rPr>
            </w:pPr>
            <w:r>
              <w:rPr>
                <w:rFonts w:ascii="宋体" w:eastAsia="宋体" w:hint="eastAsia"/>
                <w:sz w:val="21"/>
              </w:rPr>
              <w:t>央行票据</w:t>
            </w:r>
          </w:p>
        </w:tc>
        <w:tc>
          <w:tcPr>
            <w:tcW w:w="3262" w:type="dxa"/>
          </w:tcPr>
          <w:p>
            <w:pPr>
              <w:pStyle w:val="TableParagraph"/>
              <w:spacing w:before="142"/>
              <w:ind w:right="97"/>
              <w:jc w:val="right"/>
              <w:rPr>
                <w:sz w:val="21"/>
              </w:rPr>
            </w:pPr>
            <w:r>
              <w:rPr>
                <w:w w:val="100"/>
                <w:sz w:val="21"/>
              </w:rPr>
              <w:t>-</w:t>
            </w:r>
          </w:p>
        </w:tc>
        <w:tc>
          <w:tcPr>
            <w:tcW w:w="1840" w:type="dxa"/>
          </w:tcPr>
          <w:p>
            <w:pPr>
              <w:pStyle w:val="TableParagraph"/>
              <w:spacing w:before="142"/>
              <w:ind w:right="93"/>
              <w:jc w:val="right"/>
              <w:rPr>
                <w:sz w:val="21"/>
              </w:rPr>
            </w:pPr>
            <w:r>
              <w:rPr>
                <w:w w:val="100"/>
                <w:sz w:val="21"/>
              </w:rPr>
              <w:t>-</w:t>
            </w:r>
          </w:p>
        </w:tc>
      </w:tr>
      <w:tr>
        <w:trPr>
          <w:trHeight w:val="498" w:hRule="atLeast"/>
        </w:trPr>
        <w:tc>
          <w:tcPr>
            <w:tcW w:w="852" w:type="dxa"/>
          </w:tcPr>
          <w:p>
            <w:pPr>
              <w:pStyle w:val="TableParagraph"/>
              <w:spacing w:before="144"/>
              <w:ind w:left="26"/>
              <w:jc w:val="center"/>
              <w:rPr>
                <w:sz w:val="21"/>
              </w:rPr>
            </w:pPr>
            <w:r>
              <w:rPr>
                <w:w w:val="100"/>
                <w:sz w:val="21"/>
              </w:rPr>
              <w:t>3</w:t>
            </w:r>
          </w:p>
        </w:tc>
        <w:tc>
          <w:tcPr>
            <w:tcW w:w="3118" w:type="dxa"/>
          </w:tcPr>
          <w:p>
            <w:pPr>
              <w:pStyle w:val="TableParagraph"/>
              <w:spacing w:before="133"/>
              <w:ind w:left="122"/>
              <w:rPr>
                <w:rFonts w:ascii="宋体" w:eastAsia="宋体" w:hint="eastAsia"/>
                <w:sz w:val="21"/>
              </w:rPr>
            </w:pPr>
            <w:r>
              <w:rPr>
                <w:rFonts w:ascii="宋体" w:eastAsia="宋体" w:hint="eastAsia"/>
                <w:sz w:val="21"/>
              </w:rPr>
              <w:t>金融债券</w:t>
            </w:r>
          </w:p>
        </w:tc>
        <w:tc>
          <w:tcPr>
            <w:tcW w:w="3262" w:type="dxa"/>
          </w:tcPr>
          <w:p>
            <w:pPr>
              <w:pStyle w:val="TableParagraph"/>
              <w:spacing w:before="144"/>
              <w:ind w:right="95"/>
              <w:jc w:val="right"/>
              <w:rPr>
                <w:sz w:val="21"/>
              </w:rPr>
            </w:pPr>
            <w:r>
              <w:rPr>
                <w:sz w:val="21"/>
              </w:rPr>
              <w:t>8,194,127,058.69</w:t>
            </w:r>
          </w:p>
        </w:tc>
        <w:tc>
          <w:tcPr>
            <w:tcW w:w="1840" w:type="dxa"/>
          </w:tcPr>
          <w:p>
            <w:pPr>
              <w:pStyle w:val="TableParagraph"/>
              <w:spacing w:before="144"/>
              <w:ind w:right="92"/>
              <w:jc w:val="right"/>
              <w:rPr>
                <w:sz w:val="21"/>
              </w:rPr>
            </w:pPr>
            <w:r>
              <w:rPr>
                <w:sz w:val="21"/>
              </w:rPr>
              <w:t>15.28</w:t>
            </w:r>
          </w:p>
        </w:tc>
      </w:tr>
      <w:tr>
        <w:trPr>
          <w:trHeight w:val="496" w:hRule="atLeast"/>
        </w:trPr>
        <w:tc>
          <w:tcPr>
            <w:tcW w:w="852" w:type="dxa"/>
          </w:tcPr>
          <w:p>
            <w:pPr>
              <w:pStyle w:val="TableParagraph"/>
              <w:spacing w:before="0"/>
              <w:rPr>
                <w:sz w:val="20"/>
              </w:rPr>
            </w:pPr>
          </w:p>
        </w:tc>
        <w:tc>
          <w:tcPr>
            <w:tcW w:w="3118" w:type="dxa"/>
          </w:tcPr>
          <w:p>
            <w:pPr>
              <w:pStyle w:val="TableParagraph"/>
              <w:spacing w:before="130"/>
              <w:ind w:left="122"/>
              <w:rPr>
                <w:rFonts w:ascii="宋体" w:eastAsia="宋体" w:hint="eastAsia"/>
                <w:sz w:val="21"/>
              </w:rPr>
            </w:pPr>
            <w:r>
              <w:rPr>
                <w:rFonts w:ascii="宋体" w:eastAsia="宋体" w:hint="eastAsia"/>
                <w:sz w:val="21"/>
              </w:rPr>
              <w:t>其中：政策性金融债</w:t>
            </w:r>
          </w:p>
        </w:tc>
        <w:tc>
          <w:tcPr>
            <w:tcW w:w="3262" w:type="dxa"/>
          </w:tcPr>
          <w:p>
            <w:pPr>
              <w:pStyle w:val="TableParagraph"/>
              <w:spacing w:before="142"/>
              <w:ind w:right="95"/>
              <w:jc w:val="right"/>
              <w:rPr>
                <w:sz w:val="21"/>
              </w:rPr>
            </w:pPr>
            <w:r>
              <w:rPr>
                <w:sz w:val="21"/>
              </w:rPr>
              <w:t>8,194,127,058.69</w:t>
            </w:r>
          </w:p>
        </w:tc>
        <w:tc>
          <w:tcPr>
            <w:tcW w:w="1840" w:type="dxa"/>
          </w:tcPr>
          <w:p>
            <w:pPr>
              <w:pStyle w:val="TableParagraph"/>
              <w:spacing w:before="142"/>
              <w:ind w:right="92"/>
              <w:jc w:val="right"/>
              <w:rPr>
                <w:sz w:val="21"/>
              </w:rPr>
            </w:pPr>
            <w:r>
              <w:rPr>
                <w:sz w:val="21"/>
              </w:rPr>
              <w:t>15.28</w:t>
            </w:r>
          </w:p>
        </w:tc>
      </w:tr>
      <w:tr>
        <w:trPr>
          <w:trHeight w:val="496" w:hRule="atLeast"/>
        </w:trPr>
        <w:tc>
          <w:tcPr>
            <w:tcW w:w="852" w:type="dxa"/>
          </w:tcPr>
          <w:p>
            <w:pPr>
              <w:pStyle w:val="TableParagraph"/>
              <w:spacing w:before="142"/>
              <w:ind w:left="26"/>
              <w:jc w:val="center"/>
              <w:rPr>
                <w:sz w:val="21"/>
              </w:rPr>
            </w:pPr>
            <w:r>
              <w:rPr>
                <w:w w:val="100"/>
                <w:sz w:val="21"/>
              </w:rPr>
              <w:t>4</w:t>
            </w:r>
          </w:p>
        </w:tc>
        <w:tc>
          <w:tcPr>
            <w:tcW w:w="3118" w:type="dxa"/>
          </w:tcPr>
          <w:p>
            <w:pPr>
              <w:pStyle w:val="TableParagraph"/>
              <w:spacing w:before="130"/>
              <w:ind w:left="122"/>
              <w:rPr>
                <w:rFonts w:ascii="宋体" w:eastAsia="宋体" w:hint="eastAsia"/>
                <w:sz w:val="21"/>
              </w:rPr>
            </w:pPr>
            <w:r>
              <w:rPr>
                <w:rFonts w:ascii="宋体" w:eastAsia="宋体" w:hint="eastAsia"/>
                <w:sz w:val="21"/>
              </w:rPr>
              <w:t>企业债券</w:t>
            </w:r>
          </w:p>
        </w:tc>
        <w:tc>
          <w:tcPr>
            <w:tcW w:w="3262" w:type="dxa"/>
          </w:tcPr>
          <w:p>
            <w:pPr>
              <w:pStyle w:val="TableParagraph"/>
              <w:spacing w:before="142"/>
              <w:ind w:right="97"/>
              <w:jc w:val="right"/>
              <w:rPr>
                <w:sz w:val="21"/>
              </w:rPr>
            </w:pPr>
            <w:r>
              <w:rPr>
                <w:w w:val="100"/>
                <w:sz w:val="21"/>
              </w:rPr>
              <w:t>-</w:t>
            </w:r>
          </w:p>
        </w:tc>
        <w:tc>
          <w:tcPr>
            <w:tcW w:w="1840" w:type="dxa"/>
          </w:tcPr>
          <w:p>
            <w:pPr>
              <w:pStyle w:val="TableParagraph"/>
              <w:spacing w:before="142"/>
              <w:ind w:right="93"/>
              <w:jc w:val="right"/>
              <w:rPr>
                <w:sz w:val="21"/>
              </w:rPr>
            </w:pPr>
            <w:r>
              <w:rPr>
                <w:w w:val="100"/>
                <w:sz w:val="21"/>
              </w:rPr>
              <w:t>-</w:t>
            </w:r>
          </w:p>
        </w:tc>
      </w:tr>
      <w:tr>
        <w:trPr>
          <w:trHeight w:val="496" w:hRule="atLeast"/>
        </w:trPr>
        <w:tc>
          <w:tcPr>
            <w:tcW w:w="852" w:type="dxa"/>
          </w:tcPr>
          <w:p>
            <w:pPr>
              <w:pStyle w:val="TableParagraph"/>
              <w:spacing w:before="142"/>
              <w:ind w:left="26"/>
              <w:jc w:val="center"/>
              <w:rPr>
                <w:sz w:val="21"/>
              </w:rPr>
            </w:pPr>
            <w:r>
              <w:rPr>
                <w:w w:val="100"/>
                <w:sz w:val="21"/>
              </w:rPr>
              <w:t>5</w:t>
            </w:r>
          </w:p>
        </w:tc>
        <w:tc>
          <w:tcPr>
            <w:tcW w:w="3118" w:type="dxa"/>
          </w:tcPr>
          <w:p>
            <w:pPr>
              <w:pStyle w:val="TableParagraph"/>
              <w:spacing w:before="131"/>
              <w:ind w:left="122"/>
              <w:rPr>
                <w:rFonts w:ascii="宋体" w:eastAsia="宋体" w:hint="eastAsia"/>
                <w:sz w:val="21"/>
              </w:rPr>
            </w:pPr>
            <w:r>
              <w:rPr>
                <w:rFonts w:ascii="宋体" w:eastAsia="宋体" w:hint="eastAsia"/>
                <w:sz w:val="21"/>
              </w:rPr>
              <w:t>企业短期融资券</w:t>
            </w:r>
          </w:p>
        </w:tc>
        <w:tc>
          <w:tcPr>
            <w:tcW w:w="3262" w:type="dxa"/>
          </w:tcPr>
          <w:p>
            <w:pPr>
              <w:pStyle w:val="TableParagraph"/>
              <w:spacing w:before="142"/>
              <w:ind w:right="97"/>
              <w:jc w:val="right"/>
              <w:rPr>
                <w:sz w:val="21"/>
              </w:rPr>
            </w:pPr>
            <w:r>
              <w:rPr>
                <w:w w:val="100"/>
                <w:sz w:val="21"/>
              </w:rPr>
              <w:t>-</w:t>
            </w:r>
          </w:p>
        </w:tc>
        <w:tc>
          <w:tcPr>
            <w:tcW w:w="1840" w:type="dxa"/>
          </w:tcPr>
          <w:p>
            <w:pPr>
              <w:pStyle w:val="TableParagraph"/>
              <w:spacing w:before="142"/>
              <w:ind w:right="93"/>
              <w:jc w:val="right"/>
              <w:rPr>
                <w:sz w:val="21"/>
              </w:rPr>
            </w:pPr>
            <w:r>
              <w:rPr>
                <w:w w:val="100"/>
                <w:sz w:val="21"/>
              </w:rPr>
              <w:t>-</w:t>
            </w:r>
          </w:p>
        </w:tc>
      </w:tr>
      <w:tr>
        <w:trPr>
          <w:trHeight w:val="498" w:hRule="atLeast"/>
        </w:trPr>
        <w:tc>
          <w:tcPr>
            <w:tcW w:w="852" w:type="dxa"/>
          </w:tcPr>
          <w:p>
            <w:pPr>
              <w:pStyle w:val="TableParagraph"/>
              <w:spacing w:before="144"/>
              <w:ind w:left="26"/>
              <w:jc w:val="center"/>
              <w:rPr>
                <w:sz w:val="21"/>
              </w:rPr>
            </w:pPr>
            <w:r>
              <w:rPr>
                <w:w w:val="100"/>
                <w:sz w:val="21"/>
              </w:rPr>
              <w:t>6</w:t>
            </w:r>
          </w:p>
        </w:tc>
        <w:tc>
          <w:tcPr>
            <w:tcW w:w="3118" w:type="dxa"/>
          </w:tcPr>
          <w:p>
            <w:pPr>
              <w:pStyle w:val="TableParagraph"/>
              <w:spacing w:before="133"/>
              <w:ind w:left="122"/>
              <w:rPr>
                <w:rFonts w:ascii="宋体" w:eastAsia="宋体" w:hint="eastAsia"/>
                <w:sz w:val="21"/>
              </w:rPr>
            </w:pPr>
            <w:r>
              <w:rPr>
                <w:rFonts w:ascii="宋体" w:eastAsia="宋体" w:hint="eastAsia"/>
                <w:sz w:val="21"/>
              </w:rPr>
              <w:t>中期票据</w:t>
            </w:r>
          </w:p>
        </w:tc>
        <w:tc>
          <w:tcPr>
            <w:tcW w:w="3262" w:type="dxa"/>
          </w:tcPr>
          <w:p>
            <w:pPr>
              <w:pStyle w:val="TableParagraph"/>
              <w:spacing w:before="144"/>
              <w:ind w:right="97"/>
              <w:jc w:val="right"/>
              <w:rPr>
                <w:sz w:val="21"/>
              </w:rPr>
            </w:pPr>
            <w:r>
              <w:rPr>
                <w:w w:val="100"/>
                <w:sz w:val="21"/>
              </w:rPr>
              <w:t>-</w:t>
            </w:r>
          </w:p>
        </w:tc>
        <w:tc>
          <w:tcPr>
            <w:tcW w:w="1840" w:type="dxa"/>
          </w:tcPr>
          <w:p>
            <w:pPr>
              <w:pStyle w:val="TableParagraph"/>
              <w:spacing w:before="144"/>
              <w:ind w:right="93"/>
              <w:jc w:val="right"/>
              <w:rPr>
                <w:sz w:val="21"/>
              </w:rPr>
            </w:pPr>
            <w:r>
              <w:rPr>
                <w:w w:val="100"/>
                <w:sz w:val="21"/>
              </w:rPr>
              <w:t>-</w:t>
            </w:r>
          </w:p>
        </w:tc>
      </w:tr>
    </w:tbl>
    <w:p>
      <w:pPr>
        <w:spacing w:after="0"/>
        <w:jc w:val="right"/>
        <w:rPr>
          <w:sz w:val="21"/>
        </w:rPr>
        <w:sectPr>
          <w:pgSz w:w="11910" w:h="16840"/>
          <w:pgMar w:header="877" w:footer="995" w:top="1280" w:bottom="1180" w:left="1020" w:right="900"/>
        </w:sectPr>
      </w:pPr>
    </w:p>
    <w:p>
      <w:pPr>
        <w:pStyle w:val="BodyText"/>
        <w:spacing w:before="4"/>
        <w:rPr>
          <w:sz w:val="10"/>
        </w:rPr>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118"/>
        <w:gridCol w:w="3262"/>
        <w:gridCol w:w="1840"/>
      </w:tblGrid>
      <w:tr>
        <w:trPr>
          <w:trHeight w:val="496" w:hRule="atLeast"/>
        </w:trPr>
        <w:tc>
          <w:tcPr>
            <w:tcW w:w="852" w:type="dxa"/>
          </w:tcPr>
          <w:p>
            <w:pPr>
              <w:pStyle w:val="TableParagraph"/>
              <w:spacing w:before="142"/>
              <w:ind w:right="353"/>
              <w:jc w:val="right"/>
              <w:rPr>
                <w:sz w:val="21"/>
              </w:rPr>
            </w:pPr>
            <w:r>
              <w:rPr>
                <w:w w:val="100"/>
                <w:sz w:val="21"/>
              </w:rPr>
              <w:t>7</w:t>
            </w:r>
          </w:p>
        </w:tc>
        <w:tc>
          <w:tcPr>
            <w:tcW w:w="3118" w:type="dxa"/>
          </w:tcPr>
          <w:p>
            <w:pPr>
              <w:pStyle w:val="TableParagraph"/>
              <w:spacing w:before="131"/>
              <w:ind w:left="122"/>
              <w:rPr>
                <w:rFonts w:ascii="宋体" w:eastAsia="宋体" w:hint="eastAsia"/>
                <w:sz w:val="21"/>
              </w:rPr>
            </w:pPr>
            <w:r>
              <w:rPr>
                <w:rFonts w:ascii="宋体" w:eastAsia="宋体" w:hint="eastAsia"/>
                <w:sz w:val="21"/>
              </w:rPr>
              <w:t>同业存单</w:t>
            </w:r>
          </w:p>
        </w:tc>
        <w:tc>
          <w:tcPr>
            <w:tcW w:w="3262" w:type="dxa"/>
          </w:tcPr>
          <w:p>
            <w:pPr>
              <w:pStyle w:val="TableParagraph"/>
              <w:spacing w:before="142"/>
              <w:ind w:right="95"/>
              <w:jc w:val="right"/>
              <w:rPr>
                <w:sz w:val="21"/>
              </w:rPr>
            </w:pPr>
            <w:r>
              <w:rPr>
                <w:sz w:val="21"/>
              </w:rPr>
              <w:t>5,522,328,731.24</w:t>
            </w:r>
          </w:p>
        </w:tc>
        <w:tc>
          <w:tcPr>
            <w:tcW w:w="1840" w:type="dxa"/>
          </w:tcPr>
          <w:p>
            <w:pPr>
              <w:pStyle w:val="TableParagraph"/>
              <w:spacing w:before="142"/>
              <w:ind w:right="92"/>
              <w:jc w:val="right"/>
              <w:rPr>
                <w:sz w:val="21"/>
              </w:rPr>
            </w:pPr>
            <w:r>
              <w:rPr>
                <w:sz w:val="21"/>
              </w:rPr>
              <w:t>10.30</w:t>
            </w:r>
          </w:p>
        </w:tc>
      </w:tr>
      <w:tr>
        <w:trPr>
          <w:trHeight w:val="496" w:hRule="atLeast"/>
        </w:trPr>
        <w:tc>
          <w:tcPr>
            <w:tcW w:w="852" w:type="dxa"/>
          </w:tcPr>
          <w:p>
            <w:pPr>
              <w:pStyle w:val="TableParagraph"/>
              <w:spacing w:before="142"/>
              <w:ind w:right="353"/>
              <w:jc w:val="right"/>
              <w:rPr>
                <w:sz w:val="21"/>
              </w:rPr>
            </w:pPr>
            <w:r>
              <w:rPr>
                <w:w w:val="100"/>
                <w:sz w:val="21"/>
              </w:rPr>
              <w:t>8</w:t>
            </w:r>
          </w:p>
        </w:tc>
        <w:tc>
          <w:tcPr>
            <w:tcW w:w="3118" w:type="dxa"/>
          </w:tcPr>
          <w:p>
            <w:pPr>
              <w:pStyle w:val="TableParagraph"/>
              <w:spacing w:before="130"/>
              <w:ind w:left="122"/>
              <w:rPr>
                <w:rFonts w:ascii="宋体" w:eastAsia="宋体" w:hint="eastAsia"/>
                <w:sz w:val="21"/>
              </w:rPr>
            </w:pPr>
            <w:r>
              <w:rPr>
                <w:rFonts w:ascii="宋体" w:eastAsia="宋体" w:hint="eastAsia"/>
                <w:sz w:val="21"/>
              </w:rPr>
              <w:t>其他</w:t>
            </w:r>
          </w:p>
        </w:tc>
        <w:tc>
          <w:tcPr>
            <w:tcW w:w="3262" w:type="dxa"/>
          </w:tcPr>
          <w:p>
            <w:pPr>
              <w:pStyle w:val="TableParagraph"/>
              <w:spacing w:before="142"/>
              <w:ind w:right="97"/>
              <w:jc w:val="right"/>
              <w:rPr>
                <w:sz w:val="21"/>
              </w:rPr>
            </w:pPr>
            <w:r>
              <w:rPr>
                <w:w w:val="100"/>
                <w:sz w:val="21"/>
              </w:rPr>
              <w:t>-</w:t>
            </w:r>
          </w:p>
        </w:tc>
        <w:tc>
          <w:tcPr>
            <w:tcW w:w="1840" w:type="dxa"/>
          </w:tcPr>
          <w:p>
            <w:pPr>
              <w:pStyle w:val="TableParagraph"/>
              <w:spacing w:before="142"/>
              <w:ind w:right="93"/>
              <w:jc w:val="right"/>
              <w:rPr>
                <w:sz w:val="21"/>
              </w:rPr>
            </w:pPr>
            <w:r>
              <w:rPr>
                <w:w w:val="100"/>
                <w:sz w:val="21"/>
              </w:rPr>
              <w:t>-</w:t>
            </w:r>
          </w:p>
        </w:tc>
      </w:tr>
      <w:tr>
        <w:trPr>
          <w:trHeight w:val="498" w:hRule="atLeast"/>
        </w:trPr>
        <w:tc>
          <w:tcPr>
            <w:tcW w:w="852" w:type="dxa"/>
          </w:tcPr>
          <w:p>
            <w:pPr>
              <w:pStyle w:val="TableParagraph"/>
              <w:spacing w:before="142"/>
              <w:ind w:right="353"/>
              <w:jc w:val="right"/>
              <w:rPr>
                <w:sz w:val="21"/>
              </w:rPr>
            </w:pPr>
            <w:r>
              <w:rPr>
                <w:w w:val="100"/>
                <w:sz w:val="21"/>
              </w:rPr>
              <w:t>9</w:t>
            </w:r>
          </w:p>
        </w:tc>
        <w:tc>
          <w:tcPr>
            <w:tcW w:w="3118" w:type="dxa"/>
          </w:tcPr>
          <w:p>
            <w:pPr>
              <w:pStyle w:val="TableParagraph"/>
              <w:spacing w:before="130"/>
              <w:ind w:left="122"/>
              <w:rPr>
                <w:rFonts w:ascii="宋体" w:eastAsia="宋体" w:hint="eastAsia"/>
                <w:sz w:val="21"/>
              </w:rPr>
            </w:pPr>
            <w:r>
              <w:rPr>
                <w:rFonts w:ascii="宋体" w:eastAsia="宋体" w:hint="eastAsia"/>
                <w:sz w:val="21"/>
              </w:rPr>
              <w:t>合计</w:t>
            </w:r>
          </w:p>
        </w:tc>
        <w:tc>
          <w:tcPr>
            <w:tcW w:w="3262" w:type="dxa"/>
          </w:tcPr>
          <w:p>
            <w:pPr>
              <w:pStyle w:val="TableParagraph"/>
              <w:spacing w:before="142"/>
              <w:ind w:right="95"/>
              <w:jc w:val="right"/>
              <w:rPr>
                <w:sz w:val="21"/>
              </w:rPr>
            </w:pPr>
            <w:r>
              <w:rPr>
                <w:sz w:val="21"/>
              </w:rPr>
              <w:t>13,716,455,789.93</w:t>
            </w:r>
          </w:p>
        </w:tc>
        <w:tc>
          <w:tcPr>
            <w:tcW w:w="1840" w:type="dxa"/>
          </w:tcPr>
          <w:p>
            <w:pPr>
              <w:pStyle w:val="TableParagraph"/>
              <w:spacing w:before="142"/>
              <w:ind w:right="92"/>
              <w:jc w:val="right"/>
              <w:rPr>
                <w:sz w:val="21"/>
              </w:rPr>
            </w:pPr>
            <w:r>
              <w:rPr>
                <w:sz w:val="21"/>
              </w:rPr>
              <w:t>25.58</w:t>
            </w:r>
          </w:p>
        </w:tc>
      </w:tr>
      <w:tr>
        <w:trPr>
          <w:trHeight w:val="964" w:hRule="atLeast"/>
        </w:trPr>
        <w:tc>
          <w:tcPr>
            <w:tcW w:w="852" w:type="dxa"/>
          </w:tcPr>
          <w:p>
            <w:pPr>
              <w:pStyle w:val="TableParagraph"/>
              <w:spacing w:before="3"/>
              <w:rPr>
                <w:rFonts w:ascii="宋体"/>
                <w:sz w:val="29"/>
              </w:rPr>
            </w:pPr>
          </w:p>
          <w:p>
            <w:pPr>
              <w:pStyle w:val="TableParagraph"/>
              <w:spacing w:before="0"/>
              <w:ind w:right="300"/>
              <w:jc w:val="right"/>
              <w:rPr>
                <w:sz w:val="21"/>
              </w:rPr>
            </w:pPr>
            <w:r>
              <w:rPr>
                <w:sz w:val="21"/>
              </w:rPr>
              <w:t>10</w:t>
            </w:r>
          </w:p>
        </w:tc>
        <w:tc>
          <w:tcPr>
            <w:tcW w:w="3118" w:type="dxa"/>
          </w:tcPr>
          <w:p>
            <w:pPr>
              <w:pStyle w:val="TableParagraph"/>
              <w:spacing w:before="130"/>
              <w:ind w:left="122"/>
              <w:rPr>
                <w:rFonts w:ascii="宋体" w:eastAsia="宋体" w:hint="eastAsia"/>
                <w:sz w:val="21"/>
              </w:rPr>
            </w:pPr>
            <w:r>
              <w:rPr>
                <w:rFonts w:ascii="宋体" w:eastAsia="宋体" w:hint="eastAsia"/>
                <w:sz w:val="21"/>
              </w:rPr>
              <w:t>剩余存续期超过 </w:t>
            </w:r>
            <w:r>
              <w:rPr>
                <w:sz w:val="21"/>
              </w:rPr>
              <w:t>397 </w:t>
            </w:r>
            <w:r>
              <w:rPr>
                <w:rFonts w:ascii="宋体" w:eastAsia="宋体" w:hint="eastAsia"/>
                <w:sz w:val="21"/>
              </w:rPr>
              <w:t>天的浮动</w:t>
            </w:r>
          </w:p>
          <w:p>
            <w:pPr>
              <w:pStyle w:val="TableParagraph"/>
              <w:spacing w:before="197"/>
              <w:ind w:left="122"/>
              <w:rPr>
                <w:rFonts w:ascii="宋体" w:eastAsia="宋体" w:hint="eastAsia"/>
                <w:sz w:val="21"/>
              </w:rPr>
            </w:pPr>
            <w:r>
              <w:rPr>
                <w:rFonts w:ascii="宋体" w:eastAsia="宋体" w:hint="eastAsia"/>
                <w:sz w:val="21"/>
              </w:rPr>
              <w:t>利率债券</w:t>
            </w:r>
          </w:p>
        </w:tc>
        <w:tc>
          <w:tcPr>
            <w:tcW w:w="3262" w:type="dxa"/>
          </w:tcPr>
          <w:p>
            <w:pPr>
              <w:pStyle w:val="TableParagraph"/>
              <w:spacing w:before="3"/>
              <w:rPr>
                <w:rFonts w:ascii="宋体"/>
                <w:sz w:val="29"/>
              </w:rPr>
            </w:pPr>
          </w:p>
          <w:p>
            <w:pPr>
              <w:pStyle w:val="TableParagraph"/>
              <w:spacing w:before="0"/>
              <w:ind w:right="95"/>
              <w:jc w:val="right"/>
              <w:rPr>
                <w:sz w:val="21"/>
              </w:rPr>
            </w:pPr>
            <w:r>
              <w:rPr>
                <w:sz w:val="21"/>
              </w:rPr>
              <w:t>4,255,409,352.96</w:t>
            </w:r>
          </w:p>
        </w:tc>
        <w:tc>
          <w:tcPr>
            <w:tcW w:w="1840" w:type="dxa"/>
          </w:tcPr>
          <w:p>
            <w:pPr>
              <w:pStyle w:val="TableParagraph"/>
              <w:spacing w:before="3"/>
              <w:rPr>
                <w:rFonts w:ascii="宋体"/>
                <w:sz w:val="29"/>
              </w:rPr>
            </w:pPr>
          </w:p>
          <w:p>
            <w:pPr>
              <w:pStyle w:val="TableParagraph"/>
              <w:spacing w:before="0"/>
              <w:ind w:right="92"/>
              <w:jc w:val="right"/>
              <w:rPr>
                <w:sz w:val="21"/>
              </w:rPr>
            </w:pPr>
            <w:r>
              <w:rPr>
                <w:sz w:val="21"/>
              </w:rPr>
              <w:t>7.94</w:t>
            </w:r>
          </w:p>
        </w:tc>
      </w:tr>
    </w:tbl>
    <w:p>
      <w:pPr>
        <w:pStyle w:val="ListParagraph"/>
        <w:numPr>
          <w:ilvl w:val="1"/>
          <w:numId w:val="24"/>
        </w:numPr>
        <w:tabs>
          <w:tab w:pos="1095" w:val="left" w:leader="none"/>
        </w:tabs>
        <w:spacing w:line="240" w:lineRule="auto" w:before="99" w:after="0"/>
        <w:ind w:left="1094" w:right="0" w:hanging="317"/>
        <w:jc w:val="left"/>
        <w:rPr>
          <w:sz w:val="21"/>
        </w:rPr>
      </w:pPr>
      <w:r>
        <w:rPr>
          <w:spacing w:val="-3"/>
          <w:sz w:val="21"/>
        </w:rPr>
        <w:t>报告期末按摊余成本占基金资产净值比例大小排名的前十名债券投资明细</w:t>
      </w:r>
    </w:p>
    <w:p>
      <w:pPr>
        <w:pStyle w:val="BodyText"/>
        <w:spacing w:before="10"/>
        <w:rPr>
          <w:sz w:val="7"/>
        </w:rPr>
      </w:pPr>
    </w:p>
    <w:tbl>
      <w:tblPr>
        <w:tblW w:w="0" w:type="auto"/>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9"/>
        <w:gridCol w:w="1290"/>
        <w:gridCol w:w="1287"/>
        <w:gridCol w:w="1429"/>
        <w:gridCol w:w="1705"/>
        <w:gridCol w:w="1593"/>
      </w:tblGrid>
      <w:tr>
        <w:trPr>
          <w:trHeight w:val="993" w:hRule="atLeast"/>
        </w:trPr>
        <w:tc>
          <w:tcPr>
            <w:tcW w:w="1229" w:type="dxa"/>
          </w:tcPr>
          <w:p>
            <w:pPr>
              <w:pStyle w:val="TableParagraph"/>
              <w:spacing w:before="9"/>
              <w:rPr>
                <w:rFonts w:ascii="宋体"/>
                <w:sz w:val="29"/>
              </w:rPr>
            </w:pPr>
          </w:p>
          <w:p>
            <w:pPr>
              <w:pStyle w:val="TableParagraph"/>
              <w:spacing w:before="0"/>
              <w:ind w:left="391" w:right="368"/>
              <w:jc w:val="center"/>
              <w:rPr>
                <w:rFonts w:ascii="宋体" w:eastAsia="宋体" w:hint="eastAsia"/>
                <w:sz w:val="21"/>
              </w:rPr>
            </w:pPr>
            <w:r>
              <w:rPr>
                <w:rFonts w:ascii="宋体" w:eastAsia="宋体" w:hint="eastAsia"/>
                <w:sz w:val="21"/>
              </w:rPr>
              <w:t>序号</w:t>
            </w:r>
          </w:p>
        </w:tc>
        <w:tc>
          <w:tcPr>
            <w:tcW w:w="1290" w:type="dxa"/>
          </w:tcPr>
          <w:p>
            <w:pPr>
              <w:pStyle w:val="TableParagraph"/>
              <w:spacing w:before="9"/>
              <w:rPr>
                <w:rFonts w:ascii="宋体"/>
                <w:sz w:val="29"/>
              </w:rPr>
            </w:pPr>
          </w:p>
          <w:p>
            <w:pPr>
              <w:pStyle w:val="TableParagraph"/>
              <w:spacing w:before="0"/>
              <w:ind w:left="152" w:right="130"/>
              <w:jc w:val="center"/>
              <w:rPr>
                <w:rFonts w:ascii="宋体" w:eastAsia="宋体" w:hint="eastAsia"/>
                <w:sz w:val="21"/>
              </w:rPr>
            </w:pPr>
            <w:r>
              <w:rPr>
                <w:rFonts w:ascii="宋体" w:eastAsia="宋体" w:hint="eastAsia"/>
                <w:sz w:val="21"/>
              </w:rPr>
              <w:t>债券代码</w:t>
            </w:r>
          </w:p>
        </w:tc>
        <w:tc>
          <w:tcPr>
            <w:tcW w:w="1287" w:type="dxa"/>
          </w:tcPr>
          <w:p>
            <w:pPr>
              <w:pStyle w:val="TableParagraph"/>
              <w:spacing w:before="9"/>
              <w:rPr>
                <w:rFonts w:ascii="宋体"/>
                <w:sz w:val="29"/>
              </w:rPr>
            </w:pPr>
          </w:p>
          <w:p>
            <w:pPr>
              <w:pStyle w:val="TableParagraph"/>
              <w:spacing w:before="0"/>
              <w:ind w:left="121" w:right="102"/>
              <w:jc w:val="center"/>
              <w:rPr>
                <w:rFonts w:ascii="宋体" w:eastAsia="宋体" w:hint="eastAsia"/>
                <w:sz w:val="21"/>
              </w:rPr>
            </w:pPr>
            <w:r>
              <w:rPr>
                <w:rFonts w:ascii="宋体" w:eastAsia="宋体" w:hint="eastAsia"/>
                <w:sz w:val="21"/>
              </w:rPr>
              <w:t>债券名称</w:t>
            </w:r>
          </w:p>
        </w:tc>
        <w:tc>
          <w:tcPr>
            <w:tcW w:w="1429" w:type="dxa"/>
          </w:tcPr>
          <w:p>
            <w:pPr>
              <w:pStyle w:val="TableParagraph"/>
              <w:spacing w:before="130"/>
              <w:ind w:left="279" w:right="259"/>
              <w:jc w:val="center"/>
              <w:rPr>
                <w:rFonts w:ascii="宋体" w:eastAsia="宋体" w:hint="eastAsia"/>
                <w:sz w:val="21"/>
              </w:rPr>
            </w:pPr>
            <w:r>
              <w:rPr>
                <w:rFonts w:ascii="宋体" w:eastAsia="宋体" w:hint="eastAsia"/>
                <w:sz w:val="21"/>
              </w:rPr>
              <w:t>债券数量</w:t>
            </w:r>
          </w:p>
          <w:p>
            <w:pPr>
              <w:pStyle w:val="TableParagraph"/>
              <w:spacing w:before="11"/>
              <w:rPr>
                <w:rFonts w:ascii="宋体"/>
                <w:sz w:val="17"/>
              </w:rPr>
            </w:pPr>
          </w:p>
          <w:p>
            <w:pPr>
              <w:pStyle w:val="TableParagraph"/>
              <w:spacing w:before="0"/>
              <w:ind w:left="277" w:right="259"/>
              <w:jc w:val="center"/>
              <w:rPr>
                <w:sz w:val="21"/>
              </w:rPr>
            </w:pPr>
            <w:r>
              <w:rPr>
                <w:sz w:val="21"/>
              </w:rPr>
              <w:t>(</w:t>
            </w:r>
            <w:r>
              <w:rPr>
                <w:rFonts w:ascii="宋体" w:eastAsia="宋体" w:hint="eastAsia"/>
                <w:sz w:val="21"/>
              </w:rPr>
              <w:t>张</w:t>
            </w:r>
            <w:r>
              <w:rPr>
                <w:sz w:val="21"/>
              </w:rPr>
              <w:t>)</w:t>
            </w:r>
          </w:p>
        </w:tc>
        <w:tc>
          <w:tcPr>
            <w:tcW w:w="1705" w:type="dxa"/>
          </w:tcPr>
          <w:p>
            <w:pPr>
              <w:pStyle w:val="TableParagraph"/>
              <w:spacing w:before="9"/>
              <w:rPr>
                <w:rFonts w:ascii="宋体"/>
                <w:sz w:val="29"/>
              </w:rPr>
            </w:pPr>
          </w:p>
          <w:p>
            <w:pPr>
              <w:pStyle w:val="TableParagraph"/>
              <w:spacing w:before="0"/>
              <w:ind w:right="99"/>
              <w:jc w:val="right"/>
              <w:rPr>
                <w:rFonts w:ascii="宋体" w:eastAsia="宋体" w:hint="eastAsia"/>
                <w:sz w:val="21"/>
              </w:rPr>
            </w:pPr>
            <w:r>
              <w:rPr>
                <w:rFonts w:ascii="宋体" w:eastAsia="宋体" w:hint="eastAsia"/>
                <w:sz w:val="21"/>
              </w:rPr>
              <w:t>摊余成本（元）</w:t>
            </w:r>
          </w:p>
        </w:tc>
        <w:tc>
          <w:tcPr>
            <w:tcW w:w="1593" w:type="dxa"/>
          </w:tcPr>
          <w:p>
            <w:pPr>
              <w:pStyle w:val="TableParagraph"/>
              <w:spacing w:before="145"/>
              <w:ind w:left="169"/>
              <w:rPr>
                <w:rFonts w:ascii="宋体" w:eastAsia="宋体" w:hint="eastAsia"/>
                <w:sz w:val="21"/>
              </w:rPr>
            </w:pPr>
            <w:r>
              <w:rPr>
                <w:rFonts w:ascii="宋体" w:eastAsia="宋体" w:hint="eastAsia"/>
                <w:spacing w:val="-2"/>
                <w:sz w:val="21"/>
              </w:rPr>
              <w:t>占基金资产净</w:t>
            </w:r>
          </w:p>
          <w:p>
            <w:pPr>
              <w:pStyle w:val="TableParagraph"/>
              <w:spacing w:before="4"/>
              <w:rPr>
                <w:rFonts w:ascii="宋体"/>
                <w:sz w:val="15"/>
              </w:rPr>
            </w:pPr>
          </w:p>
          <w:p>
            <w:pPr>
              <w:pStyle w:val="TableParagraph"/>
              <w:spacing w:before="1"/>
              <w:ind w:left="169"/>
              <w:rPr>
                <w:rFonts w:ascii="宋体" w:eastAsia="宋体" w:hint="eastAsia"/>
                <w:sz w:val="21"/>
              </w:rPr>
            </w:pPr>
            <w:r>
              <w:rPr>
                <w:rFonts w:ascii="宋体" w:eastAsia="宋体" w:hint="eastAsia"/>
                <w:spacing w:val="-2"/>
                <w:sz w:val="21"/>
              </w:rPr>
              <w:t>值比例</w:t>
            </w:r>
            <w:r>
              <w:rPr>
                <w:rFonts w:ascii="宋体" w:eastAsia="宋体" w:hint="eastAsia"/>
                <w:spacing w:val="-1"/>
                <w:sz w:val="21"/>
              </w:rPr>
              <w:t>（％）</w:t>
            </w:r>
          </w:p>
        </w:tc>
      </w:tr>
      <w:tr>
        <w:trPr>
          <w:trHeight w:val="311" w:hRule="atLeast"/>
        </w:trPr>
        <w:tc>
          <w:tcPr>
            <w:tcW w:w="1229" w:type="dxa"/>
          </w:tcPr>
          <w:p>
            <w:pPr>
              <w:pStyle w:val="TableParagraph"/>
              <w:spacing w:before="34"/>
              <w:ind w:left="9"/>
              <w:jc w:val="center"/>
              <w:rPr>
                <w:sz w:val="21"/>
              </w:rPr>
            </w:pPr>
            <w:r>
              <w:rPr>
                <w:w w:val="100"/>
                <w:sz w:val="21"/>
              </w:rPr>
              <w:t>1</w:t>
            </w:r>
          </w:p>
        </w:tc>
        <w:tc>
          <w:tcPr>
            <w:tcW w:w="1290" w:type="dxa"/>
          </w:tcPr>
          <w:p>
            <w:pPr>
              <w:pStyle w:val="TableParagraph"/>
              <w:spacing w:before="34"/>
              <w:ind w:left="152" w:right="142"/>
              <w:jc w:val="center"/>
              <w:rPr>
                <w:sz w:val="21"/>
              </w:rPr>
            </w:pPr>
            <w:r>
              <w:rPr>
                <w:sz w:val="21"/>
              </w:rPr>
              <w:t>160309</w:t>
            </w:r>
          </w:p>
        </w:tc>
        <w:tc>
          <w:tcPr>
            <w:tcW w:w="1287" w:type="dxa"/>
          </w:tcPr>
          <w:p>
            <w:pPr>
              <w:pStyle w:val="TableParagraph"/>
              <w:ind w:left="121" w:right="117"/>
              <w:jc w:val="center"/>
              <w:rPr>
                <w:sz w:val="21"/>
              </w:rPr>
            </w:pPr>
            <w:r>
              <w:rPr>
                <w:sz w:val="21"/>
              </w:rPr>
              <w:t>16 </w:t>
            </w:r>
            <w:r>
              <w:rPr>
                <w:rFonts w:ascii="宋体" w:eastAsia="宋体" w:hint="eastAsia"/>
                <w:sz w:val="21"/>
              </w:rPr>
              <w:t>进出 </w:t>
            </w:r>
            <w:r>
              <w:rPr>
                <w:sz w:val="21"/>
              </w:rPr>
              <w:t>09</w:t>
            </w:r>
          </w:p>
        </w:tc>
        <w:tc>
          <w:tcPr>
            <w:tcW w:w="1429" w:type="dxa"/>
          </w:tcPr>
          <w:p>
            <w:pPr>
              <w:pStyle w:val="TableParagraph"/>
              <w:spacing w:before="34"/>
              <w:ind w:right="98"/>
              <w:jc w:val="right"/>
              <w:rPr>
                <w:sz w:val="21"/>
              </w:rPr>
            </w:pPr>
            <w:r>
              <w:rPr>
                <w:sz w:val="21"/>
              </w:rPr>
              <w:t>42,600,000</w:t>
            </w:r>
          </w:p>
        </w:tc>
        <w:tc>
          <w:tcPr>
            <w:tcW w:w="1705" w:type="dxa"/>
          </w:tcPr>
          <w:p>
            <w:pPr>
              <w:pStyle w:val="TableParagraph"/>
              <w:spacing w:before="34"/>
              <w:ind w:right="96"/>
              <w:jc w:val="right"/>
              <w:rPr>
                <w:sz w:val="21"/>
              </w:rPr>
            </w:pPr>
            <w:r>
              <w:rPr>
                <w:sz w:val="21"/>
              </w:rPr>
              <w:t>4,255,409,352.96</w:t>
            </w:r>
          </w:p>
        </w:tc>
        <w:tc>
          <w:tcPr>
            <w:tcW w:w="1593" w:type="dxa"/>
          </w:tcPr>
          <w:p>
            <w:pPr>
              <w:pStyle w:val="TableParagraph"/>
              <w:spacing w:before="34"/>
              <w:ind w:right="98"/>
              <w:jc w:val="right"/>
              <w:rPr>
                <w:sz w:val="21"/>
              </w:rPr>
            </w:pPr>
            <w:r>
              <w:rPr>
                <w:sz w:val="21"/>
              </w:rPr>
              <w:t>7.94</w:t>
            </w:r>
          </w:p>
        </w:tc>
      </w:tr>
      <w:tr>
        <w:trPr>
          <w:trHeight w:val="314" w:hRule="atLeast"/>
        </w:trPr>
        <w:tc>
          <w:tcPr>
            <w:tcW w:w="1229" w:type="dxa"/>
          </w:tcPr>
          <w:p>
            <w:pPr>
              <w:pStyle w:val="TableParagraph"/>
              <w:spacing w:before="36"/>
              <w:ind w:left="9"/>
              <w:jc w:val="center"/>
              <w:rPr>
                <w:sz w:val="21"/>
              </w:rPr>
            </w:pPr>
            <w:r>
              <w:rPr>
                <w:w w:val="100"/>
                <w:sz w:val="21"/>
              </w:rPr>
              <w:t>2</w:t>
            </w:r>
          </w:p>
        </w:tc>
        <w:tc>
          <w:tcPr>
            <w:tcW w:w="1290" w:type="dxa"/>
          </w:tcPr>
          <w:p>
            <w:pPr>
              <w:pStyle w:val="TableParagraph"/>
              <w:spacing w:before="36"/>
              <w:ind w:left="152" w:right="142"/>
              <w:jc w:val="center"/>
              <w:rPr>
                <w:sz w:val="21"/>
              </w:rPr>
            </w:pPr>
            <w:r>
              <w:rPr>
                <w:sz w:val="21"/>
              </w:rPr>
              <w:t>200201</w:t>
            </w:r>
          </w:p>
        </w:tc>
        <w:tc>
          <w:tcPr>
            <w:tcW w:w="1287" w:type="dxa"/>
          </w:tcPr>
          <w:p>
            <w:pPr>
              <w:pStyle w:val="TableParagraph"/>
              <w:spacing w:before="25"/>
              <w:ind w:left="121" w:right="117"/>
              <w:jc w:val="center"/>
              <w:rPr>
                <w:sz w:val="21"/>
              </w:rPr>
            </w:pPr>
            <w:r>
              <w:rPr>
                <w:sz w:val="21"/>
              </w:rPr>
              <w:t>20 </w:t>
            </w:r>
            <w:r>
              <w:rPr>
                <w:rFonts w:ascii="宋体" w:eastAsia="宋体" w:hint="eastAsia"/>
                <w:sz w:val="21"/>
              </w:rPr>
              <w:t>国开 </w:t>
            </w:r>
            <w:r>
              <w:rPr>
                <w:sz w:val="21"/>
              </w:rPr>
              <w:t>01</w:t>
            </w:r>
          </w:p>
        </w:tc>
        <w:tc>
          <w:tcPr>
            <w:tcW w:w="1429" w:type="dxa"/>
          </w:tcPr>
          <w:p>
            <w:pPr>
              <w:pStyle w:val="TableParagraph"/>
              <w:spacing w:before="36"/>
              <w:ind w:right="98"/>
              <w:jc w:val="right"/>
              <w:rPr>
                <w:sz w:val="21"/>
              </w:rPr>
            </w:pPr>
            <w:r>
              <w:rPr>
                <w:sz w:val="21"/>
              </w:rPr>
              <w:t>10,600,000</w:t>
            </w:r>
          </w:p>
        </w:tc>
        <w:tc>
          <w:tcPr>
            <w:tcW w:w="1705" w:type="dxa"/>
          </w:tcPr>
          <w:p>
            <w:pPr>
              <w:pStyle w:val="TableParagraph"/>
              <w:spacing w:before="36"/>
              <w:ind w:right="96"/>
              <w:jc w:val="right"/>
              <w:rPr>
                <w:sz w:val="21"/>
              </w:rPr>
            </w:pPr>
            <w:r>
              <w:rPr>
                <w:sz w:val="21"/>
              </w:rPr>
              <w:t>1,064,400,064.14</w:t>
            </w:r>
          </w:p>
        </w:tc>
        <w:tc>
          <w:tcPr>
            <w:tcW w:w="1593" w:type="dxa"/>
          </w:tcPr>
          <w:p>
            <w:pPr>
              <w:pStyle w:val="TableParagraph"/>
              <w:spacing w:before="36"/>
              <w:ind w:right="98"/>
              <w:jc w:val="right"/>
              <w:rPr>
                <w:sz w:val="21"/>
              </w:rPr>
            </w:pPr>
            <w:r>
              <w:rPr>
                <w:sz w:val="21"/>
              </w:rPr>
              <w:t>1.99</w:t>
            </w:r>
          </w:p>
        </w:tc>
      </w:tr>
      <w:tr>
        <w:trPr>
          <w:trHeight w:val="623" w:hRule="atLeast"/>
        </w:trPr>
        <w:tc>
          <w:tcPr>
            <w:tcW w:w="1229" w:type="dxa"/>
          </w:tcPr>
          <w:p>
            <w:pPr>
              <w:pStyle w:val="TableParagraph"/>
              <w:spacing w:before="190"/>
              <w:ind w:left="9"/>
              <w:jc w:val="center"/>
              <w:rPr>
                <w:sz w:val="21"/>
              </w:rPr>
            </w:pPr>
            <w:r>
              <w:rPr>
                <w:w w:val="100"/>
                <w:sz w:val="21"/>
              </w:rPr>
              <w:t>3</w:t>
            </w:r>
          </w:p>
        </w:tc>
        <w:tc>
          <w:tcPr>
            <w:tcW w:w="1290" w:type="dxa"/>
          </w:tcPr>
          <w:p>
            <w:pPr>
              <w:pStyle w:val="TableParagraph"/>
              <w:spacing w:before="190"/>
              <w:ind w:left="152" w:right="142"/>
              <w:jc w:val="center"/>
              <w:rPr>
                <w:sz w:val="21"/>
              </w:rPr>
            </w:pPr>
            <w:r>
              <w:rPr>
                <w:sz w:val="21"/>
              </w:rPr>
              <w:t>112019132</w:t>
            </w:r>
          </w:p>
        </w:tc>
        <w:tc>
          <w:tcPr>
            <w:tcW w:w="1287" w:type="dxa"/>
          </w:tcPr>
          <w:p>
            <w:pPr>
              <w:pStyle w:val="TableParagraph"/>
              <w:ind w:left="193"/>
              <w:rPr>
                <w:rFonts w:ascii="宋体" w:eastAsia="宋体" w:hint="eastAsia"/>
                <w:sz w:val="21"/>
              </w:rPr>
            </w:pPr>
            <w:r>
              <w:rPr>
                <w:sz w:val="21"/>
              </w:rPr>
              <w:t>20</w:t>
            </w:r>
            <w:r>
              <w:rPr>
                <w:spacing w:val="4"/>
                <w:sz w:val="21"/>
              </w:rPr>
              <w:t> </w:t>
            </w:r>
            <w:r>
              <w:rPr>
                <w:rFonts w:ascii="宋体" w:eastAsia="宋体" w:hint="eastAsia"/>
                <w:spacing w:val="-2"/>
                <w:sz w:val="21"/>
              </w:rPr>
              <w:t>恒丰银</w:t>
            </w:r>
          </w:p>
          <w:p>
            <w:pPr>
              <w:pStyle w:val="TableParagraph"/>
              <w:spacing w:before="43"/>
              <w:ind w:left="205"/>
              <w:rPr>
                <w:sz w:val="21"/>
              </w:rPr>
            </w:pPr>
            <w:r>
              <w:rPr>
                <w:rFonts w:ascii="宋体" w:eastAsia="宋体" w:hint="eastAsia"/>
                <w:spacing w:val="-27"/>
                <w:sz w:val="21"/>
              </w:rPr>
              <w:t>行 </w:t>
            </w:r>
            <w:r>
              <w:rPr>
                <w:sz w:val="21"/>
              </w:rPr>
              <w:t>CD132</w:t>
            </w:r>
          </w:p>
        </w:tc>
        <w:tc>
          <w:tcPr>
            <w:tcW w:w="1429" w:type="dxa"/>
          </w:tcPr>
          <w:p>
            <w:pPr>
              <w:pStyle w:val="TableParagraph"/>
              <w:spacing w:before="190"/>
              <w:ind w:right="98"/>
              <w:jc w:val="right"/>
              <w:rPr>
                <w:sz w:val="21"/>
              </w:rPr>
            </w:pPr>
            <w:r>
              <w:rPr>
                <w:sz w:val="21"/>
              </w:rPr>
              <w:t>10,000,000</w:t>
            </w:r>
          </w:p>
        </w:tc>
        <w:tc>
          <w:tcPr>
            <w:tcW w:w="1705" w:type="dxa"/>
          </w:tcPr>
          <w:p>
            <w:pPr>
              <w:pStyle w:val="TableParagraph"/>
              <w:spacing w:before="190"/>
              <w:ind w:right="96"/>
              <w:jc w:val="right"/>
              <w:rPr>
                <w:sz w:val="21"/>
              </w:rPr>
            </w:pPr>
            <w:r>
              <w:rPr>
                <w:sz w:val="21"/>
              </w:rPr>
              <w:t>994,516,539.51</w:t>
            </w:r>
          </w:p>
        </w:tc>
        <w:tc>
          <w:tcPr>
            <w:tcW w:w="1593" w:type="dxa"/>
          </w:tcPr>
          <w:p>
            <w:pPr>
              <w:pStyle w:val="TableParagraph"/>
              <w:spacing w:before="190"/>
              <w:ind w:right="98"/>
              <w:jc w:val="right"/>
              <w:rPr>
                <w:sz w:val="21"/>
              </w:rPr>
            </w:pPr>
            <w:r>
              <w:rPr>
                <w:sz w:val="21"/>
              </w:rPr>
              <w:t>1.85</w:t>
            </w:r>
          </w:p>
        </w:tc>
      </w:tr>
      <w:tr>
        <w:trPr>
          <w:trHeight w:val="623" w:hRule="atLeast"/>
        </w:trPr>
        <w:tc>
          <w:tcPr>
            <w:tcW w:w="1229" w:type="dxa"/>
          </w:tcPr>
          <w:p>
            <w:pPr>
              <w:pStyle w:val="TableParagraph"/>
              <w:spacing w:before="190"/>
              <w:ind w:left="9"/>
              <w:jc w:val="center"/>
              <w:rPr>
                <w:sz w:val="21"/>
              </w:rPr>
            </w:pPr>
            <w:r>
              <w:rPr>
                <w:w w:val="100"/>
                <w:sz w:val="21"/>
              </w:rPr>
              <w:t>4</w:t>
            </w:r>
          </w:p>
        </w:tc>
        <w:tc>
          <w:tcPr>
            <w:tcW w:w="1290" w:type="dxa"/>
          </w:tcPr>
          <w:p>
            <w:pPr>
              <w:pStyle w:val="TableParagraph"/>
              <w:spacing w:before="190"/>
              <w:ind w:left="152" w:right="142"/>
              <w:jc w:val="center"/>
              <w:rPr>
                <w:sz w:val="21"/>
              </w:rPr>
            </w:pPr>
            <w:r>
              <w:rPr>
                <w:sz w:val="21"/>
              </w:rPr>
              <w:t>112019133</w:t>
            </w:r>
          </w:p>
        </w:tc>
        <w:tc>
          <w:tcPr>
            <w:tcW w:w="1287" w:type="dxa"/>
          </w:tcPr>
          <w:p>
            <w:pPr>
              <w:pStyle w:val="TableParagraph"/>
              <w:ind w:left="193"/>
              <w:rPr>
                <w:rFonts w:ascii="宋体" w:eastAsia="宋体" w:hint="eastAsia"/>
                <w:sz w:val="21"/>
              </w:rPr>
            </w:pPr>
            <w:r>
              <w:rPr>
                <w:sz w:val="21"/>
              </w:rPr>
              <w:t>20</w:t>
            </w:r>
            <w:r>
              <w:rPr>
                <w:spacing w:val="4"/>
                <w:sz w:val="21"/>
              </w:rPr>
              <w:t> </w:t>
            </w:r>
            <w:r>
              <w:rPr>
                <w:rFonts w:ascii="宋体" w:eastAsia="宋体" w:hint="eastAsia"/>
                <w:spacing w:val="-2"/>
                <w:sz w:val="21"/>
              </w:rPr>
              <w:t>恒丰银</w:t>
            </w:r>
          </w:p>
          <w:p>
            <w:pPr>
              <w:pStyle w:val="TableParagraph"/>
              <w:spacing w:before="43"/>
              <w:ind w:left="205"/>
              <w:rPr>
                <w:sz w:val="21"/>
              </w:rPr>
            </w:pPr>
            <w:r>
              <w:rPr>
                <w:rFonts w:ascii="宋体" w:eastAsia="宋体" w:hint="eastAsia"/>
                <w:spacing w:val="-27"/>
                <w:sz w:val="21"/>
              </w:rPr>
              <w:t>行 </w:t>
            </w:r>
            <w:r>
              <w:rPr>
                <w:sz w:val="21"/>
              </w:rPr>
              <w:t>CD133</w:t>
            </w:r>
          </w:p>
        </w:tc>
        <w:tc>
          <w:tcPr>
            <w:tcW w:w="1429" w:type="dxa"/>
          </w:tcPr>
          <w:p>
            <w:pPr>
              <w:pStyle w:val="TableParagraph"/>
              <w:spacing w:before="190"/>
              <w:ind w:right="98"/>
              <w:jc w:val="right"/>
              <w:rPr>
                <w:sz w:val="21"/>
              </w:rPr>
            </w:pPr>
            <w:r>
              <w:rPr>
                <w:sz w:val="21"/>
              </w:rPr>
              <w:t>10,000,000</w:t>
            </w:r>
          </w:p>
        </w:tc>
        <w:tc>
          <w:tcPr>
            <w:tcW w:w="1705" w:type="dxa"/>
          </w:tcPr>
          <w:p>
            <w:pPr>
              <w:pStyle w:val="TableParagraph"/>
              <w:spacing w:before="190"/>
              <w:ind w:right="96"/>
              <w:jc w:val="right"/>
              <w:rPr>
                <w:sz w:val="21"/>
              </w:rPr>
            </w:pPr>
            <w:r>
              <w:rPr>
                <w:sz w:val="21"/>
              </w:rPr>
              <w:t>994,516,539.51</w:t>
            </w:r>
          </w:p>
        </w:tc>
        <w:tc>
          <w:tcPr>
            <w:tcW w:w="1593" w:type="dxa"/>
          </w:tcPr>
          <w:p>
            <w:pPr>
              <w:pStyle w:val="TableParagraph"/>
              <w:spacing w:before="190"/>
              <w:ind w:right="98"/>
              <w:jc w:val="right"/>
              <w:rPr>
                <w:sz w:val="21"/>
              </w:rPr>
            </w:pPr>
            <w:r>
              <w:rPr>
                <w:sz w:val="21"/>
              </w:rPr>
              <w:t>1.85</w:t>
            </w:r>
          </w:p>
        </w:tc>
      </w:tr>
      <w:tr>
        <w:trPr>
          <w:trHeight w:val="623" w:hRule="atLeast"/>
        </w:trPr>
        <w:tc>
          <w:tcPr>
            <w:tcW w:w="1229" w:type="dxa"/>
          </w:tcPr>
          <w:p>
            <w:pPr>
              <w:pStyle w:val="TableParagraph"/>
              <w:spacing w:before="190"/>
              <w:ind w:left="9"/>
              <w:jc w:val="center"/>
              <w:rPr>
                <w:sz w:val="21"/>
              </w:rPr>
            </w:pPr>
            <w:r>
              <w:rPr>
                <w:w w:val="100"/>
                <w:sz w:val="21"/>
              </w:rPr>
              <w:t>5</w:t>
            </w:r>
          </w:p>
        </w:tc>
        <w:tc>
          <w:tcPr>
            <w:tcW w:w="1290" w:type="dxa"/>
          </w:tcPr>
          <w:p>
            <w:pPr>
              <w:pStyle w:val="TableParagraph"/>
              <w:spacing w:before="190"/>
              <w:ind w:left="152" w:right="142"/>
              <w:jc w:val="center"/>
              <w:rPr>
                <w:sz w:val="21"/>
              </w:rPr>
            </w:pPr>
            <w:r>
              <w:rPr>
                <w:sz w:val="21"/>
              </w:rPr>
              <w:t>112019134</w:t>
            </w:r>
          </w:p>
        </w:tc>
        <w:tc>
          <w:tcPr>
            <w:tcW w:w="1287" w:type="dxa"/>
          </w:tcPr>
          <w:p>
            <w:pPr>
              <w:pStyle w:val="TableParagraph"/>
              <w:ind w:left="193"/>
              <w:rPr>
                <w:rFonts w:ascii="宋体" w:eastAsia="宋体" w:hint="eastAsia"/>
                <w:sz w:val="21"/>
              </w:rPr>
            </w:pPr>
            <w:r>
              <w:rPr>
                <w:sz w:val="21"/>
              </w:rPr>
              <w:t>20</w:t>
            </w:r>
            <w:r>
              <w:rPr>
                <w:spacing w:val="4"/>
                <w:sz w:val="21"/>
              </w:rPr>
              <w:t> </w:t>
            </w:r>
            <w:r>
              <w:rPr>
                <w:rFonts w:ascii="宋体" w:eastAsia="宋体" w:hint="eastAsia"/>
                <w:spacing w:val="-2"/>
                <w:sz w:val="21"/>
              </w:rPr>
              <w:t>恒丰银</w:t>
            </w:r>
          </w:p>
          <w:p>
            <w:pPr>
              <w:pStyle w:val="TableParagraph"/>
              <w:spacing w:before="43"/>
              <w:ind w:left="205"/>
              <w:rPr>
                <w:sz w:val="21"/>
              </w:rPr>
            </w:pPr>
            <w:r>
              <w:rPr>
                <w:rFonts w:ascii="宋体" w:eastAsia="宋体" w:hint="eastAsia"/>
                <w:spacing w:val="-27"/>
                <w:sz w:val="21"/>
              </w:rPr>
              <w:t>行 </w:t>
            </w:r>
            <w:r>
              <w:rPr>
                <w:sz w:val="21"/>
              </w:rPr>
              <w:t>CD134</w:t>
            </w:r>
          </w:p>
        </w:tc>
        <w:tc>
          <w:tcPr>
            <w:tcW w:w="1429" w:type="dxa"/>
          </w:tcPr>
          <w:p>
            <w:pPr>
              <w:pStyle w:val="TableParagraph"/>
              <w:spacing w:before="190"/>
              <w:ind w:right="98"/>
              <w:jc w:val="right"/>
              <w:rPr>
                <w:sz w:val="21"/>
              </w:rPr>
            </w:pPr>
            <w:r>
              <w:rPr>
                <w:sz w:val="21"/>
              </w:rPr>
              <w:t>10,000,000</w:t>
            </w:r>
          </w:p>
        </w:tc>
        <w:tc>
          <w:tcPr>
            <w:tcW w:w="1705" w:type="dxa"/>
          </w:tcPr>
          <w:p>
            <w:pPr>
              <w:pStyle w:val="TableParagraph"/>
              <w:spacing w:before="190"/>
              <w:ind w:right="96"/>
              <w:jc w:val="right"/>
              <w:rPr>
                <w:sz w:val="21"/>
              </w:rPr>
            </w:pPr>
            <w:r>
              <w:rPr>
                <w:sz w:val="21"/>
              </w:rPr>
              <w:t>994,516,539.51</w:t>
            </w:r>
          </w:p>
        </w:tc>
        <w:tc>
          <w:tcPr>
            <w:tcW w:w="1593" w:type="dxa"/>
          </w:tcPr>
          <w:p>
            <w:pPr>
              <w:pStyle w:val="TableParagraph"/>
              <w:spacing w:before="190"/>
              <w:ind w:right="98"/>
              <w:jc w:val="right"/>
              <w:rPr>
                <w:sz w:val="21"/>
              </w:rPr>
            </w:pPr>
            <w:r>
              <w:rPr>
                <w:sz w:val="21"/>
              </w:rPr>
              <w:t>1.85</w:t>
            </w:r>
          </w:p>
        </w:tc>
      </w:tr>
      <w:tr>
        <w:trPr>
          <w:trHeight w:val="936" w:hRule="atLeast"/>
        </w:trPr>
        <w:tc>
          <w:tcPr>
            <w:tcW w:w="1229" w:type="dxa"/>
          </w:tcPr>
          <w:p>
            <w:pPr>
              <w:pStyle w:val="TableParagraph"/>
              <w:spacing w:before="0"/>
              <w:rPr>
                <w:rFonts w:ascii="宋体"/>
                <w:sz w:val="27"/>
              </w:rPr>
            </w:pPr>
          </w:p>
          <w:p>
            <w:pPr>
              <w:pStyle w:val="TableParagraph"/>
              <w:spacing w:before="0"/>
              <w:ind w:left="9"/>
              <w:jc w:val="center"/>
              <w:rPr>
                <w:sz w:val="21"/>
              </w:rPr>
            </w:pPr>
            <w:r>
              <w:rPr>
                <w:w w:val="100"/>
                <w:sz w:val="21"/>
              </w:rPr>
              <w:t>6</w:t>
            </w:r>
          </w:p>
        </w:tc>
        <w:tc>
          <w:tcPr>
            <w:tcW w:w="1290" w:type="dxa"/>
          </w:tcPr>
          <w:p>
            <w:pPr>
              <w:pStyle w:val="TableParagraph"/>
              <w:spacing w:before="0"/>
              <w:rPr>
                <w:rFonts w:ascii="宋体"/>
                <w:sz w:val="27"/>
              </w:rPr>
            </w:pPr>
          </w:p>
          <w:p>
            <w:pPr>
              <w:pStyle w:val="TableParagraph"/>
              <w:spacing w:before="0"/>
              <w:ind w:left="152" w:right="142"/>
              <w:jc w:val="center"/>
              <w:rPr>
                <w:sz w:val="21"/>
              </w:rPr>
            </w:pPr>
            <w:r>
              <w:rPr>
                <w:sz w:val="21"/>
              </w:rPr>
              <w:t>112098717</w:t>
            </w:r>
          </w:p>
        </w:tc>
        <w:tc>
          <w:tcPr>
            <w:tcW w:w="1287" w:type="dxa"/>
          </w:tcPr>
          <w:p>
            <w:pPr>
              <w:pStyle w:val="TableParagraph"/>
              <w:spacing w:line="278" w:lineRule="auto" w:before="23"/>
              <w:ind w:left="193" w:right="186"/>
              <w:jc w:val="center"/>
              <w:rPr>
                <w:rFonts w:ascii="宋体" w:eastAsia="宋体" w:hint="eastAsia"/>
                <w:sz w:val="21"/>
              </w:rPr>
            </w:pPr>
            <w:r>
              <w:rPr>
                <w:sz w:val="21"/>
              </w:rPr>
              <w:t>20</w:t>
            </w:r>
            <w:r>
              <w:rPr>
                <w:spacing w:val="4"/>
                <w:sz w:val="21"/>
              </w:rPr>
              <w:t> </w:t>
            </w:r>
            <w:r>
              <w:rPr>
                <w:rFonts w:ascii="宋体" w:eastAsia="宋体" w:hint="eastAsia"/>
                <w:spacing w:val="-7"/>
                <w:sz w:val="21"/>
              </w:rPr>
              <w:t>上海农</w:t>
            </w:r>
            <w:r>
              <w:rPr>
                <w:rFonts w:ascii="宋体" w:eastAsia="宋体" w:hint="eastAsia"/>
                <w:sz w:val="21"/>
              </w:rPr>
              <w:t>商银行</w:t>
            </w:r>
          </w:p>
          <w:p>
            <w:pPr>
              <w:pStyle w:val="TableParagraph"/>
              <w:spacing w:before="11"/>
              <w:ind w:left="121" w:right="115"/>
              <w:jc w:val="center"/>
              <w:rPr>
                <w:sz w:val="21"/>
              </w:rPr>
            </w:pPr>
            <w:r>
              <w:rPr>
                <w:sz w:val="21"/>
              </w:rPr>
              <w:t>CD052</w:t>
            </w:r>
          </w:p>
        </w:tc>
        <w:tc>
          <w:tcPr>
            <w:tcW w:w="1429" w:type="dxa"/>
          </w:tcPr>
          <w:p>
            <w:pPr>
              <w:pStyle w:val="TableParagraph"/>
              <w:spacing w:before="0"/>
              <w:rPr>
                <w:rFonts w:ascii="宋体"/>
                <w:sz w:val="27"/>
              </w:rPr>
            </w:pPr>
          </w:p>
          <w:p>
            <w:pPr>
              <w:pStyle w:val="TableParagraph"/>
              <w:spacing w:before="0"/>
              <w:ind w:right="98"/>
              <w:jc w:val="right"/>
              <w:rPr>
                <w:sz w:val="21"/>
              </w:rPr>
            </w:pPr>
            <w:r>
              <w:rPr>
                <w:sz w:val="21"/>
              </w:rPr>
              <w:t>10,000,000</w:t>
            </w:r>
          </w:p>
        </w:tc>
        <w:tc>
          <w:tcPr>
            <w:tcW w:w="1705" w:type="dxa"/>
          </w:tcPr>
          <w:p>
            <w:pPr>
              <w:pStyle w:val="TableParagraph"/>
              <w:spacing w:before="0"/>
              <w:rPr>
                <w:rFonts w:ascii="宋体"/>
                <w:sz w:val="27"/>
              </w:rPr>
            </w:pPr>
          </w:p>
          <w:p>
            <w:pPr>
              <w:pStyle w:val="TableParagraph"/>
              <w:spacing w:before="0"/>
              <w:ind w:right="96"/>
              <w:jc w:val="right"/>
              <w:rPr>
                <w:sz w:val="21"/>
              </w:rPr>
            </w:pPr>
            <w:r>
              <w:rPr>
                <w:sz w:val="21"/>
              </w:rPr>
              <w:t>994,123,425.98</w:t>
            </w:r>
          </w:p>
        </w:tc>
        <w:tc>
          <w:tcPr>
            <w:tcW w:w="1593" w:type="dxa"/>
          </w:tcPr>
          <w:p>
            <w:pPr>
              <w:pStyle w:val="TableParagraph"/>
              <w:spacing w:before="0"/>
              <w:rPr>
                <w:rFonts w:ascii="宋体"/>
                <w:sz w:val="27"/>
              </w:rPr>
            </w:pPr>
          </w:p>
          <w:p>
            <w:pPr>
              <w:pStyle w:val="TableParagraph"/>
              <w:spacing w:before="0"/>
              <w:ind w:right="98"/>
              <w:jc w:val="right"/>
              <w:rPr>
                <w:sz w:val="21"/>
              </w:rPr>
            </w:pPr>
            <w:r>
              <w:rPr>
                <w:sz w:val="21"/>
              </w:rPr>
              <w:t>1.85</w:t>
            </w:r>
          </w:p>
        </w:tc>
      </w:tr>
      <w:tr>
        <w:trPr>
          <w:trHeight w:val="311" w:hRule="atLeast"/>
        </w:trPr>
        <w:tc>
          <w:tcPr>
            <w:tcW w:w="1229" w:type="dxa"/>
          </w:tcPr>
          <w:p>
            <w:pPr>
              <w:pStyle w:val="TableParagraph"/>
              <w:spacing w:before="34"/>
              <w:ind w:left="9"/>
              <w:jc w:val="center"/>
              <w:rPr>
                <w:sz w:val="21"/>
              </w:rPr>
            </w:pPr>
            <w:r>
              <w:rPr>
                <w:w w:val="100"/>
                <w:sz w:val="21"/>
              </w:rPr>
              <w:t>7</w:t>
            </w:r>
          </w:p>
        </w:tc>
        <w:tc>
          <w:tcPr>
            <w:tcW w:w="1290" w:type="dxa"/>
          </w:tcPr>
          <w:p>
            <w:pPr>
              <w:pStyle w:val="TableParagraph"/>
              <w:spacing w:before="34"/>
              <w:ind w:left="152" w:right="142"/>
              <w:jc w:val="center"/>
              <w:rPr>
                <w:sz w:val="21"/>
              </w:rPr>
            </w:pPr>
            <w:r>
              <w:rPr>
                <w:sz w:val="21"/>
              </w:rPr>
              <w:t>180203</w:t>
            </w:r>
          </w:p>
        </w:tc>
        <w:tc>
          <w:tcPr>
            <w:tcW w:w="1287" w:type="dxa"/>
          </w:tcPr>
          <w:p>
            <w:pPr>
              <w:pStyle w:val="TableParagraph"/>
              <w:ind w:left="121" w:right="117"/>
              <w:jc w:val="center"/>
              <w:rPr>
                <w:sz w:val="21"/>
              </w:rPr>
            </w:pPr>
            <w:r>
              <w:rPr>
                <w:sz w:val="21"/>
              </w:rPr>
              <w:t>18 </w:t>
            </w:r>
            <w:r>
              <w:rPr>
                <w:rFonts w:ascii="宋体" w:eastAsia="宋体" w:hint="eastAsia"/>
                <w:sz w:val="21"/>
              </w:rPr>
              <w:t>国开 </w:t>
            </w:r>
            <w:r>
              <w:rPr>
                <w:sz w:val="21"/>
              </w:rPr>
              <w:t>03</w:t>
            </w:r>
          </w:p>
        </w:tc>
        <w:tc>
          <w:tcPr>
            <w:tcW w:w="1429" w:type="dxa"/>
          </w:tcPr>
          <w:p>
            <w:pPr>
              <w:pStyle w:val="TableParagraph"/>
              <w:spacing w:before="34"/>
              <w:ind w:right="98"/>
              <w:jc w:val="right"/>
              <w:rPr>
                <w:sz w:val="21"/>
              </w:rPr>
            </w:pPr>
            <w:r>
              <w:rPr>
                <w:sz w:val="21"/>
              </w:rPr>
              <w:t>8,600,000</w:t>
            </w:r>
          </w:p>
        </w:tc>
        <w:tc>
          <w:tcPr>
            <w:tcW w:w="1705" w:type="dxa"/>
          </w:tcPr>
          <w:p>
            <w:pPr>
              <w:pStyle w:val="TableParagraph"/>
              <w:spacing w:before="34"/>
              <w:ind w:right="96"/>
              <w:jc w:val="right"/>
              <w:rPr>
                <w:sz w:val="21"/>
              </w:rPr>
            </w:pPr>
            <w:r>
              <w:rPr>
                <w:sz w:val="21"/>
              </w:rPr>
              <w:t>879,088,251.85</w:t>
            </w:r>
          </w:p>
        </w:tc>
        <w:tc>
          <w:tcPr>
            <w:tcW w:w="1593" w:type="dxa"/>
          </w:tcPr>
          <w:p>
            <w:pPr>
              <w:pStyle w:val="TableParagraph"/>
              <w:spacing w:before="34"/>
              <w:ind w:right="98"/>
              <w:jc w:val="right"/>
              <w:rPr>
                <w:sz w:val="21"/>
              </w:rPr>
            </w:pPr>
            <w:r>
              <w:rPr>
                <w:sz w:val="21"/>
              </w:rPr>
              <w:t>1.64</w:t>
            </w:r>
          </w:p>
        </w:tc>
      </w:tr>
      <w:tr>
        <w:trPr>
          <w:trHeight w:val="313" w:hRule="atLeast"/>
        </w:trPr>
        <w:tc>
          <w:tcPr>
            <w:tcW w:w="1229" w:type="dxa"/>
          </w:tcPr>
          <w:p>
            <w:pPr>
              <w:pStyle w:val="TableParagraph"/>
              <w:spacing w:before="36"/>
              <w:ind w:left="9"/>
              <w:jc w:val="center"/>
              <w:rPr>
                <w:sz w:val="21"/>
              </w:rPr>
            </w:pPr>
            <w:r>
              <w:rPr>
                <w:w w:val="100"/>
                <w:sz w:val="21"/>
              </w:rPr>
              <w:t>8</w:t>
            </w:r>
          </w:p>
        </w:tc>
        <w:tc>
          <w:tcPr>
            <w:tcW w:w="1290" w:type="dxa"/>
          </w:tcPr>
          <w:p>
            <w:pPr>
              <w:pStyle w:val="TableParagraph"/>
              <w:spacing w:before="36"/>
              <w:ind w:left="152" w:right="142"/>
              <w:jc w:val="center"/>
              <w:rPr>
                <w:sz w:val="21"/>
              </w:rPr>
            </w:pPr>
            <w:r>
              <w:rPr>
                <w:sz w:val="21"/>
              </w:rPr>
              <w:t>160403</w:t>
            </w:r>
          </w:p>
        </w:tc>
        <w:tc>
          <w:tcPr>
            <w:tcW w:w="1287" w:type="dxa"/>
          </w:tcPr>
          <w:p>
            <w:pPr>
              <w:pStyle w:val="TableParagraph"/>
              <w:spacing w:before="25"/>
              <w:ind w:left="121" w:right="117"/>
              <w:jc w:val="center"/>
              <w:rPr>
                <w:sz w:val="21"/>
              </w:rPr>
            </w:pPr>
            <w:r>
              <w:rPr>
                <w:sz w:val="21"/>
              </w:rPr>
              <w:t>16 </w:t>
            </w:r>
            <w:r>
              <w:rPr>
                <w:rFonts w:ascii="宋体" w:eastAsia="宋体" w:hint="eastAsia"/>
                <w:sz w:val="21"/>
              </w:rPr>
              <w:t>农发 </w:t>
            </w:r>
            <w:r>
              <w:rPr>
                <w:sz w:val="21"/>
              </w:rPr>
              <w:t>03</w:t>
            </w:r>
          </w:p>
        </w:tc>
        <w:tc>
          <w:tcPr>
            <w:tcW w:w="1429" w:type="dxa"/>
          </w:tcPr>
          <w:p>
            <w:pPr>
              <w:pStyle w:val="TableParagraph"/>
              <w:spacing w:before="36"/>
              <w:ind w:right="98"/>
              <w:jc w:val="right"/>
              <w:rPr>
                <w:sz w:val="21"/>
              </w:rPr>
            </w:pPr>
            <w:r>
              <w:rPr>
                <w:sz w:val="21"/>
              </w:rPr>
              <w:t>6,800,000</w:t>
            </w:r>
          </w:p>
        </w:tc>
        <w:tc>
          <w:tcPr>
            <w:tcW w:w="1705" w:type="dxa"/>
          </w:tcPr>
          <w:p>
            <w:pPr>
              <w:pStyle w:val="TableParagraph"/>
              <w:spacing w:before="36"/>
              <w:ind w:right="96"/>
              <w:jc w:val="right"/>
              <w:rPr>
                <w:sz w:val="21"/>
              </w:rPr>
            </w:pPr>
            <w:r>
              <w:rPr>
                <w:sz w:val="21"/>
              </w:rPr>
              <w:t>685,952,886.76</w:t>
            </w:r>
          </w:p>
        </w:tc>
        <w:tc>
          <w:tcPr>
            <w:tcW w:w="1593" w:type="dxa"/>
          </w:tcPr>
          <w:p>
            <w:pPr>
              <w:pStyle w:val="TableParagraph"/>
              <w:spacing w:before="36"/>
              <w:ind w:right="98"/>
              <w:jc w:val="right"/>
              <w:rPr>
                <w:sz w:val="21"/>
              </w:rPr>
            </w:pPr>
            <w:r>
              <w:rPr>
                <w:sz w:val="21"/>
              </w:rPr>
              <w:t>1.28</w:t>
            </w:r>
          </w:p>
        </w:tc>
      </w:tr>
      <w:tr>
        <w:trPr>
          <w:trHeight w:val="623" w:hRule="atLeast"/>
        </w:trPr>
        <w:tc>
          <w:tcPr>
            <w:tcW w:w="1229" w:type="dxa"/>
          </w:tcPr>
          <w:p>
            <w:pPr>
              <w:pStyle w:val="TableParagraph"/>
              <w:spacing w:before="190"/>
              <w:ind w:left="9"/>
              <w:jc w:val="center"/>
              <w:rPr>
                <w:sz w:val="21"/>
              </w:rPr>
            </w:pPr>
            <w:r>
              <w:rPr>
                <w:w w:val="100"/>
                <w:sz w:val="21"/>
              </w:rPr>
              <w:t>9</w:t>
            </w:r>
          </w:p>
        </w:tc>
        <w:tc>
          <w:tcPr>
            <w:tcW w:w="1290" w:type="dxa"/>
          </w:tcPr>
          <w:p>
            <w:pPr>
              <w:pStyle w:val="TableParagraph"/>
              <w:spacing w:before="190"/>
              <w:ind w:left="152" w:right="142"/>
              <w:jc w:val="center"/>
              <w:rPr>
                <w:sz w:val="21"/>
              </w:rPr>
            </w:pPr>
            <w:r>
              <w:rPr>
                <w:sz w:val="21"/>
              </w:rPr>
              <w:t>112010127</w:t>
            </w:r>
          </w:p>
        </w:tc>
        <w:tc>
          <w:tcPr>
            <w:tcW w:w="1287" w:type="dxa"/>
          </w:tcPr>
          <w:p>
            <w:pPr>
              <w:pStyle w:val="TableParagraph"/>
              <w:ind w:left="193"/>
              <w:rPr>
                <w:rFonts w:ascii="宋体" w:eastAsia="宋体" w:hint="eastAsia"/>
                <w:sz w:val="21"/>
              </w:rPr>
            </w:pPr>
            <w:r>
              <w:rPr>
                <w:sz w:val="21"/>
              </w:rPr>
              <w:t>20</w:t>
            </w:r>
            <w:r>
              <w:rPr>
                <w:spacing w:val="4"/>
                <w:sz w:val="21"/>
              </w:rPr>
              <w:t> </w:t>
            </w:r>
            <w:r>
              <w:rPr>
                <w:rFonts w:ascii="宋体" w:eastAsia="宋体" w:hint="eastAsia"/>
                <w:spacing w:val="-2"/>
                <w:sz w:val="21"/>
              </w:rPr>
              <w:t>兴业银</w:t>
            </w:r>
          </w:p>
          <w:p>
            <w:pPr>
              <w:pStyle w:val="TableParagraph"/>
              <w:spacing w:before="43"/>
              <w:ind w:left="205"/>
              <w:rPr>
                <w:sz w:val="21"/>
              </w:rPr>
            </w:pPr>
            <w:r>
              <w:rPr>
                <w:rFonts w:ascii="宋体" w:eastAsia="宋体" w:hint="eastAsia"/>
                <w:spacing w:val="-27"/>
                <w:sz w:val="21"/>
              </w:rPr>
              <w:t>行 </w:t>
            </w:r>
            <w:r>
              <w:rPr>
                <w:sz w:val="21"/>
              </w:rPr>
              <w:t>CD127</w:t>
            </w:r>
          </w:p>
        </w:tc>
        <w:tc>
          <w:tcPr>
            <w:tcW w:w="1429" w:type="dxa"/>
          </w:tcPr>
          <w:p>
            <w:pPr>
              <w:pStyle w:val="TableParagraph"/>
              <w:spacing w:before="190"/>
              <w:ind w:right="98"/>
              <w:jc w:val="right"/>
              <w:rPr>
                <w:sz w:val="21"/>
              </w:rPr>
            </w:pPr>
            <w:r>
              <w:rPr>
                <w:sz w:val="21"/>
              </w:rPr>
              <w:t>5,000,000</w:t>
            </w:r>
          </w:p>
        </w:tc>
        <w:tc>
          <w:tcPr>
            <w:tcW w:w="1705" w:type="dxa"/>
          </w:tcPr>
          <w:p>
            <w:pPr>
              <w:pStyle w:val="TableParagraph"/>
              <w:spacing w:before="190"/>
              <w:ind w:right="96"/>
              <w:jc w:val="right"/>
              <w:rPr>
                <w:sz w:val="21"/>
              </w:rPr>
            </w:pPr>
            <w:r>
              <w:rPr>
                <w:sz w:val="21"/>
              </w:rPr>
              <w:t>493,130,608.71</w:t>
            </w:r>
          </w:p>
        </w:tc>
        <w:tc>
          <w:tcPr>
            <w:tcW w:w="1593" w:type="dxa"/>
          </w:tcPr>
          <w:p>
            <w:pPr>
              <w:pStyle w:val="TableParagraph"/>
              <w:spacing w:before="190"/>
              <w:ind w:right="98"/>
              <w:jc w:val="right"/>
              <w:rPr>
                <w:sz w:val="21"/>
              </w:rPr>
            </w:pPr>
            <w:r>
              <w:rPr>
                <w:sz w:val="21"/>
              </w:rPr>
              <w:t>0.92</w:t>
            </w:r>
          </w:p>
        </w:tc>
      </w:tr>
      <w:tr>
        <w:trPr>
          <w:trHeight w:val="623" w:hRule="atLeast"/>
        </w:trPr>
        <w:tc>
          <w:tcPr>
            <w:tcW w:w="1229" w:type="dxa"/>
          </w:tcPr>
          <w:p>
            <w:pPr>
              <w:pStyle w:val="TableParagraph"/>
              <w:spacing w:before="190"/>
              <w:ind w:left="377" w:right="368"/>
              <w:jc w:val="center"/>
              <w:rPr>
                <w:sz w:val="21"/>
              </w:rPr>
            </w:pPr>
            <w:r>
              <w:rPr>
                <w:sz w:val="21"/>
              </w:rPr>
              <w:t>10</w:t>
            </w:r>
          </w:p>
        </w:tc>
        <w:tc>
          <w:tcPr>
            <w:tcW w:w="1290" w:type="dxa"/>
          </w:tcPr>
          <w:p>
            <w:pPr>
              <w:pStyle w:val="TableParagraph"/>
              <w:spacing w:before="190"/>
              <w:ind w:left="152" w:right="142"/>
              <w:jc w:val="center"/>
              <w:rPr>
                <w:sz w:val="21"/>
              </w:rPr>
            </w:pPr>
            <w:r>
              <w:rPr>
                <w:sz w:val="21"/>
              </w:rPr>
              <w:t>112009071</w:t>
            </w:r>
          </w:p>
        </w:tc>
        <w:tc>
          <w:tcPr>
            <w:tcW w:w="1287" w:type="dxa"/>
          </w:tcPr>
          <w:p>
            <w:pPr>
              <w:pStyle w:val="TableParagraph"/>
              <w:ind w:left="193"/>
              <w:rPr>
                <w:rFonts w:ascii="宋体" w:eastAsia="宋体" w:hint="eastAsia"/>
                <w:sz w:val="21"/>
              </w:rPr>
            </w:pPr>
            <w:r>
              <w:rPr>
                <w:sz w:val="21"/>
              </w:rPr>
              <w:t>20</w:t>
            </w:r>
            <w:r>
              <w:rPr>
                <w:spacing w:val="4"/>
                <w:sz w:val="21"/>
              </w:rPr>
              <w:t> </w:t>
            </w:r>
            <w:r>
              <w:rPr>
                <w:rFonts w:ascii="宋体" w:eastAsia="宋体" w:hint="eastAsia"/>
                <w:spacing w:val="-2"/>
                <w:sz w:val="21"/>
              </w:rPr>
              <w:t>浦发银</w:t>
            </w:r>
          </w:p>
          <w:p>
            <w:pPr>
              <w:pStyle w:val="TableParagraph"/>
              <w:spacing w:before="43"/>
              <w:ind w:left="205"/>
              <w:rPr>
                <w:sz w:val="21"/>
              </w:rPr>
            </w:pPr>
            <w:r>
              <w:rPr>
                <w:rFonts w:ascii="宋体" w:eastAsia="宋体" w:hint="eastAsia"/>
                <w:spacing w:val="-27"/>
                <w:sz w:val="21"/>
              </w:rPr>
              <w:t>行 </w:t>
            </w:r>
            <w:r>
              <w:rPr>
                <w:sz w:val="21"/>
              </w:rPr>
              <w:t>CD071</w:t>
            </w:r>
          </w:p>
        </w:tc>
        <w:tc>
          <w:tcPr>
            <w:tcW w:w="1429" w:type="dxa"/>
          </w:tcPr>
          <w:p>
            <w:pPr>
              <w:pStyle w:val="TableParagraph"/>
              <w:spacing w:before="190"/>
              <w:ind w:right="98"/>
              <w:jc w:val="right"/>
              <w:rPr>
                <w:sz w:val="21"/>
              </w:rPr>
            </w:pPr>
            <w:r>
              <w:rPr>
                <w:sz w:val="21"/>
              </w:rPr>
              <w:t>4,500,000</w:t>
            </w:r>
          </w:p>
        </w:tc>
        <w:tc>
          <w:tcPr>
            <w:tcW w:w="1705" w:type="dxa"/>
          </w:tcPr>
          <w:p>
            <w:pPr>
              <w:pStyle w:val="TableParagraph"/>
              <w:spacing w:before="190"/>
              <w:ind w:right="96"/>
              <w:jc w:val="right"/>
              <w:rPr>
                <w:sz w:val="21"/>
              </w:rPr>
            </w:pPr>
            <w:r>
              <w:rPr>
                <w:sz w:val="21"/>
              </w:rPr>
              <w:t>448,287,595.45</w:t>
            </w:r>
          </w:p>
        </w:tc>
        <w:tc>
          <w:tcPr>
            <w:tcW w:w="1593" w:type="dxa"/>
          </w:tcPr>
          <w:p>
            <w:pPr>
              <w:pStyle w:val="TableParagraph"/>
              <w:spacing w:before="190"/>
              <w:ind w:right="98"/>
              <w:jc w:val="right"/>
              <w:rPr>
                <w:sz w:val="21"/>
              </w:rPr>
            </w:pPr>
            <w:r>
              <w:rPr>
                <w:sz w:val="21"/>
              </w:rPr>
              <w:t>0.84</w:t>
            </w:r>
          </w:p>
        </w:tc>
      </w:tr>
    </w:tbl>
    <w:p>
      <w:pPr>
        <w:pStyle w:val="ListParagraph"/>
        <w:numPr>
          <w:ilvl w:val="1"/>
          <w:numId w:val="24"/>
        </w:numPr>
        <w:tabs>
          <w:tab w:pos="1044" w:val="left" w:leader="none"/>
        </w:tabs>
        <w:spacing w:line="240" w:lineRule="auto" w:before="100" w:after="0"/>
        <w:ind w:left="1043" w:right="0" w:hanging="266"/>
        <w:jc w:val="left"/>
        <w:rPr>
          <w:sz w:val="21"/>
        </w:rPr>
      </w:pPr>
      <w:r>
        <w:rPr>
          <w:rFonts w:ascii="Times New Roman" w:hAnsi="Times New Roman" w:eastAsia="Times New Roman"/>
          <w:sz w:val="21"/>
        </w:rPr>
        <w:t>“</w:t>
      </w:r>
      <w:r>
        <w:rPr>
          <w:spacing w:val="-3"/>
          <w:sz w:val="21"/>
        </w:rPr>
        <w:t>影子定价</w:t>
      </w:r>
      <w:r>
        <w:rPr>
          <w:rFonts w:ascii="Times New Roman" w:hAnsi="Times New Roman" w:eastAsia="Times New Roman"/>
          <w:sz w:val="21"/>
        </w:rPr>
        <w:t>”</w:t>
      </w:r>
      <w:r>
        <w:rPr>
          <w:spacing w:val="-3"/>
          <w:sz w:val="21"/>
        </w:rPr>
        <w:t>与</w:t>
      </w:r>
      <w:r>
        <w:rPr>
          <w:rFonts w:ascii="Times New Roman" w:hAnsi="Times New Roman" w:eastAsia="Times New Roman"/>
          <w:sz w:val="21"/>
        </w:rPr>
        <w:t>“</w:t>
      </w:r>
      <w:r>
        <w:rPr>
          <w:spacing w:val="-3"/>
          <w:sz w:val="21"/>
        </w:rPr>
        <w:t>摊余成本法</w:t>
      </w:r>
      <w:r>
        <w:rPr>
          <w:rFonts w:ascii="Times New Roman" w:hAnsi="Times New Roman" w:eastAsia="Times New Roman"/>
          <w:sz w:val="21"/>
        </w:rPr>
        <w:t>”</w:t>
      </w:r>
      <w:r>
        <w:rPr>
          <w:spacing w:val="-3"/>
          <w:sz w:val="21"/>
        </w:rPr>
        <w:t>确定的基金资产净值的偏离</w:t>
      </w:r>
    </w:p>
    <w:p>
      <w:pPr>
        <w:pStyle w:val="BodyText"/>
        <w:spacing w:before="9"/>
        <w:rPr>
          <w:sz w:val="7"/>
        </w:rPr>
      </w:pPr>
    </w:p>
    <w:tbl>
      <w:tblPr>
        <w:tblW w:w="0" w:type="auto"/>
        <w:jc w:val="left"/>
        <w:tblInd w:w="7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14"/>
        <w:gridCol w:w="3260"/>
      </w:tblGrid>
      <w:tr>
        <w:trPr>
          <w:trHeight w:val="498" w:hRule="atLeast"/>
        </w:trPr>
        <w:tc>
          <w:tcPr>
            <w:tcW w:w="5814" w:type="dxa"/>
          </w:tcPr>
          <w:p>
            <w:pPr>
              <w:pStyle w:val="TableParagraph"/>
              <w:spacing w:before="131"/>
              <w:ind w:left="2683" w:right="2650"/>
              <w:jc w:val="center"/>
              <w:rPr>
                <w:rFonts w:ascii="宋体" w:eastAsia="宋体" w:hint="eastAsia"/>
                <w:sz w:val="21"/>
              </w:rPr>
            </w:pPr>
            <w:r>
              <w:rPr>
                <w:rFonts w:ascii="宋体" w:eastAsia="宋体" w:hint="eastAsia"/>
                <w:sz w:val="21"/>
              </w:rPr>
              <w:t>项目</w:t>
            </w:r>
          </w:p>
        </w:tc>
        <w:tc>
          <w:tcPr>
            <w:tcW w:w="3260" w:type="dxa"/>
          </w:tcPr>
          <w:p>
            <w:pPr>
              <w:pStyle w:val="TableParagraph"/>
              <w:spacing w:before="131"/>
              <w:ind w:left="1194" w:right="1165"/>
              <w:jc w:val="center"/>
              <w:rPr>
                <w:rFonts w:ascii="宋体" w:eastAsia="宋体" w:hint="eastAsia"/>
                <w:sz w:val="21"/>
              </w:rPr>
            </w:pPr>
            <w:r>
              <w:rPr>
                <w:rFonts w:ascii="宋体" w:eastAsia="宋体" w:hint="eastAsia"/>
                <w:sz w:val="21"/>
              </w:rPr>
              <w:t>偏离情况</w:t>
            </w:r>
          </w:p>
        </w:tc>
      </w:tr>
      <w:tr>
        <w:trPr>
          <w:trHeight w:val="496" w:hRule="atLeast"/>
        </w:trPr>
        <w:tc>
          <w:tcPr>
            <w:tcW w:w="5814" w:type="dxa"/>
          </w:tcPr>
          <w:p>
            <w:pPr>
              <w:pStyle w:val="TableParagraph"/>
              <w:spacing w:before="130"/>
              <w:ind w:left="121"/>
              <w:rPr>
                <w:rFonts w:ascii="宋体" w:eastAsia="宋体" w:hint="eastAsia"/>
                <w:sz w:val="21"/>
              </w:rPr>
            </w:pPr>
            <w:r>
              <w:rPr>
                <w:rFonts w:ascii="宋体" w:eastAsia="宋体" w:hint="eastAsia"/>
                <w:sz w:val="21"/>
              </w:rPr>
              <w:t>报告期内偏离度的绝对值在</w:t>
            </w:r>
            <w:r>
              <w:rPr>
                <w:sz w:val="21"/>
              </w:rPr>
              <w:t>0.25(</w:t>
            </w:r>
            <w:r>
              <w:rPr>
                <w:rFonts w:ascii="宋体" w:eastAsia="宋体" w:hint="eastAsia"/>
                <w:sz w:val="21"/>
              </w:rPr>
              <w:t>含</w:t>
            </w:r>
            <w:r>
              <w:rPr>
                <w:sz w:val="21"/>
              </w:rPr>
              <w:t>)-0.5%</w:t>
            </w:r>
            <w:r>
              <w:rPr>
                <w:rFonts w:ascii="宋体" w:eastAsia="宋体" w:hint="eastAsia"/>
                <w:sz w:val="21"/>
              </w:rPr>
              <w:t>间的次数</w:t>
            </w:r>
          </w:p>
        </w:tc>
        <w:tc>
          <w:tcPr>
            <w:tcW w:w="3260" w:type="dxa"/>
          </w:tcPr>
          <w:p>
            <w:pPr>
              <w:pStyle w:val="TableParagraph"/>
              <w:spacing w:before="113"/>
              <w:ind w:right="86"/>
              <w:jc w:val="right"/>
              <w:rPr>
                <w:rFonts w:ascii="宋体" w:eastAsia="宋体" w:hint="eastAsia"/>
                <w:sz w:val="21"/>
              </w:rPr>
            </w:pPr>
            <w:r>
              <w:rPr>
                <w:sz w:val="21"/>
              </w:rPr>
              <w:t>0 </w:t>
            </w:r>
            <w:r>
              <w:rPr>
                <w:rFonts w:ascii="宋体" w:eastAsia="宋体" w:hint="eastAsia"/>
                <w:sz w:val="21"/>
              </w:rPr>
              <w:t>次</w:t>
            </w:r>
          </w:p>
        </w:tc>
      </w:tr>
      <w:tr>
        <w:trPr>
          <w:trHeight w:val="496" w:hRule="atLeast"/>
        </w:trPr>
        <w:tc>
          <w:tcPr>
            <w:tcW w:w="5814" w:type="dxa"/>
          </w:tcPr>
          <w:p>
            <w:pPr>
              <w:pStyle w:val="TableParagraph"/>
              <w:spacing w:before="130"/>
              <w:ind w:left="121"/>
              <w:rPr>
                <w:rFonts w:ascii="宋体" w:eastAsia="宋体" w:hint="eastAsia"/>
                <w:sz w:val="21"/>
              </w:rPr>
            </w:pPr>
            <w:r>
              <w:rPr>
                <w:rFonts w:ascii="宋体" w:eastAsia="宋体" w:hint="eastAsia"/>
                <w:sz w:val="21"/>
              </w:rPr>
              <w:t>报告期内偏离度的最高值</w:t>
            </w:r>
          </w:p>
        </w:tc>
        <w:tc>
          <w:tcPr>
            <w:tcW w:w="3260" w:type="dxa"/>
          </w:tcPr>
          <w:p>
            <w:pPr>
              <w:pStyle w:val="TableParagraph"/>
              <w:spacing w:before="125"/>
              <w:ind w:right="86"/>
              <w:jc w:val="right"/>
              <w:rPr>
                <w:sz w:val="21"/>
              </w:rPr>
            </w:pPr>
            <w:r>
              <w:rPr>
                <w:sz w:val="21"/>
              </w:rPr>
              <w:t>0.12%</w:t>
            </w:r>
          </w:p>
        </w:tc>
      </w:tr>
      <w:tr>
        <w:trPr>
          <w:trHeight w:val="498" w:hRule="atLeast"/>
        </w:trPr>
        <w:tc>
          <w:tcPr>
            <w:tcW w:w="5814" w:type="dxa"/>
          </w:tcPr>
          <w:p>
            <w:pPr>
              <w:pStyle w:val="TableParagraph"/>
              <w:spacing w:before="132"/>
              <w:ind w:left="121"/>
              <w:rPr>
                <w:rFonts w:ascii="宋体" w:eastAsia="宋体" w:hint="eastAsia"/>
                <w:sz w:val="21"/>
              </w:rPr>
            </w:pPr>
            <w:r>
              <w:rPr>
                <w:rFonts w:ascii="宋体" w:eastAsia="宋体" w:hint="eastAsia"/>
                <w:sz w:val="21"/>
              </w:rPr>
              <w:t>报告期内偏离度的最低值</w:t>
            </w:r>
          </w:p>
        </w:tc>
        <w:tc>
          <w:tcPr>
            <w:tcW w:w="3260" w:type="dxa"/>
          </w:tcPr>
          <w:p>
            <w:pPr>
              <w:pStyle w:val="TableParagraph"/>
              <w:spacing w:before="127"/>
              <w:ind w:right="88"/>
              <w:jc w:val="right"/>
              <w:rPr>
                <w:sz w:val="21"/>
              </w:rPr>
            </w:pPr>
            <w:r>
              <w:rPr>
                <w:sz w:val="21"/>
              </w:rPr>
              <w:t>-0.08%</w:t>
            </w:r>
          </w:p>
        </w:tc>
      </w:tr>
      <w:tr>
        <w:trPr>
          <w:trHeight w:val="498" w:hRule="atLeast"/>
        </w:trPr>
        <w:tc>
          <w:tcPr>
            <w:tcW w:w="5814" w:type="dxa"/>
          </w:tcPr>
          <w:p>
            <w:pPr>
              <w:pStyle w:val="TableParagraph"/>
              <w:spacing w:before="130"/>
              <w:ind w:left="121"/>
              <w:rPr>
                <w:rFonts w:ascii="宋体" w:eastAsia="宋体" w:hint="eastAsia"/>
                <w:sz w:val="21"/>
              </w:rPr>
            </w:pPr>
            <w:r>
              <w:rPr>
                <w:rFonts w:ascii="宋体" w:eastAsia="宋体" w:hint="eastAsia"/>
                <w:sz w:val="21"/>
              </w:rPr>
              <w:t>报告期内每个工作日偏离度的绝对值的简单平均值</w:t>
            </w:r>
          </w:p>
        </w:tc>
        <w:tc>
          <w:tcPr>
            <w:tcW w:w="3260" w:type="dxa"/>
          </w:tcPr>
          <w:p>
            <w:pPr>
              <w:pStyle w:val="TableParagraph"/>
              <w:spacing w:before="125"/>
              <w:ind w:right="86"/>
              <w:jc w:val="right"/>
              <w:rPr>
                <w:sz w:val="21"/>
              </w:rPr>
            </w:pPr>
            <w:r>
              <w:rPr>
                <w:sz w:val="21"/>
              </w:rPr>
              <w:t>0.06%</w:t>
            </w:r>
          </w:p>
        </w:tc>
      </w:tr>
    </w:tbl>
    <w:p>
      <w:pPr>
        <w:pStyle w:val="BodyText"/>
        <w:spacing w:before="100"/>
        <w:ind w:left="778"/>
      </w:pPr>
      <w:r>
        <w:rPr/>
        <w:t>报告期内负偏离度的绝对值达到 </w:t>
      </w:r>
      <w:r>
        <w:rPr>
          <w:rFonts w:ascii="Times New Roman" w:eastAsia="Times New Roman"/>
        </w:rPr>
        <w:t>0.25%</w:t>
      </w:r>
      <w:r>
        <w:rPr/>
        <w:t>情况说明</w:t>
      </w:r>
    </w:p>
    <w:p>
      <w:pPr>
        <w:pStyle w:val="BodyText"/>
        <w:spacing w:before="6"/>
        <w:rPr>
          <w:sz w:val="15"/>
        </w:rPr>
      </w:pPr>
    </w:p>
    <w:p>
      <w:pPr>
        <w:pStyle w:val="BodyText"/>
        <w:spacing w:line="417" w:lineRule="auto" w:before="1"/>
        <w:ind w:left="778" w:right="2875" w:firstLine="419"/>
      </w:pPr>
      <w:r>
        <w:rPr/>
        <w:t>本基金本报告期内不存在负偏离度的绝对值达到 </w:t>
      </w:r>
      <w:r>
        <w:rPr>
          <w:rFonts w:ascii="Times New Roman" w:eastAsia="Times New Roman"/>
        </w:rPr>
        <w:t>0.25%</w:t>
      </w:r>
      <w:r>
        <w:rPr/>
        <w:t>的情况。报告期内正偏离度的绝对值达到 </w:t>
      </w:r>
      <w:r>
        <w:rPr>
          <w:rFonts w:ascii="Times New Roman" w:eastAsia="Times New Roman"/>
        </w:rPr>
        <w:t>0.5%</w:t>
      </w:r>
      <w:r>
        <w:rPr/>
        <w:t>情况说明</w:t>
      </w:r>
    </w:p>
    <w:p>
      <w:pPr>
        <w:spacing w:after="0" w:line="417" w:lineRule="auto"/>
        <w:sectPr>
          <w:footerReference w:type="default" r:id="rId213"/>
          <w:pgSz w:w="11910" w:h="16840"/>
          <w:pgMar w:footer="995" w:header="877" w:top="1280" w:bottom="1180" w:left="1020" w:right="900"/>
          <w:pgNumType w:start="110"/>
        </w:sectPr>
      </w:pPr>
    </w:p>
    <w:p>
      <w:pPr>
        <w:pStyle w:val="BodyText"/>
        <w:rPr>
          <w:sz w:val="12"/>
        </w:rPr>
      </w:pPr>
    </w:p>
    <w:p>
      <w:pPr>
        <w:pStyle w:val="BodyText"/>
        <w:spacing w:before="78"/>
        <w:ind w:left="1198"/>
      </w:pPr>
      <w:r>
        <w:rPr/>
        <w:t>本基金本报告期内不存在正偏离度的绝对值达到 </w:t>
      </w:r>
      <w:r>
        <w:rPr>
          <w:rFonts w:ascii="Times New Roman" w:eastAsia="Times New Roman"/>
        </w:rPr>
        <w:t>0.5%</w:t>
      </w:r>
      <w:r>
        <w:rPr/>
        <w:t>的情况。</w:t>
      </w:r>
    </w:p>
    <w:p>
      <w:pPr>
        <w:pStyle w:val="BodyText"/>
        <w:spacing w:before="7"/>
        <w:rPr>
          <w:sz w:val="15"/>
        </w:rPr>
      </w:pPr>
    </w:p>
    <w:p>
      <w:pPr>
        <w:pStyle w:val="ListParagraph"/>
        <w:numPr>
          <w:ilvl w:val="1"/>
          <w:numId w:val="24"/>
        </w:numPr>
        <w:tabs>
          <w:tab w:pos="1095" w:val="left" w:leader="none"/>
        </w:tabs>
        <w:spacing w:line="417" w:lineRule="auto" w:before="0" w:after="0"/>
        <w:ind w:left="1198" w:right="1325" w:hanging="420"/>
        <w:jc w:val="left"/>
        <w:rPr>
          <w:sz w:val="21"/>
        </w:rPr>
      </w:pPr>
      <w:r>
        <w:rPr>
          <w:spacing w:val="-3"/>
          <w:sz w:val="21"/>
        </w:rPr>
        <w:t>报告期末按公允价值占基金资产净值比例大小排名的前十名资产支持证券投资明细本基金本报告期末未持有资产支持证券。</w:t>
      </w:r>
    </w:p>
    <w:p>
      <w:pPr>
        <w:pStyle w:val="ListParagraph"/>
        <w:numPr>
          <w:ilvl w:val="1"/>
          <w:numId w:val="24"/>
        </w:numPr>
        <w:tabs>
          <w:tab w:pos="1148" w:val="left" w:leader="none"/>
        </w:tabs>
        <w:spacing w:line="269" w:lineRule="exact" w:before="0" w:after="0"/>
        <w:ind w:left="1147" w:right="0" w:hanging="370"/>
        <w:jc w:val="left"/>
        <w:rPr>
          <w:sz w:val="21"/>
        </w:rPr>
      </w:pPr>
      <w:r>
        <w:rPr>
          <w:spacing w:val="-3"/>
          <w:sz w:val="21"/>
        </w:rPr>
        <w:t>投资组合报告附注</w:t>
      </w:r>
    </w:p>
    <w:p>
      <w:pPr>
        <w:pStyle w:val="BodyText"/>
        <w:spacing w:before="7"/>
        <w:rPr>
          <w:sz w:val="15"/>
        </w:rPr>
      </w:pPr>
    </w:p>
    <w:p>
      <w:pPr>
        <w:pStyle w:val="ListParagraph"/>
        <w:numPr>
          <w:ilvl w:val="2"/>
          <w:numId w:val="24"/>
        </w:numPr>
        <w:tabs>
          <w:tab w:pos="1251" w:val="left" w:leader="none"/>
        </w:tabs>
        <w:spacing w:line="240" w:lineRule="auto" w:before="0" w:after="0"/>
        <w:ind w:left="1250" w:right="0" w:hanging="473"/>
        <w:jc w:val="both"/>
        <w:rPr>
          <w:sz w:val="21"/>
        </w:rPr>
      </w:pPr>
      <w:r>
        <w:rPr>
          <w:spacing w:val="-3"/>
          <w:sz w:val="21"/>
        </w:rPr>
        <w:t>基金计价方法说明</w:t>
      </w:r>
    </w:p>
    <w:p>
      <w:pPr>
        <w:pStyle w:val="BodyText"/>
        <w:spacing w:before="6"/>
        <w:rPr>
          <w:sz w:val="15"/>
        </w:rPr>
      </w:pPr>
    </w:p>
    <w:p>
      <w:pPr>
        <w:pStyle w:val="BodyText"/>
        <w:spacing w:line="417" w:lineRule="auto" w:before="1"/>
        <w:ind w:left="778" w:right="889" w:firstLine="419"/>
        <w:jc w:val="both"/>
      </w:pPr>
      <w:r>
        <w:rPr>
          <w:spacing w:val="-9"/>
        </w:rPr>
        <w:t>鉴于货币市场基金的特性，本基金采用摊余成本法计算基金资产净值，即本基金按持有债券投资的票面利率或商定利率每日计提应收利息，并按实际利率法在其剩余期限内摊销其</w:t>
      </w:r>
      <w:r>
        <w:rPr>
          <w:spacing w:val="-5"/>
        </w:rPr>
        <w:t>买入时的溢价或折价，以摊余的成本计算基金资产净值。</w:t>
      </w:r>
    </w:p>
    <w:p>
      <w:pPr>
        <w:pStyle w:val="BodyText"/>
        <w:spacing w:line="417" w:lineRule="auto"/>
        <w:ind w:left="778" w:right="800" w:firstLine="419"/>
      </w:pPr>
      <w:r>
        <w:rPr>
          <w:spacing w:val="-3"/>
        </w:rPr>
        <w:t>为了避免采用摊余成本法计算的基金资产净值与按市场利率或交易市价计算的基金资 </w:t>
      </w:r>
      <w:r>
        <w:rPr>
          <w:spacing w:val="-10"/>
        </w:rPr>
        <w:t>产净值发生重大偏离，从而对基金持有人的利益产生稀释或不公平的结果，基金管理人采用 </w:t>
      </w:r>
      <w:r>
        <w:rPr>
          <w:rFonts w:ascii="Times New Roman" w:hAnsi="Times New Roman" w:eastAsia="Times New Roman"/>
          <w:spacing w:val="-10"/>
        </w:rPr>
        <w:t>“</w:t>
      </w:r>
      <w:r>
        <w:rPr>
          <w:spacing w:val="-4"/>
        </w:rPr>
        <w:t>影子定价</w:t>
      </w:r>
      <w:r>
        <w:rPr>
          <w:rFonts w:ascii="Times New Roman" w:hAnsi="Times New Roman" w:eastAsia="Times New Roman"/>
        </w:rPr>
        <w:t>”</w:t>
      </w:r>
      <w:r>
        <w:rPr>
          <w:spacing w:val="-3"/>
        </w:rPr>
        <w:t>，即于每一计价日采用市场利率和交易价格对基金持有的计价对象进行重新评 </w:t>
      </w:r>
      <w:r>
        <w:rPr>
          <w:spacing w:val="-11"/>
        </w:rPr>
        <w:t>估，当基金资产净值与其他可参考公允价值指标产生重大偏离的，应按其他公允价值指标对</w:t>
      </w:r>
      <w:r>
        <w:rPr>
          <w:spacing w:val="-9"/>
        </w:rPr>
        <w:t>组合的账面价值进行调整，调整差额确认为</w:t>
      </w:r>
      <w:r>
        <w:rPr>
          <w:rFonts w:ascii="Times New Roman" w:hAnsi="Times New Roman" w:eastAsia="Times New Roman"/>
        </w:rPr>
        <w:t>“</w:t>
      </w:r>
      <w:r>
        <w:rPr>
          <w:spacing w:val="-3"/>
        </w:rPr>
        <w:t>公允价值变动损益</w:t>
      </w:r>
      <w:r>
        <w:rPr>
          <w:rFonts w:ascii="Times New Roman" w:hAnsi="Times New Roman" w:eastAsia="Times New Roman"/>
          <w:spacing w:val="-18"/>
        </w:rPr>
        <w:t>”</w:t>
      </w:r>
      <w:r>
        <w:rPr>
          <w:spacing w:val="-6"/>
        </w:rPr>
        <w:t>，并按其他公允价值指标进</w:t>
      </w:r>
      <w:r>
        <w:rPr>
          <w:spacing w:val="-7"/>
        </w:rPr>
        <w:t>行后续计量。如基金份额净值恢复至 </w:t>
      </w:r>
      <w:r>
        <w:rPr>
          <w:rFonts w:ascii="Times New Roman" w:hAnsi="Times New Roman" w:eastAsia="Times New Roman"/>
        </w:rPr>
        <w:t>1.00 </w:t>
      </w:r>
      <w:r>
        <w:rPr>
          <w:spacing w:val="-3"/>
        </w:rPr>
        <w:t>元，可恢复使用摊余成本法估算公允价值。如有确凿证据表明按上述规定不能客观反映基金资产公允价值的，基金管理人可根据具体情况， 在与基金托管人商议后，按最能反映基金资产公允价值的方法估值。</w:t>
      </w:r>
    </w:p>
    <w:p>
      <w:pPr>
        <w:pStyle w:val="ListParagraph"/>
        <w:numPr>
          <w:ilvl w:val="2"/>
          <w:numId w:val="24"/>
        </w:numPr>
        <w:tabs>
          <w:tab w:pos="1304" w:val="left" w:leader="none"/>
        </w:tabs>
        <w:spacing w:line="417" w:lineRule="auto" w:before="0" w:after="0"/>
        <w:ind w:left="778" w:right="800" w:firstLine="0"/>
        <w:jc w:val="left"/>
        <w:rPr>
          <w:sz w:val="21"/>
        </w:rPr>
      </w:pPr>
      <w:r>
        <w:rPr>
          <w:spacing w:val="-3"/>
          <w:sz w:val="21"/>
        </w:rPr>
        <w:t>报告期内，本基金投资决策程序符合相关法律法规的要求，未发现本基金投资的前十名证券的发行主体本期出现被监管部门立案调查，或在报告编制日前一年内受到公开谴责、处罚的情形。</w:t>
      </w:r>
    </w:p>
    <w:p>
      <w:pPr>
        <w:pStyle w:val="ListParagraph"/>
        <w:numPr>
          <w:ilvl w:val="2"/>
          <w:numId w:val="24"/>
        </w:numPr>
        <w:tabs>
          <w:tab w:pos="1251" w:val="left" w:leader="none"/>
        </w:tabs>
        <w:spacing w:line="269" w:lineRule="exact" w:before="0" w:after="0"/>
        <w:ind w:left="1250" w:right="0" w:hanging="473"/>
        <w:jc w:val="left"/>
        <w:rPr>
          <w:sz w:val="21"/>
        </w:rPr>
      </w:pPr>
      <w:r>
        <w:rPr>
          <w:spacing w:val="-3"/>
          <w:sz w:val="21"/>
        </w:rPr>
        <w:t>其他资产构成</w:t>
      </w:r>
    </w:p>
    <w:p>
      <w:pPr>
        <w:pStyle w:val="BodyText"/>
        <w:spacing w:before="8"/>
        <w:rPr>
          <w:sz w:val="7"/>
        </w:rPr>
      </w:pPr>
    </w:p>
    <w:tbl>
      <w:tblPr>
        <w:tblW w:w="0" w:type="auto"/>
        <w:jc w:val="left"/>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3536"/>
        <w:gridCol w:w="4686"/>
      </w:tblGrid>
      <w:tr>
        <w:trPr>
          <w:trHeight w:val="496" w:hRule="atLeast"/>
        </w:trPr>
        <w:tc>
          <w:tcPr>
            <w:tcW w:w="852" w:type="dxa"/>
          </w:tcPr>
          <w:p>
            <w:pPr>
              <w:pStyle w:val="TableParagraph"/>
              <w:spacing w:before="130"/>
              <w:ind w:left="204" w:right="178"/>
              <w:jc w:val="center"/>
              <w:rPr>
                <w:rFonts w:ascii="宋体" w:eastAsia="宋体" w:hint="eastAsia"/>
                <w:sz w:val="21"/>
              </w:rPr>
            </w:pPr>
            <w:r>
              <w:rPr>
                <w:rFonts w:ascii="宋体" w:eastAsia="宋体" w:hint="eastAsia"/>
                <w:sz w:val="21"/>
              </w:rPr>
              <w:t>序号</w:t>
            </w:r>
          </w:p>
        </w:tc>
        <w:tc>
          <w:tcPr>
            <w:tcW w:w="3536" w:type="dxa"/>
          </w:tcPr>
          <w:p>
            <w:pPr>
              <w:pStyle w:val="TableParagraph"/>
              <w:spacing w:before="130"/>
              <w:ind w:left="1543" w:right="1522"/>
              <w:jc w:val="center"/>
              <w:rPr>
                <w:rFonts w:ascii="宋体" w:eastAsia="宋体" w:hint="eastAsia"/>
                <w:sz w:val="21"/>
              </w:rPr>
            </w:pPr>
            <w:r>
              <w:rPr>
                <w:rFonts w:ascii="宋体" w:eastAsia="宋体" w:hint="eastAsia"/>
                <w:sz w:val="21"/>
              </w:rPr>
              <w:t>名称</w:t>
            </w:r>
          </w:p>
        </w:tc>
        <w:tc>
          <w:tcPr>
            <w:tcW w:w="4686" w:type="dxa"/>
          </w:tcPr>
          <w:p>
            <w:pPr>
              <w:pStyle w:val="TableParagraph"/>
              <w:spacing w:before="130"/>
              <w:ind w:left="1944" w:right="1921"/>
              <w:jc w:val="center"/>
              <w:rPr>
                <w:sz w:val="21"/>
              </w:rPr>
            </w:pPr>
            <w:r>
              <w:rPr>
                <w:rFonts w:ascii="宋体" w:eastAsia="宋体" w:hint="eastAsia"/>
                <w:sz w:val="21"/>
              </w:rPr>
              <w:t>金额</w:t>
            </w:r>
            <w:r>
              <w:rPr>
                <w:sz w:val="21"/>
              </w:rPr>
              <w:t>(</w:t>
            </w:r>
            <w:r>
              <w:rPr>
                <w:rFonts w:ascii="宋体" w:eastAsia="宋体" w:hint="eastAsia"/>
                <w:sz w:val="21"/>
              </w:rPr>
              <w:t>元</w:t>
            </w:r>
            <w:r>
              <w:rPr>
                <w:sz w:val="21"/>
              </w:rPr>
              <w:t>)</w:t>
            </w:r>
          </w:p>
        </w:tc>
      </w:tr>
      <w:tr>
        <w:trPr>
          <w:trHeight w:val="497" w:hRule="atLeast"/>
        </w:trPr>
        <w:tc>
          <w:tcPr>
            <w:tcW w:w="852" w:type="dxa"/>
          </w:tcPr>
          <w:p>
            <w:pPr>
              <w:pStyle w:val="TableParagraph"/>
              <w:spacing w:before="142"/>
              <w:ind w:left="21"/>
              <w:jc w:val="center"/>
              <w:rPr>
                <w:sz w:val="21"/>
              </w:rPr>
            </w:pPr>
            <w:r>
              <w:rPr>
                <w:w w:val="100"/>
                <w:sz w:val="21"/>
              </w:rPr>
              <w:t>1</w:t>
            </w:r>
          </w:p>
        </w:tc>
        <w:tc>
          <w:tcPr>
            <w:tcW w:w="3536" w:type="dxa"/>
          </w:tcPr>
          <w:p>
            <w:pPr>
              <w:pStyle w:val="TableParagraph"/>
              <w:spacing w:before="131"/>
              <w:ind w:left="119"/>
              <w:rPr>
                <w:rFonts w:ascii="宋体" w:eastAsia="宋体" w:hint="eastAsia"/>
                <w:sz w:val="21"/>
              </w:rPr>
            </w:pPr>
            <w:r>
              <w:rPr>
                <w:rFonts w:ascii="宋体" w:eastAsia="宋体" w:hint="eastAsia"/>
                <w:sz w:val="21"/>
              </w:rPr>
              <w:t>存出保证金</w:t>
            </w:r>
          </w:p>
        </w:tc>
        <w:tc>
          <w:tcPr>
            <w:tcW w:w="4686" w:type="dxa"/>
          </w:tcPr>
          <w:p>
            <w:pPr>
              <w:pStyle w:val="TableParagraph"/>
              <w:spacing w:before="142"/>
              <w:ind w:right="94"/>
              <w:jc w:val="right"/>
              <w:rPr>
                <w:sz w:val="21"/>
              </w:rPr>
            </w:pPr>
            <w:r>
              <w:rPr>
                <w:sz w:val="21"/>
              </w:rPr>
              <w:t>136,914.98</w:t>
            </w:r>
          </w:p>
        </w:tc>
      </w:tr>
      <w:tr>
        <w:trPr>
          <w:trHeight w:val="498" w:hRule="atLeast"/>
        </w:trPr>
        <w:tc>
          <w:tcPr>
            <w:tcW w:w="852" w:type="dxa"/>
          </w:tcPr>
          <w:p>
            <w:pPr>
              <w:pStyle w:val="TableParagraph"/>
              <w:spacing w:before="142"/>
              <w:ind w:left="21"/>
              <w:jc w:val="center"/>
              <w:rPr>
                <w:sz w:val="21"/>
              </w:rPr>
            </w:pPr>
            <w:r>
              <w:rPr>
                <w:w w:val="100"/>
                <w:sz w:val="21"/>
              </w:rPr>
              <w:t>2</w:t>
            </w:r>
          </w:p>
        </w:tc>
        <w:tc>
          <w:tcPr>
            <w:tcW w:w="3536" w:type="dxa"/>
          </w:tcPr>
          <w:p>
            <w:pPr>
              <w:pStyle w:val="TableParagraph"/>
              <w:spacing w:before="130"/>
              <w:ind w:left="119"/>
              <w:rPr>
                <w:rFonts w:ascii="宋体" w:eastAsia="宋体" w:hint="eastAsia"/>
                <w:sz w:val="21"/>
              </w:rPr>
            </w:pPr>
            <w:r>
              <w:rPr>
                <w:rFonts w:ascii="宋体" w:eastAsia="宋体" w:hint="eastAsia"/>
                <w:sz w:val="21"/>
              </w:rPr>
              <w:t>应收证券清算款</w:t>
            </w:r>
          </w:p>
        </w:tc>
        <w:tc>
          <w:tcPr>
            <w:tcW w:w="4686" w:type="dxa"/>
          </w:tcPr>
          <w:p>
            <w:pPr>
              <w:pStyle w:val="TableParagraph"/>
              <w:spacing w:before="142"/>
              <w:ind w:right="94"/>
              <w:jc w:val="right"/>
              <w:rPr>
                <w:sz w:val="21"/>
              </w:rPr>
            </w:pPr>
            <w:r>
              <w:rPr>
                <w:sz w:val="21"/>
              </w:rPr>
              <w:t>1,983,602.21</w:t>
            </w:r>
          </w:p>
        </w:tc>
      </w:tr>
      <w:tr>
        <w:trPr>
          <w:trHeight w:val="496" w:hRule="atLeast"/>
        </w:trPr>
        <w:tc>
          <w:tcPr>
            <w:tcW w:w="852" w:type="dxa"/>
          </w:tcPr>
          <w:p>
            <w:pPr>
              <w:pStyle w:val="TableParagraph"/>
              <w:spacing w:before="142"/>
              <w:ind w:left="21"/>
              <w:jc w:val="center"/>
              <w:rPr>
                <w:sz w:val="21"/>
              </w:rPr>
            </w:pPr>
            <w:r>
              <w:rPr>
                <w:w w:val="100"/>
                <w:sz w:val="21"/>
              </w:rPr>
              <w:t>3</w:t>
            </w:r>
          </w:p>
        </w:tc>
        <w:tc>
          <w:tcPr>
            <w:tcW w:w="3536" w:type="dxa"/>
          </w:tcPr>
          <w:p>
            <w:pPr>
              <w:pStyle w:val="TableParagraph"/>
              <w:spacing w:before="130"/>
              <w:ind w:left="119"/>
              <w:rPr>
                <w:rFonts w:ascii="宋体" w:eastAsia="宋体" w:hint="eastAsia"/>
                <w:sz w:val="21"/>
              </w:rPr>
            </w:pPr>
            <w:r>
              <w:rPr>
                <w:rFonts w:ascii="宋体" w:eastAsia="宋体" w:hint="eastAsia"/>
                <w:sz w:val="21"/>
              </w:rPr>
              <w:t>应收利息</w:t>
            </w:r>
          </w:p>
        </w:tc>
        <w:tc>
          <w:tcPr>
            <w:tcW w:w="4686" w:type="dxa"/>
          </w:tcPr>
          <w:p>
            <w:pPr>
              <w:pStyle w:val="TableParagraph"/>
              <w:spacing w:before="142"/>
              <w:ind w:right="94"/>
              <w:jc w:val="right"/>
              <w:rPr>
                <w:sz w:val="21"/>
              </w:rPr>
            </w:pPr>
            <w:r>
              <w:rPr>
                <w:sz w:val="21"/>
              </w:rPr>
              <w:t>173,746,690.63</w:t>
            </w:r>
          </w:p>
        </w:tc>
      </w:tr>
      <w:tr>
        <w:trPr>
          <w:trHeight w:val="496" w:hRule="atLeast"/>
        </w:trPr>
        <w:tc>
          <w:tcPr>
            <w:tcW w:w="852" w:type="dxa"/>
          </w:tcPr>
          <w:p>
            <w:pPr>
              <w:pStyle w:val="TableParagraph"/>
              <w:spacing w:before="142"/>
              <w:ind w:left="21"/>
              <w:jc w:val="center"/>
              <w:rPr>
                <w:sz w:val="21"/>
              </w:rPr>
            </w:pPr>
            <w:r>
              <w:rPr>
                <w:w w:val="100"/>
                <w:sz w:val="21"/>
              </w:rPr>
              <w:t>4</w:t>
            </w:r>
          </w:p>
        </w:tc>
        <w:tc>
          <w:tcPr>
            <w:tcW w:w="3536" w:type="dxa"/>
          </w:tcPr>
          <w:p>
            <w:pPr>
              <w:pStyle w:val="TableParagraph"/>
              <w:spacing w:before="130"/>
              <w:ind w:left="119"/>
              <w:rPr>
                <w:rFonts w:ascii="宋体" w:eastAsia="宋体" w:hint="eastAsia"/>
                <w:sz w:val="21"/>
              </w:rPr>
            </w:pPr>
            <w:r>
              <w:rPr>
                <w:rFonts w:ascii="宋体" w:eastAsia="宋体" w:hint="eastAsia"/>
                <w:sz w:val="21"/>
              </w:rPr>
              <w:t>应收申购款</w:t>
            </w:r>
          </w:p>
        </w:tc>
        <w:tc>
          <w:tcPr>
            <w:tcW w:w="4686" w:type="dxa"/>
          </w:tcPr>
          <w:p>
            <w:pPr>
              <w:pStyle w:val="TableParagraph"/>
              <w:spacing w:before="142"/>
              <w:ind w:right="94"/>
              <w:jc w:val="right"/>
              <w:rPr>
                <w:sz w:val="21"/>
              </w:rPr>
            </w:pPr>
            <w:r>
              <w:rPr>
                <w:sz w:val="21"/>
              </w:rPr>
              <w:t>1,301,601,183.52</w:t>
            </w:r>
          </w:p>
        </w:tc>
      </w:tr>
      <w:tr>
        <w:trPr>
          <w:trHeight w:val="496" w:hRule="atLeast"/>
        </w:trPr>
        <w:tc>
          <w:tcPr>
            <w:tcW w:w="852" w:type="dxa"/>
          </w:tcPr>
          <w:p>
            <w:pPr>
              <w:pStyle w:val="TableParagraph"/>
              <w:spacing w:before="142"/>
              <w:ind w:left="21"/>
              <w:jc w:val="center"/>
              <w:rPr>
                <w:sz w:val="21"/>
              </w:rPr>
            </w:pPr>
            <w:r>
              <w:rPr>
                <w:w w:val="100"/>
                <w:sz w:val="21"/>
              </w:rPr>
              <w:t>5</w:t>
            </w:r>
          </w:p>
        </w:tc>
        <w:tc>
          <w:tcPr>
            <w:tcW w:w="3536" w:type="dxa"/>
          </w:tcPr>
          <w:p>
            <w:pPr>
              <w:pStyle w:val="TableParagraph"/>
              <w:spacing w:before="130"/>
              <w:ind w:left="119"/>
              <w:rPr>
                <w:rFonts w:ascii="宋体" w:eastAsia="宋体" w:hint="eastAsia"/>
                <w:sz w:val="21"/>
              </w:rPr>
            </w:pPr>
            <w:r>
              <w:rPr>
                <w:rFonts w:ascii="宋体" w:eastAsia="宋体" w:hint="eastAsia"/>
                <w:sz w:val="21"/>
              </w:rPr>
              <w:t>其他应收款</w:t>
            </w:r>
          </w:p>
        </w:tc>
        <w:tc>
          <w:tcPr>
            <w:tcW w:w="4686" w:type="dxa"/>
          </w:tcPr>
          <w:p>
            <w:pPr>
              <w:pStyle w:val="TableParagraph"/>
              <w:spacing w:before="142"/>
              <w:ind w:right="95"/>
              <w:jc w:val="right"/>
              <w:rPr>
                <w:sz w:val="21"/>
              </w:rPr>
            </w:pPr>
            <w:r>
              <w:rPr>
                <w:w w:val="100"/>
                <w:sz w:val="21"/>
              </w:rPr>
              <w:t>-</w:t>
            </w:r>
          </w:p>
        </w:tc>
      </w:tr>
      <w:tr>
        <w:trPr>
          <w:trHeight w:val="498" w:hRule="atLeast"/>
        </w:trPr>
        <w:tc>
          <w:tcPr>
            <w:tcW w:w="852" w:type="dxa"/>
          </w:tcPr>
          <w:p>
            <w:pPr>
              <w:pStyle w:val="TableParagraph"/>
              <w:spacing w:before="142"/>
              <w:ind w:left="21"/>
              <w:jc w:val="center"/>
              <w:rPr>
                <w:sz w:val="21"/>
              </w:rPr>
            </w:pPr>
            <w:r>
              <w:rPr>
                <w:w w:val="100"/>
                <w:sz w:val="21"/>
              </w:rPr>
              <w:t>6</w:t>
            </w:r>
          </w:p>
        </w:tc>
        <w:tc>
          <w:tcPr>
            <w:tcW w:w="3536" w:type="dxa"/>
          </w:tcPr>
          <w:p>
            <w:pPr>
              <w:pStyle w:val="TableParagraph"/>
              <w:spacing w:before="130"/>
              <w:ind w:left="119"/>
              <w:rPr>
                <w:rFonts w:ascii="宋体" w:eastAsia="宋体" w:hint="eastAsia"/>
                <w:sz w:val="21"/>
              </w:rPr>
            </w:pPr>
            <w:r>
              <w:rPr>
                <w:rFonts w:ascii="宋体" w:eastAsia="宋体" w:hint="eastAsia"/>
                <w:sz w:val="21"/>
              </w:rPr>
              <w:t>待摊费用</w:t>
            </w:r>
          </w:p>
        </w:tc>
        <w:tc>
          <w:tcPr>
            <w:tcW w:w="4686" w:type="dxa"/>
          </w:tcPr>
          <w:p>
            <w:pPr>
              <w:pStyle w:val="TableParagraph"/>
              <w:spacing w:before="142"/>
              <w:ind w:right="95"/>
              <w:jc w:val="right"/>
              <w:rPr>
                <w:sz w:val="21"/>
              </w:rPr>
            </w:pPr>
            <w:r>
              <w:rPr>
                <w:w w:val="100"/>
                <w:sz w:val="21"/>
              </w:rPr>
              <w:t>-</w:t>
            </w:r>
          </w:p>
        </w:tc>
      </w:tr>
      <w:tr>
        <w:trPr>
          <w:trHeight w:val="496" w:hRule="atLeast"/>
        </w:trPr>
        <w:tc>
          <w:tcPr>
            <w:tcW w:w="852" w:type="dxa"/>
          </w:tcPr>
          <w:p>
            <w:pPr>
              <w:pStyle w:val="TableParagraph"/>
              <w:spacing w:before="142"/>
              <w:ind w:left="21"/>
              <w:jc w:val="center"/>
              <w:rPr>
                <w:sz w:val="21"/>
              </w:rPr>
            </w:pPr>
            <w:r>
              <w:rPr>
                <w:w w:val="100"/>
                <w:sz w:val="21"/>
              </w:rPr>
              <w:t>7</w:t>
            </w:r>
          </w:p>
        </w:tc>
        <w:tc>
          <w:tcPr>
            <w:tcW w:w="3536" w:type="dxa"/>
          </w:tcPr>
          <w:p>
            <w:pPr>
              <w:pStyle w:val="TableParagraph"/>
              <w:spacing w:before="130"/>
              <w:ind w:left="119"/>
              <w:rPr>
                <w:rFonts w:ascii="宋体" w:eastAsia="宋体" w:hint="eastAsia"/>
                <w:sz w:val="21"/>
              </w:rPr>
            </w:pPr>
            <w:r>
              <w:rPr>
                <w:rFonts w:ascii="宋体" w:eastAsia="宋体" w:hint="eastAsia"/>
                <w:sz w:val="21"/>
              </w:rPr>
              <w:t>其他</w:t>
            </w:r>
          </w:p>
        </w:tc>
        <w:tc>
          <w:tcPr>
            <w:tcW w:w="4686" w:type="dxa"/>
          </w:tcPr>
          <w:p>
            <w:pPr>
              <w:pStyle w:val="TableParagraph"/>
              <w:spacing w:before="142"/>
              <w:ind w:right="95"/>
              <w:jc w:val="right"/>
              <w:rPr>
                <w:sz w:val="21"/>
              </w:rPr>
            </w:pPr>
            <w:r>
              <w:rPr>
                <w:w w:val="100"/>
                <w:sz w:val="21"/>
              </w:rPr>
              <w:t>-</w:t>
            </w:r>
          </w:p>
        </w:tc>
      </w:tr>
      <w:tr>
        <w:trPr>
          <w:trHeight w:val="496" w:hRule="atLeast"/>
        </w:trPr>
        <w:tc>
          <w:tcPr>
            <w:tcW w:w="852" w:type="dxa"/>
          </w:tcPr>
          <w:p>
            <w:pPr>
              <w:pStyle w:val="TableParagraph"/>
              <w:spacing w:before="142"/>
              <w:ind w:left="21"/>
              <w:jc w:val="center"/>
              <w:rPr>
                <w:sz w:val="21"/>
              </w:rPr>
            </w:pPr>
            <w:r>
              <w:rPr>
                <w:w w:val="100"/>
                <w:sz w:val="21"/>
              </w:rPr>
              <w:t>8</w:t>
            </w:r>
          </w:p>
        </w:tc>
        <w:tc>
          <w:tcPr>
            <w:tcW w:w="3536" w:type="dxa"/>
          </w:tcPr>
          <w:p>
            <w:pPr>
              <w:pStyle w:val="TableParagraph"/>
              <w:spacing w:before="130"/>
              <w:ind w:left="119"/>
              <w:rPr>
                <w:rFonts w:ascii="宋体" w:eastAsia="宋体" w:hint="eastAsia"/>
                <w:sz w:val="21"/>
              </w:rPr>
            </w:pPr>
            <w:r>
              <w:rPr>
                <w:rFonts w:ascii="宋体" w:eastAsia="宋体" w:hint="eastAsia"/>
                <w:sz w:val="21"/>
              </w:rPr>
              <w:t>合计</w:t>
            </w:r>
          </w:p>
        </w:tc>
        <w:tc>
          <w:tcPr>
            <w:tcW w:w="4686" w:type="dxa"/>
          </w:tcPr>
          <w:p>
            <w:pPr>
              <w:pStyle w:val="TableParagraph"/>
              <w:spacing w:before="142"/>
              <w:ind w:right="94"/>
              <w:jc w:val="right"/>
              <w:rPr>
                <w:sz w:val="21"/>
              </w:rPr>
            </w:pPr>
            <w:r>
              <w:rPr>
                <w:sz w:val="21"/>
              </w:rPr>
              <w:t>1,477,468,391.34</w:t>
            </w:r>
          </w:p>
        </w:tc>
      </w:tr>
    </w:tbl>
    <w:p>
      <w:pPr>
        <w:spacing w:after="0"/>
        <w:jc w:val="right"/>
        <w:rPr>
          <w:sz w:val="21"/>
        </w:rPr>
        <w:sectPr>
          <w:pgSz w:w="11910" w:h="16840"/>
          <w:pgMar w:header="877" w:footer="995" w:top="1280" w:bottom="1180" w:left="1020" w:right="900"/>
        </w:sectPr>
      </w:pPr>
    </w:p>
    <w:p>
      <w:pPr>
        <w:pStyle w:val="BodyText"/>
        <w:rPr>
          <w:sz w:val="12"/>
        </w:rPr>
      </w:pPr>
    </w:p>
    <w:p>
      <w:pPr>
        <w:pStyle w:val="ListParagraph"/>
        <w:numPr>
          <w:ilvl w:val="2"/>
          <w:numId w:val="24"/>
        </w:numPr>
        <w:tabs>
          <w:tab w:pos="1251" w:val="left" w:leader="none"/>
        </w:tabs>
        <w:spacing w:line="240" w:lineRule="auto" w:before="78" w:after="0"/>
        <w:ind w:left="1250" w:right="0" w:hanging="473"/>
        <w:jc w:val="left"/>
        <w:rPr>
          <w:sz w:val="21"/>
        </w:rPr>
      </w:pPr>
      <w:r>
        <w:rPr>
          <w:spacing w:val="-3"/>
          <w:sz w:val="21"/>
        </w:rPr>
        <w:t>投资组合报告附注的其他文字描述部分</w:t>
      </w:r>
    </w:p>
    <w:p>
      <w:pPr>
        <w:pStyle w:val="BodyText"/>
        <w:spacing w:before="7"/>
        <w:rPr>
          <w:sz w:val="15"/>
        </w:rPr>
      </w:pPr>
    </w:p>
    <w:p>
      <w:pPr>
        <w:pStyle w:val="BodyText"/>
        <w:ind w:left="1198"/>
      </w:pPr>
      <w:r>
        <w:rPr>
          <w:rFonts w:ascii="Times New Roman" w:eastAsia="Times New Roman"/>
        </w:rPr>
        <w:t>1</w:t>
      </w:r>
      <w:r>
        <w:rPr/>
        <w:t>、本报告期内没有需特别说明的证券投资决策程序。</w:t>
      </w:r>
    </w:p>
    <w:p>
      <w:pPr>
        <w:pStyle w:val="BodyText"/>
        <w:spacing w:before="7"/>
        <w:rPr>
          <w:sz w:val="15"/>
        </w:rPr>
      </w:pPr>
    </w:p>
    <w:p>
      <w:pPr>
        <w:pStyle w:val="BodyText"/>
        <w:ind w:left="1198"/>
      </w:pPr>
      <w:r>
        <w:rPr>
          <w:rFonts w:ascii="Times New Roman" w:eastAsia="Times New Roman"/>
        </w:rPr>
        <w:t>2</w:t>
      </w:r>
      <w:r>
        <w:rPr/>
        <w:t>、由于四舍五入的原因，分项之和与合计项之间可能存在尾差。</w:t>
      </w:r>
    </w:p>
    <w:p>
      <w:pPr>
        <w:pStyle w:val="BodyText"/>
        <w:rPr>
          <w:sz w:val="22"/>
        </w:rPr>
      </w:pPr>
    </w:p>
    <w:p>
      <w:pPr>
        <w:pStyle w:val="Heading1"/>
        <w:spacing w:before="178"/>
      </w:pPr>
      <w:bookmarkStart w:name="_bookmark11" w:id="12"/>
      <w:bookmarkEnd w:id="12"/>
      <w:r>
        <w:rPr>
          <w:b w:val="0"/>
        </w:rPr>
      </w:r>
      <w:r>
        <w:rPr/>
        <w:t>十二、基金的业绩</w:t>
      </w:r>
    </w:p>
    <w:p>
      <w:pPr>
        <w:pStyle w:val="BodyText"/>
        <w:rPr>
          <w:b/>
          <w:sz w:val="20"/>
        </w:rPr>
      </w:pPr>
    </w:p>
    <w:p>
      <w:pPr>
        <w:pStyle w:val="BodyText"/>
        <w:spacing w:before="8"/>
        <w:rPr>
          <w:b/>
          <w:sz w:val="15"/>
        </w:rPr>
      </w:pPr>
    </w:p>
    <w:p>
      <w:pPr>
        <w:pStyle w:val="BodyText"/>
        <w:spacing w:line="417" w:lineRule="auto"/>
        <w:ind w:left="778" w:right="890" w:firstLine="419"/>
        <w:jc w:val="both"/>
      </w:pPr>
      <w:r>
        <w:rPr>
          <w:spacing w:val="-9"/>
        </w:rPr>
        <w:t>基金管理人依照恪尽职守、诚实信用、谨慎勤勉的原则管理和运用基金财产，但不保证</w:t>
      </w:r>
      <w:r>
        <w:rPr>
          <w:spacing w:val="-11"/>
        </w:rPr>
        <w:t>基金一定盈利，也不保证最低收益。基金的过往业绩并不代表其未来表现。投资有风险，投</w:t>
      </w:r>
      <w:r>
        <w:rPr>
          <w:spacing w:val="-6"/>
        </w:rPr>
        <w:t>资者在做出投资决策前应仔细阅读本基金的招募说明书。</w:t>
      </w:r>
    </w:p>
    <w:p>
      <w:pPr>
        <w:pStyle w:val="BodyText"/>
        <w:spacing w:line="417" w:lineRule="auto"/>
        <w:ind w:left="1198" w:right="4580"/>
      </w:pPr>
      <w:r>
        <w:rPr/>
        <w:pict>
          <v:shape style="position:absolute;margin-left:56.279999pt;margin-top:41.819988pt;width:483.25pt;height:458.5pt;mso-position-horizontal-relative:page;mso-position-vertical-relative:paragraph;z-index:2516899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1080"/>
                    <w:gridCol w:w="1327"/>
                    <w:gridCol w:w="1275"/>
                    <w:gridCol w:w="1702"/>
                    <w:gridCol w:w="1098"/>
                    <w:gridCol w:w="1081"/>
                  </w:tblGrid>
                  <w:tr>
                    <w:trPr>
                      <w:trHeight w:val="546" w:hRule="atLeast"/>
                    </w:trPr>
                    <w:tc>
                      <w:tcPr>
                        <w:tcW w:w="2088" w:type="dxa"/>
                      </w:tcPr>
                      <w:p>
                        <w:pPr>
                          <w:pStyle w:val="TableParagraph"/>
                          <w:tabs>
                            <w:tab w:pos="639" w:val="left" w:leader="none"/>
                          </w:tabs>
                          <w:spacing w:before="138"/>
                          <w:ind w:left="8"/>
                          <w:jc w:val="center"/>
                          <w:rPr>
                            <w:rFonts w:ascii="宋体" w:eastAsia="宋体" w:hint="eastAsia"/>
                            <w:sz w:val="21"/>
                          </w:rPr>
                        </w:pPr>
                        <w:r>
                          <w:rPr>
                            <w:rFonts w:ascii="宋体" w:eastAsia="宋体" w:hint="eastAsia"/>
                            <w:sz w:val="21"/>
                          </w:rPr>
                          <w:t>阶</w:t>
                          <w:tab/>
                          <w:t>段</w:t>
                        </w:r>
                      </w:p>
                    </w:tc>
                    <w:tc>
                      <w:tcPr>
                        <w:tcW w:w="1080" w:type="dxa"/>
                      </w:tcPr>
                      <w:p>
                        <w:pPr>
                          <w:pStyle w:val="TableParagraph"/>
                          <w:spacing w:line="270" w:lineRule="atLeast" w:before="2"/>
                          <w:ind w:left="326" w:right="107" w:hanging="209"/>
                          <w:rPr>
                            <w:rFonts w:ascii="宋体" w:hAnsi="宋体" w:eastAsia="宋体" w:hint="eastAsia"/>
                            <w:sz w:val="21"/>
                          </w:rPr>
                        </w:pPr>
                        <w:r>
                          <w:rPr>
                            <w:rFonts w:ascii="宋体" w:hAnsi="宋体" w:eastAsia="宋体" w:hint="eastAsia"/>
                            <w:sz w:val="21"/>
                          </w:rPr>
                          <w:t>份额收益率①</w:t>
                        </w:r>
                      </w:p>
                    </w:tc>
                    <w:tc>
                      <w:tcPr>
                        <w:tcW w:w="1327" w:type="dxa"/>
                      </w:tcPr>
                      <w:p>
                        <w:pPr>
                          <w:pStyle w:val="TableParagraph"/>
                          <w:spacing w:line="270" w:lineRule="atLeast" w:before="2"/>
                          <w:ind w:left="240" w:right="126" w:hanging="106"/>
                          <w:rPr>
                            <w:rFonts w:ascii="宋体" w:hAnsi="宋体" w:eastAsia="宋体" w:hint="eastAsia"/>
                            <w:sz w:val="21"/>
                          </w:rPr>
                        </w:pPr>
                        <w:r>
                          <w:rPr>
                            <w:rFonts w:ascii="宋体" w:hAnsi="宋体" w:eastAsia="宋体" w:hint="eastAsia"/>
                            <w:sz w:val="21"/>
                          </w:rPr>
                          <w:t>份额收益率标准差②</w:t>
                        </w:r>
                      </w:p>
                    </w:tc>
                    <w:tc>
                      <w:tcPr>
                        <w:tcW w:w="1275" w:type="dxa"/>
                      </w:tcPr>
                      <w:p>
                        <w:pPr>
                          <w:pStyle w:val="TableParagraph"/>
                          <w:spacing w:line="270" w:lineRule="atLeast" w:before="2"/>
                          <w:ind w:left="111" w:right="97"/>
                          <w:rPr>
                            <w:rFonts w:ascii="宋体" w:hAnsi="宋体" w:eastAsia="宋体" w:hint="eastAsia"/>
                            <w:sz w:val="21"/>
                          </w:rPr>
                        </w:pPr>
                        <w:r>
                          <w:rPr>
                            <w:rFonts w:ascii="宋体" w:hAnsi="宋体" w:eastAsia="宋体" w:hint="eastAsia"/>
                            <w:sz w:val="21"/>
                          </w:rPr>
                          <w:t>业绩比较基准收益率③</w:t>
                        </w:r>
                      </w:p>
                    </w:tc>
                    <w:tc>
                      <w:tcPr>
                        <w:tcW w:w="1702" w:type="dxa"/>
                      </w:tcPr>
                      <w:p>
                        <w:pPr>
                          <w:pStyle w:val="TableParagraph"/>
                          <w:spacing w:line="270" w:lineRule="atLeast" w:before="2"/>
                          <w:ind w:left="221" w:right="100" w:hanging="106"/>
                          <w:rPr>
                            <w:rFonts w:ascii="宋体" w:hAnsi="宋体" w:eastAsia="宋体" w:hint="eastAsia"/>
                            <w:sz w:val="21"/>
                          </w:rPr>
                        </w:pPr>
                        <w:r>
                          <w:rPr>
                            <w:rFonts w:ascii="宋体" w:hAnsi="宋体" w:eastAsia="宋体" w:hint="eastAsia"/>
                            <w:sz w:val="21"/>
                          </w:rPr>
                          <w:t>业绩比较基准收益率标准差④</w:t>
                        </w:r>
                      </w:p>
                    </w:tc>
                    <w:tc>
                      <w:tcPr>
                        <w:tcW w:w="1098" w:type="dxa"/>
                      </w:tcPr>
                      <w:p>
                        <w:pPr>
                          <w:pStyle w:val="TableParagraph"/>
                          <w:spacing w:before="138"/>
                          <w:ind w:left="233"/>
                          <w:rPr>
                            <w:rFonts w:ascii="宋体" w:hAnsi="宋体" w:eastAsia="宋体" w:hint="eastAsia"/>
                            <w:sz w:val="21"/>
                          </w:rPr>
                        </w:pPr>
                        <w:r>
                          <w:rPr>
                            <w:rFonts w:ascii="宋体" w:hAnsi="宋体" w:eastAsia="宋体" w:hint="eastAsia"/>
                            <w:sz w:val="21"/>
                          </w:rPr>
                          <w:t>①－③</w:t>
                        </w:r>
                      </w:p>
                    </w:tc>
                    <w:tc>
                      <w:tcPr>
                        <w:tcW w:w="1081" w:type="dxa"/>
                      </w:tcPr>
                      <w:p>
                        <w:pPr>
                          <w:pStyle w:val="TableParagraph"/>
                          <w:spacing w:before="138"/>
                          <w:ind w:left="220"/>
                          <w:rPr>
                            <w:rFonts w:ascii="宋体" w:hAnsi="宋体" w:eastAsia="宋体" w:hint="eastAsia"/>
                            <w:sz w:val="21"/>
                          </w:rPr>
                        </w:pPr>
                        <w:r>
                          <w:rPr>
                            <w:rFonts w:ascii="宋体" w:hAnsi="宋体" w:eastAsia="宋体" w:hint="eastAsia"/>
                            <w:sz w:val="21"/>
                          </w:rPr>
                          <w:t>②－④</w:t>
                        </w:r>
                      </w:p>
                    </w:tc>
                  </w:tr>
                  <w:tr>
                    <w:trPr>
                      <w:trHeight w:val="544" w:hRule="atLeast"/>
                    </w:trPr>
                    <w:tc>
                      <w:tcPr>
                        <w:tcW w:w="2088" w:type="dxa"/>
                      </w:tcPr>
                      <w:p>
                        <w:pPr>
                          <w:pStyle w:val="TableParagraph"/>
                          <w:spacing w:before="1"/>
                          <w:ind w:left="175"/>
                          <w:rPr>
                            <w:rFonts w:ascii="宋体" w:eastAsia="宋体" w:hint="eastAsia"/>
                            <w:sz w:val="21"/>
                          </w:rPr>
                        </w:pPr>
                        <w:r>
                          <w:rPr>
                            <w:sz w:val="21"/>
                          </w:rPr>
                          <w:t>2005</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2005</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9"/>
                          <w:ind w:left="216"/>
                          <w:rPr>
                            <w:sz w:val="21"/>
                          </w:rPr>
                        </w:pPr>
                        <w:r>
                          <w:rPr>
                            <w:sz w:val="21"/>
                          </w:rPr>
                          <w:t>2.4887%</w:t>
                        </w:r>
                      </w:p>
                    </w:tc>
                    <w:tc>
                      <w:tcPr>
                        <w:tcW w:w="1327" w:type="dxa"/>
                      </w:tcPr>
                      <w:p>
                        <w:pPr>
                          <w:pStyle w:val="TableParagraph"/>
                          <w:spacing w:before="149"/>
                          <w:ind w:right="94"/>
                          <w:jc w:val="right"/>
                          <w:rPr>
                            <w:sz w:val="21"/>
                          </w:rPr>
                        </w:pPr>
                        <w:r>
                          <w:rPr>
                            <w:sz w:val="21"/>
                          </w:rPr>
                          <w:t>0.0030%</w:t>
                        </w:r>
                      </w:p>
                    </w:tc>
                    <w:tc>
                      <w:tcPr>
                        <w:tcW w:w="1275" w:type="dxa"/>
                      </w:tcPr>
                      <w:p>
                        <w:pPr>
                          <w:pStyle w:val="TableParagraph"/>
                          <w:spacing w:before="149"/>
                          <w:ind w:right="92"/>
                          <w:jc w:val="right"/>
                          <w:rPr>
                            <w:sz w:val="21"/>
                          </w:rPr>
                        </w:pPr>
                        <w:r>
                          <w:rPr>
                            <w:sz w:val="21"/>
                          </w:rPr>
                          <w:t>1.8000%</w:t>
                        </w:r>
                      </w:p>
                    </w:tc>
                    <w:tc>
                      <w:tcPr>
                        <w:tcW w:w="1702" w:type="dxa"/>
                      </w:tcPr>
                      <w:p>
                        <w:pPr>
                          <w:pStyle w:val="TableParagraph"/>
                          <w:spacing w:before="149"/>
                          <w:ind w:right="92"/>
                          <w:jc w:val="right"/>
                          <w:rPr>
                            <w:sz w:val="21"/>
                          </w:rPr>
                        </w:pPr>
                        <w:r>
                          <w:rPr>
                            <w:sz w:val="21"/>
                          </w:rPr>
                          <w:t>0.0000%</w:t>
                        </w:r>
                      </w:p>
                    </w:tc>
                    <w:tc>
                      <w:tcPr>
                        <w:tcW w:w="1098" w:type="dxa"/>
                      </w:tcPr>
                      <w:p>
                        <w:pPr>
                          <w:pStyle w:val="TableParagraph"/>
                          <w:spacing w:before="149"/>
                          <w:ind w:left="235"/>
                          <w:rPr>
                            <w:sz w:val="21"/>
                          </w:rPr>
                        </w:pPr>
                        <w:r>
                          <w:rPr>
                            <w:sz w:val="21"/>
                          </w:rPr>
                          <w:t>0.6887%</w:t>
                        </w:r>
                      </w:p>
                    </w:tc>
                    <w:tc>
                      <w:tcPr>
                        <w:tcW w:w="1081" w:type="dxa"/>
                      </w:tcPr>
                      <w:p>
                        <w:pPr>
                          <w:pStyle w:val="TableParagraph"/>
                          <w:spacing w:before="149"/>
                          <w:ind w:left="215"/>
                          <w:rPr>
                            <w:sz w:val="21"/>
                          </w:rPr>
                        </w:pPr>
                        <w:r>
                          <w:rPr>
                            <w:sz w:val="21"/>
                          </w:rPr>
                          <w:t>0.0030%</w:t>
                        </w:r>
                      </w:p>
                    </w:tc>
                  </w:tr>
                  <w:tr>
                    <w:trPr>
                      <w:trHeight w:val="544" w:hRule="atLeast"/>
                    </w:trPr>
                    <w:tc>
                      <w:tcPr>
                        <w:tcW w:w="2088" w:type="dxa"/>
                      </w:tcPr>
                      <w:p>
                        <w:pPr>
                          <w:pStyle w:val="TableParagraph"/>
                          <w:spacing w:before="1"/>
                          <w:ind w:left="175"/>
                          <w:rPr>
                            <w:rFonts w:ascii="宋体" w:eastAsia="宋体" w:hint="eastAsia"/>
                            <w:sz w:val="21"/>
                          </w:rPr>
                        </w:pPr>
                        <w:r>
                          <w:rPr>
                            <w:sz w:val="21"/>
                          </w:rPr>
                          <w:t>2006</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2006</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9"/>
                          <w:ind w:left="216"/>
                          <w:rPr>
                            <w:sz w:val="21"/>
                          </w:rPr>
                        </w:pPr>
                        <w:r>
                          <w:rPr>
                            <w:sz w:val="21"/>
                          </w:rPr>
                          <w:t>2.0482%</w:t>
                        </w:r>
                      </w:p>
                    </w:tc>
                    <w:tc>
                      <w:tcPr>
                        <w:tcW w:w="1327" w:type="dxa"/>
                      </w:tcPr>
                      <w:p>
                        <w:pPr>
                          <w:pStyle w:val="TableParagraph"/>
                          <w:spacing w:before="149"/>
                          <w:ind w:right="94"/>
                          <w:jc w:val="right"/>
                          <w:rPr>
                            <w:sz w:val="21"/>
                          </w:rPr>
                        </w:pPr>
                        <w:r>
                          <w:rPr>
                            <w:sz w:val="21"/>
                          </w:rPr>
                          <w:t>0.0022%</w:t>
                        </w:r>
                      </w:p>
                    </w:tc>
                    <w:tc>
                      <w:tcPr>
                        <w:tcW w:w="1275" w:type="dxa"/>
                      </w:tcPr>
                      <w:p>
                        <w:pPr>
                          <w:pStyle w:val="TableParagraph"/>
                          <w:spacing w:before="149"/>
                          <w:ind w:right="92"/>
                          <w:jc w:val="right"/>
                          <w:rPr>
                            <w:sz w:val="21"/>
                          </w:rPr>
                        </w:pPr>
                        <w:r>
                          <w:rPr>
                            <w:sz w:val="21"/>
                          </w:rPr>
                          <w:t>1.8915%</w:t>
                        </w:r>
                      </w:p>
                    </w:tc>
                    <w:tc>
                      <w:tcPr>
                        <w:tcW w:w="1702" w:type="dxa"/>
                      </w:tcPr>
                      <w:p>
                        <w:pPr>
                          <w:pStyle w:val="TableParagraph"/>
                          <w:spacing w:before="149"/>
                          <w:ind w:right="92"/>
                          <w:jc w:val="right"/>
                          <w:rPr>
                            <w:sz w:val="21"/>
                          </w:rPr>
                        </w:pPr>
                        <w:r>
                          <w:rPr>
                            <w:sz w:val="21"/>
                          </w:rPr>
                          <w:t>0.0003%</w:t>
                        </w:r>
                      </w:p>
                    </w:tc>
                    <w:tc>
                      <w:tcPr>
                        <w:tcW w:w="1098" w:type="dxa"/>
                      </w:tcPr>
                      <w:p>
                        <w:pPr>
                          <w:pStyle w:val="TableParagraph"/>
                          <w:spacing w:before="149"/>
                          <w:ind w:left="235"/>
                          <w:rPr>
                            <w:sz w:val="21"/>
                          </w:rPr>
                        </w:pPr>
                        <w:r>
                          <w:rPr>
                            <w:sz w:val="21"/>
                          </w:rPr>
                          <w:t>0.1567%</w:t>
                        </w:r>
                      </w:p>
                    </w:tc>
                    <w:tc>
                      <w:tcPr>
                        <w:tcW w:w="1081" w:type="dxa"/>
                      </w:tcPr>
                      <w:p>
                        <w:pPr>
                          <w:pStyle w:val="TableParagraph"/>
                          <w:spacing w:before="149"/>
                          <w:ind w:left="215"/>
                          <w:rPr>
                            <w:sz w:val="21"/>
                          </w:rPr>
                        </w:pPr>
                        <w:r>
                          <w:rPr>
                            <w:sz w:val="21"/>
                          </w:rPr>
                          <w:t>0.0019%</w:t>
                        </w:r>
                      </w:p>
                    </w:tc>
                  </w:tr>
                  <w:tr>
                    <w:trPr>
                      <w:trHeight w:val="544" w:hRule="atLeast"/>
                    </w:trPr>
                    <w:tc>
                      <w:tcPr>
                        <w:tcW w:w="2088" w:type="dxa"/>
                      </w:tcPr>
                      <w:p>
                        <w:pPr>
                          <w:pStyle w:val="TableParagraph"/>
                          <w:spacing w:before="1"/>
                          <w:ind w:left="175"/>
                          <w:rPr>
                            <w:rFonts w:ascii="宋体" w:eastAsia="宋体" w:hint="eastAsia"/>
                            <w:sz w:val="21"/>
                          </w:rPr>
                        </w:pPr>
                        <w:r>
                          <w:rPr>
                            <w:sz w:val="21"/>
                          </w:rPr>
                          <w:t>2007</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2007</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9"/>
                          <w:ind w:left="216"/>
                          <w:rPr>
                            <w:sz w:val="21"/>
                          </w:rPr>
                        </w:pPr>
                        <w:r>
                          <w:rPr>
                            <w:sz w:val="21"/>
                          </w:rPr>
                          <w:t>3.5428%</w:t>
                        </w:r>
                      </w:p>
                    </w:tc>
                    <w:tc>
                      <w:tcPr>
                        <w:tcW w:w="1327" w:type="dxa"/>
                      </w:tcPr>
                      <w:p>
                        <w:pPr>
                          <w:pStyle w:val="TableParagraph"/>
                          <w:spacing w:before="149"/>
                          <w:ind w:right="94"/>
                          <w:jc w:val="right"/>
                          <w:rPr>
                            <w:sz w:val="21"/>
                          </w:rPr>
                        </w:pPr>
                        <w:r>
                          <w:rPr>
                            <w:sz w:val="21"/>
                          </w:rPr>
                          <w:t>0.0082%</w:t>
                        </w:r>
                      </w:p>
                    </w:tc>
                    <w:tc>
                      <w:tcPr>
                        <w:tcW w:w="1275" w:type="dxa"/>
                      </w:tcPr>
                      <w:p>
                        <w:pPr>
                          <w:pStyle w:val="TableParagraph"/>
                          <w:spacing w:before="149"/>
                          <w:ind w:right="92"/>
                          <w:jc w:val="right"/>
                          <w:rPr>
                            <w:sz w:val="21"/>
                          </w:rPr>
                        </w:pPr>
                        <w:r>
                          <w:rPr>
                            <w:sz w:val="21"/>
                          </w:rPr>
                          <w:t>2.8162%</w:t>
                        </w:r>
                      </w:p>
                    </w:tc>
                    <w:tc>
                      <w:tcPr>
                        <w:tcW w:w="1702" w:type="dxa"/>
                      </w:tcPr>
                      <w:p>
                        <w:pPr>
                          <w:pStyle w:val="TableParagraph"/>
                          <w:spacing w:before="149"/>
                          <w:ind w:right="92"/>
                          <w:jc w:val="right"/>
                          <w:rPr>
                            <w:sz w:val="21"/>
                          </w:rPr>
                        </w:pPr>
                        <w:r>
                          <w:rPr>
                            <w:sz w:val="21"/>
                          </w:rPr>
                          <w:t>0.0019%</w:t>
                        </w:r>
                      </w:p>
                    </w:tc>
                    <w:tc>
                      <w:tcPr>
                        <w:tcW w:w="1098" w:type="dxa"/>
                      </w:tcPr>
                      <w:p>
                        <w:pPr>
                          <w:pStyle w:val="TableParagraph"/>
                          <w:spacing w:before="149"/>
                          <w:ind w:left="235"/>
                          <w:rPr>
                            <w:sz w:val="21"/>
                          </w:rPr>
                        </w:pPr>
                        <w:r>
                          <w:rPr>
                            <w:sz w:val="21"/>
                          </w:rPr>
                          <w:t>0.7266%</w:t>
                        </w:r>
                      </w:p>
                    </w:tc>
                    <w:tc>
                      <w:tcPr>
                        <w:tcW w:w="1081" w:type="dxa"/>
                      </w:tcPr>
                      <w:p>
                        <w:pPr>
                          <w:pStyle w:val="TableParagraph"/>
                          <w:spacing w:before="149"/>
                          <w:ind w:left="215"/>
                          <w:rPr>
                            <w:sz w:val="21"/>
                          </w:rPr>
                        </w:pPr>
                        <w:r>
                          <w:rPr>
                            <w:sz w:val="21"/>
                          </w:rPr>
                          <w:t>0.0063%</w:t>
                        </w:r>
                      </w:p>
                    </w:tc>
                  </w:tr>
                  <w:tr>
                    <w:trPr>
                      <w:trHeight w:val="544" w:hRule="atLeast"/>
                    </w:trPr>
                    <w:tc>
                      <w:tcPr>
                        <w:tcW w:w="2088" w:type="dxa"/>
                      </w:tcPr>
                      <w:p>
                        <w:pPr>
                          <w:pStyle w:val="TableParagraph"/>
                          <w:spacing w:before="1"/>
                          <w:ind w:left="175"/>
                          <w:rPr>
                            <w:rFonts w:ascii="宋体" w:eastAsia="宋体" w:hint="eastAsia"/>
                            <w:sz w:val="21"/>
                          </w:rPr>
                        </w:pPr>
                        <w:r>
                          <w:rPr>
                            <w:sz w:val="21"/>
                          </w:rPr>
                          <w:t>2008</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2008</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4.0683%</w:t>
                        </w:r>
                      </w:p>
                    </w:tc>
                    <w:tc>
                      <w:tcPr>
                        <w:tcW w:w="1327" w:type="dxa"/>
                      </w:tcPr>
                      <w:p>
                        <w:pPr>
                          <w:pStyle w:val="TableParagraph"/>
                          <w:spacing w:before="144"/>
                          <w:ind w:right="94"/>
                          <w:jc w:val="right"/>
                          <w:rPr>
                            <w:sz w:val="21"/>
                          </w:rPr>
                        </w:pPr>
                        <w:r>
                          <w:rPr>
                            <w:sz w:val="21"/>
                          </w:rPr>
                          <w:t>0.0120%</w:t>
                        </w:r>
                      </w:p>
                    </w:tc>
                    <w:tc>
                      <w:tcPr>
                        <w:tcW w:w="1275" w:type="dxa"/>
                      </w:tcPr>
                      <w:p>
                        <w:pPr>
                          <w:pStyle w:val="TableParagraph"/>
                          <w:spacing w:before="144"/>
                          <w:ind w:right="92"/>
                          <w:jc w:val="right"/>
                          <w:rPr>
                            <w:sz w:val="21"/>
                          </w:rPr>
                        </w:pPr>
                        <w:r>
                          <w:rPr>
                            <w:sz w:val="21"/>
                          </w:rPr>
                          <w:t>1.8086%</w:t>
                        </w:r>
                      </w:p>
                    </w:tc>
                    <w:tc>
                      <w:tcPr>
                        <w:tcW w:w="1702" w:type="dxa"/>
                      </w:tcPr>
                      <w:p>
                        <w:pPr>
                          <w:pStyle w:val="TableParagraph"/>
                          <w:spacing w:before="144"/>
                          <w:ind w:right="92"/>
                          <w:jc w:val="right"/>
                          <w:rPr>
                            <w:sz w:val="21"/>
                          </w:rPr>
                        </w:pPr>
                        <w:r>
                          <w:rPr>
                            <w:sz w:val="21"/>
                          </w:rPr>
                          <w:t>0.0015%</w:t>
                        </w:r>
                      </w:p>
                    </w:tc>
                    <w:tc>
                      <w:tcPr>
                        <w:tcW w:w="1098" w:type="dxa"/>
                      </w:tcPr>
                      <w:p>
                        <w:pPr>
                          <w:pStyle w:val="TableParagraph"/>
                          <w:spacing w:before="144"/>
                          <w:ind w:left="235"/>
                          <w:rPr>
                            <w:sz w:val="21"/>
                          </w:rPr>
                        </w:pPr>
                        <w:r>
                          <w:rPr>
                            <w:sz w:val="21"/>
                          </w:rPr>
                          <w:t>2.2597%</w:t>
                        </w:r>
                      </w:p>
                    </w:tc>
                    <w:tc>
                      <w:tcPr>
                        <w:tcW w:w="1081" w:type="dxa"/>
                      </w:tcPr>
                      <w:p>
                        <w:pPr>
                          <w:pStyle w:val="TableParagraph"/>
                          <w:spacing w:before="144"/>
                          <w:ind w:left="215"/>
                          <w:rPr>
                            <w:sz w:val="21"/>
                          </w:rPr>
                        </w:pPr>
                        <w:r>
                          <w:rPr>
                            <w:sz w:val="21"/>
                          </w:rPr>
                          <w:t>0.0105%</w:t>
                        </w:r>
                      </w:p>
                    </w:tc>
                  </w:tr>
                  <w:tr>
                    <w:trPr>
                      <w:trHeight w:val="544" w:hRule="atLeast"/>
                    </w:trPr>
                    <w:tc>
                      <w:tcPr>
                        <w:tcW w:w="2088" w:type="dxa"/>
                      </w:tcPr>
                      <w:p>
                        <w:pPr>
                          <w:pStyle w:val="TableParagraph"/>
                          <w:spacing w:before="1"/>
                          <w:ind w:left="175"/>
                          <w:rPr>
                            <w:rFonts w:ascii="宋体" w:eastAsia="宋体" w:hint="eastAsia"/>
                            <w:sz w:val="21"/>
                          </w:rPr>
                        </w:pPr>
                        <w:r>
                          <w:rPr>
                            <w:sz w:val="21"/>
                          </w:rPr>
                          <w:t>2009</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2009</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1.7616%</w:t>
                        </w:r>
                      </w:p>
                    </w:tc>
                    <w:tc>
                      <w:tcPr>
                        <w:tcW w:w="1327" w:type="dxa"/>
                      </w:tcPr>
                      <w:p>
                        <w:pPr>
                          <w:pStyle w:val="TableParagraph"/>
                          <w:spacing w:before="144"/>
                          <w:ind w:right="94"/>
                          <w:jc w:val="right"/>
                          <w:rPr>
                            <w:sz w:val="21"/>
                          </w:rPr>
                        </w:pPr>
                        <w:r>
                          <w:rPr>
                            <w:sz w:val="21"/>
                          </w:rPr>
                          <w:t>0.0056%</w:t>
                        </w:r>
                      </w:p>
                    </w:tc>
                    <w:tc>
                      <w:tcPr>
                        <w:tcW w:w="1275" w:type="dxa"/>
                      </w:tcPr>
                      <w:p>
                        <w:pPr>
                          <w:pStyle w:val="TableParagraph"/>
                          <w:spacing w:before="144"/>
                          <w:ind w:right="92"/>
                          <w:jc w:val="right"/>
                          <w:rPr>
                            <w:sz w:val="21"/>
                          </w:rPr>
                        </w:pPr>
                        <w:r>
                          <w:rPr>
                            <w:sz w:val="21"/>
                          </w:rPr>
                          <w:t>1.3500%</w:t>
                        </w:r>
                      </w:p>
                    </w:tc>
                    <w:tc>
                      <w:tcPr>
                        <w:tcW w:w="1702" w:type="dxa"/>
                      </w:tcPr>
                      <w:p>
                        <w:pPr>
                          <w:pStyle w:val="TableParagraph"/>
                          <w:spacing w:before="144"/>
                          <w:ind w:right="92"/>
                          <w:jc w:val="right"/>
                          <w:rPr>
                            <w:sz w:val="21"/>
                          </w:rPr>
                        </w:pPr>
                        <w:r>
                          <w:rPr>
                            <w:sz w:val="21"/>
                          </w:rPr>
                          <w:t>0.0000%</w:t>
                        </w:r>
                      </w:p>
                    </w:tc>
                    <w:tc>
                      <w:tcPr>
                        <w:tcW w:w="1098" w:type="dxa"/>
                      </w:tcPr>
                      <w:p>
                        <w:pPr>
                          <w:pStyle w:val="TableParagraph"/>
                          <w:spacing w:before="144"/>
                          <w:ind w:left="245"/>
                          <w:rPr>
                            <w:sz w:val="21"/>
                          </w:rPr>
                        </w:pPr>
                        <w:r>
                          <w:rPr>
                            <w:sz w:val="21"/>
                          </w:rPr>
                          <w:t>0.4116%</w:t>
                        </w:r>
                      </w:p>
                    </w:tc>
                    <w:tc>
                      <w:tcPr>
                        <w:tcW w:w="1081" w:type="dxa"/>
                      </w:tcPr>
                      <w:p>
                        <w:pPr>
                          <w:pStyle w:val="TableParagraph"/>
                          <w:spacing w:before="144"/>
                          <w:ind w:left="215"/>
                          <w:rPr>
                            <w:sz w:val="21"/>
                          </w:rPr>
                        </w:pPr>
                        <w:r>
                          <w:rPr>
                            <w:sz w:val="21"/>
                          </w:rPr>
                          <w:t>0.0056%</w:t>
                        </w:r>
                      </w:p>
                    </w:tc>
                  </w:tr>
                  <w:tr>
                    <w:trPr>
                      <w:trHeight w:val="544" w:hRule="atLeast"/>
                    </w:trPr>
                    <w:tc>
                      <w:tcPr>
                        <w:tcW w:w="2088" w:type="dxa"/>
                      </w:tcPr>
                      <w:p>
                        <w:pPr>
                          <w:pStyle w:val="TableParagraph"/>
                          <w:spacing w:before="1"/>
                          <w:ind w:left="175"/>
                          <w:rPr>
                            <w:rFonts w:ascii="宋体" w:eastAsia="宋体" w:hint="eastAsia"/>
                            <w:sz w:val="21"/>
                          </w:rPr>
                        </w:pPr>
                        <w:r>
                          <w:rPr>
                            <w:sz w:val="21"/>
                          </w:rPr>
                          <w:t>2010</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2010</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51"/>
                          <w:ind w:left="216"/>
                          <w:rPr>
                            <w:sz w:val="21"/>
                          </w:rPr>
                        </w:pPr>
                        <w:r>
                          <w:rPr>
                            <w:sz w:val="21"/>
                          </w:rPr>
                          <w:t>2.2010%</w:t>
                        </w:r>
                      </w:p>
                    </w:tc>
                    <w:tc>
                      <w:tcPr>
                        <w:tcW w:w="1327" w:type="dxa"/>
                      </w:tcPr>
                      <w:p>
                        <w:pPr>
                          <w:pStyle w:val="TableParagraph"/>
                          <w:spacing w:before="151"/>
                          <w:ind w:right="94"/>
                          <w:jc w:val="right"/>
                          <w:rPr>
                            <w:sz w:val="21"/>
                          </w:rPr>
                        </w:pPr>
                        <w:r>
                          <w:rPr>
                            <w:sz w:val="21"/>
                          </w:rPr>
                          <w:t>0.0045%</w:t>
                        </w:r>
                      </w:p>
                    </w:tc>
                    <w:tc>
                      <w:tcPr>
                        <w:tcW w:w="1275" w:type="dxa"/>
                      </w:tcPr>
                      <w:p>
                        <w:pPr>
                          <w:pStyle w:val="TableParagraph"/>
                          <w:spacing w:before="151"/>
                          <w:ind w:right="92"/>
                          <w:jc w:val="right"/>
                          <w:rPr>
                            <w:sz w:val="21"/>
                          </w:rPr>
                        </w:pPr>
                        <w:r>
                          <w:rPr>
                            <w:sz w:val="21"/>
                          </w:rPr>
                          <w:t>1.3500%</w:t>
                        </w:r>
                      </w:p>
                    </w:tc>
                    <w:tc>
                      <w:tcPr>
                        <w:tcW w:w="1702" w:type="dxa"/>
                      </w:tcPr>
                      <w:p>
                        <w:pPr>
                          <w:pStyle w:val="TableParagraph"/>
                          <w:spacing w:before="151"/>
                          <w:ind w:right="92"/>
                          <w:jc w:val="right"/>
                          <w:rPr>
                            <w:sz w:val="21"/>
                          </w:rPr>
                        </w:pPr>
                        <w:r>
                          <w:rPr>
                            <w:sz w:val="21"/>
                          </w:rPr>
                          <w:t>0.0000%</w:t>
                        </w:r>
                      </w:p>
                    </w:tc>
                    <w:tc>
                      <w:tcPr>
                        <w:tcW w:w="1098" w:type="dxa"/>
                      </w:tcPr>
                      <w:p>
                        <w:pPr>
                          <w:pStyle w:val="TableParagraph"/>
                          <w:spacing w:before="151"/>
                          <w:ind w:left="235"/>
                          <w:rPr>
                            <w:sz w:val="21"/>
                          </w:rPr>
                        </w:pPr>
                        <w:r>
                          <w:rPr>
                            <w:sz w:val="21"/>
                          </w:rPr>
                          <w:t>0.8510%</w:t>
                        </w:r>
                      </w:p>
                    </w:tc>
                    <w:tc>
                      <w:tcPr>
                        <w:tcW w:w="1081" w:type="dxa"/>
                      </w:tcPr>
                      <w:p>
                        <w:pPr>
                          <w:pStyle w:val="TableParagraph"/>
                          <w:spacing w:before="151"/>
                          <w:ind w:left="215"/>
                          <w:rPr>
                            <w:sz w:val="21"/>
                          </w:rPr>
                        </w:pPr>
                        <w:r>
                          <w:rPr>
                            <w:sz w:val="21"/>
                          </w:rPr>
                          <w:t>0.0045%</w:t>
                        </w:r>
                      </w:p>
                    </w:tc>
                  </w:tr>
                  <w:tr>
                    <w:trPr>
                      <w:trHeight w:val="544" w:hRule="atLeast"/>
                    </w:trPr>
                    <w:tc>
                      <w:tcPr>
                        <w:tcW w:w="2088" w:type="dxa"/>
                      </w:tcPr>
                      <w:p>
                        <w:pPr>
                          <w:pStyle w:val="TableParagraph"/>
                          <w:spacing w:before="1"/>
                          <w:ind w:left="177"/>
                          <w:rPr>
                            <w:rFonts w:ascii="宋体" w:eastAsia="宋体" w:hint="eastAsia"/>
                            <w:sz w:val="21"/>
                          </w:rPr>
                        </w:pPr>
                        <w:r>
                          <w:rPr>
                            <w:sz w:val="21"/>
                          </w:rPr>
                          <w:t>2011</w:t>
                        </w:r>
                        <w:r>
                          <w:rPr>
                            <w:spacing w:val="-3"/>
                            <w:sz w:val="21"/>
                          </w:rPr>
                          <w:t> </w:t>
                        </w:r>
                        <w:r>
                          <w:rPr>
                            <w:rFonts w:ascii="宋体" w:eastAsia="宋体" w:hint="eastAsia"/>
                            <w:spacing w:val="-27"/>
                            <w:sz w:val="21"/>
                          </w:rPr>
                          <w:t>年 </w:t>
                        </w:r>
                        <w:r>
                          <w:rPr>
                            <w:sz w:val="21"/>
                          </w:rPr>
                          <w:t>1</w:t>
                        </w:r>
                        <w:r>
                          <w:rPr>
                            <w:spacing w:val="-3"/>
                            <w:sz w:val="21"/>
                          </w:rPr>
                          <w:t> </w:t>
                        </w:r>
                        <w:r>
                          <w:rPr>
                            <w:rFonts w:ascii="宋体" w:eastAsia="宋体" w:hint="eastAsia"/>
                            <w:spacing w:val="-27"/>
                            <w:sz w:val="21"/>
                          </w:rPr>
                          <w:t>月 </w:t>
                        </w:r>
                        <w:r>
                          <w:rPr>
                            <w:sz w:val="21"/>
                          </w:rPr>
                          <w:t>1</w:t>
                        </w:r>
                        <w:r>
                          <w:rPr>
                            <w:spacing w:val="-3"/>
                            <w:sz w:val="21"/>
                          </w:rPr>
                          <w:t> </w:t>
                        </w:r>
                        <w:r>
                          <w:rPr>
                            <w:rFonts w:ascii="宋体" w:eastAsia="宋体" w:hint="eastAsia"/>
                            <w:sz w:val="21"/>
                          </w:rPr>
                          <w:t>日至</w:t>
                        </w:r>
                      </w:p>
                      <w:p>
                        <w:pPr>
                          <w:pStyle w:val="TableParagraph"/>
                          <w:spacing w:line="250" w:lineRule="exact" w:before="4"/>
                          <w:ind w:left="177"/>
                          <w:rPr>
                            <w:rFonts w:ascii="宋体" w:eastAsia="宋体" w:hint="eastAsia"/>
                            <w:sz w:val="21"/>
                          </w:rPr>
                        </w:pPr>
                        <w:r>
                          <w:rPr>
                            <w:sz w:val="21"/>
                          </w:rPr>
                          <w:t>2011</w:t>
                        </w:r>
                        <w:r>
                          <w:rPr>
                            <w:spacing w:val="-5"/>
                            <w:sz w:val="21"/>
                          </w:rPr>
                          <w:t> </w:t>
                        </w:r>
                        <w:r>
                          <w:rPr>
                            <w:rFonts w:ascii="宋体" w:eastAsia="宋体" w:hint="eastAsia"/>
                            <w:spacing w:val="-27"/>
                            <w:sz w:val="21"/>
                          </w:rPr>
                          <w:t>年 </w:t>
                        </w:r>
                        <w:r>
                          <w:rPr>
                            <w:sz w:val="21"/>
                          </w:rPr>
                          <w:t>12</w:t>
                        </w:r>
                        <w:r>
                          <w:rPr>
                            <w:spacing w:val="-1"/>
                            <w:sz w:val="21"/>
                          </w:rPr>
                          <w:t> </w:t>
                        </w:r>
                        <w:r>
                          <w:rPr>
                            <w:rFonts w:ascii="宋体" w:eastAsia="宋体" w:hint="eastAsia"/>
                            <w:spacing w:val="-27"/>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51"/>
                          <w:ind w:left="216"/>
                          <w:rPr>
                            <w:sz w:val="21"/>
                          </w:rPr>
                        </w:pPr>
                        <w:r>
                          <w:rPr>
                            <w:sz w:val="21"/>
                          </w:rPr>
                          <w:t>3.7735%</w:t>
                        </w:r>
                      </w:p>
                    </w:tc>
                    <w:tc>
                      <w:tcPr>
                        <w:tcW w:w="1327" w:type="dxa"/>
                      </w:tcPr>
                      <w:p>
                        <w:pPr>
                          <w:pStyle w:val="TableParagraph"/>
                          <w:spacing w:before="151"/>
                          <w:ind w:right="94"/>
                          <w:jc w:val="right"/>
                          <w:rPr>
                            <w:sz w:val="21"/>
                          </w:rPr>
                        </w:pPr>
                        <w:r>
                          <w:rPr>
                            <w:sz w:val="21"/>
                          </w:rPr>
                          <w:t>0.0035%</w:t>
                        </w:r>
                      </w:p>
                    </w:tc>
                    <w:tc>
                      <w:tcPr>
                        <w:tcW w:w="1275" w:type="dxa"/>
                      </w:tcPr>
                      <w:p>
                        <w:pPr>
                          <w:pStyle w:val="TableParagraph"/>
                          <w:spacing w:before="151"/>
                          <w:ind w:right="92"/>
                          <w:jc w:val="right"/>
                          <w:rPr>
                            <w:sz w:val="21"/>
                          </w:rPr>
                        </w:pPr>
                        <w:r>
                          <w:rPr>
                            <w:sz w:val="21"/>
                          </w:rPr>
                          <w:t>1.4597%</w:t>
                        </w:r>
                      </w:p>
                    </w:tc>
                    <w:tc>
                      <w:tcPr>
                        <w:tcW w:w="1702" w:type="dxa"/>
                      </w:tcPr>
                      <w:p>
                        <w:pPr>
                          <w:pStyle w:val="TableParagraph"/>
                          <w:spacing w:before="151"/>
                          <w:ind w:right="92"/>
                          <w:jc w:val="right"/>
                          <w:rPr>
                            <w:sz w:val="21"/>
                          </w:rPr>
                        </w:pPr>
                        <w:r>
                          <w:rPr>
                            <w:sz w:val="21"/>
                          </w:rPr>
                          <w:t>0.0001%</w:t>
                        </w:r>
                      </w:p>
                    </w:tc>
                    <w:tc>
                      <w:tcPr>
                        <w:tcW w:w="1098" w:type="dxa"/>
                      </w:tcPr>
                      <w:p>
                        <w:pPr>
                          <w:pStyle w:val="TableParagraph"/>
                          <w:spacing w:before="151"/>
                          <w:ind w:left="235"/>
                          <w:rPr>
                            <w:sz w:val="21"/>
                          </w:rPr>
                        </w:pPr>
                        <w:r>
                          <w:rPr>
                            <w:sz w:val="21"/>
                          </w:rPr>
                          <w:t>2.3138%</w:t>
                        </w:r>
                      </w:p>
                    </w:tc>
                    <w:tc>
                      <w:tcPr>
                        <w:tcW w:w="1081" w:type="dxa"/>
                      </w:tcPr>
                      <w:p>
                        <w:pPr>
                          <w:pStyle w:val="TableParagraph"/>
                          <w:spacing w:before="151"/>
                          <w:ind w:left="215"/>
                          <w:rPr>
                            <w:sz w:val="21"/>
                          </w:rPr>
                        </w:pPr>
                        <w:r>
                          <w:rPr>
                            <w:sz w:val="21"/>
                          </w:rPr>
                          <w:t>0.0034%</w:t>
                        </w:r>
                      </w:p>
                    </w:tc>
                  </w:tr>
                  <w:tr>
                    <w:trPr>
                      <w:trHeight w:val="546" w:hRule="atLeast"/>
                    </w:trPr>
                    <w:tc>
                      <w:tcPr>
                        <w:tcW w:w="2088" w:type="dxa"/>
                      </w:tcPr>
                      <w:p>
                        <w:pPr>
                          <w:pStyle w:val="TableParagraph"/>
                          <w:spacing w:before="3"/>
                          <w:ind w:left="175"/>
                          <w:rPr>
                            <w:rFonts w:ascii="宋体" w:eastAsia="宋体" w:hint="eastAsia"/>
                            <w:sz w:val="21"/>
                          </w:rPr>
                        </w:pPr>
                        <w:r>
                          <w:rPr>
                            <w:sz w:val="21"/>
                          </w:rPr>
                          <w:t>2012</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2012</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51"/>
                          <w:ind w:left="216"/>
                          <w:rPr>
                            <w:sz w:val="21"/>
                          </w:rPr>
                        </w:pPr>
                        <w:r>
                          <w:rPr>
                            <w:sz w:val="21"/>
                          </w:rPr>
                          <w:t>4.2833%</w:t>
                        </w:r>
                      </w:p>
                    </w:tc>
                    <w:tc>
                      <w:tcPr>
                        <w:tcW w:w="1327" w:type="dxa"/>
                      </w:tcPr>
                      <w:p>
                        <w:pPr>
                          <w:pStyle w:val="TableParagraph"/>
                          <w:spacing w:before="151"/>
                          <w:ind w:right="94"/>
                          <w:jc w:val="right"/>
                          <w:rPr>
                            <w:sz w:val="21"/>
                          </w:rPr>
                        </w:pPr>
                        <w:r>
                          <w:rPr>
                            <w:sz w:val="21"/>
                          </w:rPr>
                          <w:t>0.0043%</w:t>
                        </w:r>
                      </w:p>
                    </w:tc>
                    <w:tc>
                      <w:tcPr>
                        <w:tcW w:w="1275" w:type="dxa"/>
                      </w:tcPr>
                      <w:p>
                        <w:pPr>
                          <w:pStyle w:val="TableParagraph"/>
                          <w:spacing w:before="151"/>
                          <w:ind w:right="92"/>
                          <w:jc w:val="right"/>
                          <w:rPr>
                            <w:sz w:val="21"/>
                          </w:rPr>
                        </w:pPr>
                        <w:r>
                          <w:rPr>
                            <w:sz w:val="21"/>
                          </w:rPr>
                          <w:t>1.4139%</w:t>
                        </w:r>
                      </w:p>
                    </w:tc>
                    <w:tc>
                      <w:tcPr>
                        <w:tcW w:w="1702" w:type="dxa"/>
                      </w:tcPr>
                      <w:p>
                        <w:pPr>
                          <w:pStyle w:val="TableParagraph"/>
                          <w:spacing w:before="151"/>
                          <w:ind w:right="92"/>
                          <w:jc w:val="right"/>
                          <w:rPr>
                            <w:sz w:val="21"/>
                          </w:rPr>
                        </w:pPr>
                        <w:r>
                          <w:rPr>
                            <w:sz w:val="21"/>
                          </w:rPr>
                          <w:t>0.0002%</w:t>
                        </w:r>
                      </w:p>
                    </w:tc>
                    <w:tc>
                      <w:tcPr>
                        <w:tcW w:w="1098" w:type="dxa"/>
                      </w:tcPr>
                      <w:p>
                        <w:pPr>
                          <w:pStyle w:val="TableParagraph"/>
                          <w:spacing w:before="151"/>
                          <w:ind w:left="235"/>
                          <w:rPr>
                            <w:sz w:val="21"/>
                          </w:rPr>
                        </w:pPr>
                        <w:r>
                          <w:rPr>
                            <w:sz w:val="21"/>
                          </w:rPr>
                          <w:t>2.8694%</w:t>
                        </w:r>
                      </w:p>
                    </w:tc>
                    <w:tc>
                      <w:tcPr>
                        <w:tcW w:w="1081" w:type="dxa"/>
                      </w:tcPr>
                      <w:p>
                        <w:pPr>
                          <w:pStyle w:val="TableParagraph"/>
                          <w:spacing w:before="151"/>
                          <w:ind w:left="215"/>
                          <w:rPr>
                            <w:sz w:val="21"/>
                          </w:rPr>
                        </w:pPr>
                        <w:r>
                          <w:rPr>
                            <w:sz w:val="21"/>
                          </w:rPr>
                          <w:t>0.0041%</w:t>
                        </w:r>
                      </w:p>
                    </w:tc>
                  </w:tr>
                  <w:tr>
                    <w:trPr>
                      <w:trHeight w:val="545" w:hRule="atLeast"/>
                    </w:trPr>
                    <w:tc>
                      <w:tcPr>
                        <w:tcW w:w="2088" w:type="dxa"/>
                      </w:tcPr>
                      <w:p>
                        <w:pPr>
                          <w:pStyle w:val="TableParagraph"/>
                          <w:spacing w:before="1"/>
                          <w:ind w:left="175"/>
                          <w:rPr>
                            <w:rFonts w:ascii="宋体" w:eastAsia="宋体" w:hint="eastAsia"/>
                            <w:sz w:val="21"/>
                          </w:rPr>
                        </w:pPr>
                        <w:r>
                          <w:rPr>
                            <w:sz w:val="21"/>
                          </w:rPr>
                          <w:t>2013</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2013</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50"/>
                          <w:ind w:left="216"/>
                          <w:rPr>
                            <w:sz w:val="21"/>
                          </w:rPr>
                        </w:pPr>
                        <w:r>
                          <w:rPr>
                            <w:sz w:val="21"/>
                          </w:rPr>
                          <w:t>4.3214%</w:t>
                        </w:r>
                      </w:p>
                    </w:tc>
                    <w:tc>
                      <w:tcPr>
                        <w:tcW w:w="1327" w:type="dxa"/>
                      </w:tcPr>
                      <w:p>
                        <w:pPr>
                          <w:pStyle w:val="TableParagraph"/>
                          <w:spacing w:before="150"/>
                          <w:ind w:right="94"/>
                          <w:jc w:val="right"/>
                          <w:rPr>
                            <w:sz w:val="21"/>
                          </w:rPr>
                        </w:pPr>
                        <w:r>
                          <w:rPr>
                            <w:sz w:val="21"/>
                          </w:rPr>
                          <w:t>0.0024%</w:t>
                        </w:r>
                      </w:p>
                    </w:tc>
                    <w:tc>
                      <w:tcPr>
                        <w:tcW w:w="1275" w:type="dxa"/>
                      </w:tcPr>
                      <w:p>
                        <w:pPr>
                          <w:pStyle w:val="TableParagraph"/>
                          <w:spacing w:before="150"/>
                          <w:ind w:right="92"/>
                          <w:jc w:val="right"/>
                          <w:rPr>
                            <w:sz w:val="21"/>
                          </w:rPr>
                        </w:pPr>
                        <w:r>
                          <w:rPr>
                            <w:sz w:val="21"/>
                          </w:rPr>
                          <w:t>1.3500%</w:t>
                        </w:r>
                      </w:p>
                    </w:tc>
                    <w:tc>
                      <w:tcPr>
                        <w:tcW w:w="1702" w:type="dxa"/>
                      </w:tcPr>
                      <w:p>
                        <w:pPr>
                          <w:pStyle w:val="TableParagraph"/>
                          <w:spacing w:before="150"/>
                          <w:ind w:right="92"/>
                          <w:jc w:val="right"/>
                          <w:rPr>
                            <w:sz w:val="21"/>
                          </w:rPr>
                        </w:pPr>
                        <w:r>
                          <w:rPr>
                            <w:sz w:val="21"/>
                          </w:rPr>
                          <w:t>0.0000%</w:t>
                        </w:r>
                      </w:p>
                    </w:tc>
                    <w:tc>
                      <w:tcPr>
                        <w:tcW w:w="1098" w:type="dxa"/>
                      </w:tcPr>
                      <w:p>
                        <w:pPr>
                          <w:pStyle w:val="TableParagraph"/>
                          <w:spacing w:before="150"/>
                          <w:ind w:left="235"/>
                          <w:rPr>
                            <w:sz w:val="21"/>
                          </w:rPr>
                        </w:pPr>
                        <w:r>
                          <w:rPr>
                            <w:sz w:val="21"/>
                          </w:rPr>
                          <w:t>2.9714%</w:t>
                        </w:r>
                      </w:p>
                    </w:tc>
                    <w:tc>
                      <w:tcPr>
                        <w:tcW w:w="1081" w:type="dxa"/>
                      </w:tcPr>
                      <w:p>
                        <w:pPr>
                          <w:pStyle w:val="TableParagraph"/>
                          <w:spacing w:before="150"/>
                          <w:ind w:left="215"/>
                          <w:rPr>
                            <w:sz w:val="21"/>
                          </w:rPr>
                        </w:pPr>
                        <w:r>
                          <w:rPr>
                            <w:sz w:val="21"/>
                          </w:rPr>
                          <w:t>0.0024%</w:t>
                        </w:r>
                      </w:p>
                    </w:tc>
                  </w:tr>
                  <w:tr>
                    <w:trPr>
                      <w:trHeight w:val="544" w:hRule="atLeast"/>
                    </w:trPr>
                    <w:tc>
                      <w:tcPr>
                        <w:tcW w:w="2088" w:type="dxa"/>
                      </w:tcPr>
                      <w:p>
                        <w:pPr>
                          <w:pStyle w:val="TableParagraph"/>
                          <w:spacing w:before="1"/>
                          <w:ind w:left="175"/>
                          <w:rPr>
                            <w:rFonts w:ascii="宋体" w:eastAsia="宋体" w:hint="eastAsia"/>
                            <w:sz w:val="21"/>
                          </w:rPr>
                        </w:pPr>
                        <w:r>
                          <w:rPr>
                            <w:sz w:val="21"/>
                          </w:rPr>
                          <w:t>2014</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2014</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9"/>
                          <w:ind w:left="216"/>
                          <w:rPr>
                            <w:sz w:val="21"/>
                          </w:rPr>
                        </w:pPr>
                        <w:r>
                          <w:rPr>
                            <w:sz w:val="21"/>
                          </w:rPr>
                          <w:t>4.8847%</w:t>
                        </w:r>
                      </w:p>
                    </w:tc>
                    <w:tc>
                      <w:tcPr>
                        <w:tcW w:w="1327" w:type="dxa"/>
                      </w:tcPr>
                      <w:p>
                        <w:pPr>
                          <w:pStyle w:val="TableParagraph"/>
                          <w:spacing w:before="149"/>
                          <w:ind w:right="94"/>
                          <w:jc w:val="right"/>
                          <w:rPr>
                            <w:sz w:val="21"/>
                          </w:rPr>
                        </w:pPr>
                        <w:r>
                          <w:rPr>
                            <w:sz w:val="21"/>
                          </w:rPr>
                          <w:t>0.0027%</w:t>
                        </w:r>
                      </w:p>
                    </w:tc>
                    <w:tc>
                      <w:tcPr>
                        <w:tcW w:w="1275" w:type="dxa"/>
                      </w:tcPr>
                      <w:p>
                        <w:pPr>
                          <w:pStyle w:val="TableParagraph"/>
                          <w:spacing w:before="149"/>
                          <w:ind w:right="92"/>
                          <w:jc w:val="right"/>
                          <w:rPr>
                            <w:sz w:val="21"/>
                          </w:rPr>
                        </w:pPr>
                        <w:r>
                          <w:rPr>
                            <w:sz w:val="21"/>
                          </w:rPr>
                          <w:t>1.3500%</w:t>
                        </w:r>
                      </w:p>
                    </w:tc>
                    <w:tc>
                      <w:tcPr>
                        <w:tcW w:w="1702" w:type="dxa"/>
                      </w:tcPr>
                      <w:p>
                        <w:pPr>
                          <w:pStyle w:val="TableParagraph"/>
                          <w:spacing w:before="149"/>
                          <w:ind w:right="92"/>
                          <w:jc w:val="right"/>
                          <w:rPr>
                            <w:sz w:val="21"/>
                          </w:rPr>
                        </w:pPr>
                        <w:r>
                          <w:rPr>
                            <w:sz w:val="21"/>
                          </w:rPr>
                          <w:t>0.0000%</w:t>
                        </w:r>
                      </w:p>
                    </w:tc>
                    <w:tc>
                      <w:tcPr>
                        <w:tcW w:w="1098" w:type="dxa"/>
                      </w:tcPr>
                      <w:p>
                        <w:pPr>
                          <w:pStyle w:val="TableParagraph"/>
                          <w:spacing w:before="149"/>
                          <w:ind w:left="235"/>
                          <w:rPr>
                            <w:sz w:val="21"/>
                          </w:rPr>
                        </w:pPr>
                        <w:r>
                          <w:rPr>
                            <w:sz w:val="21"/>
                          </w:rPr>
                          <w:t>3.5347%</w:t>
                        </w:r>
                      </w:p>
                    </w:tc>
                    <w:tc>
                      <w:tcPr>
                        <w:tcW w:w="1081" w:type="dxa"/>
                      </w:tcPr>
                      <w:p>
                        <w:pPr>
                          <w:pStyle w:val="TableParagraph"/>
                          <w:spacing w:before="149"/>
                          <w:ind w:left="215"/>
                          <w:rPr>
                            <w:sz w:val="21"/>
                          </w:rPr>
                        </w:pPr>
                        <w:r>
                          <w:rPr>
                            <w:sz w:val="21"/>
                          </w:rPr>
                          <w:t>0.0027%</w:t>
                        </w:r>
                      </w:p>
                    </w:tc>
                  </w:tr>
                  <w:tr>
                    <w:trPr>
                      <w:trHeight w:val="544" w:hRule="atLeast"/>
                    </w:trPr>
                    <w:tc>
                      <w:tcPr>
                        <w:tcW w:w="2088" w:type="dxa"/>
                      </w:tcPr>
                      <w:p>
                        <w:pPr>
                          <w:pStyle w:val="TableParagraph"/>
                          <w:spacing w:before="1"/>
                          <w:ind w:left="175"/>
                          <w:rPr>
                            <w:rFonts w:ascii="宋体" w:eastAsia="宋体" w:hint="eastAsia"/>
                            <w:sz w:val="21"/>
                          </w:rPr>
                        </w:pPr>
                        <w:r>
                          <w:rPr>
                            <w:sz w:val="21"/>
                          </w:rPr>
                          <w:t>2015</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2015</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3.9305%</w:t>
                        </w:r>
                      </w:p>
                    </w:tc>
                    <w:tc>
                      <w:tcPr>
                        <w:tcW w:w="1327" w:type="dxa"/>
                      </w:tcPr>
                      <w:p>
                        <w:pPr>
                          <w:pStyle w:val="TableParagraph"/>
                          <w:spacing w:before="144"/>
                          <w:ind w:right="94"/>
                          <w:jc w:val="right"/>
                          <w:rPr>
                            <w:sz w:val="21"/>
                          </w:rPr>
                        </w:pPr>
                        <w:r>
                          <w:rPr>
                            <w:sz w:val="21"/>
                          </w:rPr>
                          <w:t>0.0061%</w:t>
                        </w:r>
                      </w:p>
                    </w:tc>
                    <w:tc>
                      <w:tcPr>
                        <w:tcW w:w="1275" w:type="dxa"/>
                      </w:tcPr>
                      <w:p>
                        <w:pPr>
                          <w:pStyle w:val="TableParagraph"/>
                          <w:spacing w:before="144"/>
                          <w:ind w:right="92"/>
                          <w:jc w:val="right"/>
                          <w:rPr>
                            <w:sz w:val="21"/>
                          </w:rPr>
                        </w:pPr>
                        <w:r>
                          <w:rPr>
                            <w:sz w:val="21"/>
                          </w:rPr>
                          <w:t>1.3500%</w:t>
                        </w:r>
                      </w:p>
                    </w:tc>
                    <w:tc>
                      <w:tcPr>
                        <w:tcW w:w="1702" w:type="dxa"/>
                      </w:tcPr>
                      <w:p>
                        <w:pPr>
                          <w:pStyle w:val="TableParagraph"/>
                          <w:spacing w:before="144"/>
                          <w:ind w:right="92"/>
                          <w:jc w:val="right"/>
                          <w:rPr>
                            <w:sz w:val="21"/>
                          </w:rPr>
                        </w:pPr>
                        <w:r>
                          <w:rPr>
                            <w:sz w:val="21"/>
                          </w:rPr>
                          <w:t>0.0000%</w:t>
                        </w:r>
                      </w:p>
                    </w:tc>
                    <w:tc>
                      <w:tcPr>
                        <w:tcW w:w="1098" w:type="dxa"/>
                      </w:tcPr>
                      <w:p>
                        <w:pPr>
                          <w:pStyle w:val="TableParagraph"/>
                          <w:spacing w:before="144"/>
                          <w:ind w:left="235"/>
                          <w:rPr>
                            <w:sz w:val="21"/>
                          </w:rPr>
                        </w:pPr>
                        <w:r>
                          <w:rPr>
                            <w:sz w:val="21"/>
                          </w:rPr>
                          <w:t>2.5805%</w:t>
                        </w:r>
                      </w:p>
                    </w:tc>
                    <w:tc>
                      <w:tcPr>
                        <w:tcW w:w="1081" w:type="dxa"/>
                      </w:tcPr>
                      <w:p>
                        <w:pPr>
                          <w:pStyle w:val="TableParagraph"/>
                          <w:spacing w:before="144"/>
                          <w:ind w:left="215"/>
                          <w:rPr>
                            <w:sz w:val="21"/>
                          </w:rPr>
                        </w:pPr>
                        <w:r>
                          <w:rPr>
                            <w:sz w:val="21"/>
                          </w:rPr>
                          <w:t>0.0061%</w:t>
                        </w:r>
                      </w:p>
                    </w:tc>
                  </w:tr>
                  <w:tr>
                    <w:trPr>
                      <w:trHeight w:val="544" w:hRule="atLeast"/>
                    </w:trPr>
                    <w:tc>
                      <w:tcPr>
                        <w:tcW w:w="2088" w:type="dxa"/>
                      </w:tcPr>
                      <w:p>
                        <w:pPr>
                          <w:pStyle w:val="TableParagraph"/>
                          <w:spacing w:before="1"/>
                          <w:ind w:left="175"/>
                          <w:rPr>
                            <w:rFonts w:ascii="宋体" w:eastAsia="宋体" w:hint="eastAsia"/>
                            <w:sz w:val="21"/>
                          </w:rPr>
                        </w:pPr>
                        <w:r>
                          <w:rPr>
                            <w:sz w:val="21"/>
                          </w:rPr>
                          <w:t>2016</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2016</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2.5773%</w:t>
                        </w:r>
                      </w:p>
                    </w:tc>
                    <w:tc>
                      <w:tcPr>
                        <w:tcW w:w="1327" w:type="dxa"/>
                      </w:tcPr>
                      <w:p>
                        <w:pPr>
                          <w:pStyle w:val="TableParagraph"/>
                          <w:spacing w:before="144"/>
                          <w:ind w:right="94"/>
                          <w:jc w:val="right"/>
                          <w:rPr>
                            <w:sz w:val="21"/>
                          </w:rPr>
                        </w:pPr>
                        <w:r>
                          <w:rPr>
                            <w:sz w:val="21"/>
                          </w:rPr>
                          <w:t>0.0016%</w:t>
                        </w:r>
                      </w:p>
                    </w:tc>
                    <w:tc>
                      <w:tcPr>
                        <w:tcW w:w="1275" w:type="dxa"/>
                      </w:tcPr>
                      <w:p>
                        <w:pPr>
                          <w:pStyle w:val="TableParagraph"/>
                          <w:spacing w:before="144"/>
                          <w:ind w:right="92"/>
                          <w:jc w:val="right"/>
                          <w:rPr>
                            <w:sz w:val="21"/>
                          </w:rPr>
                        </w:pPr>
                        <w:r>
                          <w:rPr>
                            <w:sz w:val="21"/>
                          </w:rPr>
                          <w:t>1.3500%</w:t>
                        </w:r>
                      </w:p>
                    </w:tc>
                    <w:tc>
                      <w:tcPr>
                        <w:tcW w:w="1702" w:type="dxa"/>
                      </w:tcPr>
                      <w:p>
                        <w:pPr>
                          <w:pStyle w:val="TableParagraph"/>
                          <w:spacing w:before="144"/>
                          <w:ind w:right="92"/>
                          <w:jc w:val="right"/>
                          <w:rPr>
                            <w:sz w:val="21"/>
                          </w:rPr>
                        </w:pPr>
                        <w:r>
                          <w:rPr>
                            <w:sz w:val="21"/>
                          </w:rPr>
                          <w:t>0.0000%</w:t>
                        </w:r>
                      </w:p>
                    </w:tc>
                    <w:tc>
                      <w:tcPr>
                        <w:tcW w:w="1098" w:type="dxa"/>
                      </w:tcPr>
                      <w:p>
                        <w:pPr>
                          <w:pStyle w:val="TableParagraph"/>
                          <w:spacing w:before="144"/>
                          <w:ind w:left="235"/>
                          <w:rPr>
                            <w:sz w:val="21"/>
                          </w:rPr>
                        </w:pPr>
                        <w:r>
                          <w:rPr>
                            <w:sz w:val="21"/>
                          </w:rPr>
                          <w:t>1.2273%</w:t>
                        </w:r>
                      </w:p>
                    </w:tc>
                    <w:tc>
                      <w:tcPr>
                        <w:tcW w:w="1081" w:type="dxa"/>
                      </w:tcPr>
                      <w:p>
                        <w:pPr>
                          <w:pStyle w:val="TableParagraph"/>
                          <w:spacing w:before="144"/>
                          <w:ind w:left="215"/>
                          <w:rPr>
                            <w:sz w:val="21"/>
                          </w:rPr>
                        </w:pPr>
                        <w:r>
                          <w:rPr>
                            <w:sz w:val="21"/>
                          </w:rPr>
                          <w:t>0.0016%</w:t>
                        </w:r>
                      </w:p>
                    </w:tc>
                  </w:tr>
                  <w:tr>
                    <w:trPr>
                      <w:trHeight w:val="544" w:hRule="atLeast"/>
                    </w:trPr>
                    <w:tc>
                      <w:tcPr>
                        <w:tcW w:w="2088" w:type="dxa"/>
                      </w:tcPr>
                      <w:p>
                        <w:pPr>
                          <w:pStyle w:val="TableParagraph"/>
                          <w:spacing w:before="1"/>
                          <w:ind w:left="175"/>
                          <w:rPr>
                            <w:rFonts w:ascii="宋体" w:eastAsia="宋体" w:hint="eastAsia"/>
                            <w:sz w:val="21"/>
                          </w:rPr>
                        </w:pPr>
                        <w:r>
                          <w:rPr>
                            <w:sz w:val="21"/>
                          </w:rPr>
                          <w:t>2017</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2017</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3.3985%</w:t>
                        </w:r>
                      </w:p>
                    </w:tc>
                    <w:tc>
                      <w:tcPr>
                        <w:tcW w:w="1327" w:type="dxa"/>
                      </w:tcPr>
                      <w:p>
                        <w:pPr>
                          <w:pStyle w:val="TableParagraph"/>
                          <w:spacing w:before="144"/>
                          <w:ind w:right="94"/>
                          <w:jc w:val="right"/>
                          <w:rPr>
                            <w:sz w:val="21"/>
                          </w:rPr>
                        </w:pPr>
                        <w:r>
                          <w:rPr>
                            <w:sz w:val="21"/>
                          </w:rPr>
                          <w:t>0.0030%</w:t>
                        </w:r>
                      </w:p>
                    </w:tc>
                    <w:tc>
                      <w:tcPr>
                        <w:tcW w:w="1275" w:type="dxa"/>
                      </w:tcPr>
                      <w:p>
                        <w:pPr>
                          <w:pStyle w:val="TableParagraph"/>
                          <w:spacing w:before="144"/>
                          <w:ind w:right="92"/>
                          <w:jc w:val="right"/>
                          <w:rPr>
                            <w:sz w:val="21"/>
                          </w:rPr>
                        </w:pPr>
                        <w:r>
                          <w:rPr>
                            <w:sz w:val="21"/>
                          </w:rPr>
                          <w:t>1.3500%</w:t>
                        </w:r>
                      </w:p>
                    </w:tc>
                    <w:tc>
                      <w:tcPr>
                        <w:tcW w:w="1702" w:type="dxa"/>
                      </w:tcPr>
                      <w:p>
                        <w:pPr>
                          <w:pStyle w:val="TableParagraph"/>
                          <w:spacing w:before="144"/>
                          <w:ind w:right="92"/>
                          <w:jc w:val="right"/>
                          <w:rPr>
                            <w:sz w:val="21"/>
                          </w:rPr>
                        </w:pPr>
                        <w:r>
                          <w:rPr>
                            <w:sz w:val="21"/>
                          </w:rPr>
                          <w:t>0.0000%</w:t>
                        </w:r>
                      </w:p>
                    </w:tc>
                    <w:tc>
                      <w:tcPr>
                        <w:tcW w:w="1098" w:type="dxa"/>
                      </w:tcPr>
                      <w:p>
                        <w:pPr>
                          <w:pStyle w:val="TableParagraph"/>
                          <w:spacing w:before="144"/>
                          <w:ind w:left="235"/>
                          <w:rPr>
                            <w:sz w:val="21"/>
                          </w:rPr>
                        </w:pPr>
                        <w:r>
                          <w:rPr>
                            <w:sz w:val="21"/>
                          </w:rPr>
                          <w:t>2.0485%</w:t>
                        </w:r>
                      </w:p>
                    </w:tc>
                    <w:tc>
                      <w:tcPr>
                        <w:tcW w:w="1081" w:type="dxa"/>
                      </w:tcPr>
                      <w:p>
                        <w:pPr>
                          <w:pStyle w:val="TableParagraph"/>
                          <w:spacing w:before="144"/>
                          <w:ind w:left="215"/>
                          <w:rPr>
                            <w:sz w:val="21"/>
                          </w:rPr>
                        </w:pPr>
                        <w:r>
                          <w:rPr>
                            <w:sz w:val="21"/>
                          </w:rPr>
                          <w:t>0.0030%</w:t>
                        </w:r>
                      </w:p>
                    </w:tc>
                  </w:tr>
                  <w:tr>
                    <w:trPr>
                      <w:trHeight w:val="544" w:hRule="atLeast"/>
                    </w:trPr>
                    <w:tc>
                      <w:tcPr>
                        <w:tcW w:w="2088" w:type="dxa"/>
                      </w:tcPr>
                      <w:p>
                        <w:pPr>
                          <w:pStyle w:val="TableParagraph"/>
                          <w:spacing w:before="1"/>
                          <w:ind w:left="175"/>
                          <w:rPr>
                            <w:rFonts w:ascii="宋体" w:eastAsia="宋体" w:hint="eastAsia"/>
                            <w:sz w:val="21"/>
                          </w:rPr>
                        </w:pPr>
                        <w:r>
                          <w:rPr>
                            <w:sz w:val="21"/>
                          </w:rPr>
                          <w:t>2018</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2018</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160"/>
                          <w:rPr>
                            <w:sz w:val="21"/>
                          </w:rPr>
                        </w:pPr>
                        <w:r>
                          <w:rPr>
                            <w:sz w:val="21"/>
                          </w:rPr>
                          <w:t>3.8426%</w:t>
                        </w:r>
                      </w:p>
                    </w:tc>
                    <w:tc>
                      <w:tcPr>
                        <w:tcW w:w="1327" w:type="dxa"/>
                      </w:tcPr>
                      <w:p>
                        <w:pPr>
                          <w:pStyle w:val="TableParagraph"/>
                          <w:spacing w:before="144"/>
                          <w:ind w:left="283"/>
                          <w:rPr>
                            <w:sz w:val="21"/>
                          </w:rPr>
                        </w:pPr>
                        <w:r>
                          <w:rPr>
                            <w:sz w:val="21"/>
                          </w:rPr>
                          <w:t>0.0028%</w:t>
                        </w:r>
                      </w:p>
                    </w:tc>
                    <w:tc>
                      <w:tcPr>
                        <w:tcW w:w="1275" w:type="dxa"/>
                      </w:tcPr>
                      <w:p>
                        <w:pPr>
                          <w:pStyle w:val="TableParagraph"/>
                          <w:spacing w:before="144"/>
                          <w:ind w:left="260"/>
                          <w:rPr>
                            <w:sz w:val="21"/>
                          </w:rPr>
                        </w:pPr>
                        <w:r>
                          <w:rPr>
                            <w:sz w:val="21"/>
                          </w:rPr>
                          <w:t>1.3500%</w:t>
                        </w:r>
                      </w:p>
                    </w:tc>
                    <w:tc>
                      <w:tcPr>
                        <w:tcW w:w="1702" w:type="dxa"/>
                      </w:tcPr>
                      <w:p>
                        <w:pPr>
                          <w:pStyle w:val="TableParagraph"/>
                          <w:spacing w:before="144"/>
                          <w:ind w:right="92"/>
                          <w:jc w:val="right"/>
                          <w:rPr>
                            <w:sz w:val="21"/>
                          </w:rPr>
                        </w:pPr>
                        <w:r>
                          <w:rPr>
                            <w:sz w:val="21"/>
                          </w:rPr>
                          <w:t>0.0000%</w:t>
                        </w:r>
                      </w:p>
                    </w:tc>
                    <w:tc>
                      <w:tcPr>
                        <w:tcW w:w="1098" w:type="dxa"/>
                      </w:tcPr>
                      <w:p>
                        <w:pPr>
                          <w:pStyle w:val="TableParagraph"/>
                          <w:spacing w:before="144"/>
                          <w:ind w:left="235"/>
                          <w:rPr>
                            <w:sz w:val="21"/>
                          </w:rPr>
                        </w:pPr>
                        <w:r>
                          <w:rPr>
                            <w:sz w:val="21"/>
                          </w:rPr>
                          <w:t>2.4926%</w:t>
                        </w:r>
                      </w:p>
                    </w:tc>
                    <w:tc>
                      <w:tcPr>
                        <w:tcW w:w="1081" w:type="dxa"/>
                      </w:tcPr>
                      <w:p>
                        <w:pPr>
                          <w:pStyle w:val="TableParagraph"/>
                          <w:spacing w:before="144"/>
                          <w:ind w:left="215"/>
                          <w:rPr>
                            <w:sz w:val="21"/>
                          </w:rPr>
                        </w:pPr>
                        <w:r>
                          <w:rPr>
                            <w:sz w:val="21"/>
                          </w:rPr>
                          <w:t>0.0028%</w:t>
                        </w:r>
                      </w:p>
                    </w:tc>
                  </w:tr>
                  <w:tr>
                    <w:trPr>
                      <w:trHeight w:val="544" w:hRule="atLeast"/>
                    </w:trPr>
                    <w:tc>
                      <w:tcPr>
                        <w:tcW w:w="2088" w:type="dxa"/>
                      </w:tcPr>
                      <w:p>
                        <w:pPr>
                          <w:pStyle w:val="TableParagraph"/>
                          <w:spacing w:before="1"/>
                          <w:ind w:left="175"/>
                          <w:rPr>
                            <w:rFonts w:ascii="宋体" w:eastAsia="宋体" w:hint="eastAsia"/>
                            <w:sz w:val="21"/>
                          </w:rPr>
                        </w:pPr>
                        <w:r>
                          <w:rPr>
                            <w:sz w:val="21"/>
                          </w:rPr>
                          <w:t>2019</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5"/>
                          <w:ind w:left="175"/>
                          <w:rPr>
                            <w:rFonts w:ascii="宋体" w:eastAsia="宋体" w:hint="eastAsia"/>
                            <w:sz w:val="21"/>
                          </w:rPr>
                        </w:pPr>
                        <w:r>
                          <w:rPr>
                            <w:sz w:val="21"/>
                          </w:rPr>
                          <w:t>2019</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7"/>
                          <w:ind w:left="160"/>
                          <w:rPr>
                            <w:sz w:val="21"/>
                          </w:rPr>
                        </w:pPr>
                        <w:r>
                          <w:rPr>
                            <w:sz w:val="21"/>
                          </w:rPr>
                          <w:t>2.6058%</w:t>
                        </w:r>
                      </w:p>
                    </w:tc>
                    <w:tc>
                      <w:tcPr>
                        <w:tcW w:w="1327" w:type="dxa"/>
                      </w:tcPr>
                      <w:p>
                        <w:pPr>
                          <w:pStyle w:val="TableParagraph"/>
                          <w:spacing w:before="147"/>
                          <w:ind w:left="283"/>
                          <w:rPr>
                            <w:sz w:val="21"/>
                          </w:rPr>
                        </w:pPr>
                        <w:r>
                          <w:rPr>
                            <w:sz w:val="21"/>
                          </w:rPr>
                          <w:t>0.0019%</w:t>
                        </w:r>
                      </w:p>
                    </w:tc>
                    <w:tc>
                      <w:tcPr>
                        <w:tcW w:w="1275" w:type="dxa"/>
                      </w:tcPr>
                      <w:p>
                        <w:pPr>
                          <w:pStyle w:val="TableParagraph"/>
                          <w:spacing w:before="147"/>
                          <w:ind w:left="260"/>
                          <w:rPr>
                            <w:sz w:val="21"/>
                          </w:rPr>
                        </w:pPr>
                        <w:r>
                          <w:rPr>
                            <w:sz w:val="21"/>
                          </w:rPr>
                          <w:t>1.3500%</w:t>
                        </w:r>
                      </w:p>
                    </w:tc>
                    <w:tc>
                      <w:tcPr>
                        <w:tcW w:w="1702" w:type="dxa"/>
                      </w:tcPr>
                      <w:p>
                        <w:pPr>
                          <w:pStyle w:val="TableParagraph"/>
                          <w:spacing w:before="147"/>
                          <w:ind w:right="92"/>
                          <w:jc w:val="right"/>
                          <w:rPr>
                            <w:sz w:val="21"/>
                          </w:rPr>
                        </w:pPr>
                        <w:r>
                          <w:rPr>
                            <w:sz w:val="21"/>
                          </w:rPr>
                          <w:t>0.0000%</w:t>
                        </w:r>
                      </w:p>
                    </w:tc>
                    <w:tc>
                      <w:tcPr>
                        <w:tcW w:w="1098" w:type="dxa"/>
                      </w:tcPr>
                      <w:p>
                        <w:pPr>
                          <w:pStyle w:val="TableParagraph"/>
                          <w:spacing w:before="147"/>
                          <w:ind w:left="235"/>
                          <w:rPr>
                            <w:sz w:val="21"/>
                          </w:rPr>
                        </w:pPr>
                        <w:r>
                          <w:rPr>
                            <w:sz w:val="21"/>
                          </w:rPr>
                          <w:t>1.2558%</w:t>
                        </w:r>
                      </w:p>
                    </w:tc>
                    <w:tc>
                      <w:tcPr>
                        <w:tcW w:w="1081" w:type="dxa"/>
                      </w:tcPr>
                      <w:p>
                        <w:pPr>
                          <w:pStyle w:val="TableParagraph"/>
                          <w:spacing w:before="147"/>
                          <w:ind w:left="215"/>
                          <w:rPr>
                            <w:sz w:val="21"/>
                          </w:rPr>
                        </w:pPr>
                        <w:r>
                          <w:rPr>
                            <w:sz w:val="21"/>
                          </w:rPr>
                          <w:t>0.0019%</w:t>
                        </w:r>
                      </w:p>
                    </w:tc>
                  </w:tr>
                  <w:tr>
                    <w:trPr>
                      <w:trHeight w:val="273" w:hRule="atLeast"/>
                    </w:trPr>
                    <w:tc>
                      <w:tcPr>
                        <w:tcW w:w="2088" w:type="dxa"/>
                      </w:tcPr>
                      <w:p>
                        <w:pPr>
                          <w:pStyle w:val="TableParagraph"/>
                          <w:spacing w:line="250" w:lineRule="exact" w:before="3"/>
                          <w:ind w:left="8"/>
                          <w:jc w:val="center"/>
                          <w:rPr>
                            <w:rFonts w:ascii="宋体" w:eastAsia="宋体" w:hint="eastAsia"/>
                            <w:sz w:val="21"/>
                          </w:rPr>
                        </w:pPr>
                        <w:r>
                          <w:rPr>
                            <w:sz w:val="21"/>
                          </w:rPr>
                          <w:t>2020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tc>
                    <w:tc>
                      <w:tcPr>
                        <w:tcW w:w="1080" w:type="dxa"/>
                      </w:tcPr>
                      <w:p>
                        <w:pPr>
                          <w:pStyle w:val="TableParagraph"/>
                          <w:spacing w:before="10"/>
                          <w:ind w:left="160"/>
                          <w:rPr>
                            <w:sz w:val="21"/>
                          </w:rPr>
                        </w:pPr>
                        <w:r>
                          <w:rPr>
                            <w:sz w:val="21"/>
                          </w:rPr>
                          <w:t>1.0432%</w:t>
                        </w:r>
                      </w:p>
                    </w:tc>
                    <w:tc>
                      <w:tcPr>
                        <w:tcW w:w="1327" w:type="dxa"/>
                      </w:tcPr>
                      <w:p>
                        <w:pPr>
                          <w:pStyle w:val="TableParagraph"/>
                          <w:spacing w:before="10"/>
                          <w:ind w:left="283"/>
                          <w:rPr>
                            <w:sz w:val="21"/>
                          </w:rPr>
                        </w:pPr>
                        <w:r>
                          <w:rPr>
                            <w:sz w:val="21"/>
                          </w:rPr>
                          <w:t>0.0033%</w:t>
                        </w:r>
                      </w:p>
                    </w:tc>
                    <w:tc>
                      <w:tcPr>
                        <w:tcW w:w="1275" w:type="dxa"/>
                      </w:tcPr>
                      <w:p>
                        <w:pPr>
                          <w:pStyle w:val="TableParagraph"/>
                          <w:spacing w:before="10"/>
                          <w:ind w:left="260"/>
                          <w:rPr>
                            <w:sz w:val="21"/>
                          </w:rPr>
                        </w:pPr>
                        <w:r>
                          <w:rPr>
                            <w:sz w:val="21"/>
                          </w:rPr>
                          <w:t>0.6713%</w:t>
                        </w:r>
                      </w:p>
                    </w:tc>
                    <w:tc>
                      <w:tcPr>
                        <w:tcW w:w="1702" w:type="dxa"/>
                      </w:tcPr>
                      <w:p>
                        <w:pPr>
                          <w:pStyle w:val="TableParagraph"/>
                          <w:spacing w:before="10"/>
                          <w:ind w:right="92"/>
                          <w:jc w:val="right"/>
                          <w:rPr>
                            <w:sz w:val="21"/>
                          </w:rPr>
                        </w:pPr>
                        <w:r>
                          <w:rPr>
                            <w:sz w:val="21"/>
                          </w:rPr>
                          <w:t>0.0000%</w:t>
                        </w:r>
                      </w:p>
                    </w:tc>
                    <w:tc>
                      <w:tcPr>
                        <w:tcW w:w="1098" w:type="dxa"/>
                      </w:tcPr>
                      <w:p>
                        <w:pPr>
                          <w:pStyle w:val="TableParagraph"/>
                          <w:spacing w:before="10"/>
                          <w:ind w:left="235"/>
                          <w:rPr>
                            <w:sz w:val="21"/>
                          </w:rPr>
                        </w:pPr>
                        <w:r>
                          <w:rPr>
                            <w:sz w:val="21"/>
                          </w:rPr>
                          <w:t>0.3719%</w:t>
                        </w:r>
                      </w:p>
                    </w:tc>
                    <w:tc>
                      <w:tcPr>
                        <w:tcW w:w="1081" w:type="dxa"/>
                      </w:tcPr>
                      <w:p>
                        <w:pPr>
                          <w:pStyle w:val="TableParagraph"/>
                          <w:spacing w:before="10"/>
                          <w:ind w:left="215"/>
                          <w:rPr>
                            <w:sz w:val="21"/>
                          </w:rPr>
                        </w:pPr>
                        <w:r>
                          <w:rPr>
                            <w:sz w:val="21"/>
                          </w:rPr>
                          <w:t>0.0033%</w:t>
                        </w:r>
                      </w:p>
                    </w:tc>
                  </w:tr>
                </w:tbl>
                <w:p>
                  <w:pPr>
                    <w:pStyle w:val="BodyText"/>
                  </w:pPr>
                </w:p>
              </w:txbxContent>
            </v:textbox>
            <w10:wrap type="none"/>
          </v:shape>
        </w:pict>
      </w:r>
      <w:r>
        <w:rPr/>
        <w:t>本基金无持有人认购或交易基金的各项费用。华夏现金增利货币</w:t>
      </w:r>
      <w:r>
        <w:rPr>
          <w:rFonts w:ascii="Times New Roman" w:eastAsia="Times New Roman"/>
        </w:rPr>
        <w:t>A/E</w:t>
      </w:r>
      <w:r>
        <w:rPr/>
        <w:t>：</w:t>
      </w:r>
    </w:p>
    <w:p>
      <w:pPr>
        <w:spacing w:after="0" w:line="417" w:lineRule="auto"/>
        <w:sectPr>
          <w:pgSz w:w="11910" w:h="16840"/>
          <w:pgMar w:header="877" w:footer="995" w:top="1280" w:bottom="1180" w:left="1020" w:right="900"/>
        </w:sectPr>
      </w:pPr>
    </w:p>
    <w:p>
      <w:pPr>
        <w:pStyle w:val="BodyText"/>
        <w:spacing w:before="4"/>
        <w:rPr>
          <w:sz w:val="10"/>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1080"/>
        <w:gridCol w:w="1327"/>
        <w:gridCol w:w="1275"/>
        <w:gridCol w:w="1702"/>
        <w:gridCol w:w="1098"/>
        <w:gridCol w:w="1081"/>
      </w:tblGrid>
      <w:tr>
        <w:trPr>
          <w:trHeight w:val="273" w:hRule="atLeast"/>
        </w:trPr>
        <w:tc>
          <w:tcPr>
            <w:tcW w:w="2088" w:type="dxa"/>
          </w:tcPr>
          <w:p>
            <w:pPr>
              <w:pStyle w:val="TableParagraph"/>
              <w:spacing w:line="252" w:lineRule="exact" w:before="1"/>
              <w:ind w:left="228"/>
              <w:rPr>
                <w:rFonts w:ascii="宋体" w:eastAsia="宋体" w:hint="eastAsia"/>
                <w:sz w:val="21"/>
              </w:rPr>
            </w:pPr>
            <w:r>
              <w:rPr>
                <w:sz w:val="21"/>
              </w:rPr>
              <w:t>2020 </w:t>
            </w:r>
            <w:r>
              <w:rPr>
                <w:rFonts w:ascii="宋体" w:eastAsia="宋体" w:hint="eastAsia"/>
                <w:sz w:val="21"/>
              </w:rPr>
              <w:t>年 </w:t>
            </w:r>
            <w:r>
              <w:rPr>
                <w:sz w:val="21"/>
              </w:rPr>
              <w:t>6 </w:t>
            </w:r>
            <w:r>
              <w:rPr>
                <w:rFonts w:ascii="宋体" w:eastAsia="宋体" w:hint="eastAsia"/>
                <w:sz w:val="21"/>
              </w:rPr>
              <w:t>月 </w:t>
            </w:r>
            <w:r>
              <w:rPr>
                <w:sz w:val="21"/>
              </w:rPr>
              <w:t>30 </w:t>
            </w:r>
            <w:r>
              <w:rPr>
                <w:rFonts w:ascii="宋体" w:eastAsia="宋体" w:hint="eastAsia"/>
                <w:sz w:val="21"/>
              </w:rPr>
              <w:t>日</w:t>
            </w:r>
          </w:p>
        </w:tc>
        <w:tc>
          <w:tcPr>
            <w:tcW w:w="1080" w:type="dxa"/>
          </w:tcPr>
          <w:p>
            <w:pPr>
              <w:pStyle w:val="TableParagraph"/>
              <w:spacing w:before="0"/>
              <w:rPr>
                <w:sz w:val="20"/>
              </w:rPr>
            </w:pPr>
          </w:p>
        </w:tc>
        <w:tc>
          <w:tcPr>
            <w:tcW w:w="1327" w:type="dxa"/>
          </w:tcPr>
          <w:p>
            <w:pPr>
              <w:pStyle w:val="TableParagraph"/>
              <w:spacing w:before="0"/>
              <w:rPr>
                <w:sz w:val="20"/>
              </w:rPr>
            </w:pPr>
          </w:p>
        </w:tc>
        <w:tc>
          <w:tcPr>
            <w:tcW w:w="1275" w:type="dxa"/>
          </w:tcPr>
          <w:p>
            <w:pPr>
              <w:pStyle w:val="TableParagraph"/>
              <w:spacing w:before="0"/>
              <w:rPr>
                <w:sz w:val="20"/>
              </w:rPr>
            </w:pPr>
          </w:p>
        </w:tc>
        <w:tc>
          <w:tcPr>
            <w:tcW w:w="1702" w:type="dxa"/>
          </w:tcPr>
          <w:p>
            <w:pPr>
              <w:pStyle w:val="TableParagraph"/>
              <w:spacing w:before="0"/>
              <w:rPr>
                <w:sz w:val="20"/>
              </w:rPr>
            </w:pPr>
          </w:p>
        </w:tc>
        <w:tc>
          <w:tcPr>
            <w:tcW w:w="1098" w:type="dxa"/>
          </w:tcPr>
          <w:p>
            <w:pPr>
              <w:pStyle w:val="TableParagraph"/>
              <w:spacing w:before="0"/>
              <w:rPr>
                <w:sz w:val="20"/>
              </w:rPr>
            </w:pPr>
          </w:p>
        </w:tc>
        <w:tc>
          <w:tcPr>
            <w:tcW w:w="1081" w:type="dxa"/>
          </w:tcPr>
          <w:p>
            <w:pPr>
              <w:pStyle w:val="TableParagraph"/>
              <w:spacing w:before="0"/>
              <w:rPr>
                <w:sz w:val="20"/>
              </w:rPr>
            </w:pPr>
          </w:p>
        </w:tc>
      </w:tr>
    </w:tbl>
    <w:p>
      <w:pPr>
        <w:pStyle w:val="BodyText"/>
        <w:spacing w:before="99"/>
        <w:ind w:left="1198"/>
      </w:pPr>
      <w:r>
        <w:rPr/>
        <w:t>华夏现金增利货币</w:t>
      </w:r>
      <w:r>
        <w:rPr>
          <w:rFonts w:ascii="Times New Roman" w:eastAsia="Times New Roman"/>
        </w:rPr>
        <w:t>B</w:t>
      </w:r>
      <w:r>
        <w:rPr/>
        <w:t>：</w:t>
      </w:r>
    </w:p>
    <w:p>
      <w:pPr>
        <w:pStyle w:val="BodyText"/>
        <w:spacing w:before="10"/>
        <w:rPr>
          <w:sz w:val="7"/>
        </w:rPr>
      </w:pPr>
    </w:p>
    <w:tbl>
      <w:tblPr>
        <w:tblW w:w="0" w:type="auto"/>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8"/>
        <w:gridCol w:w="1080"/>
        <w:gridCol w:w="1327"/>
        <w:gridCol w:w="1275"/>
        <w:gridCol w:w="1791"/>
        <w:gridCol w:w="1009"/>
        <w:gridCol w:w="1080"/>
      </w:tblGrid>
      <w:tr>
        <w:trPr>
          <w:trHeight w:val="544" w:hRule="atLeast"/>
        </w:trPr>
        <w:tc>
          <w:tcPr>
            <w:tcW w:w="2088" w:type="dxa"/>
          </w:tcPr>
          <w:p>
            <w:pPr>
              <w:pStyle w:val="TableParagraph"/>
              <w:tabs>
                <w:tab w:pos="1252" w:val="left" w:leader="none"/>
              </w:tabs>
              <w:spacing w:before="138"/>
              <w:ind w:left="621"/>
              <w:rPr>
                <w:rFonts w:ascii="宋体" w:eastAsia="宋体" w:hint="eastAsia"/>
                <w:sz w:val="21"/>
              </w:rPr>
            </w:pPr>
            <w:r>
              <w:rPr>
                <w:rFonts w:ascii="宋体" w:eastAsia="宋体" w:hint="eastAsia"/>
                <w:sz w:val="21"/>
              </w:rPr>
              <w:t>阶</w:t>
              <w:tab/>
              <w:t>段</w:t>
            </w:r>
          </w:p>
        </w:tc>
        <w:tc>
          <w:tcPr>
            <w:tcW w:w="1080" w:type="dxa"/>
          </w:tcPr>
          <w:p>
            <w:pPr>
              <w:pStyle w:val="TableParagraph"/>
              <w:spacing w:before="1"/>
              <w:ind w:left="99" w:right="91"/>
              <w:jc w:val="center"/>
              <w:rPr>
                <w:rFonts w:ascii="宋体" w:eastAsia="宋体" w:hint="eastAsia"/>
                <w:sz w:val="21"/>
              </w:rPr>
            </w:pPr>
            <w:r>
              <w:rPr>
                <w:rFonts w:ascii="宋体" w:eastAsia="宋体" w:hint="eastAsia"/>
                <w:sz w:val="21"/>
              </w:rPr>
              <w:t>份额收益</w:t>
            </w:r>
          </w:p>
          <w:p>
            <w:pPr>
              <w:pStyle w:val="TableParagraph"/>
              <w:spacing w:line="252" w:lineRule="exact" w:before="2"/>
              <w:ind w:left="96" w:right="91"/>
              <w:jc w:val="center"/>
              <w:rPr>
                <w:rFonts w:ascii="宋体" w:hAnsi="宋体" w:eastAsia="宋体" w:hint="eastAsia"/>
                <w:sz w:val="21"/>
              </w:rPr>
            </w:pPr>
            <w:r>
              <w:rPr>
                <w:rFonts w:ascii="宋体" w:hAnsi="宋体" w:eastAsia="宋体" w:hint="eastAsia"/>
                <w:sz w:val="21"/>
              </w:rPr>
              <w:t>率①</w:t>
            </w:r>
          </w:p>
        </w:tc>
        <w:tc>
          <w:tcPr>
            <w:tcW w:w="1327" w:type="dxa"/>
          </w:tcPr>
          <w:p>
            <w:pPr>
              <w:pStyle w:val="TableParagraph"/>
              <w:spacing w:before="1"/>
              <w:ind w:left="135"/>
              <w:rPr>
                <w:rFonts w:ascii="宋体" w:eastAsia="宋体" w:hint="eastAsia"/>
                <w:sz w:val="21"/>
              </w:rPr>
            </w:pPr>
            <w:r>
              <w:rPr>
                <w:rFonts w:ascii="宋体" w:eastAsia="宋体" w:hint="eastAsia"/>
                <w:sz w:val="21"/>
              </w:rPr>
              <w:t>份额收益率</w:t>
            </w:r>
          </w:p>
          <w:p>
            <w:pPr>
              <w:pStyle w:val="TableParagraph"/>
              <w:spacing w:line="252" w:lineRule="exact" w:before="2"/>
              <w:ind w:left="240"/>
              <w:rPr>
                <w:rFonts w:ascii="宋体" w:hAnsi="宋体" w:eastAsia="宋体" w:hint="eastAsia"/>
                <w:sz w:val="21"/>
              </w:rPr>
            </w:pPr>
            <w:r>
              <w:rPr>
                <w:rFonts w:ascii="宋体" w:hAnsi="宋体" w:eastAsia="宋体" w:hint="eastAsia"/>
                <w:sz w:val="21"/>
              </w:rPr>
              <w:t>标准差②</w:t>
            </w:r>
          </w:p>
        </w:tc>
        <w:tc>
          <w:tcPr>
            <w:tcW w:w="1275" w:type="dxa"/>
          </w:tcPr>
          <w:p>
            <w:pPr>
              <w:pStyle w:val="TableParagraph"/>
              <w:spacing w:before="1"/>
              <w:ind w:left="111"/>
              <w:rPr>
                <w:rFonts w:ascii="宋体" w:eastAsia="宋体" w:hint="eastAsia"/>
                <w:sz w:val="21"/>
              </w:rPr>
            </w:pPr>
            <w:r>
              <w:rPr>
                <w:rFonts w:ascii="宋体" w:eastAsia="宋体" w:hint="eastAsia"/>
                <w:spacing w:val="-1"/>
                <w:sz w:val="21"/>
              </w:rPr>
              <w:t>业绩比较基</w:t>
            </w:r>
          </w:p>
          <w:p>
            <w:pPr>
              <w:pStyle w:val="TableParagraph"/>
              <w:spacing w:line="252" w:lineRule="exact" w:before="2"/>
              <w:ind w:left="111"/>
              <w:rPr>
                <w:rFonts w:ascii="宋体" w:hAnsi="宋体" w:eastAsia="宋体" w:hint="eastAsia"/>
                <w:sz w:val="21"/>
              </w:rPr>
            </w:pPr>
            <w:r>
              <w:rPr>
                <w:rFonts w:ascii="宋体" w:hAnsi="宋体" w:eastAsia="宋体" w:hint="eastAsia"/>
                <w:spacing w:val="-1"/>
                <w:sz w:val="21"/>
              </w:rPr>
              <w:t>准收益率③</w:t>
            </w:r>
          </w:p>
        </w:tc>
        <w:tc>
          <w:tcPr>
            <w:tcW w:w="1791" w:type="dxa"/>
          </w:tcPr>
          <w:p>
            <w:pPr>
              <w:pStyle w:val="TableParagraph"/>
              <w:spacing w:before="1"/>
              <w:ind w:left="159"/>
              <w:rPr>
                <w:rFonts w:ascii="宋体" w:eastAsia="宋体" w:hint="eastAsia"/>
                <w:sz w:val="21"/>
              </w:rPr>
            </w:pPr>
            <w:r>
              <w:rPr>
                <w:rFonts w:ascii="宋体" w:eastAsia="宋体" w:hint="eastAsia"/>
                <w:sz w:val="21"/>
              </w:rPr>
              <w:t>业绩比较基准收</w:t>
            </w:r>
          </w:p>
          <w:p>
            <w:pPr>
              <w:pStyle w:val="TableParagraph"/>
              <w:spacing w:line="252" w:lineRule="exact" w:before="2"/>
              <w:ind w:left="264"/>
              <w:rPr>
                <w:rFonts w:ascii="宋体" w:hAnsi="宋体" w:eastAsia="宋体" w:hint="eastAsia"/>
                <w:sz w:val="21"/>
              </w:rPr>
            </w:pPr>
            <w:r>
              <w:rPr>
                <w:rFonts w:ascii="宋体" w:hAnsi="宋体" w:eastAsia="宋体" w:hint="eastAsia"/>
                <w:sz w:val="21"/>
              </w:rPr>
              <w:t>益率标准差④</w:t>
            </w:r>
          </w:p>
        </w:tc>
        <w:tc>
          <w:tcPr>
            <w:tcW w:w="1009" w:type="dxa"/>
          </w:tcPr>
          <w:p>
            <w:pPr>
              <w:pStyle w:val="TableParagraph"/>
              <w:spacing w:before="138"/>
              <w:ind w:left="85" w:right="80"/>
              <w:jc w:val="center"/>
              <w:rPr>
                <w:rFonts w:ascii="宋体" w:hAnsi="宋体" w:eastAsia="宋体" w:hint="eastAsia"/>
                <w:sz w:val="21"/>
              </w:rPr>
            </w:pPr>
            <w:r>
              <w:rPr>
                <w:rFonts w:ascii="宋体" w:hAnsi="宋体" w:eastAsia="宋体" w:hint="eastAsia"/>
                <w:sz w:val="21"/>
              </w:rPr>
              <w:t>①－③</w:t>
            </w:r>
          </w:p>
        </w:tc>
        <w:tc>
          <w:tcPr>
            <w:tcW w:w="1080" w:type="dxa"/>
          </w:tcPr>
          <w:p>
            <w:pPr>
              <w:pStyle w:val="TableParagraph"/>
              <w:spacing w:before="138"/>
              <w:ind w:left="220"/>
              <w:rPr>
                <w:rFonts w:ascii="宋体" w:hAnsi="宋体" w:eastAsia="宋体" w:hint="eastAsia"/>
                <w:sz w:val="21"/>
              </w:rPr>
            </w:pPr>
            <w:r>
              <w:rPr>
                <w:rFonts w:ascii="宋体" w:hAnsi="宋体" w:eastAsia="宋体" w:hint="eastAsia"/>
                <w:sz w:val="21"/>
              </w:rPr>
              <w:t>②－④</w:t>
            </w:r>
          </w:p>
        </w:tc>
      </w:tr>
      <w:tr>
        <w:trPr>
          <w:trHeight w:val="544" w:hRule="atLeast"/>
        </w:trPr>
        <w:tc>
          <w:tcPr>
            <w:tcW w:w="2088" w:type="dxa"/>
          </w:tcPr>
          <w:p>
            <w:pPr>
              <w:pStyle w:val="TableParagraph"/>
              <w:spacing w:before="1"/>
              <w:ind w:left="122"/>
              <w:rPr>
                <w:rFonts w:ascii="宋体" w:eastAsia="宋体" w:hint="eastAsia"/>
                <w:sz w:val="21"/>
              </w:rPr>
            </w:pPr>
            <w:r>
              <w:rPr>
                <w:sz w:val="21"/>
              </w:rPr>
              <w:t>2015 </w:t>
            </w:r>
            <w:r>
              <w:rPr>
                <w:rFonts w:ascii="宋体" w:eastAsia="宋体" w:hint="eastAsia"/>
                <w:sz w:val="21"/>
              </w:rPr>
              <w:t>年 </w:t>
            </w:r>
            <w:r>
              <w:rPr>
                <w:sz w:val="21"/>
              </w:rPr>
              <w:t>5 </w:t>
            </w:r>
            <w:r>
              <w:rPr>
                <w:rFonts w:ascii="宋体" w:eastAsia="宋体" w:hint="eastAsia"/>
                <w:sz w:val="21"/>
              </w:rPr>
              <w:t>月 </w:t>
            </w:r>
            <w:r>
              <w:rPr>
                <w:sz w:val="21"/>
              </w:rPr>
              <w:t>26 </w:t>
            </w:r>
            <w:r>
              <w:rPr>
                <w:rFonts w:ascii="宋体" w:eastAsia="宋体" w:hint="eastAsia"/>
                <w:sz w:val="21"/>
              </w:rPr>
              <w:t>日至</w:t>
            </w:r>
          </w:p>
          <w:p>
            <w:pPr>
              <w:pStyle w:val="TableParagraph"/>
              <w:spacing w:line="252" w:lineRule="exact" w:before="2"/>
              <w:ind w:left="175"/>
              <w:rPr>
                <w:rFonts w:ascii="宋体" w:eastAsia="宋体" w:hint="eastAsia"/>
                <w:sz w:val="21"/>
              </w:rPr>
            </w:pPr>
            <w:r>
              <w:rPr>
                <w:sz w:val="21"/>
              </w:rPr>
              <w:t>2015 </w:t>
            </w:r>
            <w:r>
              <w:rPr>
                <w:rFonts w:ascii="宋体" w:eastAsia="宋体" w:hint="eastAsia"/>
                <w:sz w:val="21"/>
              </w:rPr>
              <w:t>年 </w:t>
            </w:r>
            <w:r>
              <w:rPr>
                <w:sz w:val="21"/>
              </w:rPr>
              <w:t>12 </w:t>
            </w:r>
            <w:r>
              <w:rPr>
                <w:rFonts w:ascii="宋体" w:eastAsia="宋体" w:hint="eastAsia"/>
                <w:sz w:val="21"/>
              </w:rPr>
              <w:t>月 </w:t>
            </w:r>
            <w:r>
              <w:rPr>
                <w:sz w:val="21"/>
              </w:rPr>
              <w:t>31 </w:t>
            </w:r>
            <w:r>
              <w:rPr>
                <w:rFonts w:ascii="宋体" w:eastAsia="宋体" w:hint="eastAsia"/>
                <w:sz w:val="21"/>
              </w:rPr>
              <w:t>日</w:t>
            </w:r>
          </w:p>
        </w:tc>
        <w:tc>
          <w:tcPr>
            <w:tcW w:w="1080" w:type="dxa"/>
          </w:tcPr>
          <w:p>
            <w:pPr>
              <w:pStyle w:val="TableParagraph"/>
              <w:spacing w:before="144"/>
              <w:ind w:left="216"/>
              <w:rPr>
                <w:sz w:val="21"/>
              </w:rPr>
            </w:pPr>
            <w:r>
              <w:rPr>
                <w:sz w:val="21"/>
              </w:rPr>
              <w:t>2.0998%</w:t>
            </w:r>
          </w:p>
        </w:tc>
        <w:tc>
          <w:tcPr>
            <w:tcW w:w="1327" w:type="dxa"/>
          </w:tcPr>
          <w:p>
            <w:pPr>
              <w:pStyle w:val="TableParagraph"/>
              <w:spacing w:before="144"/>
              <w:ind w:right="94"/>
              <w:jc w:val="right"/>
              <w:rPr>
                <w:sz w:val="21"/>
              </w:rPr>
            </w:pPr>
            <w:r>
              <w:rPr>
                <w:sz w:val="21"/>
              </w:rPr>
              <w:t>0.0014%</w:t>
            </w:r>
          </w:p>
        </w:tc>
        <w:tc>
          <w:tcPr>
            <w:tcW w:w="1275" w:type="dxa"/>
          </w:tcPr>
          <w:p>
            <w:pPr>
              <w:pStyle w:val="TableParagraph"/>
              <w:spacing w:before="144"/>
              <w:ind w:right="92"/>
              <w:jc w:val="right"/>
              <w:rPr>
                <w:sz w:val="21"/>
              </w:rPr>
            </w:pPr>
            <w:r>
              <w:rPr>
                <w:sz w:val="21"/>
              </w:rPr>
              <w:t>0.8137%</w:t>
            </w:r>
          </w:p>
        </w:tc>
        <w:tc>
          <w:tcPr>
            <w:tcW w:w="1791" w:type="dxa"/>
          </w:tcPr>
          <w:p>
            <w:pPr>
              <w:pStyle w:val="TableParagraph"/>
              <w:spacing w:before="144"/>
              <w:ind w:right="95"/>
              <w:jc w:val="right"/>
              <w:rPr>
                <w:sz w:val="21"/>
              </w:rPr>
            </w:pPr>
            <w:r>
              <w:rPr>
                <w:sz w:val="21"/>
              </w:rPr>
              <w:t>0.0000%</w:t>
            </w:r>
          </w:p>
        </w:tc>
        <w:tc>
          <w:tcPr>
            <w:tcW w:w="1009" w:type="dxa"/>
          </w:tcPr>
          <w:p>
            <w:pPr>
              <w:pStyle w:val="TableParagraph"/>
              <w:spacing w:before="144"/>
              <w:ind w:left="126" w:right="80"/>
              <w:jc w:val="center"/>
              <w:rPr>
                <w:sz w:val="21"/>
              </w:rPr>
            </w:pPr>
            <w:r>
              <w:rPr>
                <w:sz w:val="21"/>
              </w:rPr>
              <w:t>1.2861%</w:t>
            </w:r>
          </w:p>
        </w:tc>
        <w:tc>
          <w:tcPr>
            <w:tcW w:w="1080" w:type="dxa"/>
          </w:tcPr>
          <w:p>
            <w:pPr>
              <w:pStyle w:val="TableParagraph"/>
              <w:spacing w:before="144"/>
              <w:ind w:left="215"/>
              <w:rPr>
                <w:sz w:val="21"/>
              </w:rPr>
            </w:pPr>
            <w:r>
              <w:rPr>
                <w:sz w:val="21"/>
              </w:rPr>
              <w:t>0.0014%</w:t>
            </w:r>
          </w:p>
        </w:tc>
      </w:tr>
      <w:tr>
        <w:trPr>
          <w:trHeight w:val="544" w:hRule="atLeast"/>
        </w:trPr>
        <w:tc>
          <w:tcPr>
            <w:tcW w:w="2088" w:type="dxa"/>
          </w:tcPr>
          <w:p>
            <w:pPr>
              <w:pStyle w:val="TableParagraph"/>
              <w:spacing w:before="1"/>
              <w:ind w:left="175"/>
              <w:rPr>
                <w:rFonts w:ascii="宋体" w:eastAsia="宋体" w:hint="eastAsia"/>
                <w:sz w:val="21"/>
              </w:rPr>
            </w:pPr>
            <w:r>
              <w:rPr>
                <w:sz w:val="21"/>
              </w:rPr>
              <w:t>2016</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2016</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2.8240%</w:t>
            </w:r>
          </w:p>
        </w:tc>
        <w:tc>
          <w:tcPr>
            <w:tcW w:w="1327" w:type="dxa"/>
          </w:tcPr>
          <w:p>
            <w:pPr>
              <w:pStyle w:val="TableParagraph"/>
              <w:spacing w:before="144"/>
              <w:ind w:right="94"/>
              <w:jc w:val="right"/>
              <w:rPr>
                <w:sz w:val="21"/>
              </w:rPr>
            </w:pPr>
            <w:r>
              <w:rPr>
                <w:sz w:val="21"/>
              </w:rPr>
              <w:t>0.0016%</w:t>
            </w:r>
          </w:p>
        </w:tc>
        <w:tc>
          <w:tcPr>
            <w:tcW w:w="1275" w:type="dxa"/>
          </w:tcPr>
          <w:p>
            <w:pPr>
              <w:pStyle w:val="TableParagraph"/>
              <w:spacing w:before="144"/>
              <w:ind w:right="92"/>
              <w:jc w:val="right"/>
              <w:rPr>
                <w:sz w:val="21"/>
              </w:rPr>
            </w:pPr>
            <w:r>
              <w:rPr>
                <w:sz w:val="21"/>
              </w:rPr>
              <w:t>1.3500%</w:t>
            </w:r>
          </w:p>
        </w:tc>
        <w:tc>
          <w:tcPr>
            <w:tcW w:w="1791" w:type="dxa"/>
          </w:tcPr>
          <w:p>
            <w:pPr>
              <w:pStyle w:val="TableParagraph"/>
              <w:spacing w:before="144"/>
              <w:ind w:right="95"/>
              <w:jc w:val="right"/>
              <w:rPr>
                <w:sz w:val="21"/>
              </w:rPr>
            </w:pPr>
            <w:r>
              <w:rPr>
                <w:sz w:val="21"/>
              </w:rPr>
              <w:t>0.0000%</w:t>
            </w:r>
          </w:p>
        </w:tc>
        <w:tc>
          <w:tcPr>
            <w:tcW w:w="1009" w:type="dxa"/>
          </w:tcPr>
          <w:p>
            <w:pPr>
              <w:pStyle w:val="TableParagraph"/>
              <w:spacing w:before="144"/>
              <w:ind w:left="126" w:right="80"/>
              <w:jc w:val="center"/>
              <w:rPr>
                <w:sz w:val="21"/>
              </w:rPr>
            </w:pPr>
            <w:r>
              <w:rPr>
                <w:sz w:val="21"/>
              </w:rPr>
              <w:t>1.4740%</w:t>
            </w:r>
          </w:p>
        </w:tc>
        <w:tc>
          <w:tcPr>
            <w:tcW w:w="1080" w:type="dxa"/>
          </w:tcPr>
          <w:p>
            <w:pPr>
              <w:pStyle w:val="TableParagraph"/>
              <w:spacing w:before="144"/>
              <w:ind w:left="215"/>
              <w:rPr>
                <w:sz w:val="21"/>
              </w:rPr>
            </w:pPr>
            <w:r>
              <w:rPr>
                <w:sz w:val="21"/>
              </w:rPr>
              <w:t>0.0016%</w:t>
            </w:r>
          </w:p>
        </w:tc>
      </w:tr>
      <w:tr>
        <w:trPr>
          <w:trHeight w:val="544" w:hRule="atLeast"/>
        </w:trPr>
        <w:tc>
          <w:tcPr>
            <w:tcW w:w="2088" w:type="dxa"/>
          </w:tcPr>
          <w:p>
            <w:pPr>
              <w:pStyle w:val="TableParagraph"/>
              <w:spacing w:before="1"/>
              <w:ind w:left="175"/>
              <w:rPr>
                <w:rFonts w:ascii="宋体" w:eastAsia="宋体" w:hint="eastAsia"/>
                <w:sz w:val="21"/>
              </w:rPr>
            </w:pPr>
            <w:r>
              <w:rPr>
                <w:sz w:val="21"/>
              </w:rPr>
              <w:t>2017</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2017</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216"/>
              <w:rPr>
                <w:sz w:val="21"/>
              </w:rPr>
            </w:pPr>
            <w:r>
              <w:rPr>
                <w:sz w:val="21"/>
              </w:rPr>
              <w:t>3.6474%</w:t>
            </w:r>
          </w:p>
        </w:tc>
        <w:tc>
          <w:tcPr>
            <w:tcW w:w="1327" w:type="dxa"/>
          </w:tcPr>
          <w:p>
            <w:pPr>
              <w:pStyle w:val="TableParagraph"/>
              <w:spacing w:before="144"/>
              <w:ind w:right="94"/>
              <w:jc w:val="right"/>
              <w:rPr>
                <w:sz w:val="21"/>
              </w:rPr>
            </w:pPr>
            <w:r>
              <w:rPr>
                <w:sz w:val="21"/>
              </w:rPr>
              <w:t>0.0030%</w:t>
            </w:r>
          </w:p>
        </w:tc>
        <w:tc>
          <w:tcPr>
            <w:tcW w:w="1275" w:type="dxa"/>
          </w:tcPr>
          <w:p>
            <w:pPr>
              <w:pStyle w:val="TableParagraph"/>
              <w:spacing w:before="144"/>
              <w:ind w:right="92"/>
              <w:jc w:val="right"/>
              <w:rPr>
                <w:sz w:val="21"/>
              </w:rPr>
            </w:pPr>
            <w:r>
              <w:rPr>
                <w:sz w:val="21"/>
              </w:rPr>
              <w:t>1.3500%</w:t>
            </w:r>
          </w:p>
        </w:tc>
        <w:tc>
          <w:tcPr>
            <w:tcW w:w="1791" w:type="dxa"/>
          </w:tcPr>
          <w:p>
            <w:pPr>
              <w:pStyle w:val="TableParagraph"/>
              <w:spacing w:before="144"/>
              <w:ind w:right="95"/>
              <w:jc w:val="right"/>
              <w:rPr>
                <w:sz w:val="21"/>
              </w:rPr>
            </w:pPr>
            <w:r>
              <w:rPr>
                <w:sz w:val="21"/>
              </w:rPr>
              <w:t>0.0000%</w:t>
            </w:r>
          </w:p>
        </w:tc>
        <w:tc>
          <w:tcPr>
            <w:tcW w:w="1009" w:type="dxa"/>
          </w:tcPr>
          <w:p>
            <w:pPr>
              <w:pStyle w:val="TableParagraph"/>
              <w:spacing w:before="144"/>
              <w:ind w:left="126" w:right="80"/>
              <w:jc w:val="center"/>
              <w:rPr>
                <w:sz w:val="21"/>
              </w:rPr>
            </w:pPr>
            <w:r>
              <w:rPr>
                <w:sz w:val="21"/>
              </w:rPr>
              <w:t>2.2974%</w:t>
            </w:r>
          </w:p>
        </w:tc>
        <w:tc>
          <w:tcPr>
            <w:tcW w:w="1080" w:type="dxa"/>
          </w:tcPr>
          <w:p>
            <w:pPr>
              <w:pStyle w:val="TableParagraph"/>
              <w:spacing w:before="144"/>
              <w:ind w:left="215"/>
              <w:rPr>
                <w:sz w:val="21"/>
              </w:rPr>
            </w:pPr>
            <w:r>
              <w:rPr>
                <w:sz w:val="21"/>
              </w:rPr>
              <w:t>0.0030%</w:t>
            </w:r>
          </w:p>
        </w:tc>
      </w:tr>
      <w:tr>
        <w:trPr>
          <w:trHeight w:val="545" w:hRule="atLeast"/>
        </w:trPr>
        <w:tc>
          <w:tcPr>
            <w:tcW w:w="2088" w:type="dxa"/>
          </w:tcPr>
          <w:p>
            <w:pPr>
              <w:pStyle w:val="TableParagraph"/>
              <w:spacing w:before="1"/>
              <w:ind w:left="175"/>
              <w:rPr>
                <w:rFonts w:ascii="宋体" w:eastAsia="宋体" w:hint="eastAsia"/>
                <w:sz w:val="21"/>
              </w:rPr>
            </w:pPr>
            <w:r>
              <w:rPr>
                <w:sz w:val="21"/>
              </w:rPr>
              <w:t>2018</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2018</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4"/>
              <w:ind w:left="160"/>
              <w:rPr>
                <w:sz w:val="21"/>
              </w:rPr>
            </w:pPr>
            <w:r>
              <w:rPr>
                <w:sz w:val="21"/>
              </w:rPr>
              <w:t>4.0921%</w:t>
            </w:r>
          </w:p>
        </w:tc>
        <w:tc>
          <w:tcPr>
            <w:tcW w:w="1327" w:type="dxa"/>
          </w:tcPr>
          <w:p>
            <w:pPr>
              <w:pStyle w:val="TableParagraph"/>
              <w:spacing w:before="144"/>
              <w:ind w:right="94"/>
              <w:jc w:val="right"/>
              <w:rPr>
                <w:sz w:val="21"/>
              </w:rPr>
            </w:pPr>
            <w:r>
              <w:rPr>
                <w:sz w:val="21"/>
              </w:rPr>
              <w:t>0.0028%</w:t>
            </w:r>
          </w:p>
        </w:tc>
        <w:tc>
          <w:tcPr>
            <w:tcW w:w="1275" w:type="dxa"/>
          </w:tcPr>
          <w:p>
            <w:pPr>
              <w:pStyle w:val="TableParagraph"/>
              <w:spacing w:before="144"/>
              <w:ind w:right="92"/>
              <w:jc w:val="right"/>
              <w:rPr>
                <w:sz w:val="21"/>
              </w:rPr>
            </w:pPr>
            <w:r>
              <w:rPr>
                <w:sz w:val="21"/>
              </w:rPr>
              <w:t>1.3500%</w:t>
            </w:r>
          </w:p>
        </w:tc>
        <w:tc>
          <w:tcPr>
            <w:tcW w:w="1791" w:type="dxa"/>
          </w:tcPr>
          <w:p>
            <w:pPr>
              <w:pStyle w:val="TableParagraph"/>
              <w:spacing w:before="144"/>
              <w:ind w:right="95"/>
              <w:jc w:val="right"/>
              <w:rPr>
                <w:sz w:val="21"/>
              </w:rPr>
            </w:pPr>
            <w:r>
              <w:rPr>
                <w:sz w:val="21"/>
              </w:rPr>
              <w:t>0.0000%</w:t>
            </w:r>
          </w:p>
        </w:tc>
        <w:tc>
          <w:tcPr>
            <w:tcW w:w="1009" w:type="dxa"/>
          </w:tcPr>
          <w:p>
            <w:pPr>
              <w:pStyle w:val="TableParagraph"/>
              <w:spacing w:before="144"/>
              <w:ind w:left="126" w:right="80"/>
              <w:jc w:val="center"/>
              <w:rPr>
                <w:sz w:val="21"/>
              </w:rPr>
            </w:pPr>
            <w:r>
              <w:rPr>
                <w:sz w:val="21"/>
              </w:rPr>
              <w:t>2.7421%</w:t>
            </w:r>
          </w:p>
        </w:tc>
        <w:tc>
          <w:tcPr>
            <w:tcW w:w="1080" w:type="dxa"/>
          </w:tcPr>
          <w:p>
            <w:pPr>
              <w:pStyle w:val="TableParagraph"/>
              <w:spacing w:before="144"/>
              <w:ind w:left="215"/>
              <w:rPr>
                <w:sz w:val="21"/>
              </w:rPr>
            </w:pPr>
            <w:r>
              <w:rPr>
                <w:sz w:val="21"/>
              </w:rPr>
              <w:t>0.0028%</w:t>
            </w:r>
          </w:p>
        </w:tc>
      </w:tr>
      <w:tr>
        <w:trPr>
          <w:trHeight w:val="544" w:hRule="atLeast"/>
        </w:trPr>
        <w:tc>
          <w:tcPr>
            <w:tcW w:w="2088" w:type="dxa"/>
          </w:tcPr>
          <w:p>
            <w:pPr>
              <w:pStyle w:val="TableParagraph"/>
              <w:spacing w:before="1"/>
              <w:ind w:left="175"/>
              <w:rPr>
                <w:rFonts w:ascii="宋体" w:eastAsia="宋体" w:hint="eastAsia"/>
                <w:sz w:val="21"/>
              </w:rPr>
            </w:pPr>
            <w:r>
              <w:rPr>
                <w:sz w:val="21"/>
              </w:rPr>
              <w:t>2019</w:t>
            </w:r>
            <w:r>
              <w:rPr>
                <w:spacing w:val="-2"/>
                <w:sz w:val="21"/>
              </w:rPr>
              <w:t> </w:t>
            </w:r>
            <w:r>
              <w:rPr>
                <w:rFonts w:ascii="宋体" w:eastAsia="宋体" w:hint="eastAsia"/>
                <w:spacing w:val="-26"/>
                <w:sz w:val="21"/>
              </w:rPr>
              <w:t>年 </w:t>
            </w:r>
            <w:r>
              <w:rPr>
                <w:sz w:val="21"/>
              </w:rPr>
              <w:t>1</w:t>
            </w:r>
            <w:r>
              <w:rPr>
                <w:spacing w:val="-1"/>
                <w:sz w:val="21"/>
              </w:rPr>
              <w:t> </w:t>
            </w:r>
            <w:r>
              <w:rPr>
                <w:rFonts w:ascii="宋体" w:eastAsia="宋体" w:hint="eastAsia"/>
                <w:spacing w:val="-26"/>
                <w:sz w:val="21"/>
              </w:rPr>
              <w:t>月 </w:t>
            </w:r>
            <w:r>
              <w:rPr>
                <w:sz w:val="21"/>
              </w:rPr>
              <w:t>1</w:t>
            </w:r>
            <w:r>
              <w:rPr>
                <w:spacing w:val="-1"/>
                <w:sz w:val="21"/>
              </w:rPr>
              <w:t> </w:t>
            </w:r>
            <w:r>
              <w:rPr>
                <w:rFonts w:ascii="宋体" w:eastAsia="宋体" w:hint="eastAsia"/>
                <w:sz w:val="21"/>
              </w:rPr>
              <w:t>日至</w:t>
            </w:r>
          </w:p>
          <w:p>
            <w:pPr>
              <w:pStyle w:val="TableParagraph"/>
              <w:spacing w:line="250" w:lineRule="exact" w:before="4"/>
              <w:ind w:left="175"/>
              <w:rPr>
                <w:rFonts w:ascii="宋体" w:eastAsia="宋体" w:hint="eastAsia"/>
                <w:sz w:val="21"/>
              </w:rPr>
            </w:pPr>
            <w:r>
              <w:rPr>
                <w:sz w:val="21"/>
              </w:rPr>
              <w:t>2019</w:t>
            </w:r>
            <w:r>
              <w:rPr>
                <w:spacing w:val="-2"/>
                <w:sz w:val="21"/>
              </w:rPr>
              <w:t> </w:t>
            </w:r>
            <w:r>
              <w:rPr>
                <w:rFonts w:ascii="宋体" w:eastAsia="宋体" w:hint="eastAsia"/>
                <w:spacing w:val="-26"/>
                <w:sz w:val="21"/>
              </w:rPr>
              <w:t>年 </w:t>
            </w:r>
            <w:r>
              <w:rPr>
                <w:sz w:val="21"/>
              </w:rPr>
              <w:t>12</w:t>
            </w:r>
            <w:r>
              <w:rPr>
                <w:spacing w:val="-2"/>
                <w:sz w:val="21"/>
              </w:rPr>
              <w:t> </w:t>
            </w:r>
            <w:r>
              <w:rPr>
                <w:rFonts w:ascii="宋体" w:eastAsia="宋体" w:hint="eastAsia"/>
                <w:spacing w:val="-26"/>
                <w:sz w:val="21"/>
              </w:rPr>
              <w:t>月 </w:t>
            </w:r>
            <w:r>
              <w:rPr>
                <w:sz w:val="21"/>
              </w:rPr>
              <w:t>31</w:t>
            </w:r>
            <w:r>
              <w:rPr>
                <w:spacing w:val="1"/>
                <w:sz w:val="21"/>
              </w:rPr>
              <w:t> </w:t>
            </w:r>
            <w:r>
              <w:rPr>
                <w:rFonts w:ascii="宋体" w:eastAsia="宋体" w:hint="eastAsia"/>
                <w:sz w:val="21"/>
              </w:rPr>
              <w:t>日</w:t>
            </w:r>
          </w:p>
        </w:tc>
        <w:tc>
          <w:tcPr>
            <w:tcW w:w="1080" w:type="dxa"/>
          </w:tcPr>
          <w:p>
            <w:pPr>
              <w:pStyle w:val="TableParagraph"/>
              <w:spacing w:before="147"/>
              <w:ind w:left="160"/>
              <w:rPr>
                <w:sz w:val="21"/>
              </w:rPr>
            </w:pPr>
            <w:r>
              <w:rPr>
                <w:sz w:val="21"/>
              </w:rPr>
              <w:t>2.8524%</w:t>
            </w:r>
          </w:p>
        </w:tc>
        <w:tc>
          <w:tcPr>
            <w:tcW w:w="1327" w:type="dxa"/>
          </w:tcPr>
          <w:p>
            <w:pPr>
              <w:pStyle w:val="TableParagraph"/>
              <w:spacing w:before="147"/>
              <w:ind w:right="94"/>
              <w:jc w:val="right"/>
              <w:rPr>
                <w:sz w:val="21"/>
              </w:rPr>
            </w:pPr>
            <w:r>
              <w:rPr>
                <w:sz w:val="21"/>
              </w:rPr>
              <w:t>0.0019%</w:t>
            </w:r>
          </w:p>
        </w:tc>
        <w:tc>
          <w:tcPr>
            <w:tcW w:w="1275" w:type="dxa"/>
          </w:tcPr>
          <w:p>
            <w:pPr>
              <w:pStyle w:val="TableParagraph"/>
              <w:spacing w:before="147"/>
              <w:ind w:right="92"/>
              <w:jc w:val="right"/>
              <w:rPr>
                <w:sz w:val="21"/>
              </w:rPr>
            </w:pPr>
            <w:r>
              <w:rPr>
                <w:sz w:val="21"/>
              </w:rPr>
              <w:t>1.3500%</w:t>
            </w:r>
          </w:p>
        </w:tc>
        <w:tc>
          <w:tcPr>
            <w:tcW w:w="1791" w:type="dxa"/>
          </w:tcPr>
          <w:p>
            <w:pPr>
              <w:pStyle w:val="TableParagraph"/>
              <w:spacing w:before="147"/>
              <w:ind w:right="95"/>
              <w:jc w:val="right"/>
              <w:rPr>
                <w:sz w:val="21"/>
              </w:rPr>
            </w:pPr>
            <w:r>
              <w:rPr>
                <w:sz w:val="21"/>
              </w:rPr>
              <w:t>0.0000%</w:t>
            </w:r>
          </w:p>
        </w:tc>
        <w:tc>
          <w:tcPr>
            <w:tcW w:w="1009" w:type="dxa"/>
          </w:tcPr>
          <w:p>
            <w:pPr>
              <w:pStyle w:val="TableParagraph"/>
              <w:spacing w:before="147"/>
              <w:ind w:left="126" w:right="80"/>
              <w:jc w:val="center"/>
              <w:rPr>
                <w:sz w:val="21"/>
              </w:rPr>
            </w:pPr>
            <w:r>
              <w:rPr>
                <w:sz w:val="21"/>
              </w:rPr>
              <w:t>1.5024%</w:t>
            </w:r>
          </w:p>
        </w:tc>
        <w:tc>
          <w:tcPr>
            <w:tcW w:w="1080" w:type="dxa"/>
          </w:tcPr>
          <w:p>
            <w:pPr>
              <w:pStyle w:val="TableParagraph"/>
              <w:spacing w:before="147"/>
              <w:ind w:left="215"/>
              <w:rPr>
                <w:sz w:val="21"/>
              </w:rPr>
            </w:pPr>
            <w:r>
              <w:rPr>
                <w:sz w:val="21"/>
              </w:rPr>
              <w:t>0.0019%</w:t>
            </w:r>
          </w:p>
        </w:tc>
      </w:tr>
      <w:tr>
        <w:trPr>
          <w:trHeight w:val="546" w:hRule="atLeast"/>
        </w:trPr>
        <w:tc>
          <w:tcPr>
            <w:tcW w:w="2088" w:type="dxa"/>
          </w:tcPr>
          <w:p>
            <w:pPr>
              <w:pStyle w:val="TableParagraph"/>
              <w:spacing w:before="3"/>
              <w:ind w:left="175"/>
              <w:rPr>
                <w:rFonts w:ascii="宋体" w:eastAsia="宋体" w:hint="eastAsia"/>
                <w:sz w:val="21"/>
              </w:rPr>
            </w:pPr>
            <w:r>
              <w:rPr>
                <w:sz w:val="21"/>
              </w:rPr>
              <w:t>2020 </w:t>
            </w:r>
            <w:r>
              <w:rPr>
                <w:rFonts w:ascii="宋体" w:eastAsia="宋体" w:hint="eastAsia"/>
                <w:sz w:val="21"/>
              </w:rPr>
              <w:t>年 </w:t>
            </w:r>
            <w:r>
              <w:rPr>
                <w:sz w:val="21"/>
              </w:rPr>
              <w:t>1 </w:t>
            </w:r>
            <w:r>
              <w:rPr>
                <w:rFonts w:ascii="宋体" w:eastAsia="宋体" w:hint="eastAsia"/>
                <w:sz w:val="21"/>
              </w:rPr>
              <w:t>月 </w:t>
            </w:r>
            <w:r>
              <w:rPr>
                <w:sz w:val="21"/>
              </w:rPr>
              <w:t>1 </w:t>
            </w:r>
            <w:r>
              <w:rPr>
                <w:rFonts w:ascii="宋体" w:eastAsia="宋体" w:hint="eastAsia"/>
                <w:sz w:val="21"/>
              </w:rPr>
              <w:t>日至</w:t>
            </w:r>
          </w:p>
          <w:p>
            <w:pPr>
              <w:pStyle w:val="TableParagraph"/>
              <w:spacing w:line="252" w:lineRule="exact" w:before="2"/>
              <w:ind w:left="228"/>
              <w:rPr>
                <w:rFonts w:ascii="宋体" w:eastAsia="宋体" w:hint="eastAsia"/>
                <w:sz w:val="21"/>
              </w:rPr>
            </w:pPr>
            <w:r>
              <w:rPr>
                <w:sz w:val="21"/>
              </w:rPr>
              <w:t>2020 </w:t>
            </w:r>
            <w:r>
              <w:rPr>
                <w:rFonts w:ascii="宋体" w:eastAsia="宋体" w:hint="eastAsia"/>
                <w:sz w:val="21"/>
              </w:rPr>
              <w:t>年 </w:t>
            </w:r>
            <w:r>
              <w:rPr>
                <w:sz w:val="21"/>
              </w:rPr>
              <w:t>6 </w:t>
            </w:r>
            <w:r>
              <w:rPr>
                <w:rFonts w:ascii="宋体" w:eastAsia="宋体" w:hint="eastAsia"/>
                <w:sz w:val="21"/>
              </w:rPr>
              <w:t>月 </w:t>
            </w:r>
            <w:r>
              <w:rPr>
                <w:sz w:val="21"/>
              </w:rPr>
              <w:t>30 </w:t>
            </w:r>
            <w:r>
              <w:rPr>
                <w:rFonts w:ascii="宋体" w:eastAsia="宋体" w:hint="eastAsia"/>
                <w:sz w:val="21"/>
              </w:rPr>
              <w:t>日</w:t>
            </w:r>
          </w:p>
        </w:tc>
        <w:tc>
          <w:tcPr>
            <w:tcW w:w="1080" w:type="dxa"/>
          </w:tcPr>
          <w:p>
            <w:pPr>
              <w:pStyle w:val="TableParagraph"/>
              <w:spacing w:before="147"/>
              <w:ind w:left="160"/>
              <w:rPr>
                <w:sz w:val="21"/>
              </w:rPr>
            </w:pPr>
            <w:r>
              <w:rPr>
                <w:sz w:val="21"/>
              </w:rPr>
              <w:t>1.1638%</w:t>
            </w:r>
          </w:p>
        </w:tc>
        <w:tc>
          <w:tcPr>
            <w:tcW w:w="1327" w:type="dxa"/>
          </w:tcPr>
          <w:p>
            <w:pPr>
              <w:pStyle w:val="TableParagraph"/>
              <w:spacing w:before="147"/>
              <w:ind w:right="94"/>
              <w:jc w:val="right"/>
              <w:rPr>
                <w:sz w:val="21"/>
              </w:rPr>
            </w:pPr>
            <w:r>
              <w:rPr>
                <w:sz w:val="21"/>
              </w:rPr>
              <w:t>0.0033%</w:t>
            </w:r>
          </w:p>
        </w:tc>
        <w:tc>
          <w:tcPr>
            <w:tcW w:w="1275" w:type="dxa"/>
          </w:tcPr>
          <w:p>
            <w:pPr>
              <w:pStyle w:val="TableParagraph"/>
              <w:spacing w:before="147"/>
              <w:ind w:right="92"/>
              <w:jc w:val="right"/>
              <w:rPr>
                <w:sz w:val="21"/>
              </w:rPr>
            </w:pPr>
            <w:r>
              <w:rPr>
                <w:sz w:val="21"/>
              </w:rPr>
              <w:t>0.6713%</w:t>
            </w:r>
          </w:p>
        </w:tc>
        <w:tc>
          <w:tcPr>
            <w:tcW w:w="1791" w:type="dxa"/>
          </w:tcPr>
          <w:p>
            <w:pPr>
              <w:pStyle w:val="TableParagraph"/>
              <w:spacing w:before="147"/>
              <w:ind w:right="95"/>
              <w:jc w:val="right"/>
              <w:rPr>
                <w:sz w:val="21"/>
              </w:rPr>
            </w:pPr>
            <w:r>
              <w:rPr>
                <w:sz w:val="21"/>
              </w:rPr>
              <w:t>0.0000%</w:t>
            </w:r>
          </w:p>
        </w:tc>
        <w:tc>
          <w:tcPr>
            <w:tcW w:w="1009" w:type="dxa"/>
          </w:tcPr>
          <w:p>
            <w:pPr>
              <w:pStyle w:val="TableParagraph"/>
              <w:spacing w:before="147"/>
              <w:ind w:left="126" w:right="80"/>
              <w:jc w:val="center"/>
              <w:rPr>
                <w:sz w:val="21"/>
              </w:rPr>
            </w:pPr>
            <w:r>
              <w:rPr>
                <w:sz w:val="21"/>
              </w:rPr>
              <w:t>0.4925%</w:t>
            </w:r>
          </w:p>
        </w:tc>
        <w:tc>
          <w:tcPr>
            <w:tcW w:w="1080" w:type="dxa"/>
          </w:tcPr>
          <w:p>
            <w:pPr>
              <w:pStyle w:val="TableParagraph"/>
              <w:spacing w:before="147"/>
              <w:ind w:left="215"/>
              <w:rPr>
                <w:sz w:val="21"/>
              </w:rPr>
            </w:pPr>
            <w:r>
              <w:rPr>
                <w:sz w:val="21"/>
              </w:rPr>
              <w:t>0.0033%</w:t>
            </w:r>
          </w:p>
        </w:tc>
      </w:tr>
    </w:tbl>
    <w:p>
      <w:pPr>
        <w:pStyle w:val="BodyText"/>
        <w:spacing w:before="2"/>
        <w:rPr>
          <w:sz w:val="28"/>
        </w:rPr>
      </w:pPr>
    </w:p>
    <w:p>
      <w:pPr>
        <w:pStyle w:val="Heading1"/>
      </w:pPr>
      <w:bookmarkStart w:name="_bookmark12" w:id="13"/>
      <w:bookmarkEnd w:id="13"/>
      <w:r>
        <w:rPr>
          <w:b w:val="0"/>
        </w:rPr>
      </w:r>
      <w:r>
        <w:rPr/>
        <w:t>十三、基金的财产</w:t>
      </w:r>
    </w:p>
    <w:p>
      <w:pPr>
        <w:pStyle w:val="BodyText"/>
        <w:rPr>
          <w:b/>
          <w:sz w:val="20"/>
        </w:rPr>
      </w:pPr>
    </w:p>
    <w:p>
      <w:pPr>
        <w:pStyle w:val="BodyText"/>
        <w:spacing w:before="8"/>
        <w:rPr>
          <w:b/>
          <w:sz w:val="15"/>
        </w:rPr>
      </w:pPr>
    </w:p>
    <w:p>
      <w:pPr>
        <w:pStyle w:val="BodyText"/>
        <w:ind w:left="1198"/>
      </w:pPr>
      <w:r>
        <w:rPr/>
        <w:t>（一）基金财产的构成</w:t>
      </w:r>
    </w:p>
    <w:p>
      <w:pPr>
        <w:pStyle w:val="BodyText"/>
        <w:spacing w:before="6"/>
        <w:rPr>
          <w:sz w:val="15"/>
        </w:rPr>
      </w:pPr>
    </w:p>
    <w:p>
      <w:pPr>
        <w:pStyle w:val="BodyText"/>
        <w:spacing w:line="417" w:lineRule="auto"/>
        <w:ind w:left="778" w:right="890" w:firstLine="419"/>
      </w:pPr>
      <w:r>
        <w:rPr>
          <w:spacing w:val="-7"/>
        </w:rPr>
        <w:t>本基金基金资产总值包括基金所拥有的各类有价证券、银行存款本息及其他投资等的价</w:t>
      </w:r>
      <w:r>
        <w:rPr>
          <w:spacing w:val="-5"/>
        </w:rPr>
        <w:t>值总和。</w:t>
      </w:r>
    </w:p>
    <w:p>
      <w:pPr>
        <w:pStyle w:val="BodyText"/>
        <w:spacing w:before="1"/>
        <w:ind w:left="1198"/>
      </w:pPr>
      <w:r>
        <w:rPr/>
        <w:t>本基金基金资产净值是指基金资产总值减去负债后的价值。</w:t>
      </w:r>
    </w:p>
    <w:p>
      <w:pPr>
        <w:pStyle w:val="BodyText"/>
        <w:spacing w:before="6"/>
        <w:rPr>
          <w:sz w:val="15"/>
        </w:rPr>
      </w:pPr>
    </w:p>
    <w:p>
      <w:pPr>
        <w:pStyle w:val="BodyText"/>
        <w:ind w:left="1198"/>
      </w:pPr>
      <w:r>
        <w:rPr/>
        <w:t>（二）基金财产的账户</w:t>
      </w:r>
    </w:p>
    <w:p>
      <w:pPr>
        <w:pStyle w:val="BodyText"/>
        <w:spacing w:before="7"/>
        <w:rPr>
          <w:sz w:val="15"/>
        </w:rPr>
      </w:pPr>
    </w:p>
    <w:p>
      <w:pPr>
        <w:pStyle w:val="BodyText"/>
        <w:spacing w:line="417" w:lineRule="auto"/>
        <w:ind w:left="778" w:right="890" w:firstLine="419"/>
      </w:pPr>
      <w:r>
        <w:rPr>
          <w:spacing w:val="-7"/>
        </w:rPr>
        <w:t>本基金需按有关规定开立基金专用银行存款账户以及证券账户，与基金管理人和基金托</w:t>
      </w:r>
      <w:r>
        <w:rPr>
          <w:spacing w:val="-5"/>
        </w:rPr>
        <w:t>管人自有的财产账户以及其他基金财产账户独立。</w:t>
      </w:r>
    </w:p>
    <w:p>
      <w:pPr>
        <w:pStyle w:val="BodyText"/>
        <w:spacing w:line="269" w:lineRule="exact"/>
        <w:ind w:left="1198"/>
      </w:pPr>
      <w:r>
        <w:rPr/>
        <w:t>（三</w:t>
      </w:r>
      <w:r>
        <w:rPr>
          <w:spacing w:val="-3"/>
        </w:rPr>
        <w:t>）基金财产的保管及处分</w:t>
      </w:r>
    </w:p>
    <w:p>
      <w:pPr>
        <w:pStyle w:val="BodyText"/>
        <w:spacing w:before="7"/>
        <w:rPr>
          <w:sz w:val="15"/>
        </w:rPr>
      </w:pPr>
    </w:p>
    <w:p>
      <w:pPr>
        <w:pStyle w:val="BodyText"/>
        <w:spacing w:line="417" w:lineRule="auto"/>
        <w:ind w:left="778" w:right="889" w:firstLine="419"/>
      </w:pPr>
      <w:r>
        <w:rPr>
          <w:rFonts w:ascii="Times New Roman" w:eastAsia="Times New Roman"/>
        </w:rPr>
        <w:t>1</w:t>
      </w:r>
      <w:r>
        <w:rPr>
          <w:spacing w:val="-3"/>
        </w:rPr>
        <w:t>、本基金财产独立于基金管理人、基金托管人的固有财产。基金管理人、基金托管人不得将基金财产归入其固有财产。</w:t>
      </w:r>
    </w:p>
    <w:p>
      <w:pPr>
        <w:pStyle w:val="BodyText"/>
        <w:spacing w:line="417" w:lineRule="auto"/>
        <w:ind w:left="778" w:right="889" w:firstLine="419"/>
      </w:pPr>
      <w:r>
        <w:rPr>
          <w:rFonts w:ascii="Times New Roman" w:eastAsia="Times New Roman"/>
        </w:rPr>
        <w:t>2</w:t>
      </w:r>
      <w:r>
        <w:rPr/>
        <w:t>、基金管理人、基金托管人因基金财产的管理、运用或者其他情形而取得的财产和收益，归入本基金财产。</w:t>
      </w:r>
    </w:p>
    <w:p>
      <w:pPr>
        <w:pStyle w:val="BodyText"/>
        <w:spacing w:line="417" w:lineRule="auto"/>
        <w:ind w:left="778" w:right="889" w:firstLine="419"/>
      </w:pPr>
      <w:r>
        <w:rPr>
          <w:rFonts w:ascii="Times New Roman" w:eastAsia="Times New Roman"/>
        </w:rPr>
        <w:t>3</w:t>
      </w:r>
      <w:r>
        <w:rPr/>
        <w:t>、基金管理人、基金托管人因依法解散、被依法撤销或者被依法宣告破产等原因进行清算的，本基金财产不属于其清算财产。</w:t>
      </w:r>
    </w:p>
    <w:p>
      <w:pPr>
        <w:pStyle w:val="BodyText"/>
        <w:spacing w:line="269" w:lineRule="exact"/>
        <w:ind w:left="1198"/>
      </w:pPr>
      <w:r>
        <w:rPr>
          <w:rFonts w:ascii="Times New Roman" w:eastAsia="Times New Roman"/>
        </w:rPr>
        <w:t>4</w:t>
      </w:r>
      <w:r>
        <w:rPr/>
        <w:t>、非因本基金财产本身承担的债务，不得对本基金财产强制执行。</w:t>
      </w:r>
    </w:p>
    <w:p>
      <w:pPr>
        <w:spacing w:after="0" w:line="269" w:lineRule="exact"/>
        <w:sectPr>
          <w:pgSz w:w="11910" w:h="16840"/>
          <w:pgMar w:header="877" w:footer="995" w:top="1280" w:bottom="1180" w:left="1020" w:right="900"/>
        </w:sectPr>
      </w:pPr>
    </w:p>
    <w:p>
      <w:pPr>
        <w:pStyle w:val="BodyText"/>
        <w:spacing w:before="7"/>
        <w:rPr>
          <w:sz w:val="12"/>
        </w:rPr>
      </w:pPr>
    </w:p>
    <w:p>
      <w:pPr>
        <w:pStyle w:val="Heading1"/>
        <w:spacing w:before="71"/>
      </w:pPr>
      <w:bookmarkStart w:name="_bookmark13" w:id="14"/>
      <w:bookmarkEnd w:id="14"/>
      <w:r>
        <w:rPr>
          <w:b w:val="0"/>
        </w:rPr>
      </w:r>
      <w:r>
        <w:rPr/>
        <w:t>十四、基金资产计价</w:t>
      </w:r>
    </w:p>
    <w:p>
      <w:pPr>
        <w:pStyle w:val="BodyText"/>
        <w:rPr>
          <w:b/>
          <w:sz w:val="20"/>
        </w:rPr>
      </w:pPr>
    </w:p>
    <w:p>
      <w:pPr>
        <w:pStyle w:val="BodyText"/>
        <w:spacing w:before="10"/>
        <w:rPr>
          <w:b/>
          <w:sz w:val="15"/>
        </w:rPr>
      </w:pPr>
    </w:p>
    <w:p>
      <w:pPr>
        <w:pStyle w:val="BodyText"/>
        <w:ind w:left="1198"/>
      </w:pPr>
      <w:r>
        <w:rPr/>
        <w:t>（一）计价目的</w:t>
      </w:r>
    </w:p>
    <w:p>
      <w:pPr>
        <w:pStyle w:val="BodyText"/>
        <w:spacing w:before="7"/>
        <w:rPr>
          <w:sz w:val="15"/>
        </w:rPr>
      </w:pPr>
    </w:p>
    <w:p>
      <w:pPr>
        <w:pStyle w:val="BodyText"/>
        <w:ind w:left="1198"/>
      </w:pPr>
      <w:r>
        <w:rPr/>
        <w:t>基金资产的计价目的是客观、准确地反映基金资产的价值。</w:t>
      </w:r>
    </w:p>
    <w:p>
      <w:pPr>
        <w:pStyle w:val="BodyText"/>
        <w:spacing w:before="6"/>
        <w:rPr>
          <w:sz w:val="15"/>
        </w:rPr>
      </w:pPr>
    </w:p>
    <w:p>
      <w:pPr>
        <w:pStyle w:val="BodyText"/>
        <w:ind w:left="1198"/>
      </w:pPr>
      <w:r>
        <w:rPr/>
        <w:t>（二）计价日</w:t>
      </w:r>
    </w:p>
    <w:p>
      <w:pPr>
        <w:pStyle w:val="BodyText"/>
        <w:spacing w:before="7"/>
        <w:rPr>
          <w:sz w:val="15"/>
        </w:rPr>
      </w:pPr>
    </w:p>
    <w:p>
      <w:pPr>
        <w:pStyle w:val="BodyText"/>
        <w:spacing w:line="417" w:lineRule="auto"/>
        <w:ind w:left="778" w:right="889" w:firstLine="419"/>
      </w:pPr>
      <w:r>
        <w:rPr>
          <w:spacing w:val="-7"/>
        </w:rPr>
        <w:t>本基金的计价日为相关证券交易市场的正常交易日，定价时点为上述证券交易市场的收</w:t>
      </w:r>
      <w:r>
        <w:rPr>
          <w:spacing w:val="-5"/>
        </w:rPr>
        <w:t>市时间，主要以上海证券交易所、深圳证券交易所为准。</w:t>
      </w:r>
    </w:p>
    <w:p>
      <w:pPr>
        <w:pStyle w:val="BodyText"/>
        <w:spacing w:line="417" w:lineRule="auto"/>
        <w:ind w:left="778" w:right="889" w:firstLine="419"/>
      </w:pPr>
      <w:r>
        <w:rPr>
          <w:spacing w:val="-8"/>
        </w:rPr>
        <w:t>基金管理人可在有关法律法规允许的条件下，参照其他相关证券交易市场的交易日和交</w:t>
      </w:r>
      <w:r>
        <w:rPr>
          <w:spacing w:val="-5"/>
        </w:rPr>
        <w:t>易时间，确定变更本基金的计价日或定价时点并公告。</w:t>
      </w:r>
    </w:p>
    <w:p>
      <w:pPr>
        <w:pStyle w:val="BodyText"/>
        <w:ind w:left="1198"/>
      </w:pPr>
      <w:r>
        <w:rPr/>
        <w:t>（三）计价对象</w:t>
      </w:r>
    </w:p>
    <w:p>
      <w:pPr>
        <w:pStyle w:val="BodyText"/>
        <w:spacing w:before="7"/>
        <w:rPr>
          <w:sz w:val="15"/>
        </w:rPr>
      </w:pPr>
    </w:p>
    <w:p>
      <w:pPr>
        <w:pStyle w:val="BodyText"/>
        <w:ind w:left="1198"/>
      </w:pPr>
      <w:r>
        <w:rPr/>
        <w:t>本基金依法持有的银行存款、各类有价证券等。</w:t>
      </w:r>
    </w:p>
    <w:p>
      <w:pPr>
        <w:pStyle w:val="BodyText"/>
        <w:spacing w:before="6"/>
        <w:rPr>
          <w:sz w:val="15"/>
        </w:rPr>
      </w:pPr>
    </w:p>
    <w:p>
      <w:pPr>
        <w:pStyle w:val="BodyText"/>
        <w:spacing w:before="1"/>
        <w:ind w:left="1198"/>
      </w:pPr>
      <w:r>
        <w:rPr/>
        <w:t>（四）计价方法</w:t>
      </w:r>
    </w:p>
    <w:p>
      <w:pPr>
        <w:pStyle w:val="BodyText"/>
        <w:spacing w:before="6"/>
        <w:rPr>
          <w:sz w:val="15"/>
        </w:rPr>
      </w:pPr>
    </w:p>
    <w:p>
      <w:pPr>
        <w:pStyle w:val="BodyText"/>
        <w:spacing w:line="417" w:lineRule="auto"/>
        <w:ind w:left="778" w:right="889" w:firstLine="419"/>
      </w:pPr>
      <w:r>
        <w:rPr>
          <w:spacing w:val="-7"/>
        </w:rPr>
        <w:t>在有关法律法规允许交易所短期债券可以采用摊余成本法前，本基金暂不投资于交易所</w:t>
      </w:r>
      <w:r>
        <w:rPr>
          <w:spacing w:val="-4"/>
        </w:rPr>
        <w:t>短期债券。</w:t>
      </w:r>
    </w:p>
    <w:p>
      <w:pPr>
        <w:pStyle w:val="BodyText"/>
        <w:spacing w:line="269" w:lineRule="exact"/>
        <w:ind w:left="1198"/>
      </w:pPr>
      <w:r>
        <w:rPr/>
        <w:t>本基金目前投资工具的计价方法如下：</w:t>
      </w:r>
    </w:p>
    <w:p>
      <w:pPr>
        <w:pStyle w:val="BodyText"/>
        <w:spacing w:before="7"/>
        <w:rPr>
          <w:sz w:val="15"/>
        </w:rPr>
      </w:pPr>
    </w:p>
    <w:p>
      <w:pPr>
        <w:pStyle w:val="BodyText"/>
        <w:spacing w:line="417" w:lineRule="auto" w:before="1"/>
        <w:ind w:left="778" w:right="889" w:firstLine="419"/>
        <w:jc w:val="both"/>
      </w:pPr>
      <w:r>
        <w:rPr>
          <w:rFonts w:ascii="Times New Roman" w:eastAsia="Times New Roman"/>
        </w:rPr>
        <w:t>1</w:t>
      </w:r>
      <w:r>
        <w:rPr/>
        <w:t>、债券</w:t>
      </w:r>
      <w:r>
        <w:rPr>
          <w:spacing w:val="-3"/>
        </w:rPr>
        <w:t>（</w:t>
      </w:r>
      <w:r>
        <w:rPr>
          <w:spacing w:val="-1"/>
        </w:rPr>
        <w:t>包括票据</w:t>
      </w:r>
      <w:r>
        <w:rPr/>
        <w:t>）</w:t>
      </w:r>
      <w:r>
        <w:rPr>
          <w:spacing w:val="-3"/>
        </w:rPr>
        <w:t>采用摊余成本法进行估值，即估值对象以买入成本列示，按票面</w:t>
      </w:r>
      <w:r>
        <w:rPr>
          <w:spacing w:val="-8"/>
        </w:rPr>
        <w:t>利率或商定利率并考虑其买入时的溢价与折价，在其剩余期限内按实际利率法进行摊销，每</w:t>
      </w:r>
      <w:r>
        <w:rPr>
          <w:spacing w:val="-5"/>
        </w:rPr>
        <w:t>日计提收益。本基金不采用市场利率和上市交易的债券和票据的市价计算基金资产净值。</w:t>
      </w:r>
    </w:p>
    <w:p>
      <w:pPr>
        <w:pStyle w:val="BodyText"/>
        <w:spacing w:line="269" w:lineRule="exact"/>
        <w:ind w:left="1198"/>
      </w:pPr>
      <w:r>
        <w:rPr>
          <w:rFonts w:ascii="Times New Roman" w:eastAsia="Times New Roman"/>
        </w:rPr>
        <w:t>2</w:t>
      </w:r>
      <w:r>
        <w:rPr/>
        <w:t>、债券回购按成本法估值。</w:t>
      </w:r>
    </w:p>
    <w:p>
      <w:pPr>
        <w:pStyle w:val="BodyText"/>
        <w:spacing w:before="6"/>
        <w:rPr>
          <w:sz w:val="15"/>
        </w:rPr>
      </w:pPr>
    </w:p>
    <w:p>
      <w:pPr>
        <w:pStyle w:val="BodyText"/>
        <w:ind w:left="1198"/>
      </w:pPr>
      <w:r>
        <w:rPr>
          <w:rFonts w:ascii="Times New Roman" w:eastAsia="Times New Roman"/>
        </w:rPr>
        <w:t>3</w:t>
      </w:r>
      <w:r>
        <w:rPr/>
        <w:t>、基金持有的银行存款以本金列示，按商定利率逐日计提利息。</w:t>
      </w:r>
    </w:p>
    <w:p>
      <w:pPr>
        <w:pStyle w:val="BodyText"/>
        <w:spacing w:before="7"/>
        <w:rPr>
          <w:sz w:val="15"/>
        </w:rPr>
      </w:pPr>
    </w:p>
    <w:p>
      <w:pPr>
        <w:pStyle w:val="BodyText"/>
        <w:spacing w:line="417" w:lineRule="auto"/>
        <w:ind w:left="778" w:right="783" w:firstLine="419"/>
      </w:pPr>
      <w:r>
        <w:rPr>
          <w:rFonts w:ascii="Times New Roman" w:hAnsi="Times New Roman" w:eastAsia="Times New Roman"/>
        </w:rPr>
        <w:t>4</w:t>
      </w:r>
      <w:r>
        <w:rPr>
          <w:spacing w:val="-3"/>
        </w:rPr>
        <w:t>、为了避免采用“摊余成本法”计算的基金资产净值与按市场利率和交易市价计算的</w:t>
      </w:r>
      <w:r>
        <w:rPr>
          <w:spacing w:val="-8"/>
        </w:rPr>
        <w:t>基金资产净值发生重大偏离，从而对基金份额持有人的利益产生稀释和不公平的结果，基金</w:t>
      </w:r>
      <w:r>
        <w:rPr>
          <w:spacing w:val="-23"/>
        </w:rPr>
        <w:t>管理人于每一估值日，采用估值技术，对基金持有的估值对象进行重新评估，即“影子定价”。当影子定价确定的基金资产净值与摊余成本法计算的基金资产净值的负偏离度绝对值达到</w:t>
      </w:r>
      <w:r>
        <w:rPr>
          <w:rFonts w:ascii="Times New Roman" w:hAnsi="Times New Roman" w:eastAsia="Times New Roman"/>
          <w:spacing w:val="-23"/>
        </w:rPr>
        <w:t>0.25%</w:t>
      </w:r>
      <w:r>
        <w:rPr>
          <w:spacing w:val="-21"/>
        </w:rPr>
        <w:t>时，基金管理人应当在</w:t>
      </w:r>
      <w:r>
        <w:rPr>
          <w:rFonts w:ascii="Times New Roman" w:hAnsi="Times New Roman" w:eastAsia="Times New Roman"/>
        </w:rPr>
        <w:t>5</w:t>
      </w:r>
      <w:r>
        <w:rPr>
          <w:rFonts w:ascii="Times New Roman" w:hAnsi="Times New Roman" w:eastAsia="Times New Roman"/>
          <w:spacing w:val="17"/>
        </w:rPr>
        <w:t>  </w:t>
      </w:r>
      <w:r>
        <w:rPr/>
        <w:t>个交易日内将负偏离度绝对值调整到</w:t>
      </w:r>
      <w:r>
        <w:rPr>
          <w:rFonts w:ascii="Times New Roman" w:hAnsi="Times New Roman" w:eastAsia="Times New Roman"/>
        </w:rPr>
        <w:t>0.25%</w:t>
      </w:r>
      <w:r>
        <w:rPr/>
        <w:t>以内。当正偏离度绝对值达到</w:t>
      </w:r>
      <w:r>
        <w:rPr>
          <w:rFonts w:ascii="Times New Roman" w:hAnsi="Times New Roman" w:eastAsia="Times New Roman"/>
        </w:rPr>
        <w:t>0.5%</w:t>
      </w:r>
      <w:r>
        <w:rPr/>
        <w:t>时，基金管理人应当暂停接受申购并在</w:t>
      </w:r>
      <w:r>
        <w:rPr>
          <w:rFonts w:ascii="Times New Roman" w:hAnsi="Times New Roman" w:eastAsia="Times New Roman"/>
        </w:rPr>
        <w:t>5</w:t>
      </w:r>
      <w:r>
        <w:rPr>
          <w:rFonts w:ascii="Times New Roman" w:hAnsi="Times New Roman" w:eastAsia="Times New Roman"/>
          <w:spacing w:val="21"/>
        </w:rPr>
        <w:t>  </w:t>
      </w:r>
      <w:r>
        <w:rPr/>
        <w:t>个交易日内将正偏离度绝对值调整到</w:t>
      </w:r>
      <w:r>
        <w:rPr>
          <w:rFonts w:ascii="Times New Roman" w:hAnsi="Times New Roman" w:eastAsia="Times New Roman"/>
        </w:rPr>
        <w:t>0.5%</w:t>
      </w:r>
      <w:r>
        <w:rPr/>
        <w:t>以内。当负偏离度绝对值达到</w:t>
      </w:r>
      <w:r>
        <w:rPr>
          <w:rFonts w:ascii="Times New Roman" w:hAnsi="Times New Roman" w:eastAsia="Times New Roman"/>
        </w:rPr>
        <w:t>0.5%</w:t>
      </w:r>
      <w:r>
        <w:rPr/>
        <w:t>时，基金管理人应当使用风险准备金或者固有资金弥补潜在资产损失，将负偏离度绝对值控制在</w:t>
      </w:r>
      <w:r>
        <w:rPr>
          <w:rFonts w:ascii="Times New Roman" w:hAnsi="Times New Roman" w:eastAsia="Times New Roman"/>
        </w:rPr>
        <w:t>0.5%</w:t>
      </w:r>
      <w:r>
        <w:rPr/>
        <w:t>以内。当负偏离度绝对值连续两 个交易日超过</w:t>
      </w:r>
      <w:r>
        <w:rPr>
          <w:rFonts w:ascii="Times New Roman" w:hAnsi="Times New Roman" w:eastAsia="Times New Roman"/>
        </w:rPr>
        <w:t>0.5%</w:t>
      </w:r>
      <w:r>
        <w:rPr/>
        <w:t>时，基金管理人应当采用公允价值估值方法对持有投资组合的账面价值 </w:t>
      </w:r>
      <w:r>
        <w:rPr>
          <w:spacing w:val="-3"/>
        </w:rPr>
        <w:t>进行调整，或者采取暂停接受所有赎回申请并终止基金合同进行财产清算等措施。</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778" w:right="889" w:firstLine="419"/>
      </w:pPr>
      <w:r>
        <w:rPr>
          <w:rFonts w:ascii="Times New Roman" w:eastAsia="Times New Roman"/>
        </w:rPr>
        <w:t>5</w:t>
      </w:r>
      <w:r>
        <w:rPr/>
        <w:t>、如有确凿证据表明按上述规定不能客观反映基金资产公允价值的，基金管理人可根据具体情况，在与基金托管人商议后，按最能反映基金资产公允价值的方法估值。</w:t>
      </w:r>
    </w:p>
    <w:p>
      <w:pPr>
        <w:pStyle w:val="BodyText"/>
        <w:spacing w:line="269" w:lineRule="exact"/>
        <w:ind w:left="1198"/>
      </w:pPr>
      <w:r>
        <w:rPr>
          <w:rFonts w:ascii="Times New Roman" w:eastAsia="Times New Roman"/>
        </w:rPr>
        <w:t>6</w:t>
      </w:r>
      <w:r>
        <w:rPr/>
        <w:t>、国家有最新规定的，按其规定进行估值。</w:t>
      </w:r>
    </w:p>
    <w:p>
      <w:pPr>
        <w:pStyle w:val="BodyText"/>
        <w:spacing w:before="7"/>
        <w:rPr>
          <w:sz w:val="15"/>
        </w:rPr>
      </w:pPr>
    </w:p>
    <w:p>
      <w:pPr>
        <w:pStyle w:val="BodyText"/>
        <w:ind w:left="1198"/>
      </w:pPr>
      <w:r>
        <w:rPr/>
        <w:t>（五）计价程序</w:t>
      </w:r>
    </w:p>
    <w:p>
      <w:pPr>
        <w:pStyle w:val="BodyText"/>
        <w:spacing w:before="7"/>
        <w:rPr>
          <w:sz w:val="15"/>
        </w:rPr>
      </w:pPr>
    </w:p>
    <w:p>
      <w:pPr>
        <w:pStyle w:val="BodyText"/>
        <w:spacing w:line="417" w:lineRule="auto"/>
        <w:ind w:left="778" w:right="889" w:firstLine="419"/>
        <w:jc w:val="both"/>
      </w:pPr>
      <w:r>
        <w:rPr>
          <w:spacing w:val="-8"/>
        </w:rPr>
        <w:t>基金的日常计价由基金管理人进行。基金管理人完成计价后，将计价结果加盖业务公章</w:t>
      </w:r>
      <w:r>
        <w:rPr>
          <w:spacing w:val="-11"/>
        </w:rPr>
        <w:t>以书面形式报送基金托管人，基金托管人按照基金合同规定的计价方法、时间与程序进行复</w:t>
      </w:r>
      <w:r>
        <w:rPr>
          <w:spacing w:val="-10"/>
        </w:rPr>
        <w:t>核；基金托管人复核无误后加盖业务公章返回给基金管理人；月末、年中和年末计价复核与</w:t>
      </w:r>
      <w:r>
        <w:rPr>
          <w:spacing w:val="-5"/>
        </w:rPr>
        <w:t>基金会计账目的核对同时进行。</w:t>
      </w:r>
    </w:p>
    <w:p>
      <w:pPr>
        <w:pStyle w:val="BodyText"/>
        <w:ind w:left="1198"/>
      </w:pPr>
      <w:r>
        <w:rPr/>
        <w:t>（六）暂停计价的情形</w:t>
      </w:r>
    </w:p>
    <w:p>
      <w:pPr>
        <w:pStyle w:val="BodyText"/>
        <w:spacing w:before="6"/>
        <w:rPr>
          <w:sz w:val="15"/>
        </w:rPr>
      </w:pPr>
    </w:p>
    <w:p>
      <w:pPr>
        <w:pStyle w:val="BodyText"/>
        <w:ind w:left="1198"/>
      </w:pPr>
      <w:r>
        <w:rPr>
          <w:rFonts w:ascii="Times New Roman" w:eastAsia="Times New Roman"/>
        </w:rPr>
        <w:t>1</w:t>
      </w:r>
      <w:r>
        <w:rPr/>
        <w:t>、基金投资涉及的证券交易市场遇法定节假日或因其他原因停市时。</w:t>
      </w:r>
    </w:p>
    <w:p>
      <w:pPr>
        <w:pStyle w:val="BodyText"/>
        <w:spacing w:before="7"/>
        <w:rPr>
          <w:sz w:val="15"/>
        </w:rPr>
      </w:pPr>
    </w:p>
    <w:p>
      <w:pPr>
        <w:pStyle w:val="BodyText"/>
        <w:ind w:left="1198"/>
      </w:pPr>
      <w:r>
        <w:rPr>
          <w:rFonts w:ascii="Times New Roman" w:eastAsia="Times New Roman"/>
        </w:rPr>
        <w:t>2</w:t>
      </w:r>
      <w:r>
        <w:rPr/>
        <w:t>、因不可抗力或其他情形致使基金管理人、基金托管人无法准确评估基金资产价值时。</w:t>
      </w:r>
    </w:p>
    <w:p>
      <w:pPr>
        <w:pStyle w:val="BodyText"/>
        <w:spacing w:before="7"/>
        <w:rPr>
          <w:sz w:val="15"/>
        </w:rPr>
      </w:pPr>
    </w:p>
    <w:p>
      <w:pPr>
        <w:pStyle w:val="BodyText"/>
        <w:spacing w:line="417" w:lineRule="auto"/>
        <w:ind w:left="778" w:right="889" w:firstLine="419"/>
        <w:jc w:val="both"/>
      </w:pPr>
      <w:r>
        <w:rPr>
          <w:rFonts w:ascii="Times New Roman" w:eastAsia="Times New Roman"/>
        </w:rPr>
        <w:t>3</w:t>
      </w:r>
      <w:r>
        <w:rPr/>
        <w:t>、当前一估值日基金资产净值</w:t>
      </w:r>
      <w:r>
        <w:rPr>
          <w:rFonts w:ascii="Times New Roman" w:eastAsia="Times New Roman"/>
        </w:rPr>
        <w:t>50%</w:t>
      </w:r>
      <w:r>
        <w:rPr>
          <w:spacing w:val="-1"/>
        </w:rPr>
        <w:t>以上的资产出现无可参考的活跃市场价格且采用估</w:t>
      </w:r>
      <w:r>
        <w:rPr>
          <w:spacing w:val="-8"/>
        </w:rPr>
        <w:t>值技术仍导致公允价值存在重大不确定性时，经与基金托管人协商确认后，基金管理人应当</w:t>
      </w:r>
      <w:r>
        <w:rPr>
          <w:spacing w:val="-5"/>
        </w:rPr>
        <w:t>暂停基金估值。</w:t>
      </w:r>
    </w:p>
    <w:p>
      <w:pPr>
        <w:pStyle w:val="BodyText"/>
        <w:ind w:left="1198"/>
      </w:pPr>
      <w:r>
        <w:rPr>
          <w:rFonts w:ascii="Times New Roman" w:eastAsia="Times New Roman"/>
        </w:rPr>
        <w:t>4</w:t>
      </w:r>
      <w:r>
        <w:rPr/>
        <w:t>、中国证监会认定的其他情形。</w:t>
      </w:r>
    </w:p>
    <w:p>
      <w:pPr>
        <w:pStyle w:val="BodyText"/>
        <w:spacing w:before="6"/>
        <w:rPr>
          <w:sz w:val="15"/>
        </w:rPr>
      </w:pPr>
    </w:p>
    <w:p>
      <w:pPr>
        <w:pStyle w:val="BodyText"/>
        <w:spacing w:before="1"/>
        <w:ind w:left="1198"/>
      </w:pPr>
      <w:r>
        <w:rPr/>
        <w:t>（七）计价错误的处理</w:t>
      </w:r>
    </w:p>
    <w:p>
      <w:pPr>
        <w:pStyle w:val="BodyText"/>
        <w:spacing w:before="6"/>
        <w:rPr>
          <w:sz w:val="15"/>
        </w:rPr>
      </w:pPr>
    </w:p>
    <w:p>
      <w:pPr>
        <w:pStyle w:val="BodyText"/>
        <w:spacing w:line="417" w:lineRule="auto"/>
        <w:ind w:left="778" w:right="889" w:firstLine="419"/>
        <w:jc w:val="both"/>
      </w:pPr>
      <w:r>
        <w:rPr>
          <w:spacing w:val="-8"/>
        </w:rPr>
        <w:t>基金管理人和基金托管人应采取必要、适当、合理的措施确保基金资产计价的准确性和</w:t>
      </w:r>
      <w:r>
        <w:rPr>
          <w:spacing w:val="-12"/>
        </w:rPr>
        <w:t>及时性。当基金资产计价出现错误时，基金管理人应当立即予以纠正，并采取合理的措施防</w:t>
      </w:r>
      <w:r>
        <w:rPr>
          <w:spacing w:val="-6"/>
        </w:rPr>
        <w:t>止损失进一步扩大；当计价错误达到或超过基金份额净值的</w:t>
      </w:r>
      <w:r>
        <w:rPr>
          <w:rFonts w:ascii="Times New Roman" w:eastAsia="Times New Roman"/>
        </w:rPr>
        <w:t>0.25%</w:t>
      </w:r>
      <w:r>
        <w:rPr>
          <w:spacing w:val="-3"/>
        </w:rPr>
        <w:t>时，基金管理人应当报中国证监会备案；当计价错误达到或超过基金份额净值的</w:t>
      </w:r>
      <w:r>
        <w:rPr>
          <w:rFonts w:ascii="Times New Roman" w:eastAsia="Times New Roman"/>
        </w:rPr>
        <w:t>0.5%</w:t>
      </w:r>
      <w:r>
        <w:rPr>
          <w:spacing w:val="-1"/>
        </w:rPr>
        <w:t>时，基金管理人应当公告，并</w:t>
      </w:r>
      <w:r>
        <w:rPr>
          <w:spacing w:val="-3"/>
        </w:rPr>
        <w:t>同时报中国证监会备案。</w:t>
      </w:r>
    </w:p>
    <w:p>
      <w:pPr>
        <w:pStyle w:val="BodyText"/>
        <w:spacing w:line="269" w:lineRule="exact"/>
        <w:ind w:left="1198"/>
      </w:pPr>
      <w:r>
        <w:rPr>
          <w:rFonts w:ascii="Times New Roman" w:eastAsia="Times New Roman"/>
        </w:rPr>
        <w:t>1</w:t>
      </w:r>
      <w:r>
        <w:rPr/>
        <w:t>、差错类型</w:t>
      </w:r>
    </w:p>
    <w:p>
      <w:pPr>
        <w:pStyle w:val="BodyText"/>
        <w:spacing w:before="7"/>
        <w:rPr>
          <w:sz w:val="15"/>
        </w:rPr>
      </w:pPr>
    </w:p>
    <w:p>
      <w:pPr>
        <w:pStyle w:val="BodyText"/>
        <w:spacing w:line="417" w:lineRule="auto"/>
        <w:ind w:left="778" w:right="888" w:firstLine="419"/>
        <w:jc w:val="both"/>
      </w:pPr>
      <w:r>
        <w:rPr>
          <w:spacing w:val="-9"/>
        </w:rPr>
        <w:t>本基金运作过程中，如果由于基金管理人、基金托管人、注册登记机构、销售代理人或</w:t>
      </w:r>
      <w:r>
        <w:rPr>
          <w:spacing w:val="-11"/>
        </w:rPr>
        <w:t>投资者自身的过错造成差错，导致其他当事人遭受损失的，过错的责任人应当对由于该差错</w:t>
      </w:r>
      <w:r>
        <w:rPr>
          <w:spacing w:val="-6"/>
        </w:rPr>
        <w:t>遭受损失的当事人</w:t>
      </w:r>
      <w:r>
        <w:rPr/>
        <w:t>（</w:t>
      </w:r>
      <w:r>
        <w:rPr>
          <w:spacing w:val="-2"/>
        </w:rPr>
        <w:t>“受损方”</w:t>
      </w:r>
      <w:r>
        <w:rPr/>
        <w:t>）</w:t>
      </w:r>
      <w:r>
        <w:rPr>
          <w:spacing w:val="-3"/>
        </w:rPr>
        <w:t>按下述“差错处理原则”给予赔偿并承担相关责任。</w:t>
      </w:r>
    </w:p>
    <w:p>
      <w:pPr>
        <w:pStyle w:val="BodyText"/>
        <w:spacing w:line="417" w:lineRule="auto"/>
        <w:ind w:left="778" w:right="891" w:firstLine="419"/>
      </w:pPr>
      <w:r>
        <w:rPr>
          <w:spacing w:val="-8"/>
        </w:rPr>
        <w:t>上述差错的主要类型包括但不限于：资料申报差错、数据传输差错、数据计算差错、系</w:t>
      </w:r>
      <w:r>
        <w:rPr>
          <w:spacing w:val="-5"/>
        </w:rPr>
        <w:t>统故障差错、下达指令差错等。</w:t>
      </w:r>
    </w:p>
    <w:p>
      <w:pPr>
        <w:pStyle w:val="BodyText"/>
        <w:spacing w:line="417" w:lineRule="auto"/>
        <w:ind w:left="778" w:right="785" w:firstLine="419"/>
      </w:pPr>
      <w:r>
        <w:rPr>
          <w:spacing w:val="-12"/>
        </w:rPr>
        <w:t>对于因技术原因引起的差错，若系同行业现有技术水平无法预见、无法避免、无法抗拒， 则属不可抗力。因不可抗力原因出现差错的当事人不对其他当事人承担赔偿责任，但因该差</w:t>
      </w:r>
      <w:r>
        <w:rPr>
          <w:spacing w:val="-6"/>
        </w:rPr>
        <w:t>错取得不当得利的当事人仍负有返还不当得利的义务。</w:t>
      </w:r>
    </w:p>
    <w:p>
      <w:pPr>
        <w:spacing w:after="0" w:line="417" w:lineRule="auto"/>
        <w:sectPr>
          <w:pgSz w:w="11910" w:h="16840"/>
          <w:pgMar w:header="877" w:footer="995" w:top="1280" w:bottom="1180" w:left="1020" w:right="900"/>
        </w:sectPr>
      </w:pPr>
    </w:p>
    <w:p>
      <w:pPr>
        <w:pStyle w:val="BodyText"/>
        <w:rPr>
          <w:sz w:val="12"/>
        </w:rPr>
      </w:pPr>
    </w:p>
    <w:p>
      <w:pPr>
        <w:pStyle w:val="BodyText"/>
        <w:spacing w:before="78"/>
        <w:ind w:left="1198"/>
      </w:pPr>
      <w:r>
        <w:rPr>
          <w:rFonts w:ascii="Times New Roman" w:eastAsia="Times New Roman"/>
        </w:rPr>
        <w:t>2</w:t>
      </w:r>
      <w:r>
        <w:rPr/>
        <w:t>、差错处理原则</w:t>
      </w:r>
    </w:p>
    <w:p>
      <w:pPr>
        <w:pStyle w:val="BodyText"/>
        <w:spacing w:before="7"/>
        <w:rPr>
          <w:sz w:val="15"/>
        </w:rPr>
      </w:pPr>
    </w:p>
    <w:p>
      <w:pPr>
        <w:pStyle w:val="BodyText"/>
        <w:spacing w:line="417" w:lineRule="auto"/>
        <w:ind w:left="778" w:right="889" w:firstLine="419"/>
        <w:jc w:val="both"/>
      </w:pPr>
      <w:r>
        <w:rPr>
          <w:spacing w:val="-7"/>
        </w:rPr>
        <w:t>因基金资产计价错误给投资者造成损失的应先由基金管理人承担，基金管理人对不应由</w:t>
      </w:r>
      <w:r>
        <w:rPr>
          <w:spacing w:val="-11"/>
        </w:rPr>
        <w:t>其承担的责任，有权根据过错原则，向过错人追偿，基金合同的当事人应当按照以下约定处理。</w:t>
      </w:r>
    </w:p>
    <w:p>
      <w:pPr>
        <w:pStyle w:val="ListParagraph"/>
        <w:numPr>
          <w:ilvl w:val="3"/>
          <w:numId w:val="24"/>
        </w:numPr>
        <w:tabs>
          <w:tab w:pos="1727" w:val="left" w:leader="none"/>
        </w:tabs>
        <w:spacing w:line="417" w:lineRule="auto" w:before="0" w:after="0"/>
        <w:ind w:left="778" w:right="889" w:firstLine="419"/>
        <w:jc w:val="both"/>
        <w:rPr>
          <w:sz w:val="21"/>
        </w:rPr>
      </w:pPr>
      <w:r>
        <w:rPr>
          <w:spacing w:val="-3"/>
          <w:sz w:val="21"/>
        </w:rPr>
        <w:t>差错已发生，但尚未给当事人造成损失时，差错责任方应及时协调各方，及时进</w:t>
      </w:r>
      <w:r>
        <w:rPr>
          <w:spacing w:val="-11"/>
          <w:sz w:val="21"/>
        </w:rPr>
        <w:t>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该有协助义务的当事人应当承担相应赔偿责</w:t>
      </w:r>
      <w:r>
        <w:rPr>
          <w:spacing w:val="-6"/>
          <w:sz w:val="21"/>
        </w:rPr>
        <w:t>任。差错责任方应对更正的情况向有关当事人进行确认，确保差错已得到更正。</w:t>
      </w:r>
    </w:p>
    <w:p>
      <w:pPr>
        <w:pStyle w:val="ListParagraph"/>
        <w:numPr>
          <w:ilvl w:val="3"/>
          <w:numId w:val="24"/>
        </w:numPr>
        <w:tabs>
          <w:tab w:pos="1727" w:val="left" w:leader="none"/>
        </w:tabs>
        <w:spacing w:line="417" w:lineRule="auto" w:before="0" w:after="0"/>
        <w:ind w:left="778" w:right="889" w:firstLine="419"/>
        <w:jc w:val="left"/>
        <w:rPr>
          <w:sz w:val="21"/>
        </w:rPr>
      </w:pPr>
      <w:r>
        <w:rPr>
          <w:spacing w:val="-3"/>
          <w:sz w:val="21"/>
        </w:rPr>
        <w:t>差错的责任方对可能导致有关当事人的直接损失负责，不对间接损失负责，并且仅对差错的有关直接当事人负责，不对第三方负责。</w:t>
      </w:r>
    </w:p>
    <w:p>
      <w:pPr>
        <w:pStyle w:val="ListParagraph"/>
        <w:numPr>
          <w:ilvl w:val="3"/>
          <w:numId w:val="24"/>
        </w:numPr>
        <w:tabs>
          <w:tab w:pos="1727" w:val="left" w:leader="none"/>
        </w:tabs>
        <w:spacing w:line="417" w:lineRule="auto" w:before="0" w:after="0"/>
        <w:ind w:left="778" w:right="889" w:firstLine="419"/>
        <w:jc w:val="both"/>
        <w:rPr>
          <w:sz w:val="21"/>
        </w:rPr>
      </w:pPr>
      <w:r>
        <w:rPr>
          <w:spacing w:val="-3"/>
          <w:sz w:val="21"/>
        </w:rPr>
        <w:t>因差错而获得不当得利的当事人负有及时返还不当得利的义务。但差错责任方仍</w:t>
      </w:r>
      <w:r>
        <w:rPr>
          <w:spacing w:val="-12"/>
          <w:sz w:val="21"/>
        </w:rPr>
        <w:t>应对差错负责，如果由于获得不当得利的当事人不返还或不全部返还不当得利造成其他当事</w:t>
      </w:r>
      <w:r>
        <w:rPr>
          <w:spacing w:val="-7"/>
          <w:w w:val="100"/>
          <w:sz w:val="21"/>
        </w:rPr>
        <w:t>人的利益损失</w:t>
      </w:r>
      <w:r>
        <w:rPr>
          <w:spacing w:val="-1"/>
          <w:w w:val="100"/>
          <w:sz w:val="21"/>
        </w:rPr>
        <w:t>（</w:t>
      </w:r>
      <w:r>
        <w:rPr>
          <w:spacing w:val="-2"/>
          <w:w w:val="100"/>
          <w:sz w:val="21"/>
        </w:rPr>
        <w:t>“受损方”</w:t>
      </w:r>
      <w:r>
        <w:rPr>
          <w:spacing w:val="-106"/>
          <w:w w:val="100"/>
          <w:sz w:val="21"/>
        </w:rPr>
        <w:t>）</w:t>
      </w:r>
      <w:r>
        <w:rPr>
          <w:spacing w:val="-3"/>
          <w:w w:val="100"/>
          <w:sz w:val="21"/>
        </w:rPr>
        <w:t>，则差错责任方应赔偿受损方的损失，并在其支付的赔偿金额</w:t>
      </w:r>
      <w:r>
        <w:rPr>
          <w:spacing w:val="-7"/>
          <w:sz w:val="21"/>
        </w:rPr>
        <w:t>的范围内对获得不当得利的当事人享有要求交付不当得利的权利；如果获得不当得利的当事</w:t>
      </w:r>
      <w:r>
        <w:rPr>
          <w:spacing w:val="-10"/>
          <w:sz w:val="21"/>
        </w:rPr>
        <w:t>人已经将此部分不当得利返还给受损方，则受损方应当将其已经获得的赔偿额加上已经获得</w:t>
      </w:r>
      <w:r>
        <w:rPr>
          <w:spacing w:val="-5"/>
          <w:sz w:val="21"/>
        </w:rPr>
        <w:t>的不当得利返还的总和超过其实际损失的差额部分支付给差错责任方。</w:t>
      </w:r>
    </w:p>
    <w:p>
      <w:pPr>
        <w:pStyle w:val="ListParagraph"/>
        <w:numPr>
          <w:ilvl w:val="3"/>
          <w:numId w:val="24"/>
        </w:numPr>
        <w:tabs>
          <w:tab w:pos="1727" w:val="left" w:leader="none"/>
        </w:tabs>
        <w:spacing w:line="268" w:lineRule="exact" w:before="0" w:after="0"/>
        <w:ind w:left="1727" w:right="0" w:hanging="529"/>
        <w:jc w:val="left"/>
        <w:rPr>
          <w:sz w:val="21"/>
        </w:rPr>
      </w:pPr>
      <w:r>
        <w:rPr>
          <w:spacing w:val="-3"/>
          <w:sz w:val="21"/>
        </w:rPr>
        <w:t>差错调整采用尽量恢复至假设未发生差错的正确情形的方式。</w:t>
      </w:r>
    </w:p>
    <w:p>
      <w:pPr>
        <w:pStyle w:val="BodyText"/>
        <w:spacing w:before="5"/>
        <w:rPr>
          <w:sz w:val="15"/>
        </w:rPr>
      </w:pPr>
    </w:p>
    <w:p>
      <w:pPr>
        <w:pStyle w:val="ListParagraph"/>
        <w:numPr>
          <w:ilvl w:val="3"/>
          <w:numId w:val="24"/>
        </w:numPr>
        <w:tabs>
          <w:tab w:pos="1727" w:val="left" w:leader="none"/>
        </w:tabs>
        <w:spacing w:line="417" w:lineRule="auto" w:before="1" w:after="0"/>
        <w:ind w:left="778" w:right="889" w:firstLine="419"/>
        <w:jc w:val="both"/>
        <w:rPr>
          <w:sz w:val="21"/>
        </w:rPr>
      </w:pPr>
      <w:r>
        <w:rPr>
          <w:spacing w:val="-3"/>
          <w:sz w:val="21"/>
        </w:rPr>
        <w:t>差错责任方拒绝进行赔偿时，如果因基金管理人过错造成基金财产损失时，基金</w:t>
      </w:r>
      <w:r>
        <w:rPr>
          <w:spacing w:val="-8"/>
          <w:sz w:val="21"/>
        </w:rPr>
        <w:t>托管人应为基金的利益向基金管理人追偿，如果因基金托管人过错造成基金财产损失时，基</w:t>
      </w:r>
      <w:r>
        <w:rPr>
          <w:spacing w:val="-10"/>
          <w:sz w:val="21"/>
        </w:rPr>
        <w:t>金管理人应为基金的利益向基金托管人追偿。除基金管理人和基金托管人之外的第三方造成</w:t>
      </w:r>
      <w:r>
        <w:rPr>
          <w:spacing w:val="-5"/>
          <w:sz w:val="21"/>
        </w:rPr>
        <w:t>基金财产的损失，并拒绝进行赔偿时，由基金管理人负责向差错方追偿。</w:t>
      </w:r>
    </w:p>
    <w:p>
      <w:pPr>
        <w:pStyle w:val="ListParagraph"/>
        <w:numPr>
          <w:ilvl w:val="3"/>
          <w:numId w:val="24"/>
        </w:numPr>
        <w:tabs>
          <w:tab w:pos="1727" w:val="left" w:leader="none"/>
        </w:tabs>
        <w:spacing w:line="417" w:lineRule="auto" w:before="0" w:after="0"/>
        <w:ind w:left="778" w:right="889" w:firstLine="419"/>
        <w:jc w:val="both"/>
        <w:rPr>
          <w:sz w:val="21"/>
        </w:rPr>
      </w:pPr>
      <w:r>
        <w:rPr>
          <w:spacing w:val="-3"/>
          <w:sz w:val="21"/>
        </w:rPr>
        <w:t>如果出现差错的当事人未按规定对受损方进行赔偿，并且依据法律法规、基金合</w:t>
      </w:r>
      <w:r>
        <w:rPr>
          <w:spacing w:val="-10"/>
          <w:sz w:val="21"/>
        </w:rPr>
        <w:t>同或其他规定，基金管理人自行或依据法院判决、仲裁裁决对受损方承担了赔偿责任，则基金管理人有权向出现过错的当事人进行追索，并有权要求其赔偿或补偿由此发生的费用和遭</w:t>
      </w:r>
      <w:r>
        <w:rPr>
          <w:spacing w:val="-5"/>
          <w:sz w:val="21"/>
        </w:rPr>
        <w:t>受的损失。</w:t>
      </w:r>
    </w:p>
    <w:p>
      <w:pPr>
        <w:pStyle w:val="ListParagraph"/>
        <w:numPr>
          <w:ilvl w:val="3"/>
          <w:numId w:val="24"/>
        </w:numPr>
        <w:tabs>
          <w:tab w:pos="1727" w:val="left" w:leader="none"/>
        </w:tabs>
        <w:spacing w:line="268" w:lineRule="exact" w:before="0" w:after="0"/>
        <w:ind w:left="1727" w:right="0" w:hanging="529"/>
        <w:jc w:val="left"/>
        <w:rPr>
          <w:sz w:val="21"/>
        </w:rPr>
      </w:pPr>
      <w:r>
        <w:rPr>
          <w:spacing w:val="-3"/>
          <w:sz w:val="21"/>
        </w:rPr>
        <w:t>前述内容如法律法规或监管机关另有规定的，按其规定处理。</w:t>
      </w:r>
    </w:p>
    <w:p>
      <w:pPr>
        <w:pStyle w:val="BodyText"/>
        <w:spacing w:before="6"/>
        <w:rPr>
          <w:sz w:val="15"/>
        </w:rPr>
      </w:pPr>
    </w:p>
    <w:p>
      <w:pPr>
        <w:pStyle w:val="BodyText"/>
        <w:ind w:left="1198"/>
      </w:pPr>
      <w:r>
        <w:rPr>
          <w:rFonts w:ascii="Times New Roman" w:eastAsia="Times New Roman"/>
        </w:rPr>
        <w:t>3</w:t>
      </w:r>
      <w:r>
        <w:rPr/>
        <w:t>、差错处理程序</w:t>
      </w:r>
    </w:p>
    <w:p>
      <w:pPr>
        <w:pStyle w:val="BodyText"/>
        <w:spacing w:before="7"/>
        <w:rPr>
          <w:sz w:val="15"/>
        </w:rPr>
      </w:pPr>
    </w:p>
    <w:p>
      <w:pPr>
        <w:pStyle w:val="BodyText"/>
        <w:ind w:left="1198"/>
      </w:pPr>
      <w:r>
        <w:rPr/>
        <w:t>差错被发现后，有关的当事人应当及时进行处理，处理的程序如下：</w:t>
      </w:r>
    </w:p>
    <w:p>
      <w:pPr>
        <w:pStyle w:val="BodyText"/>
        <w:spacing w:before="7"/>
        <w:rPr>
          <w:sz w:val="15"/>
        </w:rPr>
      </w:pPr>
    </w:p>
    <w:p>
      <w:pPr>
        <w:pStyle w:val="ListParagraph"/>
        <w:numPr>
          <w:ilvl w:val="0"/>
          <w:numId w:val="25"/>
        </w:numPr>
        <w:tabs>
          <w:tab w:pos="1727" w:val="left" w:leader="none"/>
        </w:tabs>
        <w:spacing w:line="240" w:lineRule="auto" w:before="0" w:after="0"/>
        <w:ind w:left="1727" w:right="0" w:hanging="529"/>
        <w:jc w:val="left"/>
        <w:rPr>
          <w:sz w:val="21"/>
        </w:rPr>
      </w:pPr>
      <w:r>
        <w:rPr>
          <w:spacing w:val="-3"/>
          <w:sz w:val="21"/>
        </w:rPr>
        <w:t>查明差错发生的原因，列明所有当事人，根据差错发生的原因确定差错责任方。</w:t>
      </w:r>
    </w:p>
    <w:p>
      <w:pPr>
        <w:spacing w:after="0" w:line="240" w:lineRule="auto"/>
        <w:jc w:val="left"/>
        <w:rPr>
          <w:sz w:val="21"/>
        </w:rPr>
        <w:sectPr>
          <w:pgSz w:w="11910" w:h="16840"/>
          <w:pgMar w:header="877" w:footer="995" w:top="1280" w:bottom="1180" w:left="1020" w:right="900"/>
        </w:sectPr>
      </w:pPr>
    </w:p>
    <w:p>
      <w:pPr>
        <w:pStyle w:val="BodyText"/>
        <w:rPr>
          <w:sz w:val="12"/>
        </w:rPr>
      </w:pPr>
    </w:p>
    <w:p>
      <w:pPr>
        <w:pStyle w:val="ListParagraph"/>
        <w:numPr>
          <w:ilvl w:val="0"/>
          <w:numId w:val="25"/>
        </w:numPr>
        <w:tabs>
          <w:tab w:pos="1727" w:val="left" w:leader="none"/>
        </w:tabs>
        <w:spacing w:line="240" w:lineRule="auto" w:before="78" w:after="0"/>
        <w:ind w:left="1727" w:right="0" w:hanging="529"/>
        <w:jc w:val="left"/>
        <w:rPr>
          <w:sz w:val="21"/>
        </w:rPr>
      </w:pPr>
      <w:r>
        <w:rPr>
          <w:spacing w:val="-3"/>
          <w:sz w:val="21"/>
        </w:rPr>
        <w:t>根据差错处理原则或当事人协商的方法对因差错造成的损失进行评估。</w:t>
      </w:r>
    </w:p>
    <w:p>
      <w:pPr>
        <w:pStyle w:val="BodyText"/>
        <w:spacing w:before="7"/>
        <w:rPr>
          <w:sz w:val="15"/>
        </w:rPr>
      </w:pPr>
    </w:p>
    <w:p>
      <w:pPr>
        <w:pStyle w:val="ListParagraph"/>
        <w:numPr>
          <w:ilvl w:val="0"/>
          <w:numId w:val="25"/>
        </w:numPr>
        <w:tabs>
          <w:tab w:pos="1727" w:val="left" w:leader="none"/>
        </w:tabs>
        <w:spacing w:line="240" w:lineRule="auto" w:before="0" w:after="0"/>
        <w:ind w:left="1727" w:right="0" w:hanging="529"/>
        <w:jc w:val="left"/>
        <w:rPr>
          <w:sz w:val="21"/>
        </w:rPr>
      </w:pPr>
      <w:r>
        <w:rPr>
          <w:spacing w:val="-3"/>
          <w:sz w:val="21"/>
        </w:rPr>
        <w:t>根据差错处理原则或当事人协商的方法由差错的责任方进行更正和赔偿损失。</w:t>
      </w:r>
    </w:p>
    <w:p>
      <w:pPr>
        <w:pStyle w:val="BodyText"/>
        <w:spacing w:before="7"/>
        <w:rPr>
          <w:sz w:val="15"/>
        </w:rPr>
      </w:pPr>
    </w:p>
    <w:p>
      <w:pPr>
        <w:pStyle w:val="ListParagraph"/>
        <w:numPr>
          <w:ilvl w:val="0"/>
          <w:numId w:val="25"/>
        </w:numPr>
        <w:tabs>
          <w:tab w:pos="1727" w:val="left" w:leader="none"/>
        </w:tabs>
        <w:spacing w:line="417" w:lineRule="auto" w:before="0" w:after="0"/>
        <w:ind w:left="778" w:right="889" w:firstLine="419"/>
        <w:jc w:val="left"/>
        <w:rPr>
          <w:sz w:val="21"/>
        </w:rPr>
      </w:pPr>
      <w:r>
        <w:rPr>
          <w:spacing w:val="-3"/>
          <w:sz w:val="21"/>
        </w:rPr>
        <w:t>根据差错处理的方法，需要修改基金注册登记机构的交易数据的，由注册登记机构进行更正，并就差错的更正向有关当事人进行确认。</w:t>
      </w:r>
    </w:p>
    <w:p>
      <w:pPr>
        <w:pStyle w:val="ListParagraph"/>
        <w:numPr>
          <w:ilvl w:val="0"/>
          <w:numId w:val="25"/>
        </w:numPr>
        <w:tabs>
          <w:tab w:pos="1733" w:val="left" w:leader="none"/>
        </w:tabs>
        <w:spacing w:line="417" w:lineRule="auto" w:before="0" w:after="0"/>
        <w:ind w:left="778" w:right="890" w:firstLine="419"/>
        <w:jc w:val="both"/>
        <w:rPr>
          <w:sz w:val="21"/>
        </w:rPr>
      </w:pPr>
      <w:r>
        <w:rPr>
          <w:sz w:val="21"/>
        </w:rPr>
        <w:t>基金资产净值计算错误达到或超过基金份额净值的</w:t>
      </w:r>
      <w:r>
        <w:rPr>
          <w:rFonts w:ascii="Times New Roman" w:eastAsia="Times New Roman"/>
          <w:sz w:val="21"/>
        </w:rPr>
        <w:t>0.25%</w:t>
      </w:r>
      <w:r>
        <w:rPr>
          <w:sz w:val="21"/>
        </w:rPr>
        <w:t>时，基金管理人应当报中国证监会备案；基金资产净值计算错误达到或超过基金份额净值的</w:t>
      </w:r>
      <w:r>
        <w:rPr>
          <w:rFonts w:ascii="Times New Roman" w:eastAsia="Times New Roman"/>
          <w:sz w:val="21"/>
        </w:rPr>
        <w:t>0.5%</w:t>
      </w:r>
      <w:r>
        <w:rPr>
          <w:spacing w:val="-2"/>
          <w:sz w:val="21"/>
        </w:rPr>
        <w:t>时，基金管理人</w:t>
      </w:r>
      <w:r>
        <w:rPr>
          <w:spacing w:val="-3"/>
          <w:sz w:val="21"/>
        </w:rPr>
        <w:t>应当公告，并同时报中国证监会备案。</w:t>
      </w:r>
    </w:p>
    <w:p>
      <w:pPr>
        <w:pStyle w:val="BodyText"/>
        <w:ind w:left="1198"/>
      </w:pPr>
      <w:r>
        <w:rPr/>
        <w:t>（八）特殊情形的处理</w:t>
      </w:r>
    </w:p>
    <w:p>
      <w:pPr>
        <w:pStyle w:val="BodyText"/>
        <w:spacing w:before="6"/>
        <w:rPr>
          <w:sz w:val="15"/>
        </w:rPr>
      </w:pPr>
    </w:p>
    <w:p>
      <w:pPr>
        <w:pStyle w:val="BodyText"/>
        <w:spacing w:line="417" w:lineRule="auto"/>
        <w:ind w:left="778" w:right="889" w:firstLine="419"/>
      </w:pPr>
      <w:r>
        <w:rPr>
          <w:rFonts w:ascii="Times New Roman" w:eastAsia="Times New Roman"/>
        </w:rPr>
        <w:t>1</w:t>
      </w:r>
      <w:r>
        <w:rPr/>
        <w:t>、基金管理人及基金托管人按本条第（四）款第</w:t>
      </w:r>
      <w:r>
        <w:rPr>
          <w:rFonts w:ascii="Times New Roman" w:eastAsia="Times New Roman"/>
        </w:rPr>
        <w:t>4</w:t>
      </w:r>
      <w:r>
        <w:rPr/>
        <w:t>、</w:t>
      </w:r>
      <w:r>
        <w:rPr>
          <w:rFonts w:ascii="Times New Roman" w:eastAsia="Times New Roman"/>
        </w:rPr>
        <w:t>5</w:t>
      </w:r>
      <w:r>
        <w:rPr/>
        <w:t>项规定进行计价时，所造成的差异不作为基金资产净值错误处理。</w:t>
      </w:r>
    </w:p>
    <w:p>
      <w:pPr>
        <w:pStyle w:val="BodyText"/>
        <w:spacing w:line="417" w:lineRule="auto"/>
        <w:ind w:left="778" w:right="889" w:firstLine="419"/>
        <w:jc w:val="both"/>
      </w:pPr>
      <w:r>
        <w:rPr>
          <w:rFonts w:ascii="Times New Roman" w:eastAsia="Times New Roman"/>
        </w:rPr>
        <w:t>2</w:t>
      </w:r>
      <w:r>
        <w:rPr>
          <w:spacing w:val="-3"/>
        </w:rPr>
        <w:t>、由于证券交易市场及登记结算公司发送的数据错误，或由于不可抗力原因，基金管</w:t>
      </w:r>
      <w:r>
        <w:rPr>
          <w:spacing w:val="-8"/>
        </w:rPr>
        <w:t>理人和基金托管人虽然已经采取必要、适当、合理的措施进行检查，但是未能发现该错误而</w:t>
      </w:r>
      <w:r>
        <w:rPr>
          <w:spacing w:val="-10"/>
        </w:rPr>
        <w:t>造成的基金资产计价错误，基金管理人、基金托管人可以免除赔偿责任。但基金管理人、基</w:t>
      </w:r>
      <w:r>
        <w:rPr>
          <w:spacing w:val="-5"/>
        </w:rPr>
        <w:t>金托管人应积极采取必要的措施消除由此造成的影响。</w:t>
      </w:r>
    </w:p>
    <w:p>
      <w:pPr>
        <w:pStyle w:val="BodyText"/>
        <w:spacing w:before="5"/>
        <w:rPr>
          <w:sz w:val="20"/>
        </w:rPr>
      </w:pPr>
    </w:p>
    <w:p>
      <w:pPr>
        <w:pStyle w:val="Heading1"/>
        <w:ind w:right="1337"/>
      </w:pPr>
      <w:bookmarkStart w:name="_bookmark14" w:id="15"/>
      <w:bookmarkEnd w:id="15"/>
      <w:r>
        <w:rPr>
          <w:b w:val="0"/>
        </w:rPr>
      </w:r>
      <w:r>
        <w:rPr/>
        <w:t>十五、基金的收益分配</w:t>
      </w:r>
    </w:p>
    <w:p>
      <w:pPr>
        <w:pStyle w:val="BodyText"/>
        <w:rPr>
          <w:b/>
          <w:sz w:val="20"/>
        </w:rPr>
      </w:pPr>
    </w:p>
    <w:p>
      <w:pPr>
        <w:pStyle w:val="BodyText"/>
        <w:spacing w:before="7"/>
        <w:rPr>
          <w:b/>
          <w:sz w:val="15"/>
        </w:rPr>
      </w:pPr>
    </w:p>
    <w:p>
      <w:pPr>
        <w:pStyle w:val="BodyText"/>
        <w:spacing w:line="417" w:lineRule="auto"/>
        <w:ind w:left="1198" w:right="6683"/>
      </w:pPr>
      <w:r>
        <w:rPr/>
        <w:t>（一）基金收益的构成基金收益包括：</w:t>
      </w:r>
    </w:p>
    <w:p>
      <w:pPr>
        <w:pStyle w:val="BodyText"/>
        <w:spacing w:line="269" w:lineRule="exact"/>
        <w:ind w:left="1198"/>
      </w:pPr>
      <w:r>
        <w:rPr>
          <w:rFonts w:ascii="Times New Roman" w:eastAsia="Times New Roman"/>
        </w:rPr>
        <w:t>1</w:t>
      </w:r>
      <w:r>
        <w:rPr/>
        <w:t>、基金投资所得债券利息、票据利息收入。</w:t>
      </w:r>
    </w:p>
    <w:p>
      <w:pPr>
        <w:pStyle w:val="BodyText"/>
        <w:spacing w:before="7"/>
        <w:rPr>
          <w:sz w:val="15"/>
        </w:rPr>
      </w:pPr>
    </w:p>
    <w:p>
      <w:pPr>
        <w:pStyle w:val="BodyText"/>
        <w:ind w:left="1198"/>
      </w:pPr>
      <w:r>
        <w:rPr>
          <w:rFonts w:ascii="Times New Roman" w:eastAsia="Times New Roman"/>
        </w:rPr>
        <w:t>2</w:t>
      </w:r>
      <w:r>
        <w:rPr>
          <w:spacing w:val="-3"/>
        </w:rPr>
        <w:t>、买卖证券价差收入。</w:t>
      </w:r>
    </w:p>
    <w:p>
      <w:pPr>
        <w:pStyle w:val="BodyText"/>
        <w:spacing w:before="7"/>
        <w:rPr>
          <w:sz w:val="15"/>
        </w:rPr>
      </w:pPr>
    </w:p>
    <w:p>
      <w:pPr>
        <w:pStyle w:val="BodyText"/>
        <w:ind w:left="1198"/>
      </w:pPr>
      <w:r>
        <w:rPr>
          <w:rFonts w:ascii="Times New Roman" w:eastAsia="Times New Roman"/>
        </w:rPr>
        <w:t>3</w:t>
      </w:r>
      <w:r>
        <w:rPr>
          <w:spacing w:val="-3"/>
        </w:rPr>
        <w:t>、银行存款利息收入。</w:t>
      </w:r>
    </w:p>
    <w:p>
      <w:pPr>
        <w:pStyle w:val="BodyText"/>
        <w:spacing w:before="7"/>
        <w:rPr>
          <w:sz w:val="15"/>
        </w:rPr>
      </w:pPr>
    </w:p>
    <w:p>
      <w:pPr>
        <w:pStyle w:val="BodyText"/>
        <w:ind w:left="1198"/>
      </w:pPr>
      <w:r>
        <w:rPr>
          <w:rFonts w:ascii="Times New Roman" w:eastAsia="Times New Roman"/>
        </w:rPr>
        <w:t>4</w:t>
      </w:r>
      <w:r>
        <w:rPr/>
        <w:t>、其他收入。</w:t>
      </w:r>
    </w:p>
    <w:p>
      <w:pPr>
        <w:pStyle w:val="BodyText"/>
        <w:spacing w:before="7"/>
        <w:rPr>
          <w:sz w:val="15"/>
        </w:rPr>
      </w:pPr>
    </w:p>
    <w:p>
      <w:pPr>
        <w:pStyle w:val="BodyText"/>
        <w:ind w:left="1198"/>
      </w:pPr>
      <w:r>
        <w:rPr/>
        <w:t>（二）基金净收益</w:t>
      </w:r>
    </w:p>
    <w:p>
      <w:pPr>
        <w:pStyle w:val="BodyText"/>
        <w:spacing w:before="6"/>
        <w:rPr>
          <w:sz w:val="15"/>
        </w:rPr>
      </w:pPr>
    </w:p>
    <w:p>
      <w:pPr>
        <w:pStyle w:val="BodyText"/>
        <w:spacing w:line="417" w:lineRule="auto" w:before="1"/>
        <w:ind w:left="778" w:right="889" w:firstLine="419"/>
      </w:pPr>
      <w:r>
        <w:rPr>
          <w:spacing w:val="-6"/>
        </w:rPr>
        <w:t>基金净收益为基金收益扣除按照有关规定可以在基金收益中扣除的费用后的余额。基金</w:t>
      </w:r>
      <w:r>
        <w:rPr>
          <w:spacing w:val="-4"/>
        </w:rPr>
        <w:t>净收益不保证为正。</w:t>
      </w:r>
    </w:p>
    <w:p>
      <w:pPr>
        <w:pStyle w:val="BodyText"/>
        <w:spacing w:line="269" w:lineRule="exact"/>
        <w:ind w:left="1198"/>
      </w:pPr>
      <w:r>
        <w:rPr/>
        <w:t>（三）收益分配原则</w:t>
      </w:r>
    </w:p>
    <w:p>
      <w:pPr>
        <w:pStyle w:val="BodyText"/>
        <w:spacing w:before="6"/>
        <w:rPr>
          <w:sz w:val="15"/>
        </w:rPr>
      </w:pPr>
    </w:p>
    <w:p>
      <w:pPr>
        <w:pStyle w:val="BodyText"/>
        <w:spacing w:line="417" w:lineRule="auto"/>
        <w:ind w:left="778" w:right="888" w:firstLine="419"/>
      </w:pPr>
      <w:r>
        <w:rPr>
          <w:rFonts w:ascii="Times New Roman" w:eastAsia="Times New Roman"/>
        </w:rPr>
        <w:t>1</w:t>
      </w:r>
      <w:r>
        <w:rPr/>
        <w:t>、本基金自基金合同生效日起，每日将基金净收益分配给基金份额持有人，当日收益参与下一日的收益分配，并定期支付且结转为相应的基金份额。</w:t>
      </w:r>
    </w:p>
    <w:p>
      <w:pPr>
        <w:pStyle w:val="BodyText"/>
        <w:spacing w:line="417" w:lineRule="auto"/>
        <w:ind w:left="778" w:right="889" w:firstLine="419"/>
      </w:pPr>
      <w:r>
        <w:rPr>
          <w:spacing w:val="-10"/>
        </w:rPr>
        <w:t>通常情况下，本基金的收益支付方式为按日支付，对于目前暂不支持按日支付的销售机</w:t>
      </w:r>
      <w:r>
        <w:rPr>
          <w:spacing w:val="-5"/>
        </w:rPr>
        <w:t>构，仍保留按月支付的方式。不论何种支付方式，当日收益均参与下一日的收益分配。</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778" w:right="888" w:firstLine="419"/>
        <w:jc w:val="both"/>
      </w:pPr>
      <w:r>
        <w:rPr>
          <w:rFonts w:ascii="Times New Roman" w:eastAsia="Times New Roman"/>
        </w:rPr>
        <w:t>2</w:t>
      </w:r>
      <w:r>
        <w:rPr>
          <w:spacing w:val="-3"/>
        </w:rPr>
        <w:t>、本基金的分红方式限于红利再投资。如当期累计分配的基金收益为正，则为份额持</w:t>
      </w:r>
      <w:r>
        <w:rPr>
          <w:spacing w:val="-9"/>
        </w:rPr>
        <w:t>有人增加相应的基金份额；如当期累计分配的基金收益为负，则直至累计基金收益为正的时</w:t>
      </w:r>
      <w:r>
        <w:rPr>
          <w:spacing w:val="-5"/>
        </w:rPr>
        <w:t>期，方为份额持有人增加基金份额。投资者可通过赎回基金份额获取现金收益。</w:t>
      </w:r>
    </w:p>
    <w:p>
      <w:pPr>
        <w:pStyle w:val="BodyText"/>
        <w:spacing w:line="417" w:lineRule="auto"/>
        <w:ind w:left="778" w:right="889" w:firstLine="419"/>
        <w:jc w:val="both"/>
      </w:pPr>
      <w:r>
        <w:rPr>
          <w:rFonts w:ascii="Times New Roman" w:eastAsia="Times New Roman"/>
        </w:rPr>
        <w:t>3</w:t>
      </w:r>
      <w:r>
        <w:rPr>
          <w:spacing w:val="-3"/>
        </w:rPr>
        <w:t>、投资者部分赎回基金份额时，如满足最低持有限制，基金份额对应的基金收益不随</w:t>
      </w:r>
      <w:r>
        <w:rPr>
          <w:spacing w:val="-9"/>
        </w:rPr>
        <w:t>赎回款项支付给投资者。投资者全部赎回基金份额时，基金收益将全部结算并计入投资者账户。</w:t>
      </w:r>
    </w:p>
    <w:p>
      <w:pPr>
        <w:pStyle w:val="BodyText"/>
        <w:spacing w:line="417" w:lineRule="auto"/>
        <w:ind w:left="778" w:right="845" w:firstLine="419"/>
      </w:pPr>
      <w:r>
        <w:rPr>
          <w:rFonts w:ascii="Times New Roman" w:eastAsia="Times New Roman"/>
        </w:rPr>
        <w:t>4</w:t>
      </w:r>
      <w:r>
        <w:rPr/>
        <w:t>、</w:t>
      </w:r>
      <w:r>
        <w:rPr>
          <w:rFonts w:ascii="Times New Roman" w:eastAsia="Times New Roman"/>
        </w:rPr>
        <w:t>T</w:t>
      </w:r>
      <w:r>
        <w:rPr/>
        <w:t>日申购的基金份额自下一个工作日起享有基金的分配权益；</w:t>
      </w:r>
      <w:r>
        <w:rPr>
          <w:rFonts w:ascii="Times New Roman" w:eastAsia="Times New Roman"/>
        </w:rPr>
        <w:t>T</w:t>
      </w:r>
      <w:r>
        <w:rPr/>
        <w:t>日赎回的基金份额自下一个工作日起不享有基金的分配权益。</w:t>
      </w:r>
    </w:p>
    <w:p>
      <w:pPr>
        <w:pStyle w:val="BodyText"/>
        <w:ind w:left="1198"/>
      </w:pPr>
      <w:r>
        <w:rPr>
          <w:rFonts w:ascii="Times New Roman" w:eastAsia="Times New Roman"/>
        </w:rPr>
        <w:t>5</w:t>
      </w:r>
      <w:r>
        <w:rPr/>
        <w:t>、每一基金份额享有同等分配权。</w:t>
      </w:r>
    </w:p>
    <w:p>
      <w:pPr>
        <w:pStyle w:val="BodyText"/>
        <w:spacing w:before="6"/>
        <w:rPr>
          <w:sz w:val="15"/>
        </w:rPr>
      </w:pPr>
    </w:p>
    <w:p>
      <w:pPr>
        <w:pStyle w:val="BodyText"/>
        <w:spacing w:line="417" w:lineRule="auto"/>
        <w:ind w:left="778" w:right="889" w:firstLine="419"/>
      </w:pPr>
      <w:r>
        <w:rPr>
          <w:rFonts w:ascii="Times New Roman" w:eastAsia="Times New Roman"/>
        </w:rPr>
        <w:t>6</w:t>
      </w:r>
      <w:r>
        <w:rPr/>
        <w:t>、在不影响基金份额持有人利益的前提下，基金管理人可在中国证监会允许的条件下调整基金收益的分配原则和支付方式，不需召开基金份额持有人大会。</w:t>
      </w:r>
    </w:p>
    <w:p>
      <w:pPr>
        <w:pStyle w:val="BodyText"/>
        <w:spacing w:line="269" w:lineRule="exact"/>
        <w:ind w:left="1198"/>
      </w:pPr>
      <w:r>
        <w:rPr>
          <w:rFonts w:ascii="Times New Roman" w:eastAsia="Times New Roman"/>
        </w:rPr>
        <w:t>7</w:t>
      </w:r>
      <w:r>
        <w:rPr/>
        <w:t>、法律法规或监管机关另有规定的，从其规定。</w:t>
      </w:r>
    </w:p>
    <w:p>
      <w:pPr>
        <w:pStyle w:val="BodyText"/>
        <w:spacing w:before="7"/>
        <w:rPr>
          <w:sz w:val="15"/>
        </w:rPr>
      </w:pPr>
    </w:p>
    <w:p>
      <w:pPr>
        <w:pStyle w:val="BodyText"/>
        <w:ind w:left="1198"/>
      </w:pPr>
      <w:r>
        <w:rPr/>
        <w:t>（四）收益分配方案的确定与公告</w:t>
      </w:r>
    </w:p>
    <w:p>
      <w:pPr>
        <w:pStyle w:val="BodyText"/>
        <w:spacing w:before="7"/>
        <w:rPr>
          <w:sz w:val="15"/>
        </w:rPr>
      </w:pPr>
    </w:p>
    <w:p>
      <w:pPr>
        <w:pStyle w:val="BodyText"/>
        <w:spacing w:line="417" w:lineRule="auto"/>
        <w:ind w:left="778" w:right="888" w:firstLine="419"/>
        <w:jc w:val="both"/>
      </w:pPr>
      <w:r>
        <w:rPr>
          <w:rFonts w:ascii="Times New Roman" w:eastAsia="Times New Roman"/>
        </w:rPr>
        <w:t>1</w:t>
      </w:r>
      <w:r>
        <w:rPr>
          <w:spacing w:val="-11"/>
        </w:rPr>
        <w:t>、本基金于每个开放日的次日在指定媒介上披露开放日每万份基金净收益和</w:t>
      </w:r>
      <w:r>
        <w:rPr>
          <w:rFonts w:ascii="Times New Roman" w:eastAsia="Times New Roman"/>
          <w:spacing w:val="-3"/>
        </w:rPr>
        <w:t>7</w:t>
      </w:r>
      <w:r>
        <w:rPr>
          <w:spacing w:val="-1"/>
        </w:rPr>
        <w:t>日年化收</w:t>
      </w:r>
      <w:r>
        <w:rPr>
          <w:spacing w:val="-11"/>
        </w:rPr>
        <w:t>益率。若遇法定节假日，于节假日结束后第二个自然日，披露节假日期间的每万份基金净收</w:t>
      </w:r>
      <w:r>
        <w:rPr>
          <w:spacing w:val="-10"/>
        </w:rPr>
        <w:t>益、节假日最后一日的</w:t>
      </w:r>
      <w:r>
        <w:rPr>
          <w:rFonts w:ascii="Times New Roman" w:eastAsia="Times New Roman"/>
        </w:rPr>
        <w:t>7</w:t>
      </w:r>
      <w:r>
        <w:rPr/>
        <w:t>日年化收益率，以及节假日后首个开放日的每万份基金净收益和</w:t>
      </w:r>
      <w:r>
        <w:rPr>
          <w:rFonts w:ascii="Times New Roman" w:eastAsia="Times New Roman"/>
          <w:spacing w:val="-13"/>
        </w:rPr>
        <w:t>7 </w:t>
      </w:r>
      <w:r>
        <w:rPr>
          <w:spacing w:val="-2"/>
        </w:rPr>
        <w:t>日年化收益率。</w:t>
      </w:r>
    </w:p>
    <w:p>
      <w:pPr>
        <w:pStyle w:val="BodyText"/>
        <w:spacing w:line="269" w:lineRule="exact"/>
        <w:ind w:left="1198"/>
      </w:pPr>
      <w:r>
        <w:rPr/>
        <w:t>基金收益公告由基金管理人拟定，由基金托管人复核。</w:t>
      </w:r>
    </w:p>
    <w:p>
      <w:pPr>
        <w:pStyle w:val="BodyText"/>
        <w:spacing w:before="6"/>
        <w:rPr>
          <w:sz w:val="15"/>
        </w:rPr>
      </w:pPr>
    </w:p>
    <w:p>
      <w:pPr>
        <w:pStyle w:val="BodyText"/>
        <w:spacing w:before="1"/>
        <w:ind w:left="1198"/>
      </w:pPr>
      <w:r>
        <w:rPr>
          <w:rFonts w:ascii="Times New Roman" w:eastAsia="Times New Roman"/>
        </w:rPr>
        <w:t>2</w:t>
      </w:r>
      <w:r>
        <w:rPr/>
        <w:t>、计算方法为：</w:t>
      </w:r>
    </w:p>
    <w:p>
      <w:pPr>
        <w:pStyle w:val="BodyText"/>
        <w:spacing w:before="6"/>
        <w:rPr>
          <w:sz w:val="15"/>
        </w:rPr>
      </w:pPr>
    </w:p>
    <w:p>
      <w:pPr>
        <w:pStyle w:val="ListParagraph"/>
        <w:numPr>
          <w:ilvl w:val="0"/>
          <w:numId w:val="26"/>
        </w:numPr>
        <w:tabs>
          <w:tab w:pos="1727" w:val="left" w:leader="none"/>
        </w:tabs>
        <w:spacing w:line="240" w:lineRule="auto" w:before="0" w:after="0"/>
        <w:ind w:left="1727" w:right="0" w:hanging="529"/>
        <w:jc w:val="left"/>
        <w:rPr>
          <w:sz w:val="21"/>
        </w:rPr>
      </w:pPr>
      <w:r>
        <w:rPr>
          <w:spacing w:val="-3"/>
          <w:sz w:val="21"/>
        </w:rPr>
        <w:t>日每万份基金净收益</w:t>
      </w:r>
      <w:r>
        <w:rPr>
          <w:sz w:val="21"/>
        </w:rPr>
        <w:t>＝</w:t>
      </w:r>
      <w:r>
        <w:rPr>
          <w:spacing w:val="-3"/>
          <w:sz w:val="21"/>
        </w:rPr>
        <w:t>当日基金净收益</w:t>
      </w:r>
      <w:r>
        <w:rPr>
          <w:rFonts w:ascii="Times New Roman" w:hAnsi="Times New Roman" w:eastAsia="Times New Roman"/>
          <w:sz w:val="21"/>
        </w:rPr>
        <w:t>/</w:t>
      </w:r>
      <w:r>
        <w:rPr>
          <w:spacing w:val="-3"/>
          <w:sz w:val="21"/>
        </w:rPr>
        <w:t>当日基金份额总额</w:t>
      </w:r>
      <w:r>
        <w:rPr>
          <w:rFonts w:ascii="Times New Roman" w:hAnsi="Times New Roman" w:eastAsia="Times New Roman"/>
          <w:spacing w:val="-5"/>
          <w:sz w:val="21"/>
        </w:rPr>
        <w:t>×10000</w:t>
      </w:r>
      <w:r>
        <w:rPr>
          <w:rFonts w:ascii="Times New Roman" w:hAnsi="Times New Roman" w:eastAsia="Times New Roman"/>
          <w:spacing w:val="-33"/>
          <w:sz w:val="21"/>
        </w:rPr>
        <w:t> </w:t>
      </w:r>
      <w:r>
        <w:rPr>
          <w:sz w:val="21"/>
        </w:rPr>
        <w:t>。</w:t>
      </w:r>
    </w:p>
    <w:p>
      <w:pPr>
        <w:pStyle w:val="BodyText"/>
        <w:rPr>
          <w:sz w:val="15"/>
        </w:rPr>
      </w:pPr>
    </w:p>
    <w:p>
      <w:pPr>
        <w:spacing w:after="0"/>
        <w:rPr>
          <w:sz w:val="15"/>
        </w:rPr>
        <w:sectPr>
          <w:pgSz w:w="11910" w:h="16840"/>
          <w:pgMar w:header="877" w:footer="995" w:top="1280" w:bottom="1180" w:left="1020" w:right="900"/>
        </w:sectPr>
      </w:pPr>
    </w:p>
    <w:p>
      <w:pPr>
        <w:pStyle w:val="BodyText"/>
        <w:rPr>
          <w:sz w:val="3"/>
        </w:rPr>
      </w:pPr>
    </w:p>
    <w:p>
      <w:pPr>
        <w:pStyle w:val="BodyText"/>
        <w:spacing w:line="153" w:lineRule="exact"/>
        <w:ind w:left="3637"/>
        <w:rPr>
          <w:sz w:val="15"/>
        </w:rPr>
      </w:pPr>
      <w:r>
        <w:rPr>
          <w:position w:val="-2"/>
          <w:sz w:val="15"/>
        </w:rPr>
        <w:pict>
          <v:shape style="width:3.55pt;height:7.7pt;mso-position-horizontal-relative:char;mso-position-vertical-relative:line" type="#_x0000_t202" filled="false" stroked="false">
            <w10:anchorlock/>
            <v:textbox inset="0,0,0,0">
              <w:txbxContent>
                <w:p>
                  <w:pPr>
                    <w:spacing w:line="153" w:lineRule="exact" w:before="0"/>
                    <w:ind w:left="0" w:right="0" w:firstLine="0"/>
                    <w:jc w:val="left"/>
                    <w:rPr>
                      <w:rFonts w:ascii="Times New Roman"/>
                      <w:i/>
                      <w:sz w:val="14"/>
                    </w:rPr>
                  </w:pPr>
                  <w:r>
                    <w:rPr>
                      <w:rFonts w:ascii="Times New Roman"/>
                      <w:i/>
                      <w:w w:val="101"/>
                      <w:sz w:val="14"/>
                    </w:rPr>
                    <w:t>n</w:t>
                  </w:r>
                </w:p>
              </w:txbxContent>
            </v:textbox>
          </v:shape>
        </w:pict>
      </w:r>
      <w:r>
        <w:rPr>
          <w:position w:val="-2"/>
          <w:sz w:val="15"/>
        </w:rPr>
      </w:r>
    </w:p>
    <w:p>
      <w:pPr>
        <w:spacing w:line="309" w:lineRule="exact" w:before="0"/>
        <w:ind w:left="0" w:right="0" w:firstLine="0"/>
        <w:jc w:val="right"/>
        <w:rPr>
          <w:rFonts w:ascii="Times New Roman" w:hAnsi="Times New Roman"/>
          <w:sz w:val="23"/>
        </w:rPr>
      </w:pPr>
      <w:r>
        <w:rPr>
          <w:rFonts w:ascii="Symbol" w:hAnsi="Symbol"/>
          <w:spacing w:val="25"/>
          <w:w w:val="103"/>
          <w:position w:val="-4"/>
          <w:sz w:val="35"/>
        </w:rPr>
        <w:t></w:t>
      </w:r>
      <w:r>
        <w:rPr>
          <w:rFonts w:ascii="Times New Roman" w:hAnsi="Times New Roman"/>
          <w:spacing w:val="5"/>
          <w:w w:val="105"/>
          <w:sz w:val="23"/>
        </w:rPr>
        <w:t>(</w:t>
      </w:r>
      <w:r>
        <w:rPr>
          <w:rFonts w:ascii="Times New Roman" w:hAnsi="Times New Roman"/>
          <w:i/>
          <w:spacing w:val="-11"/>
          <w:w w:val="105"/>
          <w:sz w:val="23"/>
        </w:rPr>
        <w:t>r</w:t>
      </w:r>
      <w:r>
        <w:rPr>
          <w:rFonts w:ascii="Times New Roman" w:hAnsi="Times New Roman"/>
          <w:i/>
          <w:w w:val="101"/>
          <w:position w:val="-5"/>
          <w:sz w:val="14"/>
        </w:rPr>
        <w:t>w</w:t>
      </w:r>
      <w:r>
        <w:rPr>
          <w:rFonts w:ascii="Times New Roman" w:hAnsi="Times New Roman"/>
          <w:i/>
          <w:position w:val="-5"/>
          <w:sz w:val="14"/>
        </w:rPr>
        <w:t> </w:t>
      </w:r>
      <w:r>
        <w:rPr>
          <w:rFonts w:ascii="Times New Roman" w:hAnsi="Times New Roman"/>
          <w:i/>
          <w:spacing w:val="-5"/>
          <w:position w:val="-5"/>
          <w:sz w:val="14"/>
        </w:rPr>
        <w:t> </w:t>
      </w:r>
      <w:r>
        <w:rPr>
          <w:rFonts w:ascii="Times New Roman" w:hAnsi="Times New Roman"/>
          <w:w w:val="105"/>
          <w:sz w:val="23"/>
        </w:rPr>
        <w:t>/</w:t>
      </w:r>
      <w:r>
        <w:rPr>
          <w:rFonts w:ascii="Times New Roman" w:hAnsi="Times New Roman"/>
          <w:spacing w:val="-13"/>
          <w:sz w:val="23"/>
        </w:rPr>
        <w:t> </w:t>
      </w:r>
      <w:r>
        <w:rPr>
          <w:rFonts w:ascii="Times New Roman" w:hAnsi="Times New Roman"/>
          <w:i/>
          <w:spacing w:val="19"/>
          <w:w w:val="105"/>
          <w:sz w:val="23"/>
        </w:rPr>
        <w:t>S</w:t>
      </w:r>
      <w:r>
        <w:rPr>
          <w:rFonts w:ascii="Times New Roman" w:hAnsi="Times New Roman"/>
          <w:i/>
          <w:w w:val="101"/>
          <w:position w:val="-5"/>
          <w:sz w:val="14"/>
        </w:rPr>
        <w:t>w</w:t>
      </w:r>
      <w:r>
        <w:rPr>
          <w:rFonts w:ascii="Times New Roman" w:hAnsi="Times New Roman"/>
          <w:i/>
          <w:spacing w:val="-3"/>
          <w:position w:val="-5"/>
          <w:sz w:val="14"/>
        </w:rPr>
        <w:t> </w:t>
      </w:r>
      <w:r>
        <w:rPr>
          <w:rFonts w:ascii="Times New Roman" w:hAnsi="Times New Roman"/>
          <w:w w:val="105"/>
          <w:sz w:val="23"/>
        </w:rPr>
        <w:t>)</w:t>
      </w:r>
    </w:p>
    <w:p>
      <w:pPr>
        <w:pStyle w:val="BodyText"/>
        <w:spacing w:line="239" w:lineRule="exact"/>
        <w:ind w:left="1198"/>
        <w:rPr>
          <w:rFonts w:ascii="Times New Roman" w:hAnsi="Times New Roman"/>
          <w:sz w:val="14"/>
        </w:rPr>
      </w:pPr>
      <w:r>
        <w:rPr>
          <w:spacing w:val="-3"/>
        </w:rPr>
        <w:t>期间每万份基金净收益</w:t>
      </w:r>
      <w:r>
        <w:rPr/>
        <w:t>＝</w:t>
      </w:r>
      <w:r>
        <w:rPr>
          <w:spacing w:val="-56"/>
        </w:rPr>
        <w:t> </w:t>
      </w:r>
      <w:r>
        <w:rPr>
          <w:rFonts w:ascii="Times New Roman" w:hAnsi="Times New Roman"/>
          <w:i/>
          <w:spacing w:val="-2"/>
          <w:position w:val="5"/>
          <w:sz w:val="14"/>
        </w:rPr>
        <w:t>w</w:t>
      </w:r>
      <w:r>
        <w:rPr>
          <w:rFonts w:ascii="Symbol" w:hAnsi="Symbol"/>
          <w:spacing w:val="-2"/>
          <w:position w:val="5"/>
          <w:sz w:val="14"/>
        </w:rPr>
        <w:t></w:t>
      </w:r>
      <w:r>
        <w:rPr>
          <w:rFonts w:ascii="Times New Roman" w:hAnsi="Times New Roman"/>
          <w:spacing w:val="-2"/>
          <w:position w:val="5"/>
          <w:sz w:val="14"/>
        </w:rPr>
        <w:t>1</w:t>
      </w:r>
    </w:p>
    <w:p>
      <w:pPr>
        <w:pStyle w:val="BodyText"/>
        <w:rPr>
          <w:rFonts w:ascii="Times New Roman"/>
          <w:sz w:val="22"/>
        </w:rPr>
      </w:pPr>
      <w:r>
        <w:rPr/>
        <w:br w:type="column"/>
      </w:r>
      <w:r>
        <w:rPr>
          <w:rFonts w:ascii="Times New Roman"/>
          <w:sz w:val="22"/>
        </w:rPr>
      </w:r>
    </w:p>
    <w:p>
      <w:pPr>
        <w:pStyle w:val="BodyText"/>
        <w:spacing w:before="11"/>
        <w:rPr>
          <w:rFonts w:ascii="Times New Roman"/>
          <w:sz w:val="18"/>
        </w:rPr>
      </w:pPr>
    </w:p>
    <w:p>
      <w:pPr>
        <w:pStyle w:val="BodyText"/>
        <w:ind w:left="-10"/>
      </w:pPr>
      <w:r>
        <w:rPr>
          <w:rFonts w:ascii="Times New Roman" w:hAnsi="Times New Roman" w:eastAsia="Times New Roman"/>
        </w:rPr>
        <w:t>×10000 </w:t>
      </w:r>
      <w:r>
        <w:rPr/>
        <w:t>；其中，</w:t>
      </w:r>
      <w:r>
        <w:rPr>
          <w:rFonts w:ascii="Times New Roman" w:hAnsi="Times New Roman" w:eastAsia="Times New Roman"/>
        </w:rPr>
        <w:t>r1 </w:t>
      </w:r>
      <w:r>
        <w:rPr/>
        <w:t>为期间首日基金净收益，</w:t>
      </w:r>
      <w:r>
        <w:rPr>
          <w:rFonts w:ascii="Times New Roman" w:hAnsi="Times New Roman" w:eastAsia="Times New Roman"/>
        </w:rPr>
        <w:t>S1 </w:t>
      </w:r>
      <w:r>
        <w:rPr/>
        <w:t>为</w:t>
      </w:r>
    </w:p>
    <w:p>
      <w:pPr>
        <w:spacing w:after="0"/>
        <w:sectPr>
          <w:type w:val="continuous"/>
          <w:pgSz w:w="11910" w:h="16840"/>
          <w:pgMar w:top="1580" w:bottom="280" w:left="1020" w:right="900"/>
          <w:cols w:num="2" w:equalWidth="0">
            <w:col w:w="4622" w:space="40"/>
            <w:col w:w="5328"/>
          </w:cols>
        </w:sectPr>
      </w:pPr>
    </w:p>
    <w:p>
      <w:pPr>
        <w:pStyle w:val="BodyText"/>
        <w:spacing w:before="10"/>
        <w:rPr>
          <w:sz w:val="9"/>
        </w:rPr>
      </w:pPr>
    </w:p>
    <w:p>
      <w:pPr>
        <w:pStyle w:val="BodyText"/>
        <w:spacing w:line="417" w:lineRule="auto" w:before="78"/>
        <w:ind w:left="778" w:right="824"/>
      </w:pPr>
      <w:r>
        <w:rPr/>
        <w:t>期间首日基金份额总额，</w:t>
      </w:r>
      <w:r>
        <w:rPr>
          <w:rFonts w:ascii="Times New Roman" w:eastAsia="Times New Roman"/>
        </w:rPr>
        <w:t>rw </w:t>
      </w:r>
      <w:r>
        <w:rPr/>
        <w:t>为第 </w:t>
      </w:r>
      <w:r>
        <w:rPr>
          <w:rFonts w:ascii="Times New Roman" w:eastAsia="Times New Roman"/>
        </w:rPr>
        <w:t>w </w:t>
      </w:r>
      <w:r>
        <w:rPr/>
        <w:t>日基金净收益，</w:t>
      </w:r>
      <w:r>
        <w:rPr>
          <w:rFonts w:ascii="Times New Roman" w:eastAsia="Times New Roman"/>
        </w:rPr>
        <w:t>Sw </w:t>
      </w:r>
      <w:r>
        <w:rPr/>
        <w:t>为第 </w:t>
      </w:r>
      <w:r>
        <w:rPr>
          <w:rFonts w:ascii="Times New Roman" w:eastAsia="Times New Roman"/>
        </w:rPr>
        <w:t>w </w:t>
      </w:r>
      <w:r>
        <w:rPr/>
        <w:t>日基金份额总额，</w:t>
      </w:r>
      <w:r>
        <w:rPr>
          <w:rFonts w:ascii="Times New Roman" w:eastAsia="Times New Roman"/>
        </w:rPr>
        <w:t>rn </w:t>
      </w:r>
      <w:r>
        <w:rPr/>
        <w:t>为期间最后一日基金净收益，</w:t>
      </w:r>
      <w:r>
        <w:rPr>
          <w:rFonts w:ascii="Times New Roman" w:eastAsia="Times New Roman"/>
        </w:rPr>
        <w:t>Sn </w:t>
      </w:r>
      <w:r>
        <w:rPr/>
        <w:t>为期间最后一日基金份额总额。</w:t>
      </w:r>
    </w:p>
    <w:p>
      <w:pPr>
        <w:tabs>
          <w:tab w:pos="6030" w:val="left" w:leader="none"/>
          <w:tab w:pos="6630" w:val="left" w:leader="none"/>
        </w:tabs>
        <w:spacing w:line="107" w:lineRule="exact" w:before="5"/>
        <w:ind w:left="5241" w:right="0" w:firstLine="0"/>
        <w:jc w:val="left"/>
        <w:rPr>
          <w:rFonts w:ascii="Times New Roman"/>
          <w:sz w:val="14"/>
        </w:rPr>
      </w:pPr>
      <w:r>
        <w:rPr/>
        <w:pict>
          <v:line style="position:absolute;mso-position-horizontal-relative:page;mso-position-vertical-relative:paragraph;z-index:-251624448;mso-wrap-distance-left:0;mso-wrap-distance-right:0" from="382.265289pt,9.585373pt" to="393.148659pt,9.585373pt" stroked="true" strokeweight=".237707pt" strokecolor="#000000">
            <v:stroke dashstyle="solid"/>
            <w10:wrap type="topAndBottom"/>
          </v:line>
        </w:pict>
      </w:r>
      <w:r>
        <w:rPr>
          <w:rFonts w:ascii="Times New Roman"/>
          <w:position w:val="-2"/>
          <w:sz w:val="14"/>
        </w:rPr>
        <w:t>7</w:t>
        <w:tab/>
      </w:r>
      <w:r>
        <w:rPr>
          <w:rFonts w:ascii="Times New Roman"/>
          <w:i/>
          <w:position w:val="-11"/>
          <w:sz w:val="24"/>
        </w:rPr>
        <w:t>R</w:t>
        <w:tab/>
      </w:r>
      <w:r>
        <w:rPr>
          <w:rFonts w:ascii="Times New Roman"/>
          <w:spacing w:val="8"/>
          <w:sz w:val="14"/>
        </w:rPr>
        <w:t>365</w:t>
      </w:r>
    </w:p>
    <w:p>
      <w:pPr>
        <w:tabs>
          <w:tab w:pos="6196" w:val="left" w:leader="none"/>
          <w:tab w:pos="6444" w:val="left" w:leader="none"/>
        </w:tabs>
        <w:spacing w:line="166" w:lineRule="exact" w:before="0"/>
        <w:ind w:left="5048" w:right="0" w:firstLine="0"/>
        <w:jc w:val="left"/>
        <w:rPr>
          <w:rFonts w:ascii="Times New Roman" w:hAnsi="Times New Roman"/>
          <w:sz w:val="14"/>
        </w:rPr>
      </w:pPr>
      <w:r>
        <w:rPr>
          <w:rFonts w:ascii="Times New Roman" w:hAnsi="Times New Roman"/>
          <w:sz w:val="24"/>
        </w:rPr>
        <w:t>[</w:t>
      </w:r>
      <w:r>
        <w:rPr>
          <w:rFonts w:ascii="Symbol" w:hAnsi="Symbol"/>
          <w:position w:val="-5"/>
          <w:sz w:val="36"/>
        </w:rPr>
        <w:t></w:t>
      </w:r>
      <w:r>
        <w:rPr>
          <w:rFonts w:ascii="Times New Roman" w:hAnsi="Times New Roman"/>
          <w:sz w:val="24"/>
        </w:rPr>
        <w:t>(1</w:t>
      </w:r>
      <w:r>
        <w:rPr>
          <w:rFonts w:ascii="Times New Roman" w:hAnsi="Times New Roman"/>
          <w:spacing w:val="-36"/>
          <w:sz w:val="24"/>
        </w:rPr>
        <w:t> </w:t>
      </w:r>
      <w:r>
        <w:rPr>
          <w:rFonts w:ascii="Symbol" w:hAnsi="Symbol"/>
          <w:sz w:val="24"/>
        </w:rPr>
        <w:t></w:t>
      </w:r>
      <w:r>
        <w:rPr>
          <w:rFonts w:ascii="Symbol" w:hAnsi="Symbol"/>
          <w:position w:val="10"/>
          <w:sz w:val="24"/>
          <w:u w:val="single"/>
        </w:rPr>
        <w:t></w:t>
      </w:r>
      <w:r>
        <w:rPr>
          <w:rFonts w:ascii="Times New Roman" w:hAnsi="Times New Roman"/>
          <w:i/>
          <w:position w:val="10"/>
          <w:sz w:val="14"/>
          <w:u w:val="single"/>
        </w:rPr>
        <w:t>i</w:t>
        <w:tab/>
      </w:r>
      <w:r>
        <w:rPr>
          <w:rFonts w:ascii="Times New Roman" w:hAnsi="Times New Roman"/>
          <w:sz w:val="24"/>
        </w:rPr>
        <w:t>)]</w:t>
      </w:r>
      <w:r>
        <w:rPr>
          <w:rFonts w:ascii="Times New Roman" w:hAnsi="Times New Roman"/>
          <w:spacing w:val="22"/>
          <w:sz w:val="24"/>
        </w:rPr>
        <w:t> </w:t>
      </w:r>
      <w:r>
        <w:rPr>
          <w:rFonts w:ascii="Times New Roman" w:hAnsi="Times New Roman"/>
          <w:position w:val="8"/>
          <w:sz w:val="14"/>
        </w:rPr>
        <w:t>7</w:t>
      </w:r>
    </w:p>
    <w:p>
      <w:pPr>
        <w:spacing w:after="0" w:line="166" w:lineRule="exact"/>
        <w:jc w:val="left"/>
        <w:rPr>
          <w:rFonts w:ascii="Times New Roman" w:hAnsi="Times New Roman"/>
          <w:sz w:val="14"/>
        </w:rPr>
        <w:sectPr>
          <w:type w:val="continuous"/>
          <w:pgSz w:w="11910" w:h="16840"/>
          <w:pgMar w:top="1580" w:bottom="280" w:left="1020" w:right="900"/>
        </w:sectPr>
      </w:pPr>
    </w:p>
    <w:p>
      <w:pPr>
        <w:pStyle w:val="ListParagraph"/>
        <w:numPr>
          <w:ilvl w:val="0"/>
          <w:numId w:val="26"/>
        </w:numPr>
        <w:tabs>
          <w:tab w:pos="1733" w:val="left" w:leader="none"/>
        </w:tabs>
        <w:spacing w:line="240" w:lineRule="auto" w:before="98" w:after="0"/>
        <w:ind w:left="1732" w:right="0" w:hanging="535"/>
        <w:jc w:val="left"/>
        <w:rPr>
          <w:sz w:val="21"/>
        </w:rPr>
      </w:pPr>
      <w:r>
        <w:rPr>
          <w:sz w:val="21"/>
        </w:rPr>
        <w:t>按日结转份额的</w:t>
      </w:r>
      <w:r>
        <w:rPr>
          <w:rFonts w:ascii="Times New Roman" w:eastAsia="Times New Roman"/>
          <w:sz w:val="21"/>
        </w:rPr>
        <w:t>7</w:t>
      </w:r>
      <w:r>
        <w:rPr>
          <w:sz w:val="21"/>
        </w:rPr>
        <w:t>日年化收益率</w:t>
      </w:r>
      <w:r>
        <w:rPr>
          <w:spacing w:val="-8"/>
          <w:sz w:val="21"/>
        </w:rPr>
        <w:t>＝｛</w:t>
      </w:r>
    </w:p>
    <w:p>
      <w:pPr>
        <w:spacing w:before="118"/>
        <w:ind w:left="117" w:right="0" w:firstLine="0"/>
        <w:jc w:val="left"/>
        <w:rPr>
          <w:rFonts w:ascii="Times New Roman" w:hAnsi="Times New Roman"/>
          <w:sz w:val="14"/>
        </w:rPr>
      </w:pPr>
      <w:r>
        <w:rPr/>
        <w:br w:type="column"/>
      </w:r>
      <w:r>
        <w:rPr>
          <w:rFonts w:ascii="Times New Roman" w:hAnsi="Times New Roman"/>
          <w:i/>
          <w:sz w:val="14"/>
        </w:rPr>
        <w:t>i</w:t>
      </w:r>
      <w:r>
        <w:rPr>
          <w:rFonts w:ascii="Symbol" w:hAnsi="Symbol"/>
          <w:sz w:val="14"/>
        </w:rPr>
        <w:t></w:t>
      </w:r>
      <w:r>
        <w:rPr>
          <w:rFonts w:ascii="Times New Roman" w:hAnsi="Times New Roman"/>
          <w:sz w:val="14"/>
        </w:rPr>
        <w:t>1</w:t>
      </w:r>
    </w:p>
    <w:p>
      <w:pPr>
        <w:spacing w:line="266" w:lineRule="exact" w:before="0"/>
        <w:ind w:left="416" w:right="0" w:firstLine="0"/>
        <w:jc w:val="left"/>
        <w:rPr>
          <w:rFonts w:ascii="Times New Roman"/>
          <w:sz w:val="24"/>
        </w:rPr>
      </w:pPr>
      <w:r>
        <w:rPr/>
        <w:br w:type="column"/>
      </w:r>
      <w:r>
        <w:rPr>
          <w:rFonts w:ascii="Times New Roman"/>
          <w:sz w:val="24"/>
        </w:rPr>
        <w:t>10000</w:t>
      </w:r>
    </w:p>
    <w:p>
      <w:pPr>
        <w:pStyle w:val="BodyText"/>
        <w:spacing w:before="98"/>
        <w:ind w:left="418"/>
        <w:rPr>
          <w:rFonts w:ascii="Times New Roman" w:hAnsi="Times New Roman" w:eastAsia="Times New Roman"/>
        </w:rPr>
      </w:pPr>
      <w:r>
        <w:rPr/>
        <w:br w:type="column"/>
      </w:r>
      <w:r>
        <w:rPr/>
        <w:t>－</w:t>
      </w:r>
      <w:r>
        <w:rPr>
          <w:rFonts w:ascii="Times New Roman" w:hAnsi="Times New Roman" w:eastAsia="Times New Roman"/>
        </w:rPr>
        <w:t>1</w:t>
      </w:r>
      <w:r>
        <w:rPr/>
        <w:t>｝</w:t>
      </w:r>
      <w:r>
        <w:rPr>
          <w:rFonts w:ascii="Times New Roman" w:hAnsi="Times New Roman" w:eastAsia="Times New Roman"/>
        </w:rPr>
        <w:t>×100% </w:t>
      </w:r>
      <w:r>
        <w:rPr/>
        <w:t>；其中，</w:t>
      </w:r>
      <w:r>
        <w:rPr>
          <w:rFonts w:ascii="Times New Roman" w:hAnsi="Times New Roman" w:eastAsia="Times New Roman"/>
        </w:rPr>
        <w:t>Ri</w:t>
      </w:r>
    </w:p>
    <w:p>
      <w:pPr>
        <w:spacing w:after="0"/>
        <w:rPr>
          <w:rFonts w:ascii="Times New Roman" w:hAnsi="Times New Roman" w:eastAsia="Times New Roman"/>
        </w:rPr>
        <w:sectPr>
          <w:type w:val="continuous"/>
          <w:pgSz w:w="11910" w:h="16840"/>
          <w:pgMar w:top="1580" w:bottom="280" w:left="1020" w:right="900"/>
          <w:cols w:num="4" w:equalWidth="0">
            <w:col w:w="5030" w:space="40"/>
            <w:col w:w="309" w:space="39"/>
            <w:col w:w="1018" w:space="40"/>
            <w:col w:w="3514"/>
          </w:cols>
        </w:sectPr>
      </w:pPr>
    </w:p>
    <w:p>
      <w:pPr>
        <w:pStyle w:val="BodyText"/>
        <w:spacing w:before="9"/>
        <w:rPr>
          <w:rFonts w:ascii="Times New Roman"/>
          <w:sz w:val="8"/>
        </w:rPr>
      </w:pPr>
    </w:p>
    <w:p>
      <w:pPr>
        <w:pStyle w:val="BodyText"/>
        <w:spacing w:before="78"/>
        <w:ind w:left="778"/>
      </w:pPr>
      <w:r>
        <w:rPr/>
        <w:t>为最近第</w:t>
      </w:r>
      <w:r>
        <w:rPr>
          <w:rFonts w:ascii="Times New Roman" w:eastAsia="Times New Roman"/>
        </w:rPr>
        <w:t>i</w:t>
      </w:r>
      <w:r>
        <w:rPr/>
        <w:t>个自然日（包括计算当日）的每万份基金净收益。</w:t>
      </w:r>
    </w:p>
    <w:p>
      <w:pPr>
        <w:pStyle w:val="BodyText"/>
        <w:spacing w:before="7"/>
        <w:rPr>
          <w:sz w:val="15"/>
        </w:rPr>
      </w:pPr>
    </w:p>
    <w:p>
      <w:pPr>
        <w:pStyle w:val="BodyText"/>
        <w:ind w:left="1198"/>
      </w:pPr>
      <w:r>
        <w:rPr/>
        <w:t>每万份基金净收益应保留至小数点后第</w:t>
      </w:r>
      <w:r>
        <w:rPr>
          <w:rFonts w:ascii="Times New Roman" w:eastAsia="Times New Roman"/>
        </w:rPr>
        <w:t>4</w:t>
      </w:r>
      <w:r>
        <w:rPr/>
        <w:t>位，</w:t>
      </w:r>
      <w:r>
        <w:rPr>
          <w:rFonts w:ascii="Times New Roman" w:eastAsia="Times New Roman"/>
        </w:rPr>
        <w:t>7</w:t>
      </w:r>
      <w:r>
        <w:rPr/>
        <w:t>日年化收益率保留至小数点后第</w:t>
      </w:r>
      <w:r>
        <w:rPr>
          <w:rFonts w:ascii="Times New Roman" w:eastAsia="Times New Roman"/>
        </w:rPr>
        <w:t>3</w:t>
      </w:r>
      <w:r>
        <w:rPr/>
        <w:t>位。</w:t>
      </w:r>
    </w:p>
    <w:p>
      <w:pPr>
        <w:pStyle w:val="BodyText"/>
        <w:spacing w:before="7"/>
        <w:rPr>
          <w:sz w:val="15"/>
        </w:rPr>
      </w:pPr>
    </w:p>
    <w:p>
      <w:pPr>
        <w:pStyle w:val="BodyText"/>
        <w:ind w:left="1198"/>
      </w:pPr>
      <w:r>
        <w:rPr>
          <w:rFonts w:ascii="Times New Roman" w:eastAsia="Times New Roman"/>
        </w:rPr>
        <w:t>3</w:t>
      </w:r>
      <w:r>
        <w:rPr/>
        <w:t>、法律法规或监管机关对基金收益公告的内容与格式另有规定的，从其规定。</w:t>
      </w:r>
    </w:p>
    <w:p>
      <w:pPr>
        <w:pStyle w:val="BodyText"/>
        <w:spacing w:before="7"/>
        <w:rPr>
          <w:sz w:val="15"/>
        </w:rPr>
      </w:pPr>
    </w:p>
    <w:p>
      <w:pPr>
        <w:pStyle w:val="BodyText"/>
        <w:ind w:left="1198"/>
      </w:pPr>
      <w:r>
        <w:rPr/>
        <w:t>（五）收益分配中发生的费用</w:t>
      </w:r>
    </w:p>
    <w:p>
      <w:pPr>
        <w:spacing w:after="0"/>
        <w:sectPr>
          <w:type w:val="continuous"/>
          <w:pgSz w:w="11910" w:h="16840"/>
          <w:pgMar w:top="1580" w:bottom="280" w:left="1020" w:right="900"/>
        </w:sectPr>
      </w:pPr>
    </w:p>
    <w:p>
      <w:pPr>
        <w:pStyle w:val="BodyText"/>
        <w:spacing w:before="7"/>
        <w:rPr>
          <w:sz w:val="12"/>
        </w:rPr>
      </w:pPr>
    </w:p>
    <w:p>
      <w:pPr>
        <w:pStyle w:val="BodyText"/>
        <w:spacing w:before="71"/>
        <w:ind w:left="1198"/>
      </w:pPr>
      <w:r>
        <w:rPr/>
        <w:t>收益分配采用红利再投资方式免收再投资的费用。</w:t>
      </w:r>
    </w:p>
    <w:p>
      <w:pPr>
        <w:pStyle w:val="BodyText"/>
        <w:rPr>
          <w:sz w:val="20"/>
        </w:rPr>
      </w:pPr>
    </w:p>
    <w:p>
      <w:pPr>
        <w:pStyle w:val="BodyText"/>
        <w:spacing w:before="12"/>
        <w:rPr>
          <w:sz w:val="15"/>
        </w:rPr>
      </w:pPr>
    </w:p>
    <w:p>
      <w:pPr>
        <w:pStyle w:val="Heading1"/>
        <w:ind w:right="1337"/>
      </w:pPr>
      <w:bookmarkStart w:name="_bookmark15" w:id="16"/>
      <w:bookmarkEnd w:id="16"/>
      <w:r>
        <w:rPr>
          <w:b w:val="0"/>
        </w:rPr>
      </w:r>
      <w:r>
        <w:rPr/>
        <w:t>十六、基金的费用与税收</w:t>
      </w:r>
    </w:p>
    <w:p>
      <w:pPr>
        <w:pStyle w:val="BodyText"/>
        <w:rPr>
          <w:b/>
          <w:sz w:val="20"/>
        </w:rPr>
      </w:pPr>
    </w:p>
    <w:p>
      <w:pPr>
        <w:pStyle w:val="BodyText"/>
        <w:spacing w:before="7"/>
        <w:rPr>
          <w:b/>
          <w:sz w:val="15"/>
        </w:rPr>
      </w:pPr>
    </w:p>
    <w:p>
      <w:pPr>
        <w:pStyle w:val="BodyText"/>
        <w:spacing w:before="1"/>
        <w:ind w:left="1198"/>
      </w:pPr>
      <w:r>
        <w:rPr/>
        <w:t>（一）与基金运作有关的费用</w:t>
      </w:r>
    </w:p>
    <w:p>
      <w:pPr>
        <w:pStyle w:val="BodyText"/>
        <w:spacing w:before="6"/>
        <w:rPr>
          <w:sz w:val="15"/>
        </w:rPr>
      </w:pPr>
    </w:p>
    <w:p>
      <w:pPr>
        <w:pStyle w:val="BodyText"/>
        <w:ind w:left="1198"/>
      </w:pPr>
      <w:r>
        <w:rPr>
          <w:rFonts w:ascii="Times New Roman" w:eastAsia="Times New Roman"/>
        </w:rPr>
        <w:t>1</w:t>
      </w:r>
      <w:r>
        <w:rPr/>
        <w:t>、与基金运作有关的费用种类</w:t>
      </w:r>
    </w:p>
    <w:p>
      <w:pPr>
        <w:pStyle w:val="BodyText"/>
        <w:spacing w:before="7"/>
        <w:rPr>
          <w:sz w:val="15"/>
        </w:rPr>
      </w:pPr>
    </w:p>
    <w:p>
      <w:pPr>
        <w:pStyle w:val="ListParagraph"/>
        <w:numPr>
          <w:ilvl w:val="0"/>
          <w:numId w:val="27"/>
        </w:numPr>
        <w:tabs>
          <w:tab w:pos="1727" w:val="left" w:leader="none"/>
        </w:tabs>
        <w:spacing w:line="240" w:lineRule="auto" w:before="0" w:after="0"/>
        <w:ind w:left="1727" w:right="0" w:hanging="529"/>
        <w:jc w:val="left"/>
        <w:rPr>
          <w:sz w:val="21"/>
        </w:rPr>
      </w:pPr>
      <w:r>
        <w:rPr>
          <w:spacing w:val="-3"/>
          <w:sz w:val="21"/>
        </w:rPr>
        <w:t>基金管理人的管理费。</w:t>
      </w:r>
    </w:p>
    <w:p>
      <w:pPr>
        <w:pStyle w:val="BodyText"/>
        <w:spacing w:before="7"/>
        <w:rPr>
          <w:sz w:val="15"/>
        </w:rPr>
      </w:pPr>
    </w:p>
    <w:p>
      <w:pPr>
        <w:pStyle w:val="ListParagraph"/>
        <w:numPr>
          <w:ilvl w:val="0"/>
          <w:numId w:val="27"/>
        </w:numPr>
        <w:tabs>
          <w:tab w:pos="1727" w:val="left" w:leader="none"/>
        </w:tabs>
        <w:spacing w:line="240" w:lineRule="auto" w:before="0" w:after="0"/>
        <w:ind w:left="1727" w:right="0" w:hanging="529"/>
        <w:jc w:val="left"/>
        <w:rPr>
          <w:sz w:val="21"/>
        </w:rPr>
      </w:pPr>
      <w:r>
        <w:rPr>
          <w:spacing w:val="-3"/>
          <w:sz w:val="21"/>
        </w:rPr>
        <w:t>基金托管人的托管费。</w:t>
      </w:r>
    </w:p>
    <w:p>
      <w:pPr>
        <w:pStyle w:val="BodyText"/>
        <w:spacing w:before="7"/>
        <w:rPr>
          <w:sz w:val="15"/>
        </w:rPr>
      </w:pPr>
    </w:p>
    <w:p>
      <w:pPr>
        <w:pStyle w:val="ListParagraph"/>
        <w:numPr>
          <w:ilvl w:val="0"/>
          <w:numId w:val="27"/>
        </w:numPr>
        <w:tabs>
          <w:tab w:pos="1727" w:val="left" w:leader="none"/>
        </w:tabs>
        <w:spacing w:line="240" w:lineRule="auto" w:before="0" w:after="0"/>
        <w:ind w:left="1727" w:right="0" w:hanging="529"/>
        <w:jc w:val="left"/>
        <w:rPr>
          <w:sz w:val="21"/>
        </w:rPr>
      </w:pPr>
      <w:r>
        <w:rPr>
          <w:spacing w:val="-3"/>
          <w:sz w:val="21"/>
        </w:rPr>
        <w:t>基金销售服务费。</w:t>
      </w:r>
    </w:p>
    <w:p>
      <w:pPr>
        <w:pStyle w:val="BodyText"/>
        <w:spacing w:before="7"/>
        <w:rPr>
          <w:sz w:val="15"/>
        </w:rPr>
      </w:pPr>
    </w:p>
    <w:p>
      <w:pPr>
        <w:pStyle w:val="ListParagraph"/>
        <w:numPr>
          <w:ilvl w:val="0"/>
          <w:numId w:val="27"/>
        </w:numPr>
        <w:tabs>
          <w:tab w:pos="1727" w:val="left" w:leader="none"/>
        </w:tabs>
        <w:spacing w:line="240" w:lineRule="auto" w:before="0" w:after="0"/>
        <w:ind w:left="1727" w:right="0" w:hanging="529"/>
        <w:jc w:val="left"/>
        <w:rPr>
          <w:sz w:val="21"/>
        </w:rPr>
      </w:pPr>
      <w:r>
        <w:rPr>
          <w:spacing w:val="-3"/>
          <w:sz w:val="21"/>
        </w:rPr>
        <w:t>证券交易费用。</w:t>
      </w:r>
    </w:p>
    <w:p>
      <w:pPr>
        <w:pStyle w:val="BodyText"/>
        <w:spacing w:before="7"/>
        <w:rPr>
          <w:sz w:val="15"/>
        </w:rPr>
      </w:pPr>
    </w:p>
    <w:p>
      <w:pPr>
        <w:pStyle w:val="ListParagraph"/>
        <w:numPr>
          <w:ilvl w:val="0"/>
          <w:numId w:val="27"/>
        </w:numPr>
        <w:tabs>
          <w:tab w:pos="1727" w:val="left" w:leader="none"/>
        </w:tabs>
        <w:spacing w:line="240" w:lineRule="auto" w:before="0" w:after="0"/>
        <w:ind w:left="1727" w:right="0" w:hanging="529"/>
        <w:jc w:val="left"/>
        <w:rPr>
          <w:sz w:val="21"/>
        </w:rPr>
      </w:pPr>
      <w:r>
        <w:rPr>
          <w:spacing w:val="-3"/>
          <w:sz w:val="21"/>
        </w:rPr>
        <w:t>基金份额持有人大会费用。</w:t>
      </w:r>
    </w:p>
    <w:p>
      <w:pPr>
        <w:pStyle w:val="BodyText"/>
        <w:spacing w:before="6"/>
        <w:rPr>
          <w:sz w:val="15"/>
        </w:rPr>
      </w:pPr>
    </w:p>
    <w:p>
      <w:pPr>
        <w:pStyle w:val="ListParagraph"/>
        <w:numPr>
          <w:ilvl w:val="0"/>
          <w:numId w:val="27"/>
        </w:numPr>
        <w:tabs>
          <w:tab w:pos="1727" w:val="left" w:leader="none"/>
        </w:tabs>
        <w:spacing w:line="417" w:lineRule="auto" w:before="0" w:after="0"/>
        <w:ind w:left="778" w:right="889" w:firstLine="419"/>
        <w:jc w:val="left"/>
        <w:rPr>
          <w:sz w:val="21"/>
        </w:rPr>
      </w:pPr>
      <w:r>
        <w:rPr>
          <w:spacing w:val="-3"/>
          <w:sz w:val="21"/>
        </w:rPr>
        <w:t>基金合同生效后与基金相关的会计师费、律师费；除法律法规、中国证监会另有规定外，基金合同生效后与基金相关的信息披露费用。</w:t>
      </w:r>
    </w:p>
    <w:p>
      <w:pPr>
        <w:pStyle w:val="ListParagraph"/>
        <w:numPr>
          <w:ilvl w:val="0"/>
          <w:numId w:val="27"/>
        </w:numPr>
        <w:tabs>
          <w:tab w:pos="1727" w:val="left" w:leader="none"/>
        </w:tabs>
        <w:spacing w:line="269" w:lineRule="exact" w:before="0" w:after="0"/>
        <w:ind w:left="1727" w:right="0" w:hanging="529"/>
        <w:jc w:val="left"/>
        <w:rPr>
          <w:sz w:val="21"/>
        </w:rPr>
      </w:pPr>
      <w:r>
        <w:rPr>
          <w:spacing w:val="-3"/>
          <w:sz w:val="21"/>
        </w:rPr>
        <w:t>其他按照国家有关规定可以列入的费用。</w:t>
      </w:r>
    </w:p>
    <w:p>
      <w:pPr>
        <w:pStyle w:val="BodyText"/>
        <w:spacing w:before="7"/>
        <w:rPr>
          <w:sz w:val="15"/>
        </w:rPr>
      </w:pPr>
    </w:p>
    <w:p>
      <w:pPr>
        <w:pStyle w:val="BodyText"/>
        <w:ind w:left="1198"/>
      </w:pPr>
      <w:r>
        <w:rPr>
          <w:rFonts w:ascii="Times New Roman" w:eastAsia="Times New Roman"/>
        </w:rPr>
        <w:t>2</w:t>
      </w:r>
      <w:r>
        <w:rPr/>
        <w:t>、与基金运作有关费用的计提方法、计提标准和支付方式</w:t>
      </w:r>
    </w:p>
    <w:p>
      <w:pPr>
        <w:pStyle w:val="BodyText"/>
        <w:spacing w:before="7"/>
        <w:rPr>
          <w:sz w:val="15"/>
        </w:rPr>
      </w:pPr>
    </w:p>
    <w:p>
      <w:pPr>
        <w:pStyle w:val="ListParagraph"/>
        <w:numPr>
          <w:ilvl w:val="0"/>
          <w:numId w:val="28"/>
        </w:numPr>
        <w:tabs>
          <w:tab w:pos="1727" w:val="left" w:leader="none"/>
        </w:tabs>
        <w:spacing w:line="240" w:lineRule="auto" w:before="0" w:after="0"/>
        <w:ind w:left="1727" w:right="0" w:hanging="529"/>
        <w:jc w:val="left"/>
        <w:rPr>
          <w:sz w:val="21"/>
        </w:rPr>
      </w:pPr>
      <w:r>
        <w:rPr>
          <w:spacing w:val="-3"/>
          <w:sz w:val="21"/>
        </w:rPr>
        <w:t>基金管理人的管理费</w:t>
      </w:r>
    </w:p>
    <w:p>
      <w:pPr>
        <w:pStyle w:val="BodyText"/>
        <w:spacing w:before="7"/>
        <w:rPr>
          <w:sz w:val="15"/>
        </w:rPr>
      </w:pPr>
    </w:p>
    <w:p>
      <w:pPr>
        <w:pStyle w:val="BodyText"/>
        <w:ind w:left="1198"/>
      </w:pPr>
      <w:r>
        <w:rPr/>
        <w:t>在通常情况下，基金管理费按前一日基金资产净值的</w:t>
      </w:r>
      <w:r>
        <w:rPr>
          <w:rFonts w:ascii="Times New Roman" w:eastAsia="Times New Roman"/>
        </w:rPr>
        <w:t>0.33%</w:t>
      </w:r>
      <w:r>
        <w:rPr/>
        <w:t>年费率计提。计算方法如下：</w:t>
      </w:r>
    </w:p>
    <w:p>
      <w:pPr>
        <w:pStyle w:val="BodyText"/>
        <w:spacing w:before="7"/>
        <w:rPr>
          <w:sz w:val="15"/>
        </w:rPr>
      </w:pPr>
    </w:p>
    <w:p>
      <w:pPr>
        <w:pStyle w:val="BodyText"/>
        <w:ind w:left="1618"/>
      </w:pPr>
      <w:r>
        <w:rPr>
          <w:rFonts w:ascii="Times New Roman" w:hAnsi="Times New Roman" w:eastAsia="Times New Roman"/>
        </w:rPr>
        <w:t>H</w:t>
      </w:r>
      <w:r>
        <w:rPr/>
        <w:t>＝</w:t>
      </w:r>
      <w:r>
        <w:rPr>
          <w:rFonts w:ascii="Times New Roman" w:hAnsi="Times New Roman" w:eastAsia="Times New Roman"/>
        </w:rPr>
        <w:t>E×0.33%÷</w:t>
      </w:r>
      <w:r>
        <w:rPr/>
        <w:t>当年天数</w:t>
      </w:r>
    </w:p>
    <w:p>
      <w:pPr>
        <w:pStyle w:val="BodyText"/>
        <w:spacing w:before="6"/>
        <w:rPr>
          <w:sz w:val="15"/>
        </w:rPr>
      </w:pPr>
    </w:p>
    <w:p>
      <w:pPr>
        <w:pStyle w:val="BodyText"/>
        <w:spacing w:line="417" w:lineRule="auto" w:before="1"/>
        <w:ind w:left="1618" w:right="5692"/>
      </w:pPr>
      <w:r>
        <w:rPr>
          <w:rFonts w:ascii="Times New Roman" w:eastAsia="Times New Roman"/>
        </w:rPr>
        <w:t>H</w:t>
      </w:r>
      <w:r>
        <w:rPr/>
        <w:t>为每日应计提的基金管理费</w:t>
      </w:r>
      <w:r>
        <w:rPr>
          <w:rFonts w:ascii="Times New Roman" w:eastAsia="Times New Roman"/>
        </w:rPr>
        <w:t>E</w:t>
      </w:r>
      <w:r>
        <w:rPr/>
        <w:t>为前一日基金资产净值</w:t>
      </w:r>
    </w:p>
    <w:p>
      <w:pPr>
        <w:pStyle w:val="BodyText"/>
        <w:spacing w:line="417" w:lineRule="auto"/>
        <w:ind w:left="778" w:right="783" w:firstLine="419"/>
      </w:pPr>
      <w:r>
        <w:rPr>
          <w:spacing w:val="-17"/>
        </w:rPr>
        <w:t>基金管理费每日计提，按月支付。由基金管理人向基金托管人发送基金管理费划付指令， </w:t>
      </w:r>
      <w:r>
        <w:rPr>
          <w:spacing w:val="-8"/>
        </w:rPr>
        <w:t>经基金托管人复核后于次月首日起</w:t>
      </w:r>
      <w:r>
        <w:rPr>
          <w:rFonts w:ascii="Times New Roman" w:eastAsia="Times New Roman"/>
          <w:spacing w:val="-3"/>
        </w:rPr>
        <w:t>5</w:t>
      </w:r>
      <w:r>
        <w:rPr>
          <w:spacing w:val="-3"/>
        </w:rPr>
        <w:t>个工作日内从基金财产中一次性支付给基金管理人，若遇法定节假日、休息日，支付日期顺延。</w:t>
      </w:r>
    </w:p>
    <w:p>
      <w:pPr>
        <w:pStyle w:val="ListParagraph"/>
        <w:numPr>
          <w:ilvl w:val="0"/>
          <w:numId w:val="28"/>
        </w:numPr>
        <w:tabs>
          <w:tab w:pos="1727" w:val="left" w:leader="none"/>
        </w:tabs>
        <w:spacing w:line="240" w:lineRule="auto" w:before="0" w:after="0"/>
        <w:ind w:left="1727" w:right="0" w:hanging="529"/>
        <w:jc w:val="left"/>
        <w:rPr>
          <w:sz w:val="21"/>
        </w:rPr>
      </w:pPr>
      <w:r>
        <w:rPr>
          <w:spacing w:val="-3"/>
          <w:sz w:val="21"/>
        </w:rPr>
        <w:t>基金托管人的托管费</w:t>
      </w:r>
    </w:p>
    <w:p>
      <w:pPr>
        <w:pStyle w:val="BodyText"/>
        <w:spacing w:before="6"/>
        <w:rPr>
          <w:sz w:val="15"/>
        </w:rPr>
      </w:pPr>
    </w:p>
    <w:p>
      <w:pPr>
        <w:pStyle w:val="BodyText"/>
        <w:ind w:left="1198"/>
      </w:pPr>
      <w:r>
        <w:rPr/>
        <w:t>在通常情况下，基金托管费按前一日基金资产净值的</w:t>
      </w:r>
      <w:r>
        <w:rPr>
          <w:rFonts w:ascii="Times New Roman" w:eastAsia="Times New Roman"/>
        </w:rPr>
        <w:t>0.1%</w:t>
      </w:r>
      <w:r>
        <w:rPr/>
        <w:t>年费率计提。计算方法如下：</w:t>
      </w:r>
    </w:p>
    <w:p>
      <w:pPr>
        <w:pStyle w:val="BodyText"/>
        <w:spacing w:before="7"/>
        <w:rPr>
          <w:sz w:val="15"/>
        </w:rPr>
      </w:pPr>
    </w:p>
    <w:p>
      <w:pPr>
        <w:pStyle w:val="BodyText"/>
        <w:ind w:left="1618"/>
      </w:pPr>
      <w:r>
        <w:rPr>
          <w:rFonts w:ascii="Times New Roman" w:hAnsi="Times New Roman" w:eastAsia="Times New Roman"/>
        </w:rPr>
        <w:t>H=E×0.1%÷</w:t>
      </w:r>
      <w:r>
        <w:rPr/>
        <w:t>当年天数</w:t>
      </w:r>
    </w:p>
    <w:p>
      <w:pPr>
        <w:pStyle w:val="BodyText"/>
        <w:spacing w:before="6"/>
        <w:rPr>
          <w:sz w:val="15"/>
        </w:rPr>
      </w:pPr>
    </w:p>
    <w:p>
      <w:pPr>
        <w:pStyle w:val="BodyText"/>
        <w:spacing w:line="417" w:lineRule="auto" w:before="1"/>
        <w:ind w:left="1618" w:right="5692"/>
      </w:pPr>
      <w:r>
        <w:rPr>
          <w:rFonts w:ascii="Times New Roman" w:eastAsia="Times New Roman"/>
        </w:rPr>
        <w:t>H</w:t>
      </w:r>
      <w:r>
        <w:rPr/>
        <w:t>为每日应计提的基金托管费</w:t>
      </w:r>
      <w:r>
        <w:rPr>
          <w:rFonts w:ascii="Times New Roman" w:eastAsia="Times New Roman"/>
        </w:rPr>
        <w:t>E</w:t>
      </w:r>
      <w:r>
        <w:rPr/>
        <w:t>为前一日基金资产净值</w:t>
      </w:r>
    </w:p>
    <w:p>
      <w:pPr>
        <w:pStyle w:val="BodyText"/>
        <w:spacing w:line="417" w:lineRule="auto"/>
        <w:ind w:left="778" w:right="783" w:firstLine="419"/>
      </w:pPr>
      <w:r>
        <w:rPr>
          <w:spacing w:val="-17"/>
        </w:rPr>
        <w:t>基金托管费每日计提，按月支付。由基金管理人向基金托管人发送基金托管费划付指令， </w:t>
      </w:r>
      <w:r>
        <w:rPr>
          <w:spacing w:val="-8"/>
        </w:rPr>
        <w:t>基金托管人复核后于次月首日起</w:t>
      </w:r>
      <w:r>
        <w:rPr>
          <w:rFonts w:ascii="Times New Roman" w:eastAsia="Times New Roman"/>
        </w:rPr>
        <w:t>5</w:t>
      </w:r>
      <w:r>
        <w:rPr>
          <w:spacing w:val="-3"/>
        </w:rPr>
        <w:t>个工作日内从基金财产中一次性支付给基金托管人，若遇法定节假日、休息日，支付日期顺延。</w:t>
      </w:r>
    </w:p>
    <w:p>
      <w:pPr>
        <w:spacing w:after="0" w:line="417" w:lineRule="auto"/>
        <w:sectPr>
          <w:pgSz w:w="11910" w:h="16840"/>
          <w:pgMar w:header="877" w:footer="995" w:top="1280" w:bottom="1180" w:left="1020" w:right="900"/>
        </w:sectPr>
      </w:pPr>
    </w:p>
    <w:p>
      <w:pPr>
        <w:pStyle w:val="BodyText"/>
        <w:rPr>
          <w:sz w:val="12"/>
        </w:rPr>
      </w:pPr>
    </w:p>
    <w:p>
      <w:pPr>
        <w:pStyle w:val="ListParagraph"/>
        <w:numPr>
          <w:ilvl w:val="0"/>
          <w:numId w:val="28"/>
        </w:numPr>
        <w:tabs>
          <w:tab w:pos="1727" w:val="left" w:leader="none"/>
        </w:tabs>
        <w:spacing w:line="240" w:lineRule="auto" w:before="78" w:after="0"/>
        <w:ind w:left="1727" w:right="0" w:hanging="529"/>
        <w:jc w:val="left"/>
        <w:rPr>
          <w:sz w:val="21"/>
        </w:rPr>
      </w:pPr>
      <w:r>
        <w:rPr>
          <w:spacing w:val="-3"/>
          <w:sz w:val="21"/>
        </w:rPr>
        <w:t>基金销售服务费</w:t>
      </w:r>
    </w:p>
    <w:p>
      <w:pPr>
        <w:pStyle w:val="BodyText"/>
        <w:spacing w:before="7"/>
        <w:rPr>
          <w:sz w:val="15"/>
        </w:rPr>
      </w:pPr>
    </w:p>
    <w:p>
      <w:pPr>
        <w:pStyle w:val="BodyText"/>
        <w:spacing w:line="417" w:lineRule="auto"/>
        <w:ind w:left="778" w:right="825" w:firstLine="419"/>
      </w:pPr>
      <w:r>
        <w:rPr/>
        <w:t>本基金 </w:t>
      </w:r>
      <w:r>
        <w:rPr>
          <w:rFonts w:ascii="Times New Roman" w:eastAsia="Times New Roman"/>
        </w:rPr>
        <w:t>A/E </w:t>
      </w:r>
      <w:r>
        <w:rPr/>
        <w:t>类基金份额的销售服务费年费率为 </w:t>
      </w:r>
      <w:r>
        <w:rPr>
          <w:rFonts w:ascii="Times New Roman" w:eastAsia="Times New Roman"/>
        </w:rPr>
        <w:t>0.25%</w:t>
      </w:r>
      <w:r>
        <w:rPr/>
        <w:t>，本基金 </w:t>
      </w:r>
      <w:r>
        <w:rPr>
          <w:rFonts w:ascii="Times New Roman" w:eastAsia="Times New Roman"/>
        </w:rPr>
        <w:t>B </w:t>
      </w:r>
      <w:r>
        <w:rPr/>
        <w:t>类基金份额的销售服务费年费率为 </w:t>
      </w:r>
      <w:r>
        <w:rPr>
          <w:rFonts w:ascii="Times New Roman" w:eastAsia="Times New Roman"/>
        </w:rPr>
        <w:t>0.01%</w:t>
      </w:r>
      <w:r>
        <w:rPr/>
        <w:t>。</w:t>
      </w:r>
    </w:p>
    <w:p>
      <w:pPr>
        <w:pStyle w:val="BodyText"/>
        <w:spacing w:line="269" w:lineRule="exact"/>
        <w:ind w:left="1198"/>
      </w:pPr>
      <w:r>
        <w:rPr/>
        <w:t>各类别基金份额的基金销售服务费计提的计算公式如下：</w:t>
      </w:r>
    </w:p>
    <w:p>
      <w:pPr>
        <w:pStyle w:val="BodyText"/>
        <w:spacing w:before="7"/>
        <w:rPr>
          <w:sz w:val="15"/>
        </w:rPr>
      </w:pPr>
    </w:p>
    <w:p>
      <w:pPr>
        <w:pStyle w:val="BodyText"/>
        <w:ind w:left="1198"/>
      </w:pPr>
      <w:r>
        <w:rPr>
          <w:rFonts w:ascii="Times New Roman" w:hAnsi="Times New Roman" w:eastAsia="Times New Roman"/>
        </w:rPr>
        <w:t>H</w:t>
      </w:r>
      <w:r>
        <w:rPr/>
        <w:t>＝</w:t>
      </w:r>
      <w:r>
        <w:rPr>
          <w:rFonts w:ascii="Times New Roman" w:hAnsi="Times New Roman" w:eastAsia="Times New Roman"/>
        </w:rPr>
        <w:t>E×R÷</w:t>
      </w:r>
      <w:r>
        <w:rPr/>
        <w:t>当年天数</w:t>
      </w:r>
    </w:p>
    <w:p>
      <w:pPr>
        <w:pStyle w:val="BodyText"/>
        <w:spacing w:before="6"/>
        <w:rPr>
          <w:sz w:val="15"/>
        </w:rPr>
      </w:pPr>
    </w:p>
    <w:p>
      <w:pPr>
        <w:pStyle w:val="BodyText"/>
        <w:spacing w:before="1"/>
        <w:ind w:left="1198"/>
      </w:pPr>
      <w:r>
        <w:rPr>
          <w:rFonts w:ascii="Times New Roman" w:eastAsia="Times New Roman"/>
        </w:rPr>
        <w:t>H </w:t>
      </w:r>
      <w:r>
        <w:rPr/>
        <w:t>为各类别基金份额每日应计提的基金销售服务费</w:t>
      </w:r>
    </w:p>
    <w:p>
      <w:pPr>
        <w:pStyle w:val="BodyText"/>
        <w:spacing w:before="6"/>
        <w:rPr>
          <w:sz w:val="15"/>
        </w:rPr>
      </w:pPr>
    </w:p>
    <w:p>
      <w:pPr>
        <w:pStyle w:val="BodyText"/>
        <w:ind w:left="1198"/>
      </w:pPr>
      <w:r>
        <w:rPr>
          <w:rFonts w:ascii="Times New Roman" w:eastAsia="Times New Roman"/>
        </w:rPr>
        <w:t>E </w:t>
      </w:r>
      <w:r>
        <w:rPr/>
        <w:t>为各类别基金份额前一日的基金资产净值</w:t>
      </w:r>
    </w:p>
    <w:p>
      <w:pPr>
        <w:pStyle w:val="BodyText"/>
        <w:spacing w:before="7"/>
        <w:rPr>
          <w:sz w:val="15"/>
        </w:rPr>
      </w:pPr>
    </w:p>
    <w:p>
      <w:pPr>
        <w:pStyle w:val="BodyText"/>
        <w:spacing w:before="1"/>
        <w:ind w:left="1198"/>
      </w:pPr>
      <w:r>
        <w:rPr>
          <w:rFonts w:ascii="Times New Roman" w:eastAsia="Times New Roman"/>
        </w:rPr>
        <w:t>R </w:t>
      </w:r>
      <w:r>
        <w:rPr/>
        <w:t>为各类别基金份额适用的基金销售服务费率</w:t>
      </w:r>
    </w:p>
    <w:p>
      <w:pPr>
        <w:pStyle w:val="BodyText"/>
        <w:spacing w:before="6"/>
        <w:rPr>
          <w:sz w:val="15"/>
        </w:rPr>
      </w:pPr>
    </w:p>
    <w:p>
      <w:pPr>
        <w:pStyle w:val="BodyText"/>
        <w:spacing w:line="417" w:lineRule="auto"/>
        <w:ind w:left="778" w:right="785" w:firstLine="419"/>
      </w:pPr>
      <w:r>
        <w:rPr>
          <w:spacing w:val="-10"/>
        </w:rPr>
        <w:t>基金销售服务费每日计提，按月支付。由基金管理人向基金托管人发送销售服务费划付</w:t>
      </w:r>
      <w:r>
        <w:rPr>
          <w:spacing w:val="-9"/>
        </w:rPr>
        <w:t>指令，经基金托管人复核后于次月首日起</w:t>
      </w:r>
      <w:r>
        <w:rPr>
          <w:rFonts w:ascii="Times New Roman" w:eastAsia="Times New Roman"/>
        </w:rPr>
        <w:t>5</w:t>
      </w:r>
      <w:r>
        <w:rPr>
          <w:spacing w:val="-7"/>
        </w:rPr>
        <w:t>个工作日内从基金资产中划出，若遇法定节假日、</w:t>
      </w:r>
      <w:r>
        <w:rPr>
          <w:spacing w:val="-5"/>
        </w:rPr>
        <w:t>休息日，支付日期顺延。</w:t>
      </w:r>
    </w:p>
    <w:p>
      <w:pPr>
        <w:pStyle w:val="ListParagraph"/>
        <w:numPr>
          <w:ilvl w:val="0"/>
          <w:numId w:val="28"/>
        </w:numPr>
        <w:tabs>
          <w:tab w:pos="1725" w:val="left" w:leader="none"/>
        </w:tabs>
        <w:spacing w:line="417" w:lineRule="auto" w:before="0" w:after="0"/>
        <w:ind w:left="778" w:right="889" w:firstLine="419"/>
        <w:jc w:val="left"/>
        <w:rPr>
          <w:sz w:val="21"/>
        </w:rPr>
      </w:pPr>
      <w:r>
        <w:rPr>
          <w:spacing w:val="-2"/>
          <w:sz w:val="21"/>
        </w:rPr>
        <w:t>本条第</w:t>
      </w:r>
      <w:r>
        <w:rPr>
          <w:rFonts w:ascii="Times New Roman" w:eastAsia="Times New Roman"/>
          <w:spacing w:val="-3"/>
          <w:sz w:val="21"/>
        </w:rPr>
        <w:t>1</w:t>
      </w:r>
      <w:r>
        <w:rPr>
          <w:spacing w:val="-10"/>
          <w:sz w:val="21"/>
        </w:rPr>
        <w:t>款第</w:t>
      </w:r>
      <w:r>
        <w:rPr>
          <w:spacing w:val="-8"/>
          <w:sz w:val="21"/>
        </w:rPr>
        <w:t>（</w:t>
      </w:r>
      <w:r>
        <w:rPr>
          <w:rFonts w:ascii="Times New Roman" w:eastAsia="Times New Roman"/>
          <w:spacing w:val="-8"/>
          <w:sz w:val="21"/>
        </w:rPr>
        <w:t>4</w:t>
      </w:r>
      <w:r>
        <w:rPr>
          <w:spacing w:val="-8"/>
          <w:sz w:val="21"/>
        </w:rPr>
        <w:t>）</w:t>
      </w:r>
      <w:r>
        <w:rPr>
          <w:spacing w:val="-10"/>
          <w:sz w:val="21"/>
        </w:rPr>
        <w:t>至第</w:t>
      </w:r>
      <w:r>
        <w:rPr>
          <w:spacing w:val="-8"/>
          <w:sz w:val="21"/>
        </w:rPr>
        <w:t>（</w:t>
      </w:r>
      <w:r>
        <w:rPr>
          <w:rFonts w:ascii="Times New Roman" w:eastAsia="Times New Roman"/>
          <w:spacing w:val="-8"/>
          <w:sz w:val="21"/>
        </w:rPr>
        <w:t>7</w:t>
      </w:r>
      <w:r>
        <w:rPr>
          <w:spacing w:val="-8"/>
          <w:sz w:val="21"/>
        </w:rPr>
        <w:t>）</w:t>
      </w:r>
      <w:r>
        <w:rPr>
          <w:spacing w:val="-3"/>
          <w:sz w:val="21"/>
        </w:rPr>
        <w:t>项费用由基金托管人根据有关法规及相关合同等的规定，按费用实际支出金额支付。</w:t>
      </w:r>
    </w:p>
    <w:p>
      <w:pPr>
        <w:pStyle w:val="BodyText"/>
        <w:spacing w:line="269" w:lineRule="exact"/>
        <w:ind w:left="1198"/>
      </w:pPr>
      <w:r>
        <w:rPr>
          <w:rFonts w:ascii="Times New Roman" w:eastAsia="Times New Roman"/>
        </w:rPr>
        <w:t>3</w:t>
      </w:r>
      <w:r>
        <w:rPr/>
        <w:t>、不列入基金费用的项目</w:t>
      </w:r>
    </w:p>
    <w:p>
      <w:pPr>
        <w:pStyle w:val="BodyText"/>
        <w:spacing w:before="7"/>
        <w:rPr>
          <w:sz w:val="15"/>
        </w:rPr>
      </w:pPr>
    </w:p>
    <w:p>
      <w:pPr>
        <w:pStyle w:val="BodyText"/>
        <w:spacing w:line="417" w:lineRule="auto"/>
        <w:ind w:left="778" w:right="890" w:firstLine="419"/>
      </w:pPr>
      <w:r>
        <w:rPr/>
        <w:t>基金管理人和基金托管人因未履行或未完全履行义务导致的费用支出或基金财产的损失，以及处理与基金运作无关事项发生的费用等不列入基金费用。</w:t>
      </w:r>
    </w:p>
    <w:p>
      <w:pPr>
        <w:pStyle w:val="BodyText"/>
        <w:spacing w:line="269" w:lineRule="exact"/>
        <w:ind w:left="1198"/>
      </w:pPr>
      <w:r>
        <w:rPr>
          <w:rFonts w:ascii="Times New Roman" w:eastAsia="Times New Roman"/>
        </w:rPr>
        <w:t>4</w:t>
      </w:r>
      <w:r>
        <w:rPr/>
        <w:t>、基金管理费、基金托管费和基金销售服务费的调整</w:t>
      </w:r>
    </w:p>
    <w:p>
      <w:pPr>
        <w:pStyle w:val="BodyText"/>
        <w:spacing w:before="7"/>
        <w:rPr>
          <w:sz w:val="15"/>
        </w:rPr>
      </w:pPr>
    </w:p>
    <w:p>
      <w:pPr>
        <w:pStyle w:val="BodyText"/>
        <w:spacing w:line="417" w:lineRule="auto"/>
        <w:ind w:left="778" w:right="889" w:firstLine="419"/>
        <w:jc w:val="both"/>
      </w:pPr>
      <w:r>
        <w:rPr>
          <w:spacing w:val="-6"/>
        </w:rPr>
        <w:t>基金管理人和基金托管人可根据基金规模等因素协商酌情调低基金管理费率、基金托管</w:t>
      </w:r>
      <w:r>
        <w:rPr>
          <w:spacing w:val="-10"/>
        </w:rPr>
        <w:t>费率和基金销售服务费率，无须召开基金份额持有人大会。提高上述费率需经基金份额持有</w:t>
      </w:r>
      <w:r>
        <w:rPr>
          <w:spacing w:val="-5"/>
        </w:rPr>
        <w:t>人大会决议通过。</w:t>
      </w:r>
    </w:p>
    <w:p>
      <w:pPr>
        <w:pStyle w:val="BodyText"/>
        <w:spacing w:line="269" w:lineRule="exact"/>
        <w:ind w:left="1198"/>
      </w:pPr>
      <w:r>
        <w:rPr/>
        <w:t>（二）与基金销售有关的费用</w:t>
      </w:r>
    </w:p>
    <w:p>
      <w:pPr>
        <w:pStyle w:val="BodyText"/>
        <w:spacing w:before="7"/>
        <w:rPr>
          <w:sz w:val="15"/>
        </w:rPr>
      </w:pPr>
    </w:p>
    <w:p>
      <w:pPr>
        <w:pStyle w:val="BodyText"/>
        <w:ind w:left="1198"/>
      </w:pPr>
      <w:r>
        <w:rPr>
          <w:rFonts w:ascii="Times New Roman" w:eastAsia="Times New Roman"/>
        </w:rPr>
        <w:t>1</w:t>
      </w:r>
      <w:r>
        <w:rPr/>
        <w:t>、本基金不收取申购费用与赎回费用。</w:t>
      </w:r>
    </w:p>
    <w:p>
      <w:pPr>
        <w:pStyle w:val="BodyText"/>
        <w:spacing w:before="7"/>
        <w:rPr>
          <w:sz w:val="15"/>
        </w:rPr>
      </w:pPr>
    </w:p>
    <w:p>
      <w:pPr>
        <w:pStyle w:val="BodyText"/>
        <w:spacing w:line="417" w:lineRule="auto"/>
        <w:ind w:left="778" w:right="783" w:firstLine="419"/>
      </w:pPr>
      <w:r>
        <w:rPr>
          <w:rFonts w:ascii="Times New Roman" w:hAnsi="Times New Roman" w:eastAsia="Times New Roman"/>
        </w:rPr>
        <w:t>2</w:t>
      </w:r>
      <w:r>
        <w:rPr>
          <w:spacing w:val="-20"/>
        </w:rPr>
        <w:t>、本基金转换费的费率水平、计算公式、收取方式和使用方式请详见本招募说明书“八、</w:t>
      </w:r>
      <w:r>
        <w:rPr>
          <w:spacing w:val="-8"/>
        </w:rPr>
        <w:t>基金份额的申购、赎回与转换”中的“</w:t>
      </w:r>
      <w:r>
        <w:rPr/>
        <w:t>（</w:t>
      </w:r>
      <w:r>
        <w:rPr>
          <w:spacing w:val="-2"/>
        </w:rPr>
        <w:t>十二</w:t>
      </w:r>
      <w:r>
        <w:rPr/>
        <w:t>）</w:t>
      </w:r>
      <w:r>
        <w:rPr>
          <w:spacing w:val="-3"/>
        </w:rPr>
        <w:t>基金份额的转换”中的相关规定。</w:t>
      </w:r>
    </w:p>
    <w:p>
      <w:pPr>
        <w:pStyle w:val="BodyText"/>
        <w:spacing w:line="269" w:lineRule="exact"/>
        <w:ind w:left="1198"/>
      </w:pPr>
      <w:r>
        <w:rPr/>
        <w:t>（三）基金税收</w:t>
      </w:r>
    </w:p>
    <w:p>
      <w:pPr>
        <w:pStyle w:val="BodyText"/>
        <w:spacing w:before="6"/>
        <w:rPr>
          <w:sz w:val="15"/>
        </w:rPr>
      </w:pPr>
    </w:p>
    <w:p>
      <w:pPr>
        <w:spacing w:line="650" w:lineRule="auto" w:before="1"/>
        <w:ind w:left="3773" w:right="1429" w:hanging="2576"/>
        <w:jc w:val="left"/>
        <w:rPr>
          <w:b/>
          <w:sz w:val="21"/>
        </w:rPr>
      </w:pPr>
      <w:r>
        <w:rPr>
          <w:sz w:val="21"/>
        </w:rPr>
        <w:t>本基金运作过程中涉及的各纳税主体，依照国家法律法规的规定履行纳税义务。</w:t>
      </w:r>
      <w:bookmarkStart w:name="_bookmark16" w:id="17"/>
      <w:bookmarkEnd w:id="17"/>
      <w:r>
        <w:rPr>
          <w:sz w:val="21"/>
        </w:rPr>
      </w:r>
      <w:r>
        <w:rPr>
          <w:b/>
          <w:sz w:val="21"/>
        </w:rPr>
        <w:t>十七、基金的会计与审计</w:t>
      </w:r>
    </w:p>
    <w:p>
      <w:pPr>
        <w:pStyle w:val="BodyText"/>
        <w:spacing w:line="266" w:lineRule="exact"/>
        <w:ind w:left="1198"/>
      </w:pPr>
      <w:r>
        <w:rPr/>
        <w:t>（一）基金会计</w:t>
      </w:r>
    </w:p>
    <w:p>
      <w:pPr>
        <w:pStyle w:val="BodyText"/>
        <w:spacing w:before="6"/>
        <w:rPr>
          <w:sz w:val="15"/>
        </w:rPr>
      </w:pPr>
    </w:p>
    <w:p>
      <w:pPr>
        <w:pStyle w:val="BodyText"/>
        <w:ind w:left="1198"/>
      </w:pPr>
      <w:r>
        <w:rPr>
          <w:rFonts w:ascii="Times New Roman" w:eastAsia="Times New Roman"/>
        </w:rPr>
        <w:t>1</w:t>
      </w:r>
      <w:r>
        <w:rPr/>
        <w:t>、基金的会计年度为公历每年</w:t>
      </w:r>
      <w:r>
        <w:rPr>
          <w:rFonts w:ascii="Times New Roman" w:eastAsia="Times New Roman"/>
        </w:rPr>
        <w:t>1</w:t>
      </w:r>
      <w:r>
        <w:rPr/>
        <w:t>月</w:t>
      </w:r>
      <w:r>
        <w:rPr>
          <w:rFonts w:ascii="Times New Roman" w:eastAsia="Times New Roman"/>
        </w:rPr>
        <w:t>1</w:t>
      </w:r>
      <w:r>
        <w:rPr/>
        <w:t>日至</w:t>
      </w:r>
      <w:r>
        <w:rPr>
          <w:rFonts w:ascii="Times New Roman" w:eastAsia="Times New Roman"/>
        </w:rPr>
        <w:t>12</w:t>
      </w:r>
      <w:r>
        <w:rPr/>
        <w:t>月</w:t>
      </w:r>
      <w:r>
        <w:rPr>
          <w:rFonts w:ascii="Times New Roman" w:eastAsia="Times New Roman"/>
        </w:rPr>
        <w:t>31</w:t>
      </w:r>
      <w:r>
        <w:rPr/>
        <w:t>日。</w:t>
      </w:r>
    </w:p>
    <w:p>
      <w:pPr>
        <w:spacing w:after="0"/>
        <w:sectPr>
          <w:footerReference w:type="default" r:id="rId214"/>
          <w:pgSz w:w="11910" w:h="16840"/>
          <w:pgMar w:footer="995" w:header="877" w:top="1280" w:bottom="1180" w:left="1020" w:right="900"/>
          <w:pgNumType w:start="120"/>
        </w:sectPr>
      </w:pPr>
    </w:p>
    <w:p>
      <w:pPr>
        <w:pStyle w:val="BodyText"/>
        <w:rPr>
          <w:sz w:val="12"/>
        </w:rPr>
      </w:pPr>
    </w:p>
    <w:p>
      <w:pPr>
        <w:pStyle w:val="BodyText"/>
        <w:spacing w:before="78"/>
        <w:ind w:left="1198"/>
      </w:pPr>
      <w:r>
        <w:rPr>
          <w:rFonts w:ascii="Times New Roman" w:eastAsia="Times New Roman"/>
        </w:rPr>
        <w:t>2</w:t>
      </w:r>
      <w:r>
        <w:rPr/>
        <w:t>、基金核算以人民币为记账本位币，以人民币元为记账单位。</w:t>
      </w:r>
    </w:p>
    <w:p>
      <w:pPr>
        <w:pStyle w:val="BodyText"/>
        <w:spacing w:before="7"/>
        <w:rPr>
          <w:sz w:val="15"/>
        </w:rPr>
      </w:pPr>
    </w:p>
    <w:p>
      <w:pPr>
        <w:pStyle w:val="BodyText"/>
        <w:ind w:left="1198"/>
      </w:pPr>
      <w:r>
        <w:rPr>
          <w:rFonts w:ascii="Times New Roman" w:eastAsia="Times New Roman"/>
        </w:rPr>
        <w:t>3</w:t>
      </w:r>
      <w:r>
        <w:rPr/>
        <w:t>、会计核算制度按国家有关的会计制度执行。</w:t>
      </w:r>
    </w:p>
    <w:p>
      <w:pPr>
        <w:pStyle w:val="BodyText"/>
        <w:spacing w:before="7"/>
        <w:rPr>
          <w:sz w:val="15"/>
        </w:rPr>
      </w:pPr>
    </w:p>
    <w:p>
      <w:pPr>
        <w:pStyle w:val="BodyText"/>
        <w:ind w:left="1198"/>
      </w:pPr>
      <w:r>
        <w:rPr>
          <w:rFonts w:ascii="Times New Roman" w:eastAsia="Times New Roman"/>
        </w:rPr>
        <w:t>4</w:t>
      </w:r>
      <w:r>
        <w:rPr/>
        <w:t>、本基金独立建账、独立核算。</w:t>
      </w:r>
    </w:p>
    <w:p>
      <w:pPr>
        <w:pStyle w:val="BodyText"/>
        <w:spacing w:before="6"/>
        <w:rPr>
          <w:sz w:val="15"/>
        </w:rPr>
      </w:pPr>
    </w:p>
    <w:p>
      <w:pPr>
        <w:pStyle w:val="BodyText"/>
        <w:spacing w:before="1"/>
        <w:ind w:left="1198"/>
      </w:pPr>
      <w:r>
        <w:rPr>
          <w:rFonts w:ascii="Times New Roman" w:eastAsia="Times New Roman"/>
        </w:rPr>
        <w:t>5</w:t>
      </w:r>
      <w:r>
        <w:rPr/>
        <w:t>、本基金会计责任人为基金管理人。</w:t>
      </w:r>
    </w:p>
    <w:p>
      <w:pPr>
        <w:pStyle w:val="BodyText"/>
        <w:spacing w:before="6"/>
        <w:rPr>
          <w:sz w:val="15"/>
        </w:rPr>
      </w:pPr>
    </w:p>
    <w:p>
      <w:pPr>
        <w:pStyle w:val="BodyText"/>
        <w:spacing w:line="417" w:lineRule="auto"/>
        <w:ind w:left="778" w:right="889" w:firstLine="419"/>
      </w:pPr>
      <w:r>
        <w:rPr>
          <w:rFonts w:ascii="Times New Roman" w:eastAsia="Times New Roman"/>
        </w:rPr>
        <w:t>6</w:t>
      </w:r>
      <w:r>
        <w:rPr/>
        <w:t>、基金管理人及基金托管人各自保留完整的基金会计账目、凭证并进行日常的会计核算，按照有关规定编制基金会计报表。</w:t>
      </w:r>
    </w:p>
    <w:p>
      <w:pPr>
        <w:pStyle w:val="BodyText"/>
        <w:spacing w:line="417" w:lineRule="auto"/>
        <w:ind w:left="778" w:right="889" w:firstLine="419"/>
      </w:pPr>
      <w:r>
        <w:rPr>
          <w:rFonts w:ascii="Times New Roman" w:eastAsia="Times New Roman"/>
        </w:rPr>
        <w:t>7</w:t>
      </w:r>
      <w:r>
        <w:rPr/>
        <w:t>、基金托管人每月与基金管理人就基金的会计核算、报表编制等进行核对并以书面方式确认。</w:t>
      </w:r>
    </w:p>
    <w:p>
      <w:pPr>
        <w:pStyle w:val="BodyText"/>
        <w:ind w:left="1198"/>
      </w:pPr>
      <w:r>
        <w:rPr/>
        <w:t>（二）基金审计</w:t>
      </w:r>
    </w:p>
    <w:p>
      <w:pPr>
        <w:pStyle w:val="BodyText"/>
        <w:spacing w:before="7"/>
        <w:rPr>
          <w:sz w:val="15"/>
        </w:rPr>
      </w:pPr>
    </w:p>
    <w:p>
      <w:pPr>
        <w:pStyle w:val="BodyText"/>
        <w:spacing w:line="417" w:lineRule="auto"/>
        <w:ind w:left="778" w:right="889" w:firstLine="419"/>
      </w:pPr>
      <w:r>
        <w:rPr>
          <w:rFonts w:ascii="Times New Roman" w:eastAsia="Times New Roman"/>
        </w:rPr>
        <w:t>1</w:t>
      </w:r>
      <w:r>
        <w:rPr/>
        <w:t>、本基金管理人聘请具有证券从业资格的会计师事务所及其注册会计师对基金进行年度相关审计工作。</w:t>
      </w:r>
    </w:p>
    <w:p>
      <w:pPr>
        <w:pStyle w:val="BodyText"/>
        <w:spacing w:line="269" w:lineRule="exact"/>
        <w:ind w:left="1198"/>
      </w:pPr>
      <w:r>
        <w:rPr>
          <w:rFonts w:ascii="Times New Roman" w:eastAsia="Times New Roman"/>
        </w:rPr>
        <w:t>2</w:t>
      </w:r>
      <w:r>
        <w:rPr/>
        <w:t>、会计师事务所更换经办注册会计师，应事先征得基金管理人和基金托管人同意。</w:t>
      </w:r>
    </w:p>
    <w:p>
      <w:pPr>
        <w:pStyle w:val="BodyText"/>
        <w:spacing w:before="6"/>
        <w:rPr>
          <w:sz w:val="15"/>
        </w:rPr>
      </w:pPr>
    </w:p>
    <w:p>
      <w:pPr>
        <w:pStyle w:val="BodyText"/>
        <w:spacing w:line="417" w:lineRule="auto" w:before="1"/>
        <w:ind w:left="778" w:right="893" w:firstLine="419"/>
      </w:pPr>
      <w:r>
        <w:rPr>
          <w:rFonts w:ascii="Times New Roman" w:eastAsia="Times New Roman"/>
        </w:rPr>
        <w:t>3</w:t>
      </w:r>
      <w:r>
        <w:rPr>
          <w:spacing w:val="-16"/>
        </w:rPr>
        <w:t>、基金管理人</w:t>
      </w:r>
      <w:r>
        <w:rPr/>
        <w:t>（</w:t>
      </w:r>
      <w:r>
        <w:rPr>
          <w:spacing w:val="-3"/>
        </w:rPr>
        <w:t>或基金托管人</w:t>
      </w:r>
      <w:r>
        <w:rPr>
          <w:spacing w:val="-39"/>
        </w:rPr>
        <w:t>）</w:t>
      </w:r>
      <w:r>
        <w:rPr>
          <w:spacing w:val="-8"/>
        </w:rPr>
        <w:t>认为有充足理由更换会计师事务所，经基金托管人</w:t>
      </w:r>
      <w:r>
        <w:rPr>
          <w:spacing w:val="-3"/>
        </w:rPr>
        <w:t>（</w:t>
      </w:r>
      <w:r>
        <w:rPr/>
        <w:t>或</w:t>
      </w:r>
      <w:r>
        <w:rPr>
          <w:spacing w:val="-2"/>
        </w:rPr>
        <w:t>基金管理人</w:t>
      </w:r>
      <w:r>
        <w:rPr/>
        <w:t>）</w:t>
      </w:r>
      <w:r>
        <w:rPr>
          <w:spacing w:val="-3"/>
        </w:rPr>
        <w:t>同意后可以更换。更换会计师事务所需在</w:t>
      </w:r>
      <w:r>
        <w:rPr>
          <w:rFonts w:ascii="Times New Roman" w:eastAsia="Times New Roman"/>
          <w:spacing w:val="-3"/>
        </w:rPr>
        <w:t>2</w:t>
      </w:r>
      <w:r>
        <w:rPr>
          <w:spacing w:val="-3"/>
        </w:rPr>
        <w:t>日内公告。</w:t>
      </w:r>
    </w:p>
    <w:p>
      <w:pPr>
        <w:pStyle w:val="BodyText"/>
        <w:spacing w:before="5"/>
        <w:rPr>
          <w:sz w:val="20"/>
        </w:rPr>
      </w:pPr>
    </w:p>
    <w:p>
      <w:pPr>
        <w:pStyle w:val="Heading1"/>
        <w:ind w:right="1337"/>
      </w:pPr>
      <w:bookmarkStart w:name="_bookmark17" w:id="18"/>
      <w:bookmarkEnd w:id="18"/>
      <w:r>
        <w:rPr>
          <w:b w:val="0"/>
        </w:rPr>
      </w:r>
      <w:r>
        <w:rPr/>
        <w:t>十八、基金的信息披露</w:t>
      </w:r>
    </w:p>
    <w:p>
      <w:pPr>
        <w:pStyle w:val="BodyText"/>
        <w:rPr>
          <w:b/>
          <w:sz w:val="20"/>
        </w:rPr>
      </w:pPr>
    </w:p>
    <w:p>
      <w:pPr>
        <w:pStyle w:val="BodyText"/>
        <w:spacing w:before="7"/>
        <w:rPr>
          <w:b/>
          <w:sz w:val="15"/>
        </w:rPr>
      </w:pPr>
    </w:p>
    <w:p>
      <w:pPr>
        <w:pStyle w:val="BodyText"/>
        <w:spacing w:line="417" w:lineRule="auto"/>
        <w:ind w:left="778" w:right="889" w:firstLine="419"/>
      </w:pPr>
      <w:r>
        <w:rPr/>
        <w:t>（</w:t>
      </w:r>
      <w:r>
        <w:rPr>
          <w:spacing w:val="-3"/>
        </w:rPr>
        <w:t>一</w:t>
      </w:r>
      <w:r>
        <w:rPr>
          <w:spacing w:val="-17"/>
        </w:rPr>
        <w:t>）</w:t>
      </w:r>
      <w:r>
        <w:rPr>
          <w:spacing w:val="-12"/>
        </w:rPr>
        <w:t>本基金的信息披露应符合《基金法》</w:t>
      </w:r>
      <w:r>
        <w:rPr>
          <w:spacing w:val="-23"/>
        </w:rPr>
        <w:t>、《信息披露办法》、《基金合同》及其他有关规定。</w:t>
      </w:r>
    </w:p>
    <w:p>
      <w:pPr>
        <w:pStyle w:val="BodyText"/>
        <w:spacing w:line="269" w:lineRule="exact"/>
        <w:ind w:left="1198"/>
      </w:pPr>
      <w:r>
        <w:rPr/>
        <w:t>（二）信息披露义务人</w:t>
      </w:r>
    </w:p>
    <w:p>
      <w:pPr>
        <w:pStyle w:val="BodyText"/>
        <w:spacing w:before="7"/>
        <w:rPr>
          <w:sz w:val="15"/>
        </w:rPr>
      </w:pPr>
    </w:p>
    <w:p>
      <w:pPr>
        <w:pStyle w:val="BodyText"/>
        <w:spacing w:line="417" w:lineRule="auto"/>
        <w:ind w:left="778" w:right="889" w:firstLine="419"/>
      </w:pPr>
      <w:r>
        <w:rPr>
          <w:spacing w:val="-8"/>
        </w:rPr>
        <w:t>本基金信息披露义务人包括基金管理人、基金托管人、召集基金份额持有人大会的基金</w:t>
      </w:r>
      <w:r>
        <w:rPr>
          <w:spacing w:val="-5"/>
        </w:rPr>
        <w:t>份额持有人等法律、行政法规和中国证监会规定的自然人、法人和非法人组织。</w:t>
      </w:r>
    </w:p>
    <w:p>
      <w:pPr>
        <w:pStyle w:val="BodyText"/>
        <w:spacing w:line="417" w:lineRule="auto"/>
        <w:ind w:left="778" w:right="888" w:firstLine="419"/>
        <w:jc w:val="both"/>
      </w:pPr>
      <w:r>
        <w:rPr>
          <w:spacing w:val="-7"/>
        </w:rPr>
        <w:t>本基金信息披露义务人应当以保护基金份额持有人利益为根本出发点，按照法律、行政</w:t>
      </w:r>
      <w:r>
        <w:rPr>
          <w:spacing w:val="-10"/>
        </w:rPr>
        <w:t>法规和中国证监会的规定披露基金信息，并保证所披露信息的真实性、准确性、完整性、及</w:t>
      </w:r>
      <w:r>
        <w:rPr>
          <w:spacing w:val="-3"/>
        </w:rPr>
        <w:t>时性、简明性和易得性。</w:t>
      </w:r>
    </w:p>
    <w:p>
      <w:pPr>
        <w:pStyle w:val="BodyText"/>
        <w:spacing w:line="417" w:lineRule="auto"/>
        <w:ind w:left="778" w:right="890" w:firstLine="419"/>
        <w:jc w:val="both"/>
      </w:pPr>
      <w:r>
        <w:rPr>
          <w:spacing w:val="-7"/>
        </w:rPr>
        <w:t>本基金信息披露义务人应当在中国证监会规定时间内，将应予披露的基金信息通过中国</w:t>
      </w:r>
      <w:r>
        <w:rPr>
          <w:spacing w:val="-11"/>
        </w:rPr>
        <w:t>证监会指定媒介披露，并保证基金投资者能够按照《基金合同》约定的时间和方式查阅或者</w:t>
      </w:r>
      <w:r>
        <w:rPr>
          <w:spacing w:val="-6"/>
        </w:rPr>
        <w:t>复制公开披露的信息资料。</w:t>
      </w:r>
    </w:p>
    <w:p>
      <w:pPr>
        <w:pStyle w:val="BodyText"/>
        <w:spacing w:line="269" w:lineRule="exact"/>
        <w:ind w:left="1198"/>
      </w:pPr>
      <w:r>
        <w:rPr/>
        <w:t>（三）本基金信息披露义务人承诺公开披露的基金信息，不得有下列行为：</w:t>
      </w:r>
    </w:p>
    <w:p>
      <w:pPr>
        <w:pStyle w:val="BodyText"/>
        <w:spacing w:before="7"/>
        <w:rPr>
          <w:sz w:val="15"/>
        </w:rPr>
      </w:pPr>
    </w:p>
    <w:p>
      <w:pPr>
        <w:pStyle w:val="BodyText"/>
        <w:ind w:left="1198"/>
      </w:pPr>
      <w:r>
        <w:rPr>
          <w:rFonts w:ascii="Times New Roman" w:eastAsia="Times New Roman"/>
        </w:rPr>
        <w:t>1</w:t>
      </w:r>
      <w:r>
        <w:rPr/>
        <w:t>、虚假记载、误导性陈述或者重大遗漏；</w:t>
      </w:r>
    </w:p>
    <w:p>
      <w:pPr>
        <w:pStyle w:val="BodyText"/>
        <w:spacing w:before="7"/>
        <w:rPr>
          <w:sz w:val="15"/>
        </w:rPr>
      </w:pPr>
    </w:p>
    <w:p>
      <w:pPr>
        <w:pStyle w:val="BodyText"/>
        <w:ind w:left="1198"/>
      </w:pPr>
      <w:r>
        <w:rPr>
          <w:rFonts w:ascii="Times New Roman" w:eastAsia="Times New Roman"/>
        </w:rPr>
        <w:t>2</w:t>
      </w:r>
      <w:r>
        <w:rPr/>
        <w:t>、对证券投资业绩进行预测；</w:t>
      </w:r>
    </w:p>
    <w:p>
      <w:pPr>
        <w:spacing w:after="0"/>
        <w:sectPr>
          <w:pgSz w:w="11910" w:h="16840"/>
          <w:pgMar w:header="877" w:footer="995" w:top="1280" w:bottom="1180" w:left="1020" w:right="900"/>
        </w:sectPr>
      </w:pPr>
    </w:p>
    <w:p>
      <w:pPr>
        <w:pStyle w:val="BodyText"/>
        <w:rPr>
          <w:sz w:val="12"/>
        </w:rPr>
      </w:pPr>
    </w:p>
    <w:p>
      <w:pPr>
        <w:pStyle w:val="BodyText"/>
        <w:spacing w:before="78"/>
        <w:ind w:left="1198"/>
      </w:pPr>
      <w:r>
        <w:rPr>
          <w:rFonts w:ascii="Times New Roman" w:eastAsia="Times New Roman"/>
        </w:rPr>
        <w:t>3</w:t>
      </w:r>
      <w:r>
        <w:rPr/>
        <w:t>、违规承诺收益或者承担损失；</w:t>
      </w:r>
    </w:p>
    <w:p>
      <w:pPr>
        <w:pStyle w:val="BodyText"/>
        <w:spacing w:before="7"/>
        <w:rPr>
          <w:sz w:val="15"/>
        </w:rPr>
      </w:pPr>
    </w:p>
    <w:p>
      <w:pPr>
        <w:pStyle w:val="BodyText"/>
        <w:ind w:left="1198"/>
      </w:pPr>
      <w:r>
        <w:rPr>
          <w:rFonts w:ascii="Times New Roman" w:eastAsia="Times New Roman"/>
        </w:rPr>
        <w:t>4</w:t>
      </w:r>
      <w:r>
        <w:rPr/>
        <w:t>、诋毁其他基金管理人、基金托管人或者基金销售机构；</w:t>
      </w:r>
    </w:p>
    <w:p>
      <w:pPr>
        <w:pStyle w:val="BodyText"/>
        <w:spacing w:before="7"/>
        <w:rPr>
          <w:sz w:val="15"/>
        </w:rPr>
      </w:pPr>
    </w:p>
    <w:p>
      <w:pPr>
        <w:pStyle w:val="BodyText"/>
        <w:ind w:left="1198"/>
      </w:pPr>
      <w:r>
        <w:rPr>
          <w:rFonts w:ascii="Times New Roman" w:eastAsia="Times New Roman"/>
        </w:rPr>
        <w:t>5</w:t>
      </w:r>
      <w:r>
        <w:rPr/>
        <w:t>、登载任何自然人、法人和非法人组织的祝贺性、恭维性或推荐性文字；</w:t>
      </w:r>
    </w:p>
    <w:p>
      <w:pPr>
        <w:pStyle w:val="BodyText"/>
        <w:spacing w:before="6"/>
        <w:rPr>
          <w:sz w:val="15"/>
        </w:rPr>
      </w:pPr>
    </w:p>
    <w:p>
      <w:pPr>
        <w:pStyle w:val="BodyText"/>
        <w:spacing w:before="1"/>
        <w:ind w:left="1198"/>
      </w:pPr>
      <w:r>
        <w:rPr>
          <w:rFonts w:ascii="Times New Roman" w:eastAsia="Times New Roman"/>
        </w:rPr>
        <w:t>6</w:t>
      </w:r>
      <w:r>
        <w:rPr/>
        <w:t>、中国证监会禁止的其他行为。</w:t>
      </w:r>
    </w:p>
    <w:p>
      <w:pPr>
        <w:pStyle w:val="BodyText"/>
        <w:spacing w:before="6"/>
        <w:rPr>
          <w:sz w:val="15"/>
        </w:rPr>
      </w:pPr>
    </w:p>
    <w:p>
      <w:pPr>
        <w:pStyle w:val="BodyText"/>
        <w:spacing w:line="417" w:lineRule="auto"/>
        <w:ind w:left="778" w:right="891" w:firstLine="419"/>
      </w:pPr>
      <w:r>
        <w:rPr/>
        <w:t>（</w:t>
      </w:r>
      <w:r>
        <w:rPr>
          <w:spacing w:val="-3"/>
        </w:rPr>
        <w:t>四</w:t>
      </w:r>
      <w:r>
        <w:rPr>
          <w:spacing w:val="-29"/>
        </w:rPr>
        <w:t>）</w:t>
      </w:r>
      <w:r>
        <w:rPr>
          <w:spacing w:val="-6"/>
        </w:rPr>
        <w:t>本基金公开披露的信息应采用中文文本。如同时采用外文文本的，基金信息披露</w:t>
      </w:r>
      <w:r>
        <w:rPr>
          <w:spacing w:val="-4"/>
        </w:rPr>
        <w:t>义务人应保证不同文本的内容一致。不同文本之间发生歧义的，以中文文本为准。</w:t>
      </w:r>
    </w:p>
    <w:p>
      <w:pPr>
        <w:pStyle w:val="BodyText"/>
        <w:spacing w:line="269" w:lineRule="exact"/>
        <w:ind w:left="1198"/>
      </w:pPr>
      <w:r>
        <w:rPr/>
        <w:t>本基金公开披露的信息采用阿拉伯数字；除特别说明外，货币单位为人民币元。</w:t>
      </w:r>
    </w:p>
    <w:p>
      <w:pPr>
        <w:pStyle w:val="BodyText"/>
        <w:spacing w:before="7"/>
        <w:rPr>
          <w:sz w:val="15"/>
        </w:rPr>
      </w:pPr>
    </w:p>
    <w:p>
      <w:pPr>
        <w:pStyle w:val="BodyText"/>
        <w:spacing w:line="417" w:lineRule="auto" w:before="1"/>
        <w:ind w:left="1198" w:right="6263"/>
      </w:pPr>
      <w:r>
        <w:rPr/>
        <w:t>（五）公开披露的基金信息公开披露的基金信息包括：</w:t>
      </w:r>
    </w:p>
    <w:p>
      <w:pPr>
        <w:pStyle w:val="BodyText"/>
        <w:spacing w:line="269" w:lineRule="exact"/>
        <w:ind w:left="1198"/>
      </w:pPr>
      <w:r>
        <w:rPr>
          <w:rFonts w:ascii="Times New Roman" w:eastAsia="Times New Roman"/>
        </w:rPr>
        <w:t>1</w:t>
      </w:r>
      <w:r>
        <w:rPr/>
        <w:t>、基金招募说明书、《基金合同》、基金托管协议</w:t>
      </w:r>
    </w:p>
    <w:p>
      <w:pPr>
        <w:pStyle w:val="BodyText"/>
        <w:spacing w:before="6"/>
        <w:rPr>
          <w:sz w:val="15"/>
        </w:rPr>
      </w:pPr>
    </w:p>
    <w:p>
      <w:pPr>
        <w:pStyle w:val="ListParagraph"/>
        <w:numPr>
          <w:ilvl w:val="0"/>
          <w:numId w:val="29"/>
        </w:numPr>
        <w:tabs>
          <w:tab w:pos="1727" w:val="left" w:leader="none"/>
        </w:tabs>
        <w:spacing w:line="417" w:lineRule="auto" w:before="0" w:after="0"/>
        <w:ind w:left="778" w:right="888" w:firstLine="419"/>
        <w:jc w:val="both"/>
        <w:rPr>
          <w:sz w:val="21"/>
        </w:rPr>
      </w:pPr>
      <w:r>
        <w:rPr>
          <w:spacing w:val="-11"/>
          <w:sz w:val="21"/>
        </w:rPr>
        <w:t>《基金合同》是界定《基金合同》当事人的各项权利、义务关系，明确基金份额</w:t>
      </w:r>
      <w:r>
        <w:rPr>
          <w:spacing w:val="-13"/>
          <w:sz w:val="21"/>
        </w:rPr>
        <w:t>持有人大会召开的规则及具体程序，说明基金产品的特性等涉及基金投资者重大利益的事项</w:t>
      </w:r>
      <w:r>
        <w:rPr>
          <w:spacing w:val="-1"/>
          <w:sz w:val="21"/>
        </w:rPr>
        <w:t>的法律文件。</w:t>
      </w:r>
    </w:p>
    <w:p>
      <w:pPr>
        <w:pStyle w:val="ListParagraph"/>
        <w:numPr>
          <w:ilvl w:val="0"/>
          <w:numId w:val="29"/>
        </w:numPr>
        <w:tabs>
          <w:tab w:pos="1727" w:val="left" w:leader="none"/>
        </w:tabs>
        <w:spacing w:line="417" w:lineRule="auto" w:before="0" w:after="0"/>
        <w:ind w:left="778" w:right="889" w:firstLine="419"/>
        <w:jc w:val="both"/>
        <w:rPr>
          <w:sz w:val="21"/>
        </w:rPr>
      </w:pPr>
      <w:r>
        <w:rPr>
          <w:spacing w:val="-3"/>
          <w:sz w:val="21"/>
        </w:rPr>
        <w:t>基金招募说明书应当最大限度地披露影响基金投资者决策的全部事项，说明基金</w:t>
      </w:r>
      <w:r>
        <w:rPr>
          <w:spacing w:val="-11"/>
          <w:sz w:val="21"/>
        </w:rPr>
        <w:t>认购、申购和赎回安排、基金投资、基金产品特性、风险揭示、信息披露及基金份额持有人服务等内容。基金招募说明书的信息发生重大变更的，基金管理人应当在 </w:t>
      </w:r>
      <w:r>
        <w:rPr>
          <w:rFonts w:ascii="Times New Roman" w:eastAsia="Times New Roman"/>
          <w:sz w:val="21"/>
        </w:rPr>
        <w:t>3</w:t>
      </w:r>
      <w:r>
        <w:rPr>
          <w:rFonts w:ascii="Times New Roman" w:eastAsia="Times New Roman"/>
          <w:spacing w:val="16"/>
          <w:sz w:val="21"/>
        </w:rPr>
        <w:t> </w:t>
      </w:r>
      <w:r>
        <w:rPr>
          <w:spacing w:val="-6"/>
          <w:sz w:val="21"/>
        </w:rPr>
        <w:t>个工作日内，更</w:t>
      </w:r>
      <w:r>
        <w:rPr>
          <w:spacing w:val="-9"/>
          <w:sz w:val="21"/>
        </w:rPr>
        <w:t>新基金招募说明书并登载在指定网站上。基金招募说明书的其他信息发生变更的，基金管理</w:t>
      </w:r>
      <w:r>
        <w:rPr>
          <w:spacing w:val="-5"/>
          <w:sz w:val="21"/>
        </w:rPr>
        <w:t>人至少每年更新一次。基金合同终止的，基金管理人可以不再更新基金招募说明书。</w:t>
      </w:r>
    </w:p>
    <w:p>
      <w:pPr>
        <w:pStyle w:val="ListParagraph"/>
        <w:numPr>
          <w:ilvl w:val="0"/>
          <w:numId w:val="29"/>
        </w:numPr>
        <w:tabs>
          <w:tab w:pos="1727" w:val="left" w:leader="none"/>
        </w:tabs>
        <w:spacing w:line="417" w:lineRule="auto" w:before="0" w:after="0"/>
        <w:ind w:left="778" w:right="889" w:firstLine="419"/>
        <w:jc w:val="left"/>
        <w:rPr>
          <w:sz w:val="21"/>
        </w:rPr>
      </w:pPr>
      <w:r>
        <w:rPr>
          <w:spacing w:val="-3"/>
          <w:sz w:val="21"/>
        </w:rPr>
        <w:t>基金托管协议是界定基金托管人和基金管理人在基金财产保管及基金运作监督等活动中的权利、义务关系的法律文件。</w:t>
      </w:r>
    </w:p>
    <w:p>
      <w:pPr>
        <w:pStyle w:val="BodyText"/>
        <w:spacing w:line="269" w:lineRule="exact"/>
        <w:ind w:left="1198"/>
      </w:pPr>
      <w:r>
        <w:rPr>
          <w:rFonts w:ascii="Times New Roman" w:eastAsia="Times New Roman"/>
        </w:rPr>
        <w:t>2</w:t>
      </w:r>
      <w:r>
        <w:rPr/>
        <w:t>、基金产品资料概要</w:t>
      </w:r>
    </w:p>
    <w:p>
      <w:pPr>
        <w:pStyle w:val="BodyText"/>
        <w:spacing w:before="7"/>
        <w:rPr>
          <w:sz w:val="15"/>
        </w:rPr>
      </w:pPr>
    </w:p>
    <w:p>
      <w:pPr>
        <w:pStyle w:val="BodyText"/>
        <w:spacing w:line="417" w:lineRule="auto"/>
        <w:ind w:left="778" w:right="800" w:firstLine="419"/>
      </w:pPr>
      <w:r>
        <w:rPr>
          <w:spacing w:val="-10"/>
        </w:rPr>
        <w:t>基金管理人根据《信息披露办法》的要求公告基金产品资料概要。基金产品资料概要的信息发生重大变更的，基金管理人应当在 </w:t>
      </w:r>
      <w:r>
        <w:rPr>
          <w:rFonts w:ascii="Times New Roman" w:eastAsia="Times New Roman"/>
        </w:rPr>
        <w:t>3 </w:t>
      </w:r>
      <w:r>
        <w:rPr>
          <w:spacing w:val="-9"/>
        </w:rPr>
        <w:t>个工作日内，更新基金产品资料概要，并登载在</w:t>
      </w:r>
      <w:r>
        <w:rPr>
          <w:spacing w:val="-5"/>
        </w:rPr>
        <w:t>指定网站上和基金销售机构网站上或营业网点。基金产品资料概要的其他信息发生变更的， </w:t>
      </w:r>
      <w:r>
        <w:rPr>
          <w:spacing w:val="-9"/>
        </w:rPr>
        <w:t>基金管理人至少每年更新一次。基金合同终止的，基金管理人可以不再更新基金产品资料概要。</w:t>
      </w:r>
    </w:p>
    <w:p>
      <w:pPr>
        <w:pStyle w:val="BodyText"/>
        <w:spacing w:line="268" w:lineRule="exact"/>
        <w:ind w:left="1198"/>
      </w:pPr>
      <w:r>
        <w:rPr/>
        <w:t>关于基金产品资料概要编制、披露与更新的要求，自中国证监会规定之日起开始执行。</w:t>
      </w:r>
    </w:p>
    <w:p>
      <w:pPr>
        <w:pStyle w:val="BodyText"/>
        <w:spacing w:before="6"/>
        <w:rPr>
          <w:sz w:val="15"/>
        </w:rPr>
      </w:pPr>
    </w:p>
    <w:p>
      <w:pPr>
        <w:pStyle w:val="BodyText"/>
        <w:ind w:left="1198"/>
      </w:pPr>
      <w:r>
        <w:rPr>
          <w:rFonts w:ascii="Times New Roman" w:eastAsia="Times New Roman"/>
        </w:rPr>
        <w:t>3</w:t>
      </w:r>
      <w:r>
        <w:rPr/>
        <w:t>、基金份额发售公告和基金合同生效公告</w:t>
      </w:r>
    </w:p>
    <w:p>
      <w:pPr>
        <w:pStyle w:val="BodyText"/>
        <w:spacing w:before="7"/>
        <w:rPr>
          <w:sz w:val="15"/>
        </w:rPr>
      </w:pPr>
    </w:p>
    <w:p>
      <w:pPr>
        <w:pStyle w:val="BodyText"/>
        <w:spacing w:line="417" w:lineRule="auto" w:before="1"/>
        <w:ind w:left="778" w:right="888" w:firstLine="419"/>
      </w:pPr>
      <w:r>
        <w:rPr>
          <w:spacing w:val="-21"/>
        </w:rPr>
        <w:t>基金管理人按照《基金法》、《信息披露办法》及其他有关规定，就基金份额发售的具体</w:t>
      </w:r>
      <w:r>
        <w:rPr>
          <w:spacing w:val="-14"/>
        </w:rPr>
        <w:t>事宜编制基金份额发售公告，并在披露招募说明书的当日同时刊登在至少一种中国证监会指</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before="71"/>
        <w:ind w:left="778"/>
      </w:pPr>
      <w:r>
        <w:rPr/>
        <w:t>定的全国性报刊和公司网站上。</w:t>
      </w:r>
    </w:p>
    <w:p>
      <w:pPr>
        <w:pStyle w:val="BodyText"/>
        <w:spacing w:before="7"/>
        <w:rPr>
          <w:sz w:val="15"/>
        </w:rPr>
      </w:pPr>
    </w:p>
    <w:p>
      <w:pPr>
        <w:pStyle w:val="BodyText"/>
        <w:spacing w:line="417" w:lineRule="auto"/>
        <w:ind w:left="778" w:right="889" w:firstLine="419"/>
      </w:pPr>
      <w:r>
        <w:rPr>
          <w:rFonts w:ascii="Times New Roman" w:eastAsia="Times New Roman"/>
        </w:rPr>
        <w:t>4</w:t>
      </w:r>
      <w:r>
        <w:rPr/>
        <w:t>、基金定期报告，包括基金年度报告、基金中期报告和基金季度报告（含资产组合季度报告）</w:t>
      </w:r>
    </w:p>
    <w:p>
      <w:pPr>
        <w:pStyle w:val="BodyText"/>
        <w:spacing w:line="417" w:lineRule="auto"/>
        <w:ind w:left="778" w:right="889" w:firstLine="419"/>
        <w:jc w:val="both"/>
      </w:pPr>
      <w:r>
        <w:rPr>
          <w:spacing w:val="-5"/>
        </w:rPr>
        <w:t>基金管理人应当在每年结束之日起 </w:t>
      </w:r>
      <w:r>
        <w:rPr>
          <w:rFonts w:ascii="Times New Roman" w:eastAsia="Times New Roman"/>
        </w:rPr>
        <w:t>3</w:t>
      </w:r>
      <w:r>
        <w:rPr>
          <w:rFonts w:ascii="Times New Roman" w:eastAsia="Times New Roman"/>
          <w:spacing w:val="15"/>
        </w:rPr>
        <w:t> </w:t>
      </w:r>
      <w:r>
        <w:rPr>
          <w:spacing w:val="-12"/>
        </w:rPr>
        <w:t>个月内，编制完成基金年度报告，将年度报告登载</w:t>
      </w:r>
      <w:r>
        <w:rPr>
          <w:spacing w:val="-13"/>
        </w:rPr>
        <w:t>在指定网站上，并将年度报告提示性公告登载在指定报刊上。基金年度报告中的财务会计报</w:t>
      </w:r>
      <w:r>
        <w:rPr>
          <w:spacing w:val="-6"/>
        </w:rPr>
        <w:t>告应当经过具有证券、期货相关业务资格的会计师事务所审计。</w:t>
      </w:r>
    </w:p>
    <w:p>
      <w:pPr>
        <w:pStyle w:val="BodyText"/>
        <w:spacing w:line="417" w:lineRule="auto"/>
        <w:ind w:left="778" w:right="889" w:firstLine="419"/>
        <w:jc w:val="both"/>
      </w:pPr>
      <w:r>
        <w:rPr>
          <w:spacing w:val="-5"/>
        </w:rPr>
        <w:t>基金管理人应当在上半年结束之日起 </w:t>
      </w:r>
      <w:r>
        <w:rPr>
          <w:rFonts w:ascii="Times New Roman" w:eastAsia="Times New Roman"/>
        </w:rPr>
        <w:t>2</w:t>
      </w:r>
      <w:r>
        <w:rPr>
          <w:rFonts w:ascii="Times New Roman" w:eastAsia="Times New Roman"/>
          <w:spacing w:val="19"/>
        </w:rPr>
        <w:t> </w:t>
      </w:r>
      <w:r>
        <w:rPr>
          <w:spacing w:val="-11"/>
        </w:rPr>
        <w:t>个月内，编制完成基金中期报告，将中期报告登</w:t>
      </w:r>
      <w:r>
        <w:rPr>
          <w:spacing w:val="-6"/>
        </w:rPr>
        <w:t>载在指定网站上，并将中期报告提示性公告登载在指定报刊上。</w:t>
      </w:r>
    </w:p>
    <w:p>
      <w:pPr>
        <w:pStyle w:val="BodyText"/>
        <w:spacing w:line="417" w:lineRule="auto"/>
        <w:ind w:left="778" w:right="889" w:firstLine="419"/>
        <w:jc w:val="both"/>
      </w:pPr>
      <w:r>
        <w:rPr>
          <w:spacing w:val="-5"/>
        </w:rPr>
        <w:t>基金管理人应当在季度结束之日起 </w:t>
      </w:r>
      <w:r>
        <w:rPr>
          <w:rFonts w:ascii="Times New Roman" w:eastAsia="Times New Roman"/>
        </w:rPr>
        <w:t>15 </w:t>
      </w:r>
      <w:r>
        <w:rPr>
          <w:spacing w:val="-3"/>
        </w:rPr>
        <w:t>个工作日内，编制完成基金季度报告，将季度报告登载在指定网站上，并将季度报告提示性公告登载在指定报刊上。</w:t>
      </w:r>
    </w:p>
    <w:p>
      <w:pPr>
        <w:pStyle w:val="BodyText"/>
        <w:spacing w:line="417" w:lineRule="auto"/>
        <w:ind w:left="778" w:right="890" w:firstLine="419"/>
      </w:pPr>
      <w:r>
        <w:rPr/>
        <w:t>基金管理人应当在基金年度报告和中期报告中披露基金组合资产情况及其流动性风险分析等。</w:t>
      </w:r>
    </w:p>
    <w:p>
      <w:pPr>
        <w:pStyle w:val="BodyText"/>
        <w:spacing w:line="417" w:lineRule="auto"/>
        <w:ind w:left="778" w:right="800" w:firstLine="419"/>
      </w:pPr>
      <w:r>
        <w:rPr>
          <w:spacing w:val="-3"/>
        </w:rPr>
        <w:t>如报告期内出现单一投资者持有基金份额达到或超过基金总份额</w:t>
      </w:r>
      <w:r>
        <w:rPr>
          <w:rFonts w:ascii="Times New Roman" w:hAnsi="Times New Roman" w:eastAsia="Times New Roman"/>
        </w:rPr>
        <w:t>20%</w:t>
      </w:r>
      <w:r>
        <w:rPr>
          <w:spacing w:val="-10"/>
        </w:rPr>
        <w:t>的情形，为保障其</w:t>
      </w:r>
      <w:r>
        <w:rPr>
          <w:spacing w:val="-5"/>
        </w:rPr>
        <w:t>他投资者的权益，基金管理人至少应当在基金定期报告“影响投资者决策的其他重要信息” </w:t>
      </w:r>
      <w:r>
        <w:rPr>
          <w:spacing w:val="-10"/>
        </w:rPr>
        <w:t>项下披露该投资者的类别、报告期末持有份额及占比、报告期内持有份额变化情况及产品的</w:t>
      </w:r>
      <w:r>
        <w:rPr>
          <w:spacing w:val="-5"/>
        </w:rPr>
        <w:t>特有风险，中国证监会认定的特殊情形除外。</w:t>
      </w:r>
    </w:p>
    <w:p>
      <w:pPr>
        <w:pStyle w:val="BodyText"/>
        <w:spacing w:line="417" w:lineRule="auto"/>
        <w:ind w:left="778" w:right="889" w:firstLine="419"/>
      </w:pPr>
      <w:r>
        <w:rPr>
          <w:spacing w:val="-4"/>
        </w:rPr>
        <w:t>基金管理人应当在年度报告、中期报告中，至少披露报告期末基金前 </w:t>
      </w:r>
      <w:r>
        <w:rPr>
          <w:rFonts w:ascii="Times New Roman" w:eastAsia="Times New Roman"/>
        </w:rPr>
        <w:t>10</w:t>
      </w:r>
      <w:r>
        <w:rPr>
          <w:rFonts w:ascii="Times New Roman" w:eastAsia="Times New Roman"/>
          <w:spacing w:val="26"/>
        </w:rPr>
        <w:t> </w:t>
      </w:r>
      <w:r>
        <w:rPr>
          <w:spacing w:val="-3"/>
        </w:rPr>
        <w:t>名份额持有人的类别、持有份额及占总份额的比例等信息。</w:t>
      </w:r>
    </w:p>
    <w:p>
      <w:pPr>
        <w:pStyle w:val="BodyText"/>
        <w:spacing w:line="269" w:lineRule="exact"/>
        <w:ind w:left="1198"/>
      </w:pPr>
      <w:r>
        <w:rPr>
          <w:rFonts w:ascii="Times New Roman" w:eastAsia="Times New Roman"/>
        </w:rPr>
        <w:t>5</w:t>
      </w:r>
      <w:r>
        <w:rPr/>
        <w:t>、基金收益公告</w:t>
      </w:r>
    </w:p>
    <w:p>
      <w:pPr>
        <w:pStyle w:val="BodyText"/>
        <w:spacing w:line="417" w:lineRule="auto" w:before="197"/>
        <w:ind w:left="778" w:right="888" w:firstLine="419"/>
        <w:jc w:val="both"/>
      </w:pPr>
      <w:r>
        <w:rPr>
          <w:spacing w:val="-3"/>
        </w:rPr>
        <w:t>本基金于每个开放日的次日在中国证监会指定媒介上披露开放日每万份基金净收益和</w:t>
      </w:r>
      <w:r>
        <w:rPr>
          <w:rFonts w:ascii="Times New Roman" w:eastAsia="Times New Roman"/>
        </w:rPr>
        <w:t>7 </w:t>
      </w:r>
      <w:r>
        <w:rPr>
          <w:spacing w:val="-10"/>
        </w:rPr>
        <w:t>日年化收益率。若遇法定节假日，于节假日结束后第二个自然日，披露节假日期间的每万份</w:t>
      </w:r>
      <w:r>
        <w:rPr>
          <w:spacing w:val="-6"/>
        </w:rPr>
        <w:t>基金净收益、节假日最后一日的</w:t>
      </w:r>
      <w:r>
        <w:rPr>
          <w:rFonts w:ascii="Times New Roman" w:eastAsia="Times New Roman"/>
        </w:rPr>
        <w:t>7</w:t>
      </w:r>
      <w:r>
        <w:rPr>
          <w:spacing w:val="-3"/>
        </w:rPr>
        <w:t>日年化收益率，以及节假日后首个开放日的每万份基金净收益和</w:t>
      </w:r>
      <w:r>
        <w:rPr>
          <w:rFonts w:ascii="Times New Roman" w:eastAsia="Times New Roman"/>
        </w:rPr>
        <w:t>7</w:t>
      </w:r>
      <w:r>
        <w:rPr>
          <w:spacing w:val="-3"/>
        </w:rPr>
        <w:t>日年化收益率。</w:t>
      </w:r>
    </w:p>
    <w:p>
      <w:pPr>
        <w:pStyle w:val="BodyText"/>
        <w:spacing w:line="417" w:lineRule="auto"/>
        <w:ind w:left="778" w:right="893" w:firstLine="419"/>
      </w:pPr>
      <w:r>
        <w:rPr/>
        <w:t>基金管理人在不晚于半年度和年度最后一日的次日在指定网站披露半年度和年度最后一日的基金份额每万份基金净收益、基金七日年化收益率。</w:t>
      </w:r>
    </w:p>
    <w:p>
      <w:pPr>
        <w:pStyle w:val="BodyText"/>
        <w:spacing w:line="269" w:lineRule="exact"/>
        <w:ind w:left="1198"/>
      </w:pPr>
      <w:r>
        <w:rPr>
          <w:rFonts w:ascii="Times New Roman" w:eastAsia="Times New Roman"/>
        </w:rPr>
        <w:t>6</w:t>
      </w:r>
      <w:r>
        <w:rPr/>
        <w:t>、临时报告</w:t>
      </w:r>
    </w:p>
    <w:p>
      <w:pPr>
        <w:pStyle w:val="BodyText"/>
        <w:spacing w:before="7"/>
        <w:rPr>
          <w:sz w:val="15"/>
        </w:rPr>
      </w:pPr>
    </w:p>
    <w:p>
      <w:pPr>
        <w:pStyle w:val="BodyText"/>
        <w:spacing w:line="417" w:lineRule="auto"/>
        <w:ind w:left="778" w:right="891" w:firstLine="419"/>
      </w:pPr>
      <w:r>
        <w:rPr>
          <w:spacing w:val="-10"/>
        </w:rPr>
        <w:t>本基金发生重大事件，有关信息披露义务人应当在 </w:t>
      </w:r>
      <w:r>
        <w:rPr>
          <w:rFonts w:ascii="Times New Roman" w:eastAsia="Times New Roman"/>
        </w:rPr>
        <w:t>2 </w:t>
      </w:r>
      <w:r>
        <w:rPr>
          <w:spacing w:val="-7"/>
        </w:rPr>
        <w:t>日内编制临时报告书，并登载在指</w:t>
      </w:r>
      <w:r>
        <w:rPr>
          <w:spacing w:val="-5"/>
        </w:rPr>
        <w:t>定报刊和指定网站上。</w:t>
      </w:r>
    </w:p>
    <w:p>
      <w:pPr>
        <w:pStyle w:val="BodyText"/>
        <w:spacing w:line="417" w:lineRule="auto"/>
        <w:ind w:left="778" w:right="889" w:firstLine="419"/>
      </w:pPr>
      <w:r>
        <w:rPr>
          <w:spacing w:val="-12"/>
        </w:rPr>
        <w:t>前款所称重大事件，是指可能对基金份额持有人权益或者基金份额的价格产生重大影响</w:t>
      </w:r>
      <w:r>
        <w:rPr>
          <w:spacing w:val="-6"/>
        </w:rPr>
        <w:t>的下列事件：</w:t>
      </w:r>
    </w:p>
    <w:p>
      <w:pPr>
        <w:spacing w:after="0" w:line="417" w:lineRule="auto"/>
        <w:sectPr>
          <w:pgSz w:w="11910" w:h="16840"/>
          <w:pgMar w:header="877" w:footer="995" w:top="1280" w:bottom="1180" w:left="1020" w:right="900"/>
        </w:sectPr>
      </w:pPr>
    </w:p>
    <w:p>
      <w:pPr>
        <w:pStyle w:val="BodyText"/>
        <w:rPr>
          <w:sz w:val="12"/>
        </w:rPr>
      </w:pPr>
    </w:p>
    <w:p>
      <w:pPr>
        <w:pStyle w:val="ListParagraph"/>
        <w:numPr>
          <w:ilvl w:val="0"/>
          <w:numId w:val="30"/>
        </w:numPr>
        <w:tabs>
          <w:tab w:pos="1727" w:val="left" w:leader="none"/>
        </w:tabs>
        <w:spacing w:line="240" w:lineRule="auto" w:before="78" w:after="0"/>
        <w:ind w:left="1727" w:right="0" w:hanging="529"/>
        <w:jc w:val="left"/>
        <w:rPr>
          <w:sz w:val="21"/>
        </w:rPr>
      </w:pPr>
      <w:r>
        <w:rPr>
          <w:spacing w:val="-3"/>
          <w:sz w:val="21"/>
        </w:rPr>
        <w:t>基金份额持有人大会的召开及决定的事项。</w:t>
      </w:r>
    </w:p>
    <w:p>
      <w:pPr>
        <w:pStyle w:val="BodyText"/>
        <w:spacing w:before="7"/>
        <w:rPr>
          <w:sz w:val="15"/>
        </w:rPr>
      </w:pP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基金合同终止、基金清算。</w:t>
      </w:r>
    </w:p>
    <w:p>
      <w:pPr>
        <w:pStyle w:val="BodyText"/>
        <w:spacing w:before="7"/>
        <w:rPr>
          <w:sz w:val="15"/>
        </w:rPr>
      </w:pPr>
    </w:p>
    <w:p>
      <w:pPr>
        <w:pStyle w:val="ListParagraph"/>
        <w:numPr>
          <w:ilvl w:val="0"/>
          <w:numId w:val="30"/>
        </w:numPr>
        <w:tabs>
          <w:tab w:pos="1727" w:val="left" w:leader="none"/>
        </w:tabs>
        <w:spacing w:line="240" w:lineRule="auto" w:before="0" w:after="0"/>
        <w:ind w:left="1727" w:right="0" w:hanging="529"/>
        <w:jc w:val="left"/>
        <w:rPr>
          <w:sz w:val="21"/>
        </w:rPr>
      </w:pPr>
      <w:r>
        <w:rPr>
          <w:spacing w:val="-3"/>
          <w:sz w:val="21"/>
        </w:rPr>
        <w:t>转换基金运作方式、基金合并。</w:t>
      </w:r>
    </w:p>
    <w:p>
      <w:pPr>
        <w:pStyle w:val="BodyText"/>
        <w:spacing w:before="6"/>
        <w:rPr>
          <w:sz w:val="15"/>
        </w:rPr>
      </w:pPr>
    </w:p>
    <w:p>
      <w:pPr>
        <w:pStyle w:val="ListParagraph"/>
        <w:numPr>
          <w:ilvl w:val="0"/>
          <w:numId w:val="30"/>
        </w:numPr>
        <w:tabs>
          <w:tab w:pos="1727" w:val="left" w:leader="none"/>
        </w:tabs>
        <w:spacing w:line="240" w:lineRule="auto" w:before="1" w:after="0"/>
        <w:ind w:left="1727" w:right="0" w:hanging="529"/>
        <w:jc w:val="left"/>
        <w:rPr>
          <w:sz w:val="21"/>
        </w:rPr>
      </w:pPr>
      <w:r>
        <w:rPr>
          <w:spacing w:val="-3"/>
          <w:sz w:val="21"/>
        </w:rPr>
        <w:t>更换基金管理人、基金托管人、基金份额登记机构，基金改聘会计师事务所。</w:t>
      </w:r>
    </w:p>
    <w:p>
      <w:pPr>
        <w:pStyle w:val="BodyText"/>
        <w:spacing w:before="6"/>
        <w:rPr>
          <w:sz w:val="15"/>
        </w:rPr>
      </w:pPr>
    </w:p>
    <w:p>
      <w:pPr>
        <w:pStyle w:val="ListParagraph"/>
        <w:numPr>
          <w:ilvl w:val="0"/>
          <w:numId w:val="30"/>
        </w:numPr>
        <w:tabs>
          <w:tab w:pos="1727" w:val="left" w:leader="none"/>
        </w:tabs>
        <w:spacing w:line="417" w:lineRule="auto" w:before="0" w:after="0"/>
        <w:ind w:left="778" w:right="889" w:firstLine="419"/>
        <w:jc w:val="left"/>
        <w:rPr>
          <w:sz w:val="21"/>
        </w:rPr>
      </w:pPr>
      <w:r>
        <w:rPr>
          <w:spacing w:val="-3"/>
          <w:sz w:val="21"/>
        </w:rPr>
        <w:t>基金管理人委托基金服务机构代为办理基金的份额登记、核算、估值等事项，基金托管人委托基金服务机构代为办理基金的核算、估值、复核等事项。</w:t>
      </w:r>
    </w:p>
    <w:p>
      <w:pPr>
        <w:pStyle w:val="ListParagraph"/>
        <w:numPr>
          <w:ilvl w:val="0"/>
          <w:numId w:val="30"/>
        </w:numPr>
        <w:tabs>
          <w:tab w:pos="1727" w:val="left" w:leader="none"/>
        </w:tabs>
        <w:spacing w:line="269" w:lineRule="exact" w:before="0" w:after="0"/>
        <w:ind w:left="1727" w:right="0" w:hanging="529"/>
        <w:jc w:val="left"/>
        <w:rPr>
          <w:sz w:val="21"/>
        </w:rPr>
      </w:pPr>
      <w:r>
        <w:rPr>
          <w:spacing w:val="-3"/>
          <w:sz w:val="21"/>
        </w:rPr>
        <w:t>基金管理人、基金托管人的法定名称、住所发生变更。</w:t>
      </w:r>
    </w:p>
    <w:p>
      <w:pPr>
        <w:pStyle w:val="BodyText"/>
        <w:spacing w:before="7"/>
        <w:rPr>
          <w:sz w:val="15"/>
        </w:rPr>
      </w:pPr>
    </w:p>
    <w:p>
      <w:pPr>
        <w:pStyle w:val="ListParagraph"/>
        <w:numPr>
          <w:ilvl w:val="0"/>
          <w:numId w:val="30"/>
        </w:numPr>
        <w:tabs>
          <w:tab w:pos="1727" w:val="left" w:leader="none"/>
        </w:tabs>
        <w:spacing w:line="240" w:lineRule="auto" w:before="1" w:after="0"/>
        <w:ind w:left="1727" w:right="0" w:hanging="529"/>
        <w:jc w:val="left"/>
        <w:rPr>
          <w:sz w:val="21"/>
        </w:rPr>
      </w:pPr>
      <w:r>
        <w:rPr>
          <w:spacing w:val="-3"/>
          <w:sz w:val="21"/>
        </w:rPr>
        <w:t>基金管理公司变更持有百分之五以上股权的股东、变更公司的实际控制人。</w:t>
      </w:r>
    </w:p>
    <w:p>
      <w:pPr>
        <w:pStyle w:val="BodyText"/>
        <w:spacing w:before="6"/>
        <w:rPr>
          <w:sz w:val="15"/>
        </w:rPr>
      </w:pPr>
    </w:p>
    <w:p>
      <w:pPr>
        <w:pStyle w:val="ListParagraph"/>
        <w:numPr>
          <w:ilvl w:val="0"/>
          <w:numId w:val="30"/>
        </w:numPr>
        <w:tabs>
          <w:tab w:pos="1727" w:val="left" w:leader="none"/>
        </w:tabs>
        <w:spacing w:line="417" w:lineRule="auto" w:before="0" w:after="0"/>
        <w:ind w:left="778" w:right="889" w:firstLine="419"/>
        <w:jc w:val="left"/>
        <w:rPr>
          <w:sz w:val="21"/>
        </w:rPr>
      </w:pPr>
      <w:r>
        <w:rPr>
          <w:spacing w:val="-3"/>
          <w:sz w:val="21"/>
        </w:rPr>
        <w:t>基金管理人高级管理人员、基金经理和基金托管人专门基金托管部门负责人发生变动。</w:t>
      </w:r>
    </w:p>
    <w:p>
      <w:pPr>
        <w:pStyle w:val="ListParagraph"/>
        <w:numPr>
          <w:ilvl w:val="0"/>
          <w:numId w:val="30"/>
        </w:numPr>
        <w:tabs>
          <w:tab w:pos="1727" w:val="left" w:leader="none"/>
        </w:tabs>
        <w:spacing w:line="417" w:lineRule="auto" w:before="0" w:after="0"/>
        <w:ind w:left="778" w:right="889" w:firstLine="419"/>
        <w:jc w:val="left"/>
        <w:rPr>
          <w:sz w:val="21"/>
        </w:rPr>
      </w:pPr>
      <w:r>
        <w:rPr>
          <w:spacing w:val="-3"/>
          <w:sz w:val="21"/>
        </w:rPr>
        <w:t>基金管理人的董事在最近</w:t>
      </w:r>
      <w:r>
        <w:rPr>
          <w:sz w:val="21"/>
        </w:rPr>
        <w:t>12</w:t>
      </w:r>
      <w:r>
        <w:rPr>
          <w:spacing w:val="-4"/>
          <w:sz w:val="21"/>
        </w:rPr>
        <w:t>个月内变更超过百分之五十，基金管理人、基金托管</w:t>
      </w:r>
      <w:r>
        <w:rPr>
          <w:spacing w:val="-3"/>
          <w:sz w:val="21"/>
        </w:rPr>
        <w:t>人专门基金托管部门的主要业务人员在最近</w:t>
      </w:r>
      <w:r>
        <w:rPr>
          <w:sz w:val="21"/>
        </w:rPr>
        <w:t>12</w:t>
      </w:r>
      <w:r>
        <w:rPr>
          <w:spacing w:val="-3"/>
          <w:sz w:val="21"/>
        </w:rPr>
        <w:t>个月内变动超过百分之三十。</w:t>
      </w:r>
    </w:p>
    <w:p>
      <w:pPr>
        <w:pStyle w:val="ListParagraph"/>
        <w:numPr>
          <w:ilvl w:val="0"/>
          <w:numId w:val="30"/>
        </w:numPr>
        <w:tabs>
          <w:tab w:pos="1833" w:val="left" w:leader="none"/>
        </w:tabs>
        <w:spacing w:line="269" w:lineRule="exact" w:before="0" w:after="0"/>
        <w:ind w:left="1832" w:right="0" w:hanging="635"/>
        <w:jc w:val="left"/>
        <w:rPr>
          <w:sz w:val="21"/>
        </w:rPr>
      </w:pPr>
      <w:r>
        <w:rPr>
          <w:spacing w:val="-3"/>
          <w:sz w:val="21"/>
        </w:rPr>
        <w:t>涉及基金财产、基金管理业务、基金托管业务的诉讼或仲裁。</w:t>
      </w:r>
    </w:p>
    <w:p>
      <w:pPr>
        <w:pStyle w:val="BodyText"/>
        <w:spacing w:before="7"/>
        <w:rPr>
          <w:sz w:val="15"/>
        </w:rPr>
      </w:pPr>
    </w:p>
    <w:p>
      <w:pPr>
        <w:pStyle w:val="ListParagraph"/>
        <w:numPr>
          <w:ilvl w:val="0"/>
          <w:numId w:val="30"/>
        </w:numPr>
        <w:tabs>
          <w:tab w:pos="1826" w:val="left" w:leader="none"/>
        </w:tabs>
        <w:spacing w:line="417" w:lineRule="auto" w:before="0" w:after="0"/>
        <w:ind w:left="778" w:right="888" w:firstLine="419"/>
        <w:jc w:val="both"/>
        <w:rPr>
          <w:sz w:val="21"/>
        </w:rPr>
      </w:pPr>
      <w:r>
        <w:rPr>
          <w:spacing w:val="-6"/>
          <w:sz w:val="21"/>
        </w:rPr>
        <w:t>基金管理人或其高级管理人员、基金经理因基金管理业务相关行为受到重大行 </w:t>
      </w:r>
      <w:r>
        <w:rPr>
          <w:spacing w:val="-11"/>
          <w:sz w:val="21"/>
        </w:rPr>
        <w:t>政处罚、刑事处罚，基金托管人或其专门基金托管部门负责人因基金托管业务相关行为受到</w:t>
      </w:r>
      <w:r>
        <w:rPr>
          <w:spacing w:val="-3"/>
          <w:sz w:val="21"/>
        </w:rPr>
        <w:t>重大行政处罚、刑事处罚。</w:t>
      </w:r>
    </w:p>
    <w:p>
      <w:pPr>
        <w:pStyle w:val="ListParagraph"/>
        <w:numPr>
          <w:ilvl w:val="0"/>
          <w:numId w:val="30"/>
        </w:numPr>
        <w:tabs>
          <w:tab w:pos="1831" w:val="left" w:leader="none"/>
        </w:tabs>
        <w:spacing w:line="417" w:lineRule="auto" w:before="0" w:after="0"/>
        <w:ind w:left="778" w:right="888" w:firstLine="419"/>
        <w:jc w:val="both"/>
        <w:rPr>
          <w:sz w:val="21"/>
        </w:rPr>
      </w:pPr>
      <w:r>
        <w:rPr>
          <w:spacing w:val="-6"/>
          <w:sz w:val="21"/>
        </w:rPr>
        <w:t>基金管理人运用基金财产买卖基金管理人、基金托管人及其控股股东、实际控 制人或者与其有重大利害关系的公司发行的证券或者承销期内承销的证券，或者从事其他重</w:t>
      </w:r>
      <w:r>
        <w:rPr>
          <w:spacing w:val="-3"/>
          <w:sz w:val="21"/>
        </w:rPr>
        <w:t>大关联交易事项，中国证监会另有规定的情形除外。</w:t>
      </w:r>
    </w:p>
    <w:p>
      <w:pPr>
        <w:pStyle w:val="ListParagraph"/>
        <w:numPr>
          <w:ilvl w:val="0"/>
          <w:numId w:val="30"/>
        </w:numPr>
        <w:tabs>
          <w:tab w:pos="1833" w:val="left" w:leader="none"/>
        </w:tabs>
        <w:spacing w:line="269" w:lineRule="exact" w:before="0" w:after="0"/>
        <w:ind w:left="1832" w:right="0" w:hanging="635"/>
        <w:jc w:val="left"/>
        <w:rPr>
          <w:sz w:val="21"/>
        </w:rPr>
      </w:pPr>
      <w:r>
        <w:rPr>
          <w:spacing w:val="-3"/>
          <w:sz w:val="21"/>
        </w:rPr>
        <w:t>管理费、托管费、销售服务费等费用计提标准、计提方式和费率发生变更。</w:t>
      </w:r>
    </w:p>
    <w:p>
      <w:pPr>
        <w:pStyle w:val="BodyText"/>
        <w:spacing w:before="6"/>
        <w:rPr>
          <w:sz w:val="15"/>
        </w:rPr>
      </w:pPr>
    </w:p>
    <w:p>
      <w:pPr>
        <w:pStyle w:val="ListParagraph"/>
        <w:numPr>
          <w:ilvl w:val="0"/>
          <w:numId w:val="30"/>
        </w:numPr>
        <w:tabs>
          <w:tab w:pos="1833" w:val="left" w:leader="none"/>
        </w:tabs>
        <w:spacing w:line="240" w:lineRule="auto" w:before="0" w:after="0"/>
        <w:ind w:left="1832" w:right="0" w:hanging="635"/>
        <w:jc w:val="left"/>
        <w:rPr>
          <w:sz w:val="21"/>
        </w:rPr>
      </w:pPr>
      <w:r>
        <w:rPr>
          <w:spacing w:val="-3"/>
          <w:sz w:val="21"/>
        </w:rPr>
        <w:t>基金资产净值计价错误达基金资产净值百分之零点五。</w:t>
      </w:r>
    </w:p>
    <w:p>
      <w:pPr>
        <w:pStyle w:val="BodyText"/>
        <w:spacing w:before="8"/>
        <w:rPr>
          <w:sz w:val="15"/>
        </w:rPr>
      </w:pPr>
    </w:p>
    <w:p>
      <w:pPr>
        <w:pStyle w:val="ListParagraph"/>
        <w:numPr>
          <w:ilvl w:val="0"/>
          <w:numId w:val="30"/>
        </w:numPr>
        <w:tabs>
          <w:tab w:pos="1833" w:val="left" w:leader="none"/>
        </w:tabs>
        <w:spacing w:line="240" w:lineRule="auto" w:before="0" w:after="0"/>
        <w:ind w:left="1832" w:right="0" w:hanging="635"/>
        <w:jc w:val="left"/>
        <w:rPr>
          <w:sz w:val="21"/>
        </w:rPr>
      </w:pPr>
      <w:r>
        <w:rPr>
          <w:spacing w:val="-3"/>
          <w:sz w:val="21"/>
        </w:rPr>
        <w:t>基金发生巨额赎回并延期办理。</w:t>
      </w:r>
    </w:p>
    <w:p>
      <w:pPr>
        <w:pStyle w:val="BodyText"/>
        <w:spacing w:before="6"/>
        <w:rPr>
          <w:sz w:val="15"/>
        </w:rPr>
      </w:pPr>
    </w:p>
    <w:p>
      <w:pPr>
        <w:pStyle w:val="ListParagraph"/>
        <w:numPr>
          <w:ilvl w:val="0"/>
          <w:numId w:val="30"/>
        </w:numPr>
        <w:tabs>
          <w:tab w:pos="1833" w:val="left" w:leader="none"/>
        </w:tabs>
        <w:spacing w:line="240" w:lineRule="auto" w:before="1" w:after="0"/>
        <w:ind w:left="1832" w:right="0" w:hanging="635"/>
        <w:jc w:val="left"/>
        <w:rPr>
          <w:sz w:val="21"/>
        </w:rPr>
      </w:pPr>
      <w:r>
        <w:rPr>
          <w:spacing w:val="-3"/>
          <w:sz w:val="21"/>
        </w:rPr>
        <w:t>基金连续发生巨额赎回并暂停接受赎回申请或延缓支付赎回款项。</w:t>
      </w:r>
    </w:p>
    <w:p>
      <w:pPr>
        <w:pStyle w:val="BodyText"/>
        <w:spacing w:before="6"/>
        <w:rPr>
          <w:sz w:val="15"/>
        </w:rPr>
      </w:pPr>
    </w:p>
    <w:p>
      <w:pPr>
        <w:pStyle w:val="ListParagraph"/>
        <w:numPr>
          <w:ilvl w:val="0"/>
          <w:numId w:val="30"/>
        </w:numPr>
        <w:tabs>
          <w:tab w:pos="1833" w:val="left" w:leader="none"/>
        </w:tabs>
        <w:spacing w:line="240" w:lineRule="auto" w:before="0" w:after="0"/>
        <w:ind w:left="1832" w:right="0" w:hanging="635"/>
        <w:jc w:val="left"/>
        <w:rPr>
          <w:sz w:val="21"/>
        </w:rPr>
      </w:pPr>
      <w:r>
        <w:rPr>
          <w:spacing w:val="-3"/>
          <w:sz w:val="21"/>
        </w:rPr>
        <w:t>基金暂停接受申购、赎回申请或重新接受申购、赎回申请。</w:t>
      </w:r>
    </w:p>
    <w:p>
      <w:pPr>
        <w:pStyle w:val="BodyText"/>
        <w:spacing w:before="7"/>
        <w:rPr>
          <w:sz w:val="15"/>
        </w:rPr>
      </w:pPr>
    </w:p>
    <w:p>
      <w:pPr>
        <w:pStyle w:val="ListParagraph"/>
        <w:numPr>
          <w:ilvl w:val="0"/>
          <w:numId w:val="30"/>
        </w:numPr>
        <w:tabs>
          <w:tab w:pos="1833" w:val="left" w:leader="none"/>
        </w:tabs>
        <w:spacing w:line="240" w:lineRule="auto" w:before="0" w:after="0"/>
        <w:ind w:left="1832" w:right="0" w:hanging="635"/>
        <w:jc w:val="left"/>
        <w:rPr>
          <w:sz w:val="21"/>
        </w:rPr>
      </w:pPr>
      <w:r>
        <w:rPr>
          <w:spacing w:val="-3"/>
          <w:sz w:val="21"/>
        </w:rPr>
        <w:t>本基金发生涉及基金申购赎回事项调整或潜在影响投资者赎回等重大事项。</w:t>
      </w:r>
    </w:p>
    <w:p>
      <w:pPr>
        <w:pStyle w:val="BodyText"/>
        <w:spacing w:before="7"/>
        <w:rPr>
          <w:sz w:val="15"/>
        </w:rPr>
      </w:pPr>
    </w:p>
    <w:p>
      <w:pPr>
        <w:pStyle w:val="ListParagraph"/>
        <w:numPr>
          <w:ilvl w:val="0"/>
          <w:numId w:val="30"/>
        </w:numPr>
        <w:tabs>
          <w:tab w:pos="1833" w:val="left" w:leader="none"/>
        </w:tabs>
        <w:spacing w:line="240" w:lineRule="auto" w:before="0" w:after="0"/>
        <w:ind w:left="1832" w:right="0" w:hanging="635"/>
        <w:jc w:val="left"/>
        <w:rPr>
          <w:sz w:val="21"/>
        </w:rPr>
      </w:pPr>
      <w:r>
        <w:rPr>
          <w:spacing w:val="-3"/>
          <w:sz w:val="21"/>
        </w:rPr>
        <w:t>本基金投资于主体信用评级低于</w:t>
      </w:r>
      <w:r>
        <w:rPr>
          <w:rFonts w:ascii="Times New Roman" w:eastAsia="Times New Roman"/>
          <w:sz w:val="21"/>
        </w:rPr>
        <w:t>AA+</w:t>
      </w:r>
      <w:r>
        <w:rPr>
          <w:spacing w:val="-3"/>
          <w:sz w:val="21"/>
        </w:rPr>
        <w:t>的商业银行的银行存款与同业存单。</w:t>
      </w:r>
    </w:p>
    <w:p>
      <w:pPr>
        <w:pStyle w:val="BodyText"/>
        <w:spacing w:before="6"/>
        <w:rPr>
          <w:sz w:val="15"/>
        </w:rPr>
      </w:pPr>
    </w:p>
    <w:p>
      <w:pPr>
        <w:pStyle w:val="ListParagraph"/>
        <w:numPr>
          <w:ilvl w:val="0"/>
          <w:numId w:val="30"/>
        </w:numPr>
        <w:tabs>
          <w:tab w:pos="1833" w:val="left" w:leader="none"/>
        </w:tabs>
        <w:spacing w:line="417" w:lineRule="auto" w:before="1" w:after="0"/>
        <w:ind w:left="778" w:right="889" w:firstLine="419"/>
        <w:jc w:val="left"/>
        <w:rPr>
          <w:sz w:val="21"/>
        </w:rPr>
      </w:pPr>
      <w:r>
        <w:rPr>
          <w:spacing w:val="-3"/>
          <w:sz w:val="21"/>
        </w:rPr>
        <w:t>基金信息披露义务人认为可能对基金份额持有人权益或者基金份额的价格产生重大影响的其他事项或中国证监会规定的其他事项。</w:t>
      </w:r>
    </w:p>
    <w:p>
      <w:pPr>
        <w:pStyle w:val="BodyText"/>
        <w:ind w:left="1198"/>
      </w:pPr>
      <w:r>
        <w:rPr>
          <w:rFonts w:ascii="Times New Roman" w:eastAsia="Times New Roman"/>
        </w:rPr>
        <w:t>7</w:t>
      </w:r>
      <w:r>
        <w:rPr/>
        <w:t>、澄清公告</w:t>
      </w:r>
    </w:p>
    <w:p>
      <w:pPr>
        <w:pStyle w:val="BodyText"/>
        <w:spacing w:before="6"/>
        <w:rPr>
          <w:sz w:val="15"/>
        </w:rPr>
      </w:pPr>
    </w:p>
    <w:p>
      <w:pPr>
        <w:pStyle w:val="BodyText"/>
        <w:ind w:left="1198"/>
      </w:pPr>
      <w:r>
        <w:rPr/>
        <w:t>在基金合同存续期限内，任何公共媒介中出现的或者在市场上流传的消息可能对基金价</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pPr>
      <w:r>
        <w:rPr>
          <w:spacing w:val="-8"/>
        </w:rPr>
        <w:t>格产生误导性影响或引起较大波动，以及可能损害基金份额持有人权益的，相关的信息披露</w:t>
      </w:r>
      <w:r>
        <w:rPr>
          <w:spacing w:val="-5"/>
        </w:rPr>
        <w:t>义务人知悉后应当立即对该消息进行公开澄清，并将有关情况立即报送中国证监会。</w:t>
      </w:r>
    </w:p>
    <w:p>
      <w:pPr>
        <w:pStyle w:val="BodyText"/>
        <w:spacing w:line="269" w:lineRule="exact"/>
        <w:ind w:left="1198"/>
      </w:pPr>
      <w:r>
        <w:rPr>
          <w:rFonts w:ascii="Times New Roman" w:eastAsia="Times New Roman"/>
        </w:rPr>
        <w:t>8</w:t>
      </w:r>
      <w:r>
        <w:rPr/>
        <w:t>、清算报告</w:t>
      </w:r>
    </w:p>
    <w:p>
      <w:pPr>
        <w:pStyle w:val="BodyText"/>
        <w:spacing w:before="7"/>
        <w:rPr>
          <w:sz w:val="15"/>
        </w:rPr>
      </w:pPr>
    </w:p>
    <w:p>
      <w:pPr>
        <w:pStyle w:val="BodyText"/>
        <w:spacing w:line="417" w:lineRule="auto"/>
        <w:ind w:left="778" w:right="890" w:firstLine="419"/>
      </w:pPr>
      <w:r>
        <w:rPr>
          <w:spacing w:val="-7"/>
        </w:rPr>
        <w:t>基金财产清算小组应当将清算报告登载在指定网站上，并将清算报告提示性公告登载在</w:t>
      </w:r>
      <w:r>
        <w:rPr>
          <w:spacing w:val="-5"/>
        </w:rPr>
        <w:t>指定报刊上。</w:t>
      </w:r>
    </w:p>
    <w:p>
      <w:pPr>
        <w:pStyle w:val="BodyText"/>
        <w:spacing w:line="269" w:lineRule="exact"/>
        <w:ind w:left="1198"/>
      </w:pPr>
      <w:r>
        <w:rPr>
          <w:rFonts w:ascii="Times New Roman" w:eastAsia="Times New Roman"/>
        </w:rPr>
        <w:t>9</w:t>
      </w:r>
      <w:r>
        <w:rPr/>
        <w:t>、基金份额持有人大会决议</w:t>
      </w:r>
    </w:p>
    <w:p>
      <w:pPr>
        <w:pStyle w:val="BodyText"/>
        <w:spacing w:before="7"/>
        <w:rPr>
          <w:sz w:val="15"/>
        </w:rPr>
      </w:pPr>
    </w:p>
    <w:p>
      <w:pPr>
        <w:pStyle w:val="BodyText"/>
        <w:ind w:left="1198"/>
      </w:pPr>
      <w:r>
        <w:rPr/>
        <w:t>基金份额持有人大会决定的事项，应当依法报中国证监会备案，并予以公告。</w:t>
      </w:r>
    </w:p>
    <w:p>
      <w:pPr>
        <w:pStyle w:val="BodyText"/>
        <w:spacing w:before="7"/>
        <w:rPr>
          <w:sz w:val="15"/>
        </w:rPr>
      </w:pPr>
    </w:p>
    <w:p>
      <w:pPr>
        <w:pStyle w:val="BodyText"/>
        <w:ind w:left="1198"/>
      </w:pPr>
      <w:r>
        <w:rPr>
          <w:rFonts w:ascii="Times New Roman" w:eastAsia="Times New Roman"/>
        </w:rPr>
        <w:t>10</w:t>
      </w:r>
      <w:r>
        <w:rPr/>
        <w:t>、中国证监会规定的其他信息。</w:t>
      </w:r>
    </w:p>
    <w:p>
      <w:pPr>
        <w:pStyle w:val="BodyText"/>
        <w:spacing w:before="7"/>
        <w:rPr>
          <w:sz w:val="15"/>
        </w:rPr>
      </w:pPr>
    </w:p>
    <w:p>
      <w:pPr>
        <w:pStyle w:val="BodyText"/>
        <w:ind w:left="1198"/>
      </w:pPr>
      <w:r>
        <w:rPr/>
        <w:t>（六）信息披露事务管理</w:t>
      </w:r>
    </w:p>
    <w:p>
      <w:pPr>
        <w:pStyle w:val="BodyText"/>
        <w:spacing w:before="6"/>
        <w:rPr>
          <w:sz w:val="15"/>
        </w:rPr>
      </w:pPr>
    </w:p>
    <w:p>
      <w:pPr>
        <w:pStyle w:val="BodyText"/>
        <w:spacing w:line="417" w:lineRule="auto" w:before="1"/>
        <w:ind w:left="778" w:right="889" w:firstLine="419"/>
      </w:pPr>
      <w:r>
        <w:rPr>
          <w:spacing w:val="-10"/>
        </w:rPr>
        <w:t>基金管理人、基金托管人应当建立健全信息披露管理制度，指定专门部门及高级管理人</w:t>
      </w:r>
      <w:r>
        <w:rPr>
          <w:spacing w:val="-5"/>
        </w:rPr>
        <w:t>员负责管理信息披露事务。</w:t>
      </w:r>
    </w:p>
    <w:p>
      <w:pPr>
        <w:pStyle w:val="BodyText"/>
        <w:spacing w:line="417" w:lineRule="auto"/>
        <w:ind w:left="778" w:right="889" w:firstLine="419"/>
      </w:pPr>
      <w:r>
        <w:rPr>
          <w:spacing w:val="-8"/>
        </w:rPr>
        <w:t>基金信息披露义务人公开披露基金信息，应当符合中国证监会相关基金信息披露内容与</w:t>
      </w:r>
      <w:r>
        <w:rPr>
          <w:spacing w:val="-5"/>
        </w:rPr>
        <w:t>格式准则等法规的规定。</w:t>
      </w:r>
    </w:p>
    <w:p>
      <w:pPr>
        <w:pStyle w:val="BodyText"/>
        <w:spacing w:line="417" w:lineRule="auto"/>
        <w:ind w:left="778" w:right="783" w:firstLine="419"/>
      </w:pPr>
      <w:r>
        <w:rPr>
          <w:spacing w:val="-8"/>
        </w:rPr>
        <w:t>基金托管人应当按照相关法律法规、中国证监会的规定和《基金合同》的约定，对基金</w:t>
      </w:r>
      <w:r>
        <w:rPr>
          <w:spacing w:val="-5"/>
        </w:rPr>
        <w:t>管理人编制的基金资产净值、基金份额每万份基金净收益、七日年化收益率基金定期报告、</w:t>
      </w:r>
      <w:r>
        <w:rPr>
          <w:spacing w:val="-17"/>
        </w:rPr>
        <w:t>更新的招募说明书、基金产品资料概要、基金清算报告等公开披露的相关基金信息进行复核、</w:t>
      </w:r>
      <w:r>
        <w:rPr>
          <w:spacing w:val="-7"/>
        </w:rPr>
        <w:t>审查，并向基金管理人进行书面或电子确认。</w:t>
      </w:r>
    </w:p>
    <w:p>
      <w:pPr>
        <w:pStyle w:val="BodyText"/>
        <w:spacing w:line="417" w:lineRule="auto"/>
        <w:ind w:left="778" w:right="889" w:firstLine="419"/>
      </w:pPr>
      <w:r>
        <w:rPr>
          <w:spacing w:val="-10"/>
        </w:rPr>
        <w:t>基金管理人、基金托管人应当在指定报刊中选择披露信息的报刊，本基金只需选择一家报刊。</w:t>
      </w:r>
    </w:p>
    <w:p>
      <w:pPr>
        <w:pStyle w:val="BodyText"/>
        <w:spacing w:line="417" w:lineRule="auto"/>
        <w:ind w:left="778" w:right="783" w:firstLine="419"/>
      </w:pPr>
      <w:r>
        <w:rPr>
          <w:spacing w:val="-17"/>
        </w:rPr>
        <w:t>为强化投资者保护，提升信息披露服务质量，基金管理人应当自中国证监会规定之日起， </w:t>
      </w:r>
      <w:r>
        <w:rPr>
          <w:spacing w:val="-13"/>
        </w:rPr>
        <w:t>按照《信息披露办法》等相关法律法规的规定和中国证监会规定向投资者及时提供对其投资</w:t>
      </w:r>
      <w:r>
        <w:rPr>
          <w:spacing w:val="-6"/>
        </w:rPr>
        <w:t>决策有重大影响的信息。</w:t>
      </w:r>
    </w:p>
    <w:p>
      <w:pPr>
        <w:pStyle w:val="BodyText"/>
        <w:spacing w:line="417" w:lineRule="auto"/>
        <w:ind w:left="778" w:right="889" w:firstLine="419"/>
      </w:pPr>
      <w:r>
        <w:rPr>
          <w:spacing w:val="-7"/>
        </w:rPr>
        <w:t>为基金信息披露义务人公开披露的基金信息出具审计报告、法律意见书的专业机构，应当制作工作底稿，并将相关档案至少保存到《基金合同》终止后 </w:t>
      </w:r>
      <w:r>
        <w:rPr>
          <w:rFonts w:ascii="Times New Roman" w:eastAsia="Times New Roman"/>
        </w:rPr>
        <w:t>10 </w:t>
      </w:r>
      <w:r>
        <w:rPr>
          <w:spacing w:val="-3"/>
        </w:rPr>
        <w:t>年。</w:t>
      </w:r>
    </w:p>
    <w:p>
      <w:pPr>
        <w:pStyle w:val="BodyText"/>
        <w:spacing w:line="269" w:lineRule="exact"/>
        <w:ind w:left="1198"/>
      </w:pPr>
      <w:r>
        <w:rPr/>
        <w:t>（七）信息披露文件的存放与查阅</w:t>
      </w:r>
    </w:p>
    <w:p>
      <w:pPr>
        <w:pStyle w:val="BodyText"/>
        <w:spacing w:before="5"/>
        <w:rPr>
          <w:sz w:val="15"/>
        </w:rPr>
      </w:pPr>
    </w:p>
    <w:p>
      <w:pPr>
        <w:pStyle w:val="BodyText"/>
        <w:spacing w:line="417" w:lineRule="auto"/>
        <w:ind w:left="778" w:right="891" w:firstLine="419"/>
      </w:pPr>
      <w:r>
        <w:rPr>
          <w:spacing w:val="-9"/>
        </w:rPr>
        <w:t>依法必须披露的信息发布后，基金管理人、基金托管人应当按照相关法律法规规定将信</w:t>
      </w:r>
      <w:r>
        <w:rPr>
          <w:spacing w:val="-3"/>
        </w:rPr>
        <w:t>息置备于公司住所，供社会公众查阅、复制。</w:t>
      </w:r>
    </w:p>
    <w:p>
      <w:pPr>
        <w:pStyle w:val="BodyText"/>
        <w:spacing w:line="269" w:lineRule="exact"/>
        <w:ind w:left="1198"/>
      </w:pPr>
      <w:r>
        <w:rPr/>
        <w:t>（八）法律法规或监管部门对信息披露另有规定的，从其规定。</w:t>
      </w:r>
    </w:p>
    <w:p>
      <w:pPr>
        <w:spacing w:after="0" w:line="269" w:lineRule="exact"/>
        <w:sectPr>
          <w:pgSz w:w="11910" w:h="16840"/>
          <w:pgMar w:header="877" w:footer="995" w:top="1280" w:bottom="1180" w:left="1020" w:right="900"/>
        </w:sectPr>
      </w:pPr>
    </w:p>
    <w:p>
      <w:pPr>
        <w:pStyle w:val="BodyText"/>
        <w:spacing w:before="7"/>
        <w:rPr>
          <w:sz w:val="12"/>
        </w:rPr>
      </w:pPr>
    </w:p>
    <w:p>
      <w:pPr>
        <w:pStyle w:val="Heading1"/>
        <w:spacing w:before="71"/>
      </w:pPr>
      <w:bookmarkStart w:name="_bookmark18" w:id="19"/>
      <w:bookmarkEnd w:id="19"/>
      <w:r>
        <w:rPr>
          <w:b w:val="0"/>
        </w:rPr>
      </w:r>
      <w:r>
        <w:rPr/>
        <w:t>十九、风险揭示</w:t>
      </w:r>
    </w:p>
    <w:p>
      <w:pPr>
        <w:pStyle w:val="BodyText"/>
        <w:rPr>
          <w:b/>
          <w:sz w:val="20"/>
        </w:rPr>
      </w:pPr>
    </w:p>
    <w:p>
      <w:pPr>
        <w:pStyle w:val="BodyText"/>
        <w:spacing w:before="10"/>
        <w:rPr>
          <w:b/>
          <w:sz w:val="15"/>
        </w:rPr>
      </w:pPr>
    </w:p>
    <w:p>
      <w:pPr>
        <w:pStyle w:val="BodyText"/>
        <w:ind w:left="1198"/>
      </w:pPr>
      <w:r>
        <w:rPr/>
        <w:t>（一）投资于本基金的主要风险</w:t>
      </w:r>
    </w:p>
    <w:p>
      <w:pPr>
        <w:pStyle w:val="BodyText"/>
        <w:spacing w:before="7"/>
        <w:rPr>
          <w:sz w:val="15"/>
        </w:rPr>
      </w:pPr>
    </w:p>
    <w:p>
      <w:pPr>
        <w:pStyle w:val="BodyText"/>
        <w:ind w:left="1198"/>
      </w:pPr>
      <w:r>
        <w:rPr/>
        <w:t>本基金面临的风险主要包括利率风险、信用风险和流动性风险等。</w:t>
      </w:r>
    </w:p>
    <w:p>
      <w:pPr>
        <w:pStyle w:val="BodyText"/>
        <w:spacing w:before="6"/>
        <w:rPr>
          <w:sz w:val="15"/>
        </w:rPr>
      </w:pPr>
    </w:p>
    <w:p>
      <w:pPr>
        <w:pStyle w:val="BodyText"/>
        <w:ind w:left="1198"/>
      </w:pPr>
      <w:r>
        <w:rPr>
          <w:rFonts w:ascii="Times New Roman" w:eastAsia="Times New Roman"/>
        </w:rPr>
        <w:t>1</w:t>
      </w:r>
      <w:r>
        <w:rPr/>
        <w:t>、利率风险</w:t>
      </w:r>
    </w:p>
    <w:p>
      <w:pPr>
        <w:pStyle w:val="BodyText"/>
        <w:spacing w:before="7"/>
        <w:rPr>
          <w:sz w:val="15"/>
        </w:rPr>
      </w:pPr>
    </w:p>
    <w:p>
      <w:pPr>
        <w:pStyle w:val="BodyText"/>
        <w:spacing w:line="417" w:lineRule="auto"/>
        <w:ind w:left="778" w:right="889" w:firstLine="419"/>
      </w:pPr>
      <w:r>
        <w:rPr>
          <w:spacing w:val="-10"/>
        </w:rPr>
        <w:t>当市场利率上升时，基金持有的短期金融工具的市场价格将下降。由于基金投资组合的平均剩余期限不超过 </w:t>
      </w:r>
      <w:r>
        <w:rPr>
          <w:rFonts w:ascii="Times New Roman" w:eastAsia="Times New Roman"/>
        </w:rPr>
        <w:t>180 </w:t>
      </w:r>
      <w:r>
        <w:rPr>
          <w:spacing w:val="-3"/>
        </w:rPr>
        <w:t>天，所以市场利率上升导致基金本金损失的风险很小。</w:t>
      </w:r>
    </w:p>
    <w:p>
      <w:pPr>
        <w:pStyle w:val="BodyText"/>
        <w:spacing w:line="417" w:lineRule="auto"/>
        <w:ind w:left="778" w:right="889" w:firstLine="419"/>
      </w:pPr>
      <w:r>
        <w:rPr>
          <w:spacing w:val="-10"/>
        </w:rPr>
        <w:t>当市场利率下降时，基金再投资的短期金融工具的利息水平将下降，导致基金的当期收</w:t>
      </w:r>
      <w:r>
        <w:rPr>
          <w:spacing w:val="-5"/>
        </w:rPr>
        <w:t>益随之降低。</w:t>
      </w:r>
    </w:p>
    <w:p>
      <w:pPr>
        <w:pStyle w:val="BodyText"/>
        <w:ind w:left="1198"/>
      </w:pPr>
      <w:r>
        <w:rPr>
          <w:rFonts w:ascii="Times New Roman" w:eastAsia="Times New Roman"/>
        </w:rPr>
        <w:t>2</w:t>
      </w:r>
      <w:r>
        <w:rPr/>
        <w:t>、信用风险</w:t>
      </w:r>
    </w:p>
    <w:p>
      <w:pPr>
        <w:pStyle w:val="BodyText"/>
        <w:spacing w:before="7"/>
        <w:rPr>
          <w:sz w:val="15"/>
        </w:rPr>
      </w:pPr>
    </w:p>
    <w:p>
      <w:pPr>
        <w:pStyle w:val="BodyText"/>
        <w:spacing w:line="417" w:lineRule="auto"/>
        <w:ind w:left="778" w:right="889" w:firstLine="419"/>
        <w:jc w:val="both"/>
      </w:pPr>
      <w:r>
        <w:rPr>
          <w:spacing w:val="-9"/>
        </w:rPr>
        <w:t>当基金持有的债券、票据的发行人违约，不按时偿付本金或利息时，将直接导致基金财</w:t>
      </w:r>
      <w:r>
        <w:rPr>
          <w:spacing w:val="-12"/>
        </w:rPr>
        <w:t>产的损失。由于基金主要投资于高信用等级的短期金融工具，因违约导致基金财产损失的风</w:t>
      </w:r>
      <w:r>
        <w:rPr>
          <w:spacing w:val="-7"/>
        </w:rPr>
        <w:t>险很小。</w:t>
      </w:r>
    </w:p>
    <w:p>
      <w:pPr>
        <w:pStyle w:val="BodyText"/>
        <w:spacing w:line="417" w:lineRule="auto"/>
        <w:ind w:left="778" w:right="889" w:firstLine="419"/>
      </w:pPr>
      <w:r>
        <w:rPr>
          <w:spacing w:val="-10"/>
        </w:rPr>
        <w:t>当基金持有的债券、票据或其发行人的信用等级下降时，会因违约风险的加大而导致市</w:t>
      </w:r>
      <w:r>
        <w:rPr>
          <w:spacing w:val="-5"/>
        </w:rPr>
        <w:t>场价格的下降，从而导致基金财产的损失。</w:t>
      </w:r>
    </w:p>
    <w:p>
      <w:pPr>
        <w:pStyle w:val="BodyText"/>
        <w:spacing w:line="417" w:lineRule="auto"/>
        <w:ind w:left="778" w:right="891" w:firstLine="419"/>
      </w:pPr>
      <w:r>
        <w:rPr>
          <w:spacing w:val="-10"/>
        </w:rPr>
        <w:t>在基金投资债券、票据或债券回购的交易过程中，当发生交易对手违约时，将直接导致</w:t>
      </w:r>
      <w:r>
        <w:rPr>
          <w:spacing w:val="-5"/>
        </w:rPr>
        <w:t>基金财产的损失；或是导致基金不能按时收回投资资金，从而造成当期收益的下降。</w:t>
      </w:r>
    </w:p>
    <w:p>
      <w:pPr>
        <w:pStyle w:val="BodyText"/>
        <w:spacing w:line="417" w:lineRule="auto"/>
        <w:ind w:left="778" w:right="889" w:firstLine="419"/>
      </w:pPr>
      <w:r>
        <w:rPr>
          <w:spacing w:val="-9"/>
        </w:rPr>
        <w:t>在基金投资定期存款时，当存款银行不能按时偿付本金或利息时，会导致基金财产的损失。</w:t>
      </w:r>
    </w:p>
    <w:p>
      <w:pPr>
        <w:pStyle w:val="BodyText"/>
        <w:spacing w:line="269" w:lineRule="exact"/>
        <w:ind w:left="1198"/>
      </w:pPr>
      <w:r>
        <w:rPr>
          <w:rFonts w:ascii="Times New Roman" w:eastAsia="Times New Roman"/>
        </w:rPr>
        <w:t>3</w:t>
      </w:r>
      <w:r>
        <w:rPr/>
        <w:t>、流动性风险</w:t>
      </w:r>
    </w:p>
    <w:p>
      <w:pPr>
        <w:pStyle w:val="BodyText"/>
        <w:spacing w:before="6"/>
        <w:rPr>
          <w:sz w:val="15"/>
        </w:rPr>
      </w:pPr>
    </w:p>
    <w:p>
      <w:pPr>
        <w:pStyle w:val="BodyText"/>
        <w:ind w:left="1198"/>
      </w:pPr>
      <w:r>
        <w:rPr/>
        <w:t>当投资者集中赎回时，基金需迅速变现，从而承担交易成本和变现成本的损失。</w:t>
      </w:r>
    </w:p>
    <w:p>
      <w:pPr>
        <w:pStyle w:val="BodyText"/>
        <w:spacing w:before="6"/>
        <w:rPr>
          <w:sz w:val="15"/>
        </w:rPr>
      </w:pPr>
    </w:p>
    <w:p>
      <w:pPr>
        <w:pStyle w:val="BodyText"/>
        <w:spacing w:line="417" w:lineRule="auto" w:before="1"/>
        <w:ind w:left="778" w:right="891" w:firstLine="419"/>
      </w:pPr>
      <w:r>
        <w:rPr>
          <w:spacing w:val="-9"/>
        </w:rPr>
        <w:t>为满足投资者的赎回需要，基金可能保留大量的现金，而现金的投资收益最低，从而造</w:t>
      </w:r>
      <w:r>
        <w:rPr>
          <w:spacing w:val="-5"/>
        </w:rPr>
        <w:t>成基金当期收益下降。</w:t>
      </w:r>
    </w:p>
    <w:p>
      <w:pPr>
        <w:pStyle w:val="BodyText"/>
        <w:spacing w:line="417" w:lineRule="auto"/>
        <w:ind w:left="778" w:right="891" w:firstLine="419"/>
      </w:pPr>
      <w:r>
        <w:rPr>
          <w:spacing w:val="-10"/>
        </w:rPr>
        <w:t>投资定期存款时，资金不能随时提取。如果基金提前支取将可能不能获取定期利息，会</w:t>
      </w:r>
      <w:r>
        <w:rPr>
          <w:spacing w:val="-5"/>
        </w:rPr>
        <w:t>导致基金财产的损失，因此投资定期存款存在流动性风险。</w:t>
      </w:r>
    </w:p>
    <w:p>
      <w:pPr>
        <w:pStyle w:val="BodyText"/>
        <w:spacing w:line="417" w:lineRule="auto"/>
        <w:ind w:left="778" w:right="890" w:firstLine="419"/>
        <w:jc w:val="both"/>
      </w:pPr>
      <w:r>
        <w:rPr>
          <w:spacing w:val="-10"/>
        </w:rPr>
        <w:t>在本基金发生流动性风险时，基金管理人可以综合利用备用的流动性风险管理工具以减</w:t>
      </w:r>
      <w:r>
        <w:rPr>
          <w:spacing w:val="-11"/>
        </w:rPr>
        <w:t>少或应对基金的流动性风险，投资者可能面临巨额赎回申请被延期办理、赎回申请被暂停接受、赎回款项被延缓支付、被收取强制赎回费、基金估值被暂停等风险。投资者应该了解自</w:t>
      </w:r>
      <w:r>
        <w:rPr>
          <w:spacing w:val="-6"/>
        </w:rPr>
        <w:t>身的流动性偏好，并评估是否与本基金的流动性风险匹配。</w:t>
      </w:r>
    </w:p>
    <w:p>
      <w:pPr>
        <w:pStyle w:val="ListParagraph"/>
        <w:numPr>
          <w:ilvl w:val="0"/>
          <w:numId w:val="31"/>
        </w:numPr>
        <w:tabs>
          <w:tab w:pos="1727" w:val="left" w:leader="none"/>
        </w:tabs>
        <w:spacing w:line="269" w:lineRule="exact" w:before="0" w:after="0"/>
        <w:ind w:left="1727" w:right="0" w:hanging="529"/>
        <w:jc w:val="left"/>
        <w:rPr>
          <w:sz w:val="21"/>
        </w:rPr>
      </w:pPr>
      <w:r>
        <w:rPr>
          <w:spacing w:val="-3"/>
          <w:sz w:val="21"/>
        </w:rPr>
        <w:t>基金申购、赎回安排</w:t>
      </w:r>
    </w:p>
    <w:p>
      <w:pPr>
        <w:spacing w:after="0" w:line="269" w:lineRule="exact"/>
        <w:jc w:val="left"/>
        <w:rPr>
          <w:sz w:val="21"/>
        </w:rPr>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firstLine="419"/>
      </w:pPr>
      <w:r>
        <w:rPr>
          <w:spacing w:val="-9"/>
        </w:rPr>
        <w:t>投资人具体请参见基金合同“十三、基金的申购与赎回”和本招募说明书“九、基金份</w:t>
      </w:r>
      <w:r>
        <w:rPr>
          <w:spacing w:val="-13"/>
          <w:w w:val="100"/>
        </w:rPr>
        <w:t>额的申购、赎回与转换”，详细了解本基金的申购以及赎回安排。</w:t>
      </w:r>
    </w:p>
    <w:p>
      <w:pPr>
        <w:pStyle w:val="ListParagraph"/>
        <w:numPr>
          <w:ilvl w:val="0"/>
          <w:numId w:val="31"/>
        </w:numPr>
        <w:tabs>
          <w:tab w:pos="1727" w:val="left" w:leader="none"/>
        </w:tabs>
        <w:spacing w:line="269" w:lineRule="exact" w:before="0" w:after="0"/>
        <w:ind w:left="1727" w:right="0" w:hanging="529"/>
        <w:jc w:val="left"/>
        <w:rPr>
          <w:sz w:val="21"/>
        </w:rPr>
      </w:pPr>
      <w:r>
        <w:rPr>
          <w:spacing w:val="-3"/>
          <w:sz w:val="21"/>
        </w:rPr>
        <w:t>拟投资市场、行业及资产的流动性风险评估</w:t>
      </w:r>
    </w:p>
    <w:p>
      <w:pPr>
        <w:pStyle w:val="BodyText"/>
        <w:spacing w:before="7"/>
        <w:rPr>
          <w:sz w:val="15"/>
        </w:rPr>
      </w:pPr>
    </w:p>
    <w:p>
      <w:pPr>
        <w:pStyle w:val="BodyText"/>
        <w:spacing w:line="417" w:lineRule="auto"/>
        <w:ind w:left="778" w:right="889" w:firstLine="419"/>
        <w:jc w:val="both"/>
      </w:pPr>
      <w:r>
        <w:rPr>
          <w:spacing w:val="-8"/>
        </w:rPr>
        <w:t>本基金为货币市场基金，主要投资于具有良好流动性的金融工具，包括现金，期限在一年以内</w:t>
      </w:r>
      <w:r>
        <w:rPr>
          <w:spacing w:val="-3"/>
        </w:rPr>
        <w:t>（</w:t>
      </w:r>
      <w:r>
        <w:rPr/>
        <w:t>含一年</w:t>
      </w:r>
      <w:r>
        <w:rPr>
          <w:spacing w:val="-3"/>
        </w:rPr>
        <w:t>）的银行存款、债券回购、中央银行票据、同业存单，剩余期限在</w:t>
      </w:r>
      <w:r>
        <w:rPr>
          <w:rFonts w:ascii="Times New Roman" w:eastAsia="Times New Roman"/>
        </w:rPr>
        <w:t>397</w:t>
      </w:r>
      <w:r>
        <w:rPr>
          <w:spacing w:val="-3"/>
        </w:rPr>
        <w:t>天以</w:t>
      </w:r>
      <w:r>
        <w:rPr/>
        <w:t>内（含</w:t>
      </w:r>
      <w:r>
        <w:rPr>
          <w:rFonts w:ascii="Times New Roman" w:eastAsia="Times New Roman"/>
        </w:rPr>
        <w:t>397</w:t>
      </w:r>
      <w:r>
        <w:rPr/>
        <w:t>天）</w:t>
      </w:r>
      <w:r>
        <w:rPr>
          <w:spacing w:val="-3"/>
        </w:rPr>
        <w:t>的债券、非金融企业债务融资工具、资产支持证券等。一般情况下本基金拟</w:t>
      </w:r>
      <w:r>
        <w:rPr>
          <w:spacing w:val="-9"/>
        </w:rPr>
        <w:t>投资的资产类别具有较好的流动性，但是在特殊市场环境下本基金仍有可能出现流动性不足</w:t>
      </w:r>
      <w:r>
        <w:rPr>
          <w:spacing w:val="-11"/>
        </w:rPr>
        <w:t>的情形。本基金管理人将根据历史经验和现实条件，制定出现金持有量的上下限计划，在该</w:t>
      </w:r>
      <w:r>
        <w:rPr>
          <w:spacing w:val="-10"/>
        </w:rPr>
        <w:t>限制范围内进行现金比例调控或现金与证券的转化。同时，本基金管理人会进行标的的分散</w:t>
      </w:r>
      <w:r>
        <w:rPr>
          <w:spacing w:val="-5"/>
        </w:rPr>
        <w:t>化投资并结合对各类标的资产的预期流动性合理进行资产配置，以防范流动性风险。</w:t>
      </w:r>
    </w:p>
    <w:p>
      <w:pPr>
        <w:pStyle w:val="ListParagraph"/>
        <w:numPr>
          <w:ilvl w:val="0"/>
          <w:numId w:val="31"/>
        </w:numPr>
        <w:tabs>
          <w:tab w:pos="1727" w:val="left" w:leader="none"/>
        </w:tabs>
        <w:spacing w:line="268" w:lineRule="exact" w:before="0" w:after="0"/>
        <w:ind w:left="1727" w:right="0" w:hanging="529"/>
        <w:jc w:val="left"/>
        <w:rPr>
          <w:sz w:val="21"/>
        </w:rPr>
      </w:pPr>
      <w:r>
        <w:rPr>
          <w:spacing w:val="-3"/>
          <w:sz w:val="21"/>
        </w:rPr>
        <w:t>巨额赎回情形下的流动性风险管理措施</w:t>
      </w:r>
    </w:p>
    <w:p>
      <w:pPr>
        <w:pStyle w:val="BodyText"/>
        <w:spacing w:before="7"/>
        <w:rPr>
          <w:sz w:val="15"/>
        </w:rPr>
      </w:pPr>
    </w:p>
    <w:p>
      <w:pPr>
        <w:pStyle w:val="BodyText"/>
        <w:ind w:left="1198"/>
      </w:pPr>
      <w:r>
        <w:rPr/>
        <w:t>当本基金发生巨额赎回情形时，基金管理人可以采用以下流动性风险管理措施：</w:t>
      </w:r>
    </w:p>
    <w:p>
      <w:pPr>
        <w:pStyle w:val="BodyText"/>
        <w:spacing w:before="6"/>
        <w:rPr>
          <w:sz w:val="15"/>
        </w:rPr>
      </w:pPr>
    </w:p>
    <w:p>
      <w:pPr>
        <w:pStyle w:val="BodyText"/>
        <w:ind w:left="1198"/>
      </w:pPr>
      <w:r>
        <w:rPr/>
        <w:t>①延期办理巨额赎回申请；</w:t>
      </w:r>
    </w:p>
    <w:p>
      <w:pPr>
        <w:pStyle w:val="BodyText"/>
        <w:spacing w:before="7"/>
        <w:rPr>
          <w:sz w:val="15"/>
        </w:rPr>
      </w:pPr>
    </w:p>
    <w:p>
      <w:pPr>
        <w:pStyle w:val="BodyText"/>
        <w:ind w:left="1198"/>
      </w:pPr>
      <w:r>
        <w:rPr>
          <w:spacing w:val="-3"/>
        </w:rPr>
        <w:t>②暂停接受赎回申请；</w:t>
      </w:r>
    </w:p>
    <w:p>
      <w:pPr>
        <w:pStyle w:val="BodyText"/>
        <w:spacing w:before="7"/>
        <w:rPr>
          <w:sz w:val="15"/>
        </w:rPr>
      </w:pPr>
    </w:p>
    <w:p>
      <w:pPr>
        <w:pStyle w:val="BodyText"/>
        <w:ind w:left="1198"/>
      </w:pPr>
      <w:r>
        <w:rPr>
          <w:spacing w:val="-3"/>
        </w:rPr>
        <w:t>③延缓支付赎回款项；</w:t>
      </w:r>
    </w:p>
    <w:p>
      <w:pPr>
        <w:pStyle w:val="BodyText"/>
        <w:spacing w:before="7"/>
        <w:rPr>
          <w:sz w:val="15"/>
        </w:rPr>
      </w:pPr>
    </w:p>
    <w:p>
      <w:pPr>
        <w:pStyle w:val="BodyText"/>
        <w:ind w:left="1198"/>
      </w:pPr>
      <w:r>
        <w:rPr/>
        <w:t>④中国证监会认定的其他措施。</w:t>
      </w:r>
    </w:p>
    <w:p>
      <w:pPr>
        <w:pStyle w:val="BodyText"/>
        <w:spacing w:before="7"/>
        <w:rPr>
          <w:sz w:val="15"/>
        </w:rPr>
      </w:pPr>
    </w:p>
    <w:p>
      <w:pPr>
        <w:pStyle w:val="ListParagraph"/>
        <w:numPr>
          <w:ilvl w:val="0"/>
          <w:numId w:val="31"/>
        </w:numPr>
        <w:tabs>
          <w:tab w:pos="1727" w:val="left" w:leader="none"/>
        </w:tabs>
        <w:spacing w:line="240" w:lineRule="auto" w:before="0" w:after="0"/>
        <w:ind w:left="1727" w:right="0" w:hanging="529"/>
        <w:jc w:val="left"/>
        <w:rPr>
          <w:sz w:val="21"/>
        </w:rPr>
      </w:pPr>
      <w:r>
        <w:rPr>
          <w:spacing w:val="-3"/>
          <w:sz w:val="21"/>
        </w:rPr>
        <w:t>实施备用的流动性风险管理工具的情形、程序及对投资者的潜在影响</w:t>
      </w:r>
    </w:p>
    <w:p>
      <w:pPr>
        <w:pStyle w:val="BodyText"/>
        <w:spacing w:before="6"/>
        <w:rPr>
          <w:sz w:val="15"/>
        </w:rPr>
      </w:pPr>
    </w:p>
    <w:p>
      <w:pPr>
        <w:pStyle w:val="BodyText"/>
        <w:spacing w:line="417" w:lineRule="auto" w:before="1"/>
        <w:ind w:left="778" w:right="889" w:firstLine="419"/>
        <w:jc w:val="both"/>
      </w:pPr>
      <w:r>
        <w:rPr>
          <w:spacing w:val="-8"/>
        </w:rPr>
        <w:t>基金管理人经与基金托管人协商，在确保投资者得到公平对待的前提下，可依照法律法</w:t>
      </w:r>
      <w:r>
        <w:rPr>
          <w:spacing w:val="-10"/>
        </w:rPr>
        <w:t>规及基金合同的约定，综合运用各类流动性风险管理工具，对赎回申请等进行适度调整，作</w:t>
      </w:r>
      <w:r>
        <w:rPr>
          <w:spacing w:val="-5"/>
        </w:rPr>
        <w:t>为特定情形下基金管理人流动性风险的辅助措施，包括但不限于：</w:t>
      </w:r>
    </w:p>
    <w:p>
      <w:pPr>
        <w:pStyle w:val="BodyText"/>
        <w:spacing w:line="269" w:lineRule="exact"/>
        <w:ind w:left="1198"/>
      </w:pPr>
      <w:r>
        <w:rPr/>
        <w:t>①延期办理巨额赎回申请</w:t>
      </w:r>
    </w:p>
    <w:p>
      <w:pPr>
        <w:pStyle w:val="BodyText"/>
        <w:spacing w:before="7"/>
        <w:rPr>
          <w:sz w:val="15"/>
        </w:rPr>
      </w:pPr>
    </w:p>
    <w:p>
      <w:pPr>
        <w:pStyle w:val="BodyText"/>
        <w:spacing w:line="417" w:lineRule="auto"/>
        <w:ind w:left="778" w:right="889" w:firstLine="419"/>
      </w:pPr>
      <w:r>
        <w:rPr>
          <w:spacing w:val="-12"/>
        </w:rPr>
        <w:t>当基金出现巨额赎回时，基金管理人可以根据基金当时的资产组合状况决定全额赎回或</w:t>
      </w:r>
      <w:r>
        <w:rPr>
          <w:spacing w:val="-6"/>
        </w:rPr>
        <w:t>部分延期赎回。</w:t>
      </w:r>
    </w:p>
    <w:p>
      <w:pPr>
        <w:pStyle w:val="BodyText"/>
        <w:spacing w:line="269" w:lineRule="exact"/>
        <w:ind w:left="1198"/>
      </w:pPr>
      <w:r>
        <w:rPr/>
        <w:t>在此情形下，投资人的全部或部分赎回申请可能将被延期办理。</w:t>
      </w:r>
    </w:p>
    <w:p>
      <w:pPr>
        <w:pStyle w:val="BodyText"/>
        <w:spacing w:before="7"/>
        <w:rPr>
          <w:sz w:val="15"/>
        </w:rPr>
      </w:pPr>
    </w:p>
    <w:p>
      <w:pPr>
        <w:pStyle w:val="BodyText"/>
        <w:ind w:left="1198"/>
      </w:pPr>
      <w:r>
        <w:rPr/>
        <w:t>②暂停接受赎回申请</w:t>
      </w:r>
    </w:p>
    <w:p>
      <w:pPr>
        <w:pStyle w:val="BodyText"/>
        <w:spacing w:before="6"/>
        <w:rPr>
          <w:sz w:val="15"/>
        </w:rPr>
      </w:pPr>
    </w:p>
    <w:p>
      <w:pPr>
        <w:pStyle w:val="BodyText"/>
        <w:spacing w:line="417" w:lineRule="auto" w:before="1"/>
        <w:ind w:left="778" w:right="800" w:firstLine="419"/>
      </w:pPr>
      <w:r>
        <w:rPr>
          <w:spacing w:val="-12"/>
          <w:w w:val="100"/>
        </w:rPr>
        <w:t>投资人具体请参见基金合同“十三、基金的申购与赎回”中的“</w:t>
      </w:r>
      <w:r>
        <w:rPr>
          <w:w w:val="100"/>
        </w:rPr>
        <w:t>（</w:t>
      </w:r>
      <w:r>
        <w:rPr>
          <w:spacing w:val="-3"/>
          <w:w w:val="100"/>
        </w:rPr>
        <w:t>八</w:t>
      </w:r>
      <w:r>
        <w:rPr>
          <w:spacing w:val="-106"/>
          <w:w w:val="100"/>
        </w:rPr>
        <w:t>）</w:t>
      </w:r>
      <w:r>
        <w:rPr>
          <w:spacing w:val="-5"/>
          <w:w w:val="100"/>
        </w:rPr>
        <w:t>、巨额赎回的认定</w:t>
      </w:r>
      <w:r>
        <w:rPr>
          <w:spacing w:val="-4"/>
          <w:w w:val="100"/>
        </w:rPr>
        <w:t>及处理方式”</w:t>
      </w:r>
      <w:r>
        <w:rPr>
          <w:spacing w:val="-4"/>
        </w:rPr>
        <w:t> </w:t>
      </w:r>
      <w:r>
        <w:rPr>
          <w:spacing w:val="-53"/>
          <w:w w:val="100"/>
        </w:rPr>
        <w:t>和“</w:t>
      </w:r>
      <w:r>
        <w:rPr>
          <w:spacing w:val="-3"/>
          <w:w w:val="100"/>
        </w:rPr>
        <w:t>（</w:t>
      </w:r>
      <w:r>
        <w:rPr>
          <w:w w:val="100"/>
        </w:rPr>
        <w:t>十</w:t>
      </w:r>
      <w:r>
        <w:rPr>
          <w:spacing w:val="-108"/>
          <w:w w:val="100"/>
        </w:rPr>
        <w:t>）</w:t>
      </w:r>
      <w:r>
        <w:rPr>
          <w:spacing w:val="-7"/>
          <w:w w:val="100"/>
        </w:rPr>
        <w:t>、拒绝或暂停申购、暂停赎回或延缓支付赎回款项的情形及处理”，</w:t>
      </w:r>
      <w:r>
        <w:rPr>
          <w:spacing w:val="-5"/>
        </w:rPr>
        <w:t>详细了解本基金暂停接受赎回申请的情形及程序。</w:t>
      </w:r>
    </w:p>
    <w:p>
      <w:pPr>
        <w:pStyle w:val="BodyText"/>
        <w:ind w:left="1198"/>
      </w:pPr>
      <w:r>
        <w:rPr/>
        <w:t>在此情形下，投资人的部分或全部赎回申请可能被拒绝。</w:t>
      </w:r>
    </w:p>
    <w:p>
      <w:pPr>
        <w:pStyle w:val="BodyText"/>
        <w:spacing w:before="6"/>
        <w:rPr>
          <w:sz w:val="15"/>
        </w:rPr>
      </w:pPr>
    </w:p>
    <w:p>
      <w:pPr>
        <w:pStyle w:val="BodyText"/>
        <w:ind w:left="1198"/>
      </w:pPr>
      <w:r>
        <w:rPr/>
        <w:t>③延缓支付赎回款项</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12"/>
          <w:w w:val="100"/>
        </w:rPr>
        <w:t>投资人具体请参见基金合同“十三、基金的申购与赎回”中的“</w:t>
      </w:r>
      <w:r>
        <w:rPr>
          <w:w w:val="100"/>
        </w:rPr>
        <w:t>（</w:t>
      </w:r>
      <w:r>
        <w:rPr>
          <w:spacing w:val="-3"/>
          <w:w w:val="100"/>
        </w:rPr>
        <w:t>八</w:t>
      </w:r>
      <w:r>
        <w:rPr>
          <w:spacing w:val="-106"/>
          <w:w w:val="100"/>
        </w:rPr>
        <w:t>）</w:t>
      </w:r>
      <w:r>
        <w:rPr>
          <w:spacing w:val="-5"/>
          <w:w w:val="100"/>
        </w:rPr>
        <w:t>、巨额赎回的认定</w:t>
      </w:r>
      <w:r>
        <w:rPr>
          <w:spacing w:val="-4"/>
          <w:w w:val="100"/>
        </w:rPr>
        <w:t>及处理方式”</w:t>
      </w:r>
      <w:r>
        <w:rPr>
          <w:spacing w:val="-4"/>
        </w:rPr>
        <w:t> </w:t>
      </w:r>
      <w:r>
        <w:rPr>
          <w:spacing w:val="-53"/>
          <w:w w:val="100"/>
        </w:rPr>
        <w:t>和“</w:t>
      </w:r>
      <w:r>
        <w:rPr>
          <w:spacing w:val="-3"/>
          <w:w w:val="100"/>
        </w:rPr>
        <w:t>（</w:t>
      </w:r>
      <w:r>
        <w:rPr>
          <w:w w:val="100"/>
        </w:rPr>
        <w:t>十</w:t>
      </w:r>
      <w:r>
        <w:rPr>
          <w:spacing w:val="-108"/>
          <w:w w:val="100"/>
        </w:rPr>
        <w:t>）</w:t>
      </w:r>
      <w:r>
        <w:rPr>
          <w:spacing w:val="-7"/>
          <w:w w:val="100"/>
        </w:rPr>
        <w:t>、拒绝或暂停申购、暂停赎回或延缓支付赎回款项的情形及处理”，</w:t>
      </w:r>
      <w:r>
        <w:rPr>
          <w:spacing w:val="-5"/>
        </w:rPr>
        <w:t>详细了解本基金延缓支付赎回款项的情形及程序。</w:t>
      </w:r>
    </w:p>
    <w:p>
      <w:pPr>
        <w:pStyle w:val="BodyText"/>
        <w:spacing w:line="269" w:lineRule="exact"/>
        <w:ind w:left="1198"/>
      </w:pPr>
      <w:r>
        <w:rPr/>
        <w:t>在此情形下，投资人接收赎回款项的时间将可能比一般正常情形下有所延迟。</w:t>
      </w:r>
    </w:p>
    <w:p>
      <w:pPr>
        <w:pStyle w:val="BodyText"/>
        <w:spacing w:before="7"/>
        <w:rPr>
          <w:sz w:val="15"/>
        </w:rPr>
      </w:pPr>
    </w:p>
    <w:p>
      <w:pPr>
        <w:pStyle w:val="BodyText"/>
        <w:ind w:left="1198"/>
      </w:pPr>
      <w:r>
        <w:rPr/>
        <w:t>④收取强制赎回费</w:t>
      </w:r>
    </w:p>
    <w:p>
      <w:pPr>
        <w:pStyle w:val="BodyText"/>
        <w:spacing w:before="7"/>
        <w:rPr>
          <w:sz w:val="15"/>
        </w:rPr>
      </w:pPr>
    </w:p>
    <w:p>
      <w:pPr>
        <w:pStyle w:val="BodyText"/>
        <w:spacing w:line="417" w:lineRule="auto"/>
        <w:ind w:left="778" w:right="800" w:firstLine="419"/>
      </w:pPr>
      <w:r>
        <w:rPr>
          <w:spacing w:val="-3"/>
        </w:rPr>
        <w:t>在满足相关流动性风险管理要求的前提下，当基金持有的现金、国债、中央银行票据、</w:t>
      </w:r>
      <w:r>
        <w:rPr/>
        <w:t>政策性金融债券以及</w:t>
      </w:r>
      <w:r>
        <w:rPr>
          <w:rFonts w:ascii="Times New Roman" w:eastAsia="Times New Roman"/>
          <w:spacing w:val="3"/>
        </w:rPr>
        <w:t>5</w:t>
      </w:r>
      <w:r>
        <w:rPr/>
        <w:t>个交易日内到期的其他金融工具占基金资产净值的比例合计低于</w:t>
      </w:r>
      <w:r>
        <w:rPr>
          <w:rFonts w:ascii="Times New Roman" w:eastAsia="Times New Roman"/>
          <w:spacing w:val="-3"/>
        </w:rPr>
        <w:t>5% </w:t>
      </w:r>
      <w:r>
        <w:rPr>
          <w:spacing w:val="-6"/>
        </w:rPr>
        <w:t>且偏离度为负时，或者当本基金前</w:t>
      </w:r>
      <w:r>
        <w:rPr>
          <w:rFonts w:ascii="Times New Roman" w:eastAsia="Times New Roman"/>
        </w:rPr>
        <w:t>10</w:t>
      </w:r>
      <w:r>
        <w:rPr>
          <w:spacing w:val="-3"/>
        </w:rPr>
        <w:t>名份额持有人的持有份额合计超过基金总份额</w:t>
      </w:r>
      <w:r>
        <w:rPr>
          <w:rFonts w:ascii="Times New Roman" w:eastAsia="Times New Roman"/>
          <w:spacing w:val="-9"/>
        </w:rPr>
        <w:t>50%</w:t>
      </w:r>
      <w:r>
        <w:rPr>
          <w:spacing w:val="-19"/>
        </w:rPr>
        <w:t>，且</w:t>
      </w:r>
      <w:r>
        <w:rPr>
          <w:spacing w:val="-12"/>
        </w:rPr>
        <w:t>投资组合中现金、国债、中央银行票据、政策性金融债券以及</w:t>
      </w:r>
      <w:r>
        <w:rPr>
          <w:rFonts w:ascii="Times New Roman" w:eastAsia="Times New Roman"/>
        </w:rPr>
        <w:t>5 </w:t>
      </w:r>
      <w:r>
        <w:rPr>
          <w:spacing w:val="-3"/>
        </w:rPr>
        <w:t>个交易日内到期的其他金融工具占基金资产净值的比例合计低于</w:t>
      </w:r>
      <w:r>
        <w:rPr>
          <w:rFonts w:ascii="Times New Roman" w:eastAsia="Times New Roman"/>
        </w:rPr>
        <w:t>10%</w:t>
      </w:r>
      <w:r>
        <w:rPr>
          <w:spacing w:val="-8"/>
        </w:rPr>
        <w:t>且偏离度为负时，为确保基金平稳运作，避免诱发系统性风险，基金管理人将对当日单个基金份额持有人申请赎回基金份额超过基金总份额</w:t>
      </w:r>
      <w:r>
        <w:rPr>
          <w:rFonts w:ascii="Times New Roman" w:eastAsia="Times New Roman"/>
          <w:spacing w:val="-8"/>
        </w:rPr>
        <w:t>1%</w:t>
      </w:r>
      <w:r>
        <w:rPr>
          <w:spacing w:val="-4"/>
        </w:rPr>
        <w:t>以上的赎回申请征收</w:t>
      </w:r>
      <w:r>
        <w:rPr>
          <w:rFonts w:ascii="Times New Roman" w:eastAsia="Times New Roman"/>
        </w:rPr>
        <w:t>1%</w:t>
      </w:r>
      <w:r>
        <w:rPr>
          <w:spacing w:val="-3"/>
        </w:rPr>
        <w:t>的强制赎回费用。</w:t>
      </w:r>
    </w:p>
    <w:p>
      <w:pPr>
        <w:pStyle w:val="BodyText"/>
        <w:spacing w:line="268" w:lineRule="exact"/>
        <w:ind w:left="1198"/>
      </w:pPr>
      <w:r>
        <w:rPr/>
        <w:t>⑤暂停基金估值</w:t>
      </w:r>
    </w:p>
    <w:p>
      <w:pPr>
        <w:pStyle w:val="BodyText"/>
        <w:spacing w:before="6"/>
        <w:rPr>
          <w:sz w:val="15"/>
        </w:rPr>
      </w:pPr>
    </w:p>
    <w:p>
      <w:pPr>
        <w:pStyle w:val="BodyText"/>
        <w:spacing w:line="417" w:lineRule="auto" w:before="1"/>
        <w:ind w:left="778" w:right="800" w:firstLine="419"/>
      </w:pPr>
      <w:r>
        <w:rPr>
          <w:spacing w:val="-7"/>
          <w:w w:val="100"/>
        </w:rPr>
        <w:t>投资人具体请参见基金合同“二十一、基金资产计价”中的“</w:t>
      </w:r>
      <w:r>
        <w:rPr>
          <w:w w:val="100"/>
        </w:rPr>
        <w:t>（</w:t>
      </w:r>
      <w:r>
        <w:rPr>
          <w:spacing w:val="-3"/>
          <w:w w:val="100"/>
        </w:rPr>
        <w:t>六</w:t>
      </w:r>
      <w:r>
        <w:rPr>
          <w:w w:val="100"/>
        </w:rPr>
        <w:t>）</w:t>
      </w:r>
      <w:r>
        <w:rPr>
          <w:spacing w:val="-15"/>
          <w:w w:val="100"/>
        </w:rPr>
        <w:t>暂停计价的情形”，</w:t>
      </w:r>
      <w:r>
        <w:rPr>
          <w:spacing w:val="-7"/>
        </w:rPr>
        <w:t>详细了解本基金暂停估值的情形及程序。</w:t>
      </w:r>
    </w:p>
    <w:p>
      <w:pPr>
        <w:pStyle w:val="BodyText"/>
        <w:ind w:left="1198"/>
      </w:pPr>
      <w:r>
        <w:rPr/>
        <w:t>在此情形下，投资人没有可供参考的基金万份收益，基金申购赎回申请或被暂停。</w:t>
      </w:r>
    </w:p>
    <w:p>
      <w:pPr>
        <w:pStyle w:val="BodyText"/>
        <w:spacing w:before="6"/>
        <w:rPr>
          <w:sz w:val="15"/>
        </w:rPr>
      </w:pPr>
    </w:p>
    <w:p>
      <w:pPr>
        <w:pStyle w:val="BodyText"/>
        <w:ind w:left="1198"/>
      </w:pPr>
      <w:r>
        <w:rPr/>
        <w:t>⑥中国证监会认定的其他措施。</w:t>
      </w:r>
    </w:p>
    <w:p>
      <w:pPr>
        <w:pStyle w:val="BodyText"/>
        <w:spacing w:before="7"/>
        <w:rPr>
          <w:sz w:val="15"/>
        </w:rPr>
      </w:pPr>
    </w:p>
    <w:p>
      <w:pPr>
        <w:pStyle w:val="BodyText"/>
        <w:ind w:left="1198"/>
      </w:pPr>
      <w:r>
        <w:rPr>
          <w:rFonts w:ascii="Times New Roman" w:eastAsia="Times New Roman"/>
        </w:rPr>
        <w:t>4</w:t>
      </w:r>
      <w:r>
        <w:rPr/>
        <w:t>、积极管理风险</w:t>
      </w:r>
    </w:p>
    <w:p>
      <w:pPr>
        <w:pStyle w:val="BodyText"/>
        <w:spacing w:before="7"/>
        <w:rPr>
          <w:sz w:val="15"/>
        </w:rPr>
      </w:pPr>
    </w:p>
    <w:p>
      <w:pPr>
        <w:pStyle w:val="BodyText"/>
        <w:ind w:left="1198"/>
      </w:pPr>
      <w:r>
        <w:rPr/>
        <w:t>基金管理人可能因信息不全等原因导致判断失误，影响基金的收益水平。</w:t>
      </w:r>
    </w:p>
    <w:p>
      <w:pPr>
        <w:pStyle w:val="BodyText"/>
        <w:spacing w:before="6"/>
        <w:rPr>
          <w:sz w:val="15"/>
        </w:rPr>
      </w:pPr>
    </w:p>
    <w:p>
      <w:pPr>
        <w:pStyle w:val="BodyText"/>
        <w:spacing w:before="1"/>
        <w:ind w:left="1198"/>
      </w:pPr>
      <w:r>
        <w:rPr>
          <w:rFonts w:ascii="Times New Roman" w:eastAsia="Times New Roman"/>
        </w:rPr>
        <w:t>5</w:t>
      </w:r>
      <w:r>
        <w:rPr/>
        <w:t>、操作或技术风险</w:t>
      </w:r>
    </w:p>
    <w:p>
      <w:pPr>
        <w:pStyle w:val="BodyText"/>
        <w:spacing w:before="6"/>
        <w:rPr>
          <w:sz w:val="15"/>
        </w:rPr>
      </w:pPr>
    </w:p>
    <w:p>
      <w:pPr>
        <w:pStyle w:val="BodyText"/>
        <w:spacing w:line="417" w:lineRule="auto"/>
        <w:ind w:left="778" w:right="890" w:firstLine="419"/>
        <w:jc w:val="both"/>
      </w:pPr>
      <w:r>
        <w:rPr>
          <w:spacing w:val="-9"/>
        </w:rPr>
        <w:t>相关当事人在业务各环节操作过程中，可能因内部控制存在缺陷或者人为因素造成操作</w:t>
      </w:r>
      <w:r>
        <w:rPr>
          <w:spacing w:val="-10"/>
        </w:rPr>
        <w:t>失误或违反操作规程等引致基金财产损失，例如，越权违规交易、会计部门欺诈、交易错误等。</w:t>
      </w:r>
    </w:p>
    <w:p>
      <w:pPr>
        <w:pStyle w:val="BodyText"/>
        <w:spacing w:line="417" w:lineRule="auto"/>
        <w:ind w:left="778" w:right="800" w:firstLine="419"/>
      </w:pPr>
      <w:r>
        <w:rPr>
          <w:spacing w:val="-8"/>
        </w:rPr>
        <w:t>在开放式基金的各种交易行为或者后台运作中，可能因为技术系统的故障或者差错而影</w:t>
      </w:r>
      <w:r>
        <w:rPr>
          <w:spacing w:val="-5"/>
        </w:rPr>
        <w:t>响交易的正常进行或者导致投资者的利益受到影响。这种技术风险可能来自基金管理公司、</w:t>
      </w:r>
      <w:r>
        <w:rPr>
          <w:spacing w:val="-4"/>
        </w:rPr>
        <w:t>注册登记机构、销售机构、证券交易所、证券登记结算机构等。</w:t>
      </w:r>
    </w:p>
    <w:p>
      <w:pPr>
        <w:pStyle w:val="BodyText"/>
        <w:spacing w:line="417" w:lineRule="auto"/>
        <w:ind w:left="778" w:right="890" w:firstLine="419"/>
        <w:jc w:val="both"/>
      </w:pPr>
      <w:r>
        <w:rPr>
          <w:spacing w:val="-8"/>
        </w:rPr>
        <w:t>根据证券交易资金前端风险控制相关业务规则，中登公司和交易所对交易参与人的证券</w:t>
      </w:r>
      <w:r>
        <w:rPr>
          <w:spacing w:val="-11"/>
        </w:rPr>
        <w:t>交易资金进行前端额度控制，由于执行、调整、暂停该控制，或该控制出现异常等，可能影</w:t>
      </w:r>
      <w:r>
        <w:rPr>
          <w:spacing w:val="-6"/>
        </w:rPr>
        <w:t>响交易的正常进行或者导致投资者人的利益受到影响。</w:t>
      </w:r>
    </w:p>
    <w:p>
      <w:pPr>
        <w:pStyle w:val="BodyText"/>
        <w:ind w:left="1198"/>
      </w:pPr>
      <w:r>
        <w:rPr>
          <w:rFonts w:ascii="Times New Roman" w:eastAsia="Times New Roman"/>
        </w:rPr>
        <w:t>6</w:t>
      </w:r>
      <w:r>
        <w:rPr/>
        <w:t>、法律风险</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firstLine="419"/>
      </w:pPr>
      <w:r>
        <w:rPr>
          <w:spacing w:val="-9"/>
        </w:rPr>
        <w:t>由于法律法规方面的原因，某些市场行为可能受到限制或合同不能正常执行，而导致基</w:t>
      </w:r>
      <w:r>
        <w:rPr>
          <w:spacing w:val="-5"/>
        </w:rPr>
        <w:t>金财产的损失。</w:t>
      </w:r>
    </w:p>
    <w:p>
      <w:pPr>
        <w:pStyle w:val="BodyText"/>
        <w:spacing w:line="269" w:lineRule="exact"/>
        <w:ind w:left="1198"/>
      </w:pPr>
      <w:r>
        <w:rPr>
          <w:rFonts w:ascii="Times New Roman" w:eastAsia="Times New Roman"/>
        </w:rPr>
        <w:t>7</w:t>
      </w:r>
      <w:r>
        <w:rPr/>
        <w:t>、其他风险</w:t>
      </w:r>
    </w:p>
    <w:p>
      <w:pPr>
        <w:pStyle w:val="BodyText"/>
        <w:spacing w:before="7"/>
        <w:rPr>
          <w:sz w:val="15"/>
        </w:rPr>
      </w:pPr>
    </w:p>
    <w:p>
      <w:pPr>
        <w:pStyle w:val="BodyText"/>
        <w:spacing w:line="417" w:lineRule="auto"/>
        <w:ind w:left="778" w:right="891" w:firstLine="419"/>
      </w:pPr>
      <w:r>
        <w:rPr>
          <w:spacing w:val="-10"/>
        </w:rPr>
        <w:t>战争、自然灾害等不可抗力因素的出现，将会严重影响证券市场的运行，可能导致基金</w:t>
      </w:r>
      <w:r>
        <w:rPr>
          <w:spacing w:val="-5"/>
        </w:rPr>
        <w:t>财产的损失。</w:t>
      </w:r>
    </w:p>
    <w:p>
      <w:pPr>
        <w:pStyle w:val="BodyText"/>
        <w:spacing w:line="417" w:lineRule="auto"/>
        <w:ind w:left="778" w:right="889" w:firstLine="419"/>
      </w:pPr>
      <w:r>
        <w:rPr>
          <w:spacing w:val="-12"/>
        </w:rPr>
        <w:t>金融市场危机、行业竞争、代理机构违约等超出基金管理人自身直接控制能力之外的风</w:t>
      </w:r>
      <w:r>
        <w:rPr>
          <w:spacing w:val="-6"/>
        </w:rPr>
        <w:t>险，可能导致基金或者基金份额持有人的利益受损。</w:t>
      </w:r>
    </w:p>
    <w:p>
      <w:pPr>
        <w:pStyle w:val="BodyText"/>
        <w:ind w:left="1198"/>
      </w:pPr>
      <w:r>
        <w:rPr/>
        <w:t>（二）声明</w:t>
      </w:r>
    </w:p>
    <w:p>
      <w:pPr>
        <w:pStyle w:val="BodyText"/>
        <w:spacing w:before="6"/>
        <w:rPr>
          <w:sz w:val="15"/>
        </w:rPr>
      </w:pPr>
    </w:p>
    <w:p>
      <w:pPr>
        <w:pStyle w:val="BodyText"/>
        <w:spacing w:line="417" w:lineRule="auto" w:before="1"/>
        <w:ind w:left="778" w:right="889" w:firstLine="419"/>
      </w:pPr>
      <w:r>
        <w:rPr>
          <w:rFonts w:ascii="Times New Roman" w:eastAsia="Times New Roman"/>
        </w:rPr>
        <w:t>1</w:t>
      </w:r>
      <w:r>
        <w:rPr/>
        <w:t>、本基金未经任何一级政府、机构及部门担保。投资人自愿投资于本基金，须自行承担投资风险。</w:t>
      </w:r>
    </w:p>
    <w:p>
      <w:pPr>
        <w:pStyle w:val="BodyText"/>
        <w:spacing w:line="417" w:lineRule="auto"/>
        <w:ind w:left="778" w:right="888" w:firstLine="419"/>
        <w:jc w:val="both"/>
      </w:pPr>
      <w:r>
        <w:rPr>
          <w:rFonts w:ascii="Times New Roman" w:hAnsi="Times New Roman" w:eastAsia="Times New Roman"/>
        </w:rPr>
        <w:t>2</w:t>
      </w:r>
      <w:r>
        <w:rPr>
          <w:spacing w:val="-3"/>
        </w:rPr>
        <w:t>、除基金管理人直接办理本基金的销售外，本基金还通过本招募说明书“五、相关服</w:t>
      </w:r>
      <w:r>
        <w:rPr>
          <w:spacing w:val="-8"/>
        </w:rPr>
        <w:t>务机构”中所列销售机构代理销售，但是，基金并不是代销机构的存款或负债，也没有经代</w:t>
      </w:r>
      <w:r>
        <w:rPr>
          <w:spacing w:val="-5"/>
        </w:rPr>
        <w:t>销机构担保或者背书，代销机构并不能保证其收益或本金安全。</w:t>
      </w:r>
    </w:p>
    <w:p>
      <w:pPr>
        <w:pStyle w:val="BodyText"/>
        <w:spacing w:before="4"/>
        <w:rPr>
          <w:sz w:val="20"/>
        </w:rPr>
      </w:pPr>
    </w:p>
    <w:p>
      <w:pPr>
        <w:pStyle w:val="Heading1"/>
        <w:ind w:right="1337"/>
      </w:pPr>
      <w:bookmarkStart w:name="_bookmark19" w:id="20"/>
      <w:bookmarkEnd w:id="20"/>
      <w:r>
        <w:rPr>
          <w:b w:val="0"/>
        </w:rPr>
      </w:r>
      <w:r>
        <w:rPr/>
        <w:t>二十、基金的终止与清算</w:t>
      </w:r>
    </w:p>
    <w:p>
      <w:pPr>
        <w:pStyle w:val="BodyText"/>
        <w:rPr>
          <w:b/>
          <w:sz w:val="20"/>
        </w:rPr>
      </w:pPr>
    </w:p>
    <w:p>
      <w:pPr>
        <w:pStyle w:val="BodyText"/>
        <w:spacing w:before="8"/>
        <w:rPr>
          <w:b/>
          <w:sz w:val="15"/>
        </w:rPr>
      </w:pPr>
    </w:p>
    <w:p>
      <w:pPr>
        <w:pStyle w:val="BodyText"/>
        <w:ind w:left="1198"/>
      </w:pPr>
      <w:r>
        <w:rPr/>
        <w:t>（一）基金的终止</w:t>
      </w:r>
    </w:p>
    <w:p>
      <w:pPr>
        <w:pStyle w:val="BodyText"/>
        <w:spacing w:before="6"/>
        <w:rPr>
          <w:sz w:val="15"/>
        </w:rPr>
      </w:pPr>
    </w:p>
    <w:p>
      <w:pPr>
        <w:pStyle w:val="BodyText"/>
        <w:spacing w:before="1"/>
        <w:ind w:left="1198"/>
      </w:pPr>
      <w:r>
        <w:rPr/>
        <w:t>有下列情形之一的，本基金经中国证监会批准后终止：</w:t>
      </w:r>
    </w:p>
    <w:p>
      <w:pPr>
        <w:pStyle w:val="BodyText"/>
        <w:spacing w:before="6"/>
        <w:rPr>
          <w:sz w:val="15"/>
        </w:rPr>
      </w:pPr>
    </w:p>
    <w:p>
      <w:pPr>
        <w:pStyle w:val="BodyText"/>
        <w:spacing w:line="417" w:lineRule="auto"/>
        <w:ind w:left="778" w:right="888" w:firstLine="419"/>
      </w:pPr>
      <w:r>
        <w:rPr>
          <w:rFonts w:ascii="Times New Roman" w:eastAsia="Times New Roman"/>
        </w:rPr>
        <w:t>1</w:t>
      </w:r>
      <w:r>
        <w:rPr>
          <w:spacing w:val="-10"/>
        </w:rPr>
        <w:t>、存续期间内，基金份额持有人数量连续</w:t>
      </w:r>
      <w:r>
        <w:rPr>
          <w:rFonts w:ascii="Times New Roman" w:eastAsia="Times New Roman"/>
        </w:rPr>
        <w:t>60</w:t>
      </w:r>
      <w:r>
        <w:rPr>
          <w:spacing w:val="-3"/>
        </w:rPr>
        <w:t>个工作日达不到</w:t>
      </w:r>
      <w:r>
        <w:rPr>
          <w:rFonts w:ascii="Times New Roman" w:eastAsia="Times New Roman"/>
        </w:rPr>
        <w:t>100</w:t>
      </w:r>
      <w:r>
        <w:rPr>
          <w:spacing w:val="-8"/>
        </w:rPr>
        <w:t>人，或连续</w:t>
      </w:r>
      <w:r>
        <w:rPr>
          <w:rFonts w:ascii="Times New Roman" w:eastAsia="Times New Roman"/>
        </w:rPr>
        <w:t>60</w:t>
      </w:r>
      <w:r>
        <w:rPr>
          <w:spacing w:val="-1"/>
        </w:rPr>
        <w:t>个工作日</w:t>
      </w:r>
      <w:r>
        <w:rPr>
          <w:spacing w:val="-3"/>
        </w:rPr>
        <w:t>基金资产净值低于人民币</w:t>
      </w:r>
      <w:r>
        <w:rPr>
          <w:rFonts w:ascii="Times New Roman" w:eastAsia="Times New Roman"/>
        </w:rPr>
        <w:t>5,000</w:t>
      </w:r>
      <w:r>
        <w:rPr>
          <w:spacing w:val="-3"/>
        </w:rPr>
        <w:t>万元，基金管理人宣布本基金终止。</w:t>
      </w:r>
    </w:p>
    <w:p>
      <w:pPr>
        <w:pStyle w:val="BodyText"/>
        <w:spacing w:line="269" w:lineRule="exact"/>
        <w:ind w:left="1198"/>
      </w:pPr>
      <w:r>
        <w:rPr>
          <w:rFonts w:ascii="Times New Roman" w:eastAsia="Times New Roman"/>
        </w:rPr>
        <w:t>2</w:t>
      </w:r>
      <w:r>
        <w:rPr/>
        <w:t>、基金经基金份额持有人大会表决终止。</w:t>
      </w:r>
    </w:p>
    <w:p>
      <w:pPr>
        <w:pStyle w:val="BodyText"/>
        <w:spacing w:before="7"/>
        <w:rPr>
          <w:sz w:val="15"/>
        </w:rPr>
      </w:pPr>
    </w:p>
    <w:p>
      <w:pPr>
        <w:pStyle w:val="BodyText"/>
        <w:ind w:left="1198"/>
      </w:pPr>
      <w:r>
        <w:rPr>
          <w:rFonts w:ascii="Times New Roman" w:eastAsia="Times New Roman"/>
        </w:rPr>
        <w:t>3</w:t>
      </w:r>
      <w:r>
        <w:rPr/>
        <w:t>、因重大违法、违规行为，基金被中国证监会责令终止。</w:t>
      </w:r>
    </w:p>
    <w:p>
      <w:pPr>
        <w:pStyle w:val="BodyText"/>
        <w:spacing w:before="7"/>
        <w:rPr>
          <w:sz w:val="15"/>
        </w:rPr>
      </w:pPr>
    </w:p>
    <w:p>
      <w:pPr>
        <w:pStyle w:val="BodyText"/>
        <w:spacing w:line="417" w:lineRule="auto"/>
        <w:ind w:left="778" w:right="889" w:firstLine="419"/>
      </w:pPr>
      <w:r>
        <w:rPr>
          <w:rFonts w:ascii="Times New Roman" w:eastAsia="Times New Roman"/>
        </w:rPr>
        <w:t>4</w:t>
      </w:r>
      <w:r>
        <w:rPr>
          <w:spacing w:val="-3"/>
        </w:rPr>
        <w:t>、基金管理人因解散、破产、撤销等事由，不能继续担任本基金的管理人，而无其他适当的基金管理机构承接其权利及义务。</w:t>
      </w:r>
    </w:p>
    <w:p>
      <w:pPr>
        <w:pStyle w:val="BodyText"/>
        <w:spacing w:line="417" w:lineRule="auto"/>
        <w:ind w:left="778" w:right="889" w:firstLine="419"/>
      </w:pPr>
      <w:r>
        <w:rPr>
          <w:rFonts w:ascii="Times New Roman" w:eastAsia="Times New Roman"/>
        </w:rPr>
        <w:t>5</w:t>
      </w:r>
      <w:r>
        <w:rPr>
          <w:spacing w:val="-3"/>
        </w:rPr>
        <w:t>、基金托管人因解散、破产、撤销等事由，不能继续担任本基金的托管人，而无其他适当的基金托管机构承接其权利及义务。</w:t>
      </w:r>
    </w:p>
    <w:p>
      <w:pPr>
        <w:pStyle w:val="BodyText"/>
        <w:spacing w:line="269" w:lineRule="exact"/>
        <w:ind w:left="1198"/>
      </w:pPr>
      <w:r>
        <w:rPr>
          <w:rFonts w:ascii="Times New Roman" w:eastAsia="Times New Roman"/>
        </w:rPr>
        <w:t>6</w:t>
      </w:r>
      <w:r>
        <w:rPr/>
        <w:t>、由于投资方向变更引起的基金合并、撤销。</w:t>
      </w:r>
    </w:p>
    <w:p>
      <w:pPr>
        <w:pStyle w:val="BodyText"/>
        <w:spacing w:before="7"/>
        <w:rPr>
          <w:sz w:val="15"/>
        </w:rPr>
      </w:pPr>
    </w:p>
    <w:p>
      <w:pPr>
        <w:pStyle w:val="BodyText"/>
        <w:ind w:left="1198"/>
      </w:pPr>
      <w:r>
        <w:rPr>
          <w:rFonts w:ascii="Times New Roman" w:eastAsia="Times New Roman"/>
        </w:rPr>
        <w:t>7</w:t>
      </w:r>
      <w:r>
        <w:rPr/>
        <w:t>、法律法规或中国证监会允许的其他情况。</w:t>
      </w:r>
    </w:p>
    <w:p>
      <w:pPr>
        <w:pStyle w:val="BodyText"/>
        <w:spacing w:before="6"/>
        <w:rPr>
          <w:sz w:val="15"/>
        </w:rPr>
      </w:pPr>
    </w:p>
    <w:p>
      <w:pPr>
        <w:pStyle w:val="BodyText"/>
        <w:spacing w:before="1"/>
        <w:ind w:left="1198"/>
      </w:pPr>
      <w:r>
        <w:rPr/>
        <w:t>基金终止，应当按法律法规和基金合同的有关规定对基金进行清算。</w:t>
      </w:r>
    </w:p>
    <w:p>
      <w:pPr>
        <w:pStyle w:val="BodyText"/>
        <w:spacing w:before="7"/>
        <w:rPr>
          <w:sz w:val="15"/>
        </w:rPr>
      </w:pPr>
    </w:p>
    <w:p>
      <w:pPr>
        <w:pStyle w:val="BodyText"/>
        <w:ind w:left="1198"/>
      </w:pPr>
      <w:r>
        <w:rPr/>
        <w:t>（二）基金的清算</w:t>
      </w:r>
    </w:p>
    <w:p>
      <w:pPr>
        <w:pStyle w:val="BodyText"/>
        <w:spacing w:before="6"/>
        <w:rPr>
          <w:sz w:val="15"/>
        </w:rPr>
      </w:pPr>
    </w:p>
    <w:p>
      <w:pPr>
        <w:pStyle w:val="BodyText"/>
        <w:spacing w:before="1"/>
        <w:ind w:left="1198"/>
      </w:pPr>
      <w:r>
        <w:rPr>
          <w:rFonts w:ascii="Times New Roman" w:eastAsia="Times New Roman"/>
        </w:rPr>
        <w:t>1</w:t>
      </w:r>
      <w:r>
        <w:rPr/>
        <w:t>、基金清算小组</w:t>
      </w:r>
    </w:p>
    <w:p>
      <w:pPr>
        <w:spacing w:after="0"/>
        <w:sectPr>
          <w:pgSz w:w="11910" w:h="16840"/>
          <w:pgMar w:header="877" w:footer="995" w:top="1280" w:bottom="1180" w:left="1020" w:right="900"/>
        </w:sectPr>
      </w:pPr>
    </w:p>
    <w:p>
      <w:pPr>
        <w:pStyle w:val="BodyText"/>
        <w:rPr>
          <w:sz w:val="12"/>
        </w:rPr>
      </w:pPr>
    </w:p>
    <w:p>
      <w:pPr>
        <w:pStyle w:val="ListParagraph"/>
        <w:numPr>
          <w:ilvl w:val="0"/>
          <w:numId w:val="32"/>
        </w:numPr>
        <w:tabs>
          <w:tab w:pos="1727" w:val="left" w:leader="none"/>
        </w:tabs>
        <w:spacing w:line="417" w:lineRule="auto" w:before="78" w:after="0"/>
        <w:ind w:left="778" w:right="888" w:firstLine="419"/>
        <w:jc w:val="both"/>
        <w:rPr>
          <w:sz w:val="21"/>
        </w:rPr>
      </w:pPr>
      <w:r>
        <w:rPr>
          <w:spacing w:val="-3"/>
          <w:sz w:val="21"/>
        </w:rPr>
        <w:t>自基金终止之日起</w:t>
      </w:r>
      <w:r>
        <w:rPr>
          <w:rFonts w:ascii="Times New Roman" w:eastAsia="Times New Roman"/>
          <w:sz w:val="21"/>
        </w:rPr>
        <w:t>30</w:t>
      </w:r>
      <w:r>
        <w:rPr>
          <w:spacing w:val="-3"/>
          <w:sz w:val="21"/>
        </w:rPr>
        <w:t>个工作日内成立基金清算小组，基金清算小组在中国证监会</w:t>
      </w:r>
      <w:r>
        <w:rPr>
          <w:spacing w:val="-9"/>
          <w:sz w:val="21"/>
        </w:rPr>
        <w:t>的监督下进行基金清算，在基金清算小组接管基金财产之前，基金管理人和基金托管人应按</w:t>
      </w:r>
      <w:r>
        <w:rPr>
          <w:spacing w:val="-5"/>
          <w:sz w:val="21"/>
        </w:rPr>
        <w:t>照基金合同和托管协议的规定继续履行保护基金财产安全的职责。</w:t>
      </w:r>
    </w:p>
    <w:p>
      <w:pPr>
        <w:pStyle w:val="ListParagraph"/>
        <w:numPr>
          <w:ilvl w:val="0"/>
          <w:numId w:val="32"/>
        </w:numPr>
        <w:tabs>
          <w:tab w:pos="1727" w:val="left" w:leader="none"/>
        </w:tabs>
        <w:spacing w:line="417" w:lineRule="auto" w:before="0" w:after="0"/>
        <w:ind w:left="778" w:right="889" w:firstLine="419"/>
        <w:jc w:val="both"/>
        <w:rPr>
          <w:sz w:val="21"/>
        </w:rPr>
      </w:pPr>
      <w:r>
        <w:rPr>
          <w:spacing w:val="-3"/>
          <w:sz w:val="21"/>
        </w:rPr>
        <w:t>基金清算小组成员由基金管理人、基金托管人、具有从事证券相关业务资格的注</w:t>
      </w:r>
      <w:r>
        <w:rPr>
          <w:spacing w:val="-11"/>
          <w:sz w:val="21"/>
        </w:rPr>
        <w:t>册会计师、具有从事证券法律业务资格的律师以及中国证监会指定的人员组成。基金清算小</w:t>
      </w:r>
      <w:r>
        <w:rPr>
          <w:spacing w:val="-6"/>
          <w:sz w:val="21"/>
        </w:rPr>
        <w:t>组可以聘用必要的工作人员。</w:t>
      </w:r>
    </w:p>
    <w:p>
      <w:pPr>
        <w:pStyle w:val="ListParagraph"/>
        <w:numPr>
          <w:ilvl w:val="0"/>
          <w:numId w:val="32"/>
        </w:numPr>
        <w:tabs>
          <w:tab w:pos="1727" w:val="left" w:leader="none"/>
        </w:tabs>
        <w:spacing w:line="417" w:lineRule="auto" w:before="0" w:after="0"/>
        <w:ind w:left="778" w:right="889" w:firstLine="419"/>
        <w:jc w:val="left"/>
        <w:rPr>
          <w:sz w:val="21"/>
        </w:rPr>
      </w:pPr>
      <w:r>
        <w:rPr>
          <w:spacing w:val="-3"/>
          <w:sz w:val="21"/>
        </w:rPr>
        <w:t>基金清算小组负责基金财产的保管、清理、估价、变现和分配。基金清算小组可以依法进行必要的民事活动。</w:t>
      </w:r>
    </w:p>
    <w:p>
      <w:pPr>
        <w:pStyle w:val="BodyText"/>
        <w:ind w:left="1198"/>
      </w:pPr>
      <w:r>
        <w:rPr>
          <w:rFonts w:ascii="Times New Roman" w:eastAsia="Times New Roman"/>
        </w:rPr>
        <w:t>2</w:t>
      </w:r>
      <w:r>
        <w:rPr/>
        <w:t>、清算程序</w:t>
      </w:r>
    </w:p>
    <w:p>
      <w:pPr>
        <w:pStyle w:val="BodyText"/>
        <w:spacing w:before="6"/>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基金终止后，由基金清算小组统一接管基金财产。</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基金清算小组对基金财产进行清理和确认。</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对基金财产进行评估和变现。</w:t>
      </w:r>
    </w:p>
    <w:p>
      <w:pPr>
        <w:pStyle w:val="BodyText"/>
        <w:spacing w:before="6"/>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将基金清算结果报告中国证监会。</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公布基金清算公告。</w:t>
      </w:r>
    </w:p>
    <w:p>
      <w:pPr>
        <w:pStyle w:val="BodyText"/>
        <w:spacing w:before="7"/>
        <w:rPr>
          <w:sz w:val="15"/>
        </w:rPr>
      </w:pPr>
    </w:p>
    <w:p>
      <w:pPr>
        <w:pStyle w:val="ListParagraph"/>
        <w:numPr>
          <w:ilvl w:val="0"/>
          <w:numId w:val="33"/>
        </w:numPr>
        <w:tabs>
          <w:tab w:pos="1727" w:val="left" w:leader="none"/>
        </w:tabs>
        <w:spacing w:line="240" w:lineRule="auto" w:before="0" w:after="0"/>
        <w:ind w:left="1727" w:right="0" w:hanging="529"/>
        <w:jc w:val="left"/>
        <w:rPr>
          <w:sz w:val="21"/>
        </w:rPr>
      </w:pPr>
      <w:r>
        <w:rPr>
          <w:spacing w:val="-3"/>
          <w:sz w:val="21"/>
        </w:rPr>
        <w:t>对基金财产进行分配。</w:t>
      </w:r>
    </w:p>
    <w:p>
      <w:pPr>
        <w:pStyle w:val="BodyText"/>
        <w:spacing w:before="7"/>
        <w:rPr>
          <w:sz w:val="15"/>
        </w:rPr>
      </w:pPr>
    </w:p>
    <w:p>
      <w:pPr>
        <w:pStyle w:val="BodyText"/>
        <w:ind w:left="1198"/>
      </w:pPr>
      <w:r>
        <w:rPr>
          <w:rFonts w:ascii="Times New Roman" w:eastAsia="Times New Roman"/>
        </w:rPr>
        <w:t>3</w:t>
      </w:r>
      <w:r>
        <w:rPr/>
        <w:t>、清算费用</w:t>
      </w:r>
    </w:p>
    <w:p>
      <w:pPr>
        <w:pStyle w:val="BodyText"/>
        <w:spacing w:before="7"/>
        <w:rPr>
          <w:sz w:val="15"/>
        </w:rPr>
      </w:pPr>
    </w:p>
    <w:p>
      <w:pPr>
        <w:pStyle w:val="BodyText"/>
        <w:spacing w:line="417" w:lineRule="auto"/>
        <w:ind w:left="778" w:right="890" w:firstLine="419"/>
      </w:pPr>
      <w:r>
        <w:rPr>
          <w:spacing w:val="-6"/>
        </w:rPr>
        <w:t>清算费用是指基金清算小组在进行基金清算过程中发生的所有合理费用，清算费用由基</w:t>
      </w:r>
      <w:r>
        <w:rPr>
          <w:spacing w:val="-4"/>
        </w:rPr>
        <w:t>金清算小组优先从基金财产中支付。</w:t>
      </w:r>
    </w:p>
    <w:p>
      <w:pPr>
        <w:pStyle w:val="BodyText"/>
        <w:spacing w:line="269" w:lineRule="exact"/>
        <w:ind w:left="1198"/>
      </w:pPr>
      <w:r>
        <w:rPr>
          <w:rFonts w:ascii="Times New Roman" w:eastAsia="Times New Roman"/>
        </w:rPr>
        <w:t>4</w:t>
      </w:r>
      <w:r>
        <w:rPr/>
        <w:t>、基金剩余资产的分配</w:t>
      </w:r>
    </w:p>
    <w:p>
      <w:pPr>
        <w:pStyle w:val="BodyText"/>
        <w:spacing w:before="6"/>
        <w:rPr>
          <w:sz w:val="15"/>
        </w:rPr>
      </w:pPr>
    </w:p>
    <w:p>
      <w:pPr>
        <w:pStyle w:val="BodyText"/>
        <w:spacing w:line="417" w:lineRule="auto" w:before="1"/>
        <w:ind w:left="778" w:right="890" w:firstLine="419"/>
      </w:pPr>
      <w:r>
        <w:rPr>
          <w:spacing w:val="-7"/>
        </w:rPr>
        <w:t>基金清算后的全部剩余资产扣除基金清算费用后如有余额，按基金份额持有人持有的基</w:t>
      </w:r>
      <w:r>
        <w:rPr>
          <w:spacing w:val="-5"/>
        </w:rPr>
        <w:t>金份额比例进行分配。</w:t>
      </w:r>
    </w:p>
    <w:p>
      <w:pPr>
        <w:pStyle w:val="BodyText"/>
        <w:ind w:left="1198"/>
      </w:pPr>
      <w:r>
        <w:rPr>
          <w:rFonts w:ascii="Times New Roman" w:eastAsia="Times New Roman"/>
        </w:rPr>
        <w:t>5</w:t>
      </w:r>
      <w:r>
        <w:rPr/>
        <w:t>、基金清算的公告</w:t>
      </w:r>
    </w:p>
    <w:p>
      <w:pPr>
        <w:pStyle w:val="BodyText"/>
        <w:spacing w:before="6"/>
        <w:rPr>
          <w:sz w:val="15"/>
        </w:rPr>
      </w:pPr>
    </w:p>
    <w:p>
      <w:pPr>
        <w:pStyle w:val="BodyText"/>
        <w:spacing w:line="417" w:lineRule="auto" w:before="1"/>
        <w:ind w:left="778" w:right="706" w:firstLine="419"/>
      </w:pPr>
      <w:r>
        <w:rPr/>
        <w:t>基金终止并报中国证监会核准后</w:t>
      </w:r>
      <w:r>
        <w:rPr>
          <w:rFonts w:ascii="Times New Roman" w:eastAsia="Times New Roman"/>
        </w:rPr>
        <w:t>5</w:t>
      </w:r>
      <w:r>
        <w:rPr/>
        <w:t>个工作日内由基金清算小组公告；清算过程中的有关重大事项须及时公告；基金清算结果由基金清算小组于中国证监会批准后</w:t>
      </w:r>
      <w:r>
        <w:rPr>
          <w:rFonts w:ascii="Times New Roman" w:eastAsia="Times New Roman"/>
        </w:rPr>
        <w:t>3</w:t>
      </w:r>
      <w:r>
        <w:rPr/>
        <w:t>个工作日内公告。</w:t>
      </w:r>
    </w:p>
    <w:p>
      <w:pPr>
        <w:pStyle w:val="BodyText"/>
        <w:spacing w:line="269" w:lineRule="exact"/>
        <w:ind w:left="1198"/>
      </w:pPr>
      <w:r>
        <w:rPr>
          <w:rFonts w:ascii="Times New Roman" w:eastAsia="Times New Roman"/>
        </w:rPr>
        <w:t>6</w:t>
      </w:r>
      <w:r>
        <w:rPr/>
        <w:t>、清算账册及文件的保存</w:t>
      </w:r>
    </w:p>
    <w:p>
      <w:pPr>
        <w:pStyle w:val="BodyText"/>
        <w:spacing w:before="6"/>
        <w:rPr>
          <w:sz w:val="15"/>
        </w:rPr>
      </w:pPr>
    </w:p>
    <w:p>
      <w:pPr>
        <w:pStyle w:val="BodyText"/>
        <w:ind w:left="1198"/>
      </w:pPr>
      <w:r>
        <w:rPr/>
        <w:t>基金清算账册及有关文件由基金托管人保存</w:t>
      </w:r>
      <w:r>
        <w:rPr>
          <w:rFonts w:ascii="Times New Roman" w:eastAsia="Times New Roman"/>
        </w:rPr>
        <w:t>15</w:t>
      </w:r>
      <w:r>
        <w:rPr/>
        <w:t>年以上。</w:t>
      </w:r>
    </w:p>
    <w:p>
      <w:pPr>
        <w:pStyle w:val="BodyText"/>
        <w:rPr>
          <w:sz w:val="22"/>
        </w:rPr>
      </w:pPr>
    </w:p>
    <w:p>
      <w:pPr>
        <w:pStyle w:val="Heading1"/>
        <w:spacing w:before="179"/>
        <w:ind w:left="1198" w:right="0" w:firstLine="2364"/>
        <w:jc w:val="left"/>
      </w:pPr>
      <w:bookmarkStart w:name="_bookmark20" w:id="21"/>
      <w:bookmarkEnd w:id="21"/>
      <w:r>
        <w:rPr>
          <w:b w:val="0"/>
        </w:rPr>
      </w:r>
      <w:r>
        <w:rPr/>
        <w:t>二十一、基金合同的内容摘要</w:t>
      </w:r>
    </w:p>
    <w:p>
      <w:pPr>
        <w:pStyle w:val="BodyText"/>
        <w:rPr>
          <w:b/>
          <w:sz w:val="20"/>
        </w:rPr>
      </w:pPr>
    </w:p>
    <w:p>
      <w:pPr>
        <w:pStyle w:val="BodyText"/>
        <w:spacing w:before="8"/>
        <w:rPr>
          <w:b/>
          <w:sz w:val="15"/>
        </w:rPr>
      </w:pPr>
    </w:p>
    <w:p>
      <w:pPr>
        <w:pStyle w:val="BodyText"/>
        <w:spacing w:line="417" w:lineRule="auto"/>
        <w:ind w:left="1198" w:right="3635"/>
      </w:pPr>
      <w:r>
        <w:rPr>
          <w:spacing w:val="-9"/>
        </w:rPr>
        <w:t>以下内容摘自《华夏现金增利证券投资基金基金合同》： </w:t>
      </w:r>
      <w:r>
        <w:rPr>
          <w:spacing w:val="-3"/>
        </w:rPr>
        <w:t>“五、基金管理人的权利与义务</w:t>
      </w:r>
    </w:p>
    <w:p>
      <w:pPr>
        <w:spacing w:after="0" w:line="417" w:lineRule="auto"/>
        <w:sectPr>
          <w:footerReference w:type="default" r:id="rId215"/>
          <w:pgSz w:w="11910" w:h="16840"/>
          <w:pgMar w:footer="995" w:header="877" w:top="1280" w:bottom="1180" w:left="1020" w:right="900"/>
        </w:sectPr>
      </w:pPr>
    </w:p>
    <w:p>
      <w:pPr>
        <w:pStyle w:val="BodyText"/>
        <w:spacing w:before="7"/>
        <w:rPr>
          <w:sz w:val="12"/>
        </w:rPr>
      </w:pPr>
    </w:p>
    <w:p>
      <w:pPr>
        <w:pStyle w:val="BodyText"/>
        <w:spacing w:before="71"/>
        <w:ind w:left="1198"/>
      </w:pPr>
      <w:r>
        <w:rPr/>
        <w:t>（一）基金管理人的权利</w:t>
      </w:r>
    </w:p>
    <w:p>
      <w:pPr>
        <w:pStyle w:val="BodyText"/>
        <w:spacing w:before="7"/>
        <w:rPr>
          <w:sz w:val="15"/>
        </w:rPr>
      </w:pPr>
    </w:p>
    <w:p>
      <w:pPr>
        <w:pStyle w:val="BodyText"/>
        <w:ind w:left="1198"/>
      </w:pPr>
      <w:r>
        <w:rPr>
          <w:rFonts w:ascii="Times New Roman" w:eastAsia="Times New Roman"/>
        </w:rPr>
        <w:t>1</w:t>
      </w:r>
      <w:r>
        <w:rPr/>
        <w:t>、自基金合同生效之日起，依照有关法律法规独立管理和运用基金资产。</w:t>
      </w:r>
    </w:p>
    <w:p>
      <w:pPr>
        <w:pStyle w:val="BodyText"/>
        <w:spacing w:before="7"/>
        <w:rPr>
          <w:sz w:val="15"/>
        </w:rPr>
      </w:pPr>
    </w:p>
    <w:p>
      <w:pPr>
        <w:pStyle w:val="BodyText"/>
        <w:ind w:left="1198"/>
      </w:pPr>
      <w:r>
        <w:rPr>
          <w:rFonts w:ascii="Times New Roman" w:eastAsia="Times New Roman"/>
        </w:rPr>
        <w:t>2</w:t>
      </w:r>
      <w:r>
        <w:rPr/>
        <w:t>、在符合有关法律法规的前提下，制订和调整有关基金业务规则。</w:t>
      </w:r>
    </w:p>
    <w:p>
      <w:pPr>
        <w:pStyle w:val="BodyText"/>
        <w:spacing w:before="6"/>
        <w:rPr>
          <w:sz w:val="15"/>
        </w:rPr>
      </w:pPr>
    </w:p>
    <w:p>
      <w:pPr>
        <w:pStyle w:val="BodyText"/>
        <w:spacing w:line="417" w:lineRule="auto" w:before="1"/>
        <w:ind w:left="778" w:right="889" w:firstLine="419"/>
      </w:pPr>
      <w:r>
        <w:rPr>
          <w:rFonts w:ascii="Times New Roman" w:eastAsia="Times New Roman"/>
        </w:rPr>
        <w:t>3</w:t>
      </w:r>
      <w:r>
        <w:rPr/>
        <w:t>、根据基金合同的规定获得基金管理费，收取或委托收取事先批准或公告的合理费用以及法律法规规定的费用。</w:t>
      </w:r>
    </w:p>
    <w:p>
      <w:pPr>
        <w:pStyle w:val="BodyText"/>
        <w:spacing w:line="417" w:lineRule="auto"/>
        <w:ind w:left="778" w:right="889" w:firstLine="419"/>
      </w:pPr>
      <w:r>
        <w:rPr>
          <w:rFonts w:ascii="Times New Roman" w:eastAsia="Times New Roman"/>
        </w:rPr>
        <w:t>4</w:t>
      </w:r>
      <w:r>
        <w:rPr/>
        <w:t>、在符合有关法律法规的前提下，决定本基金的相关费率结构和收费方式，但本基金合同规定应由基金份额持有人大会批准的，从其规定。</w:t>
      </w:r>
    </w:p>
    <w:p>
      <w:pPr>
        <w:pStyle w:val="BodyText"/>
        <w:spacing w:line="417" w:lineRule="auto"/>
        <w:ind w:left="778" w:right="889" w:firstLine="419"/>
        <w:jc w:val="both"/>
      </w:pPr>
      <w:r>
        <w:rPr>
          <w:rFonts w:ascii="Times New Roman" w:eastAsia="Times New Roman"/>
        </w:rPr>
        <w:t>5</w:t>
      </w:r>
      <w:r>
        <w:rPr>
          <w:spacing w:val="-3"/>
        </w:rPr>
        <w:t>、依据本基金合同及有关法律规定监督基金托管人，如认为基金托管人违反了本基金</w:t>
      </w:r>
      <w:r>
        <w:rPr>
          <w:spacing w:val="-8"/>
        </w:rPr>
        <w:t>合同或国家有关法律规定对基金资产、其他当事人的利益造成重大损失的，应及时呈报中国</w:t>
      </w:r>
      <w:r>
        <w:rPr>
          <w:spacing w:val="-11"/>
        </w:rPr>
        <w:t>证监会和中国银监会，并有权向有关部门和基金份额持有人大会提议更换基金托管人，以及</w:t>
      </w:r>
      <w:r>
        <w:rPr>
          <w:spacing w:val="-6"/>
        </w:rPr>
        <w:t>采取其他必要措施以保护基金及相关当事人的利益。</w:t>
      </w:r>
    </w:p>
    <w:p>
      <w:pPr>
        <w:pStyle w:val="BodyText"/>
        <w:spacing w:line="417" w:lineRule="auto"/>
        <w:ind w:left="778" w:right="889" w:firstLine="419"/>
      </w:pPr>
      <w:r>
        <w:rPr>
          <w:rFonts w:ascii="Times New Roman" w:eastAsia="Times New Roman"/>
        </w:rPr>
        <w:t>6</w:t>
      </w:r>
      <w:r>
        <w:rPr/>
        <w:t>、选择、更换基金销售代理人，并依照销售代理协议对基金销售代理人的行为进行必要的监督和检查。</w:t>
      </w:r>
    </w:p>
    <w:p>
      <w:pPr>
        <w:pStyle w:val="BodyText"/>
        <w:spacing w:line="417" w:lineRule="auto"/>
        <w:ind w:left="778" w:right="889" w:firstLine="419"/>
      </w:pPr>
      <w:r>
        <w:rPr>
          <w:rFonts w:ascii="Times New Roman" w:eastAsia="Times New Roman"/>
        </w:rPr>
        <w:t>7</w:t>
      </w:r>
      <w:r>
        <w:rPr/>
        <w:t>、选择、更换注册登记代理机构，并对注册登记代理机构的代理行为进行必要的监督和检查。</w:t>
      </w:r>
    </w:p>
    <w:p>
      <w:pPr>
        <w:pStyle w:val="BodyText"/>
        <w:ind w:left="1198"/>
      </w:pPr>
      <w:r>
        <w:rPr>
          <w:rFonts w:ascii="Times New Roman" w:eastAsia="Times New Roman"/>
        </w:rPr>
        <w:t>8</w:t>
      </w:r>
      <w:r>
        <w:rPr/>
        <w:t>、在基金合同约定的范围内，拒绝或暂停受理申购、赎回和转换申请。</w:t>
      </w:r>
    </w:p>
    <w:p>
      <w:pPr>
        <w:pStyle w:val="BodyText"/>
        <w:spacing w:line="417" w:lineRule="auto" w:before="197"/>
        <w:ind w:left="778" w:right="889" w:firstLine="419"/>
      </w:pPr>
      <w:r>
        <w:rPr>
          <w:rFonts w:ascii="Times New Roman" w:eastAsia="Times New Roman"/>
        </w:rPr>
        <w:t>9</w:t>
      </w:r>
      <w:r>
        <w:rPr/>
        <w:t>、以基金的名义依法为基金进行融资，并以相应基金资产履行偿还融资和支付利息的义务。</w:t>
      </w:r>
    </w:p>
    <w:p>
      <w:pPr>
        <w:pStyle w:val="BodyText"/>
        <w:spacing w:line="269" w:lineRule="exact"/>
        <w:ind w:left="1198"/>
      </w:pPr>
      <w:r>
        <w:rPr>
          <w:rFonts w:ascii="Times New Roman" w:eastAsia="Times New Roman"/>
        </w:rPr>
        <w:t>10</w:t>
      </w:r>
      <w:r>
        <w:rPr/>
        <w:t>、依据基金合同的规定，制订基金收益的分配方案。</w:t>
      </w:r>
    </w:p>
    <w:p>
      <w:pPr>
        <w:pStyle w:val="BodyText"/>
        <w:spacing w:before="7"/>
        <w:rPr>
          <w:sz w:val="15"/>
        </w:rPr>
      </w:pPr>
    </w:p>
    <w:p>
      <w:pPr>
        <w:pStyle w:val="BodyText"/>
        <w:ind w:left="1198"/>
      </w:pPr>
      <w:r>
        <w:rPr>
          <w:rFonts w:ascii="Times New Roman" w:eastAsia="Times New Roman"/>
        </w:rPr>
        <w:t>11</w:t>
      </w:r>
      <w:r>
        <w:rPr/>
        <w:t>、法律、法规、基金合同以及依据本基金合同制订的其他法律文件所规定的其他权利。</w:t>
      </w:r>
    </w:p>
    <w:p>
      <w:pPr>
        <w:pStyle w:val="BodyText"/>
        <w:spacing w:before="7"/>
        <w:rPr>
          <w:sz w:val="15"/>
        </w:rPr>
      </w:pPr>
    </w:p>
    <w:p>
      <w:pPr>
        <w:pStyle w:val="BodyText"/>
        <w:ind w:left="1198"/>
      </w:pPr>
      <w:r>
        <w:rPr/>
        <w:t>（二）基金管理人的义务</w:t>
      </w:r>
    </w:p>
    <w:p>
      <w:pPr>
        <w:pStyle w:val="BodyText"/>
        <w:spacing w:before="7"/>
        <w:rPr>
          <w:sz w:val="15"/>
        </w:rPr>
      </w:pPr>
    </w:p>
    <w:p>
      <w:pPr>
        <w:pStyle w:val="BodyText"/>
        <w:ind w:left="1198"/>
      </w:pPr>
      <w:r>
        <w:rPr>
          <w:rFonts w:ascii="Times New Roman" w:eastAsia="Times New Roman"/>
        </w:rPr>
        <w:t>1</w:t>
      </w:r>
      <w:r>
        <w:rPr/>
        <w:t>、遵守基金合同。</w:t>
      </w:r>
    </w:p>
    <w:p>
      <w:pPr>
        <w:pStyle w:val="BodyText"/>
        <w:spacing w:before="7"/>
        <w:rPr>
          <w:sz w:val="15"/>
        </w:rPr>
      </w:pPr>
    </w:p>
    <w:p>
      <w:pPr>
        <w:pStyle w:val="BodyText"/>
        <w:ind w:left="1198"/>
      </w:pPr>
      <w:r>
        <w:rPr>
          <w:rFonts w:ascii="Times New Roman" w:eastAsia="Times New Roman"/>
        </w:rPr>
        <w:t>2</w:t>
      </w:r>
      <w:r>
        <w:rPr/>
        <w:t>、不从事任何有损基金及其他基金当事人利益的活动。</w:t>
      </w:r>
    </w:p>
    <w:p>
      <w:pPr>
        <w:pStyle w:val="BodyText"/>
        <w:spacing w:before="7"/>
        <w:rPr>
          <w:sz w:val="15"/>
        </w:rPr>
      </w:pPr>
    </w:p>
    <w:p>
      <w:pPr>
        <w:pStyle w:val="BodyText"/>
        <w:ind w:left="1198"/>
      </w:pPr>
      <w:r>
        <w:rPr>
          <w:rFonts w:ascii="Times New Roman" w:eastAsia="Times New Roman"/>
        </w:rPr>
        <w:t>3</w:t>
      </w:r>
      <w:r>
        <w:rPr/>
        <w:t>、恪尽职守，依照诚实信用、勤勉尽责的原则，管理和运用基金资产。</w:t>
      </w:r>
    </w:p>
    <w:p>
      <w:pPr>
        <w:pStyle w:val="BodyText"/>
        <w:spacing w:before="6"/>
        <w:rPr>
          <w:sz w:val="15"/>
        </w:rPr>
      </w:pPr>
    </w:p>
    <w:p>
      <w:pPr>
        <w:pStyle w:val="BodyText"/>
        <w:spacing w:line="417" w:lineRule="auto" w:before="1"/>
        <w:ind w:left="778" w:right="889" w:firstLine="419"/>
      </w:pPr>
      <w:r>
        <w:rPr>
          <w:rFonts w:ascii="Times New Roman" w:eastAsia="Times New Roman"/>
        </w:rPr>
        <w:t>4</w:t>
      </w:r>
      <w:r>
        <w:rPr/>
        <w:t>、设置相应的部门并配备足够的具有专业资格的人员进行基金投资分析、决策，以专业化的经营方式管理和运作基金资产，防范和减少风险。</w:t>
      </w:r>
    </w:p>
    <w:p>
      <w:pPr>
        <w:pStyle w:val="BodyText"/>
        <w:spacing w:line="417" w:lineRule="auto"/>
        <w:ind w:left="778" w:right="889" w:firstLine="419"/>
      </w:pPr>
      <w:r>
        <w:rPr>
          <w:rFonts w:ascii="Times New Roman" w:eastAsia="Times New Roman"/>
        </w:rPr>
        <w:t>5</w:t>
      </w:r>
      <w:r>
        <w:rPr/>
        <w:t>、设置相应的部门并配备足够的专业人员办理基金份额的认购、申购、赎回和其他业务或委托合格机构代为办理。</w:t>
      </w:r>
    </w:p>
    <w:p>
      <w:pPr>
        <w:pStyle w:val="BodyText"/>
        <w:spacing w:line="417" w:lineRule="auto"/>
        <w:ind w:left="778" w:right="889" w:firstLine="419"/>
      </w:pPr>
      <w:r>
        <w:rPr>
          <w:rFonts w:ascii="Times New Roman" w:eastAsia="Times New Roman"/>
        </w:rPr>
        <w:t>6</w:t>
      </w:r>
      <w:r>
        <w:rPr/>
        <w:t>、设置相应的部门并配备足够的专业人员办理基金的注册登记业务或委托其他机构代理该项业务。</w:t>
      </w:r>
    </w:p>
    <w:p>
      <w:pPr>
        <w:spacing w:after="0" w:line="417" w:lineRule="auto"/>
        <w:sectPr>
          <w:footerReference w:type="default" r:id="rId216"/>
          <w:pgSz w:w="11910" w:h="16840"/>
          <w:pgMar w:footer="995" w:header="877" w:top="1280" w:bottom="1180" w:left="1020" w:right="900"/>
          <w:pgNumType w:start="131"/>
        </w:sectPr>
      </w:pPr>
    </w:p>
    <w:p>
      <w:pPr>
        <w:pStyle w:val="BodyText"/>
        <w:rPr>
          <w:sz w:val="12"/>
        </w:rPr>
      </w:pPr>
    </w:p>
    <w:p>
      <w:pPr>
        <w:pStyle w:val="BodyText"/>
        <w:spacing w:line="417" w:lineRule="auto" w:before="78"/>
        <w:ind w:left="778" w:right="888" w:firstLine="419"/>
        <w:jc w:val="both"/>
      </w:pPr>
      <w:r>
        <w:rPr>
          <w:rFonts w:ascii="Times New Roman" w:eastAsia="Times New Roman"/>
        </w:rPr>
        <w:t>7</w:t>
      </w:r>
      <w:r>
        <w:rPr>
          <w:spacing w:val="-3"/>
        </w:rPr>
        <w:t>、建立健全内部控制制度，保证基金管理人的自有资产和基金资产相互独立，确保分</w:t>
      </w:r>
      <w:r>
        <w:rPr>
          <w:spacing w:val="-12"/>
        </w:rPr>
        <w:t>别管理、分别核算、计账；保证本基金与基金管理人管理的其他基金在资产运作、财务管理</w:t>
      </w:r>
      <w:r>
        <w:rPr>
          <w:spacing w:val="-6"/>
        </w:rPr>
        <w:t>等方面相互独立，确保分别管理、分别计账。</w:t>
      </w:r>
    </w:p>
    <w:p>
      <w:pPr>
        <w:pStyle w:val="BodyText"/>
        <w:spacing w:line="417" w:lineRule="auto"/>
        <w:ind w:left="778" w:right="891" w:firstLine="419"/>
      </w:pPr>
      <w:r>
        <w:rPr>
          <w:rFonts w:ascii="Times New Roman" w:eastAsia="Times New Roman"/>
        </w:rPr>
        <w:t>8</w:t>
      </w:r>
      <w:r>
        <w:rPr>
          <w:spacing w:val="-23"/>
        </w:rPr>
        <w:t>、除依据《信托法》、《基金法》、基金合同及其他有关规定外，不为自己及任何第三方</w:t>
      </w:r>
      <w:r>
        <w:rPr>
          <w:spacing w:val="-11"/>
        </w:rPr>
        <w:t>谋取利益。</w:t>
      </w:r>
    </w:p>
    <w:p>
      <w:pPr>
        <w:pStyle w:val="BodyText"/>
        <w:spacing w:line="417" w:lineRule="auto"/>
        <w:ind w:left="778" w:right="802" w:firstLine="419"/>
      </w:pPr>
      <w:r>
        <w:rPr>
          <w:rFonts w:ascii="Times New Roman" w:eastAsia="Times New Roman"/>
        </w:rPr>
        <w:t>9</w:t>
      </w:r>
      <w:r>
        <w:rPr>
          <w:spacing w:val="-21"/>
        </w:rPr>
        <w:t>、除依据《信托法》、《基金法》、基金合同及其他有关规定外，不得委托第三人管理、</w:t>
      </w:r>
      <w:r>
        <w:rPr>
          <w:spacing w:val="-9"/>
        </w:rPr>
        <w:t>运作基金资产。</w:t>
      </w:r>
    </w:p>
    <w:p>
      <w:pPr>
        <w:pStyle w:val="BodyText"/>
        <w:spacing w:line="417" w:lineRule="auto"/>
        <w:ind w:left="778" w:right="889" w:firstLine="419"/>
      </w:pPr>
      <w:r>
        <w:rPr>
          <w:rFonts w:ascii="Times New Roman" w:eastAsia="Times New Roman"/>
        </w:rPr>
        <w:t>10</w:t>
      </w:r>
      <w:r>
        <w:rPr>
          <w:spacing w:val="-11"/>
        </w:rPr>
        <w:t>、接受基金份额持有人、基金份额持有人大会、基金托管人依照本基金合同及相关法</w:t>
      </w:r>
      <w:r>
        <w:rPr>
          <w:spacing w:val="-6"/>
        </w:rPr>
        <w:t>律规定对基金管理人履行本基金合同情况进行的监督。</w:t>
      </w:r>
    </w:p>
    <w:p>
      <w:pPr>
        <w:pStyle w:val="BodyText"/>
        <w:spacing w:line="269" w:lineRule="exact"/>
        <w:ind w:left="1198"/>
      </w:pPr>
      <w:r>
        <w:rPr>
          <w:rFonts w:ascii="Times New Roman" w:eastAsia="Times New Roman"/>
        </w:rPr>
        <w:t>11</w:t>
      </w:r>
      <w:r>
        <w:rPr/>
        <w:t>、按规定核算基金收益、计算基金收益率并公告基金收益率。</w:t>
      </w:r>
    </w:p>
    <w:p>
      <w:pPr>
        <w:pStyle w:val="BodyText"/>
        <w:spacing w:before="6"/>
        <w:rPr>
          <w:sz w:val="15"/>
        </w:rPr>
      </w:pPr>
    </w:p>
    <w:p>
      <w:pPr>
        <w:pStyle w:val="BodyText"/>
        <w:ind w:left="1198"/>
      </w:pPr>
      <w:r>
        <w:rPr>
          <w:rFonts w:ascii="Times New Roman" w:eastAsia="Times New Roman"/>
        </w:rPr>
        <w:t>12</w:t>
      </w:r>
      <w:r>
        <w:rPr/>
        <w:t>、按照法律和本基金合同的规定受理申购和赎回申请，及时、足额支付赎回款项。</w:t>
      </w:r>
    </w:p>
    <w:p>
      <w:pPr>
        <w:pStyle w:val="BodyText"/>
        <w:spacing w:before="7"/>
        <w:rPr>
          <w:sz w:val="15"/>
        </w:rPr>
      </w:pPr>
    </w:p>
    <w:p>
      <w:pPr>
        <w:pStyle w:val="BodyText"/>
        <w:spacing w:line="417" w:lineRule="auto"/>
        <w:ind w:left="778" w:right="889" w:firstLine="419"/>
        <w:jc w:val="both"/>
      </w:pPr>
      <w:r>
        <w:rPr>
          <w:rFonts w:ascii="Times New Roman" w:eastAsia="Times New Roman"/>
        </w:rPr>
        <w:t>13</w:t>
      </w:r>
      <w:r>
        <w:rPr>
          <w:spacing w:val="-20"/>
        </w:rPr>
        <w:t>、严格按照《信托法》、《基金法》、基金合同及其他有关规定履行信息披露及报告义</w:t>
      </w:r>
      <w:r>
        <w:rPr>
          <w:spacing w:val="-9"/>
        </w:rPr>
        <w:t>务；保证投资者能够按照本基金合同规定的时间和方式，查阅到与基金有关的公开资料，并</w:t>
      </w:r>
      <w:r>
        <w:rPr>
          <w:spacing w:val="-5"/>
        </w:rPr>
        <w:t>得到有关资料的复印件。</w:t>
      </w:r>
    </w:p>
    <w:p>
      <w:pPr>
        <w:pStyle w:val="BodyText"/>
        <w:spacing w:line="417" w:lineRule="auto"/>
        <w:ind w:left="778" w:right="889" w:firstLine="419"/>
        <w:jc w:val="both"/>
      </w:pPr>
      <w:r>
        <w:rPr>
          <w:rFonts w:ascii="Times New Roman" w:eastAsia="Times New Roman"/>
        </w:rPr>
        <w:t>14</w:t>
      </w:r>
      <w:r>
        <w:rPr>
          <w:spacing w:val="-14"/>
        </w:rPr>
        <w:t>、保守基金的商业秘密，不泄露基金投资计划等；除《信托法》、《基金法》、基金合</w:t>
      </w:r>
      <w:r>
        <w:rPr>
          <w:spacing w:val="-11"/>
        </w:rPr>
        <w:t>同及其他有关规定另有规定外，在基金信息公开披露前应予保密，不向他人泄露，但因遵守和服从司法机构、中国证监会或其他监管机构的判决、裁决、决定、命令而做出的披露不应</w:t>
      </w:r>
      <w:r>
        <w:rPr>
          <w:spacing w:val="-6"/>
        </w:rPr>
        <w:t>视为基金管理人违反基金合同规定的保密义务。</w:t>
      </w:r>
    </w:p>
    <w:p>
      <w:pPr>
        <w:pStyle w:val="BodyText"/>
        <w:spacing w:line="268" w:lineRule="exact"/>
        <w:ind w:left="1198"/>
      </w:pPr>
      <w:r>
        <w:rPr>
          <w:rFonts w:ascii="Times New Roman" w:eastAsia="Times New Roman"/>
        </w:rPr>
        <w:t>15</w:t>
      </w:r>
      <w:r>
        <w:rPr/>
        <w:t>、依据基金合同规定制订基金收益分配方案，并向基金份额持有人分配基金收益。</w:t>
      </w:r>
    </w:p>
    <w:p>
      <w:pPr>
        <w:pStyle w:val="BodyText"/>
        <w:spacing w:before="7"/>
        <w:rPr>
          <w:sz w:val="15"/>
        </w:rPr>
      </w:pPr>
    </w:p>
    <w:p>
      <w:pPr>
        <w:pStyle w:val="BodyText"/>
        <w:spacing w:line="417" w:lineRule="auto"/>
        <w:ind w:left="778" w:right="889" w:firstLine="419"/>
        <w:jc w:val="both"/>
      </w:pPr>
      <w:r>
        <w:rPr>
          <w:rFonts w:ascii="Times New Roman" w:eastAsia="Times New Roman"/>
        </w:rPr>
        <w:t>16</w:t>
      </w:r>
      <w:r>
        <w:rPr>
          <w:spacing w:val="-12"/>
        </w:rPr>
        <w:t>、依据《基金法》、基金合同及其他有关规定召集基金份额持有人大会，执行基金份额持有人大会决议；确保向基金份额持有人和基金份额持有人大会提供的各项文件或资料在</w:t>
      </w:r>
      <w:r>
        <w:rPr>
          <w:spacing w:val="-6"/>
        </w:rPr>
        <w:t>规定时间内发出。</w:t>
      </w:r>
    </w:p>
    <w:p>
      <w:pPr>
        <w:pStyle w:val="BodyText"/>
        <w:spacing w:line="417" w:lineRule="auto"/>
        <w:ind w:left="778" w:right="891" w:firstLine="419"/>
      </w:pPr>
      <w:r>
        <w:rPr>
          <w:rFonts w:ascii="Times New Roman" w:eastAsia="Times New Roman"/>
        </w:rPr>
        <w:t>17</w:t>
      </w:r>
      <w:r>
        <w:rPr>
          <w:spacing w:val="-10"/>
        </w:rPr>
        <w:t>、编制本基金的财务会计报告；保存本基金的会计账册、报表及其他处理有关基金事</w:t>
      </w:r>
      <w:r>
        <w:rPr>
          <w:spacing w:val="-5"/>
        </w:rPr>
        <w:t>务的完整记录</w:t>
      </w:r>
      <w:r>
        <w:rPr>
          <w:rFonts w:ascii="Times New Roman" w:eastAsia="Times New Roman"/>
        </w:rPr>
        <w:t>15</w:t>
      </w:r>
      <w:r>
        <w:rPr>
          <w:spacing w:val="-2"/>
        </w:rPr>
        <w:t>年以上。</w:t>
      </w:r>
    </w:p>
    <w:p>
      <w:pPr>
        <w:pStyle w:val="BodyText"/>
        <w:spacing w:line="269" w:lineRule="exact"/>
        <w:ind w:left="1198"/>
      </w:pPr>
      <w:r>
        <w:rPr>
          <w:rFonts w:ascii="Times New Roman" w:eastAsia="Times New Roman"/>
        </w:rPr>
        <w:t>18</w:t>
      </w:r>
      <w:r>
        <w:rPr/>
        <w:t>、参加基金清算小组，参与基金资产的保管、清理、估价、变现和分配。</w:t>
      </w:r>
    </w:p>
    <w:p>
      <w:pPr>
        <w:pStyle w:val="BodyText"/>
        <w:spacing w:before="6"/>
        <w:rPr>
          <w:sz w:val="15"/>
        </w:rPr>
      </w:pPr>
    </w:p>
    <w:p>
      <w:pPr>
        <w:pStyle w:val="BodyText"/>
        <w:spacing w:line="417" w:lineRule="auto" w:before="1"/>
        <w:ind w:left="778" w:right="891" w:firstLine="419"/>
      </w:pPr>
      <w:r>
        <w:rPr>
          <w:rFonts w:ascii="Times New Roman" w:eastAsia="Times New Roman"/>
        </w:rPr>
        <w:t>19</w:t>
      </w:r>
      <w:r>
        <w:rPr>
          <w:spacing w:val="-11"/>
        </w:rPr>
        <w:t>、面临解散、依法被撤销、破产或者由接管人接管其资产时，及时报告中国证监会并</w:t>
      </w:r>
      <w:r>
        <w:rPr>
          <w:spacing w:val="-6"/>
        </w:rPr>
        <w:t>通知基金托管人。</w:t>
      </w:r>
    </w:p>
    <w:p>
      <w:pPr>
        <w:pStyle w:val="BodyText"/>
        <w:spacing w:line="417" w:lineRule="auto"/>
        <w:ind w:left="778" w:right="889" w:firstLine="419"/>
      </w:pPr>
      <w:r>
        <w:rPr>
          <w:rFonts w:ascii="Times New Roman" w:eastAsia="Times New Roman"/>
        </w:rPr>
        <w:t>20</w:t>
      </w:r>
      <w:r>
        <w:rPr>
          <w:spacing w:val="-10"/>
        </w:rPr>
        <w:t>、监督基金托管人按法律法规和基金合同规定履行自己的义务；基金托管人因过错造</w:t>
      </w:r>
      <w:r>
        <w:rPr>
          <w:spacing w:val="-5"/>
        </w:rPr>
        <w:t>成基金资产损失时，基金管理人应为基金向基金托管人追偿。</w:t>
      </w:r>
    </w:p>
    <w:p>
      <w:pPr>
        <w:pStyle w:val="BodyText"/>
        <w:ind w:left="1198"/>
      </w:pPr>
      <w:r>
        <w:rPr>
          <w:rFonts w:ascii="Times New Roman" w:eastAsia="Times New Roman"/>
        </w:rPr>
        <w:t>21</w:t>
      </w:r>
      <w:r>
        <w:rPr/>
        <w:t>、因违反本基金合同规定的目的处分基金资产或者因违背本基金合同规定的管理职</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pPr>
      <w:r>
        <w:rPr>
          <w:spacing w:val="-9"/>
        </w:rPr>
        <w:t>责、处理基金事务不当而致使基金资产受到损失时，应当承担赔偿责任，其过错责任不因其</w:t>
      </w:r>
      <w:r>
        <w:rPr>
          <w:spacing w:val="-5"/>
        </w:rPr>
        <w:t>退任而免除。</w:t>
      </w:r>
    </w:p>
    <w:p>
      <w:pPr>
        <w:pStyle w:val="BodyText"/>
        <w:spacing w:line="269" w:lineRule="exact"/>
        <w:ind w:left="1198"/>
      </w:pPr>
      <w:r>
        <w:rPr>
          <w:rFonts w:ascii="Times New Roman" w:eastAsia="Times New Roman"/>
        </w:rPr>
        <w:t>22</w:t>
      </w:r>
      <w:r>
        <w:rPr/>
        <w:t>、负责为基金聘请会计师事务所和律师。</w:t>
      </w:r>
    </w:p>
    <w:p>
      <w:pPr>
        <w:pStyle w:val="BodyText"/>
        <w:spacing w:before="7"/>
        <w:rPr>
          <w:sz w:val="15"/>
        </w:rPr>
      </w:pPr>
    </w:p>
    <w:p>
      <w:pPr>
        <w:pStyle w:val="BodyText"/>
        <w:spacing w:line="417" w:lineRule="auto"/>
        <w:ind w:left="778" w:right="891" w:firstLine="419"/>
      </w:pPr>
      <w:r>
        <w:rPr>
          <w:rFonts w:ascii="Times New Roman" w:eastAsia="Times New Roman"/>
        </w:rPr>
        <w:t>23</w:t>
      </w:r>
      <w:r>
        <w:rPr>
          <w:spacing w:val="-11"/>
        </w:rPr>
        <w:t>、职责终止时，妥善保管业务资料，及时办理基金管理业务移交手续；按照规定聘请</w:t>
      </w:r>
      <w:r>
        <w:rPr>
          <w:spacing w:val="-6"/>
        </w:rPr>
        <w:t>会计师事务所对基金财产进行审计，并将审计结果予以公告，同时报中国证监会备案。</w:t>
      </w:r>
    </w:p>
    <w:p>
      <w:pPr>
        <w:pStyle w:val="BodyText"/>
        <w:spacing w:line="417" w:lineRule="auto"/>
        <w:ind w:left="778" w:right="890" w:firstLine="419"/>
      </w:pPr>
      <w:r>
        <w:rPr>
          <w:rFonts w:ascii="Times New Roman" w:eastAsia="Times New Roman"/>
        </w:rPr>
        <w:t>24</w:t>
      </w:r>
      <w:r>
        <w:rPr>
          <w:spacing w:val="-12"/>
        </w:rPr>
        <w:t>、法律、法规、本基金合同以及依据本基金合同制定的其他法律文件所规定的其他义务。</w:t>
      </w:r>
    </w:p>
    <w:p>
      <w:pPr>
        <w:pStyle w:val="BodyText"/>
        <w:ind w:left="1198"/>
      </w:pPr>
      <w:r>
        <w:rPr/>
        <w:t>六、基金托管人的权利与义务</w:t>
      </w:r>
    </w:p>
    <w:p>
      <w:pPr>
        <w:pStyle w:val="BodyText"/>
        <w:spacing w:before="6"/>
        <w:rPr>
          <w:sz w:val="15"/>
        </w:rPr>
      </w:pPr>
    </w:p>
    <w:p>
      <w:pPr>
        <w:pStyle w:val="BodyText"/>
        <w:spacing w:before="1"/>
        <w:ind w:left="1198"/>
      </w:pPr>
      <w:r>
        <w:rPr/>
        <w:t>（一）基金托管人的权利</w:t>
      </w:r>
    </w:p>
    <w:p>
      <w:pPr>
        <w:pStyle w:val="BodyText"/>
        <w:spacing w:before="6"/>
        <w:rPr>
          <w:sz w:val="15"/>
        </w:rPr>
      </w:pPr>
    </w:p>
    <w:p>
      <w:pPr>
        <w:pStyle w:val="BodyText"/>
        <w:ind w:left="1198"/>
      </w:pPr>
      <w:r>
        <w:rPr>
          <w:rFonts w:ascii="Times New Roman" w:eastAsia="Times New Roman"/>
        </w:rPr>
        <w:t>1</w:t>
      </w:r>
      <w:r>
        <w:rPr/>
        <w:t>、依法持有并保管基金资产。</w:t>
      </w:r>
    </w:p>
    <w:p>
      <w:pPr>
        <w:pStyle w:val="BodyText"/>
        <w:spacing w:before="7"/>
        <w:rPr>
          <w:sz w:val="15"/>
        </w:rPr>
      </w:pPr>
    </w:p>
    <w:p>
      <w:pPr>
        <w:pStyle w:val="BodyText"/>
        <w:ind w:left="1198"/>
      </w:pPr>
      <w:r>
        <w:rPr>
          <w:rFonts w:ascii="Times New Roman" w:eastAsia="Times New Roman"/>
        </w:rPr>
        <w:t>2</w:t>
      </w:r>
      <w:r>
        <w:rPr/>
        <w:t>、依据本基金合同规定获得基金托管费。</w:t>
      </w:r>
    </w:p>
    <w:p>
      <w:pPr>
        <w:pStyle w:val="BodyText"/>
        <w:spacing w:before="7"/>
        <w:rPr>
          <w:sz w:val="15"/>
        </w:rPr>
      </w:pPr>
    </w:p>
    <w:p>
      <w:pPr>
        <w:pStyle w:val="BodyText"/>
        <w:spacing w:line="417" w:lineRule="auto"/>
        <w:ind w:left="778" w:right="888" w:firstLine="419"/>
        <w:jc w:val="both"/>
      </w:pPr>
      <w:r>
        <w:rPr>
          <w:rFonts w:ascii="Times New Roman" w:eastAsia="Times New Roman"/>
        </w:rPr>
        <w:t>3</w:t>
      </w:r>
      <w:r>
        <w:rPr>
          <w:spacing w:val="-3"/>
        </w:rPr>
        <w:t>、监督基金管理人对本基金的投资运作，如基金托管人认为基金管理人违反基金合同</w:t>
      </w:r>
      <w:r>
        <w:rPr>
          <w:spacing w:val="-9"/>
        </w:rPr>
        <w:t>或有关法律法规的规定，应呈报中国证监会和其他监管部门，并采取必要措施保护基金份额</w:t>
      </w:r>
      <w:r>
        <w:rPr>
          <w:spacing w:val="-5"/>
        </w:rPr>
        <w:t>持有人的利益；必要时可向有关部门和基金份额持有人大会提议更换基金管理人。</w:t>
      </w:r>
    </w:p>
    <w:p>
      <w:pPr>
        <w:pStyle w:val="BodyText"/>
        <w:ind w:left="1198"/>
      </w:pPr>
      <w:r>
        <w:rPr>
          <w:rFonts w:ascii="Times New Roman" w:eastAsia="Times New Roman"/>
        </w:rPr>
        <w:t>4</w:t>
      </w:r>
      <w:r>
        <w:rPr/>
        <w:t>、在基金管理人更换时，提名新的基金管理人。</w:t>
      </w:r>
    </w:p>
    <w:p>
      <w:pPr>
        <w:pStyle w:val="BodyText"/>
        <w:spacing w:before="6"/>
        <w:rPr>
          <w:sz w:val="15"/>
        </w:rPr>
      </w:pPr>
    </w:p>
    <w:p>
      <w:pPr>
        <w:pStyle w:val="BodyText"/>
        <w:spacing w:before="1"/>
        <w:ind w:left="1198"/>
      </w:pPr>
      <w:r>
        <w:rPr>
          <w:rFonts w:ascii="Times New Roman" w:eastAsia="Times New Roman"/>
        </w:rPr>
        <w:t>5</w:t>
      </w:r>
      <w:r>
        <w:rPr/>
        <w:t>、法律、法规及基金合同规定的其他权利。</w:t>
      </w:r>
    </w:p>
    <w:p>
      <w:pPr>
        <w:pStyle w:val="BodyText"/>
        <w:spacing w:before="6"/>
        <w:rPr>
          <w:sz w:val="15"/>
        </w:rPr>
      </w:pPr>
    </w:p>
    <w:p>
      <w:pPr>
        <w:pStyle w:val="BodyText"/>
        <w:ind w:left="1198"/>
      </w:pPr>
      <w:r>
        <w:rPr/>
        <w:t>（二）基金托管人的义务</w:t>
      </w:r>
    </w:p>
    <w:p>
      <w:pPr>
        <w:pStyle w:val="BodyText"/>
        <w:spacing w:before="7"/>
        <w:rPr>
          <w:sz w:val="15"/>
        </w:rPr>
      </w:pPr>
    </w:p>
    <w:p>
      <w:pPr>
        <w:pStyle w:val="BodyText"/>
        <w:ind w:left="1198"/>
      </w:pPr>
      <w:r>
        <w:rPr>
          <w:rFonts w:ascii="Times New Roman" w:eastAsia="Times New Roman"/>
        </w:rPr>
        <w:t>1</w:t>
      </w:r>
      <w:r>
        <w:rPr/>
        <w:t>、遵守基金合同。</w:t>
      </w:r>
    </w:p>
    <w:p>
      <w:pPr>
        <w:pStyle w:val="BodyText"/>
        <w:spacing w:before="7"/>
        <w:rPr>
          <w:sz w:val="15"/>
        </w:rPr>
      </w:pPr>
    </w:p>
    <w:p>
      <w:pPr>
        <w:pStyle w:val="BodyText"/>
        <w:ind w:left="1198"/>
      </w:pPr>
      <w:r>
        <w:rPr>
          <w:rFonts w:ascii="Times New Roman" w:eastAsia="Times New Roman"/>
        </w:rPr>
        <w:t>2</w:t>
      </w:r>
      <w:r>
        <w:rPr/>
        <w:t>、恪尽职守，依照诚实信用、勤勉尽责的原则，持有并保管基金资产。</w:t>
      </w:r>
    </w:p>
    <w:p>
      <w:pPr>
        <w:pStyle w:val="BodyText"/>
        <w:spacing w:before="6"/>
        <w:rPr>
          <w:sz w:val="15"/>
        </w:rPr>
      </w:pPr>
    </w:p>
    <w:p>
      <w:pPr>
        <w:pStyle w:val="BodyText"/>
        <w:spacing w:line="417" w:lineRule="auto" w:before="1"/>
        <w:ind w:left="778" w:right="889" w:firstLine="419"/>
        <w:jc w:val="both"/>
      </w:pPr>
      <w:r>
        <w:rPr>
          <w:rFonts w:ascii="Times New Roman" w:eastAsia="Times New Roman"/>
        </w:rPr>
        <w:t>3</w:t>
      </w:r>
      <w:r>
        <w:rPr>
          <w:spacing w:val="-3"/>
        </w:rPr>
        <w:t>、设立专门的基金托管部，具有符合要求的营业场所，配备足够的、合格的熟悉基金</w:t>
      </w:r>
      <w:r>
        <w:rPr>
          <w:spacing w:val="-9"/>
        </w:rPr>
        <w:t>托管业务的专职人员，负责基金资产托管事宜；建立健全内部风险监控制度，对负责基金资</w:t>
      </w:r>
      <w:r>
        <w:rPr>
          <w:spacing w:val="-5"/>
        </w:rPr>
        <w:t>产托管的部门和人员的行为进行事先控制和事后监督，防范和减少风险。</w:t>
      </w:r>
    </w:p>
    <w:p>
      <w:pPr>
        <w:pStyle w:val="BodyText"/>
        <w:spacing w:line="417" w:lineRule="auto"/>
        <w:ind w:left="778" w:right="889" w:firstLine="419"/>
        <w:jc w:val="both"/>
      </w:pPr>
      <w:r>
        <w:rPr>
          <w:rFonts w:ascii="Times New Roman" w:eastAsia="Times New Roman"/>
        </w:rPr>
        <w:t>4</w:t>
      </w:r>
      <w:r>
        <w:rPr>
          <w:spacing w:val="-3"/>
        </w:rPr>
        <w:t>、建立健全内部控制制度，确保基金资产的安全，保证其托管的基金资产与基金托管</w:t>
      </w:r>
      <w:r>
        <w:rPr>
          <w:spacing w:val="-9"/>
        </w:rPr>
        <w:t>人自有资产相互独立，保证其托管的基金资产与其托管的其他基金资产相互独立；对不同的</w:t>
      </w:r>
      <w:r>
        <w:rPr>
          <w:spacing w:val="-11"/>
        </w:rPr>
        <w:t>基金分别设置账户，独立核算，分账管理，保证不同基金之间在名册登记、账户设置、资金</w:t>
      </w:r>
      <w:r>
        <w:rPr>
          <w:spacing w:val="-6"/>
        </w:rPr>
        <w:t>划拨、账册记录等方面相互独立。</w:t>
      </w:r>
    </w:p>
    <w:p>
      <w:pPr>
        <w:pStyle w:val="BodyText"/>
        <w:spacing w:line="417" w:lineRule="auto"/>
        <w:ind w:left="778" w:right="891" w:firstLine="419"/>
      </w:pPr>
      <w:r>
        <w:rPr>
          <w:rFonts w:ascii="Times New Roman" w:eastAsia="Times New Roman"/>
        </w:rPr>
        <w:t>5</w:t>
      </w:r>
      <w:r>
        <w:rPr>
          <w:spacing w:val="-23"/>
        </w:rPr>
        <w:t>、除依据《信托法》、《基金法》、基金合同及其他有关规定外，不为自己及任何第三人</w:t>
      </w:r>
      <w:r>
        <w:rPr>
          <w:spacing w:val="-11"/>
        </w:rPr>
        <w:t>谋取利益。</w:t>
      </w:r>
    </w:p>
    <w:p>
      <w:pPr>
        <w:pStyle w:val="BodyText"/>
        <w:spacing w:line="417" w:lineRule="auto"/>
        <w:ind w:left="778" w:right="891" w:firstLine="419"/>
      </w:pPr>
      <w:r>
        <w:rPr>
          <w:rFonts w:ascii="Times New Roman" w:eastAsia="Times New Roman"/>
        </w:rPr>
        <w:t>6</w:t>
      </w:r>
      <w:r>
        <w:rPr>
          <w:spacing w:val="-23"/>
        </w:rPr>
        <w:t>、除依据《信托法》、《基金法》、基金合同及其他有关规定外，不得委托第三人托管基</w:t>
      </w:r>
      <w:r>
        <w:rPr>
          <w:spacing w:val="-13"/>
        </w:rPr>
        <w:t>金资产。</w:t>
      </w:r>
    </w:p>
    <w:p>
      <w:pPr>
        <w:spacing w:after="0" w:line="417" w:lineRule="auto"/>
        <w:sectPr>
          <w:pgSz w:w="11910" w:h="16840"/>
          <w:pgMar w:header="877" w:footer="995" w:top="1280" w:bottom="1180" w:left="1020" w:right="900"/>
        </w:sectPr>
      </w:pPr>
    </w:p>
    <w:p>
      <w:pPr>
        <w:pStyle w:val="BodyText"/>
        <w:rPr>
          <w:sz w:val="12"/>
        </w:rPr>
      </w:pPr>
    </w:p>
    <w:p>
      <w:pPr>
        <w:pStyle w:val="BodyText"/>
        <w:spacing w:before="78"/>
        <w:ind w:left="1198"/>
      </w:pPr>
      <w:r>
        <w:rPr>
          <w:rFonts w:ascii="Times New Roman" w:eastAsia="Times New Roman"/>
        </w:rPr>
        <w:t>7</w:t>
      </w:r>
      <w:r>
        <w:rPr/>
        <w:t>、保管由基金管理人代表基金签订的与基金有关的重大合同及有关凭证。</w:t>
      </w:r>
    </w:p>
    <w:p>
      <w:pPr>
        <w:pStyle w:val="BodyText"/>
        <w:spacing w:before="7"/>
        <w:rPr>
          <w:sz w:val="15"/>
        </w:rPr>
      </w:pPr>
    </w:p>
    <w:p>
      <w:pPr>
        <w:pStyle w:val="BodyText"/>
        <w:spacing w:line="417" w:lineRule="auto"/>
        <w:ind w:left="778" w:right="889" w:firstLine="419"/>
      </w:pPr>
      <w:r>
        <w:rPr>
          <w:rFonts w:ascii="Times New Roman" w:eastAsia="Times New Roman"/>
        </w:rPr>
        <w:t>8</w:t>
      </w:r>
      <w:r>
        <w:rPr/>
        <w:t>、以基金的名义设立证券账户、银行存款账户等基金资产账户，负责基金投资于短期金融工具的清算交割，执行基金管理人的投资指令，并负责办理基金名下的资金往来。</w:t>
      </w:r>
    </w:p>
    <w:p>
      <w:pPr>
        <w:pStyle w:val="BodyText"/>
        <w:spacing w:line="417" w:lineRule="auto"/>
        <w:ind w:left="778" w:right="783" w:firstLine="419"/>
      </w:pPr>
      <w:r>
        <w:rPr>
          <w:rFonts w:ascii="Times New Roman" w:eastAsia="Times New Roman"/>
        </w:rPr>
        <w:t>9</w:t>
      </w:r>
      <w:r>
        <w:rPr>
          <w:spacing w:val="-11"/>
        </w:rPr>
        <w:t>、对基金商业秘密和基金份额持有人、投资者进行基金交易的有关情况负有保密义务， </w:t>
      </w:r>
      <w:r>
        <w:rPr>
          <w:spacing w:val="-20"/>
        </w:rPr>
        <w:t>不泄露基金投资计划、投资意向及基金投资者、基金份额持有人的相关情况及资料等；除《信</w:t>
      </w:r>
      <w:r>
        <w:rPr>
          <w:spacing w:val="-25"/>
        </w:rPr>
        <w:t>托法》、《基金法》、基金合同及其他有关规定另有规定外，在基金信息公开披露前予以保密， </w:t>
      </w:r>
      <w:r>
        <w:rPr>
          <w:spacing w:val="-13"/>
        </w:rPr>
        <w:t>不得向他人泄露；但因遵守和服从司法机构、中国证监会或其他监管机构的判决、裁决、决</w:t>
      </w:r>
      <w:r>
        <w:rPr>
          <w:spacing w:val="-6"/>
        </w:rPr>
        <w:t>定、命令而作出的披露不应视为基金托管人违反本基金合同规定的保密义务。</w:t>
      </w:r>
    </w:p>
    <w:p>
      <w:pPr>
        <w:pStyle w:val="BodyText"/>
        <w:spacing w:line="269" w:lineRule="exact"/>
        <w:ind w:left="1198"/>
      </w:pPr>
      <w:r>
        <w:rPr>
          <w:rFonts w:ascii="Times New Roman" w:eastAsia="Times New Roman"/>
        </w:rPr>
        <w:t>10</w:t>
      </w:r>
      <w:r>
        <w:rPr/>
        <w:t>、复核、审查基金管理人计算的基金资产净值、基金收益和基金收益率。</w:t>
      </w:r>
    </w:p>
    <w:p>
      <w:pPr>
        <w:pStyle w:val="BodyText"/>
        <w:spacing w:before="6"/>
        <w:rPr>
          <w:sz w:val="15"/>
        </w:rPr>
      </w:pPr>
    </w:p>
    <w:p>
      <w:pPr>
        <w:pStyle w:val="BodyText"/>
        <w:ind w:left="1198"/>
      </w:pPr>
      <w:r>
        <w:rPr>
          <w:rFonts w:ascii="Times New Roman" w:eastAsia="Times New Roman"/>
        </w:rPr>
        <w:t>11</w:t>
      </w:r>
      <w:r>
        <w:rPr/>
        <w:t>、按规定出具基金业绩和基金托管情况的报告，并报中国证监会和中国银监会。</w:t>
      </w:r>
    </w:p>
    <w:p>
      <w:pPr>
        <w:pStyle w:val="BodyText"/>
        <w:spacing w:before="7"/>
        <w:rPr>
          <w:sz w:val="15"/>
        </w:rPr>
      </w:pPr>
    </w:p>
    <w:p>
      <w:pPr>
        <w:pStyle w:val="BodyText"/>
        <w:spacing w:line="417" w:lineRule="auto"/>
        <w:ind w:left="778" w:right="786" w:firstLine="419"/>
      </w:pPr>
      <w:r>
        <w:rPr>
          <w:rFonts w:ascii="Times New Roman" w:eastAsia="Times New Roman"/>
        </w:rPr>
        <w:t>12</w:t>
      </w:r>
      <w:r>
        <w:rPr>
          <w:spacing w:val="-16"/>
        </w:rPr>
        <w:t>、监督基金管理人的投资运作，发现基金管理人的投资指令违法、违规的，不予执行， </w:t>
      </w:r>
      <w:r>
        <w:rPr>
          <w:spacing w:val="-7"/>
        </w:rPr>
        <w:t>并向中国证监会报告。</w:t>
      </w:r>
    </w:p>
    <w:p>
      <w:pPr>
        <w:pStyle w:val="BodyText"/>
        <w:spacing w:line="417" w:lineRule="auto"/>
        <w:ind w:left="778" w:right="889" w:firstLine="419"/>
        <w:jc w:val="both"/>
      </w:pPr>
      <w:r>
        <w:rPr>
          <w:rFonts w:ascii="Times New Roman" w:eastAsia="Times New Roman"/>
        </w:rPr>
        <w:t>13</w:t>
      </w:r>
      <w:r>
        <w:rPr>
          <w:spacing w:val="-11"/>
        </w:rPr>
        <w:t>、在定期报告内出具基金托管人意见，说明基金管理人在各重要方面的运作是否严格</w:t>
      </w:r>
      <w:r>
        <w:rPr>
          <w:spacing w:val="-12"/>
        </w:rPr>
        <w:t>按照本基金合同的规定进行，如果基金管理人有未执行本基金合同规定的行为，还应当说明</w:t>
      </w:r>
      <w:r>
        <w:rPr>
          <w:spacing w:val="-6"/>
        </w:rPr>
        <w:t>基金托管人是否采取了适当的措施。</w:t>
      </w:r>
    </w:p>
    <w:p>
      <w:pPr>
        <w:pStyle w:val="BodyText"/>
        <w:spacing w:line="417" w:lineRule="auto"/>
        <w:ind w:left="778" w:right="889" w:firstLine="419"/>
      </w:pPr>
      <w:r>
        <w:rPr>
          <w:rFonts w:ascii="Times New Roman" w:eastAsia="Times New Roman"/>
        </w:rPr>
        <w:t>14</w:t>
      </w:r>
      <w:r>
        <w:rPr>
          <w:spacing w:val="-12"/>
        </w:rPr>
        <w:t>、依据《基金法》、基金合同及其他有关规定召集基金份额持有人大会，执行基金份</w:t>
      </w:r>
      <w:r>
        <w:rPr>
          <w:spacing w:val="-3"/>
        </w:rPr>
        <w:t>额持有人大会决议。</w:t>
      </w:r>
    </w:p>
    <w:p>
      <w:pPr>
        <w:pStyle w:val="BodyText"/>
        <w:spacing w:line="417" w:lineRule="auto"/>
        <w:ind w:left="778" w:right="891" w:firstLine="419"/>
      </w:pPr>
      <w:r>
        <w:rPr>
          <w:rFonts w:ascii="Times New Roman" w:eastAsia="Times New Roman"/>
        </w:rPr>
        <w:t>15</w:t>
      </w:r>
      <w:r>
        <w:rPr>
          <w:spacing w:val="-10"/>
        </w:rPr>
        <w:t>、按有关规定保存基金的份额持有人名册、会计账册、报表和其他有关基金托管事务</w:t>
      </w:r>
      <w:r>
        <w:rPr>
          <w:spacing w:val="-5"/>
        </w:rPr>
        <w:t>的完整记录等</w:t>
      </w:r>
      <w:r>
        <w:rPr>
          <w:rFonts w:ascii="Times New Roman" w:eastAsia="Times New Roman"/>
        </w:rPr>
        <w:t>15</w:t>
      </w:r>
      <w:r>
        <w:rPr>
          <w:spacing w:val="-2"/>
        </w:rPr>
        <w:t>年以上。</w:t>
      </w:r>
    </w:p>
    <w:p>
      <w:pPr>
        <w:pStyle w:val="BodyText"/>
        <w:spacing w:line="269" w:lineRule="exact"/>
        <w:ind w:left="1198"/>
      </w:pPr>
      <w:r>
        <w:rPr>
          <w:rFonts w:ascii="Times New Roman" w:eastAsia="Times New Roman"/>
        </w:rPr>
        <w:t>16</w:t>
      </w:r>
      <w:r>
        <w:rPr/>
        <w:t>、按规定制作相关账册并及时与基金管理人核对。</w:t>
      </w:r>
    </w:p>
    <w:p>
      <w:pPr>
        <w:pStyle w:val="BodyText"/>
        <w:spacing w:before="6"/>
        <w:rPr>
          <w:sz w:val="15"/>
        </w:rPr>
      </w:pPr>
    </w:p>
    <w:p>
      <w:pPr>
        <w:pStyle w:val="BodyText"/>
        <w:ind w:left="1198"/>
      </w:pPr>
      <w:r>
        <w:rPr>
          <w:rFonts w:ascii="Times New Roman" w:eastAsia="Times New Roman"/>
        </w:rPr>
        <w:t>17</w:t>
      </w:r>
      <w:r>
        <w:rPr/>
        <w:t>、依据基金管理人的指令或有关规定向基金份额持有人支付基金收益和赎回款项。</w:t>
      </w:r>
    </w:p>
    <w:p>
      <w:pPr>
        <w:pStyle w:val="BodyText"/>
        <w:spacing w:before="7"/>
        <w:rPr>
          <w:sz w:val="15"/>
        </w:rPr>
      </w:pPr>
    </w:p>
    <w:p>
      <w:pPr>
        <w:pStyle w:val="BodyText"/>
        <w:ind w:left="1198"/>
      </w:pPr>
      <w:r>
        <w:rPr>
          <w:rFonts w:ascii="Times New Roman" w:eastAsia="Times New Roman"/>
        </w:rPr>
        <w:t>18</w:t>
      </w:r>
      <w:r>
        <w:rPr/>
        <w:t>、参加基金清算小组，参与基金资产的保管、清理、估价、变现和分配。</w:t>
      </w:r>
    </w:p>
    <w:p>
      <w:pPr>
        <w:pStyle w:val="BodyText"/>
        <w:spacing w:before="7"/>
        <w:rPr>
          <w:sz w:val="15"/>
        </w:rPr>
      </w:pPr>
    </w:p>
    <w:p>
      <w:pPr>
        <w:pStyle w:val="BodyText"/>
        <w:spacing w:line="417" w:lineRule="auto"/>
        <w:ind w:left="778" w:right="891" w:firstLine="419"/>
      </w:pPr>
      <w:r>
        <w:rPr>
          <w:rFonts w:ascii="Times New Roman" w:eastAsia="Times New Roman"/>
        </w:rPr>
        <w:t>19</w:t>
      </w:r>
      <w:r>
        <w:rPr>
          <w:spacing w:val="-11"/>
        </w:rPr>
        <w:t>、面临解散、依法被撤销、破产或者由接管人接管其资产时，及时报告中国证监会和</w:t>
      </w:r>
      <w:r>
        <w:rPr>
          <w:spacing w:val="-6"/>
        </w:rPr>
        <w:t>中国银监会，并通知基金管理人。</w:t>
      </w:r>
    </w:p>
    <w:p>
      <w:pPr>
        <w:pStyle w:val="BodyText"/>
        <w:spacing w:line="417" w:lineRule="auto"/>
        <w:ind w:left="778" w:right="889" w:firstLine="419"/>
      </w:pPr>
      <w:r>
        <w:rPr>
          <w:rFonts w:ascii="Times New Roman" w:eastAsia="Times New Roman"/>
        </w:rPr>
        <w:t>20</w:t>
      </w:r>
      <w:r>
        <w:rPr>
          <w:spacing w:val="-10"/>
        </w:rPr>
        <w:t>、监督基金管理人按法律法规和基金合同规定履行自己的义务；基金管理人因过错造</w:t>
      </w:r>
      <w:r>
        <w:rPr>
          <w:spacing w:val="-5"/>
        </w:rPr>
        <w:t>成基金资产损失时，基金托管人应为基金向基金管理人追偿。</w:t>
      </w:r>
    </w:p>
    <w:p>
      <w:pPr>
        <w:pStyle w:val="BodyText"/>
        <w:spacing w:line="417" w:lineRule="auto"/>
        <w:ind w:left="778" w:right="890" w:firstLine="419"/>
      </w:pPr>
      <w:r>
        <w:rPr>
          <w:rFonts w:ascii="Times New Roman" w:eastAsia="Times New Roman"/>
        </w:rPr>
        <w:t>21</w:t>
      </w:r>
      <w:r>
        <w:rPr>
          <w:spacing w:val="-12"/>
        </w:rPr>
        <w:t>、因过错导致基金资产的损失或因违背托管职责或者处理基金事务不当对第三人所负</w:t>
      </w:r>
      <w:r>
        <w:rPr>
          <w:spacing w:val="-6"/>
        </w:rPr>
        <w:t>债务或者自己受到的损失，应当承担赔偿责任，其责任不因其退任而免除。</w:t>
      </w:r>
    </w:p>
    <w:p>
      <w:pPr>
        <w:pStyle w:val="BodyText"/>
        <w:ind w:left="1198"/>
      </w:pPr>
      <w:r>
        <w:rPr>
          <w:rFonts w:ascii="Times New Roman" w:eastAsia="Times New Roman"/>
        </w:rPr>
        <w:t>22</w:t>
      </w:r>
      <w:r>
        <w:rPr/>
        <w:t>、不从事任何有损基金及本基金其他当事人利益的活动。</w:t>
      </w:r>
    </w:p>
    <w:p>
      <w:pPr>
        <w:pStyle w:val="BodyText"/>
        <w:spacing w:before="6"/>
        <w:rPr>
          <w:sz w:val="15"/>
        </w:rPr>
      </w:pPr>
    </w:p>
    <w:p>
      <w:pPr>
        <w:pStyle w:val="BodyText"/>
        <w:ind w:left="1198"/>
      </w:pPr>
      <w:r>
        <w:rPr>
          <w:rFonts w:ascii="Times New Roman" w:eastAsia="Times New Roman"/>
        </w:rPr>
        <w:t>23</w:t>
      </w:r>
      <w:r>
        <w:rPr/>
        <w:t>、职责终止时，妥善保管基金财产和基金托管业务资料，及时办理基金财产和基金托</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pPr>
      <w:r>
        <w:rPr>
          <w:spacing w:val="-10"/>
        </w:rPr>
        <w:t>管业务的移交手续；按照规定聘请会计师事务所对基金财产进行审计，并将审计结果予以公</w:t>
      </w:r>
      <w:r>
        <w:rPr>
          <w:spacing w:val="-5"/>
        </w:rPr>
        <w:t>告，同时报中国证监会备案。</w:t>
      </w:r>
    </w:p>
    <w:p>
      <w:pPr>
        <w:pStyle w:val="BodyText"/>
        <w:spacing w:line="417" w:lineRule="auto"/>
        <w:ind w:left="1198" w:right="785"/>
      </w:pPr>
      <w:r>
        <w:rPr>
          <w:rFonts w:ascii="Times New Roman" w:eastAsia="Times New Roman"/>
        </w:rPr>
        <w:t>24</w:t>
      </w:r>
      <w:r>
        <w:rPr>
          <w:spacing w:val="-17"/>
        </w:rPr>
        <w:t>、法律、法规、本基金合同和依据本基金合同制定的其他法律文件所规定的其他义务。</w:t>
      </w:r>
      <w:r>
        <w:rPr>
          <w:spacing w:val="-7"/>
        </w:rPr>
        <w:t>七、基金份额持有人的权利与义务</w:t>
      </w:r>
    </w:p>
    <w:p>
      <w:pPr>
        <w:pStyle w:val="BodyText"/>
        <w:spacing w:line="269" w:lineRule="exact"/>
        <w:ind w:left="1198"/>
      </w:pPr>
      <w:r>
        <w:rPr/>
        <w:t>（一）基金份额持有人的权利</w:t>
      </w:r>
    </w:p>
    <w:p>
      <w:pPr>
        <w:pStyle w:val="BodyText"/>
        <w:spacing w:before="6"/>
        <w:rPr>
          <w:sz w:val="15"/>
        </w:rPr>
      </w:pPr>
    </w:p>
    <w:p>
      <w:pPr>
        <w:pStyle w:val="BodyText"/>
        <w:spacing w:before="1"/>
        <w:ind w:left="1198"/>
      </w:pPr>
      <w:r>
        <w:rPr>
          <w:rFonts w:ascii="Times New Roman" w:eastAsia="Times New Roman"/>
        </w:rPr>
        <w:t>1</w:t>
      </w:r>
      <w:r>
        <w:rPr/>
        <w:t>、按照规定要求召开基金份额持有人大会。</w:t>
      </w:r>
    </w:p>
    <w:p>
      <w:pPr>
        <w:pStyle w:val="BodyText"/>
        <w:spacing w:before="6"/>
        <w:rPr>
          <w:sz w:val="15"/>
        </w:rPr>
      </w:pPr>
    </w:p>
    <w:p>
      <w:pPr>
        <w:pStyle w:val="BodyText"/>
        <w:ind w:left="1198"/>
      </w:pPr>
      <w:r>
        <w:rPr>
          <w:rFonts w:ascii="Times New Roman" w:eastAsia="Times New Roman"/>
        </w:rPr>
        <w:t>2</w:t>
      </w:r>
      <w:r>
        <w:rPr/>
        <w:t>、出席或者委派代表出席基金份额持有人大会，并行使表决权。</w:t>
      </w:r>
    </w:p>
    <w:p>
      <w:pPr>
        <w:pStyle w:val="BodyText"/>
        <w:spacing w:before="8"/>
        <w:rPr>
          <w:sz w:val="15"/>
        </w:rPr>
      </w:pPr>
    </w:p>
    <w:p>
      <w:pPr>
        <w:pStyle w:val="BodyText"/>
        <w:ind w:left="1198"/>
      </w:pPr>
      <w:r>
        <w:rPr>
          <w:rFonts w:ascii="Times New Roman" w:eastAsia="Times New Roman"/>
        </w:rPr>
        <w:t>3</w:t>
      </w:r>
      <w:r>
        <w:rPr/>
        <w:t>、取得基金收益。</w:t>
      </w:r>
    </w:p>
    <w:p>
      <w:pPr>
        <w:pStyle w:val="BodyText"/>
        <w:spacing w:before="6"/>
        <w:rPr>
          <w:sz w:val="15"/>
        </w:rPr>
      </w:pPr>
    </w:p>
    <w:p>
      <w:pPr>
        <w:pStyle w:val="BodyText"/>
        <w:spacing w:before="1"/>
        <w:ind w:left="1198"/>
      </w:pPr>
      <w:r>
        <w:rPr>
          <w:rFonts w:ascii="Times New Roman" w:eastAsia="Times New Roman"/>
        </w:rPr>
        <w:t>4</w:t>
      </w:r>
      <w:r>
        <w:rPr/>
        <w:t>、获取基金业务及财务状况的公开资料。</w:t>
      </w:r>
    </w:p>
    <w:p>
      <w:pPr>
        <w:pStyle w:val="BodyText"/>
        <w:spacing w:before="6"/>
        <w:rPr>
          <w:sz w:val="15"/>
        </w:rPr>
      </w:pPr>
    </w:p>
    <w:p>
      <w:pPr>
        <w:pStyle w:val="BodyText"/>
        <w:ind w:left="1198"/>
      </w:pPr>
      <w:r>
        <w:rPr>
          <w:rFonts w:ascii="Times New Roman" w:eastAsia="Times New Roman"/>
        </w:rPr>
        <w:t>5</w:t>
      </w:r>
      <w:r>
        <w:rPr/>
        <w:t>、按照基金合同的规定赎回基金份额，并在规定的时间取得有效申请的款项。</w:t>
      </w:r>
    </w:p>
    <w:p>
      <w:pPr>
        <w:pStyle w:val="BodyText"/>
        <w:spacing w:before="7"/>
        <w:rPr>
          <w:sz w:val="15"/>
        </w:rPr>
      </w:pPr>
    </w:p>
    <w:p>
      <w:pPr>
        <w:pStyle w:val="BodyText"/>
        <w:ind w:left="1198"/>
      </w:pPr>
      <w:r>
        <w:rPr>
          <w:rFonts w:ascii="Times New Roman" w:eastAsia="Times New Roman"/>
        </w:rPr>
        <w:t>6</w:t>
      </w:r>
      <w:r>
        <w:rPr/>
        <w:t>、取得基金清算后的剩余资产。</w:t>
      </w:r>
    </w:p>
    <w:p>
      <w:pPr>
        <w:pStyle w:val="BodyText"/>
        <w:spacing w:before="7"/>
        <w:rPr>
          <w:sz w:val="15"/>
        </w:rPr>
      </w:pPr>
    </w:p>
    <w:p>
      <w:pPr>
        <w:pStyle w:val="BodyText"/>
        <w:ind w:left="1198"/>
      </w:pPr>
      <w:r>
        <w:rPr>
          <w:rFonts w:ascii="Times New Roman" w:eastAsia="Times New Roman"/>
        </w:rPr>
        <w:t>7</w:t>
      </w:r>
      <w:r>
        <w:rPr/>
        <w:t>、知悉基金合同规定的有关信息披露内容。</w:t>
      </w:r>
    </w:p>
    <w:p>
      <w:pPr>
        <w:pStyle w:val="BodyText"/>
        <w:spacing w:before="6"/>
        <w:rPr>
          <w:sz w:val="15"/>
        </w:rPr>
      </w:pPr>
    </w:p>
    <w:p>
      <w:pPr>
        <w:pStyle w:val="BodyText"/>
        <w:spacing w:before="1"/>
        <w:ind w:left="1198"/>
      </w:pPr>
      <w:r>
        <w:rPr>
          <w:rFonts w:ascii="Times New Roman" w:eastAsia="Times New Roman"/>
        </w:rPr>
        <w:t>8</w:t>
      </w:r>
      <w:r>
        <w:rPr/>
        <w:t>、提请基金管理人或基金托管人履行按本基金合同规定应尽的义务。</w:t>
      </w:r>
    </w:p>
    <w:p>
      <w:pPr>
        <w:pStyle w:val="BodyText"/>
        <w:spacing w:before="6"/>
        <w:rPr>
          <w:sz w:val="15"/>
        </w:rPr>
      </w:pPr>
    </w:p>
    <w:p>
      <w:pPr>
        <w:pStyle w:val="BodyText"/>
        <w:spacing w:line="417" w:lineRule="auto"/>
        <w:ind w:left="778" w:right="889" w:firstLine="419"/>
      </w:pPr>
      <w:r>
        <w:rPr>
          <w:rFonts w:ascii="Times New Roman" w:eastAsia="Times New Roman"/>
        </w:rPr>
        <w:t>9</w:t>
      </w:r>
      <w:r>
        <w:rPr/>
        <w:t>、因基金管理人、基金托管人、注册登记机构、销售机构的过错导致利益受到损害， 有权要求赔偿。</w:t>
      </w:r>
    </w:p>
    <w:p>
      <w:pPr>
        <w:pStyle w:val="BodyText"/>
        <w:ind w:left="1198"/>
      </w:pPr>
      <w:r>
        <w:rPr>
          <w:rFonts w:ascii="Times New Roman" w:eastAsia="Times New Roman"/>
        </w:rPr>
        <w:t>10</w:t>
      </w:r>
      <w:r>
        <w:rPr/>
        <w:t>、法律法规及基金合同规定的其他权利。</w:t>
      </w:r>
    </w:p>
    <w:p>
      <w:pPr>
        <w:pStyle w:val="BodyText"/>
        <w:spacing w:before="7"/>
        <w:rPr>
          <w:sz w:val="15"/>
        </w:rPr>
      </w:pPr>
    </w:p>
    <w:p>
      <w:pPr>
        <w:pStyle w:val="BodyText"/>
        <w:ind w:left="1198"/>
      </w:pPr>
      <w:r>
        <w:rPr/>
        <w:t>（二）基金份额持有人的义务</w:t>
      </w:r>
    </w:p>
    <w:p>
      <w:pPr>
        <w:pStyle w:val="BodyText"/>
        <w:spacing w:before="7"/>
        <w:rPr>
          <w:sz w:val="15"/>
        </w:rPr>
      </w:pPr>
    </w:p>
    <w:p>
      <w:pPr>
        <w:pStyle w:val="BodyText"/>
        <w:ind w:left="1198"/>
      </w:pPr>
      <w:r>
        <w:rPr>
          <w:rFonts w:ascii="Times New Roman" w:eastAsia="Times New Roman"/>
        </w:rPr>
        <w:t>1</w:t>
      </w:r>
      <w:r>
        <w:rPr/>
        <w:t>、遵守基金合同及相关业务规则。</w:t>
      </w:r>
    </w:p>
    <w:p>
      <w:pPr>
        <w:pStyle w:val="BodyText"/>
        <w:spacing w:before="6"/>
        <w:rPr>
          <w:sz w:val="15"/>
        </w:rPr>
      </w:pPr>
    </w:p>
    <w:p>
      <w:pPr>
        <w:pStyle w:val="BodyText"/>
        <w:spacing w:before="1"/>
        <w:ind w:left="1198"/>
      </w:pPr>
      <w:r>
        <w:rPr>
          <w:rFonts w:ascii="Times New Roman" w:eastAsia="Times New Roman"/>
        </w:rPr>
        <w:t>2</w:t>
      </w:r>
      <w:r>
        <w:rPr/>
        <w:t>、缴纳基金认购、申购款项，承担规定的费用。</w:t>
      </w:r>
    </w:p>
    <w:p>
      <w:pPr>
        <w:pStyle w:val="BodyText"/>
        <w:spacing w:before="6"/>
        <w:rPr>
          <w:sz w:val="15"/>
        </w:rPr>
      </w:pPr>
    </w:p>
    <w:p>
      <w:pPr>
        <w:pStyle w:val="BodyText"/>
        <w:ind w:left="1198"/>
      </w:pPr>
      <w:r>
        <w:rPr>
          <w:rFonts w:ascii="Times New Roman" w:eastAsia="Times New Roman"/>
        </w:rPr>
        <w:t>3</w:t>
      </w:r>
      <w:r>
        <w:rPr/>
        <w:t>、承担基金亏损或者终止的有限责任。</w:t>
      </w:r>
    </w:p>
    <w:p>
      <w:pPr>
        <w:pStyle w:val="BodyText"/>
        <w:spacing w:before="7"/>
        <w:rPr>
          <w:sz w:val="15"/>
        </w:rPr>
      </w:pPr>
    </w:p>
    <w:p>
      <w:pPr>
        <w:pStyle w:val="BodyText"/>
        <w:ind w:left="1198"/>
      </w:pPr>
      <w:r>
        <w:rPr>
          <w:rFonts w:ascii="Times New Roman" w:eastAsia="Times New Roman"/>
        </w:rPr>
        <w:t>4</w:t>
      </w:r>
      <w:r>
        <w:rPr/>
        <w:t>、不从事任何有损基金及本基金其他当事人利益的活动。</w:t>
      </w:r>
    </w:p>
    <w:p>
      <w:pPr>
        <w:pStyle w:val="BodyText"/>
        <w:spacing w:before="7"/>
        <w:rPr>
          <w:sz w:val="15"/>
        </w:rPr>
      </w:pPr>
    </w:p>
    <w:p>
      <w:pPr>
        <w:pStyle w:val="BodyText"/>
        <w:spacing w:line="417" w:lineRule="auto"/>
        <w:ind w:left="1198" w:right="4897"/>
      </w:pPr>
      <w:r>
        <w:rPr>
          <w:rFonts w:ascii="Times New Roman" w:eastAsia="Times New Roman"/>
        </w:rPr>
        <w:t>5</w:t>
      </w:r>
      <w:r>
        <w:rPr/>
        <w:t>、法律法规及基金合同规定的其他义务。八、基金份额持有人大会</w:t>
      </w:r>
    </w:p>
    <w:p>
      <w:pPr>
        <w:pStyle w:val="BodyText"/>
        <w:spacing w:line="269" w:lineRule="exact"/>
        <w:ind w:left="1198"/>
      </w:pPr>
      <w:r>
        <w:rPr/>
        <w:t>（一）召开事由</w:t>
      </w:r>
    </w:p>
    <w:p>
      <w:pPr>
        <w:pStyle w:val="BodyText"/>
        <w:spacing w:before="7"/>
        <w:rPr>
          <w:sz w:val="15"/>
        </w:rPr>
      </w:pPr>
    </w:p>
    <w:p>
      <w:pPr>
        <w:pStyle w:val="BodyText"/>
        <w:ind w:left="1198"/>
      </w:pPr>
      <w:r>
        <w:rPr/>
        <w:t>有以下情形之一的，应召开基金份额持有人大会：</w:t>
      </w:r>
    </w:p>
    <w:p>
      <w:pPr>
        <w:pStyle w:val="BodyText"/>
        <w:spacing w:before="7"/>
        <w:rPr>
          <w:sz w:val="15"/>
        </w:rPr>
      </w:pPr>
    </w:p>
    <w:p>
      <w:pPr>
        <w:pStyle w:val="BodyText"/>
        <w:ind w:left="1198"/>
      </w:pPr>
      <w:r>
        <w:rPr>
          <w:rFonts w:ascii="Times New Roman" w:eastAsia="Times New Roman"/>
        </w:rPr>
        <w:t>1</w:t>
      </w:r>
      <w:r>
        <w:rPr/>
        <w:t>、修改基金合同，但本基金合同另有规定的除外。</w:t>
      </w:r>
    </w:p>
    <w:p>
      <w:pPr>
        <w:pStyle w:val="BodyText"/>
        <w:spacing w:before="6"/>
        <w:rPr>
          <w:sz w:val="15"/>
        </w:rPr>
      </w:pPr>
    </w:p>
    <w:p>
      <w:pPr>
        <w:pStyle w:val="BodyText"/>
        <w:spacing w:before="1"/>
        <w:ind w:left="1198"/>
      </w:pPr>
      <w:r>
        <w:rPr>
          <w:rFonts w:ascii="Times New Roman" w:eastAsia="Times New Roman"/>
        </w:rPr>
        <w:t>2</w:t>
      </w:r>
      <w:r>
        <w:rPr/>
        <w:t>、更换基金管理人或基金托管人。</w:t>
      </w:r>
    </w:p>
    <w:p>
      <w:pPr>
        <w:pStyle w:val="BodyText"/>
        <w:spacing w:before="6"/>
        <w:rPr>
          <w:sz w:val="15"/>
        </w:rPr>
      </w:pPr>
    </w:p>
    <w:p>
      <w:pPr>
        <w:pStyle w:val="BodyText"/>
        <w:ind w:left="1198"/>
      </w:pPr>
      <w:r>
        <w:rPr>
          <w:rFonts w:ascii="Times New Roman" w:eastAsia="Times New Roman"/>
        </w:rPr>
        <w:t>3</w:t>
      </w:r>
      <w:r>
        <w:rPr/>
        <w:t>、提高基金管理费率或基金托管费率。</w:t>
      </w:r>
    </w:p>
    <w:p>
      <w:pPr>
        <w:pStyle w:val="BodyText"/>
        <w:spacing w:before="7"/>
        <w:rPr>
          <w:sz w:val="15"/>
        </w:rPr>
      </w:pPr>
    </w:p>
    <w:p>
      <w:pPr>
        <w:pStyle w:val="BodyText"/>
        <w:spacing w:before="1"/>
        <w:ind w:left="1198"/>
      </w:pPr>
      <w:r>
        <w:rPr>
          <w:rFonts w:ascii="Times New Roman" w:eastAsia="Times New Roman"/>
        </w:rPr>
        <w:t>4</w:t>
      </w:r>
      <w:r>
        <w:rPr/>
        <w:t>、提前终止基金合同。</w:t>
      </w:r>
    </w:p>
    <w:p>
      <w:pPr>
        <w:pStyle w:val="BodyText"/>
        <w:spacing w:before="6"/>
        <w:rPr>
          <w:sz w:val="15"/>
        </w:rPr>
      </w:pPr>
    </w:p>
    <w:p>
      <w:pPr>
        <w:pStyle w:val="BodyText"/>
        <w:ind w:left="1198"/>
      </w:pPr>
      <w:r>
        <w:rPr>
          <w:rFonts w:ascii="Times New Roman" w:eastAsia="Times New Roman"/>
        </w:rPr>
        <w:t>5</w:t>
      </w:r>
      <w:r>
        <w:rPr/>
        <w:t>、与其他基金合并。</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90" w:firstLine="419"/>
      </w:pPr>
      <w:r>
        <w:rPr>
          <w:rFonts w:ascii="Times New Roman" w:eastAsia="Times New Roman"/>
        </w:rPr>
        <w:t>6</w:t>
      </w:r>
      <w:r>
        <w:rPr/>
        <w:t>、单独或合计持有基金总份额</w:t>
      </w:r>
      <w:r>
        <w:rPr>
          <w:rFonts w:ascii="Times New Roman" w:eastAsia="Times New Roman"/>
        </w:rPr>
        <w:t>10%</w:t>
      </w:r>
      <w:r>
        <w:rPr/>
        <w:t>以上的基金份额持有人就同一事项书面要求召开基金份额持有人大会。</w:t>
      </w:r>
    </w:p>
    <w:p>
      <w:pPr>
        <w:pStyle w:val="BodyText"/>
        <w:spacing w:line="269" w:lineRule="exact"/>
        <w:ind w:left="1198"/>
      </w:pPr>
      <w:r>
        <w:rPr>
          <w:rFonts w:ascii="Times New Roman" w:eastAsia="Times New Roman"/>
        </w:rPr>
        <w:t>7</w:t>
      </w:r>
      <w:r>
        <w:rPr/>
        <w:t>、基金管理人或基金托管人要求召开基金份额持有人大会。</w:t>
      </w:r>
    </w:p>
    <w:p>
      <w:pPr>
        <w:pStyle w:val="BodyText"/>
        <w:spacing w:before="7"/>
        <w:rPr>
          <w:sz w:val="15"/>
        </w:rPr>
      </w:pPr>
    </w:p>
    <w:p>
      <w:pPr>
        <w:pStyle w:val="BodyText"/>
        <w:ind w:left="1198"/>
      </w:pPr>
      <w:r>
        <w:rPr>
          <w:rFonts w:ascii="Times New Roman" w:eastAsia="Times New Roman"/>
        </w:rPr>
        <w:t>8</w:t>
      </w:r>
      <w:r>
        <w:rPr/>
        <w:t>、有对基金合同当事人权利、义务产生重大影响的其他事项。</w:t>
      </w:r>
    </w:p>
    <w:p>
      <w:pPr>
        <w:pStyle w:val="BodyText"/>
        <w:spacing w:before="7"/>
        <w:rPr>
          <w:sz w:val="15"/>
        </w:rPr>
      </w:pPr>
    </w:p>
    <w:p>
      <w:pPr>
        <w:pStyle w:val="BodyText"/>
        <w:ind w:left="1198"/>
      </w:pPr>
      <w:r>
        <w:rPr>
          <w:rFonts w:ascii="Times New Roman" w:eastAsia="Times New Roman"/>
        </w:rPr>
        <w:t>9</w:t>
      </w:r>
      <w:r>
        <w:rPr/>
        <w:t>、中国证监会规定的其他情形。</w:t>
      </w:r>
    </w:p>
    <w:p>
      <w:pPr>
        <w:pStyle w:val="BodyText"/>
        <w:spacing w:before="6"/>
        <w:rPr>
          <w:sz w:val="15"/>
        </w:rPr>
      </w:pPr>
    </w:p>
    <w:p>
      <w:pPr>
        <w:pStyle w:val="BodyText"/>
        <w:spacing w:before="1"/>
        <w:ind w:left="1198"/>
      </w:pPr>
      <w:r>
        <w:rPr/>
        <w:t>以下情形不需召开基金份额持有人大会：</w:t>
      </w:r>
    </w:p>
    <w:p>
      <w:pPr>
        <w:pStyle w:val="BodyText"/>
        <w:spacing w:before="6"/>
        <w:rPr>
          <w:sz w:val="15"/>
        </w:rPr>
      </w:pPr>
    </w:p>
    <w:p>
      <w:pPr>
        <w:pStyle w:val="BodyText"/>
        <w:ind w:left="1198"/>
      </w:pPr>
      <w:r>
        <w:rPr>
          <w:rFonts w:ascii="Times New Roman" w:eastAsia="Times New Roman"/>
        </w:rPr>
        <w:t>1</w:t>
      </w:r>
      <w:r>
        <w:rPr/>
        <w:t>、调低基金管理费率、基金托管费率或基金销售服务费率。</w:t>
      </w:r>
    </w:p>
    <w:p>
      <w:pPr>
        <w:pStyle w:val="BodyText"/>
        <w:spacing w:before="7"/>
        <w:rPr>
          <w:sz w:val="15"/>
        </w:rPr>
      </w:pPr>
    </w:p>
    <w:p>
      <w:pPr>
        <w:pStyle w:val="BodyText"/>
        <w:spacing w:before="1"/>
        <w:ind w:left="1198"/>
      </w:pPr>
      <w:r>
        <w:rPr>
          <w:rFonts w:ascii="Times New Roman" w:eastAsia="Times New Roman"/>
        </w:rPr>
        <w:t>2</w:t>
      </w:r>
      <w:r>
        <w:rPr/>
        <w:t>、在本基金合同规定的范围内变更本基金的申购费率、赎回费率或收费方式。</w:t>
      </w:r>
    </w:p>
    <w:p>
      <w:pPr>
        <w:pStyle w:val="BodyText"/>
        <w:spacing w:before="6"/>
        <w:rPr>
          <w:sz w:val="15"/>
        </w:rPr>
      </w:pPr>
    </w:p>
    <w:p>
      <w:pPr>
        <w:pStyle w:val="BodyText"/>
        <w:ind w:left="1198"/>
      </w:pPr>
      <w:r>
        <w:rPr>
          <w:rFonts w:ascii="Times New Roman" w:eastAsia="Times New Roman"/>
        </w:rPr>
        <w:t>3</w:t>
      </w:r>
      <w:r>
        <w:rPr/>
        <w:t>、因相应的法律、法规发生变动必须对基金合同进行修改。</w:t>
      </w:r>
    </w:p>
    <w:p>
      <w:pPr>
        <w:pStyle w:val="BodyText"/>
        <w:spacing w:before="7"/>
        <w:rPr>
          <w:sz w:val="15"/>
        </w:rPr>
      </w:pPr>
    </w:p>
    <w:p>
      <w:pPr>
        <w:pStyle w:val="BodyText"/>
        <w:ind w:left="1198"/>
      </w:pPr>
      <w:r>
        <w:rPr>
          <w:rFonts w:ascii="Times New Roman" w:eastAsia="Times New Roman"/>
        </w:rPr>
        <w:t>4</w:t>
      </w:r>
      <w:r>
        <w:rPr/>
        <w:t>、对基金合同的修改不涉及本基金合同当事人权利义务关系发生变化。</w:t>
      </w:r>
    </w:p>
    <w:p>
      <w:pPr>
        <w:pStyle w:val="BodyText"/>
        <w:spacing w:before="7"/>
        <w:rPr>
          <w:sz w:val="15"/>
        </w:rPr>
      </w:pPr>
    </w:p>
    <w:p>
      <w:pPr>
        <w:pStyle w:val="BodyText"/>
        <w:ind w:left="1198"/>
      </w:pPr>
      <w:r>
        <w:rPr>
          <w:rFonts w:ascii="Times New Roman" w:eastAsia="Times New Roman"/>
        </w:rPr>
        <w:t>5</w:t>
      </w:r>
      <w:r>
        <w:rPr/>
        <w:t>、对基金合同的修改对基金份额持有人利益无实质性不利影响。</w:t>
      </w:r>
    </w:p>
    <w:p>
      <w:pPr>
        <w:pStyle w:val="BodyText"/>
        <w:spacing w:before="6"/>
        <w:rPr>
          <w:sz w:val="15"/>
        </w:rPr>
      </w:pPr>
    </w:p>
    <w:p>
      <w:pPr>
        <w:pStyle w:val="BodyText"/>
        <w:spacing w:before="1"/>
        <w:ind w:left="1198"/>
      </w:pPr>
      <w:r>
        <w:rPr>
          <w:rFonts w:ascii="Times New Roman" w:eastAsia="Times New Roman"/>
        </w:rPr>
        <w:t>6</w:t>
      </w:r>
      <w:r>
        <w:rPr/>
        <w:t>、按照法律法规或本基金合同规定不需召开基金份额持有人大会的其他情形。</w:t>
      </w:r>
    </w:p>
    <w:p>
      <w:pPr>
        <w:pStyle w:val="BodyText"/>
        <w:spacing w:before="6"/>
        <w:rPr>
          <w:sz w:val="15"/>
        </w:rPr>
      </w:pPr>
    </w:p>
    <w:p>
      <w:pPr>
        <w:pStyle w:val="BodyText"/>
        <w:ind w:left="1198"/>
      </w:pPr>
      <w:r>
        <w:rPr/>
        <w:t>（二）召集方式</w:t>
      </w:r>
    </w:p>
    <w:p>
      <w:pPr>
        <w:pStyle w:val="BodyText"/>
        <w:spacing w:before="7"/>
        <w:rPr>
          <w:sz w:val="15"/>
        </w:rPr>
      </w:pPr>
    </w:p>
    <w:p>
      <w:pPr>
        <w:pStyle w:val="BodyText"/>
        <w:ind w:left="1198"/>
      </w:pPr>
      <w:r>
        <w:rPr>
          <w:rFonts w:ascii="Times New Roman" w:eastAsia="Times New Roman"/>
        </w:rPr>
        <w:t>1</w:t>
      </w:r>
      <w:r>
        <w:rPr/>
        <w:t>、在正常情况下，基金份额持有人大会由基金管理人召集。</w:t>
      </w:r>
    </w:p>
    <w:p>
      <w:pPr>
        <w:pStyle w:val="BodyText"/>
        <w:spacing w:before="7"/>
        <w:rPr>
          <w:sz w:val="15"/>
        </w:rPr>
      </w:pPr>
    </w:p>
    <w:p>
      <w:pPr>
        <w:pStyle w:val="BodyText"/>
        <w:spacing w:line="417" w:lineRule="auto"/>
        <w:ind w:left="778" w:right="889" w:firstLine="419"/>
        <w:jc w:val="both"/>
      </w:pPr>
      <w:r>
        <w:rPr>
          <w:rFonts w:ascii="Times New Roman" w:eastAsia="Times New Roman"/>
        </w:rPr>
        <w:t>2</w:t>
      </w:r>
      <w:r>
        <w:rPr>
          <w:spacing w:val="-3"/>
        </w:rPr>
        <w:t>、基金管理人未按规定召集或者不能召集时，由基金托管人召集。基金托管人认为有</w:t>
      </w:r>
      <w:r>
        <w:rPr>
          <w:spacing w:val="-8"/>
        </w:rPr>
        <w:t>必要召开基金份额持有人大会的，应当向基金管理人提出书面提议。基金管理人应当自收到</w:t>
      </w:r>
      <w:r>
        <w:rPr>
          <w:spacing w:val="-5"/>
        </w:rPr>
        <w:t>书面提议之日起</w:t>
      </w:r>
      <w:r>
        <w:rPr>
          <w:rFonts w:ascii="Times New Roman" w:eastAsia="Times New Roman"/>
        </w:rPr>
        <w:t>10</w:t>
      </w:r>
      <w:r>
        <w:rPr>
          <w:spacing w:val="-10"/>
        </w:rPr>
        <w:t>日内决定是否召集，并书面告知基金托管人。基金管理人决定召集的，应</w:t>
      </w:r>
      <w:r>
        <w:rPr>
          <w:spacing w:val="-5"/>
        </w:rPr>
        <w:t>当自出具书面决定之日起</w:t>
      </w:r>
      <w:r>
        <w:rPr>
          <w:rFonts w:ascii="Times New Roman" w:eastAsia="Times New Roman"/>
        </w:rPr>
        <w:t>60</w:t>
      </w:r>
      <w:r>
        <w:rPr>
          <w:spacing w:val="-11"/>
        </w:rPr>
        <w:t>日内召开；基金管理人决定不召集，基金托管人仍认为有必要召</w:t>
      </w:r>
      <w:r>
        <w:rPr>
          <w:spacing w:val="-6"/>
        </w:rPr>
        <w:t>开的，应当自行召集。</w:t>
      </w:r>
    </w:p>
    <w:p>
      <w:pPr>
        <w:pStyle w:val="BodyText"/>
        <w:spacing w:line="417" w:lineRule="auto"/>
        <w:ind w:left="778" w:right="785" w:firstLine="419"/>
        <w:jc w:val="both"/>
      </w:pPr>
      <w:r>
        <w:rPr>
          <w:rFonts w:ascii="Times New Roman" w:eastAsia="Times New Roman"/>
        </w:rPr>
        <w:t>3</w:t>
      </w:r>
      <w:r>
        <w:rPr/>
        <w:t>、代表基金份额</w:t>
      </w:r>
      <w:r>
        <w:rPr>
          <w:rFonts w:ascii="Times New Roman" w:eastAsia="Times New Roman"/>
        </w:rPr>
        <w:t>10%</w:t>
      </w:r>
      <w:r>
        <w:rPr/>
        <w:t>以上的基金份额持有人认为有必要召开基金份额持有人大会的， </w:t>
      </w:r>
      <w:r>
        <w:rPr>
          <w:spacing w:val="-9"/>
        </w:rPr>
        <w:t>应当向基金管理人提出书面提议。基金管理人应当自收到书面提议之日起</w:t>
      </w:r>
      <w:r>
        <w:rPr>
          <w:rFonts w:ascii="Times New Roman" w:eastAsia="Times New Roman"/>
        </w:rPr>
        <w:t>10</w:t>
      </w:r>
      <w:r>
        <w:rPr>
          <w:spacing w:val="-3"/>
        </w:rPr>
        <w:t>日内决定是否召</w:t>
      </w:r>
      <w:r>
        <w:rPr>
          <w:spacing w:val="-9"/>
        </w:rPr>
        <w:t>集，并书面告知提出提议的基金份额持有人代表和基金托管人。基金管理人决定召集的，应</w:t>
      </w:r>
      <w:r>
        <w:rPr>
          <w:spacing w:val="-5"/>
        </w:rPr>
        <w:t>当自出具书面决定之日起</w:t>
      </w:r>
      <w:r>
        <w:rPr>
          <w:rFonts w:ascii="Times New Roman" w:eastAsia="Times New Roman"/>
        </w:rPr>
        <w:t>60</w:t>
      </w:r>
      <w:r>
        <w:rPr>
          <w:spacing w:val="-9"/>
        </w:rPr>
        <w:t>日内召开；基金管理人决定不召集，代表基金份额</w:t>
      </w:r>
      <w:r>
        <w:rPr>
          <w:rFonts w:ascii="Times New Roman" w:eastAsia="Times New Roman"/>
        </w:rPr>
        <w:t>10%</w:t>
      </w:r>
      <w:r>
        <w:rPr>
          <w:spacing w:val="-2"/>
        </w:rPr>
        <w:t>以上的基</w:t>
      </w:r>
      <w:r>
        <w:rPr>
          <w:spacing w:val="-8"/>
        </w:rPr>
        <w:t>金份额持有人仍认为有必要召开的，应当向基金托管人提出书面提议。基金托管人应当自收</w:t>
      </w:r>
      <w:r>
        <w:rPr>
          <w:spacing w:val="-5"/>
        </w:rPr>
        <w:t>到书面提议之日起</w:t>
      </w:r>
      <w:r>
        <w:rPr>
          <w:rFonts w:ascii="Times New Roman" w:eastAsia="Times New Roman"/>
        </w:rPr>
        <w:t>10</w:t>
      </w:r>
      <w:r>
        <w:rPr>
          <w:spacing w:val="-11"/>
        </w:rPr>
        <w:t>日内决定是否召集，并书面告知提出提议的基金份额持有人代表和基金管理人；基金托管人决定召集的，应当自出具书面决定之日起</w:t>
      </w:r>
      <w:r>
        <w:rPr>
          <w:rFonts w:ascii="Times New Roman" w:eastAsia="Times New Roman"/>
        </w:rPr>
        <w:t>60</w:t>
      </w:r>
      <w:r>
        <w:rPr>
          <w:spacing w:val="-7"/>
        </w:rPr>
        <w:t>日内召开。基金管理人和基</w:t>
      </w:r>
      <w:r>
        <w:rPr>
          <w:spacing w:val="-10"/>
        </w:rPr>
        <w:t>金托管人都不召集基金份额持有人大会的，基金份额持有人可以自行召集基金份额持有人大</w:t>
      </w:r>
      <w:r>
        <w:rPr>
          <w:spacing w:val="-17"/>
        </w:rPr>
        <w:t>会。基金份额持有人自行召集基金份额持有人大会的，应当至少提前</w:t>
      </w:r>
      <w:r>
        <w:rPr>
          <w:rFonts w:ascii="Times New Roman" w:eastAsia="Times New Roman"/>
        </w:rPr>
        <w:t>30</w:t>
      </w:r>
      <w:r>
        <w:rPr>
          <w:spacing w:val="-3"/>
        </w:rPr>
        <w:t>日向中国证监会备案。</w:t>
      </w:r>
    </w:p>
    <w:p>
      <w:pPr>
        <w:pStyle w:val="BodyText"/>
        <w:spacing w:line="269" w:lineRule="exact"/>
        <w:ind w:left="1198"/>
      </w:pPr>
      <w:r>
        <w:rPr/>
        <w:t>（三）通知</w:t>
      </w:r>
    </w:p>
    <w:p>
      <w:pPr>
        <w:pStyle w:val="BodyText"/>
        <w:spacing w:before="6"/>
        <w:rPr>
          <w:sz w:val="15"/>
        </w:rPr>
      </w:pPr>
    </w:p>
    <w:p>
      <w:pPr>
        <w:pStyle w:val="BodyText"/>
        <w:ind w:left="1198"/>
      </w:pPr>
      <w:r>
        <w:rPr/>
        <w:t>召开基金份额持有人大会，召集人应当至少提前</w:t>
      </w:r>
      <w:r>
        <w:rPr>
          <w:rFonts w:ascii="Times New Roman" w:eastAsia="Times New Roman"/>
        </w:rPr>
        <w:t>30</w:t>
      </w:r>
      <w:r>
        <w:rPr/>
        <w:t>日，在至少一种中国证监会指定媒介</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778"/>
      </w:pPr>
      <w:r>
        <w:rPr/>
        <w:t>公告通知。基金份额持有人大会通知至少应载明以下内容：</w:t>
      </w:r>
    </w:p>
    <w:p>
      <w:pPr>
        <w:pStyle w:val="BodyText"/>
        <w:spacing w:before="7"/>
        <w:rPr>
          <w:sz w:val="15"/>
        </w:rPr>
      </w:pPr>
    </w:p>
    <w:p>
      <w:pPr>
        <w:pStyle w:val="BodyText"/>
        <w:ind w:left="1198"/>
      </w:pPr>
      <w:r>
        <w:rPr>
          <w:rFonts w:ascii="Times New Roman" w:eastAsia="Times New Roman"/>
        </w:rPr>
        <w:t>1</w:t>
      </w:r>
      <w:r>
        <w:rPr/>
        <w:t>、会议召开的时间、地点和方式。</w:t>
      </w:r>
    </w:p>
    <w:p>
      <w:pPr>
        <w:pStyle w:val="BodyText"/>
        <w:spacing w:before="7"/>
        <w:rPr>
          <w:sz w:val="15"/>
        </w:rPr>
      </w:pPr>
    </w:p>
    <w:p>
      <w:pPr>
        <w:pStyle w:val="BodyText"/>
        <w:ind w:left="1198"/>
      </w:pPr>
      <w:r>
        <w:rPr>
          <w:rFonts w:ascii="Times New Roman" w:eastAsia="Times New Roman"/>
        </w:rPr>
        <w:t>2</w:t>
      </w:r>
      <w:r>
        <w:rPr/>
        <w:t>、会议拟审议的主要事项。</w:t>
      </w:r>
    </w:p>
    <w:p>
      <w:pPr>
        <w:pStyle w:val="BodyText"/>
        <w:spacing w:before="6"/>
        <w:rPr>
          <w:sz w:val="15"/>
        </w:rPr>
      </w:pPr>
    </w:p>
    <w:p>
      <w:pPr>
        <w:pStyle w:val="BodyText"/>
        <w:spacing w:before="1"/>
        <w:ind w:left="1198"/>
      </w:pPr>
      <w:r>
        <w:rPr>
          <w:rFonts w:ascii="Times New Roman" w:eastAsia="Times New Roman"/>
        </w:rPr>
        <w:t>3</w:t>
      </w:r>
      <w:r>
        <w:rPr/>
        <w:t>、确定有权出席基金份额持有人大会的基金份额持有人资格的权利登记日。</w:t>
      </w:r>
    </w:p>
    <w:p>
      <w:pPr>
        <w:pStyle w:val="BodyText"/>
        <w:spacing w:before="6"/>
        <w:rPr>
          <w:sz w:val="15"/>
        </w:rPr>
      </w:pPr>
    </w:p>
    <w:p>
      <w:pPr>
        <w:pStyle w:val="BodyText"/>
        <w:ind w:left="1198"/>
      </w:pPr>
      <w:r>
        <w:rPr>
          <w:rFonts w:ascii="Times New Roman" w:eastAsia="Times New Roman"/>
        </w:rPr>
        <w:t>4</w:t>
      </w:r>
      <w:r>
        <w:rPr/>
        <w:t>、代理投票授权委托书送达时间和地点。</w:t>
      </w:r>
    </w:p>
    <w:p>
      <w:pPr>
        <w:pStyle w:val="BodyText"/>
        <w:spacing w:before="7"/>
        <w:rPr>
          <w:sz w:val="15"/>
        </w:rPr>
      </w:pPr>
    </w:p>
    <w:p>
      <w:pPr>
        <w:pStyle w:val="BodyText"/>
        <w:ind w:left="1198"/>
      </w:pPr>
      <w:r>
        <w:rPr>
          <w:rFonts w:ascii="Times New Roman" w:eastAsia="Times New Roman"/>
        </w:rPr>
        <w:t>5</w:t>
      </w:r>
      <w:r>
        <w:rPr/>
        <w:t>、会务常设联系人姓名、电话。</w:t>
      </w:r>
    </w:p>
    <w:p>
      <w:pPr>
        <w:pStyle w:val="BodyText"/>
        <w:spacing w:before="7"/>
        <w:rPr>
          <w:sz w:val="15"/>
        </w:rPr>
      </w:pPr>
    </w:p>
    <w:p>
      <w:pPr>
        <w:pStyle w:val="BodyText"/>
        <w:spacing w:line="417" w:lineRule="auto"/>
        <w:ind w:left="778" w:right="888" w:firstLine="419"/>
        <w:jc w:val="both"/>
      </w:pPr>
      <w:r>
        <w:rPr>
          <w:spacing w:val="-8"/>
        </w:rPr>
        <w:t>采取通讯方式开会并进行表决的情况下，由召集人决定通讯方式和书面表决方式，并在会议通知中说明本次基金份额持有人大会所采取的具体通讯方式、委托的公证机构及其联系</w:t>
      </w:r>
      <w:r>
        <w:rPr>
          <w:spacing w:val="-12"/>
        </w:rPr>
        <w:t>方式和联系人、书面表决意见的寄交和收取方式。如召集人为基金管理人，还应另行书面通</w:t>
      </w:r>
      <w:r>
        <w:rPr>
          <w:spacing w:val="-10"/>
        </w:rPr>
        <w:t>知基金托管人到指定地点对书面表决意见的计票进行监督。如召集人为基金托管人，则应另</w:t>
      </w:r>
      <w:r>
        <w:rPr>
          <w:spacing w:val="-8"/>
        </w:rPr>
        <w:t>行书面通知基金管理人到指定地点对书面表决意见的计票进行监督。如召集人为基金份额持</w:t>
      </w:r>
      <w:r>
        <w:rPr>
          <w:spacing w:val="-12"/>
        </w:rPr>
        <w:t>有人，则应另行书面通知基金管理人和基金托管人到指定地点对书面表决意见的计票进行监督。</w:t>
      </w:r>
    </w:p>
    <w:p>
      <w:pPr>
        <w:pStyle w:val="BodyText"/>
        <w:spacing w:line="268" w:lineRule="exact"/>
        <w:ind w:left="1198"/>
      </w:pPr>
      <w:r>
        <w:rPr/>
        <w:t>（四）会议的召开方式</w:t>
      </w:r>
    </w:p>
    <w:p>
      <w:pPr>
        <w:pStyle w:val="BodyText"/>
        <w:spacing w:before="7"/>
        <w:rPr>
          <w:sz w:val="15"/>
        </w:rPr>
      </w:pPr>
    </w:p>
    <w:p>
      <w:pPr>
        <w:pStyle w:val="BodyText"/>
        <w:spacing w:line="417" w:lineRule="auto"/>
        <w:ind w:left="778" w:right="889" w:firstLine="419"/>
      </w:pPr>
      <w:r>
        <w:rPr>
          <w:spacing w:val="-10"/>
        </w:rPr>
        <w:t>会议的召开方式由召集人确定，但更换基金管理人和基金托管人必须以现场开会方式召</w:t>
      </w:r>
      <w:r>
        <w:rPr>
          <w:spacing w:val="-5"/>
        </w:rPr>
        <w:t>开基金份额持有人大会。</w:t>
      </w:r>
    </w:p>
    <w:p>
      <w:pPr>
        <w:pStyle w:val="BodyText"/>
        <w:spacing w:line="417" w:lineRule="auto"/>
        <w:ind w:left="778" w:right="889" w:firstLine="419"/>
      </w:pPr>
      <w:r>
        <w:rPr>
          <w:rFonts w:ascii="Times New Roman" w:eastAsia="Times New Roman"/>
        </w:rPr>
        <w:t>1</w:t>
      </w:r>
      <w:r>
        <w:rPr/>
        <w:t>、现场开会。由基金份额持有人本人出席或以代理投票授权委托书委派代表出席，现场开会时基金管理人和基金托管人的授权代表应当列席基金份额持有人大会。</w:t>
      </w:r>
    </w:p>
    <w:p>
      <w:pPr>
        <w:pStyle w:val="BodyText"/>
        <w:spacing w:line="269" w:lineRule="exact"/>
        <w:ind w:left="1198"/>
      </w:pPr>
      <w:r>
        <w:rPr/>
        <w:t>现场开会同时符合以下条件时，可以进行基金份额持有人大会议程：</w:t>
      </w:r>
    </w:p>
    <w:p>
      <w:pPr>
        <w:pStyle w:val="BodyText"/>
        <w:spacing w:before="6"/>
        <w:rPr>
          <w:sz w:val="15"/>
        </w:rPr>
      </w:pPr>
    </w:p>
    <w:p>
      <w:pPr>
        <w:pStyle w:val="ListParagraph"/>
        <w:numPr>
          <w:ilvl w:val="0"/>
          <w:numId w:val="34"/>
        </w:numPr>
        <w:tabs>
          <w:tab w:pos="1727" w:val="left" w:leader="none"/>
        </w:tabs>
        <w:spacing w:line="417" w:lineRule="auto" w:before="0" w:after="0"/>
        <w:ind w:left="778" w:right="802" w:firstLine="419"/>
        <w:jc w:val="left"/>
        <w:rPr>
          <w:sz w:val="21"/>
        </w:rPr>
      </w:pPr>
      <w:r>
        <w:rPr>
          <w:spacing w:val="-3"/>
          <w:sz w:val="21"/>
        </w:rPr>
        <w:t>亲自出席会议者持有基金份额的凭证、受托出席会议者出具的委托人持有基金份额的凭证及委托人的代理投票授权委托书符合法律、法规、本基金合同和会议通知的规定；</w:t>
      </w:r>
    </w:p>
    <w:p>
      <w:pPr>
        <w:pStyle w:val="ListParagraph"/>
        <w:numPr>
          <w:ilvl w:val="0"/>
          <w:numId w:val="34"/>
        </w:numPr>
        <w:tabs>
          <w:tab w:pos="1727" w:val="left" w:leader="none"/>
        </w:tabs>
        <w:spacing w:line="417" w:lineRule="auto" w:before="1" w:after="0"/>
        <w:ind w:left="778" w:right="889" w:firstLine="419"/>
        <w:jc w:val="left"/>
        <w:rPr>
          <w:sz w:val="21"/>
        </w:rPr>
      </w:pPr>
      <w:r>
        <w:rPr>
          <w:spacing w:val="-3"/>
          <w:sz w:val="21"/>
        </w:rPr>
        <w:t>经核对，汇总到会者出示的在权利登记日持有基金份额的凭证显示，全部有效的凭证所对应的基金份额占本基金在权利登记日基金总份额的</w:t>
      </w:r>
      <w:r>
        <w:rPr>
          <w:rFonts w:ascii="Times New Roman" w:eastAsia="Times New Roman"/>
          <w:sz w:val="21"/>
        </w:rPr>
        <w:t>50%</w:t>
      </w:r>
      <w:r>
        <w:rPr>
          <w:spacing w:val="-2"/>
          <w:sz w:val="21"/>
        </w:rPr>
        <w:t>以上。</w:t>
      </w:r>
    </w:p>
    <w:p>
      <w:pPr>
        <w:pStyle w:val="BodyText"/>
        <w:spacing w:line="417" w:lineRule="auto"/>
        <w:ind w:left="1198" w:right="3426"/>
      </w:pPr>
      <w:r>
        <w:rPr>
          <w:rFonts w:ascii="Times New Roman" w:eastAsia="Times New Roman"/>
        </w:rPr>
        <w:t>2</w:t>
      </w:r>
      <w:r>
        <w:rPr/>
        <w:t>、通讯方式开会。通讯方式开会应以书面方式进行表决。在符合以下条件时，通讯开会的方式视为有效：</w:t>
      </w:r>
    </w:p>
    <w:p>
      <w:pPr>
        <w:pStyle w:val="ListParagraph"/>
        <w:numPr>
          <w:ilvl w:val="0"/>
          <w:numId w:val="35"/>
        </w:numPr>
        <w:tabs>
          <w:tab w:pos="1727" w:val="left" w:leader="none"/>
        </w:tabs>
        <w:spacing w:line="417" w:lineRule="auto" w:before="0" w:after="0"/>
        <w:ind w:left="778" w:right="889" w:firstLine="419"/>
        <w:jc w:val="left"/>
        <w:rPr>
          <w:sz w:val="21"/>
        </w:rPr>
      </w:pPr>
      <w:r>
        <w:rPr>
          <w:spacing w:val="-3"/>
          <w:sz w:val="21"/>
        </w:rPr>
        <w:t>大会召集人按本基金合同规定公布会议通知后，在两个工作日内连续公布相关提示性公告。</w:t>
      </w:r>
    </w:p>
    <w:p>
      <w:pPr>
        <w:pStyle w:val="ListParagraph"/>
        <w:numPr>
          <w:ilvl w:val="0"/>
          <w:numId w:val="35"/>
        </w:numPr>
        <w:tabs>
          <w:tab w:pos="1727" w:val="left" w:leader="none"/>
        </w:tabs>
        <w:spacing w:line="417" w:lineRule="auto" w:before="0" w:after="0"/>
        <w:ind w:left="778" w:right="888" w:firstLine="419"/>
        <w:jc w:val="left"/>
        <w:rPr>
          <w:sz w:val="21"/>
        </w:rPr>
      </w:pPr>
      <w:r>
        <w:rPr>
          <w:spacing w:val="-3"/>
          <w:sz w:val="21"/>
        </w:rPr>
        <w:t>大会召集人按本基金合同规定通知基金托管人或</w:t>
      </w:r>
      <w:r>
        <w:rPr>
          <w:rFonts w:ascii="Times New Roman" w:hAnsi="Times New Roman" w:eastAsia="Times New Roman"/>
          <w:sz w:val="21"/>
        </w:rPr>
        <w:t>/</w:t>
      </w:r>
      <w:r>
        <w:rPr>
          <w:spacing w:val="-7"/>
          <w:sz w:val="21"/>
        </w:rPr>
        <w:t>和基金管理人</w:t>
      </w:r>
      <w:r>
        <w:rPr>
          <w:spacing w:val="-3"/>
          <w:sz w:val="21"/>
        </w:rPr>
        <w:t>（分别或共同地 </w:t>
      </w:r>
      <w:r>
        <w:rPr>
          <w:spacing w:val="-2"/>
          <w:sz w:val="21"/>
        </w:rPr>
        <w:t>称为“监督人”</w:t>
      </w:r>
      <w:r>
        <w:rPr>
          <w:sz w:val="21"/>
        </w:rPr>
        <w:t>）</w:t>
      </w:r>
      <w:r>
        <w:rPr>
          <w:spacing w:val="-3"/>
          <w:sz w:val="21"/>
        </w:rPr>
        <w:t>到指定地点对书面表决意见的计票进行监督。</w:t>
      </w:r>
    </w:p>
    <w:p>
      <w:pPr>
        <w:pStyle w:val="ListParagraph"/>
        <w:numPr>
          <w:ilvl w:val="0"/>
          <w:numId w:val="35"/>
        </w:numPr>
        <w:tabs>
          <w:tab w:pos="1727" w:val="left" w:leader="none"/>
        </w:tabs>
        <w:spacing w:line="240" w:lineRule="auto" w:before="0" w:after="0"/>
        <w:ind w:left="1727" w:right="0" w:hanging="529"/>
        <w:jc w:val="left"/>
        <w:rPr>
          <w:sz w:val="21"/>
        </w:rPr>
      </w:pPr>
      <w:r>
        <w:rPr>
          <w:spacing w:val="-3"/>
          <w:sz w:val="21"/>
        </w:rPr>
        <w:t>大会召集人在公证机构的监督下按照会议通知规定的方式收取基金份额持有人的</w:t>
      </w:r>
    </w:p>
    <w:p>
      <w:pPr>
        <w:spacing w:after="0" w:line="240" w:lineRule="auto"/>
        <w:jc w:val="left"/>
        <w:rPr>
          <w:sz w:val="21"/>
        </w:rPr>
        <w:sectPr>
          <w:pgSz w:w="11910" w:h="16840"/>
          <w:pgMar w:header="877" w:footer="995" w:top="1280" w:bottom="1180" w:left="1020" w:right="900"/>
        </w:sectPr>
      </w:pPr>
    </w:p>
    <w:p>
      <w:pPr>
        <w:pStyle w:val="BodyText"/>
        <w:spacing w:before="7"/>
        <w:rPr>
          <w:sz w:val="12"/>
        </w:rPr>
      </w:pPr>
    </w:p>
    <w:p>
      <w:pPr>
        <w:pStyle w:val="BodyText"/>
        <w:spacing w:before="71"/>
        <w:ind w:left="778"/>
      </w:pPr>
      <w:r>
        <w:rPr/>
        <w:t>书面表决意见。</w:t>
      </w:r>
    </w:p>
    <w:p>
      <w:pPr>
        <w:pStyle w:val="BodyText"/>
        <w:spacing w:before="7"/>
        <w:rPr>
          <w:sz w:val="15"/>
        </w:rPr>
      </w:pPr>
    </w:p>
    <w:p>
      <w:pPr>
        <w:pStyle w:val="ListParagraph"/>
        <w:numPr>
          <w:ilvl w:val="0"/>
          <w:numId w:val="35"/>
        </w:numPr>
        <w:tabs>
          <w:tab w:pos="1727" w:val="left" w:leader="none"/>
        </w:tabs>
        <w:spacing w:line="417" w:lineRule="auto" w:before="0" w:after="0"/>
        <w:ind w:left="778" w:right="889" w:firstLine="419"/>
        <w:jc w:val="left"/>
        <w:rPr>
          <w:sz w:val="21"/>
        </w:rPr>
      </w:pPr>
      <w:r>
        <w:rPr>
          <w:spacing w:val="-3"/>
          <w:sz w:val="21"/>
        </w:rPr>
        <w:t>所有出具有效书面意见所代表的基金份额持有人所持有的基金份额占本基金在权利登记日基金总份额的</w:t>
      </w:r>
      <w:r>
        <w:rPr>
          <w:rFonts w:ascii="Times New Roman" w:eastAsia="Times New Roman"/>
          <w:sz w:val="21"/>
        </w:rPr>
        <w:t>50%</w:t>
      </w:r>
      <w:r>
        <w:rPr>
          <w:spacing w:val="-2"/>
          <w:sz w:val="21"/>
        </w:rPr>
        <w:t>以上。</w:t>
      </w:r>
    </w:p>
    <w:p>
      <w:pPr>
        <w:pStyle w:val="ListParagraph"/>
        <w:numPr>
          <w:ilvl w:val="0"/>
          <w:numId w:val="35"/>
        </w:numPr>
        <w:tabs>
          <w:tab w:pos="1727" w:val="left" w:leader="none"/>
        </w:tabs>
        <w:spacing w:line="417" w:lineRule="auto" w:before="0" w:after="0"/>
        <w:ind w:left="778" w:right="889" w:firstLine="419"/>
        <w:jc w:val="both"/>
        <w:rPr>
          <w:sz w:val="21"/>
        </w:rPr>
      </w:pPr>
      <w:r>
        <w:rPr>
          <w:spacing w:val="-3"/>
          <w:sz w:val="21"/>
        </w:rPr>
        <w:t>直接出具书面意见的基金份额持有人或受托代表他人出具书面意见的代理人，同</w:t>
      </w:r>
      <w:r>
        <w:rPr>
          <w:spacing w:val="-10"/>
          <w:sz w:val="21"/>
        </w:rPr>
        <w:t>时提交的持有基金份额的凭证、受托出席会议者出具的委托人持有基金份额的凭证及委托人</w:t>
      </w:r>
      <w:r>
        <w:rPr>
          <w:spacing w:val="-5"/>
          <w:sz w:val="21"/>
        </w:rPr>
        <w:t>的代理投票授权委托书符合法律、法规、本基金合同和会议通知的规定。</w:t>
      </w:r>
    </w:p>
    <w:p>
      <w:pPr>
        <w:pStyle w:val="ListParagraph"/>
        <w:numPr>
          <w:ilvl w:val="0"/>
          <w:numId w:val="35"/>
        </w:numPr>
        <w:tabs>
          <w:tab w:pos="1727" w:val="left" w:leader="none"/>
        </w:tabs>
        <w:spacing w:line="269" w:lineRule="exact" w:before="0" w:after="0"/>
        <w:ind w:left="1727" w:right="0" w:hanging="529"/>
        <w:jc w:val="left"/>
        <w:rPr>
          <w:sz w:val="21"/>
        </w:rPr>
      </w:pPr>
      <w:r>
        <w:rPr>
          <w:spacing w:val="-3"/>
          <w:sz w:val="21"/>
        </w:rPr>
        <w:t>会议通知公布前已报中国证监会备案。</w:t>
      </w:r>
    </w:p>
    <w:p>
      <w:pPr>
        <w:pStyle w:val="BodyText"/>
        <w:spacing w:before="7"/>
        <w:rPr>
          <w:sz w:val="15"/>
        </w:rPr>
      </w:pPr>
    </w:p>
    <w:p>
      <w:pPr>
        <w:pStyle w:val="BodyText"/>
        <w:spacing w:line="417" w:lineRule="auto"/>
        <w:ind w:left="778" w:right="888" w:firstLine="419"/>
        <w:jc w:val="both"/>
      </w:pPr>
      <w:r>
        <w:rPr>
          <w:spacing w:val="-7"/>
        </w:rPr>
        <w:t>如果开会条件达不到上述现场开会或通讯方式开会的条件，则对同一议题可履行再次开</w:t>
      </w:r>
      <w:r>
        <w:rPr>
          <w:spacing w:val="-10"/>
        </w:rPr>
        <w:t>会的程序，再次开会日期的提前通知期限为至少</w:t>
      </w:r>
      <w:r>
        <w:rPr>
          <w:rFonts w:ascii="Times New Roman" w:eastAsia="Times New Roman"/>
        </w:rPr>
        <w:t>10</w:t>
      </w:r>
      <w:r>
        <w:rPr>
          <w:spacing w:val="-8"/>
        </w:rPr>
        <w:t>天，但确定有权出席会议的基金份额持有</w:t>
      </w:r>
      <w:r>
        <w:rPr>
          <w:spacing w:val="-5"/>
        </w:rPr>
        <w:t>人资格的权利登记日不应发生变化。</w:t>
      </w:r>
    </w:p>
    <w:p>
      <w:pPr>
        <w:pStyle w:val="BodyText"/>
        <w:spacing w:line="269" w:lineRule="exact"/>
        <w:ind w:left="1198"/>
      </w:pPr>
      <w:r>
        <w:rPr/>
        <w:t>（五）议事内容与程序</w:t>
      </w:r>
    </w:p>
    <w:p>
      <w:pPr>
        <w:pStyle w:val="BodyText"/>
        <w:spacing w:before="7"/>
        <w:rPr>
          <w:sz w:val="15"/>
        </w:rPr>
      </w:pPr>
    </w:p>
    <w:p>
      <w:pPr>
        <w:pStyle w:val="BodyText"/>
        <w:ind w:left="1198"/>
      </w:pPr>
      <w:r>
        <w:rPr>
          <w:rFonts w:ascii="Times New Roman" w:eastAsia="Times New Roman"/>
        </w:rPr>
        <w:t>1</w:t>
      </w:r>
      <w:r>
        <w:rPr/>
        <w:t>、议事内容及提案权</w:t>
      </w:r>
    </w:p>
    <w:p>
      <w:pPr>
        <w:pStyle w:val="BodyText"/>
        <w:spacing w:before="6"/>
        <w:rPr>
          <w:sz w:val="15"/>
        </w:rPr>
      </w:pPr>
    </w:p>
    <w:p>
      <w:pPr>
        <w:pStyle w:val="BodyText"/>
        <w:spacing w:line="417" w:lineRule="auto" w:before="1"/>
        <w:ind w:left="778" w:right="889" w:firstLine="419"/>
        <w:jc w:val="both"/>
      </w:pPr>
      <w:r>
        <w:rPr>
          <w:spacing w:val="-7"/>
        </w:rPr>
        <w:t>议事内容为关系基金份额持有人利益的重大事项，如修改基金合同、更换基金管理人或</w:t>
      </w:r>
      <w:r>
        <w:rPr>
          <w:spacing w:val="-11"/>
        </w:rPr>
        <w:t>基金托管人、提高基金管理费率或基金托管费率、提前终止基金合同、与其他基金合并以及</w:t>
      </w:r>
      <w:r>
        <w:rPr>
          <w:spacing w:val="-6"/>
        </w:rPr>
        <w:t>召集人认为需提交基金份额持有人大会讨论的其他事项。</w:t>
      </w:r>
    </w:p>
    <w:p>
      <w:pPr>
        <w:pStyle w:val="BodyText"/>
        <w:ind w:left="1198"/>
      </w:pPr>
      <w:r>
        <w:rPr/>
        <w:t>基金份额持有人大会不得对未事先公告的议事内容进行表决。</w:t>
      </w:r>
    </w:p>
    <w:p>
      <w:pPr>
        <w:pStyle w:val="BodyText"/>
        <w:spacing w:before="6"/>
        <w:rPr>
          <w:sz w:val="15"/>
        </w:rPr>
      </w:pPr>
    </w:p>
    <w:p>
      <w:pPr>
        <w:pStyle w:val="BodyText"/>
        <w:ind w:left="1198"/>
      </w:pPr>
      <w:r>
        <w:rPr>
          <w:rFonts w:ascii="Times New Roman" w:eastAsia="Times New Roman"/>
        </w:rPr>
        <w:t>2</w:t>
      </w:r>
      <w:r>
        <w:rPr/>
        <w:t>、议事程序</w:t>
      </w:r>
    </w:p>
    <w:p>
      <w:pPr>
        <w:pStyle w:val="BodyText"/>
        <w:spacing w:before="7"/>
        <w:rPr>
          <w:sz w:val="15"/>
        </w:rPr>
      </w:pPr>
    </w:p>
    <w:p>
      <w:pPr>
        <w:pStyle w:val="ListParagraph"/>
        <w:numPr>
          <w:ilvl w:val="0"/>
          <w:numId w:val="36"/>
        </w:numPr>
        <w:tabs>
          <w:tab w:pos="1727" w:val="left" w:leader="none"/>
        </w:tabs>
        <w:spacing w:line="240" w:lineRule="auto" w:before="0" w:after="0"/>
        <w:ind w:left="1727" w:right="0" w:hanging="529"/>
        <w:jc w:val="left"/>
        <w:rPr>
          <w:sz w:val="21"/>
        </w:rPr>
      </w:pPr>
      <w:r>
        <w:rPr>
          <w:spacing w:val="-2"/>
          <w:sz w:val="21"/>
        </w:rPr>
        <w:t>现场开会</w:t>
      </w:r>
    </w:p>
    <w:p>
      <w:pPr>
        <w:pStyle w:val="BodyText"/>
        <w:spacing w:before="6"/>
        <w:rPr>
          <w:sz w:val="15"/>
        </w:rPr>
      </w:pPr>
    </w:p>
    <w:p>
      <w:pPr>
        <w:pStyle w:val="BodyText"/>
        <w:spacing w:line="417" w:lineRule="auto" w:before="1"/>
        <w:ind w:left="778" w:right="888" w:firstLine="419"/>
        <w:jc w:val="both"/>
      </w:pPr>
      <w:r>
        <w:rPr>
          <w:spacing w:val="-7"/>
        </w:rPr>
        <w:t>在现场开会的方式下，首先由大会主持人按照下列第</w:t>
      </w:r>
      <w:r>
        <w:rPr>
          <w:spacing w:val="-3"/>
        </w:rPr>
        <w:t>（</w:t>
      </w:r>
      <w:r>
        <w:rPr/>
        <w:t>七</w:t>
      </w:r>
      <w:r>
        <w:rPr>
          <w:spacing w:val="-32"/>
        </w:rPr>
        <w:t>）</w:t>
      </w:r>
      <w:r>
        <w:rPr>
          <w:spacing w:val="-3"/>
        </w:rPr>
        <w:t>款规定程序确定和公布监票</w:t>
      </w:r>
      <w:r>
        <w:rPr>
          <w:spacing w:val="-11"/>
        </w:rPr>
        <w:t>人，然后由大会主持人宣读提案，经讨论后进行表决，并形成大会决议。基金份额持有人大</w:t>
      </w:r>
      <w:r>
        <w:rPr>
          <w:spacing w:val="-12"/>
        </w:rPr>
        <w:t>会由基金管理人召集的，大会主持人为基金管理人授权出席会议的代表；基金份额持有人大会由基金托管人召集的，大会主持人为基金托管人授权出席会议的代表；基金份额持有人大</w:t>
      </w:r>
      <w:r>
        <w:rPr>
          <w:spacing w:val="-13"/>
        </w:rPr>
        <w:t>会由基金份额持有人召集的，大会主持人为召集基金份额持有人大会的基金份额持有人自行</w:t>
      </w:r>
      <w:r>
        <w:rPr>
          <w:spacing w:val="-12"/>
        </w:rPr>
        <w:t>选举的代表。如果大会主持人未能按前述规定确定，则由出席大会的基金份额持有人以所代</w:t>
      </w:r>
      <w:r>
        <w:rPr>
          <w:spacing w:val="-6"/>
        </w:rPr>
        <w:t>表的基金份额</w:t>
      </w:r>
      <w:r>
        <w:rPr>
          <w:rFonts w:ascii="Times New Roman" w:eastAsia="Times New Roman"/>
        </w:rPr>
        <w:t>50%</w:t>
      </w:r>
      <w:r>
        <w:rPr>
          <w:spacing w:val="-7"/>
        </w:rPr>
        <w:t>以上</w:t>
      </w:r>
      <w:r>
        <w:rPr>
          <w:spacing w:val="-3"/>
        </w:rPr>
        <w:t>（</w:t>
      </w:r>
      <w:r>
        <w:rPr/>
        <w:t>不含</w:t>
      </w:r>
      <w:r>
        <w:rPr>
          <w:rFonts w:ascii="Times New Roman" w:eastAsia="Times New Roman"/>
          <w:spacing w:val="-4"/>
        </w:rPr>
        <w:t>50%</w:t>
      </w:r>
      <w:r>
        <w:rPr>
          <w:spacing w:val="-4"/>
        </w:rPr>
        <w:t>）</w:t>
      </w:r>
      <w:r>
        <w:rPr>
          <w:spacing w:val="-3"/>
        </w:rPr>
        <w:t>多数选举产生一名基金份额持有人作为该次基金份额持有人大会的主持人。</w:t>
      </w:r>
    </w:p>
    <w:p>
      <w:pPr>
        <w:pStyle w:val="ListParagraph"/>
        <w:numPr>
          <w:ilvl w:val="0"/>
          <w:numId w:val="36"/>
        </w:numPr>
        <w:tabs>
          <w:tab w:pos="1727" w:val="left" w:leader="none"/>
        </w:tabs>
        <w:spacing w:line="268" w:lineRule="exact" w:before="0" w:after="0"/>
        <w:ind w:left="1727" w:right="0" w:hanging="529"/>
        <w:jc w:val="left"/>
        <w:rPr>
          <w:sz w:val="21"/>
        </w:rPr>
      </w:pPr>
      <w:r>
        <w:rPr>
          <w:spacing w:val="-3"/>
          <w:sz w:val="21"/>
        </w:rPr>
        <w:t>通讯方式开会</w:t>
      </w:r>
    </w:p>
    <w:p>
      <w:pPr>
        <w:pStyle w:val="BodyText"/>
        <w:spacing w:before="6"/>
        <w:rPr>
          <w:sz w:val="15"/>
        </w:rPr>
      </w:pPr>
    </w:p>
    <w:p>
      <w:pPr>
        <w:pStyle w:val="BodyText"/>
        <w:spacing w:line="417" w:lineRule="auto"/>
        <w:ind w:left="778" w:right="888" w:firstLine="419"/>
        <w:jc w:val="both"/>
      </w:pPr>
      <w:r>
        <w:rPr>
          <w:spacing w:val="-7"/>
        </w:rPr>
        <w:t>在通讯方式开会的情况下，由召集人至少提前</w:t>
      </w:r>
      <w:r>
        <w:rPr>
          <w:rFonts w:ascii="Times New Roman" w:eastAsia="Times New Roman"/>
        </w:rPr>
        <w:t>30</w:t>
      </w:r>
      <w:r>
        <w:rPr>
          <w:spacing w:val="-8"/>
        </w:rPr>
        <w:t>日公布提案，在所通知的表决截止日期</w:t>
      </w:r>
      <w:r>
        <w:rPr>
          <w:spacing w:val="-11"/>
        </w:rPr>
        <w:t>第二天统计全部有效表决，在公证机构及监督人的监督下形成决议。如监督人经通知但拒绝</w:t>
      </w:r>
      <w:r>
        <w:rPr>
          <w:spacing w:val="-6"/>
        </w:rPr>
        <w:t>到场监督，则在公证机构监督下形成的决议有效。</w:t>
      </w:r>
    </w:p>
    <w:p>
      <w:pPr>
        <w:spacing w:after="0" w:line="417" w:lineRule="auto"/>
        <w:jc w:val="both"/>
        <w:sectPr>
          <w:pgSz w:w="11910" w:h="16840"/>
          <w:pgMar w:header="877" w:footer="995" w:top="1280" w:bottom="1180" w:left="1020" w:right="900"/>
        </w:sectPr>
      </w:pPr>
    </w:p>
    <w:p>
      <w:pPr>
        <w:pStyle w:val="BodyText"/>
        <w:spacing w:before="7"/>
        <w:rPr>
          <w:sz w:val="12"/>
        </w:rPr>
      </w:pPr>
    </w:p>
    <w:p>
      <w:pPr>
        <w:pStyle w:val="BodyText"/>
        <w:spacing w:before="71"/>
        <w:ind w:left="1198"/>
      </w:pPr>
      <w:r>
        <w:rPr/>
        <w:t>（六）表决</w:t>
      </w:r>
    </w:p>
    <w:p>
      <w:pPr>
        <w:pStyle w:val="BodyText"/>
        <w:spacing w:before="7"/>
        <w:rPr>
          <w:sz w:val="15"/>
        </w:rPr>
      </w:pPr>
    </w:p>
    <w:p>
      <w:pPr>
        <w:pStyle w:val="BodyText"/>
        <w:ind w:left="1198"/>
      </w:pPr>
      <w:r>
        <w:rPr>
          <w:rFonts w:ascii="Times New Roman" w:eastAsia="Times New Roman"/>
        </w:rPr>
        <w:t>1</w:t>
      </w:r>
      <w:r>
        <w:rPr/>
        <w:t>、基金份额持有人所持每份基金份额有一票表决权。</w:t>
      </w:r>
    </w:p>
    <w:p>
      <w:pPr>
        <w:pStyle w:val="BodyText"/>
        <w:spacing w:before="7"/>
        <w:rPr>
          <w:sz w:val="15"/>
        </w:rPr>
      </w:pPr>
    </w:p>
    <w:p>
      <w:pPr>
        <w:pStyle w:val="BodyText"/>
        <w:ind w:left="1198"/>
      </w:pPr>
      <w:r>
        <w:rPr>
          <w:rFonts w:ascii="Times New Roman" w:eastAsia="Times New Roman"/>
        </w:rPr>
        <w:t>2</w:t>
      </w:r>
      <w:r>
        <w:rPr/>
        <w:t>、基金份额持有人大会决议分为一般决议和特别决议：</w:t>
      </w:r>
    </w:p>
    <w:p>
      <w:pPr>
        <w:pStyle w:val="BodyText"/>
        <w:spacing w:before="6"/>
        <w:rPr>
          <w:sz w:val="15"/>
        </w:rPr>
      </w:pPr>
    </w:p>
    <w:p>
      <w:pPr>
        <w:pStyle w:val="ListParagraph"/>
        <w:numPr>
          <w:ilvl w:val="0"/>
          <w:numId w:val="37"/>
        </w:numPr>
        <w:tabs>
          <w:tab w:pos="1730" w:val="left" w:leader="none"/>
        </w:tabs>
        <w:spacing w:line="417" w:lineRule="auto" w:before="1" w:after="0"/>
        <w:ind w:left="778" w:right="889" w:firstLine="419"/>
        <w:jc w:val="both"/>
        <w:rPr>
          <w:sz w:val="21"/>
        </w:rPr>
      </w:pPr>
      <w:r>
        <w:rPr>
          <w:sz w:val="21"/>
        </w:rPr>
        <w:t>一般决议。一般决议须经出席会议的基金份额持有人所持表决权的</w:t>
      </w:r>
      <w:r>
        <w:rPr>
          <w:rFonts w:ascii="Times New Roman" w:eastAsia="Times New Roman"/>
          <w:sz w:val="21"/>
        </w:rPr>
        <w:t>50%</w:t>
      </w:r>
      <w:r>
        <w:rPr>
          <w:sz w:val="21"/>
        </w:rPr>
        <w:t>以上（</w:t>
      </w:r>
      <w:r>
        <w:rPr>
          <w:spacing w:val="-15"/>
          <w:sz w:val="21"/>
        </w:rPr>
        <w:t>不</w:t>
      </w:r>
      <w:r>
        <w:rPr>
          <w:sz w:val="21"/>
        </w:rPr>
        <w:t>含</w:t>
      </w:r>
      <w:r>
        <w:rPr>
          <w:rFonts w:ascii="Times New Roman" w:eastAsia="Times New Roman"/>
          <w:sz w:val="21"/>
        </w:rPr>
        <w:t>50%</w:t>
      </w:r>
      <w:r>
        <w:rPr>
          <w:sz w:val="21"/>
        </w:rPr>
        <w:t>）多数通过方为有效；除下列（</w:t>
      </w:r>
      <w:r>
        <w:rPr>
          <w:rFonts w:ascii="Times New Roman" w:eastAsia="Times New Roman"/>
          <w:sz w:val="21"/>
        </w:rPr>
        <w:t>2</w:t>
      </w:r>
      <w:r>
        <w:rPr>
          <w:sz w:val="21"/>
        </w:rPr>
        <w:t>）</w:t>
      </w:r>
      <w:r>
        <w:rPr>
          <w:spacing w:val="-1"/>
          <w:sz w:val="21"/>
        </w:rPr>
        <w:t>所规定的须以特别决议通过事项以外的其他事项</w:t>
      </w:r>
      <w:r>
        <w:rPr>
          <w:spacing w:val="-3"/>
          <w:sz w:val="21"/>
        </w:rPr>
        <w:t>均以一般决议的方式通过。</w:t>
      </w:r>
    </w:p>
    <w:p>
      <w:pPr>
        <w:pStyle w:val="ListParagraph"/>
        <w:numPr>
          <w:ilvl w:val="0"/>
          <w:numId w:val="37"/>
        </w:numPr>
        <w:tabs>
          <w:tab w:pos="1727" w:val="left" w:leader="none"/>
        </w:tabs>
        <w:spacing w:line="417" w:lineRule="auto" w:before="0" w:after="0"/>
        <w:ind w:left="778" w:right="888" w:firstLine="419"/>
        <w:jc w:val="both"/>
        <w:rPr>
          <w:sz w:val="21"/>
        </w:rPr>
      </w:pPr>
      <w:r>
        <w:rPr>
          <w:spacing w:val="-6"/>
          <w:sz w:val="21"/>
        </w:rPr>
        <w:t>特别决议。特别决议须经出席会议的基金份额持有人所持表决权的</w:t>
      </w:r>
      <w:r>
        <w:rPr>
          <w:rFonts w:ascii="Times New Roman" w:eastAsia="Times New Roman"/>
          <w:sz w:val="21"/>
        </w:rPr>
        <w:t>2/3</w:t>
      </w:r>
      <w:r>
        <w:rPr>
          <w:spacing w:val="-3"/>
          <w:sz w:val="21"/>
        </w:rPr>
        <w:t>以上通过 </w:t>
      </w:r>
      <w:r>
        <w:rPr>
          <w:spacing w:val="-10"/>
          <w:sz w:val="21"/>
        </w:rPr>
        <w:t>方可作出。更换基金管理人、更换基金托管人、提前终止基金合同等重大事项必须以特别决</w:t>
      </w:r>
      <w:r>
        <w:rPr>
          <w:spacing w:val="-7"/>
          <w:sz w:val="21"/>
        </w:rPr>
        <w:t>议通过方为有效。</w:t>
      </w:r>
    </w:p>
    <w:p>
      <w:pPr>
        <w:pStyle w:val="BodyText"/>
        <w:ind w:left="1198"/>
      </w:pPr>
      <w:r>
        <w:rPr>
          <w:rFonts w:ascii="Times New Roman" w:eastAsia="Times New Roman"/>
        </w:rPr>
        <w:t>3</w:t>
      </w:r>
      <w:r>
        <w:rPr/>
        <w:t>、基金份额持有人大会采取记名方式进行投票表决。</w:t>
      </w:r>
    </w:p>
    <w:p>
      <w:pPr>
        <w:pStyle w:val="BodyText"/>
        <w:spacing w:before="6"/>
        <w:rPr>
          <w:sz w:val="15"/>
        </w:rPr>
      </w:pPr>
    </w:p>
    <w:p>
      <w:pPr>
        <w:pStyle w:val="BodyText"/>
        <w:spacing w:line="417" w:lineRule="auto"/>
        <w:ind w:left="778" w:right="889" w:firstLine="419"/>
      </w:pPr>
      <w:r>
        <w:rPr>
          <w:rFonts w:ascii="Times New Roman" w:eastAsia="Times New Roman"/>
        </w:rPr>
        <w:t>4</w:t>
      </w:r>
      <w:r>
        <w:rPr/>
        <w:t>、采取通讯方式进行表决时，除非有充分相反证据证明，否则其表面符合法律法规和会议通知规定的书面表决意见视为有效表决。意见模糊或相互矛盾的视为无效表决。</w:t>
      </w:r>
    </w:p>
    <w:p>
      <w:pPr>
        <w:pStyle w:val="BodyText"/>
        <w:spacing w:line="417" w:lineRule="auto"/>
        <w:ind w:left="778" w:right="889" w:firstLine="419"/>
      </w:pPr>
      <w:r>
        <w:rPr>
          <w:rFonts w:ascii="Times New Roman" w:eastAsia="Times New Roman"/>
        </w:rPr>
        <w:t>5</w:t>
      </w:r>
      <w:r>
        <w:rPr/>
        <w:t>、基金份额持有人大会的各项提案或同一项提案内并列的各项议题应当分开审议、逐项表决。</w:t>
      </w:r>
    </w:p>
    <w:p>
      <w:pPr>
        <w:pStyle w:val="BodyText"/>
        <w:ind w:left="1198"/>
      </w:pPr>
      <w:r>
        <w:rPr/>
        <w:t>（七）计票</w:t>
      </w:r>
    </w:p>
    <w:p>
      <w:pPr>
        <w:pStyle w:val="BodyText"/>
        <w:spacing w:before="6"/>
        <w:rPr>
          <w:sz w:val="15"/>
        </w:rPr>
      </w:pPr>
    </w:p>
    <w:p>
      <w:pPr>
        <w:pStyle w:val="BodyText"/>
        <w:ind w:left="1198"/>
      </w:pPr>
      <w:r>
        <w:rPr>
          <w:rFonts w:ascii="Times New Roman" w:eastAsia="Times New Roman"/>
        </w:rPr>
        <w:t>1</w:t>
      </w:r>
      <w:r>
        <w:rPr/>
        <w:t>、现场开会</w:t>
      </w:r>
    </w:p>
    <w:p>
      <w:pPr>
        <w:pStyle w:val="BodyText"/>
        <w:spacing w:before="7"/>
        <w:rPr>
          <w:sz w:val="15"/>
        </w:rPr>
      </w:pPr>
    </w:p>
    <w:p>
      <w:pPr>
        <w:pStyle w:val="ListParagraph"/>
        <w:numPr>
          <w:ilvl w:val="0"/>
          <w:numId w:val="38"/>
        </w:numPr>
        <w:tabs>
          <w:tab w:pos="1727" w:val="left" w:leader="none"/>
        </w:tabs>
        <w:spacing w:line="417" w:lineRule="auto" w:before="0" w:after="0"/>
        <w:ind w:left="778" w:right="889" w:firstLine="419"/>
        <w:jc w:val="both"/>
        <w:rPr>
          <w:sz w:val="21"/>
        </w:rPr>
      </w:pPr>
      <w:r>
        <w:rPr>
          <w:spacing w:val="-3"/>
          <w:sz w:val="21"/>
        </w:rPr>
        <w:t>如大会由基金管理人或基金托管人召集，基金份额持有人大会的主持人应当在会议开始后宣布在出席会议的基金份额持有人中选举两名基金份额持有人代表与大会召集人</w:t>
      </w:r>
      <w:r>
        <w:rPr>
          <w:spacing w:val="-8"/>
          <w:sz w:val="21"/>
        </w:rPr>
        <w:t>授权的一名监督员共同担任监票人；如大会由基金份额持有人自行召集，基金份额持有人大会的主持人应当在会议开始后宣布在出席会议的基金份额持有人中选举三名基金份额持有</w:t>
      </w:r>
      <w:r>
        <w:rPr>
          <w:spacing w:val="-5"/>
          <w:sz w:val="21"/>
        </w:rPr>
        <w:t>人代表担任监票人。</w:t>
      </w:r>
    </w:p>
    <w:p>
      <w:pPr>
        <w:pStyle w:val="ListParagraph"/>
        <w:numPr>
          <w:ilvl w:val="0"/>
          <w:numId w:val="38"/>
        </w:numPr>
        <w:tabs>
          <w:tab w:pos="1727" w:val="left" w:leader="none"/>
        </w:tabs>
        <w:spacing w:line="417" w:lineRule="auto" w:before="0" w:after="0"/>
        <w:ind w:left="778" w:right="889" w:firstLine="419"/>
        <w:jc w:val="left"/>
        <w:rPr>
          <w:sz w:val="21"/>
        </w:rPr>
      </w:pPr>
      <w:r>
        <w:rPr>
          <w:spacing w:val="-3"/>
          <w:sz w:val="21"/>
        </w:rPr>
        <w:t>监票人应当在基金份额持有人表决后立即进行清点并由大会主持人当场公布计票结果。</w:t>
      </w:r>
    </w:p>
    <w:p>
      <w:pPr>
        <w:pStyle w:val="ListParagraph"/>
        <w:numPr>
          <w:ilvl w:val="0"/>
          <w:numId w:val="38"/>
        </w:numPr>
        <w:tabs>
          <w:tab w:pos="1727" w:val="left" w:leader="none"/>
        </w:tabs>
        <w:spacing w:line="417" w:lineRule="auto" w:before="0" w:after="0"/>
        <w:ind w:left="778" w:right="888" w:firstLine="419"/>
        <w:jc w:val="both"/>
        <w:rPr>
          <w:sz w:val="21"/>
        </w:rPr>
      </w:pPr>
      <w:r>
        <w:rPr>
          <w:spacing w:val="-3"/>
          <w:sz w:val="21"/>
        </w:rPr>
        <w:t>如果会议主持人对于提交的表决结果有怀疑，可以对所投票数进行重新清点；如</w:t>
      </w:r>
      <w:r>
        <w:rPr>
          <w:spacing w:val="-10"/>
          <w:sz w:val="21"/>
        </w:rPr>
        <w:t>果会议主持人未进行重新清点，而出席会议的基金份额持有人或者基金份额持有人代理人对会议主持人宣布的表决结果有异议，有权在宣布表决结果后立即要求重新清点，会议主持人</w:t>
      </w:r>
      <w:r>
        <w:rPr>
          <w:spacing w:val="-5"/>
          <w:sz w:val="21"/>
        </w:rPr>
        <w:t>应当立即重新清点并公布重新清点结果。</w:t>
      </w:r>
    </w:p>
    <w:p>
      <w:pPr>
        <w:pStyle w:val="BodyText"/>
        <w:spacing w:line="268" w:lineRule="exact"/>
        <w:ind w:left="1198"/>
      </w:pPr>
      <w:r>
        <w:rPr>
          <w:rFonts w:ascii="Times New Roman" w:eastAsia="Times New Roman"/>
        </w:rPr>
        <w:t>2</w:t>
      </w:r>
      <w:r>
        <w:rPr/>
        <w:t>、通讯方式开会</w:t>
      </w:r>
    </w:p>
    <w:p>
      <w:pPr>
        <w:pStyle w:val="BodyText"/>
        <w:spacing w:before="6"/>
        <w:rPr>
          <w:sz w:val="15"/>
        </w:rPr>
      </w:pPr>
    </w:p>
    <w:p>
      <w:pPr>
        <w:pStyle w:val="BodyText"/>
        <w:spacing w:line="417" w:lineRule="auto" w:before="1"/>
        <w:ind w:left="778" w:right="889" w:firstLine="419"/>
      </w:pPr>
      <w:r>
        <w:rPr>
          <w:spacing w:val="-10"/>
        </w:rPr>
        <w:t>在通讯方式开会的情况下，计票方式为：由大会召集人授权的两名监督员在监督人派出的授权代表的监督下进行计票，并由公证机构对其计票过程予以公证；如监督人经通知但拒</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89"/>
      </w:pPr>
      <w:r>
        <w:rPr>
          <w:spacing w:val="-10"/>
        </w:rPr>
        <w:t>绝到场监督，则大会召集人可自行授权三名监督员进行计票，并由公证机构对其计票过程予</w:t>
      </w:r>
      <w:r>
        <w:rPr>
          <w:spacing w:val="-6"/>
        </w:rPr>
        <w:t>以公证。</w:t>
      </w:r>
    </w:p>
    <w:p>
      <w:pPr>
        <w:pStyle w:val="BodyText"/>
        <w:spacing w:line="269" w:lineRule="exact"/>
        <w:ind w:left="1198"/>
      </w:pPr>
      <w:r>
        <w:rPr/>
        <w:t>（八）生效与公告</w:t>
      </w:r>
    </w:p>
    <w:p>
      <w:pPr>
        <w:pStyle w:val="BodyText"/>
        <w:spacing w:before="7"/>
        <w:rPr>
          <w:sz w:val="15"/>
        </w:rPr>
      </w:pPr>
    </w:p>
    <w:p>
      <w:pPr>
        <w:pStyle w:val="BodyText"/>
        <w:spacing w:line="417" w:lineRule="auto"/>
        <w:ind w:left="778" w:right="888" w:firstLine="419"/>
        <w:jc w:val="both"/>
      </w:pPr>
      <w:r>
        <w:rPr>
          <w:spacing w:val="-3"/>
        </w:rPr>
        <w:t>基金份额持有人大会表决通过的事项，召集人应当自通过之日起</w:t>
      </w:r>
      <w:r>
        <w:rPr>
          <w:rFonts w:ascii="Times New Roman" w:eastAsia="Times New Roman"/>
        </w:rPr>
        <w:t>5</w:t>
      </w:r>
      <w:r>
        <w:rPr>
          <w:spacing w:val="-3"/>
        </w:rPr>
        <w:t>日内报中国证监会核</w:t>
      </w:r>
      <w:r>
        <w:rPr>
          <w:spacing w:val="-12"/>
        </w:rPr>
        <w:t>准或者备案。基金份额持有人大会决定的事项自中国证监会依法核准或者出具无异议意见之</w:t>
      </w:r>
      <w:r>
        <w:rPr>
          <w:spacing w:val="-6"/>
        </w:rPr>
        <w:t>日起生效。</w:t>
      </w:r>
    </w:p>
    <w:p>
      <w:pPr>
        <w:pStyle w:val="BodyText"/>
        <w:spacing w:line="417" w:lineRule="auto"/>
        <w:ind w:left="778" w:right="889" w:firstLine="419"/>
        <w:jc w:val="both"/>
      </w:pPr>
      <w:r>
        <w:rPr>
          <w:spacing w:val="-3"/>
        </w:rPr>
        <w:t>基金份额持有人大会决议自生效之日起</w:t>
      </w:r>
      <w:r>
        <w:rPr>
          <w:rFonts w:ascii="Times New Roman" w:eastAsia="Times New Roman"/>
        </w:rPr>
        <w:t>5</w:t>
      </w:r>
      <w:r>
        <w:rPr>
          <w:spacing w:val="-3"/>
        </w:rPr>
        <w:t>个工作日内在至少一种中国证监会指定媒介公</w:t>
      </w:r>
      <w:r>
        <w:rPr>
          <w:spacing w:val="-11"/>
        </w:rPr>
        <w:t>告。采用通讯方式召开基金份额持有人大会的，应在公告基金份额持有人大会决议时公告公</w:t>
      </w:r>
      <w:r>
        <w:rPr>
          <w:spacing w:val="-6"/>
        </w:rPr>
        <w:t>证书全文、公证机关及公证员姓名。</w:t>
      </w:r>
    </w:p>
    <w:p>
      <w:pPr>
        <w:pStyle w:val="BodyText"/>
        <w:spacing w:line="417" w:lineRule="auto"/>
        <w:ind w:left="778" w:right="890" w:firstLine="419"/>
      </w:pPr>
      <w:r>
        <w:rPr/>
        <w:t>基金管理人、基金托管人和基金份额持有人应当执行生效的基金份额持有人大会的决定。</w:t>
      </w:r>
    </w:p>
    <w:p>
      <w:pPr>
        <w:pStyle w:val="BodyText"/>
        <w:spacing w:line="417" w:lineRule="auto"/>
        <w:ind w:left="1198" w:right="1009"/>
      </w:pPr>
      <w:r>
        <w:rPr/>
        <w:t>（九）法律法规或监管机关对基金份额持有人大会有关事项另有规定的，从其规定。二十九、争议处理</w:t>
      </w:r>
    </w:p>
    <w:p>
      <w:pPr>
        <w:pStyle w:val="BodyText"/>
        <w:spacing w:line="269" w:lineRule="exact"/>
        <w:ind w:left="1198"/>
      </w:pPr>
      <w:r>
        <w:rPr/>
        <w:t>本基金合同受中华人民共和国法律管辖。</w:t>
      </w:r>
    </w:p>
    <w:p>
      <w:pPr>
        <w:pStyle w:val="BodyText"/>
        <w:spacing w:before="6"/>
        <w:rPr>
          <w:sz w:val="15"/>
        </w:rPr>
      </w:pPr>
    </w:p>
    <w:p>
      <w:pPr>
        <w:pStyle w:val="BodyText"/>
        <w:spacing w:line="417" w:lineRule="auto"/>
        <w:ind w:left="778" w:right="800" w:firstLine="419"/>
      </w:pPr>
      <w:r>
        <w:rPr/>
        <w:t>本基金合同各方当事人因基金合同而产生的或与基金合同有关的一切争议应当通过协 </w:t>
      </w:r>
      <w:r>
        <w:rPr>
          <w:spacing w:val="-3"/>
        </w:rPr>
        <w:t>商或者调解解决，协商或者调解不能解决的，可将争议提交中国国际经济贸易仲裁委员会， </w:t>
      </w:r>
      <w:r>
        <w:rPr>
          <w:spacing w:val="-7"/>
        </w:rPr>
        <w:t>根据提交仲裁时该会的仲裁规则进行仲裁，仲裁地点为北京。仲裁裁决是终局的，对仲裁各</w:t>
      </w:r>
      <w:r>
        <w:rPr>
          <w:spacing w:val="-5"/>
        </w:rPr>
        <w:t>方当事人均具有约束力。</w:t>
      </w:r>
    </w:p>
    <w:p>
      <w:pPr>
        <w:pStyle w:val="BodyText"/>
        <w:spacing w:line="268" w:lineRule="exact"/>
        <w:ind w:left="1198"/>
      </w:pPr>
      <w:r>
        <w:rPr/>
        <w:t>三十一、基金合同的修改与终止</w:t>
      </w:r>
    </w:p>
    <w:p>
      <w:pPr>
        <w:pStyle w:val="BodyText"/>
        <w:spacing w:before="7"/>
        <w:rPr>
          <w:sz w:val="15"/>
        </w:rPr>
      </w:pPr>
    </w:p>
    <w:p>
      <w:pPr>
        <w:pStyle w:val="BodyText"/>
        <w:ind w:left="1198"/>
      </w:pPr>
      <w:r>
        <w:rPr/>
        <w:t>（一）基金合同的修改</w:t>
      </w:r>
    </w:p>
    <w:p>
      <w:pPr>
        <w:pStyle w:val="BodyText"/>
        <w:spacing w:before="7"/>
        <w:rPr>
          <w:sz w:val="15"/>
        </w:rPr>
      </w:pPr>
    </w:p>
    <w:p>
      <w:pPr>
        <w:pStyle w:val="BodyText"/>
        <w:ind w:left="1198"/>
      </w:pPr>
      <w:r>
        <w:rPr>
          <w:rFonts w:ascii="Times New Roman" w:eastAsia="Times New Roman"/>
        </w:rPr>
        <w:t>1</w:t>
      </w:r>
      <w:r>
        <w:rPr/>
        <w:t>、本基金合同的修改需经包括基金管理人和基金托管人在内的各方当事人同意。</w:t>
      </w:r>
    </w:p>
    <w:p>
      <w:pPr>
        <w:pStyle w:val="BodyText"/>
        <w:spacing w:before="7"/>
        <w:rPr>
          <w:sz w:val="15"/>
        </w:rPr>
      </w:pPr>
    </w:p>
    <w:p>
      <w:pPr>
        <w:pStyle w:val="BodyText"/>
        <w:spacing w:line="417" w:lineRule="auto"/>
        <w:ind w:left="778" w:right="800" w:firstLine="419"/>
      </w:pPr>
      <w:r>
        <w:rPr>
          <w:rFonts w:ascii="Times New Roman" w:eastAsia="Times New Roman"/>
        </w:rPr>
        <w:t>2</w:t>
      </w:r>
      <w:r>
        <w:rPr>
          <w:spacing w:val="-3"/>
        </w:rPr>
        <w:t>、修改基金合同应经基金份额持有人大会决议通过，并报中国证监会批准，自批准之日起生效。但如因相应的法律、法规发生变动并属于本基金合同必须遵照进行修改的情形， 或者基金合同的修改不涉及本基金合同当事人权利义务关系发生变化或对基金份额持有人 </w:t>
      </w:r>
      <w:r>
        <w:rPr>
          <w:spacing w:val="-9"/>
        </w:rPr>
        <w:t>利益无实质性不利影响的，可不经基金份额持有人大会决议，而经基金管理人和基金托管人</w:t>
      </w:r>
      <w:r>
        <w:rPr>
          <w:spacing w:val="-5"/>
        </w:rPr>
        <w:t>同意修改后公布，并报中国证监会备案。</w:t>
      </w:r>
    </w:p>
    <w:p>
      <w:pPr>
        <w:pStyle w:val="BodyText"/>
        <w:spacing w:line="268" w:lineRule="exact"/>
        <w:ind w:left="1198"/>
      </w:pPr>
      <w:r>
        <w:rPr/>
        <w:t>（二）基金合同的终止</w:t>
      </w:r>
    </w:p>
    <w:p>
      <w:pPr>
        <w:pStyle w:val="BodyText"/>
        <w:spacing w:before="7"/>
        <w:rPr>
          <w:sz w:val="15"/>
        </w:rPr>
      </w:pPr>
    </w:p>
    <w:p>
      <w:pPr>
        <w:pStyle w:val="BodyText"/>
        <w:ind w:left="1198"/>
      </w:pPr>
      <w:r>
        <w:rPr>
          <w:rFonts w:ascii="Times New Roman" w:eastAsia="Times New Roman"/>
        </w:rPr>
        <w:t>1</w:t>
      </w:r>
      <w:r>
        <w:rPr/>
        <w:t>、出现下列情况之一的，本基金合同经中国证监会批准后终止：</w:t>
      </w:r>
    </w:p>
    <w:p>
      <w:pPr>
        <w:pStyle w:val="BodyText"/>
        <w:spacing w:before="7"/>
        <w:rPr>
          <w:sz w:val="15"/>
        </w:rPr>
      </w:pPr>
    </w:p>
    <w:p>
      <w:pPr>
        <w:pStyle w:val="ListParagraph"/>
        <w:numPr>
          <w:ilvl w:val="0"/>
          <w:numId w:val="39"/>
        </w:numPr>
        <w:tabs>
          <w:tab w:pos="1727" w:val="left" w:leader="none"/>
        </w:tabs>
        <w:spacing w:line="417" w:lineRule="auto" w:before="0" w:after="0"/>
        <w:ind w:left="778" w:right="888" w:firstLine="419"/>
        <w:jc w:val="left"/>
        <w:rPr>
          <w:sz w:val="21"/>
        </w:rPr>
      </w:pPr>
      <w:r>
        <w:rPr>
          <w:spacing w:val="-7"/>
          <w:sz w:val="21"/>
        </w:rPr>
        <w:t>存续期间内，基金份额持有人数量连续</w:t>
      </w:r>
      <w:r>
        <w:rPr>
          <w:rFonts w:ascii="Times New Roman" w:eastAsia="Times New Roman"/>
          <w:sz w:val="21"/>
        </w:rPr>
        <w:t>60</w:t>
      </w:r>
      <w:r>
        <w:rPr>
          <w:spacing w:val="-3"/>
          <w:sz w:val="21"/>
        </w:rPr>
        <w:t>个工作日达不到</w:t>
      </w:r>
      <w:r>
        <w:rPr>
          <w:rFonts w:ascii="Times New Roman" w:eastAsia="Times New Roman"/>
          <w:sz w:val="21"/>
        </w:rPr>
        <w:t>100</w:t>
      </w:r>
      <w:r>
        <w:rPr>
          <w:spacing w:val="-8"/>
          <w:sz w:val="21"/>
        </w:rPr>
        <w:t>人，或连续</w:t>
      </w:r>
      <w:r>
        <w:rPr>
          <w:rFonts w:ascii="Times New Roman" w:eastAsia="Times New Roman"/>
          <w:sz w:val="21"/>
        </w:rPr>
        <w:t>60</w:t>
      </w:r>
      <w:r>
        <w:rPr>
          <w:spacing w:val="-2"/>
          <w:sz w:val="21"/>
        </w:rPr>
        <w:t>个工 </w:t>
      </w:r>
      <w:r>
        <w:rPr>
          <w:spacing w:val="-3"/>
          <w:sz w:val="21"/>
        </w:rPr>
        <w:t>作日基金资产净值低于人民币</w:t>
      </w:r>
      <w:r>
        <w:rPr>
          <w:rFonts w:ascii="Times New Roman" w:eastAsia="Times New Roman"/>
          <w:sz w:val="21"/>
        </w:rPr>
        <w:t>5000</w:t>
      </w:r>
      <w:r>
        <w:rPr>
          <w:spacing w:val="-3"/>
          <w:sz w:val="21"/>
        </w:rPr>
        <w:t>万元，基金管理人宣布本基金终止。</w:t>
      </w:r>
    </w:p>
    <w:p>
      <w:pPr>
        <w:spacing w:after="0" w:line="417" w:lineRule="auto"/>
        <w:jc w:val="left"/>
        <w:rPr>
          <w:sz w:val="21"/>
        </w:rPr>
        <w:sectPr>
          <w:footerReference w:type="default" r:id="rId217"/>
          <w:pgSz w:w="11910" w:h="16840"/>
          <w:pgMar w:footer="995" w:header="877" w:top="1280" w:bottom="1180" w:left="1020" w:right="900"/>
        </w:sectPr>
      </w:pPr>
    </w:p>
    <w:p>
      <w:pPr>
        <w:pStyle w:val="BodyText"/>
        <w:rPr>
          <w:sz w:val="12"/>
        </w:rPr>
      </w:pPr>
    </w:p>
    <w:p>
      <w:pPr>
        <w:pStyle w:val="ListParagraph"/>
        <w:numPr>
          <w:ilvl w:val="0"/>
          <w:numId w:val="39"/>
        </w:numPr>
        <w:tabs>
          <w:tab w:pos="1727" w:val="left" w:leader="none"/>
        </w:tabs>
        <w:spacing w:line="240" w:lineRule="auto" w:before="78" w:after="0"/>
        <w:ind w:left="1727" w:right="0" w:hanging="529"/>
        <w:jc w:val="left"/>
        <w:rPr>
          <w:sz w:val="21"/>
        </w:rPr>
      </w:pPr>
      <w:r>
        <w:rPr>
          <w:spacing w:val="-3"/>
          <w:sz w:val="21"/>
        </w:rPr>
        <w:t>基金经基金份额持有人大会表决终止。</w:t>
      </w:r>
    </w:p>
    <w:p>
      <w:pPr>
        <w:pStyle w:val="BodyText"/>
        <w:spacing w:before="7"/>
        <w:rPr>
          <w:sz w:val="15"/>
        </w:rPr>
      </w:pPr>
    </w:p>
    <w:p>
      <w:pPr>
        <w:pStyle w:val="ListParagraph"/>
        <w:numPr>
          <w:ilvl w:val="0"/>
          <w:numId w:val="39"/>
        </w:numPr>
        <w:tabs>
          <w:tab w:pos="1727" w:val="left" w:leader="none"/>
        </w:tabs>
        <w:spacing w:line="240" w:lineRule="auto" w:before="0" w:after="0"/>
        <w:ind w:left="1727" w:right="0" w:hanging="529"/>
        <w:jc w:val="left"/>
        <w:rPr>
          <w:sz w:val="21"/>
        </w:rPr>
      </w:pPr>
      <w:r>
        <w:rPr>
          <w:spacing w:val="-3"/>
          <w:sz w:val="21"/>
        </w:rPr>
        <w:t>因重大违法行为，基金被中国证监会责令终止。</w:t>
      </w:r>
    </w:p>
    <w:p>
      <w:pPr>
        <w:pStyle w:val="BodyText"/>
        <w:spacing w:before="7"/>
        <w:rPr>
          <w:sz w:val="15"/>
        </w:rPr>
      </w:pPr>
    </w:p>
    <w:p>
      <w:pPr>
        <w:pStyle w:val="ListParagraph"/>
        <w:numPr>
          <w:ilvl w:val="0"/>
          <w:numId w:val="39"/>
        </w:numPr>
        <w:tabs>
          <w:tab w:pos="1727" w:val="left" w:leader="none"/>
        </w:tabs>
        <w:spacing w:line="417" w:lineRule="auto" w:before="0" w:after="0"/>
        <w:ind w:left="778" w:right="889" w:firstLine="419"/>
        <w:jc w:val="left"/>
        <w:rPr>
          <w:sz w:val="21"/>
        </w:rPr>
      </w:pPr>
      <w:r>
        <w:rPr>
          <w:spacing w:val="-3"/>
          <w:sz w:val="21"/>
        </w:rPr>
        <w:t>基金管理人因解散、破产、撤销等事由，不能继续担任本基金的管理人，而无其他适当的基金管理机构承接其权利及义务。</w:t>
      </w:r>
    </w:p>
    <w:p>
      <w:pPr>
        <w:pStyle w:val="ListParagraph"/>
        <w:numPr>
          <w:ilvl w:val="0"/>
          <w:numId w:val="39"/>
        </w:numPr>
        <w:tabs>
          <w:tab w:pos="1727" w:val="left" w:leader="none"/>
        </w:tabs>
        <w:spacing w:line="417" w:lineRule="auto" w:before="0" w:after="0"/>
        <w:ind w:left="778" w:right="889" w:firstLine="419"/>
        <w:jc w:val="left"/>
        <w:rPr>
          <w:sz w:val="21"/>
        </w:rPr>
      </w:pPr>
      <w:r>
        <w:rPr>
          <w:spacing w:val="-3"/>
          <w:sz w:val="21"/>
        </w:rPr>
        <w:t>基金托管人因解散、破产、撤销等事由，不能继续担任本基金的托管人，而无其他适当的托管机构承接其权利及义务。</w:t>
      </w:r>
    </w:p>
    <w:p>
      <w:pPr>
        <w:pStyle w:val="ListParagraph"/>
        <w:numPr>
          <w:ilvl w:val="0"/>
          <w:numId w:val="39"/>
        </w:numPr>
        <w:tabs>
          <w:tab w:pos="1727" w:val="left" w:leader="none"/>
        </w:tabs>
        <w:spacing w:line="269" w:lineRule="exact" w:before="0" w:after="0"/>
        <w:ind w:left="1727" w:right="0" w:hanging="529"/>
        <w:jc w:val="left"/>
        <w:rPr>
          <w:sz w:val="21"/>
        </w:rPr>
      </w:pPr>
      <w:r>
        <w:rPr>
          <w:spacing w:val="-3"/>
          <w:sz w:val="21"/>
        </w:rPr>
        <w:t>由于投资方向变更引起的基金合并、撤销。</w:t>
      </w:r>
    </w:p>
    <w:p>
      <w:pPr>
        <w:pStyle w:val="BodyText"/>
        <w:spacing w:before="7"/>
        <w:rPr>
          <w:sz w:val="15"/>
        </w:rPr>
      </w:pPr>
    </w:p>
    <w:p>
      <w:pPr>
        <w:pStyle w:val="ListParagraph"/>
        <w:numPr>
          <w:ilvl w:val="0"/>
          <w:numId w:val="39"/>
        </w:numPr>
        <w:tabs>
          <w:tab w:pos="1727" w:val="left" w:leader="none"/>
        </w:tabs>
        <w:spacing w:line="240" w:lineRule="auto" w:before="0" w:after="0"/>
        <w:ind w:left="1727" w:right="0" w:hanging="529"/>
        <w:jc w:val="left"/>
        <w:rPr>
          <w:sz w:val="21"/>
        </w:rPr>
      </w:pPr>
      <w:r>
        <w:rPr>
          <w:spacing w:val="-3"/>
          <w:sz w:val="21"/>
        </w:rPr>
        <w:t>法律法规或中国证监会允许的其他情况。</w:t>
      </w:r>
    </w:p>
    <w:p>
      <w:pPr>
        <w:pStyle w:val="BodyText"/>
        <w:spacing w:before="6"/>
        <w:rPr>
          <w:sz w:val="15"/>
        </w:rPr>
      </w:pPr>
    </w:p>
    <w:p>
      <w:pPr>
        <w:pStyle w:val="BodyText"/>
        <w:spacing w:line="417" w:lineRule="auto" w:before="1"/>
        <w:ind w:left="778" w:right="889" w:firstLine="419"/>
      </w:pPr>
      <w:r>
        <w:rPr>
          <w:rFonts w:ascii="Times New Roman" w:eastAsia="Times New Roman"/>
        </w:rPr>
        <w:t>2</w:t>
      </w:r>
      <w:r>
        <w:rPr/>
        <w:t>、基金合同的终止。本基金终止后，须按法律法规和本基金合同对基金进行清算。中国证监会对清算结果批准并予以公告后本基金合同终止。</w:t>
      </w:r>
    </w:p>
    <w:p>
      <w:pPr>
        <w:pStyle w:val="BodyText"/>
        <w:spacing w:line="269" w:lineRule="exact"/>
        <w:ind w:left="1198"/>
      </w:pPr>
      <w:r>
        <w:rPr/>
        <w:t>三十、基金合同的效力</w:t>
      </w:r>
    </w:p>
    <w:p>
      <w:pPr>
        <w:pStyle w:val="BodyText"/>
        <w:spacing w:before="6"/>
        <w:rPr>
          <w:sz w:val="15"/>
        </w:rPr>
      </w:pPr>
    </w:p>
    <w:p>
      <w:pPr>
        <w:pStyle w:val="BodyText"/>
        <w:spacing w:line="417" w:lineRule="auto"/>
        <w:ind w:left="778" w:right="889" w:firstLine="419"/>
        <w:jc w:val="both"/>
      </w:pPr>
      <w:r>
        <w:rPr/>
        <w:t>（</w:t>
      </w:r>
      <w:r>
        <w:rPr>
          <w:spacing w:val="-3"/>
        </w:rPr>
        <w:t>四</w:t>
      </w:r>
      <w:r>
        <w:rPr>
          <w:spacing w:val="-22"/>
        </w:rPr>
        <w:t>）</w:t>
      </w:r>
      <w:r>
        <w:rPr>
          <w:spacing w:val="-7"/>
        </w:rPr>
        <w:t>本基金合同可印制成册，供投资者在基金管理人、基金托管人、销售代理人的办</w:t>
      </w:r>
      <w:r>
        <w:rPr>
          <w:spacing w:val="-11"/>
        </w:rPr>
        <w:t>公场所和营业场所查阅；投资者也可按工本费购买本基金合同复制件或复印件，但内容应以</w:t>
      </w:r>
      <w:r>
        <w:rPr>
          <w:spacing w:val="-6"/>
        </w:rPr>
        <w:t>本基金合同正本为准。</w:t>
      </w:r>
    </w:p>
    <w:p>
      <w:pPr>
        <w:pStyle w:val="BodyText"/>
        <w:spacing w:line="417" w:lineRule="auto"/>
        <w:ind w:left="778" w:right="889" w:firstLine="419"/>
      </w:pPr>
      <w:r>
        <w:rPr>
          <w:spacing w:val="-9"/>
        </w:rPr>
        <w:t>依法必须披露的信息发布后，基金管理人、基金托管人应当按照相关法律法规规定将信</w:t>
      </w:r>
      <w:r>
        <w:rPr>
          <w:spacing w:val="-5"/>
        </w:rPr>
        <w:t>息置备于公司住所，供社会公众查阅、复制。”</w:t>
      </w:r>
    </w:p>
    <w:p>
      <w:pPr>
        <w:pStyle w:val="BodyText"/>
        <w:spacing w:before="5"/>
        <w:rPr>
          <w:sz w:val="20"/>
        </w:rPr>
      </w:pPr>
    </w:p>
    <w:p>
      <w:pPr>
        <w:pStyle w:val="Heading1"/>
      </w:pPr>
      <w:bookmarkStart w:name="_bookmark21" w:id="22"/>
      <w:bookmarkEnd w:id="22"/>
      <w:r>
        <w:rPr>
          <w:b w:val="0"/>
        </w:rPr>
      </w:r>
      <w:r>
        <w:rPr/>
        <w:t>二十二、基金托管协议的内容摘要</w:t>
      </w:r>
    </w:p>
    <w:p>
      <w:pPr>
        <w:pStyle w:val="BodyText"/>
        <w:rPr>
          <w:b/>
          <w:sz w:val="20"/>
        </w:rPr>
      </w:pPr>
    </w:p>
    <w:p>
      <w:pPr>
        <w:pStyle w:val="BodyText"/>
        <w:spacing w:before="7"/>
        <w:rPr>
          <w:b/>
          <w:sz w:val="15"/>
        </w:rPr>
      </w:pPr>
    </w:p>
    <w:p>
      <w:pPr>
        <w:pStyle w:val="BodyText"/>
        <w:spacing w:line="417" w:lineRule="auto"/>
        <w:ind w:left="1198" w:right="3635"/>
      </w:pPr>
      <w:r>
        <w:rPr>
          <w:spacing w:val="-9"/>
        </w:rPr>
        <w:t>以下内容摘自《华夏现金增利证券投资基金托管协议》： </w:t>
      </w:r>
      <w:r>
        <w:rPr>
          <w:spacing w:val="-3"/>
        </w:rPr>
        <w:t>“一、托管协议当事人</w:t>
      </w:r>
    </w:p>
    <w:p>
      <w:pPr>
        <w:pStyle w:val="BodyText"/>
        <w:spacing w:line="269" w:lineRule="exact"/>
        <w:ind w:left="1198"/>
      </w:pPr>
      <w:r>
        <w:rPr/>
        <w:t>（一）基金管理人</w:t>
      </w:r>
    </w:p>
    <w:p>
      <w:pPr>
        <w:pStyle w:val="BodyText"/>
        <w:spacing w:before="8"/>
        <w:rPr>
          <w:sz w:val="15"/>
        </w:rPr>
      </w:pPr>
    </w:p>
    <w:p>
      <w:pPr>
        <w:pStyle w:val="BodyText"/>
        <w:ind w:left="1198"/>
      </w:pPr>
      <w:r>
        <w:rPr/>
        <w:t>名称：华夏基金管理有限公司</w:t>
      </w:r>
    </w:p>
    <w:p>
      <w:pPr>
        <w:pStyle w:val="BodyText"/>
        <w:spacing w:before="6"/>
        <w:rPr>
          <w:sz w:val="15"/>
        </w:rPr>
      </w:pPr>
    </w:p>
    <w:p>
      <w:pPr>
        <w:pStyle w:val="BodyText"/>
        <w:spacing w:line="417" w:lineRule="auto" w:before="1"/>
        <w:ind w:left="1198" w:right="5320"/>
      </w:pPr>
      <w:r>
        <w:rPr/>
        <w:t>住所：北京市顺义区安庆大街甲</w:t>
      </w:r>
      <w:r>
        <w:rPr>
          <w:rFonts w:ascii="Times New Roman" w:eastAsia="Times New Roman"/>
        </w:rPr>
        <w:t>3</w:t>
      </w:r>
      <w:r>
        <w:rPr/>
        <w:t>号院法定代表人：杨明辉</w:t>
      </w:r>
    </w:p>
    <w:p>
      <w:pPr>
        <w:pStyle w:val="BodyText"/>
        <w:spacing w:line="269" w:lineRule="exact"/>
        <w:ind w:left="1198"/>
      </w:pPr>
      <w:r>
        <w:rPr/>
        <w:t>成立时间：</w:t>
      </w:r>
      <w:r>
        <w:rPr>
          <w:rFonts w:ascii="Times New Roman" w:eastAsia="Times New Roman"/>
        </w:rPr>
        <w:t>1998</w:t>
      </w:r>
      <w:r>
        <w:rPr/>
        <w:t>年</w:t>
      </w:r>
      <w:r>
        <w:rPr>
          <w:rFonts w:ascii="Times New Roman" w:eastAsia="Times New Roman"/>
        </w:rPr>
        <w:t>4</w:t>
      </w:r>
      <w:r>
        <w:rPr/>
        <w:t>月</w:t>
      </w:r>
      <w:r>
        <w:rPr>
          <w:rFonts w:ascii="Times New Roman" w:eastAsia="Times New Roman"/>
        </w:rPr>
        <w:t>9</w:t>
      </w:r>
      <w:r>
        <w:rPr/>
        <w:t>日</w:t>
      </w:r>
    </w:p>
    <w:p>
      <w:pPr>
        <w:pStyle w:val="BodyText"/>
        <w:spacing w:before="6"/>
        <w:rPr>
          <w:sz w:val="15"/>
        </w:rPr>
      </w:pPr>
    </w:p>
    <w:p>
      <w:pPr>
        <w:pStyle w:val="BodyText"/>
        <w:spacing w:line="417" w:lineRule="auto"/>
        <w:ind w:left="1198" w:right="2763"/>
      </w:pPr>
      <w:r>
        <w:rPr/>
        <w:t>批准设立机关及批准设立文号：中国证监会证监基字</w:t>
      </w:r>
      <w:r>
        <w:rPr>
          <w:rFonts w:ascii="Times New Roman" w:eastAsia="Times New Roman"/>
        </w:rPr>
        <w:t>[1998]16</w:t>
      </w:r>
      <w:r>
        <w:rPr/>
        <w:t>号文注册资本：</w:t>
      </w:r>
      <w:r>
        <w:rPr>
          <w:rFonts w:ascii="Times New Roman" w:eastAsia="Times New Roman"/>
        </w:rPr>
        <w:t>2.38</w:t>
      </w:r>
      <w:r>
        <w:rPr/>
        <w:t>亿元</w:t>
      </w:r>
    </w:p>
    <w:p>
      <w:pPr>
        <w:pStyle w:val="BodyText"/>
        <w:spacing w:line="417" w:lineRule="auto"/>
        <w:ind w:left="1198" w:right="6472"/>
      </w:pPr>
      <w:r>
        <w:rPr/>
        <w:t>组织形式：有限责任公司存续期间：</w:t>
      </w:r>
      <w:r>
        <w:rPr>
          <w:rFonts w:ascii="Times New Roman" w:eastAsia="Times New Roman"/>
        </w:rPr>
        <w:t>100</w:t>
      </w:r>
      <w:r>
        <w:rPr/>
        <w:t>年</w:t>
      </w:r>
    </w:p>
    <w:p>
      <w:pPr>
        <w:pStyle w:val="BodyText"/>
        <w:ind w:left="1198"/>
      </w:pPr>
      <w:r>
        <w:rPr>
          <w:spacing w:val="-25"/>
          <w:w w:val="100"/>
        </w:rPr>
        <w:t>经营范围：</w:t>
      </w:r>
      <w:r>
        <w:rPr>
          <w:spacing w:val="-3"/>
          <w:w w:val="100"/>
        </w:rPr>
        <w:t>（</w:t>
      </w:r>
      <w:r>
        <w:rPr>
          <w:w w:val="100"/>
        </w:rPr>
        <w:t>一</w:t>
      </w:r>
      <w:r>
        <w:rPr>
          <w:spacing w:val="-13"/>
          <w:w w:val="100"/>
        </w:rPr>
        <w:t>）</w:t>
      </w:r>
      <w:r>
        <w:rPr>
          <w:spacing w:val="-26"/>
          <w:w w:val="100"/>
        </w:rPr>
        <w:t>基金募集；</w:t>
      </w:r>
      <w:r>
        <w:rPr>
          <w:w w:val="100"/>
        </w:rPr>
        <w:t>（二</w:t>
      </w:r>
      <w:r>
        <w:rPr>
          <w:spacing w:val="-13"/>
          <w:w w:val="100"/>
        </w:rPr>
        <w:t>）</w:t>
      </w:r>
      <w:r>
        <w:rPr>
          <w:spacing w:val="-26"/>
          <w:w w:val="100"/>
        </w:rPr>
        <w:t>基金销售；</w:t>
      </w:r>
      <w:r>
        <w:rPr>
          <w:spacing w:val="-3"/>
          <w:w w:val="100"/>
        </w:rPr>
        <w:t>（</w:t>
      </w:r>
      <w:r>
        <w:rPr>
          <w:w w:val="100"/>
        </w:rPr>
        <w:t>三</w:t>
      </w:r>
      <w:r>
        <w:rPr>
          <w:spacing w:val="-15"/>
          <w:w w:val="100"/>
        </w:rPr>
        <w:t>）</w:t>
      </w:r>
      <w:r>
        <w:rPr>
          <w:spacing w:val="-25"/>
          <w:w w:val="100"/>
        </w:rPr>
        <w:t>资产管理；</w:t>
      </w:r>
      <w:r>
        <w:rPr>
          <w:spacing w:val="-3"/>
          <w:w w:val="100"/>
        </w:rPr>
        <w:t>（</w:t>
      </w:r>
      <w:r>
        <w:rPr>
          <w:w w:val="100"/>
        </w:rPr>
        <w:t>四</w:t>
      </w:r>
      <w:r>
        <w:rPr>
          <w:spacing w:val="-13"/>
          <w:w w:val="100"/>
        </w:rPr>
        <w:t>）</w:t>
      </w:r>
      <w:r>
        <w:rPr>
          <w:spacing w:val="-3"/>
          <w:w w:val="100"/>
        </w:rPr>
        <w:t>从事特定客户资产</w:t>
      </w:r>
    </w:p>
    <w:p>
      <w:pPr>
        <w:spacing w:after="0"/>
        <w:sectPr>
          <w:footerReference w:type="default" r:id="rId218"/>
          <w:pgSz w:w="11910" w:h="16840"/>
          <w:pgMar w:footer="995" w:header="877" w:top="1280" w:bottom="1180" w:left="1020" w:right="900"/>
          <w:pgNumType w:start="141"/>
        </w:sectPr>
      </w:pPr>
    </w:p>
    <w:p>
      <w:pPr>
        <w:pStyle w:val="BodyText"/>
        <w:spacing w:before="7"/>
        <w:rPr>
          <w:sz w:val="12"/>
        </w:rPr>
      </w:pPr>
    </w:p>
    <w:p>
      <w:pPr>
        <w:pStyle w:val="BodyText"/>
        <w:spacing w:before="71"/>
        <w:ind w:left="778"/>
      </w:pPr>
      <w:r>
        <w:rPr>
          <w:spacing w:val="-23"/>
          <w:w w:val="100"/>
        </w:rPr>
        <w:t>管理业务；</w:t>
      </w:r>
      <w:r>
        <w:rPr>
          <w:w w:val="100"/>
        </w:rPr>
        <w:t>（</w:t>
      </w:r>
      <w:r>
        <w:rPr>
          <w:spacing w:val="-3"/>
          <w:w w:val="100"/>
        </w:rPr>
        <w:t>五</w:t>
      </w:r>
      <w:r>
        <w:rPr>
          <w:w w:val="100"/>
        </w:rPr>
        <w:t>）</w:t>
      </w:r>
      <w:r>
        <w:rPr>
          <w:spacing w:val="-3"/>
          <w:w w:val="100"/>
        </w:rPr>
        <w:t>中国证监会核准的其他业务。</w:t>
      </w:r>
    </w:p>
    <w:p>
      <w:pPr>
        <w:pStyle w:val="BodyText"/>
        <w:spacing w:before="7"/>
        <w:rPr>
          <w:sz w:val="15"/>
        </w:rPr>
      </w:pPr>
    </w:p>
    <w:p>
      <w:pPr>
        <w:pStyle w:val="BodyText"/>
        <w:ind w:left="1198"/>
      </w:pPr>
      <w:r>
        <w:rPr/>
        <w:t>（二）基金托管人</w:t>
      </w:r>
    </w:p>
    <w:p>
      <w:pPr>
        <w:pStyle w:val="BodyText"/>
        <w:spacing w:before="7"/>
        <w:rPr>
          <w:sz w:val="15"/>
        </w:rPr>
      </w:pPr>
    </w:p>
    <w:p>
      <w:pPr>
        <w:pStyle w:val="BodyText"/>
        <w:spacing w:line="417" w:lineRule="auto"/>
        <w:ind w:left="1198" w:right="3320"/>
      </w:pPr>
      <w:r>
        <w:rPr/>
        <w:t>名称：中国建设银行股份有限公司（简称：中国建设银行） 注册地址：北京市西城区金融大街</w:t>
      </w:r>
      <w:r>
        <w:rPr>
          <w:rFonts w:ascii="Times New Roman" w:eastAsia="Times New Roman"/>
        </w:rPr>
        <w:t>25</w:t>
      </w:r>
      <w:r>
        <w:rPr/>
        <w:t>号</w:t>
      </w:r>
    </w:p>
    <w:p>
      <w:pPr>
        <w:pStyle w:val="BodyText"/>
        <w:spacing w:line="417" w:lineRule="auto"/>
        <w:ind w:left="1198" w:right="4374"/>
        <w:rPr>
          <w:rFonts w:ascii="Times New Roman" w:eastAsia="Times New Roman"/>
        </w:rPr>
      </w:pPr>
      <w:r>
        <w:rPr/>
        <w:t>办公地址：北京市西城区闹市口大街</w:t>
      </w:r>
      <w:r>
        <w:rPr>
          <w:rFonts w:ascii="Times New Roman" w:eastAsia="Times New Roman"/>
        </w:rPr>
        <w:t>1</w:t>
      </w:r>
      <w:r>
        <w:rPr/>
        <w:t>号院</w:t>
      </w:r>
      <w:r>
        <w:rPr>
          <w:rFonts w:ascii="Times New Roman" w:eastAsia="Times New Roman"/>
        </w:rPr>
        <w:t>1</w:t>
      </w:r>
      <w:r>
        <w:rPr/>
        <w:t>号楼邮政编码：</w:t>
      </w:r>
      <w:r>
        <w:rPr>
          <w:rFonts w:ascii="Times New Roman" w:eastAsia="Times New Roman"/>
        </w:rPr>
        <w:t>100033</w:t>
      </w:r>
    </w:p>
    <w:p>
      <w:pPr>
        <w:pStyle w:val="BodyText"/>
        <w:spacing w:line="269" w:lineRule="exact"/>
        <w:ind w:left="1198"/>
      </w:pPr>
      <w:r>
        <w:rPr/>
        <w:t>法定代表人：田国立</w:t>
      </w:r>
    </w:p>
    <w:p>
      <w:pPr>
        <w:pStyle w:val="BodyText"/>
        <w:spacing w:before="7"/>
        <w:rPr>
          <w:sz w:val="15"/>
        </w:rPr>
      </w:pPr>
    </w:p>
    <w:p>
      <w:pPr>
        <w:pStyle w:val="BodyText"/>
        <w:ind w:left="1198"/>
      </w:pPr>
      <w:r>
        <w:rPr/>
        <w:t>成立日期：</w:t>
      </w:r>
      <w:r>
        <w:rPr>
          <w:rFonts w:ascii="Times New Roman" w:eastAsia="Times New Roman"/>
        </w:rPr>
        <w:t>2004</w:t>
      </w:r>
      <w:r>
        <w:rPr/>
        <w:t>年</w:t>
      </w:r>
      <w:r>
        <w:rPr>
          <w:rFonts w:ascii="Times New Roman" w:eastAsia="Times New Roman"/>
        </w:rPr>
        <w:t>09</w:t>
      </w:r>
      <w:r>
        <w:rPr/>
        <w:t>月</w:t>
      </w:r>
      <w:r>
        <w:rPr>
          <w:rFonts w:ascii="Times New Roman" w:eastAsia="Times New Roman"/>
        </w:rPr>
        <w:t>17</w:t>
      </w:r>
      <w:r>
        <w:rPr/>
        <w:t>日</w:t>
      </w:r>
    </w:p>
    <w:p>
      <w:pPr>
        <w:pStyle w:val="BodyText"/>
        <w:spacing w:before="6"/>
        <w:rPr>
          <w:sz w:val="15"/>
        </w:rPr>
      </w:pPr>
    </w:p>
    <w:p>
      <w:pPr>
        <w:pStyle w:val="BodyText"/>
        <w:spacing w:line="417" w:lineRule="auto" w:before="1"/>
        <w:ind w:left="1198" w:right="3601"/>
      </w:pPr>
      <w:r>
        <w:rPr/>
        <w:t>基金托管业务批准文号：中国证监会证监基字</w:t>
      </w:r>
      <w:r>
        <w:rPr>
          <w:rFonts w:ascii="Times New Roman" w:eastAsia="Times New Roman"/>
        </w:rPr>
        <w:t>[1998]12</w:t>
      </w:r>
      <w:r>
        <w:rPr/>
        <w:t>号组织形式：股份有限公司</w:t>
      </w:r>
    </w:p>
    <w:p>
      <w:pPr>
        <w:pStyle w:val="BodyText"/>
        <w:spacing w:line="417" w:lineRule="auto"/>
        <w:ind w:left="1198" w:right="2689"/>
      </w:pPr>
      <w:r>
        <w:rPr/>
        <w:t>注册资本：人民币贰仟伍佰亿壹仟零玖拾柒万柒仟肆佰捌拾陆元整存续期间：持续经营</w:t>
      </w:r>
    </w:p>
    <w:p>
      <w:pPr>
        <w:pStyle w:val="BodyText"/>
        <w:spacing w:line="417" w:lineRule="auto"/>
        <w:ind w:left="778" w:right="785" w:firstLine="419"/>
      </w:pPr>
      <w:r>
        <w:rPr>
          <w:spacing w:val="-10"/>
        </w:rPr>
        <w:t>经营范围：吸收公众存款；发放短期、中期、长期贷款；办理国内外结算；办理票据承</w:t>
      </w:r>
      <w:r>
        <w:rPr>
          <w:spacing w:val="-17"/>
        </w:rPr>
        <w:t>兑与贴现；发行金融债券；代理发行、代理兑付、承销政府债券；买卖政府债券、金融债券； </w:t>
      </w:r>
      <w:r>
        <w:rPr>
          <w:spacing w:val="-14"/>
        </w:rPr>
        <w:t>从事同业拆借；买卖、代理买卖外汇；从事银行卡业务；提供信用证服务及担保；代理收付</w:t>
      </w:r>
      <w:r>
        <w:rPr>
          <w:spacing w:val="-13"/>
        </w:rPr>
        <w:t>款项及代理保险业务；提供保管箱服务；经中国银行业监督管理机构等监管部门批准的其他业务。</w:t>
      </w:r>
    </w:p>
    <w:p>
      <w:pPr>
        <w:pStyle w:val="BodyText"/>
        <w:spacing w:line="269" w:lineRule="exact"/>
        <w:ind w:left="1198"/>
      </w:pPr>
      <w:r>
        <w:rPr/>
        <w:t>三、基金托管人与基金管理人之间的业务监督与核查</w:t>
      </w:r>
    </w:p>
    <w:p>
      <w:pPr>
        <w:pStyle w:val="BodyText"/>
        <w:spacing w:before="5"/>
        <w:rPr>
          <w:sz w:val="15"/>
        </w:rPr>
      </w:pPr>
    </w:p>
    <w:p>
      <w:pPr>
        <w:pStyle w:val="BodyText"/>
        <w:spacing w:before="1"/>
        <w:ind w:left="1198"/>
      </w:pPr>
      <w:r>
        <w:rPr/>
        <w:t>（一）基金托管人对基金管理人的业务监督、核查</w:t>
      </w:r>
    </w:p>
    <w:p>
      <w:pPr>
        <w:pStyle w:val="BodyText"/>
        <w:spacing w:before="6"/>
        <w:rPr>
          <w:sz w:val="15"/>
        </w:rPr>
      </w:pPr>
    </w:p>
    <w:p>
      <w:pPr>
        <w:pStyle w:val="BodyText"/>
        <w:spacing w:line="417" w:lineRule="auto"/>
        <w:ind w:left="778" w:right="889" w:firstLine="419"/>
        <w:jc w:val="both"/>
      </w:pPr>
      <w:r>
        <w:rPr>
          <w:rFonts w:ascii="Times New Roman" w:eastAsia="Times New Roman"/>
        </w:rPr>
        <w:t>1</w:t>
      </w:r>
      <w:r>
        <w:rPr>
          <w:spacing w:val="-17"/>
        </w:rPr>
        <w:t>、基金托管人根据《基金法》、基金合同及其他有关规定，对本基金的投资范围、基金</w:t>
      </w:r>
      <w:r>
        <w:rPr>
          <w:spacing w:val="-12"/>
        </w:rPr>
        <w:t>资产的投资组合、所托管的基金管理人的所有基金的投资比例、基金资产净值的计算、基金</w:t>
      </w:r>
      <w:r>
        <w:rPr>
          <w:spacing w:val="-11"/>
        </w:rPr>
        <w:t>管理费和基金托管费的计提和支付、基金收益分配等事项进行监督和核查。其中对基金的投</w:t>
      </w:r>
      <w:r>
        <w:rPr>
          <w:spacing w:val="-6"/>
        </w:rPr>
        <w:t>资比例监督和核查自本基金合同生效之日起</w:t>
      </w:r>
      <w:r>
        <w:rPr>
          <w:rFonts w:ascii="Times New Roman" w:eastAsia="Times New Roman"/>
          <w:spacing w:val="-3"/>
        </w:rPr>
        <w:t>6</w:t>
      </w:r>
      <w:r>
        <w:rPr>
          <w:spacing w:val="-3"/>
        </w:rPr>
        <w:t>个月后开始。</w:t>
      </w:r>
    </w:p>
    <w:p>
      <w:pPr>
        <w:pStyle w:val="BodyText"/>
        <w:spacing w:line="417" w:lineRule="auto"/>
        <w:ind w:left="778" w:right="888" w:firstLine="419"/>
        <w:jc w:val="both"/>
      </w:pPr>
      <w:r>
        <w:rPr>
          <w:rFonts w:ascii="Times New Roman" w:eastAsia="Times New Roman"/>
        </w:rPr>
        <w:t>2</w:t>
      </w:r>
      <w:r>
        <w:rPr>
          <w:spacing w:val="-14"/>
        </w:rPr>
        <w:t>、基金托管人发现上述事项基金管理人的行为违反《基金法》、基金合同及其他有关规</w:t>
      </w:r>
      <w:r>
        <w:rPr>
          <w:spacing w:val="-11"/>
        </w:rPr>
        <w:t>定，应及时以书面形式通知基金管理人限期纠正，基金管理人收到通知后应在下一工作日前</w:t>
      </w:r>
      <w:r>
        <w:rPr>
          <w:spacing w:val="-10"/>
        </w:rPr>
        <w:t>及时核对并以书面形式给基金托管人发出回函，说明违规原因及纠正期限，并保证在规定期</w:t>
      </w:r>
      <w:r>
        <w:rPr>
          <w:spacing w:val="-5"/>
        </w:rPr>
        <w:t>限内及时改正。</w:t>
      </w:r>
    </w:p>
    <w:p>
      <w:pPr>
        <w:pStyle w:val="BodyText"/>
        <w:spacing w:line="417" w:lineRule="auto"/>
        <w:ind w:left="778" w:right="889" w:firstLine="419"/>
      </w:pPr>
      <w:r>
        <w:rPr>
          <w:rFonts w:ascii="Times New Roman" w:eastAsia="Times New Roman"/>
        </w:rPr>
        <w:t>3</w:t>
      </w:r>
      <w:r>
        <w:rPr/>
        <w:t>、基金托管人发现基金管理人上述事项有重大违规行为，应立即报告中国证监会，同时，通知基金管理人限期纠正，并将纠正结果报告中国证监会。</w:t>
      </w:r>
    </w:p>
    <w:p>
      <w:pPr>
        <w:pStyle w:val="BodyText"/>
        <w:ind w:left="1198"/>
      </w:pPr>
      <w:r>
        <w:rPr/>
        <w:t>（二）基金管理人对基金托管人的业务监督、核查</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88" w:firstLine="419"/>
        <w:jc w:val="both"/>
      </w:pPr>
      <w:r>
        <w:rPr>
          <w:rFonts w:ascii="Times New Roman" w:eastAsia="Times New Roman"/>
        </w:rPr>
        <w:t>1</w:t>
      </w:r>
      <w:r>
        <w:rPr>
          <w:spacing w:val="-17"/>
        </w:rPr>
        <w:t>、根据《基金法》、基金合同及其他有关规定，基金管理人对基金托管人及时执行基金</w:t>
      </w:r>
      <w:r>
        <w:rPr>
          <w:spacing w:val="-12"/>
        </w:rPr>
        <w:t>管理人合法合规的投资指令、妥善保管基金的全部资产、按时将赎回资金和分红收益划入专</w:t>
      </w:r>
      <w:r>
        <w:rPr>
          <w:spacing w:val="-6"/>
        </w:rPr>
        <w:t>用清算账户、对基金资产实行分账管理、擅自动用基金资产等行为进行监督和核查。</w:t>
      </w:r>
    </w:p>
    <w:p>
      <w:pPr>
        <w:pStyle w:val="BodyText"/>
        <w:spacing w:line="417" w:lineRule="auto"/>
        <w:ind w:left="778" w:right="889" w:firstLine="419"/>
        <w:jc w:val="both"/>
      </w:pPr>
      <w:r>
        <w:rPr>
          <w:rFonts w:ascii="Times New Roman" w:eastAsia="Times New Roman"/>
        </w:rPr>
        <w:t>2</w:t>
      </w:r>
      <w:r>
        <w:rPr>
          <w:spacing w:val="-15"/>
        </w:rPr>
        <w:t>、基金管理人发现基金托管人的行为违反《基金法》、基金合同及其他有关规定，应及</w:t>
      </w:r>
      <w:r>
        <w:rPr>
          <w:spacing w:val="-12"/>
        </w:rPr>
        <w:t>时以书面形式通知基金托管人限期纠正。基金托管人收到通知后应在下一工作日前及时核对</w:t>
      </w:r>
      <w:r>
        <w:rPr>
          <w:spacing w:val="-11"/>
        </w:rPr>
        <w:t>并以书面形式给基金管理人发出回函，说明违规原因及纠正期限，并保证在规定期限内及时改正。</w:t>
      </w:r>
    </w:p>
    <w:p>
      <w:pPr>
        <w:pStyle w:val="BodyText"/>
        <w:spacing w:line="417" w:lineRule="auto"/>
        <w:ind w:left="778" w:right="889" w:firstLine="419"/>
      </w:pPr>
      <w:r>
        <w:rPr>
          <w:rFonts w:ascii="Times New Roman" w:eastAsia="Times New Roman"/>
        </w:rPr>
        <w:t>3</w:t>
      </w:r>
      <w:r>
        <w:rPr/>
        <w:t>、基金管理人发现基金托管人有重大违规行为，应立即报告中国证监会，同时通知基金托管人限期纠正，并将纠正结果报告中国证监会。</w:t>
      </w:r>
    </w:p>
    <w:p>
      <w:pPr>
        <w:pStyle w:val="BodyText"/>
        <w:spacing w:line="269" w:lineRule="exact"/>
        <w:ind w:left="1198"/>
      </w:pPr>
      <w:r>
        <w:rPr/>
        <w:t>（三）基金托管人与基金管理人在业务监督、核查中的配合、协助</w:t>
      </w:r>
    </w:p>
    <w:p>
      <w:pPr>
        <w:pStyle w:val="BodyText"/>
        <w:spacing w:before="6"/>
        <w:rPr>
          <w:sz w:val="15"/>
        </w:rPr>
      </w:pPr>
    </w:p>
    <w:p>
      <w:pPr>
        <w:pStyle w:val="BodyText"/>
        <w:spacing w:line="417" w:lineRule="auto"/>
        <w:ind w:left="778" w:right="800" w:firstLine="419"/>
      </w:pPr>
      <w:r>
        <w:rPr/>
        <w:t>基金管理人和基金托管人有义务配合和协助对方依照本协议对基金业务执行监督、核 </w:t>
      </w:r>
      <w:r>
        <w:rPr>
          <w:spacing w:val="-9"/>
        </w:rPr>
        <w:t>查。基金管理人或基金托管人无正当理由，拒绝、阻挠对方根据本协议规定行使监督权，或</w:t>
      </w:r>
      <w:r>
        <w:rPr>
          <w:spacing w:val="-5"/>
        </w:rPr>
        <w:t>采取拖延、欺诈等手段妨碍对方进行有效监督，情节严重或经监督方提出警告仍不改正的， </w:t>
      </w:r>
      <w:r>
        <w:rPr>
          <w:spacing w:val="-4"/>
        </w:rPr>
        <w:t>监督方应报告中国证监会。</w:t>
      </w:r>
    </w:p>
    <w:p>
      <w:pPr>
        <w:pStyle w:val="BodyText"/>
        <w:spacing w:line="269" w:lineRule="exact"/>
        <w:ind w:left="1198"/>
      </w:pPr>
      <w:r>
        <w:rPr/>
        <w:t>四、基金资产保管</w:t>
      </w:r>
    </w:p>
    <w:p>
      <w:pPr>
        <w:pStyle w:val="BodyText"/>
        <w:spacing w:before="7"/>
        <w:rPr>
          <w:sz w:val="15"/>
        </w:rPr>
      </w:pPr>
    </w:p>
    <w:p>
      <w:pPr>
        <w:pStyle w:val="BodyText"/>
        <w:ind w:left="1198"/>
      </w:pPr>
      <w:r>
        <w:rPr/>
        <w:t>（一）基金资产保管的原则</w:t>
      </w:r>
    </w:p>
    <w:p>
      <w:pPr>
        <w:pStyle w:val="BodyText"/>
        <w:spacing w:before="7"/>
        <w:rPr>
          <w:sz w:val="15"/>
        </w:rPr>
      </w:pPr>
    </w:p>
    <w:p>
      <w:pPr>
        <w:pStyle w:val="BodyText"/>
        <w:ind w:left="1198"/>
      </w:pPr>
      <w:r>
        <w:rPr>
          <w:rFonts w:ascii="Times New Roman" w:eastAsia="Times New Roman"/>
        </w:rPr>
        <w:t>1</w:t>
      </w:r>
      <w:r>
        <w:rPr/>
        <w:t>、基金托管人应安全、完整地保管基金的全部资产。</w:t>
      </w:r>
    </w:p>
    <w:p>
      <w:pPr>
        <w:pStyle w:val="BodyText"/>
        <w:spacing w:before="6"/>
        <w:rPr>
          <w:sz w:val="15"/>
        </w:rPr>
      </w:pPr>
    </w:p>
    <w:p>
      <w:pPr>
        <w:pStyle w:val="BodyText"/>
        <w:spacing w:line="417" w:lineRule="auto" w:before="1"/>
        <w:ind w:left="778" w:right="889" w:firstLine="419"/>
        <w:jc w:val="both"/>
      </w:pPr>
      <w:r>
        <w:rPr>
          <w:rFonts w:ascii="Times New Roman" w:eastAsia="Times New Roman"/>
        </w:rPr>
        <w:t>2</w:t>
      </w:r>
      <w:r>
        <w:rPr>
          <w:spacing w:val="-3"/>
        </w:rPr>
        <w:t>、基金资产应独立于基金管理人、基金托管人的资产。基金托管人为基金设立独立的</w:t>
      </w:r>
      <w:r>
        <w:rPr>
          <w:spacing w:val="-12"/>
        </w:rPr>
        <w:t>账户，本基金资产与基金托管人的其他资产或其他业务以及其他基金的资产实行严格的分账</w:t>
      </w:r>
      <w:r>
        <w:rPr>
          <w:spacing w:val="-6"/>
        </w:rPr>
        <w:t>管理。保证不同基金之间在名册登记、账户设置、资金划拨、账册记录等方面相互独立。</w:t>
      </w:r>
    </w:p>
    <w:p>
      <w:pPr>
        <w:pStyle w:val="BodyText"/>
        <w:spacing w:line="269" w:lineRule="exact"/>
        <w:ind w:left="1198"/>
      </w:pPr>
      <w:r>
        <w:rPr>
          <w:rFonts w:ascii="Times New Roman" w:eastAsia="Times New Roman"/>
        </w:rPr>
        <w:t>3</w:t>
      </w:r>
      <w:r>
        <w:rPr/>
        <w:t>、基金托管人未经基金管理人的指令，不得自行运用、处分、分配基金的任何资产。</w:t>
      </w:r>
    </w:p>
    <w:p>
      <w:pPr>
        <w:pStyle w:val="BodyText"/>
        <w:spacing w:before="7"/>
        <w:rPr>
          <w:sz w:val="15"/>
        </w:rPr>
      </w:pPr>
    </w:p>
    <w:p>
      <w:pPr>
        <w:pStyle w:val="BodyText"/>
        <w:spacing w:line="417" w:lineRule="auto"/>
        <w:ind w:left="778" w:right="802" w:firstLine="419"/>
        <w:jc w:val="both"/>
      </w:pPr>
      <w:r>
        <w:rPr>
          <w:rFonts w:ascii="Times New Roman" w:eastAsia="Times New Roman"/>
        </w:rPr>
        <w:t>4</w:t>
      </w:r>
      <w:r>
        <w:rPr>
          <w:spacing w:val="-3"/>
        </w:rPr>
        <w:t>、对于因为基金投资产生的应收资产，应由基金管理人负责与有关当事人确定到账日</w:t>
      </w:r>
      <w:r>
        <w:rPr>
          <w:spacing w:val="-10"/>
        </w:rPr>
        <w:t>期并通知托管人，到账日基金资产没有到达托管人处的，托管人应及时通知基金管理人采取</w:t>
      </w:r>
      <w:r>
        <w:rPr>
          <w:spacing w:val="-5"/>
        </w:rPr>
        <w:t>措施进行催收，由此给基金造成损失的，基金管理人应负责向有关当事人追偿基金的损失。</w:t>
      </w:r>
    </w:p>
    <w:p>
      <w:pPr>
        <w:pStyle w:val="BodyText"/>
        <w:spacing w:line="417" w:lineRule="auto"/>
        <w:ind w:left="778" w:right="783" w:firstLine="419"/>
      </w:pPr>
      <w:r>
        <w:rPr>
          <w:rFonts w:ascii="Times New Roman" w:eastAsia="Times New Roman"/>
        </w:rPr>
        <w:t>5</w:t>
      </w:r>
      <w:r>
        <w:rPr>
          <w:spacing w:val="-3"/>
        </w:rPr>
        <w:t>、基金托管人应当设立专门的基金托管部，具有符合要求的营业场所，配备足够的、</w:t>
      </w:r>
      <w:r>
        <w:rPr>
          <w:spacing w:val="-13"/>
        </w:rPr>
        <w:t>合格的熟悉基金托管业务的专职人员，负责基金资产托管事宜；建立健全内部风险监控制度， </w:t>
      </w:r>
      <w:r>
        <w:rPr>
          <w:spacing w:val="-6"/>
        </w:rPr>
        <w:t>对负责基金资产托管的部门和人员的行为进行事先控制和事后监督，防范和减少风险。</w:t>
      </w:r>
    </w:p>
    <w:p>
      <w:pPr>
        <w:pStyle w:val="BodyText"/>
        <w:spacing w:line="417" w:lineRule="auto"/>
        <w:ind w:left="778" w:right="889" w:firstLine="419"/>
      </w:pPr>
      <w:r>
        <w:rPr>
          <w:rFonts w:ascii="Times New Roman" w:eastAsia="Times New Roman"/>
        </w:rPr>
        <w:t>6</w:t>
      </w:r>
      <w:r>
        <w:rPr>
          <w:spacing w:val="-24"/>
        </w:rPr>
        <w:t>、除依据《中华人民共和国信托法》、《基金法》、基金合同及其他有关规定外，基金托</w:t>
      </w:r>
      <w:r>
        <w:rPr>
          <w:spacing w:val="-8"/>
        </w:rPr>
        <w:t>管人不得委托第三人托管基金资产。</w:t>
      </w:r>
    </w:p>
    <w:p>
      <w:pPr>
        <w:pStyle w:val="BodyText"/>
        <w:ind w:left="1198"/>
      </w:pPr>
      <w:r>
        <w:rPr/>
        <w:t>（二）基金设立募集期间及募集资金的验资</w:t>
      </w:r>
    </w:p>
    <w:p>
      <w:pPr>
        <w:spacing w:after="0"/>
        <w:sectPr>
          <w:pgSz w:w="11910" w:h="16840"/>
          <w:pgMar w:header="877" w:footer="995" w:top="1280" w:bottom="1180" w:left="1020" w:right="900"/>
        </w:sectPr>
      </w:pPr>
    </w:p>
    <w:p>
      <w:pPr>
        <w:pStyle w:val="BodyText"/>
        <w:rPr>
          <w:sz w:val="12"/>
        </w:rPr>
      </w:pPr>
    </w:p>
    <w:p>
      <w:pPr>
        <w:pStyle w:val="BodyText"/>
        <w:spacing w:line="417" w:lineRule="auto" w:before="78"/>
        <w:ind w:left="778" w:right="891" w:firstLine="419"/>
      </w:pPr>
      <w:r>
        <w:rPr>
          <w:rFonts w:ascii="Times New Roman" w:hAnsi="Times New Roman" w:eastAsia="Times New Roman"/>
        </w:rPr>
        <w:t>1</w:t>
      </w:r>
      <w:r>
        <w:rPr/>
        <w:t>、基金设立募集期间的资金应存于基金管理人在基金托管行的营业机构开立的“基金募集专户”。该账户由基金管理人开立并管理。</w:t>
      </w:r>
    </w:p>
    <w:p>
      <w:pPr>
        <w:pStyle w:val="BodyText"/>
        <w:spacing w:line="417" w:lineRule="auto"/>
        <w:ind w:left="778" w:right="889" w:firstLine="419"/>
        <w:jc w:val="both"/>
      </w:pPr>
      <w:r>
        <w:rPr>
          <w:rFonts w:ascii="Times New Roman" w:eastAsia="Times New Roman"/>
        </w:rPr>
        <w:t>2</w:t>
      </w:r>
      <w:r>
        <w:rPr>
          <w:spacing w:val="-3"/>
        </w:rPr>
        <w:t>、基金设立募集期满，由基金管理人聘请具有从事证券相关业务资格的会计师事务所</w:t>
      </w:r>
      <w:r>
        <w:rPr>
          <w:spacing w:val="-12"/>
        </w:rPr>
        <w:t>进行验资，出具验资报告。出具的验资报告由参加验资的</w:t>
      </w:r>
      <w:r>
        <w:rPr>
          <w:rFonts w:ascii="Times New Roman" w:eastAsia="Times New Roman"/>
          <w:spacing w:val="-3"/>
        </w:rPr>
        <w:t>2</w:t>
      </w:r>
      <w:r>
        <w:rPr/>
        <w:t>名或</w:t>
      </w:r>
      <w:r>
        <w:rPr>
          <w:rFonts w:ascii="Times New Roman" w:eastAsia="Times New Roman"/>
          <w:spacing w:val="-3"/>
        </w:rPr>
        <w:t>2</w:t>
      </w:r>
      <w:r>
        <w:rPr>
          <w:spacing w:val="-3"/>
        </w:rPr>
        <w:t>名以上中国注册会计师签字方为有效。</w:t>
      </w:r>
    </w:p>
    <w:p>
      <w:pPr>
        <w:pStyle w:val="BodyText"/>
        <w:spacing w:line="417" w:lineRule="auto"/>
        <w:ind w:left="778" w:right="889" w:firstLine="419"/>
      </w:pPr>
      <w:r>
        <w:rPr>
          <w:rFonts w:ascii="Times New Roman" w:eastAsia="Times New Roman"/>
        </w:rPr>
        <w:t>3</w:t>
      </w:r>
      <w:r>
        <w:rPr/>
        <w:t>、基金管理人应将属于基金资产的全部资金划入基金托管人以基金名义开立的基金银行账户中。验资报告出具后，基金合同生效。</w:t>
      </w:r>
    </w:p>
    <w:p>
      <w:pPr>
        <w:pStyle w:val="BodyText"/>
        <w:ind w:left="1198"/>
      </w:pPr>
      <w:r>
        <w:rPr>
          <w:rFonts w:ascii="Times New Roman" w:eastAsia="Times New Roman"/>
        </w:rPr>
        <w:t>4</w:t>
      </w:r>
      <w:r>
        <w:rPr/>
        <w:t>、若基金未达到规定的募集额度不能成立，按规定办理退款事宜。</w:t>
      </w:r>
    </w:p>
    <w:p>
      <w:pPr>
        <w:pStyle w:val="BodyText"/>
        <w:spacing w:before="6"/>
        <w:rPr>
          <w:sz w:val="15"/>
        </w:rPr>
      </w:pPr>
    </w:p>
    <w:p>
      <w:pPr>
        <w:pStyle w:val="BodyText"/>
        <w:ind w:left="1198"/>
      </w:pPr>
      <w:r>
        <w:rPr/>
        <w:t>（三）基金银行账户的开立和管理</w:t>
      </w:r>
    </w:p>
    <w:p>
      <w:pPr>
        <w:pStyle w:val="BodyText"/>
        <w:spacing w:before="7"/>
        <w:rPr>
          <w:sz w:val="15"/>
        </w:rPr>
      </w:pPr>
    </w:p>
    <w:p>
      <w:pPr>
        <w:pStyle w:val="BodyText"/>
        <w:spacing w:line="417" w:lineRule="auto"/>
        <w:ind w:left="778" w:right="889" w:firstLine="419"/>
      </w:pPr>
      <w:r>
        <w:rPr>
          <w:rFonts w:ascii="Times New Roman" w:eastAsia="Times New Roman"/>
        </w:rPr>
        <w:t>1</w:t>
      </w:r>
      <w:r>
        <w:rPr/>
        <w:t>、基金托管人以基金的名义在其营业机构开立基金的银行账户，并根据基金管理人合法合规的指令办理资金收付。本基金的银行预留印鉴由基金托管人保管和使用。</w:t>
      </w:r>
    </w:p>
    <w:p>
      <w:pPr>
        <w:pStyle w:val="BodyText"/>
        <w:spacing w:line="417" w:lineRule="auto"/>
        <w:ind w:left="778" w:right="888" w:firstLine="419"/>
        <w:jc w:val="both"/>
      </w:pPr>
      <w:r>
        <w:rPr>
          <w:rFonts w:ascii="Times New Roman" w:eastAsia="Times New Roman"/>
        </w:rPr>
        <w:t>2</w:t>
      </w:r>
      <w:r>
        <w:rPr>
          <w:spacing w:val="-3"/>
        </w:rPr>
        <w:t>、基金银行账户的开立和使用，限于满足开展本基金业务的需要。基金托管人和基金</w:t>
      </w:r>
      <w:r>
        <w:rPr>
          <w:spacing w:val="-7"/>
        </w:rPr>
        <w:t>管理人不得假借本基金的名义开立任何其他银行账户；亦不得使用基金的任何账户进行本基</w:t>
      </w:r>
      <w:r>
        <w:rPr>
          <w:spacing w:val="-5"/>
        </w:rPr>
        <w:t>金业务以外的活动。</w:t>
      </w:r>
    </w:p>
    <w:p>
      <w:pPr>
        <w:pStyle w:val="BodyText"/>
        <w:ind w:left="1198"/>
      </w:pPr>
      <w:r>
        <w:rPr>
          <w:rFonts w:ascii="Times New Roman" w:eastAsia="Times New Roman"/>
        </w:rPr>
        <w:t>3</w:t>
      </w:r>
      <w:r>
        <w:rPr/>
        <w:t>、基金银行账户的开立和管理应符合中国人民银行的其他规定。</w:t>
      </w:r>
    </w:p>
    <w:p>
      <w:pPr>
        <w:pStyle w:val="BodyText"/>
        <w:spacing w:before="6"/>
        <w:rPr>
          <w:sz w:val="15"/>
        </w:rPr>
      </w:pPr>
    </w:p>
    <w:p>
      <w:pPr>
        <w:pStyle w:val="BodyText"/>
        <w:ind w:left="1198"/>
      </w:pPr>
      <w:r>
        <w:rPr/>
        <w:t>（四）基金证券账户的开立和管理</w:t>
      </w:r>
    </w:p>
    <w:p>
      <w:pPr>
        <w:pStyle w:val="BodyText"/>
        <w:spacing w:before="7"/>
        <w:rPr>
          <w:sz w:val="15"/>
        </w:rPr>
      </w:pPr>
    </w:p>
    <w:p>
      <w:pPr>
        <w:pStyle w:val="BodyText"/>
        <w:spacing w:line="417" w:lineRule="auto"/>
        <w:ind w:left="778" w:right="888" w:firstLine="419"/>
        <w:jc w:val="both"/>
      </w:pPr>
      <w:r>
        <w:rPr>
          <w:rFonts w:ascii="Times New Roman" w:eastAsia="Times New Roman"/>
        </w:rPr>
        <w:t>1</w:t>
      </w:r>
      <w:r>
        <w:rPr>
          <w:spacing w:val="-3"/>
        </w:rPr>
        <w:t>、基金托管人在中国证券登记结算有限责任公司上海分公司、深圳分公司为基金开立</w:t>
      </w:r>
      <w:r>
        <w:rPr>
          <w:spacing w:val="-8"/>
        </w:rPr>
        <w:t>托管人与基金联名的证券账户，用于本基金证券投资的清算和存管，并对证券账户业务发生</w:t>
      </w:r>
      <w:r>
        <w:rPr>
          <w:spacing w:val="-5"/>
        </w:rPr>
        <w:t>情况进行如实记录。</w:t>
      </w:r>
    </w:p>
    <w:p>
      <w:pPr>
        <w:pStyle w:val="BodyText"/>
        <w:spacing w:line="417" w:lineRule="auto"/>
        <w:ind w:left="778" w:right="889" w:firstLine="419"/>
        <w:jc w:val="both"/>
      </w:pPr>
      <w:r>
        <w:rPr>
          <w:rFonts w:ascii="Times New Roman" w:eastAsia="Times New Roman"/>
        </w:rPr>
        <w:t>2</w:t>
      </w:r>
      <w:r>
        <w:rPr>
          <w:spacing w:val="-3"/>
        </w:rPr>
        <w:t>、基金证券账户的开立和使用，限于满足开展本基金业务的需要。基金托管人和基金</w:t>
      </w:r>
      <w:r>
        <w:rPr>
          <w:spacing w:val="-8"/>
        </w:rPr>
        <w:t>管理人不得出借和擅自转让基金的任何证券账户，亦不得使用基金的任何账户进行本基金业</w:t>
      </w:r>
      <w:r>
        <w:rPr>
          <w:spacing w:val="-5"/>
        </w:rPr>
        <w:t>务以外的活动。</w:t>
      </w:r>
    </w:p>
    <w:p>
      <w:pPr>
        <w:pStyle w:val="BodyText"/>
        <w:spacing w:line="417" w:lineRule="auto"/>
        <w:ind w:left="778" w:right="889" w:firstLine="419"/>
      </w:pPr>
      <w:r>
        <w:rPr>
          <w:rFonts w:ascii="Times New Roman" w:eastAsia="Times New Roman"/>
        </w:rPr>
        <w:t>3</w:t>
      </w:r>
      <w:r>
        <w:rPr/>
        <w:t>、基金证券账户的开立和证券账户卡的保管由基金托管人负责，管理和运用由基金管理人负责。</w:t>
      </w:r>
    </w:p>
    <w:p>
      <w:pPr>
        <w:pStyle w:val="BodyText"/>
        <w:spacing w:line="269" w:lineRule="exact"/>
        <w:ind w:left="1198"/>
      </w:pPr>
      <w:r>
        <w:rPr/>
        <w:t>（五）债券托管专户的开设和管理</w:t>
      </w:r>
    </w:p>
    <w:p>
      <w:pPr>
        <w:pStyle w:val="BodyText"/>
        <w:spacing w:before="6"/>
        <w:rPr>
          <w:sz w:val="15"/>
        </w:rPr>
      </w:pPr>
    </w:p>
    <w:p>
      <w:pPr>
        <w:pStyle w:val="BodyText"/>
        <w:spacing w:line="417" w:lineRule="auto" w:before="1"/>
        <w:ind w:left="778" w:right="800" w:firstLine="419"/>
      </w:pPr>
      <w:r>
        <w:rPr>
          <w:rFonts w:ascii="Times New Roman" w:eastAsia="Times New Roman"/>
        </w:rPr>
        <w:t>1</w:t>
      </w:r>
      <w:r>
        <w:rPr>
          <w:spacing w:val="-3"/>
        </w:rPr>
        <w:t>、基金合同生效后，由基金管理人向基金托管人提出申请进入全国银行间同业拆借市场进行交易。基金托管人根据中国人民银行、中央国债登记结算有限责任公司的有关规定， </w:t>
      </w:r>
      <w:r>
        <w:rPr>
          <w:spacing w:val="-7"/>
        </w:rPr>
        <w:t>在中央国债登记结算有限责任公司开立债券托管与结算账户，并代表基金进行银行间市场债</w:t>
      </w:r>
      <w:r>
        <w:rPr>
          <w:spacing w:val="-4"/>
        </w:rPr>
        <w:t>券的结算。</w:t>
      </w:r>
    </w:p>
    <w:p>
      <w:pPr>
        <w:pStyle w:val="BodyText"/>
        <w:spacing w:line="269" w:lineRule="exact"/>
        <w:ind w:left="1198"/>
      </w:pPr>
      <w:r>
        <w:rPr>
          <w:rFonts w:ascii="Times New Roman" w:eastAsia="Times New Roman"/>
        </w:rPr>
        <w:t>2</w:t>
      </w:r>
      <w:r>
        <w:rPr/>
        <w:t>、基金管理人和基金托管人同时代表基金签订全国银行间债券市场债券回购主协议，</w:t>
      </w:r>
    </w:p>
    <w:p>
      <w:pPr>
        <w:spacing w:after="0" w:line="269" w:lineRule="exact"/>
        <w:sectPr>
          <w:pgSz w:w="11910" w:h="16840"/>
          <w:pgMar w:header="877" w:footer="995" w:top="1280" w:bottom="1180" w:left="1020" w:right="900"/>
        </w:sectPr>
      </w:pPr>
    </w:p>
    <w:p>
      <w:pPr>
        <w:pStyle w:val="BodyText"/>
        <w:spacing w:before="7"/>
        <w:rPr>
          <w:sz w:val="12"/>
        </w:rPr>
      </w:pPr>
    </w:p>
    <w:p>
      <w:pPr>
        <w:pStyle w:val="BodyText"/>
        <w:spacing w:before="71"/>
        <w:ind w:left="778"/>
      </w:pPr>
      <w:r>
        <w:rPr/>
        <w:t>正本由托管人保管，管理人保存副本。</w:t>
      </w:r>
    </w:p>
    <w:p>
      <w:pPr>
        <w:pStyle w:val="BodyText"/>
        <w:spacing w:before="7"/>
        <w:rPr>
          <w:sz w:val="15"/>
        </w:rPr>
      </w:pPr>
    </w:p>
    <w:p>
      <w:pPr>
        <w:pStyle w:val="BodyText"/>
        <w:ind w:left="1198"/>
      </w:pPr>
      <w:r>
        <w:rPr/>
        <w:t>（六）其他账户的开立和管理</w:t>
      </w:r>
    </w:p>
    <w:p>
      <w:pPr>
        <w:pStyle w:val="BodyText"/>
        <w:spacing w:before="7"/>
        <w:rPr>
          <w:sz w:val="15"/>
        </w:rPr>
      </w:pPr>
    </w:p>
    <w:p>
      <w:pPr>
        <w:pStyle w:val="BodyText"/>
        <w:spacing w:line="417" w:lineRule="auto"/>
        <w:ind w:left="778" w:right="889" w:firstLine="419"/>
      </w:pPr>
      <w:r>
        <w:rPr>
          <w:rFonts w:ascii="Times New Roman" w:eastAsia="Times New Roman"/>
        </w:rPr>
        <w:t>1</w:t>
      </w:r>
      <w:r>
        <w:rPr/>
        <w:t>、因业务发展而需要开立的其他账户，可以根据基金合同或有关法律法规的规定，由基金托管人负责开立。新账户按有关规则使用并管理。</w:t>
      </w:r>
    </w:p>
    <w:p>
      <w:pPr>
        <w:pStyle w:val="BodyText"/>
        <w:spacing w:line="269" w:lineRule="exact"/>
        <w:ind w:left="1198"/>
      </w:pPr>
      <w:r>
        <w:rPr>
          <w:rFonts w:ascii="Times New Roman" w:eastAsia="Times New Roman"/>
        </w:rPr>
        <w:t>2</w:t>
      </w:r>
      <w:r>
        <w:rPr/>
        <w:t>、法律、法规等有关规定对相关账户的开立和管理另有规定的，从其规定办理。</w:t>
      </w:r>
    </w:p>
    <w:p>
      <w:pPr>
        <w:pStyle w:val="BodyText"/>
        <w:spacing w:before="6"/>
        <w:rPr>
          <w:sz w:val="15"/>
        </w:rPr>
      </w:pPr>
    </w:p>
    <w:p>
      <w:pPr>
        <w:pStyle w:val="BodyText"/>
        <w:spacing w:before="1"/>
        <w:ind w:left="1198"/>
      </w:pPr>
      <w:r>
        <w:rPr/>
        <w:t>（七）清算备付金账户开立和管理</w:t>
      </w:r>
    </w:p>
    <w:p>
      <w:pPr>
        <w:pStyle w:val="BodyText"/>
        <w:spacing w:before="6"/>
        <w:rPr>
          <w:sz w:val="15"/>
        </w:rPr>
      </w:pPr>
    </w:p>
    <w:p>
      <w:pPr>
        <w:pStyle w:val="BodyText"/>
        <w:spacing w:line="417" w:lineRule="auto"/>
        <w:ind w:left="778" w:right="890" w:firstLine="419"/>
      </w:pPr>
      <w:r>
        <w:rPr/>
        <w:t>清算备付金账户的开立和管理按照中国证监会和中国证券登记结算有限责任公司有关规定办理，用于证券资金清算。</w:t>
      </w:r>
    </w:p>
    <w:p>
      <w:pPr>
        <w:pStyle w:val="BodyText"/>
        <w:spacing w:before="1"/>
        <w:ind w:left="1198"/>
      </w:pPr>
      <w:r>
        <w:rPr/>
        <w:t>（八）证券账户卡保管</w:t>
      </w:r>
    </w:p>
    <w:p>
      <w:pPr>
        <w:pStyle w:val="BodyText"/>
        <w:spacing w:before="6"/>
        <w:rPr>
          <w:sz w:val="15"/>
        </w:rPr>
      </w:pPr>
    </w:p>
    <w:p>
      <w:pPr>
        <w:pStyle w:val="BodyText"/>
        <w:ind w:left="1198"/>
      </w:pPr>
      <w:r>
        <w:rPr/>
        <w:t>证券账户卡由基金托管人保管原件。</w:t>
      </w:r>
    </w:p>
    <w:p>
      <w:pPr>
        <w:pStyle w:val="BodyText"/>
        <w:spacing w:before="7"/>
        <w:rPr>
          <w:sz w:val="15"/>
        </w:rPr>
      </w:pPr>
    </w:p>
    <w:p>
      <w:pPr>
        <w:pStyle w:val="BodyText"/>
        <w:ind w:left="1198"/>
      </w:pPr>
      <w:r>
        <w:rPr/>
        <w:t>（九）基金资产投资的有关实物证券的保管</w:t>
      </w:r>
    </w:p>
    <w:p>
      <w:pPr>
        <w:pStyle w:val="BodyText"/>
        <w:spacing w:before="7"/>
        <w:rPr>
          <w:sz w:val="15"/>
        </w:rPr>
      </w:pPr>
    </w:p>
    <w:p>
      <w:pPr>
        <w:pStyle w:val="BodyText"/>
        <w:spacing w:line="417" w:lineRule="auto"/>
        <w:ind w:left="778" w:right="889" w:firstLine="419"/>
        <w:jc w:val="both"/>
      </w:pPr>
      <w:r>
        <w:rPr>
          <w:spacing w:val="-8"/>
        </w:rPr>
        <w:t>实物证券由基金托管人存放于托管银行的保管库；也可以存入中国证券登记结算有限责</w:t>
      </w:r>
      <w:r>
        <w:rPr>
          <w:spacing w:val="-10"/>
        </w:rPr>
        <w:t>任公司及其他有权保管机构的代保管库中。保管凭证由基金托管人持有。实物证券的购买和</w:t>
      </w:r>
      <w:r>
        <w:rPr>
          <w:spacing w:val="-5"/>
        </w:rPr>
        <w:t>转让，由基金托管人根据基金管理人的指令办理。</w:t>
      </w:r>
    </w:p>
    <w:p>
      <w:pPr>
        <w:pStyle w:val="BodyText"/>
        <w:ind w:left="1198"/>
      </w:pPr>
      <w:r>
        <w:rPr/>
        <w:t>（十）与基金资产有关的重大合同的保管</w:t>
      </w:r>
    </w:p>
    <w:p>
      <w:pPr>
        <w:pStyle w:val="BodyText"/>
        <w:spacing w:before="6"/>
        <w:rPr>
          <w:sz w:val="15"/>
        </w:rPr>
      </w:pPr>
    </w:p>
    <w:p>
      <w:pPr>
        <w:pStyle w:val="BodyText"/>
        <w:spacing w:line="417" w:lineRule="auto"/>
        <w:ind w:left="778" w:right="889" w:firstLine="419"/>
        <w:jc w:val="both"/>
      </w:pPr>
      <w:r>
        <w:rPr>
          <w:spacing w:val="-6"/>
        </w:rPr>
        <w:t>由基金管理人代表基金签署的与基金有关的重大合同的原件分别由基金托管人、基金管</w:t>
      </w:r>
      <w:r>
        <w:rPr>
          <w:spacing w:val="-11"/>
        </w:rPr>
        <w:t>理人保管。除本协议另有规定外，基金管理人在代表基金签署与基金有关的重大合同时应保证基金一方持有两份以上的正本，以便基金管理人和基金托管人至少各持有一份正本的原件。如上述合同只有一份正本且该正本先由基金管理人取得，则基金管理人应及时将正本送</w:t>
      </w:r>
      <w:r>
        <w:rPr>
          <w:spacing w:val="-6"/>
        </w:rPr>
        <w:t>达基金托管人处。</w:t>
      </w:r>
    </w:p>
    <w:p>
      <w:pPr>
        <w:pStyle w:val="BodyText"/>
        <w:spacing w:line="268" w:lineRule="exact"/>
        <w:ind w:left="1198"/>
      </w:pPr>
      <w:r>
        <w:rPr/>
        <w:t>八、基金资产计价、基金资产净值计算与复核</w:t>
      </w:r>
    </w:p>
    <w:p>
      <w:pPr>
        <w:pStyle w:val="BodyText"/>
        <w:spacing w:before="8"/>
        <w:rPr>
          <w:sz w:val="15"/>
        </w:rPr>
      </w:pPr>
    </w:p>
    <w:p>
      <w:pPr>
        <w:pStyle w:val="BodyText"/>
        <w:ind w:left="1198"/>
      </w:pPr>
      <w:r>
        <w:rPr/>
        <w:t>（二）基金资产净值的计算、复核与完成的时间及程序</w:t>
      </w:r>
    </w:p>
    <w:p>
      <w:pPr>
        <w:pStyle w:val="BodyText"/>
        <w:spacing w:before="6"/>
        <w:rPr>
          <w:sz w:val="15"/>
        </w:rPr>
      </w:pPr>
    </w:p>
    <w:p>
      <w:pPr>
        <w:pStyle w:val="BodyText"/>
        <w:spacing w:before="1"/>
        <w:ind w:left="1198"/>
      </w:pPr>
      <w:r>
        <w:rPr>
          <w:rFonts w:ascii="Times New Roman" w:eastAsia="Times New Roman"/>
        </w:rPr>
        <w:t>1</w:t>
      </w:r>
      <w:r>
        <w:rPr/>
        <w:t>、基金资产净值</w:t>
      </w:r>
    </w:p>
    <w:p>
      <w:pPr>
        <w:pStyle w:val="BodyText"/>
        <w:spacing w:before="6"/>
        <w:rPr>
          <w:sz w:val="15"/>
        </w:rPr>
      </w:pPr>
    </w:p>
    <w:p>
      <w:pPr>
        <w:pStyle w:val="BodyText"/>
        <w:ind w:left="1198"/>
      </w:pPr>
      <w:r>
        <w:rPr/>
        <w:t>基金资产净值是指基金资产总值减去负债后的余额。</w:t>
      </w:r>
    </w:p>
    <w:p>
      <w:pPr>
        <w:pStyle w:val="BodyText"/>
        <w:spacing w:before="7"/>
        <w:rPr>
          <w:sz w:val="15"/>
        </w:rPr>
      </w:pPr>
    </w:p>
    <w:p>
      <w:pPr>
        <w:pStyle w:val="BodyText"/>
        <w:ind w:left="1198"/>
      </w:pPr>
      <w:r>
        <w:rPr/>
        <w:t>每日计算基金资产净值及基金收益情况，并按规定公告。</w:t>
      </w:r>
    </w:p>
    <w:p>
      <w:pPr>
        <w:pStyle w:val="BodyText"/>
        <w:spacing w:before="7"/>
        <w:rPr>
          <w:sz w:val="15"/>
        </w:rPr>
      </w:pPr>
    </w:p>
    <w:p>
      <w:pPr>
        <w:pStyle w:val="BodyText"/>
        <w:spacing w:line="417" w:lineRule="auto"/>
        <w:ind w:left="778" w:right="889" w:firstLine="419"/>
      </w:pPr>
      <w:r>
        <w:rPr>
          <w:spacing w:val="-7"/>
        </w:rPr>
        <w:t>本基金每开放日公告前一开放日的基金收益情况，包括前一个开放日</w:t>
      </w:r>
      <w:r>
        <w:rPr/>
        <w:t>（</w:t>
      </w:r>
      <w:r>
        <w:rPr>
          <w:spacing w:val="-3"/>
        </w:rPr>
        <w:t>及之前或有节假日）每万份基金单位的基金收益和以前一个开放日的最近</w:t>
      </w:r>
      <w:r>
        <w:rPr>
          <w:rFonts w:ascii="Times New Roman" w:eastAsia="Times New Roman"/>
        </w:rPr>
        <w:t>7</w:t>
      </w:r>
      <w:r>
        <w:rPr>
          <w:spacing w:val="-3"/>
        </w:rPr>
        <w:t>天基金收益计算的年化收益率。</w:t>
      </w:r>
    </w:p>
    <w:p>
      <w:pPr>
        <w:pStyle w:val="BodyText"/>
        <w:spacing w:line="269" w:lineRule="exact"/>
        <w:ind w:left="1198"/>
      </w:pPr>
      <w:r>
        <w:rPr>
          <w:rFonts w:ascii="Times New Roman" w:eastAsia="Times New Roman"/>
        </w:rPr>
        <w:t>2</w:t>
      </w:r>
      <w:r>
        <w:rPr/>
        <w:t>、复核程序</w:t>
      </w:r>
    </w:p>
    <w:p>
      <w:pPr>
        <w:pStyle w:val="BodyText"/>
        <w:spacing w:before="7"/>
        <w:rPr>
          <w:sz w:val="15"/>
        </w:rPr>
      </w:pPr>
    </w:p>
    <w:p>
      <w:pPr>
        <w:pStyle w:val="BodyText"/>
        <w:spacing w:line="417" w:lineRule="auto"/>
        <w:ind w:left="778" w:right="889" w:firstLine="419"/>
      </w:pPr>
      <w:r>
        <w:rPr>
          <w:spacing w:val="-8"/>
        </w:rPr>
        <w:t>基金管理人每工作日对基金资产进行计价后，将计价结果加盖业务公章以书面形式发送</w:t>
      </w:r>
      <w:r>
        <w:rPr>
          <w:spacing w:val="-11"/>
        </w:rPr>
        <w:t>给基金托管人，基金托管人按基金合同规定的计价方法、时间、程序进行复核；经基金托管</w:t>
      </w:r>
    </w:p>
    <w:p>
      <w:pPr>
        <w:spacing w:after="0" w:line="417" w:lineRule="auto"/>
        <w:sectPr>
          <w:pgSz w:w="11910" w:h="16840"/>
          <w:pgMar w:header="877" w:footer="995" w:top="1280" w:bottom="1180" w:left="1020" w:right="900"/>
        </w:sectPr>
      </w:pPr>
    </w:p>
    <w:p>
      <w:pPr>
        <w:pStyle w:val="BodyText"/>
        <w:spacing w:before="7"/>
        <w:rPr>
          <w:sz w:val="12"/>
        </w:rPr>
      </w:pPr>
    </w:p>
    <w:p>
      <w:pPr>
        <w:pStyle w:val="BodyText"/>
        <w:spacing w:line="417" w:lineRule="auto" w:before="71"/>
        <w:ind w:left="1198" w:right="785" w:hanging="420"/>
      </w:pPr>
      <w:r>
        <w:rPr>
          <w:spacing w:val="-15"/>
        </w:rPr>
        <w:t>人复核无误后，加盖业务公章并以加密传真方式传送给基金管理人，由基金管理人对外公布。</w:t>
      </w:r>
      <w:r>
        <w:rPr>
          <w:spacing w:val="-7"/>
        </w:rPr>
        <w:t>十一、基金份额持有人名册的登记与保管</w:t>
      </w:r>
    </w:p>
    <w:p>
      <w:pPr>
        <w:pStyle w:val="BodyText"/>
        <w:spacing w:line="417" w:lineRule="auto"/>
        <w:ind w:left="778" w:right="800" w:firstLine="419"/>
      </w:pPr>
      <w:r>
        <w:rPr>
          <w:spacing w:val="-3"/>
        </w:rPr>
        <w:t>注册登记人负责编制和保管基金份额持有人名册。基金合同生效日、基金权益登记日、</w:t>
      </w:r>
      <w:r>
        <w:rPr>
          <w:spacing w:val="-8"/>
        </w:rPr>
        <w:t>基金份额持有人大会权利登记日、每月最后一个开放日的持有人名册，由注册登记机构负责编制。</w:t>
      </w:r>
    </w:p>
    <w:p>
      <w:pPr>
        <w:pStyle w:val="BodyText"/>
        <w:spacing w:line="417" w:lineRule="auto"/>
        <w:ind w:left="778" w:right="890" w:firstLine="419"/>
      </w:pPr>
      <w:r>
        <w:rPr>
          <w:spacing w:val="-8"/>
        </w:rPr>
        <w:t>基金管理人对基金份额持有人名册的保管，按国家法律法规及证券监督管理部门的要求执行。</w:t>
      </w:r>
    </w:p>
    <w:p>
      <w:pPr>
        <w:pStyle w:val="BodyText"/>
        <w:ind w:left="1198"/>
      </w:pPr>
      <w:r>
        <w:rPr/>
        <w:t>二十、争议处理</w:t>
      </w:r>
    </w:p>
    <w:p>
      <w:pPr>
        <w:pStyle w:val="BodyText"/>
        <w:spacing w:before="6"/>
        <w:rPr>
          <w:sz w:val="15"/>
        </w:rPr>
      </w:pPr>
    </w:p>
    <w:p>
      <w:pPr>
        <w:pStyle w:val="BodyText"/>
        <w:spacing w:line="417" w:lineRule="auto"/>
        <w:ind w:left="778" w:right="890" w:firstLine="419"/>
        <w:jc w:val="both"/>
      </w:pPr>
      <w:r>
        <w:rPr>
          <w:spacing w:val="-12"/>
        </w:rPr>
        <w:t>基金管理人、基金托管人之间因本协议产生的或与本协议有关的争议应当通过协商或者调解解决，协商或者调解不能解决的，可将争议提交中国国际经济贸易仲裁委员会，根据提</w:t>
      </w:r>
      <w:r>
        <w:rPr>
          <w:spacing w:val="-10"/>
        </w:rPr>
        <w:t>交仲裁时该会的仲裁规则进行仲裁，仲裁地点为北京。仲裁裁决是终局的，对仲裁各方当事</w:t>
      </w:r>
      <w:r>
        <w:rPr>
          <w:spacing w:val="-5"/>
        </w:rPr>
        <w:t>人均具有约束力。</w:t>
      </w:r>
    </w:p>
    <w:p>
      <w:pPr>
        <w:pStyle w:val="BodyText"/>
        <w:spacing w:line="417" w:lineRule="auto"/>
        <w:ind w:left="778" w:right="785" w:firstLine="419"/>
      </w:pPr>
      <w:r>
        <w:rPr>
          <w:spacing w:val="-14"/>
        </w:rPr>
        <w:t>争议处理期间，双方当事人应恪守基金管理人和基金托管人职责，各自继续忠实、勤勉、</w:t>
      </w:r>
      <w:r>
        <w:rPr>
          <w:spacing w:val="-7"/>
        </w:rPr>
        <w:t>尽责地履行基金合同和本托管协议规定的义务，维护基金份额持有人的合法权益。</w:t>
      </w:r>
    </w:p>
    <w:p>
      <w:pPr>
        <w:pStyle w:val="BodyText"/>
        <w:ind w:left="1198"/>
      </w:pPr>
      <w:r>
        <w:rPr/>
        <w:t>二十二、托管协议的修改与终止</w:t>
      </w:r>
    </w:p>
    <w:p>
      <w:pPr>
        <w:pStyle w:val="BodyText"/>
        <w:spacing w:before="6"/>
        <w:rPr>
          <w:sz w:val="15"/>
        </w:rPr>
      </w:pPr>
    </w:p>
    <w:p>
      <w:pPr>
        <w:pStyle w:val="BodyText"/>
        <w:spacing w:line="417" w:lineRule="auto" w:before="1"/>
        <w:ind w:left="778" w:right="889" w:firstLine="419"/>
        <w:jc w:val="both"/>
      </w:pPr>
      <w:r>
        <w:rPr>
          <w:spacing w:val="-8"/>
        </w:rPr>
        <w:t>本协议双方当事人经协商一致，可以对协议进行修改。修改后的新协议，其内容不得与</w:t>
      </w:r>
      <w:r>
        <w:rPr>
          <w:spacing w:val="-11"/>
        </w:rPr>
        <w:t>基金合同的规定有任何冲突。修改后的新协议，报中国证监会备案后生效，须经证监会批准</w:t>
      </w:r>
      <w:r>
        <w:rPr>
          <w:spacing w:val="-6"/>
        </w:rPr>
        <w:t>的，经其批准后生效。</w:t>
      </w:r>
    </w:p>
    <w:p>
      <w:pPr>
        <w:pStyle w:val="BodyText"/>
        <w:spacing w:line="269" w:lineRule="exact"/>
        <w:ind w:left="1198"/>
      </w:pPr>
      <w:r>
        <w:rPr/>
        <w:t>发生以下情况，本托管协议终止：</w:t>
      </w:r>
    </w:p>
    <w:p>
      <w:pPr>
        <w:pStyle w:val="BodyText"/>
        <w:spacing w:before="6"/>
        <w:rPr>
          <w:sz w:val="15"/>
        </w:rPr>
      </w:pPr>
    </w:p>
    <w:p>
      <w:pPr>
        <w:pStyle w:val="ListParagraph"/>
        <w:numPr>
          <w:ilvl w:val="0"/>
          <w:numId w:val="40"/>
        </w:numPr>
        <w:tabs>
          <w:tab w:pos="1727" w:val="left" w:leader="none"/>
        </w:tabs>
        <w:spacing w:line="240" w:lineRule="auto" w:before="0" w:after="0"/>
        <w:ind w:left="1727" w:right="0" w:hanging="529"/>
        <w:jc w:val="left"/>
        <w:rPr>
          <w:sz w:val="21"/>
        </w:rPr>
      </w:pPr>
      <w:r>
        <w:rPr>
          <w:spacing w:val="-3"/>
          <w:sz w:val="21"/>
        </w:rPr>
        <w:t>基金或本基金基金合同终止。</w:t>
      </w:r>
    </w:p>
    <w:p>
      <w:pPr>
        <w:pStyle w:val="BodyText"/>
        <w:spacing w:before="7"/>
        <w:rPr>
          <w:sz w:val="15"/>
        </w:rPr>
      </w:pPr>
    </w:p>
    <w:p>
      <w:pPr>
        <w:pStyle w:val="ListParagraph"/>
        <w:numPr>
          <w:ilvl w:val="0"/>
          <w:numId w:val="40"/>
        </w:numPr>
        <w:tabs>
          <w:tab w:pos="1727" w:val="left" w:leader="none"/>
        </w:tabs>
        <w:spacing w:line="240" w:lineRule="auto" w:before="0" w:after="0"/>
        <w:ind w:left="1727" w:right="0" w:hanging="529"/>
        <w:jc w:val="left"/>
        <w:rPr>
          <w:sz w:val="21"/>
        </w:rPr>
      </w:pPr>
      <w:r>
        <w:rPr>
          <w:spacing w:val="-3"/>
          <w:sz w:val="21"/>
        </w:rPr>
        <w:t>基金托管人解散、依法被撤销、破产或由其他基金托管人接管基金资产。</w:t>
      </w:r>
    </w:p>
    <w:p>
      <w:pPr>
        <w:pStyle w:val="BodyText"/>
        <w:spacing w:before="7"/>
        <w:rPr>
          <w:sz w:val="15"/>
        </w:rPr>
      </w:pPr>
    </w:p>
    <w:p>
      <w:pPr>
        <w:pStyle w:val="ListParagraph"/>
        <w:numPr>
          <w:ilvl w:val="0"/>
          <w:numId w:val="40"/>
        </w:numPr>
        <w:tabs>
          <w:tab w:pos="1727" w:val="left" w:leader="none"/>
        </w:tabs>
        <w:spacing w:line="240" w:lineRule="auto" w:before="0" w:after="0"/>
        <w:ind w:left="1727" w:right="0" w:hanging="529"/>
        <w:jc w:val="left"/>
        <w:rPr>
          <w:sz w:val="21"/>
        </w:rPr>
      </w:pPr>
      <w:r>
        <w:rPr>
          <w:spacing w:val="-3"/>
          <w:sz w:val="21"/>
        </w:rPr>
        <w:t>基金管理人解散、依法被撤销、破产或由其他基金管理人接管基金管理权。</w:t>
      </w:r>
    </w:p>
    <w:p>
      <w:pPr>
        <w:pStyle w:val="BodyText"/>
        <w:spacing w:before="7"/>
        <w:rPr>
          <w:sz w:val="15"/>
        </w:rPr>
      </w:pPr>
    </w:p>
    <w:p>
      <w:pPr>
        <w:pStyle w:val="ListParagraph"/>
        <w:numPr>
          <w:ilvl w:val="0"/>
          <w:numId w:val="40"/>
        </w:numPr>
        <w:tabs>
          <w:tab w:pos="1727" w:val="left" w:leader="none"/>
        </w:tabs>
        <w:spacing w:line="240" w:lineRule="auto" w:before="0" w:after="0"/>
        <w:ind w:left="1727" w:right="0" w:hanging="529"/>
        <w:jc w:val="left"/>
        <w:rPr>
          <w:sz w:val="21"/>
        </w:rPr>
      </w:pPr>
      <w:r>
        <w:rPr>
          <w:spacing w:val="-12"/>
          <w:sz w:val="21"/>
        </w:rPr>
        <w:t>发生《基金法》、基金合同及其他法律法规规定的终止事项。”</w:t>
      </w:r>
    </w:p>
    <w:p>
      <w:pPr>
        <w:pStyle w:val="BodyText"/>
        <w:rPr>
          <w:sz w:val="22"/>
        </w:rPr>
      </w:pPr>
    </w:p>
    <w:p>
      <w:pPr>
        <w:pStyle w:val="Heading1"/>
        <w:spacing w:before="179"/>
      </w:pPr>
      <w:bookmarkStart w:name="_bookmark22" w:id="23"/>
      <w:bookmarkEnd w:id="23"/>
      <w:r>
        <w:rPr>
          <w:b w:val="0"/>
        </w:rPr>
      </w:r>
      <w:r>
        <w:rPr/>
        <w:t>二十三、对基金份额持有人的服务</w:t>
      </w:r>
    </w:p>
    <w:p>
      <w:pPr>
        <w:pStyle w:val="BodyText"/>
        <w:rPr>
          <w:b/>
          <w:sz w:val="20"/>
        </w:rPr>
      </w:pPr>
    </w:p>
    <w:p>
      <w:pPr>
        <w:pStyle w:val="BodyText"/>
        <w:spacing w:before="7"/>
        <w:rPr>
          <w:b/>
          <w:sz w:val="15"/>
        </w:rPr>
      </w:pPr>
    </w:p>
    <w:p>
      <w:pPr>
        <w:pStyle w:val="BodyText"/>
        <w:ind w:left="1198"/>
      </w:pPr>
      <w:r>
        <w:rPr>
          <w:spacing w:val="-3"/>
        </w:rPr>
        <w:t>对本基金份额持有人的服务主要由基金管理人和代销机构提供。</w:t>
      </w:r>
    </w:p>
    <w:p>
      <w:pPr>
        <w:pStyle w:val="BodyText"/>
        <w:spacing w:before="7"/>
        <w:rPr>
          <w:sz w:val="15"/>
        </w:rPr>
      </w:pPr>
    </w:p>
    <w:p>
      <w:pPr>
        <w:pStyle w:val="BodyText"/>
        <w:spacing w:line="417" w:lineRule="auto"/>
        <w:ind w:left="778" w:right="890" w:firstLine="419"/>
      </w:pPr>
      <w:r>
        <w:rPr>
          <w:spacing w:val="-7"/>
        </w:rPr>
        <w:t>基金管理人承诺为基金份额持有人提供一系列的服务。基金管理人将根据基金份额持有</w:t>
      </w:r>
      <w:r>
        <w:rPr>
          <w:spacing w:val="-5"/>
        </w:rPr>
        <w:t>人的需要和市场的变化，增加或变更服务项目。主要服务内容如下：</w:t>
      </w:r>
    </w:p>
    <w:p>
      <w:pPr>
        <w:pStyle w:val="BodyText"/>
        <w:ind w:left="1198"/>
      </w:pPr>
      <w:r>
        <w:rPr/>
        <w:t>（一）资料发送</w:t>
      </w:r>
    </w:p>
    <w:p>
      <w:pPr>
        <w:pStyle w:val="BodyText"/>
        <w:spacing w:before="6"/>
        <w:rPr>
          <w:sz w:val="15"/>
        </w:rPr>
      </w:pPr>
    </w:p>
    <w:p>
      <w:pPr>
        <w:pStyle w:val="BodyText"/>
        <w:spacing w:before="1"/>
        <w:ind w:left="1198"/>
      </w:pPr>
      <w:r>
        <w:rPr>
          <w:rFonts w:ascii="Times New Roman" w:eastAsia="Times New Roman"/>
        </w:rPr>
        <w:t>1</w:t>
      </w:r>
      <w:r>
        <w:rPr/>
        <w:t>、基金交易对账单</w:t>
      </w:r>
    </w:p>
    <w:p>
      <w:pPr>
        <w:spacing w:after="0"/>
        <w:sectPr>
          <w:pgSz w:w="11910" w:h="16840"/>
          <w:pgMar w:header="877" w:footer="995" w:top="1280" w:bottom="1180" w:left="1020" w:right="900"/>
        </w:sectPr>
      </w:pPr>
    </w:p>
    <w:p>
      <w:pPr>
        <w:pStyle w:val="BodyText"/>
        <w:spacing w:before="7"/>
        <w:rPr>
          <w:sz w:val="12"/>
        </w:rPr>
      </w:pPr>
    </w:p>
    <w:p>
      <w:pPr>
        <w:pStyle w:val="BodyText"/>
        <w:spacing w:line="417" w:lineRule="auto" w:before="71"/>
        <w:ind w:left="778" w:right="800" w:firstLine="419"/>
      </w:pPr>
      <w:r>
        <w:rPr>
          <w:spacing w:val="-7"/>
        </w:rPr>
        <w:t>基金管理人根据持有人账户情况定期或不定期发送对账单，但由于基金份额持有人在本</w:t>
      </w:r>
      <w:r>
        <w:rPr>
          <w:spacing w:val="-5"/>
        </w:rPr>
        <w:t>公司未详实填写或更新客户资料</w:t>
      </w:r>
      <w:r>
        <w:rPr/>
        <w:t>（</w:t>
      </w:r>
      <w:r>
        <w:rPr>
          <w:spacing w:val="-3"/>
        </w:rPr>
        <w:t>含姓名、手机号码、电子邮箱、邮寄地址、邮政编码等</w:t>
      </w:r>
      <w:r>
        <w:rPr/>
        <w:t>） </w:t>
      </w:r>
      <w:r>
        <w:rPr>
          <w:spacing w:val="-3"/>
        </w:rPr>
        <w:t>导致基金管理人无法送出的除外。</w:t>
      </w:r>
    </w:p>
    <w:p>
      <w:pPr>
        <w:pStyle w:val="BodyText"/>
        <w:spacing w:line="269" w:lineRule="exact"/>
        <w:ind w:left="1198"/>
      </w:pPr>
      <w:r>
        <w:rPr>
          <w:rFonts w:ascii="Times New Roman" w:eastAsia="Times New Roman"/>
        </w:rPr>
        <w:t>2</w:t>
      </w:r>
      <w:r>
        <w:rPr/>
        <w:t>、其他相关的信息资料</w:t>
      </w:r>
    </w:p>
    <w:p>
      <w:pPr>
        <w:pStyle w:val="BodyText"/>
        <w:spacing w:before="7"/>
        <w:rPr>
          <w:sz w:val="15"/>
        </w:rPr>
      </w:pPr>
    </w:p>
    <w:p>
      <w:pPr>
        <w:pStyle w:val="BodyText"/>
        <w:spacing w:line="417" w:lineRule="auto"/>
        <w:ind w:left="778" w:right="800" w:firstLine="419"/>
      </w:pPr>
      <w:r>
        <w:rPr/>
        <w:t>指随基金交易对账单不定期发送的基金资讯材料，如基金新产品或新服务的相关材料、客户服务问答等。</w:t>
      </w:r>
    </w:p>
    <w:p>
      <w:pPr>
        <w:pStyle w:val="BodyText"/>
        <w:spacing w:line="269" w:lineRule="exact"/>
        <w:ind w:left="1198"/>
      </w:pPr>
      <w:r>
        <w:rPr/>
        <w:t>（二）电子交易</w:t>
      </w:r>
    </w:p>
    <w:p>
      <w:pPr>
        <w:pStyle w:val="BodyText"/>
        <w:spacing w:before="7"/>
        <w:rPr>
          <w:sz w:val="15"/>
        </w:rPr>
      </w:pPr>
    </w:p>
    <w:p>
      <w:pPr>
        <w:pStyle w:val="BodyText"/>
        <w:spacing w:line="417" w:lineRule="auto"/>
        <w:ind w:left="778" w:right="785" w:firstLine="419"/>
      </w:pPr>
      <w:r>
        <w:rPr>
          <w:spacing w:val="-9"/>
        </w:rPr>
        <w:t>持有中国建设银行储蓄卡、中国农业银行借记卡、中国工商银行借记卡、中国银行借记</w:t>
      </w:r>
      <w:r>
        <w:rPr>
          <w:spacing w:val="-11"/>
        </w:rPr>
        <w:t>卡、招商银行储蓄卡、交通银行太平洋借记卡、兴业银行借记卡、民生银行借记卡、浦发银</w:t>
      </w:r>
      <w:r>
        <w:rPr>
          <w:spacing w:val="-17"/>
        </w:rPr>
        <w:t>行借记卡、广发银行借记卡、上海银行借记卡、平安银行借记卡、中国邮政储蓄银行借记卡、</w:t>
      </w:r>
      <w:r>
        <w:rPr>
          <w:spacing w:val="-7"/>
        </w:rPr>
        <w:t>华夏银行借记卡等银行卡的个人投资者，以及在华夏基金投资理财中心开户的个人投资者， </w:t>
      </w:r>
      <w:r>
        <w:rPr>
          <w:spacing w:val="-8"/>
        </w:rPr>
        <w:t>在登录本公司网站</w:t>
      </w:r>
      <w:r>
        <w:rPr>
          <w:spacing w:val="-4"/>
        </w:rPr>
        <w:t>（</w:t>
      </w:r>
      <w:hyperlink r:id="rId10">
        <w:r>
          <w:rPr>
            <w:rFonts w:ascii="Times New Roman" w:eastAsia="Times New Roman"/>
            <w:spacing w:val="-4"/>
          </w:rPr>
          <w:t>www.ChinaAMC.com</w:t>
        </w:r>
      </w:hyperlink>
      <w:r>
        <w:rPr>
          <w:spacing w:val="-4"/>
        </w:rPr>
        <w:t>）</w:t>
      </w:r>
      <w:r>
        <w:rPr>
          <w:spacing w:val="-6"/>
        </w:rPr>
        <w:t>或本公司移动客户端，与本公司达成电子交易的</w:t>
      </w:r>
      <w:r>
        <w:rPr>
          <w:spacing w:val="-16"/>
        </w:rPr>
        <w:t>相关协议，接受本公司有关服务条款并办理相关手续后，即可办理基金账户开立、基金申购、</w:t>
      </w:r>
      <w:r>
        <w:rPr>
          <w:spacing w:val="-13"/>
        </w:rPr>
        <w:t>赎回、转换、资料变更、信息查询等各项业务，具体业务办理情况及业务规则请登录本公司</w:t>
      </w:r>
      <w:r>
        <w:rPr>
          <w:spacing w:val="-7"/>
        </w:rPr>
        <w:t>网站查询。</w:t>
      </w:r>
    </w:p>
    <w:p>
      <w:pPr>
        <w:pStyle w:val="BodyText"/>
        <w:spacing w:line="417" w:lineRule="auto"/>
        <w:ind w:left="778" w:right="800" w:firstLine="419"/>
      </w:pPr>
      <w:r>
        <w:rPr>
          <w:spacing w:val="-3"/>
        </w:rPr>
        <w:t>在华夏基金投资理财中心开户的机构投资者，与本公司达成机构网上交易的相关协议， </w:t>
      </w:r>
      <w:r>
        <w:rPr>
          <w:spacing w:val="-8"/>
          <w:w w:val="100"/>
        </w:rPr>
        <w:t>接受本公司有关服务条款并办理相关手续后，即可登录本公司网站</w:t>
      </w:r>
      <w:r>
        <w:rPr>
          <w:w w:val="100"/>
        </w:rPr>
        <w:t>（</w:t>
      </w:r>
      <w:hyperlink r:id="rId10">
        <w:r>
          <w:rPr>
            <w:rFonts w:ascii="Times New Roman" w:eastAsia="Times New Roman"/>
            <w:spacing w:val="-2"/>
            <w:w w:val="100"/>
          </w:rPr>
          <w:t>ww</w:t>
        </w:r>
        <w:r>
          <w:rPr>
            <w:rFonts w:ascii="Times New Roman" w:eastAsia="Times New Roman"/>
            <w:spacing w:val="-16"/>
            <w:w w:val="100"/>
          </w:rPr>
          <w:t>w</w:t>
        </w:r>
        <w:r>
          <w:rPr>
            <w:rFonts w:ascii="Times New Roman" w:eastAsia="Times New Roman"/>
            <w:w w:val="100"/>
          </w:rPr>
          <w:t>.Ch</w:t>
        </w:r>
        <w:r>
          <w:rPr>
            <w:rFonts w:ascii="Times New Roman" w:eastAsia="Times New Roman"/>
            <w:spacing w:val="-4"/>
            <w:w w:val="100"/>
          </w:rPr>
          <w:t>i</w:t>
        </w:r>
        <w:r>
          <w:rPr>
            <w:rFonts w:ascii="Times New Roman" w:eastAsia="Times New Roman"/>
            <w:w w:val="100"/>
          </w:rPr>
          <w:t>naA</w:t>
        </w:r>
        <w:r>
          <w:rPr>
            <w:rFonts w:ascii="Times New Roman" w:eastAsia="Times New Roman"/>
            <w:spacing w:val="-3"/>
            <w:w w:val="100"/>
          </w:rPr>
          <w:t>M</w:t>
        </w:r>
        <w:r>
          <w:rPr>
            <w:rFonts w:ascii="Times New Roman" w:eastAsia="Times New Roman"/>
            <w:w w:val="100"/>
          </w:rPr>
          <w:t>C.</w:t>
        </w:r>
        <w:r>
          <w:rPr>
            <w:rFonts w:ascii="Times New Roman" w:eastAsia="Times New Roman"/>
            <w:spacing w:val="-3"/>
            <w:w w:val="100"/>
          </w:rPr>
          <w:t>c</w:t>
        </w:r>
        <w:r>
          <w:rPr>
            <w:rFonts w:ascii="Times New Roman" w:eastAsia="Times New Roman"/>
            <w:w w:val="100"/>
          </w:rPr>
          <w:t>o</w:t>
        </w:r>
        <w:r>
          <w:rPr>
            <w:rFonts w:ascii="Times New Roman" w:eastAsia="Times New Roman"/>
            <w:spacing w:val="-2"/>
            <w:w w:val="100"/>
          </w:rPr>
          <w:t>m</w:t>
        </w:r>
      </w:hyperlink>
      <w:r>
        <w:rPr>
          <w:spacing w:val="-106"/>
          <w:w w:val="100"/>
        </w:rPr>
        <w:t>），</w:t>
      </w:r>
      <w:r>
        <w:rPr>
          <w:spacing w:val="-9"/>
        </w:rPr>
        <w:t>办理货币基金的申购、赎回及密码修改、信息查询等业务。具体业务办理规则请登录本公司</w:t>
      </w:r>
      <w:r>
        <w:rPr>
          <w:spacing w:val="-5"/>
        </w:rPr>
        <w:t>网站查询。</w:t>
      </w:r>
    </w:p>
    <w:p>
      <w:pPr>
        <w:pStyle w:val="BodyText"/>
        <w:spacing w:line="268" w:lineRule="exact"/>
        <w:ind w:left="1198"/>
      </w:pPr>
      <w:r>
        <w:rPr/>
        <w:t>（三）电子邮件及短信服务</w:t>
      </w:r>
    </w:p>
    <w:p>
      <w:pPr>
        <w:pStyle w:val="BodyText"/>
        <w:spacing w:before="6"/>
        <w:rPr>
          <w:sz w:val="15"/>
        </w:rPr>
      </w:pPr>
    </w:p>
    <w:p>
      <w:pPr>
        <w:pStyle w:val="BodyText"/>
        <w:spacing w:line="417" w:lineRule="auto"/>
        <w:ind w:left="778" w:right="889" w:firstLine="419"/>
      </w:pPr>
      <w:r>
        <w:rPr>
          <w:spacing w:val="-7"/>
        </w:rPr>
        <w:t>投资者在申请开立本公司基金账户时如预留准确的电子邮箱地址、手机号码，将不定期</w:t>
      </w:r>
      <w:r>
        <w:rPr>
          <w:spacing w:val="-5"/>
        </w:rPr>
        <w:t>通过邮件、短信形式获得市场资讯、产品信息、公司动态等服务提示。</w:t>
      </w:r>
    </w:p>
    <w:p>
      <w:pPr>
        <w:pStyle w:val="BodyText"/>
        <w:ind w:left="1198"/>
      </w:pPr>
      <w:r>
        <w:rPr/>
        <w:t>（四）呼叫中心</w:t>
      </w:r>
    </w:p>
    <w:p>
      <w:pPr>
        <w:pStyle w:val="BodyText"/>
        <w:spacing w:before="7"/>
        <w:rPr>
          <w:sz w:val="15"/>
        </w:rPr>
      </w:pPr>
    </w:p>
    <w:p>
      <w:pPr>
        <w:pStyle w:val="BodyText"/>
        <w:ind w:left="1198"/>
      </w:pPr>
      <w:r>
        <w:rPr>
          <w:rFonts w:ascii="Times New Roman" w:eastAsia="Times New Roman"/>
        </w:rPr>
        <w:t>1</w:t>
      </w:r>
      <w:r>
        <w:rPr/>
        <w:t>、自动语音服务</w:t>
      </w:r>
    </w:p>
    <w:p>
      <w:pPr>
        <w:pStyle w:val="BodyText"/>
        <w:spacing w:before="7"/>
        <w:rPr>
          <w:sz w:val="15"/>
        </w:rPr>
      </w:pPr>
    </w:p>
    <w:p>
      <w:pPr>
        <w:pStyle w:val="BodyText"/>
        <w:spacing w:line="417" w:lineRule="auto"/>
        <w:ind w:left="778" w:right="889" w:firstLine="419"/>
      </w:pPr>
      <w:r>
        <w:rPr/>
        <w:t>提供每周</w:t>
      </w:r>
      <w:r>
        <w:rPr>
          <w:rFonts w:ascii="Times New Roman" w:eastAsia="Times New Roman"/>
        </w:rPr>
        <w:t>7</w:t>
      </w:r>
      <w:r>
        <w:rPr/>
        <w:t>天、每天</w:t>
      </w:r>
      <w:r>
        <w:rPr>
          <w:rFonts w:ascii="Times New Roman" w:eastAsia="Times New Roman"/>
        </w:rPr>
        <w:t>24</w:t>
      </w:r>
      <w:r>
        <w:rPr/>
        <w:t>小时的自动语音服务，客户可通过电话查询最新热点问题、基金份额净值、基金账户余额等信息。</w:t>
      </w:r>
    </w:p>
    <w:p>
      <w:pPr>
        <w:pStyle w:val="BodyText"/>
        <w:spacing w:line="269" w:lineRule="exact"/>
        <w:ind w:left="1198"/>
      </w:pPr>
      <w:r>
        <w:rPr>
          <w:rFonts w:ascii="Times New Roman" w:eastAsia="Times New Roman"/>
        </w:rPr>
        <w:t>2</w:t>
      </w:r>
      <w:r>
        <w:rPr/>
        <w:t>、人工电话服务</w:t>
      </w:r>
    </w:p>
    <w:p>
      <w:pPr>
        <w:pStyle w:val="BodyText"/>
        <w:spacing w:before="6"/>
        <w:rPr>
          <w:sz w:val="15"/>
        </w:rPr>
      </w:pPr>
    </w:p>
    <w:p>
      <w:pPr>
        <w:pStyle w:val="BodyText"/>
        <w:spacing w:line="417" w:lineRule="auto" w:before="1"/>
        <w:ind w:left="778" w:right="888" w:firstLine="419"/>
      </w:pPr>
      <w:r>
        <w:rPr/>
        <w:t>提供每周</w:t>
      </w:r>
      <w:r>
        <w:rPr>
          <w:rFonts w:ascii="Times New Roman" w:eastAsia="Times New Roman"/>
        </w:rPr>
        <w:t>7</w:t>
      </w:r>
      <w:r>
        <w:rPr/>
        <w:t>天的人工服务。周一至周五的人工电话服务时间为</w:t>
      </w:r>
      <w:r>
        <w:rPr>
          <w:rFonts w:ascii="Times New Roman" w:eastAsia="Times New Roman"/>
        </w:rPr>
        <w:t>8</w:t>
      </w:r>
      <w:r>
        <w:rPr/>
        <w:t>：</w:t>
      </w:r>
      <w:r>
        <w:rPr>
          <w:rFonts w:ascii="Times New Roman" w:eastAsia="Times New Roman"/>
        </w:rPr>
        <w:t>30~21</w:t>
      </w:r>
      <w:r>
        <w:rPr/>
        <w:t>：</w:t>
      </w:r>
      <w:r>
        <w:rPr>
          <w:rFonts w:ascii="Times New Roman" w:eastAsia="Times New Roman"/>
        </w:rPr>
        <w:t>00</w:t>
      </w:r>
      <w:r>
        <w:rPr/>
        <w:t>，周六至周日的人工电话服务时间为</w:t>
      </w:r>
      <w:r>
        <w:rPr>
          <w:rFonts w:ascii="Times New Roman" w:eastAsia="Times New Roman"/>
        </w:rPr>
        <w:t>8</w:t>
      </w:r>
      <w:r>
        <w:rPr/>
        <w:t>：</w:t>
      </w:r>
      <w:r>
        <w:rPr>
          <w:rFonts w:ascii="Times New Roman" w:eastAsia="Times New Roman"/>
        </w:rPr>
        <w:t>30~17</w:t>
      </w:r>
      <w:r>
        <w:rPr/>
        <w:t>：</w:t>
      </w:r>
      <w:r>
        <w:rPr>
          <w:rFonts w:ascii="Times New Roman" w:eastAsia="Times New Roman"/>
        </w:rPr>
        <w:t>00</w:t>
      </w:r>
      <w:r>
        <w:rPr/>
        <w:t>，法定节假日除外。</w:t>
      </w:r>
    </w:p>
    <w:p>
      <w:pPr>
        <w:pStyle w:val="BodyText"/>
        <w:ind w:left="1198"/>
        <w:rPr>
          <w:rFonts w:ascii="Times New Roman" w:eastAsia="Times New Roman"/>
        </w:rPr>
      </w:pPr>
      <w:r>
        <w:rPr/>
        <w:t>客户服务电话：</w:t>
      </w:r>
      <w:r>
        <w:rPr>
          <w:rFonts w:ascii="Times New Roman" w:eastAsia="Times New Roman"/>
        </w:rPr>
        <w:t>400-818-6666</w:t>
      </w:r>
    </w:p>
    <w:p>
      <w:pPr>
        <w:spacing w:after="0"/>
        <w:rPr>
          <w:rFonts w:ascii="Times New Roman" w:eastAsia="Times New Roman"/>
        </w:rPr>
        <w:sectPr>
          <w:pgSz w:w="11910" w:h="16840"/>
          <w:pgMar w:header="877" w:footer="995" w:top="1280" w:bottom="1180" w:left="1020" w:right="900"/>
        </w:sectPr>
      </w:pPr>
    </w:p>
    <w:p>
      <w:pPr>
        <w:pStyle w:val="BodyText"/>
        <w:spacing w:before="4"/>
        <w:rPr>
          <w:rFonts w:ascii="Times New Roman"/>
          <w:sz w:val="13"/>
        </w:rPr>
      </w:pPr>
    </w:p>
    <w:p>
      <w:pPr>
        <w:pStyle w:val="BodyText"/>
        <w:spacing w:before="79"/>
        <w:ind w:left="1198"/>
        <w:rPr>
          <w:rFonts w:ascii="Times New Roman" w:eastAsia="Times New Roman"/>
        </w:rPr>
      </w:pPr>
      <w:r>
        <w:rPr/>
        <w:t>客户服务传真：</w:t>
      </w:r>
      <w:r>
        <w:rPr>
          <w:rFonts w:ascii="Times New Roman" w:eastAsia="Times New Roman"/>
        </w:rPr>
        <w:t>010-63136700</w:t>
      </w:r>
    </w:p>
    <w:p>
      <w:pPr>
        <w:pStyle w:val="BodyText"/>
        <w:spacing w:before="3"/>
        <w:rPr>
          <w:rFonts w:ascii="Times New Roman"/>
          <w:sz w:val="17"/>
        </w:rPr>
      </w:pPr>
    </w:p>
    <w:p>
      <w:pPr>
        <w:pStyle w:val="BodyText"/>
        <w:ind w:left="1198"/>
      </w:pPr>
      <w:r>
        <w:rPr/>
        <w:t>（五）在线服务</w:t>
      </w:r>
    </w:p>
    <w:p>
      <w:pPr>
        <w:pStyle w:val="BodyText"/>
        <w:spacing w:before="7"/>
        <w:rPr>
          <w:sz w:val="15"/>
        </w:rPr>
      </w:pPr>
    </w:p>
    <w:p>
      <w:pPr>
        <w:pStyle w:val="BodyText"/>
        <w:ind w:left="1198"/>
      </w:pPr>
      <w:r>
        <w:rPr/>
        <w:t>投资者可通过本公司网站、</w:t>
      </w:r>
      <w:r>
        <w:rPr>
          <w:rFonts w:ascii="Times New Roman" w:eastAsia="Times New Roman"/>
        </w:rPr>
        <w:t>APP</w:t>
      </w:r>
      <w:r>
        <w:rPr/>
        <w:t>、微信公众号、微官网等渠道获得在线服务。</w:t>
      </w:r>
    </w:p>
    <w:p>
      <w:pPr>
        <w:pStyle w:val="BodyText"/>
        <w:spacing w:before="6"/>
        <w:rPr>
          <w:sz w:val="15"/>
        </w:rPr>
      </w:pPr>
    </w:p>
    <w:p>
      <w:pPr>
        <w:pStyle w:val="BodyText"/>
        <w:ind w:left="1198"/>
      </w:pPr>
      <w:r>
        <w:rPr>
          <w:rFonts w:ascii="Times New Roman" w:eastAsia="Times New Roman"/>
        </w:rPr>
        <w:t>1</w:t>
      </w:r>
      <w:r>
        <w:rPr/>
        <w:t>、查询服务</w:t>
      </w:r>
    </w:p>
    <w:p>
      <w:pPr>
        <w:pStyle w:val="BodyText"/>
        <w:spacing w:before="7"/>
        <w:rPr>
          <w:sz w:val="15"/>
        </w:rPr>
      </w:pPr>
    </w:p>
    <w:p>
      <w:pPr>
        <w:pStyle w:val="BodyText"/>
        <w:ind w:left="1198"/>
      </w:pPr>
      <w:r>
        <w:rPr>
          <w:spacing w:val="-9"/>
          <w:w w:val="100"/>
        </w:rPr>
        <w:t>投资者可登录本公司网站“基金账户查询”，查询基金账户情况、更改个人信息。</w:t>
      </w:r>
    </w:p>
    <w:p>
      <w:pPr>
        <w:pStyle w:val="BodyText"/>
        <w:spacing w:before="7"/>
        <w:rPr>
          <w:sz w:val="15"/>
        </w:rPr>
      </w:pPr>
    </w:p>
    <w:p>
      <w:pPr>
        <w:pStyle w:val="BodyText"/>
        <w:ind w:left="1198"/>
      </w:pPr>
      <w:r>
        <w:rPr>
          <w:rFonts w:ascii="Times New Roman" w:eastAsia="Times New Roman"/>
        </w:rPr>
        <w:t>2</w:t>
      </w:r>
      <w:r>
        <w:rPr/>
        <w:t>、自助服务</w:t>
      </w:r>
    </w:p>
    <w:p>
      <w:pPr>
        <w:pStyle w:val="BodyText"/>
        <w:spacing w:before="7"/>
        <w:rPr>
          <w:sz w:val="15"/>
        </w:rPr>
      </w:pPr>
    </w:p>
    <w:p>
      <w:pPr>
        <w:pStyle w:val="BodyText"/>
        <w:spacing w:line="417" w:lineRule="auto"/>
        <w:ind w:left="778" w:right="889" w:firstLine="419"/>
      </w:pPr>
      <w:r>
        <w:rPr/>
        <w:t>在线客服提供每周</w:t>
      </w:r>
      <w:r>
        <w:rPr>
          <w:rFonts w:ascii="Times New Roman" w:eastAsia="Times New Roman"/>
        </w:rPr>
        <w:t>7</w:t>
      </w:r>
      <w:r>
        <w:rPr/>
        <w:t>天、每天</w:t>
      </w:r>
      <w:r>
        <w:rPr>
          <w:rFonts w:ascii="Times New Roman" w:eastAsia="Times New Roman"/>
        </w:rPr>
        <w:t>24</w:t>
      </w:r>
      <w:r>
        <w:rPr/>
        <w:t>小时的自助服务，投资者可通过在线客服查询最新热点问题、业务规则、基金份额净值等信息。</w:t>
      </w:r>
    </w:p>
    <w:p>
      <w:pPr>
        <w:pStyle w:val="BodyText"/>
        <w:ind w:left="1198"/>
      </w:pPr>
      <w:r>
        <w:rPr>
          <w:rFonts w:ascii="Times New Roman" w:eastAsia="Times New Roman"/>
        </w:rPr>
        <w:t>3</w:t>
      </w:r>
      <w:r>
        <w:rPr/>
        <w:t>、人工服务</w:t>
      </w:r>
    </w:p>
    <w:p>
      <w:pPr>
        <w:pStyle w:val="BodyText"/>
        <w:spacing w:before="7"/>
        <w:rPr>
          <w:sz w:val="15"/>
        </w:rPr>
      </w:pPr>
    </w:p>
    <w:p>
      <w:pPr>
        <w:pStyle w:val="BodyText"/>
        <w:spacing w:line="417" w:lineRule="auto"/>
        <w:ind w:left="778" w:right="888" w:firstLine="419"/>
      </w:pPr>
      <w:r>
        <w:rPr>
          <w:spacing w:val="-3"/>
        </w:rPr>
        <w:t>周一至周五的在线客服人工服务时间为</w:t>
      </w:r>
      <w:r>
        <w:rPr>
          <w:rFonts w:ascii="Times New Roman" w:eastAsia="Times New Roman"/>
          <w:spacing w:val="-11"/>
        </w:rPr>
        <w:t>8</w:t>
      </w:r>
      <w:r>
        <w:rPr>
          <w:spacing w:val="-11"/>
        </w:rPr>
        <w:t>：</w:t>
      </w:r>
      <w:r>
        <w:rPr>
          <w:rFonts w:ascii="Times New Roman" w:eastAsia="Times New Roman"/>
          <w:spacing w:val="-11"/>
        </w:rPr>
        <w:t>30~21</w:t>
      </w:r>
      <w:r>
        <w:rPr>
          <w:spacing w:val="-11"/>
        </w:rPr>
        <w:t>：</w:t>
      </w:r>
      <w:r>
        <w:rPr>
          <w:rFonts w:ascii="Times New Roman" w:eastAsia="Times New Roman"/>
          <w:spacing w:val="-11"/>
        </w:rPr>
        <w:t>00</w:t>
      </w:r>
      <w:r>
        <w:rPr>
          <w:spacing w:val="-4"/>
        </w:rPr>
        <w:t>，周六至周日的在线客服人工服务时间为</w:t>
      </w:r>
      <w:r>
        <w:rPr>
          <w:rFonts w:ascii="Times New Roman" w:eastAsia="Times New Roman"/>
        </w:rPr>
        <w:t>8</w:t>
      </w:r>
      <w:r>
        <w:rPr/>
        <w:t>：</w:t>
      </w:r>
      <w:r>
        <w:rPr>
          <w:rFonts w:ascii="Times New Roman" w:eastAsia="Times New Roman"/>
        </w:rPr>
        <w:t>30~17</w:t>
      </w:r>
      <w:r>
        <w:rPr/>
        <w:t>：</w:t>
      </w:r>
      <w:r>
        <w:rPr>
          <w:rFonts w:ascii="Times New Roman" w:eastAsia="Times New Roman"/>
        </w:rPr>
        <w:t>00</w:t>
      </w:r>
      <w:r>
        <w:rPr>
          <w:spacing w:val="-3"/>
        </w:rPr>
        <w:t>，法定节假日除外。</w:t>
      </w:r>
    </w:p>
    <w:p>
      <w:pPr>
        <w:pStyle w:val="BodyText"/>
        <w:spacing w:line="269" w:lineRule="exact"/>
        <w:ind w:left="1198"/>
      </w:pPr>
      <w:r>
        <w:rPr>
          <w:rFonts w:ascii="Times New Roman" w:eastAsia="Times New Roman"/>
        </w:rPr>
        <w:t>4</w:t>
      </w:r>
      <w:r>
        <w:rPr/>
        <w:t>、资讯服务</w:t>
      </w:r>
    </w:p>
    <w:p>
      <w:pPr>
        <w:pStyle w:val="BodyText"/>
        <w:spacing w:before="6"/>
        <w:rPr>
          <w:sz w:val="15"/>
        </w:rPr>
      </w:pPr>
    </w:p>
    <w:p>
      <w:pPr>
        <w:pStyle w:val="BodyText"/>
        <w:spacing w:line="417" w:lineRule="auto"/>
        <w:ind w:left="778" w:right="889" w:firstLine="419"/>
      </w:pPr>
      <w:r>
        <w:rPr>
          <w:spacing w:val="-7"/>
        </w:rPr>
        <w:t>投资者可通过本公司网站获取基金和基金管理人各类信息，包括基金法律文件、基金管</w:t>
      </w:r>
      <w:r>
        <w:rPr>
          <w:spacing w:val="-5"/>
        </w:rPr>
        <w:t>理人最新动态、热点问题等。</w:t>
      </w:r>
    </w:p>
    <w:p>
      <w:pPr>
        <w:pStyle w:val="BodyText"/>
        <w:spacing w:before="1"/>
        <w:ind w:left="1198"/>
        <w:rPr>
          <w:rFonts w:ascii="Times New Roman" w:eastAsia="Times New Roman"/>
        </w:rPr>
      </w:pPr>
      <w:r>
        <w:rPr/>
        <w:t>公司网址：</w:t>
      </w:r>
      <w:hyperlink r:id="rId219">
        <w:r>
          <w:rPr>
            <w:rFonts w:ascii="Times New Roman" w:eastAsia="Times New Roman"/>
          </w:rPr>
          <w:t>www.ChinaAMC.com</w:t>
        </w:r>
      </w:hyperlink>
    </w:p>
    <w:p>
      <w:pPr>
        <w:pStyle w:val="BodyText"/>
        <w:spacing w:before="3"/>
        <w:rPr>
          <w:rFonts w:ascii="Times New Roman"/>
          <w:sz w:val="17"/>
        </w:rPr>
      </w:pPr>
    </w:p>
    <w:p>
      <w:pPr>
        <w:pStyle w:val="BodyText"/>
        <w:ind w:left="1198"/>
        <w:rPr>
          <w:rFonts w:ascii="Times New Roman" w:eastAsia="Times New Roman"/>
        </w:rPr>
      </w:pPr>
      <w:r>
        <w:rPr/>
        <w:t>电子信箱：</w:t>
      </w:r>
      <w:hyperlink r:id="rId220">
        <w:r>
          <w:rPr>
            <w:rFonts w:ascii="Times New Roman" w:eastAsia="Times New Roman"/>
          </w:rPr>
          <w:t>service@ChinaAMC.com</w:t>
        </w:r>
      </w:hyperlink>
    </w:p>
    <w:p>
      <w:pPr>
        <w:pStyle w:val="BodyText"/>
        <w:spacing w:before="3"/>
        <w:rPr>
          <w:rFonts w:ascii="Times New Roman"/>
          <w:sz w:val="17"/>
        </w:rPr>
      </w:pPr>
    </w:p>
    <w:p>
      <w:pPr>
        <w:pStyle w:val="BodyText"/>
        <w:ind w:left="1198"/>
      </w:pPr>
      <w:r>
        <w:rPr/>
        <w:t>（六）客户投诉和建议处理</w:t>
      </w:r>
    </w:p>
    <w:p>
      <w:pPr>
        <w:pStyle w:val="BodyText"/>
        <w:spacing w:before="7"/>
        <w:rPr>
          <w:sz w:val="15"/>
        </w:rPr>
      </w:pPr>
    </w:p>
    <w:p>
      <w:pPr>
        <w:pStyle w:val="BodyText"/>
        <w:spacing w:line="417" w:lineRule="auto"/>
        <w:ind w:left="778" w:right="889" w:firstLine="419"/>
        <w:jc w:val="both"/>
      </w:pPr>
      <w:r>
        <w:rPr>
          <w:spacing w:val="-7"/>
        </w:rPr>
        <w:t>投资者可以通过基金管理人提供的呼叫中心人工电话、在线客服、书信、电子邮件、传</w:t>
      </w:r>
      <w:r>
        <w:rPr>
          <w:spacing w:val="-8"/>
        </w:rPr>
        <w:t>真等渠道对基金管理人和销售机构所提供的服务进行投诉或提出建议。投资者还可以通过代</w:t>
      </w:r>
      <w:r>
        <w:rPr>
          <w:spacing w:val="-5"/>
        </w:rPr>
        <w:t>销机构的服务电话对该代销机构提供的服务进行投诉或提出建议。</w:t>
      </w:r>
    </w:p>
    <w:p>
      <w:pPr>
        <w:pStyle w:val="BodyText"/>
        <w:spacing w:before="5"/>
        <w:rPr>
          <w:sz w:val="20"/>
        </w:rPr>
      </w:pPr>
    </w:p>
    <w:p>
      <w:pPr>
        <w:pStyle w:val="Heading1"/>
        <w:ind w:right="1337"/>
      </w:pPr>
      <w:bookmarkStart w:name="_bookmark23" w:id="24"/>
      <w:bookmarkEnd w:id="24"/>
      <w:r>
        <w:rPr>
          <w:b w:val="0"/>
        </w:rPr>
      </w:r>
      <w:r>
        <w:rPr/>
        <w:t>二十四、其他应披露事项</w:t>
      </w:r>
    </w:p>
    <w:p>
      <w:pPr>
        <w:pStyle w:val="BodyText"/>
        <w:rPr>
          <w:b/>
          <w:sz w:val="20"/>
        </w:rPr>
      </w:pPr>
    </w:p>
    <w:p>
      <w:pPr>
        <w:pStyle w:val="BodyText"/>
        <w:spacing w:before="8"/>
        <w:rPr>
          <w:b/>
          <w:sz w:val="15"/>
        </w:rPr>
      </w:pPr>
    </w:p>
    <w:p>
      <w:pPr>
        <w:pStyle w:val="BodyText"/>
        <w:spacing w:line="417" w:lineRule="auto"/>
        <w:ind w:left="778" w:right="893" w:firstLine="482"/>
      </w:pPr>
      <w:r>
        <w:rPr/>
        <w:t>（一）</w:t>
      </w:r>
      <w:r>
        <w:rPr>
          <w:rFonts w:ascii="Times New Roman" w:eastAsia="Times New Roman"/>
        </w:rPr>
        <w:t>2019</w:t>
      </w:r>
      <w:r>
        <w:rPr/>
        <w:t>年</w:t>
      </w:r>
      <w:r>
        <w:rPr>
          <w:rFonts w:ascii="Times New Roman" w:eastAsia="Times New Roman"/>
        </w:rPr>
        <w:t>10</w:t>
      </w:r>
      <w:r>
        <w:rPr/>
        <w:t>月</w:t>
      </w:r>
      <w:r>
        <w:rPr>
          <w:rFonts w:ascii="Times New Roman" w:eastAsia="Times New Roman"/>
        </w:rPr>
        <w:t>21</w:t>
      </w:r>
      <w:r>
        <w:rPr/>
        <w:t>日发布华夏基金管理有限公司关于根据《公开募集证券投资基金信息披露管理办法》修订旗下基金基金合同的公告。</w:t>
      </w:r>
    </w:p>
    <w:p>
      <w:pPr>
        <w:pStyle w:val="BodyText"/>
        <w:spacing w:line="269" w:lineRule="exact"/>
        <w:ind w:left="1260"/>
      </w:pPr>
      <w:r>
        <w:rPr/>
        <w:t>（二）</w:t>
      </w:r>
      <w:r>
        <w:rPr>
          <w:rFonts w:ascii="Times New Roman" w:eastAsia="Times New Roman"/>
        </w:rPr>
        <w:t>2019</w:t>
      </w:r>
      <w:r>
        <w:rPr/>
        <w:t>年</w:t>
      </w:r>
      <w:r>
        <w:rPr>
          <w:rFonts w:ascii="Times New Roman" w:eastAsia="Times New Roman"/>
        </w:rPr>
        <w:t>10</w:t>
      </w:r>
      <w:r>
        <w:rPr/>
        <w:t>月</w:t>
      </w:r>
      <w:r>
        <w:rPr>
          <w:rFonts w:ascii="Times New Roman" w:eastAsia="Times New Roman"/>
        </w:rPr>
        <w:t>22</w:t>
      </w:r>
      <w:r>
        <w:rPr/>
        <w:t>日发布华夏现金增利证券投资基金</w:t>
      </w:r>
      <w:r>
        <w:rPr>
          <w:rFonts w:ascii="Times New Roman" w:eastAsia="Times New Roman"/>
        </w:rPr>
        <w:t>2019</w:t>
      </w:r>
      <w:r>
        <w:rPr/>
        <w:t>年第</w:t>
      </w:r>
      <w:r>
        <w:rPr>
          <w:rFonts w:ascii="Times New Roman" w:eastAsia="Times New Roman"/>
        </w:rPr>
        <w:t>3</w:t>
      </w:r>
      <w:r>
        <w:rPr/>
        <w:t>季度报告。</w:t>
      </w:r>
    </w:p>
    <w:p>
      <w:pPr>
        <w:pStyle w:val="BodyText"/>
        <w:spacing w:before="7"/>
        <w:rPr>
          <w:sz w:val="15"/>
        </w:rPr>
      </w:pPr>
    </w:p>
    <w:p>
      <w:pPr>
        <w:pStyle w:val="BodyText"/>
        <w:spacing w:line="417" w:lineRule="auto"/>
        <w:ind w:left="778" w:right="831" w:firstLine="482"/>
      </w:pPr>
      <w:r>
        <w:rPr/>
        <w:t>（三）</w:t>
      </w:r>
      <w:r>
        <w:rPr>
          <w:rFonts w:ascii="Times New Roman" w:eastAsia="Times New Roman"/>
        </w:rPr>
        <w:t>2020</w:t>
      </w:r>
      <w:r>
        <w:rPr/>
        <w:t>年</w:t>
      </w:r>
      <w:r>
        <w:rPr>
          <w:rFonts w:ascii="Times New Roman" w:eastAsia="Times New Roman"/>
        </w:rPr>
        <w:t>1</w:t>
      </w:r>
      <w:r>
        <w:rPr/>
        <w:t>月</w:t>
      </w:r>
      <w:r>
        <w:rPr>
          <w:rFonts w:ascii="Times New Roman" w:eastAsia="Times New Roman"/>
        </w:rPr>
        <w:t>17</w:t>
      </w:r>
      <w:r>
        <w:rPr/>
        <w:t>日发布华夏现金增利证券投资基金春节前暂停申购、转换转入业务的公告。</w:t>
      </w:r>
    </w:p>
    <w:p>
      <w:pPr>
        <w:pStyle w:val="BodyText"/>
        <w:spacing w:line="269" w:lineRule="exact"/>
        <w:ind w:left="1260"/>
      </w:pPr>
      <w:r>
        <w:rPr/>
        <w:t>（四）</w:t>
      </w:r>
      <w:r>
        <w:rPr>
          <w:rFonts w:ascii="Times New Roman" w:eastAsia="Times New Roman"/>
        </w:rPr>
        <w:t>2020</w:t>
      </w:r>
      <w:r>
        <w:rPr/>
        <w:t>年</w:t>
      </w:r>
      <w:r>
        <w:rPr>
          <w:rFonts w:ascii="Times New Roman" w:eastAsia="Times New Roman"/>
        </w:rPr>
        <w:t>1</w:t>
      </w:r>
      <w:r>
        <w:rPr/>
        <w:t>月</w:t>
      </w:r>
      <w:r>
        <w:rPr>
          <w:rFonts w:ascii="Times New Roman" w:eastAsia="Times New Roman"/>
        </w:rPr>
        <w:t>21</w:t>
      </w:r>
      <w:r>
        <w:rPr/>
        <w:t>日发布华夏现金增利证券投资基金</w:t>
      </w:r>
      <w:r>
        <w:rPr>
          <w:rFonts w:ascii="Times New Roman" w:eastAsia="Times New Roman"/>
        </w:rPr>
        <w:t>2019</w:t>
      </w:r>
      <w:r>
        <w:rPr/>
        <w:t>年第</w:t>
      </w:r>
      <w:r>
        <w:rPr>
          <w:rFonts w:ascii="Times New Roman" w:eastAsia="Times New Roman"/>
        </w:rPr>
        <w:t>4</w:t>
      </w:r>
      <w:r>
        <w:rPr/>
        <w:t>季度报告。</w:t>
      </w:r>
    </w:p>
    <w:p>
      <w:pPr>
        <w:pStyle w:val="BodyText"/>
        <w:spacing w:before="7"/>
        <w:rPr>
          <w:sz w:val="15"/>
        </w:rPr>
      </w:pPr>
    </w:p>
    <w:p>
      <w:pPr>
        <w:pStyle w:val="BodyText"/>
        <w:spacing w:line="417" w:lineRule="auto"/>
        <w:ind w:left="778" w:right="831" w:firstLine="482"/>
      </w:pPr>
      <w:r>
        <w:rPr/>
        <w:t>（五）</w:t>
      </w:r>
      <w:r>
        <w:rPr>
          <w:rFonts w:ascii="Times New Roman" w:eastAsia="Times New Roman"/>
        </w:rPr>
        <w:t>2020</w:t>
      </w:r>
      <w:r>
        <w:rPr/>
        <w:t>年</w:t>
      </w:r>
      <w:r>
        <w:rPr>
          <w:rFonts w:ascii="Times New Roman" w:eastAsia="Times New Roman"/>
        </w:rPr>
        <w:t>1</w:t>
      </w:r>
      <w:r>
        <w:rPr/>
        <w:t>月</w:t>
      </w:r>
      <w:r>
        <w:rPr>
          <w:rFonts w:ascii="Times New Roman" w:eastAsia="Times New Roman"/>
        </w:rPr>
        <w:t>30</w:t>
      </w:r>
      <w:r>
        <w:rPr/>
        <w:t>日发布华夏基金管理有限公司关于根据国家延长春节假期通知及交易所休市安排等调整旗下基金春节后业务办理日期的公告。</w:t>
      </w:r>
    </w:p>
    <w:p>
      <w:pPr>
        <w:spacing w:after="0" w:line="417" w:lineRule="auto"/>
        <w:sectPr>
          <w:pgSz w:w="11910" w:h="16840"/>
          <w:pgMar w:header="877" w:footer="995" w:top="1280" w:bottom="1180" w:left="1020" w:right="900"/>
        </w:sectPr>
      </w:pPr>
    </w:p>
    <w:p>
      <w:pPr>
        <w:pStyle w:val="BodyText"/>
        <w:rPr>
          <w:sz w:val="12"/>
        </w:rPr>
      </w:pPr>
    </w:p>
    <w:p>
      <w:pPr>
        <w:pStyle w:val="BodyText"/>
        <w:spacing w:line="417" w:lineRule="auto" w:before="78"/>
        <w:ind w:left="778" w:right="832" w:firstLine="482"/>
      </w:pPr>
      <w:r>
        <w:rPr/>
        <w:t>（六）</w:t>
      </w:r>
      <w:r>
        <w:rPr>
          <w:rFonts w:ascii="Times New Roman" w:eastAsia="Times New Roman"/>
        </w:rPr>
        <w:t>2020</w:t>
      </w:r>
      <w:r>
        <w:rPr/>
        <w:t>年</w:t>
      </w:r>
      <w:r>
        <w:rPr>
          <w:rFonts w:ascii="Times New Roman" w:eastAsia="Times New Roman"/>
        </w:rPr>
        <w:t>3</w:t>
      </w:r>
      <w:r>
        <w:rPr/>
        <w:t>月</w:t>
      </w:r>
      <w:r>
        <w:rPr>
          <w:rFonts w:ascii="Times New Roman" w:eastAsia="Times New Roman"/>
        </w:rPr>
        <w:t>26</w:t>
      </w:r>
      <w:r>
        <w:rPr/>
        <w:t>日发布华夏基金管理有限公司关于旗下公募基金</w:t>
      </w:r>
      <w:r>
        <w:rPr>
          <w:rFonts w:ascii="Times New Roman" w:eastAsia="Times New Roman"/>
        </w:rPr>
        <w:t>2019</w:t>
      </w:r>
      <w:r>
        <w:rPr/>
        <w:t>年年报延缓审计与披露的公告。</w:t>
      </w:r>
    </w:p>
    <w:p>
      <w:pPr>
        <w:pStyle w:val="BodyText"/>
        <w:spacing w:line="269" w:lineRule="exact"/>
        <w:ind w:left="1260"/>
      </w:pPr>
      <w:r>
        <w:rPr/>
        <w:t>（七）</w:t>
      </w:r>
      <w:r>
        <w:rPr>
          <w:rFonts w:ascii="Times New Roman" w:eastAsia="Times New Roman"/>
        </w:rPr>
        <w:t>2020</w:t>
      </w:r>
      <w:r>
        <w:rPr/>
        <w:t>年</w:t>
      </w:r>
      <w:r>
        <w:rPr>
          <w:rFonts w:ascii="Times New Roman" w:eastAsia="Times New Roman"/>
        </w:rPr>
        <w:t>4</w:t>
      </w:r>
      <w:r>
        <w:rPr/>
        <w:t>月</w:t>
      </w:r>
      <w:r>
        <w:rPr>
          <w:rFonts w:ascii="Times New Roman" w:eastAsia="Times New Roman"/>
        </w:rPr>
        <w:t>1</w:t>
      </w:r>
      <w:r>
        <w:rPr/>
        <w:t>日发布华夏基金管理有限公司公告。</w:t>
      </w:r>
    </w:p>
    <w:p>
      <w:pPr>
        <w:pStyle w:val="BodyText"/>
        <w:spacing w:before="7"/>
        <w:rPr>
          <w:sz w:val="15"/>
        </w:rPr>
      </w:pPr>
    </w:p>
    <w:p>
      <w:pPr>
        <w:pStyle w:val="BodyText"/>
        <w:ind w:left="1260"/>
      </w:pPr>
      <w:r>
        <w:rPr/>
        <w:t>（八）</w:t>
      </w:r>
      <w:r>
        <w:rPr>
          <w:rFonts w:ascii="Times New Roman" w:eastAsia="Times New Roman"/>
        </w:rPr>
        <w:t>2020</w:t>
      </w:r>
      <w:r>
        <w:rPr/>
        <w:t>年</w:t>
      </w:r>
      <w:r>
        <w:rPr>
          <w:rFonts w:ascii="Times New Roman" w:eastAsia="Times New Roman"/>
        </w:rPr>
        <w:t>4</w:t>
      </w:r>
      <w:r>
        <w:rPr/>
        <w:t>月</w:t>
      </w:r>
      <w:r>
        <w:rPr>
          <w:rFonts w:ascii="Times New Roman" w:eastAsia="Times New Roman"/>
        </w:rPr>
        <w:t>9</w:t>
      </w:r>
      <w:r>
        <w:rPr/>
        <w:t>日发布华夏现金增利证券投资基金</w:t>
      </w:r>
      <w:r>
        <w:rPr>
          <w:rFonts w:ascii="Times New Roman" w:eastAsia="Times New Roman"/>
        </w:rPr>
        <w:t>2019</w:t>
      </w:r>
      <w:r>
        <w:rPr/>
        <w:t>年年度报告。</w:t>
      </w:r>
    </w:p>
    <w:p>
      <w:pPr>
        <w:pStyle w:val="BodyText"/>
        <w:spacing w:before="7"/>
        <w:rPr>
          <w:sz w:val="15"/>
        </w:rPr>
      </w:pPr>
    </w:p>
    <w:p>
      <w:pPr>
        <w:pStyle w:val="BodyText"/>
        <w:ind w:left="1260"/>
      </w:pPr>
      <w:r>
        <w:rPr/>
        <w:t>（九）</w:t>
      </w:r>
      <w:r>
        <w:rPr>
          <w:rFonts w:ascii="Times New Roman" w:eastAsia="Times New Roman"/>
        </w:rPr>
        <w:t>2020</w:t>
      </w:r>
      <w:r>
        <w:rPr/>
        <w:t>年</w:t>
      </w:r>
      <w:r>
        <w:rPr>
          <w:rFonts w:ascii="Times New Roman" w:eastAsia="Times New Roman"/>
        </w:rPr>
        <w:t>4</w:t>
      </w:r>
      <w:r>
        <w:rPr/>
        <w:t>月</w:t>
      </w:r>
      <w:r>
        <w:rPr>
          <w:rFonts w:ascii="Times New Roman" w:eastAsia="Times New Roman"/>
        </w:rPr>
        <w:t>22</w:t>
      </w:r>
      <w:r>
        <w:rPr/>
        <w:t>日发布华夏现金增利证券投资基金</w:t>
      </w:r>
      <w:r>
        <w:rPr>
          <w:rFonts w:ascii="Times New Roman" w:eastAsia="Times New Roman"/>
        </w:rPr>
        <w:t>2020</w:t>
      </w:r>
      <w:r>
        <w:rPr/>
        <w:t>年第</w:t>
      </w:r>
      <w:r>
        <w:rPr>
          <w:rFonts w:ascii="Times New Roman" w:eastAsia="Times New Roman"/>
        </w:rPr>
        <w:t>1</w:t>
      </w:r>
      <w:r>
        <w:rPr/>
        <w:t>季度报告。</w:t>
      </w:r>
    </w:p>
    <w:p>
      <w:pPr>
        <w:pStyle w:val="BodyText"/>
        <w:spacing w:before="6"/>
        <w:rPr>
          <w:sz w:val="15"/>
        </w:rPr>
      </w:pPr>
    </w:p>
    <w:p>
      <w:pPr>
        <w:pStyle w:val="BodyText"/>
        <w:spacing w:before="1"/>
        <w:ind w:left="1260"/>
      </w:pPr>
      <w:r>
        <w:rPr/>
        <w:t>（十）</w:t>
      </w:r>
      <w:r>
        <w:rPr>
          <w:rFonts w:ascii="Times New Roman" w:eastAsia="Times New Roman"/>
        </w:rPr>
        <w:t>2020</w:t>
      </w:r>
      <w:r>
        <w:rPr/>
        <w:t>年</w:t>
      </w:r>
      <w:r>
        <w:rPr>
          <w:rFonts w:ascii="Times New Roman" w:eastAsia="Times New Roman"/>
        </w:rPr>
        <w:t>7</w:t>
      </w:r>
      <w:r>
        <w:rPr/>
        <w:t>月</w:t>
      </w:r>
      <w:r>
        <w:rPr>
          <w:rFonts w:ascii="Times New Roman" w:eastAsia="Times New Roman"/>
        </w:rPr>
        <w:t>2</w:t>
      </w:r>
      <w:r>
        <w:rPr/>
        <w:t>日发布华夏基金管理有限公司住所变更公告。</w:t>
      </w:r>
    </w:p>
    <w:p>
      <w:pPr>
        <w:pStyle w:val="BodyText"/>
        <w:spacing w:before="6"/>
        <w:rPr>
          <w:sz w:val="15"/>
        </w:rPr>
      </w:pPr>
    </w:p>
    <w:p>
      <w:pPr>
        <w:pStyle w:val="BodyText"/>
        <w:ind w:left="1260"/>
      </w:pPr>
      <w:r>
        <w:rPr/>
        <w:t>（十一）</w:t>
      </w:r>
      <w:r>
        <w:rPr>
          <w:rFonts w:ascii="Times New Roman" w:eastAsia="Times New Roman"/>
        </w:rPr>
        <w:t>2020</w:t>
      </w:r>
      <w:r>
        <w:rPr/>
        <w:t>年</w:t>
      </w:r>
      <w:r>
        <w:rPr>
          <w:rFonts w:ascii="Times New Roman" w:eastAsia="Times New Roman"/>
        </w:rPr>
        <w:t>7</w:t>
      </w:r>
      <w:r>
        <w:rPr/>
        <w:t>月</w:t>
      </w:r>
      <w:r>
        <w:rPr>
          <w:rFonts w:ascii="Times New Roman" w:eastAsia="Times New Roman"/>
        </w:rPr>
        <w:t>20</w:t>
      </w:r>
      <w:r>
        <w:rPr/>
        <w:t>日发布华夏现金增利证券投资基金</w:t>
      </w:r>
      <w:r>
        <w:rPr>
          <w:rFonts w:ascii="Times New Roman" w:eastAsia="Times New Roman"/>
        </w:rPr>
        <w:t>2020</w:t>
      </w:r>
      <w:r>
        <w:rPr/>
        <w:t>年第</w:t>
      </w:r>
      <w:r>
        <w:rPr>
          <w:rFonts w:ascii="Times New Roman" w:eastAsia="Times New Roman"/>
        </w:rPr>
        <w:t>2</w:t>
      </w:r>
      <w:r>
        <w:rPr/>
        <w:t>季度报告。</w:t>
      </w:r>
    </w:p>
    <w:p>
      <w:pPr>
        <w:pStyle w:val="BodyText"/>
        <w:spacing w:before="7"/>
        <w:rPr>
          <w:sz w:val="15"/>
        </w:rPr>
      </w:pPr>
    </w:p>
    <w:p>
      <w:pPr>
        <w:pStyle w:val="BodyText"/>
        <w:spacing w:line="417" w:lineRule="auto" w:before="1"/>
        <w:ind w:left="778" w:right="831" w:firstLine="482"/>
      </w:pPr>
      <w:r>
        <w:rPr/>
        <w:t>（十二）</w:t>
      </w:r>
      <w:r>
        <w:rPr>
          <w:rFonts w:ascii="Times New Roman" w:eastAsia="Times New Roman"/>
        </w:rPr>
        <w:t>2020</w:t>
      </w:r>
      <w:r>
        <w:rPr/>
        <w:t>年</w:t>
      </w:r>
      <w:r>
        <w:rPr>
          <w:rFonts w:ascii="Times New Roman" w:eastAsia="Times New Roman"/>
        </w:rPr>
        <w:t>8</w:t>
      </w:r>
      <w:r>
        <w:rPr/>
        <w:t>月</w:t>
      </w:r>
      <w:r>
        <w:rPr>
          <w:rFonts w:ascii="Times New Roman" w:eastAsia="Times New Roman"/>
        </w:rPr>
        <w:t>11</w:t>
      </w:r>
      <w:r>
        <w:rPr/>
        <w:t>日发布华夏基金管理有限公司关于调整华夏现金增利证券投资基金</w:t>
      </w:r>
      <w:r>
        <w:rPr>
          <w:rFonts w:ascii="Times New Roman" w:eastAsia="Times New Roman"/>
        </w:rPr>
        <w:t>B</w:t>
      </w:r>
      <w:r>
        <w:rPr/>
        <w:t>类基金份额申购申请最低金额的公告。</w:t>
      </w:r>
    </w:p>
    <w:p>
      <w:pPr>
        <w:pStyle w:val="BodyText"/>
        <w:spacing w:line="269" w:lineRule="exact"/>
        <w:ind w:left="1260"/>
      </w:pPr>
      <w:r>
        <w:rPr/>
        <w:t>（十三）</w:t>
      </w:r>
      <w:r>
        <w:rPr>
          <w:rFonts w:ascii="Times New Roman" w:eastAsia="Times New Roman"/>
        </w:rPr>
        <w:t>2020</w:t>
      </w:r>
      <w:r>
        <w:rPr/>
        <w:t>年</w:t>
      </w:r>
      <w:r>
        <w:rPr>
          <w:rFonts w:ascii="Times New Roman" w:eastAsia="Times New Roman"/>
        </w:rPr>
        <w:t>8</w:t>
      </w:r>
      <w:r>
        <w:rPr/>
        <w:t>月</w:t>
      </w:r>
      <w:r>
        <w:rPr>
          <w:rFonts w:ascii="Times New Roman" w:eastAsia="Times New Roman"/>
        </w:rPr>
        <w:t>29</w:t>
      </w:r>
      <w:r>
        <w:rPr/>
        <w:t>日发布华夏现金增利证券投资基金</w:t>
      </w:r>
      <w:r>
        <w:rPr>
          <w:rFonts w:ascii="Times New Roman" w:eastAsia="Times New Roman"/>
        </w:rPr>
        <w:t>2020</w:t>
      </w:r>
      <w:r>
        <w:rPr/>
        <w:t>年半年度报告。</w:t>
      </w:r>
    </w:p>
    <w:p>
      <w:pPr>
        <w:pStyle w:val="BodyText"/>
        <w:spacing w:before="6"/>
        <w:rPr>
          <w:sz w:val="15"/>
        </w:rPr>
      </w:pPr>
    </w:p>
    <w:p>
      <w:pPr>
        <w:pStyle w:val="BodyText"/>
        <w:ind w:left="1260"/>
      </w:pPr>
      <w:r>
        <w:rPr/>
        <w:t>（十四）</w:t>
      </w:r>
      <w:r>
        <w:rPr>
          <w:rFonts w:ascii="Times New Roman" w:eastAsia="Times New Roman"/>
        </w:rPr>
        <w:t>2020</w:t>
      </w:r>
      <w:r>
        <w:rPr/>
        <w:t>年</w:t>
      </w:r>
      <w:r>
        <w:rPr>
          <w:rFonts w:ascii="Times New Roman" w:eastAsia="Times New Roman"/>
        </w:rPr>
        <w:t>9</w:t>
      </w:r>
      <w:r>
        <w:rPr/>
        <w:t>月</w:t>
      </w:r>
      <w:r>
        <w:rPr>
          <w:rFonts w:ascii="Times New Roman" w:eastAsia="Times New Roman"/>
        </w:rPr>
        <w:t>12</w:t>
      </w:r>
      <w:r>
        <w:rPr/>
        <w:t>日发布华夏基金管理有限公司关于上海分公司营业场所变更的公</w:t>
      </w:r>
    </w:p>
    <w:p>
      <w:pPr>
        <w:pStyle w:val="BodyText"/>
        <w:spacing w:before="7"/>
        <w:rPr>
          <w:sz w:val="15"/>
        </w:rPr>
      </w:pPr>
    </w:p>
    <w:p>
      <w:pPr>
        <w:pStyle w:val="BodyText"/>
        <w:ind w:left="778"/>
      </w:pPr>
      <w:r>
        <w:rPr/>
        <w:t>告。</w:t>
      </w:r>
    </w:p>
    <w:p>
      <w:pPr>
        <w:pStyle w:val="BodyText"/>
        <w:spacing w:before="7"/>
        <w:rPr>
          <w:sz w:val="15"/>
        </w:rPr>
      </w:pPr>
    </w:p>
    <w:p>
      <w:pPr>
        <w:pStyle w:val="BodyText"/>
        <w:spacing w:line="417" w:lineRule="auto"/>
        <w:ind w:left="778" w:right="889" w:firstLine="482"/>
      </w:pPr>
      <w:r>
        <w:rPr/>
        <w:t>（</w:t>
      </w:r>
      <w:r>
        <w:rPr>
          <w:spacing w:val="-2"/>
        </w:rPr>
        <w:t>十五</w:t>
      </w:r>
      <w:r>
        <w:rPr>
          <w:spacing w:val="-10"/>
        </w:rPr>
        <w:t>）</w:t>
      </w:r>
      <w:r>
        <w:rPr>
          <w:rFonts w:ascii="Times New Roman" w:eastAsia="Times New Roman"/>
          <w:spacing w:val="-10"/>
        </w:rPr>
        <w:t>2020</w:t>
      </w:r>
      <w:r>
        <w:rPr/>
        <w:t>年</w:t>
      </w:r>
      <w:r>
        <w:rPr>
          <w:rFonts w:ascii="Times New Roman" w:eastAsia="Times New Roman"/>
        </w:rPr>
        <w:t>9</w:t>
      </w:r>
      <w:r>
        <w:rPr/>
        <w:t>月</w:t>
      </w:r>
      <w:r>
        <w:rPr>
          <w:rFonts w:ascii="Times New Roman" w:eastAsia="Times New Roman"/>
        </w:rPr>
        <w:t>23</w:t>
      </w:r>
      <w:r>
        <w:rPr>
          <w:spacing w:val="-2"/>
        </w:rPr>
        <w:t>日发布</w:t>
      </w:r>
      <w:r>
        <w:rPr>
          <w:rFonts w:ascii="Times New Roman" w:eastAsia="Times New Roman"/>
        </w:rPr>
        <w:t>20200923</w:t>
      </w:r>
      <w:r>
        <w:rPr>
          <w:spacing w:val="-3"/>
        </w:rPr>
        <w:t>华夏基金管理有限公司关于旗下基金投资关联方承销证券的公告。</w:t>
      </w:r>
    </w:p>
    <w:p>
      <w:pPr>
        <w:pStyle w:val="BodyText"/>
        <w:spacing w:line="417" w:lineRule="auto"/>
        <w:ind w:left="778" w:right="889" w:firstLine="482"/>
      </w:pPr>
      <w:r>
        <w:rPr/>
        <w:t>（</w:t>
      </w:r>
      <w:r>
        <w:rPr>
          <w:spacing w:val="-2"/>
        </w:rPr>
        <w:t>十六</w:t>
      </w:r>
      <w:r>
        <w:rPr>
          <w:spacing w:val="-10"/>
        </w:rPr>
        <w:t>）</w:t>
      </w:r>
      <w:r>
        <w:rPr>
          <w:rFonts w:ascii="Times New Roman" w:eastAsia="Times New Roman"/>
          <w:spacing w:val="-10"/>
        </w:rPr>
        <w:t>2020</w:t>
      </w:r>
      <w:r>
        <w:rPr/>
        <w:t>年</w:t>
      </w:r>
      <w:r>
        <w:rPr>
          <w:rFonts w:ascii="Times New Roman" w:eastAsia="Times New Roman"/>
        </w:rPr>
        <w:t>9</w:t>
      </w:r>
      <w:r>
        <w:rPr/>
        <w:t>月</w:t>
      </w:r>
      <w:r>
        <w:rPr>
          <w:rFonts w:ascii="Times New Roman" w:eastAsia="Times New Roman"/>
        </w:rPr>
        <w:t>24</w:t>
      </w:r>
      <w:r>
        <w:rPr>
          <w:spacing w:val="-2"/>
        </w:rPr>
        <w:t>日发布</w:t>
      </w:r>
      <w:r>
        <w:rPr>
          <w:rFonts w:ascii="Times New Roman" w:eastAsia="Times New Roman"/>
        </w:rPr>
        <w:t>20200924</w:t>
      </w:r>
      <w:r>
        <w:rPr>
          <w:spacing w:val="-3"/>
        </w:rPr>
        <w:t>华夏基金管理有限公司关于旗下基金投资关联方承销证券的公告。</w:t>
      </w:r>
    </w:p>
    <w:p>
      <w:pPr>
        <w:pStyle w:val="BodyText"/>
        <w:spacing w:before="5"/>
        <w:rPr>
          <w:sz w:val="14"/>
        </w:rPr>
      </w:pPr>
    </w:p>
    <w:p>
      <w:pPr>
        <w:pStyle w:val="Heading1"/>
        <w:ind w:left="3248" w:right="0"/>
        <w:jc w:val="left"/>
      </w:pPr>
      <w:bookmarkStart w:name="_bookmark24" w:id="25"/>
      <w:bookmarkEnd w:id="25"/>
      <w:r>
        <w:rPr>
          <w:b w:val="0"/>
        </w:rPr>
      </w:r>
      <w:r>
        <w:rPr>
          <w:spacing w:val="-2"/>
        </w:rPr>
        <w:t>二十五、招募说明书存放及查阅方式</w:t>
      </w:r>
    </w:p>
    <w:p>
      <w:pPr>
        <w:pStyle w:val="BodyText"/>
        <w:spacing w:before="5"/>
        <w:rPr>
          <w:b/>
          <w:sz w:val="29"/>
        </w:rPr>
      </w:pPr>
    </w:p>
    <w:p>
      <w:pPr>
        <w:pStyle w:val="BodyText"/>
        <w:spacing w:line="417" w:lineRule="auto"/>
        <w:ind w:left="778" w:right="889" w:firstLine="419"/>
      </w:pPr>
      <w:r>
        <w:rPr>
          <w:spacing w:val="-7"/>
        </w:rPr>
        <w:t>本基金招募说明书存放在基金管理人的办公场所和营业场所，投资者可免费查阅。在支</w:t>
      </w:r>
      <w:r>
        <w:rPr>
          <w:spacing w:val="-5"/>
        </w:rPr>
        <w:t>付工本费后，可在合理时间内取得上述文件的复制件或复印件。</w:t>
      </w:r>
    </w:p>
    <w:p>
      <w:pPr>
        <w:pStyle w:val="BodyText"/>
        <w:spacing w:line="269" w:lineRule="exact"/>
        <w:ind w:left="1198"/>
      </w:pPr>
      <w:r>
        <w:rPr/>
        <w:t>基金管理人和基金托管人保证文本的内容与公告的内容完全一致。</w:t>
      </w:r>
    </w:p>
    <w:p>
      <w:pPr>
        <w:pStyle w:val="BodyText"/>
        <w:rPr>
          <w:sz w:val="20"/>
        </w:rPr>
      </w:pPr>
    </w:p>
    <w:p>
      <w:pPr>
        <w:pStyle w:val="Heading1"/>
        <w:spacing w:before="128"/>
      </w:pPr>
      <w:bookmarkStart w:name="_bookmark25" w:id="26"/>
      <w:bookmarkEnd w:id="26"/>
      <w:r>
        <w:rPr>
          <w:b w:val="0"/>
        </w:rPr>
      </w:r>
      <w:r>
        <w:rPr/>
        <w:t>二十六、备查文件</w:t>
      </w:r>
    </w:p>
    <w:p>
      <w:pPr>
        <w:pStyle w:val="BodyText"/>
        <w:spacing w:before="7"/>
        <w:rPr>
          <w:b/>
          <w:sz w:val="29"/>
        </w:rPr>
      </w:pPr>
    </w:p>
    <w:p>
      <w:pPr>
        <w:pStyle w:val="BodyText"/>
        <w:ind w:left="1198"/>
      </w:pPr>
      <w:r>
        <w:rPr/>
        <w:t>（一）备查文件目录</w:t>
      </w:r>
    </w:p>
    <w:p>
      <w:pPr>
        <w:pStyle w:val="BodyText"/>
        <w:spacing w:before="7"/>
        <w:rPr>
          <w:sz w:val="15"/>
        </w:rPr>
      </w:pPr>
    </w:p>
    <w:p>
      <w:pPr>
        <w:pStyle w:val="BodyText"/>
        <w:ind w:left="1198"/>
      </w:pPr>
      <w:r>
        <w:rPr>
          <w:rFonts w:ascii="Times New Roman" w:eastAsia="Times New Roman"/>
        </w:rPr>
        <w:t>1</w:t>
      </w:r>
      <w:r>
        <w:rPr/>
        <w:t>、中国证监会核准基金募集的文件；</w:t>
      </w:r>
    </w:p>
    <w:p>
      <w:pPr>
        <w:pStyle w:val="BodyText"/>
        <w:spacing w:before="7"/>
        <w:rPr>
          <w:sz w:val="15"/>
        </w:rPr>
      </w:pPr>
    </w:p>
    <w:p>
      <w:pPr>
        <w:pStyle w:val="BodyText"/>
        <w:ind w:left="1198"/>
      </w:pPr>
      <w:r>
        <w:rPr>
          <w:rFonts w:ascii="Times New Roman" w:eastAsia="Times New Roman"/>
        </w:rPr>
        <w:t>2</w:t>
      </w:r>
      <w:r>
        <w:rPr>
          <w:spacing w:val="-17"/>
        </w:rPr>
        <w:t>、《华夏现金增利证券投资基金基金合同》；</w:t>
      </w:r>
    </w:p>
    <w:p>
      <w:pPr>
        <w:pStyle w:val="BodyText"/>
        <w:spacing w:before="6"/>
        <w:rPr>
          <w:sz w:val="15"/>
        </w:rPr>
      </w:pPr>
    </w:p>
    <w:p>
      <w:pPr>
        <w:pStyle w:val="BodyText"/>
        <w:spacing w:before="1"/>
        <w:ind w:left="1198"/>
      </w:pPr>
      <w:r>
        <w:rPr>
          <w:rFonts w:ascii="Times New Roman" w:eastAsia="Times New Roman"/>
        </w:rPr>
        <w:t>3</w:t>
      </w:r>
      <w:r>
        <w:rPr>
          <w:spacing w:val="-17"/>
        </w:rPr>
        <w:t>、《华夏现金增利证券投资基金托管协议》；</w:t>
      </w:r>
    </w:p>
    <w:p>
      <w:pPr>
        <w:pStyle w:val="BodyText"/>
        <w:spacing w:before="6"/>
        <w:rPr>
          <w:sz w:val="15"/>
        </w:rPr>
      </w:pPr>
    </w:p>
    <w:p>
      <w:pPr>
        <w:pStyle w:val="BodyText"/>
        <w:ind w:left="1198"/>
      </w:pPr>
      <w:r>
        <w:rPr>
          <w:rFonts w:ascii="Times New Roman" w:eastAsia="Times New Roman"/>
        </w:rPr>
        <w:t>4</w:t>
      </w:r>
      <w:r>
        <w:rPr/>
        <w:t>、法律意见书；</w:t>
      </w:r>
    </w:p>
    <w:p>
      <w:pPr>
        <w:pStyle w:val="BodyText"/>
        <w:spacing w:before="7"/>
        <w:rPr>
          <w:sz w:val="15"/>
        </w:rPr>
      </w:pPr>
    </w:p>
    <w:p>
      <w:pPr>
        <w:pStyle w:val="BodyText"/>
        <w:ind w:left="1198"/>
      </w:pPr>
      <w:r>
        <w:rPr>
          <w:rFonts w:ascii="Times New Roman" w:eastAsia="Times New Roman"/>
        </w:rPr>
        <w:t>5</w:t>
      </w:r>
      <w:r>
        <w:rPr>
          <w:spacing w:val="-3"/>
        </w:rPr>
        <w:t>、基金管理人业务资格批件、营业执照；</w:t>
      </w:r>
    </w:p>
    <w:p>
      <w:pPr>
        <w:pStyle w:val="BodyText"/>
        <w:spacing w:before="7"/>
        <w:rPr>
          <w:sz w:val="15"/>
        </w:rPr>
      </w:pPr>
    </w:p>
    <w:p>
      <w:pPr>
        <w:pStyle w:val="BodyText"/>
        <w:ind w:left="1198"/>
      </w:pPr>
      <w:r>
        <w:rPr>
          <w:rFonts w:ascii="Times New Roman" w:eastAsia="Times New Roman"/>
        </w:rPr>
        <w:t>6</w:t>
      </w:r>
      <w:r>
        <w:rPr>
          <w:spacing w:val="-3"/>
        </w:rPr>
        <w:t>、基金托管人业务资格批件、营业执照。</w:t>
      </w:r>
    </w:p>
    <w:p>
      <w:pPr>
        <w:spacing w:after="0"/>
        <w:sectPr>
          <w:pgSz w:w="11910" w:h="16840"/>
          <w:pgMar w:header="877" w:footer="995" w:top="1280" w:bottom="1180" w:left="1020" w:right="900"/>
        </w:sectPr>
      </w:pPr>
    </w:p>
    <w:p>
      <w:pPr>
        <w:pStyle w:val="BodyText"/>
        <w:spacing w:before="7"/>
        <w:rPr>
          <w:sz w:val="12"/>
        </w:rPr>
      </w:pPr>
    </w:p>
    <w:p>
      <w:pPr>
        <w:pStyle w:val="BodyText"/>
        <w:spacing w:before="71"/>
        <w:ind w:left="1198"/>
      </w:pPr>
      <w:r>
        <w:rPr/>
        <w:t>（二）存放地点</w:t>
      </w:r>
    </w:p>
    <w:p>
      <w:pPr>
        <w:pStyle w:val="BodyText"/>
        <w:spacing w:before="7"/>
        <w:rPr>
          <w:sz w:val="15"/>
        </w:rPr>
      </w:pPr>
    </w:p>
    <w:p>
      <w:pPr>
        <w:pStyle w:val="BodyText"/>
        <w:ind w:left="1198"/>
      </w:pPr>
      <w:r>
        <w:rPr/>
        <w:t>备查文件存放于基金管理人和</w:t>
      </w:r>
      <w:r>
        <w:rPr>
          <w:rFonts w:ascii="Times New Roman" w:eastAsia="Times New Roman"/>
        </w:rPr>
        <w:t>/</w:t>
      </w:r>
      <w:r>
        <w:rPr/>
        <w:t>或基金托管人处。</w:t>
      </w:r>
    </w:p>
    <w:p>
      <w:pPr>
        <w:pStyle w:val="BodyText"/>
        <w:spacing w:before="7"/>
        <w:rPr>
          <w:sz w:val="15"/>
        </w:rPr>
      </w:pPr>
    </w:p>
    <w:p>
      <w:pPr>
        <w:pStyle w:val="BodyText"/>
        <w:ind w:left="1198"/>
      </w:pPr>
      <w:r>
        <w:rPr/>
        <w:t>（三）查阅方式</w:t>
      </w:r>
    </w:p>
    <w:p>
      <w:pPr>
        <w:pStyle w:val="BodyText"/>
        <w:spacing w:before="6"/>
        <w:rPr>
          <w:sz w:val="15"/>
        </w:rPr>
      </w:pPr>
    </w:p>
    <w:p>
      <w:pPr>
        <w:pStyle w:val="BodyText"/>
        <w:spacing w:line="417" w:lineRule="auto" w:before="1"/>
        <w:ind w:left="778" w:right="889" w:firstLine="419"/>
      </w:pPr>
      <w:r>
        <w:rPr>
          <w:spacing w:val="-8"/>
        </w:rPr>
        <w:t>投资者可在营业时间免费查阅备查文件。在支付工本费后，可在合理时间内取得备查文</w:t>
      </w:r>
      <w:r>
        <w:rPr>
          <w:spacing w:val="-5"/>
        </w:rPr>
        <w:t>件的复制件或复印件。</w:t>
      </w:r>
    </w:p>
    <w:p>
      <w:pPr>
        <w:pStyle w:val="BodyText"/>
        <w:rPr>
          <w:sz w:val="20"/>
        </w:rPr>
      </w:pPr>
    </w:p>
    <w:p>
      <w:pPr>
        <w:pStyle w:val="BodyText"/>
        <w:rPr>
          <w:sz w:val="20"/>
        </w:rPr>
      </w:pPr>
    </w:p>
    <w:p>
      <w:pPr>
        <w:pStyle w:val="BodyText"/>
        <w:spacing w:before="10"/>
        <w:rPr>
          <w:sz w:val="20"/>
        </w:rPr>
      </w:pPr>
    </w:p>
    <w:p>
      <w:pPr>
        <w:pStyle w:val="BodyText"/>
        <w:spacing w:line="417" w:lineRule="auto"/>
        <w:ind w:left="6990" w:right="891"/>
        <w:jc w:val="right"/>
      </w:pPr>
      <w:r>
        <w:rPr/>
        <w:t>华夏基金管理有限公司二〇二〇年九月三十日</w:t>
      </w:r>
    </w:p>
    <w:sectPr>
      <w:footerReference w:type="default" r:id="rId221"/>
      <w:pgSz w:w="11910" w:h="16840"/>
      <w:pgMar w:footer="995" w:header="877" w:top="1280" w:bottom="1180" w:left="10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Batang">
    <w:altName w:val="Batang"/>
    <w:charset w:val="0"/>
    <w:family w:val="roman"/>
    <w:pitch w:val="variable"/>
  </w:font>
  <w:font w:name="MS Mincho">
    <w:altName w:val="MS Mincho"/>
    <w:charset w:val="0"/>
    <w:family w:val="modern"/>
    <w:pitch w:val="fixed"/>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629504"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049988pt;margin-top:781.179993pt;width:17.3pt;height:12pt;mso-position-horizontal-relative:page;mso-position-vertical-relative:page;z-index:-26062848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62745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120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626432" type="#_x0000_t202" filled="false" stroked="false">
          <v:textbox inset="0,0,0,0">
            <w:txbxContent>
              <w:p>
                <w:pPr>
                  <w:spacing w:before="12"/>
                  <w:ind w:left="20" w:right="0" w:firstLine="0"/>
                  <w:jc w:val="left"/>
                  <w:rPr>
                    <w:rFonts w:ascii="Times New Roman"/>
                    <w:sz w:val="18"/>
                  </w:rPr>
                </w:pPr>
                <w:r>
                  <w:rPr>
                    <w:rFonts w:ascii="Times New Roman"/>
                    <w:sz w:val="18"/>
                  </w:rPr>
                  <w:t>130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625408"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131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624384" type="#_x0000_t202" filled="false" stroked="false">
          <v:textbox inset="0,0,0,0">
            <w:txbxContent>
              <w:p>
                <w:pPr>
                  <w:spacing w:before="12"/>
                  <w:ind w:left="20" w:right="0" w:firstLine="0"/>
                  <w:jc w:val="left"/>
                  <w:rPr>
                    <w:rFonts w:ascii="Times New Roman"/>
                    <w:sz w:val="18"/>
                  </w:rPr>
                </w:pPr>
                <w:r>
                  <w:rPr>
                    <w:rFonts w:ascii="Times New Roman"/>
                    <w:sz w:val="18"/>
                  </w:rPr>
                  <w:t>140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8.929993pt;margin-top:781.179993pt;width:17.7pt;height:12pt;mso-position-horizontal-relative:page;mso-position-vertical-relative:page;z-index:-260623360"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141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929993pt;margin-top:781.179993pt;width:15.7pt;height:12pt;mso-position-horizontal-relative:page;mso-position-vertical-relative:page;z-index:-260622336" type="#_x0000_t202" filled="false" stroked="false">
          <v:textbox inset="0,0,0,0">
            <w:txbxContent>
              <w:p>
                <w:pPr>
                  <w:spacing w:before="12"/>
                  <w:ind w:left="20" w:right="0" w:firstLine="0"/>
                  <w:jc w:val="left"/>
                  <w:rPr>
                    <w:rFonts w:ascii="Times New Roman"/>
                    <w:sz w:val="18"/>
                  </w:rPr>
                </w:pPr>
                <w:r>
                  <w:rPr>
                    <w:rFonts w:ascii="Times New Roman"/>
                    <w:sz w:val="18"/>
                  </w:rPr>
                  <w:t>150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60631552" from="88.463997pt,55.439983pt" to="506.973997pt,55.439983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18.510010pt;margin-top:42.865608pt;width:191pt;height:11pt;mso-position-horizontal-relative:page;mso-position-vertical-relative:page;z-index:-260630528" type="#_x0000_t202" filled="false" stroked="false">
          <v:textbox inset="0,0,0,0">
            <w:txbxContent>
              <w:p>
                <w:pPr>
                  <w:spacing w:line="220" w:lineRule="exact" w:before="0"/>
                  <w:ind w:left="20" w:right="0" w:firstLine="0"/>
                  <w:jc w:val="left"/>
                  <w:rPr>
                    <w:sz w:val="18"/>
                  </w:rPr>
                </w:pPr>
                <w:r>
                  <w:rPr>
                    <w:sz w:val="18"/>
                  </w:rPr>
                  <w:t>华夏现金增利证券投资基金招募说明书（更新）</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38">
    <w:multiLevelType w:val="hybridMultilevel"/>
    <w:lvl w:ilvl="0">
      <w:start w:val="1"/>
      <w:numFmt w:val="decimal"/>
      <w:lvlText w:val="（%1）"/>
      <w:lvlJc w:val="left"/>
      <w:pPr>
        <w:ind w:left="778" w:hanging="529"/>
        <w:jc w:val="left"/>
      </w:pPr>
      <w:rPr>
        <w:rFonts w:hint="default" w:ascii="宋体" w:hAnsi="宋体" w:eastAsia="宋体" w:cs="宋体"/>
        <w:spacing w:val="-32"/>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37">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36">
    <w:multiLevelType w:val="hybridMultilevel"/>
    <w:lvl w:ilvl="0">
      <w:start w:val="1"/>
      <w:numFmt w:val="decimal"/>
      <w:lvlText w:val="（%1）"/>
      <w:lvlJc w:val="left"/>
      <w:pPr>
        <w:ind w:left="778" w:hanging="532"/>
        <w:jc w:val="left"/>
      </w:pPr>
      <w:rPr>
        <w:rFonts w:hint="default" w:ascii="宋体" w:hAnsi="宋体" w:eastAsia="宋体" w:cs="宋体"/>
        <w:spacing w:val="-15"/>
        <w:w w:val="100"/>
        <w:sz w:val="19"/>
        <w:szCs w:val="19"/>
        <w:lang w:val="zh-CN" w:eastAsia="zh-CN" w:bidi="zh-CN"/>
      </w:rPr>
    </w:lvl>
    <w:lvl w:ilvl="1">
      <w:start w:val="0"/>
      <w:numFmt w:val="bullet"/>
      <w:lvlText w:val="•"/>
      <w:lvlJc w:val="left"/>
      <w:pPr>
        <w:ind w:left="1700" w:hanging="532"/>
      </w:pPr>
      <w:rPr>
        <w:rFonts w:hint="default"/>
        <w:lang w:val="zh-CN" w:eastAsia="zh-CN" w:bidi="zh-CN"/>
      </w:rPr>
    </w:lvl>
    <w:lvl w:ilvl="2">
      <w:start w:val="0"/>
      <w:numFmt w:val="bullet"/>
      <w:lvlText w:val="•"/>
      <w:lvlJc w:val="left"/>
      <w:pPr>
        <w:ind w:left="2621" w:hanging="532"/>
      </w:pPr>
      <w:rPr>
        <w:rFonts w:hint="default"/>
        <w:lang w:val="zh-CN" w:eastAsia="zh-CN" w:bidi="zh-CN"/>
      </w:rPr>
    </w:lvl>
    <w:lvl w:ilvl="3">
      <w:start w:val="0"/>
      <w:numFmt w:val="bullet"/>
      <w:lvlText w:val="•"/>
      <w:lvlJc w:val="left"/>
      <w:pPr>
        <w:ind w:left="3541" w:hanging="532"/>
      </w:pPr>
      <w:rPr>
        <w:rFonts w:hint="default"/>
        <w:lang w:val="zh-CN" w:eastAsia="zh-CN" w:bidi="zh-CN"/>
      </w:rPr>
    </w:lvl>
    <w:lvl w:ilvl="4">
      <w:start w:val="0"/>
      <w:numFmt w:val="bullet"/>
      <w:lvlText w:val="•"/>
      <w:lvlJc w:val="left"/>
      <w:pPr>
        <w:ind w:left="4462" w:hanging="532"/>
      </w:pPr>
      <w:rPr>
        <w:rFonts w:hint="default"/>
        <w:lang w:val="zh-CN" w:eastAsia="zh-CN" w:bidi="zh-CN"/>
      </w:rPr>
    </w:lvl>
    <w:lvl w:ilvl="5">
      <w:start w:val="0"/>
      <w:numFmt w:val="bullet"/>
      <w:lvlText w:val="•"/>
      <w:lvlJc w:val="left"/>
      <w:pPr>
        <w:ind w:left="5383" w:hanging="532"/>
      </w:pPr>
      <w:rPr>
        <w:rFonts w:hint="default"/>
        <w:lang w:val="zh-CN" w:eastAsia="zh-CN" w:bidi="zh-CN"/>
      </w:rPr>
    </w:lvl>
    <w:lvl w:ilvl="6">
      <w:start w:val="0"/>
      <w:numFmt w:val="bullet"/>
      <w:lvlText w:val="•"/>
      <w:lvlJc w:val="left"/>
      <w:pPr>
        <w:ind w:left="6303" w:hanging="532"/>
      </w:pPr>
      <w:rPr>
        <w:rFonts w:hint="default"/>
        <w:lang w:val="zh-CN" w:eastAsia="zh-CN" w:bidi="zh-CN"/>
      </w:rPr>
    </w:lvl>
    <w:lvl w:ilvl="7">
      <w:start w:val="0"/>
      <w:numFmt w:val="bullet"/>
      <w:lvlText w:val="•"/>
      <w:lvlJc w:val="left"/>
      <w:pPr>
        <w:ind w:left="7224" w:hanging="532"/>
      </w:pPr>
      <w:rPr>
        <w:rFonts w:hint="default"/>
        <w:lang w:val="zh-CN" w:eastAsia="zh-CN" w:bidi="zh-CN"/>
      </w:rPr>
    </w:lvl>
    <w:lvl w:ilvl="8">
      <w:start w:val="0"/>
      <w:numFmt w:val="bullet"/>
      <w:lvlText w:val="•"/>
      <w:lvlJc w:val="left"/>
      <w:pPr>
        <w:ind w:left="8145" w:hanging="532"/>
      </w:pPr>
      <w:rPr>
        <w:rFonts w:hint="default"/>
        <w:lang w:val="zh-CN" w:eastAsia="zh-CN" w:bidi="zh-CN"/>
      </w:rPr>
    </w:lvl>
  </w:abstractNum>
  <w:abstractNum w:abstractNumId="3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34">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33">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32">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31">
    <w:multiLevelType w:val="hybridMultilevel"/>
    <w:lvl w:ilvl="0">
      <w:start w:val="1"/>
      <w:numFmt w:val="decimal"/>
      <w:lvlText w:val="（%1）"/>
      <w:lvlJc w:val="left"/>
      <w:pPr>
        <w:ind w:left="778" w:hanging="529"/>
        <w:jc w:val="left"/>
      </w:pPr>
      <w:rPr>
        <w:rFonts w:hint="default" w:ascii="宋体" w:hAnsi="宋体" w:eastAsia="宋体" w:cs="宋体"/>
        <w:spacing w:val="-46"/>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30">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9">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8">
    <w:multiLevelType w:val="hybridMultilevel"/>
    <w:lvl w:ilvl="0">
      <w:start w:val="1"/>
      <w:numFmt w:val="decimal"/>
      <w:lvlText w:val="（%1）"/>
      <w:lvlJc w:val="left"/>
      <w:pPr>
        <w:ind w:left="778" w:hanging="529"/>
        <w:jc w:val="left"/>
      </w:pPr>
      <w:rPr>
        <w:rFonts w:hint="default" w:ascii="宋体" w:hAnsi="宋体" w:eastAsia="宋体" w:cs="宋体"/>
        <w:spacing w:val="-12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27">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6">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3">
    <w:multiLevelType w:val="hybridMultilevel"/>
    <w:lvl w:ilvl="0">
      <w:start w:val="5"/>
      <w:numFmt w:val="decimal"/>
      <w:lvlText w:val="%1"/>
      <w:lvlJc w:val="left"/>
      <w:pPr>
        <w:ind w:left="1147" w:hanging="370"/>
        <w:jc w:val="left"/>
      </w:pPr>
      <w:rPr>
        <w:rFonts w:hint="default"/>
        <w:lang w:val="zh-CN" w:eastAsia="zh-CN" w:bidi="zh-CN"/>
      </w:rPr>
    </w:lvl>
    <w:lvl w:ilvl="1">
      <w:start w:val="1"/>
      <w:numFmt w:val="decimal"/>
      <w:lvlText w:val="%1.%2"/>
      <w:lvlJc w:val="left"/>
      <w:pPr>
        <w:ind w:left="1147" w:hanging="370"/>
        <w:jc w:val="left"/>
      </w:pPr>
      <w:rPr>
        <w:rFonts w:hint="default" w:ascii="Times New Roman" w:hAnsi="Times New Roman" w:eastAsia="Times New Roman" w:cs="Times New Roman"/>
        <w:w w:val="100"/>
        <w:sz w:val="21"/>
        <w:szCs w:val="21"/>
        <w:lang w:val="zh-CN" w:eastAsia="zh-CN" w:bidi="zh-CN"/>
      </w:rPr>
    </w:lvl>
    <w:lvl w:ilvl="2">
      <w:start w:val="1"/>
      <w:numFmt w:val="decimal"/>
      <w:lvlText w:val="%1.%2.%3"/>
      <w:lvlJc w:val="left"/>
      <w:pPr>
        <w:ind w:left="1303" w:hanging="526"/>
        <w:jc w:val="left"/>
      </w:pPr>
      <w:rPr>
        <w:rFonts w:hint="default" w:ascii="Times New Roman" w:hAnsi="Times New Roman" w:eastAsia="Times New Roman" w:cs="Times New Roman"/>
        <w:w w:val="100"/>
        <w:sz w:val="21"/>
        <w:szCs w:val="21"/>
        <w:lang w:val="zh-CN" w:eastAsia="zh-CN" w:bidi="zh-CN"/>
      </w:rPr>
    </w:lvl>
    <w:lvl w:ilvl="3">
      <w:start w:val="1"/>
      <w:numFmt w:val="decimal"/>
      <w:lvlText w:val="（%4）"/>
      <w:lvlJc w:val="left"/>
      <w:pPr>
        <w:ind w:left="778" w:hanging="529"/>
        <w:jc w:val="left"/>
      </w:pPr>
      <w:rPr>
        <w:rFonts w:hint="default" w:ascii="宋体" w:hAnsi="宋体" w:eastAsia="宋体" w:cs="宋体"/>
        <w:spacing w:val="-46"/>
        <w:w w:val="100"/>
        <w:sz w:val="19"/>
        <w:szCs w:val="19"/>
        <w:lang w:val="zh-CN" w:eastAsia="zh-CN" w:bidi="zh-CN"/>
      </w:rPr>
    </w:lvl>
    <w:lvl w:ilvl="4">
      <w:start w:val="0"/>
      <w:numFmt w:val="bullet"/>
      <w:lvlText w:val="•"/>
      <w:lvlJc w:val="left"/>
      <w:pPr>
        <w:ind w:left="2540" w:hanging="529"/>
      </w:pPr>
      <w:rPr>
        <w:rFonts w:hint="default"/>
        <w:lang w:val="zh-CN" w:eastAsia="zh-CN" w:bidi="zh-CN"/>
      </w:rPr>
    </w:lvl>
    <w:lvl w:ilvl="5">
      <w:start w:val="0"/>
      <w:numFmt w:val="bullet"/>
      <w:lvlText w:val="•"/>
      <w:lvlJc w:val="left"/>
      <w:pPr>
        <w:ind w:left="3781" w:hanging="529"/>
      </w:pPr>
      <w:rPr>
        <w:rFonts w:hint="default"/>
        <w:lang w:val="zh-CN" w:eastAsia="zh-CN" w:bidi="zh-CN"/>
      </w:rPr>
    </w:lvl>
    <w:lvl w:ilvl="6">
      <w:start w:val="0"/>
      <w:numFmt w:val="bullet"/>
      <w:lvlText w:val="•"/>
      <w:lvlJc w:val="left"/>
      <w:pPr>
        <w:ind w:left="5022" w:hanging="529"/>
      </w:pPr>
      <w:rPr>
        <w:rFonts w:hint="default"/>
        <w:lang w:val="zh-CN" w:eastAsia="zh-CN" w:bidi="zh-CN"/>
      </w:rPr>
    </w:lvl>
    <w:lvl w:ilvl="7">
      <w:start w:val="0"/>
      <w:numFmt w:val="bullet"/>
      <w:lvlText w:val="•"/>
      <w:lvlJc w:val="left"/>
      <w:pPr>
        <w:ind w:left="6263" w:hanging="529"/>
      </w:pPr>
      <w:rPr>
        <w:rFonts w:hint="default"/>
        <w:lang w:val="zh-CN" w:eastAsia="zh-CN" w:bidi="zh-CN"/>
      </w:rPr>
    </w:lvl>
    <w:lvl w:ilvl="8">
      <w:start w:val="0"/>
      <w:numFmt w:val="bullet"/>
      <w:lvlText w:val="•"/>
      <w:lvlJc w:val="left"/>
      <w:pPr>
        <w:ind w:left="7504" w:hanging="529"/>
      </w:pPr>
      <w:rPr>
        <w:rFonts w:hint="default"/>
        <w:lang w:val="zh-CN" w:eastAsia="zh-CN" w:bidi="zh-CN"/>
      </w:rPr>
    </w:lvl>
  </w:abstractNum>
  <w:abstractNum w:abstractNumId="22">
    <w:multiLevelType w:val="hybridMultilevel"/>
    <w:lvl w:ilvl="0">
      <w:start w:val="2"/>
      <w:numFmt w:val="decimal"/>
      <w:lvlText w:val="（%1）"/>
      <w:lvlJc w:val="left"/>
      <w:pPr>
        <w:ind w:left="778" w:hanging="529"/>
        <w:jc w:val="left"/>
      </w:pPr>
      <w:rPr>
        <w:rFonts w:hint="default" w:ascii="宋体" w:hAnsi="宋体" w:eastAsia="宋体" w:cs="宋体"/>
        <w:spacing w:val="-5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21">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20">
    <w:multiLevelType w:val="hybridMultilevel"/>
    <w:lvl w:ilvl="0">
      <w:start w:val="1"/>
      <w:numFmt w:val="decimal"/>
      <w:lvlText w:val="（%1）"/>
      <w:lvlJc w:val="left"/>
      <w:pPr>
        <w:ind w:left="778" w:hanging="529"/>
        <w:jc w:val="left"/>
      </w:pPr>
      <w:rPr>
        <w:rFonts w:hint="default" w:ascii="宋体" w:hAnsi="宋体" w:eastAsia="宋体" w:cs="宋体"/>
        <w:spacing w:val="-17"/>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9">
    <w:multiLevelType w:val="hybridMultilevel"/>
    <w:lvl w:ilvl="0">
      <w:start w:val="1"/>
      <w:numFmt w:val="decimal"/>
      <w:lvlText w:val="（%1）"/>
      <w:lvlJc w:val="left"/>
      <w:pPr>
        <w:ind w:left="778" w:hanging="529"/>
        <w:jc w:val="left"/>
      </w:pPr>
      <w:rPr>
        <w:rFonts w:hint="default" w:ascii="宋体" w:hAnsi="宋体" w:eastAsia="宋体" w:cs="宋体"/>
        <w:spacing w:val="-99"/>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8">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7">
    <w:multiLevelType w:val="hybridMultilevel"/>
    <w:lvl w:ilvl="0">
      <w:start w:val="1"/>
      <w:numFmt w:val="decimal"/>
      <w:lvlText w:val="（%1）"/>
      <w:lvlJc w:val="left"/>
      <w:pPr>
        <w:ind w:left="778" w:hanging="529"/>
        <w:jc w:val="left"/>
      </w:pPr>
      <w:rPr>
        <w:rFonts w:hint="default" w:ascii="宋体" w:hAnsi="宋体" w:eastAsia="宋体" w:cs="宋体"/>
        <w:spacing w:val="-106"/>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6">
    <w:multiLevelType w:val="hybridMultilevel"/>
    <w:lvl w:ilvl="0">
      <w:start w:val="1"/>
      <w:numFmt w:val="decimal"/>
      <w:lvlText w:val="（%1）"/>
      <w:lvlJc w:val="left"/>
      <w:pPr>
        <w:ind w:left="778" w:hanging="529"/>
        <w:jc w:val="left"/>
      </w:pPr>
      <w:rPr>
        <w:rFonts w:hint="default" w:ascii="宋体" w:hAnsi="宋体" w:eastAsia="宋体" w:cs="宋体"/>
        <w:spacing w:val="-17"/>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5">
    <w:multiLevelType w:val="hybridMultilevel"/>
    <w:lvl w:ilvl="0">
      <w:start w:val="1"/>
      <w:numFmt w:val="decimal"/>
      <w:lvlText w:val="（%1）"/>
      <w:lvlJc w:val="left"/>
      <w:pPr>
        <w:ind w:left="778" w:hanging="529"/>
        <w:jc w:val="left"/>
      </w:pPr>
      <w:rPr>
        <w:rFonts w:hint="default" w:ascii="宋体" w:hAnsi="宋体" w:eastAsia="宋体" w:cs="宋体"/>
        <w:spacing w:val="-99"/>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13">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12">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11">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10">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9">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8">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7">
    <w:multiLevelType w:val="hybridMultilevel"/>
    <w:lvl w:ilvl="0">
      <w:start w:val="1"/>
      <w:numFmt w:val="decimal"/>
      <w:lvlText w:val="（%1）"/>
      <w:lvlJc w:val="left"/>
      <w:pPr>
        <w:ind w:left="1789"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600" w:hanging="529"/>
      </w:pPr>
      <w:rPr>
        <w:rFonts w:hint="default"/>
        <w:lang w:val="zh-CN" w:eastAsia="zh-CN" w:bidi="zh-CN"/>
      </w:rPr>
    </w:lvl>
    <w:lvl w:ilvl="2">
      <w:start w:val="0"/>
      <w:numFmt w:val="bullet"/>
      <w:lvlText w:val="•"/>
      <w:lvlJc w:val="left"/>
      <w:pPr>
        <w:ind w:left="3421" w:hanging="529"/>
      </w:pPr>
      <w:rPr>
        <w:rFonts w:hint="default"/>
        <w:lang w:val="zh-CN" w:eastAsia="zh-CN" w:bidi="zh-CN"/>
      </w:rPr>
    </w:lvl>
    <w:lvl w:ilvl="3">
      <w:start w:val="0"/>
      <w:numFmt w:val="bullet"/>
      <w:lvlText w:val="•"/>
      <w:lvlJc w:val="left"/>
      <w:pPr>
        <w:ind w:left="4241" w:hanging="529"/>
      </w:pPr>
      <w:rPr>
        <w:rFonts w:hint="default"/>
        <w:lang w:val="zh-CN" w:eastAsia="zh-CN" w:bidi="zh-CN"/>
      </w:rPr>
    </w:lvl>
    <w:lvl w:ilvl="4">
      <w:start w:val="0"/>
      <w:numFmt w:val="bullet"/>
      <w:lvlText w:val="•"/>
      <w:lvlJc w:val="left"/>
      <w:pPr>
        <w:ind w:left="5062" w:hanging="529"/>
      </w:pPr>
      <w:rPr>
        <w:rFonts w:hint="default"/>
        <w:lang w:val="zh-CN" w:eastAsia="zh-CN" w:bidi="zh-CN"/>
      </w:rPr>
    </w:lvl>
    <w:lvl w:ilvl="5">
      <w:start w:val="0"/>
      <w:numFmt w:val="bullet"/>
      <w:lvlText w:val="•"/>
      <w:lvlJc w:val="left"/>
      <w:pPr>
        <w:ind w:left="5883" w:hanging="529"/>
      </w:pPr>
      <w:rPr>
        <w:rFonts w:hint="default"/>
        <w:lang w:val="zh-CN" w:eastAsia="zh-CN" w:bidi="zh-CN"/>
      </w:rPr>
    </w:lvl>
    <w:lvl w:ilvl="6">
      <w:start w:val="0"/>
      <w:numFmt w:val="bullet"/>
      <w:lvlText w:val="•"/>
      <w:lvlJc w:val="left"/>
      <w:pPr>
        <w:ind w:left="6703" w:hanging="529"/>
      </w:pPr>
      <w:rPr>
        <w:rFonts w:hint="default"/>
        <w:lang w:val="zh-CN" w:eastAsia="zh-CN" w:bidi="zh-CN"/>
      </w:rPr>
    </w:lvl>
    <w:lvl w:ilvl="7">
      <w:start w:val="0"/>
      <w:numFmt w:val="bullet"/>
      <w:lvlText w:val="•"/>
      <w:lvlJc w:val="left"/>
      <w:pPr>
        <w:ind w:left="7524" w:hanging="529"/>
      </w:pPr>
      <w:rPr>
        <w:rFonts w:hint="default"/>
        <w:lang w:val="zh-CN" w:eastAsia="zh-CN" w:bidi="zh-CN"/>
      </w:rPr>
    </w:lvl>
    <w:lvl w:ilvl="8">
      <w:start w:val="0"/>
      <w:numFmt w:val="bullet"/>
      <w:lvlText w:val="•"/>
      <w:lvlJc w:val="left"/>
      <w:pPr>
        <w:ind w:left="8345" w:hanging="529"/>
      </w:pPr>
      <w:rPr>
        <w:rFonts w:hint="default"/>
        <w:lang w:val="zh-CN" w:eastAsia="zh-CN" w:bidi="zh-CN"/>
      </w:rPr>
    </w:lvl>
  </w:abstractNum>
  <w:abstractNum w:abstractNumId="6">
    <w:multiLevelType w:val="hybridMultilevel"/>
    <w:lvl w:ilvl="0">
      <w:start w:val="1"/>
      <w:numFmt w:val="decimal"/>
      <w:lvlText w:val="（%1）"/>
      <w:lvlJc w:val="left"/>
      <w:pPr>
        <w:ind w:left="778" w:hanging="529"/>
        <w:jc w:val="left"/>
      </w:pPr>
      <w:rPr>
        <w:rFonts w:hint="default" w:ascii="宋体" w:hAnsi="宋体" w:eastAsia="宋体" w:cs="宋体"/>
        <w:spacing w:val="-32"/>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5">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4">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3">
    <w:multiLevelType w:val="hybridMultilevel"/>
    <w:lvl w:ilvl="0">
      <w:start w:val="1"/>
      <w:numFmt w:val="decimal"/>
      <w:lvlText w:val="（%1）"/>
      <w:lvlJc w:val="left"/>
      <w:pPr>
        <w:ind w:left="778" w:hanging="529"/>
        <w:jc w:val="left"/>
      </w:pPr>
      <w:rPr>
        <w:rFonts w:hint="default" w:ascii="宋体" w:hAnsi="宋体" w:eastAsia="宋体" w:cs="宋体"/>
        <w:spacing w:val="-32"/>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2">
    <w:multiLevelType w:val="hybridMultilevel"/>
    <w:lvl w:ilvl="0">
      <w:start w:val="1"/>
      <w:numFmt w:val="decimal"/>
      <w:lvlText w:val="（%1）"/>
      <w:lvlJc w:val="left"/>
      <w:pPr>
        <w:ind w:left="778"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1700" w:hanging="529"/>
      </w:pPr>
      <w:rPr>
        <w:rFonts w:hint="default"/>
        <w:lang w:val="zh-CN" w:eastAsia="zh-CN" w:bidi="zh-CN"/>
      </w:rPr>
    </w:lvl>
    <w:lvl w:ilvl="2">
      <w:start w:val="0"/>
      <w:numFmt w:val="bullet"/>
      <w:lvlText w:val="•"/>
      <w:lvlJc w:val="left"/>
      <w:pPr>
        <w:ind w:left="2621" w:hanging="529"/>
      </w:pPr>
      <w:rPr>
        <w:rFonts w:hint="default"/>
        <w:lang w:val="zh-CN" w:eastAsia="zh-CN" w:bidi="zh-CN"/>
      </w:rPr>
    </w:lvl>
    <w:lvl w:ilvl="3">
      <w:start w:val="0"/>
      <w:numFmt w:val="bullet"/>
      <w:lvlText w:val="•"/>
      <w:lvlJc w:val="left"/>
      <w:pPr>
        <w:ind w:left="3541" w:hanging="529"/>
      </w:pPr>
      <w:rPr>
        <w:rFonts w:hint="default"/>
        <w:lang w:val="zh-CN" w:eastAsia="zh-CN" w:bidi="zh-CN"/>
      </w:rPr>
    </w:lvl>
    <w:lvl w:ilvl="4">
      <w:start w:val="0"/>
      <w:numFmt w:val="bullet"/>
      <w:lvlText w:val="•"/>
      <w:lvlJc w:val="left"/>
      <w:pPr>
        <w:ind w:left="4462" w:hanging="529"/>
      </w:pPr>
      <w:rPr>
        <w:rFonts w:hint="default"/>
        <w:lang w:val="zh-CN" w:eastAsia="zh-CN" w:bidi="zh-CN"/>
      </w:rPr>
    </w:lvl>
    <w:lvl w:ilvl="5">
      <w:start w:val="0"/>
      <w:numFmt w:val="bullet"/>
      <w:lvlText w:val="•"/>
      <w:lvlJc w:val="left"/>
      <w:pPr>
        <w:ind w:left="5383" w:hanging="529"/>
      </w:pPr>
      <w:rPr>
        <w:rFonts w:hint="default"/>
        <w:lang w:val="zh-CN" w:eastAsia="zh-CN" w:bidi="zh-CN"/>
      </w:rPr>
    </w:lvl>
    <w:lvl w:ilvl="6">
      <w:start w:val="0"/>
      <w:numFmt w:val="bullet"/>
      <w:lvlText w:val="•"/>
      <w:lvlJc w:val="left"/>
      <w:pPr>
        <w:ind w:left="6303" w:hanging="529"/>
      </w:pPr>
      <w:rPr>
        <w:rFonts w:hint="default"/>
        <w:lang w:val="zh-CN" w:eastAsia="zh-CN" w:bidi="zh-CN"/>
      </w:rPr>
    </w:lvl>
    <w:lvl w:ilvl="7">
      <w:start w:val="0"/>
      <w:numFmt w:val="bullet"/>
      <w:lvlText w:val="•"/>
      <w:lvlJc w:val="left"/>
      <w:pPr>
        <w:ind w:left="7224" w:hanging="529"/>
      </w:pPr>
      <w:rPr>
        <w:rFonts w:hint="default"/>
        <w:lang w:val="zh-CN" w:eastAsia="zh-CN" w:bidi="zh-CN"/>
      </w:rPr>
    </w:lvl>
    <w:lvl w:ilvl="8">
      <w:start w:val="0"/>
      <w:numFmt w:val="bullet"/>
      <w:lvlText w:val="•"/>
      <w:lvlJc w:val="left"/>
      <w:pPr>
        <w:ind w:left="8145" w:hanging="529"/>
      </w:pPr>
      <w:rPr>
        <w:rFonts w:hint="default"/>
        <w:lang w:val="zh-CN" w:eastAsia="zh-CN" w:bidi="zh-CN"/>
      </w:rPr>
    </w:lvl>
  </w:abstractNum>
  <w:abstractNum w:abstractNumId="1">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abstractNum w:abstractNumId="0">
    <w:multiLevelType w:val="hybridMultilevel"/>
    <w:lvl w:ilvl="0">
      <w:start w:val="1"/>
      <w:numFmt w:val="decimal"/>
      <w:lvlText w:val="（%1）"/>
      <w:lvlJc w:val="left"/>
      <w:pPr>
        <w:ind w:left="1727" w:hanging="529"/>
        <w:jc w:val="left"/>
      </w:pPr>
      <w:rPr>
        <w:rFonts w:hint="default" w:ascii="宋体" w:hAnsi="宋体" w:eastAsia="宋体" w:cs="宋体"/>
        <w:spacing w:val="-3"/>
        <w:w w:val="100"/>
        <w:sz w:val="19"/>
        <w:szCs w:val="19"/>
        <w:lang w:val="zh-CN" w:eastAsia="zh-CN" w:bidi="zh-CN"/>
      </w:rPr>
    </w:lvl>
    <w:lvl w:ilvl="1">
      <w:start w:val="0"/>
      <w:numFmt w:val="bullet"/>
      <w:lvlText w:val="•"/>
      <w:lvlJc w:val="left"/>
      <w:pPr>
        <w:ind w:left="2546" w:hanging="529"/>
      </w:pPr>
      <w:rPr>
        <w:rFonts w:hint="default"/>
        <w:lang w:val="zh-CN" w:eastAsia="zh-CN" w:bidi="zh-CN"/>
      </w:rPr>
    </w:lvl>
    <w:lvl w:ilvl="2">
      <w:start w:val="0"/>
      <w:numFmt w:val="bullet"/>
      <w:lvlText w:val="•"/>
      <w:lvlJc w:val="left"/>
      <w:pPr>
        <w:ind w:left="3373" w:hanging="529"/>
      </w:pPr>
      <w:rPr>
        <w:rFonts w:hint="default"/>
        <w:lang w:val="zh-CN" w:eastAsia="zh-CN" w:bidi="zh-CN"/>
      </w:rPr>
    </w:lvl>
    <w:lvl w:ilvl="3">
      <w:start w:val="0"/>
      <w:numFmt w:val="bullet"/>
      <w:lvlText w:val="•"/>
      <w:lvlJc w:val="left"/>
      <w:pPr>
        <w:ind w:left="4199" w:hanging="529"/>
      </w:pPr>
      <w:rPr>
        <w:rFonts w:hint="default"/>
        <w:lang w:val="zh-CN" w:eastAsia="zh-CN" w:bidi="zh-CN"/>
      </w:rPr>
    </w:lvl>
    <w:lvl w:ilvl="4">
      <w:start w:val="0"/>
      <w:numFmt w:val="bullet"/>
      <w:lvlText w:val="•"/>
      <w:lvlJc w:val="left"/>
      <w:pPr>
        <w:ind w:left="5026" w:hanging="529"/>
      </w:pPr>
      <w:rPr>
        <w:rFonts w:hint="default"/>
        <w:lang w:val="zh-CN" w:eastAsia="zh-CN" w:bidi="zh-CN"/>
      </w:rPr>
    </w:lvl>
    <w:lvl w:ilvl="5">
      <w:start w:val="0"/>
      <w:numFmt w:val="bullet"/>
      <w:lvlText w:val="•"/>
      <w:lvlJc w:val="left"/>
      <w:pPr>
        <w:ind w:left="5853" w:hanging="529"/>
      </w:pPr>
      <w:rPr>
        <w:rFonts w:hint="default"/>
        <w:lang w:val="zh-CN" w:eastAsia="zh-CN" w:bidi="zh-CN"/>
      </w:rPr>
    </w:lvl>
    <w:lvl w:ilvl="6">
      <w:start w:val="0"/>
      <w:numFmt w:val="bullet"/>
      <w:lvlText w:val="•"/>
      <w:lvlJc w:val="left"/>
      <w:pPr>
        <w:ind w:left="6679" w:hanging="529"/>
      </w:pPr>
      <w:rPr>
        <w:rFonts w:hint="default"/>
        <w:lang w:val="zh-CN" w:eastAsia="zh-CN" w:bidi="zh-CN"/>
      </w:rPr>
    </w:lvl>
    <w:lvl w:ilvl="7">
      <w:start w:val="0"/>
      <w:numFmt w:val="bullet"/>
      <w:lvlText w:val="•"/>
      <w:lvlJc w:val="left"/>
      <w:pPr>
        <w:ind w:left="7506" w:hanging="529"/>
      </w:pPr>
      <w:rPr>
        <w:rFonts w:hint="default"/>
        <w:lang w:val="zh-CN" w:eastAsia="zh-CN" w:bidi="zh-CN"/>
      </w:rPr>
    </w:lvl>
    <w:lvl w:ilvl="8">
      <w:start w:val="0"/>
      <w:numFmt w:val="bullet"/>
      <w:lvlText w:val="•"/>
      <w:lvlJc w:val="left"/>
      <w:pPr>
        <w:ind w:left="8333" w:hanging="529"/>
      </w:pPr>
      <w:rPr>
        <w:rFonts w:hint="default"/>
        <w:lang w:val="zh-CN" w:eastAsia="zh-CN" w:bidi="zh-CN"/>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spacing w:before="199"/>
      <w:ind w:left="778"/>
    </w:pPr>
    <w:rPr>
      <w:rFonts w:ascii="宋体" w:hAnsi="宋体" w:eastAsia="宋体" w:cs="宋体"/>
      <w:sz w:val="21"/>
      <w:szCs w:val="21"/>
      <w:lang w:val="zh-CN" w:eastAsia="zh-CN" w:bidi="zh-CN"/>
    </w:rPr>
  </w:style>
  <w:style w:styleId="BodyText" w:type="paragraph">
    <w:name w:val="Body Text"/>
    <w:basedOn w:val="Normal"/>
    <w:uiPriority w:val="1"/>
    <w:qFormat/>
    <w:pPr/>
    <w:rPr>
      <w:rFonts w:ascii="宋体" w:hAnsi="宋体" w:eastAsia="宋体" w:cs="宋体"/>
      <w:sz w:val="21"/>
      <w:szCs w:val="21"/>
      <w:lang w:val="zh-CN" w:eastAsia="zh-CN" w:bidi="zh-CN"/>
    </w:rPr>
  </w:style>
  <w:style w:styleId="Heading1" w:type="paragraph">
    <w:name w:val="Heading 1"/>
    <w:basedOn w:val="Normal"/>
    <w:uiPriority w:val="1"/>
    <w:qFormat/>
    <w:pPr>
      <w:ind w:left="1222" w:right="1335"/>
      <w:jc w:val="center"/>
      <w:outlineLvl w:val="1"/>
    </w:pPr>
    <w:rPr>
      <w:rFonts w:ascii="宋体" w:hAnsi="宋体" w:eastAsia="宋体" w:cs="宋体"/>
      <w:b/>
      <w:bCs/>
      <w:sz w:val="21"/>
      <w:szCs w:val="21"/>
      <w:lang w:val="zh-CN" w:eastAsia="zh-CN" w:bidi="zh-CN"/>
    </w:rPr>
  </w:style>
  <w:style w:styleId="ListParagraph" w:type="paragraph">
    <w:name w:val="List Paragraph"/>
    <w:basedOn w:val="Normal"/>
    <w:uiPriority w:val="1"/>
    <w:qFormat/>
    <w:pPr>
      <w:ind w:left="1727" w:hanging="529"/>
    </w:pPr>
    <w:rPr>
      <w:rFonts w:ascii="宋体" w:hAnsi="宋体" w:eastAsia="宋体" w:cs="宋体"/>
      <w:lang w:val="zh-CN" w:eastAsia="zh-CN" w:bidi="zh-CN"/>
    </w:rPr>
  </w:style>
  <w:style w:styleId="TableParagraph" w:type="paragraph">
    <w:name w:val="Table Paragraph"/>
    <w:basedOn w:val="Normal"/>
    <w:uiPriority w:val="1"/>
    <w:qFormat/>
    <w:pPr>
      <w:spacing w:before="22"/>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www.ChinaAMC.com/" TargetMode="External"/><Relationship Id="rId11" Type="http://schemas.openxmlformats.org/officeDocument/2006/relationships/hyperlink" Target="http://www.icbc.com.cn/" TargetMode="External"/><Relationship Id="rId12" Type="http://schemas.openxmlformats.org/officeDocument/2006/relationships/hyperlink" Target="http://www.abchina.com/" TargetMode="External"/><Relationship Id="rId13" Type="http://schemas.openxmlformats.org/officeDocument/2006/relationships/hyperlink" Target="http://www.boc.cn/" TargetMode="External"/><Relationship Id="rId14" Type="http://schemas.openxmlformats.org/officeDocument/2006/relationships/hyperlink" Target="http://www.ccb.com/" TargetMode="External"/><Relationship Id="rId15" Type="http://schemas.openxmlformats.org/officeDocument/2006/relationships/hyperlink" Target="http://www.bankcomm.com/" TargetMode="External"/><Relationship Id="rId16" Type="http://schemas.openxmlformats.org/officeDocument/2006/relationships/hyperlink" Target="http://www.cmbchina.com/" TargetMode="External"/><Relationship Id="rId17" Type="http://schemas.openxmlformats.org/officeDocument/2006/relationships/hyperlink" Target="http://www.spdb.com.cn/" TargetMode="External"/><Relationship Id="rId18" Type="http://schemas.openxmlformats.org/officeDocument/2006/relationships/hyperlink" Target="http://www.cib.com.cn/" TargetMode="External"/><Relationship Id="rId19" Type="http://schemas.openxmlformats.org/officeDocument/2006/relationships/hyperlink" Target="http://www.cebbank.com/" TargetMode="External"/><Relationship Id="rId20" Type="http://schemas.openxmlformats.org/officeDocument/2006/relationships/hyperlink" Target="http://www.cmbc.com.cn/" TargetMode="External"/><Relationship Id="rId21" Type="http://schemas.openxmlformats.org/officeDocument/2006/relationships/hyperlink" Target="http://www.psbc.com/" TargetMode="External"/><Relationship Id="rId22" Type="http://schemas.openxmlformats.org/officeDocument/2006/relationships/hyperlink" Target="http://www.bankofbeijing.com.cn/" TargetMode="External"/><Relationship Id="rId23" Type="http://schemas.openxmlformats.org/officeDocument/2006/relationships/hyperlink" Target="http://www.hxb.com.cn/" TargetMode="External"/><Relationship Id="rId24" Type="http://schemas.openxmlformats.org/officeDocument/2006/relationships/hyperlink" Target="http://www.bosc.cn/" TargetMode="External"/><Relationship Id="rId25" Type="http://schemas.openxmlformats.org/officeDocument/2006/relationships/hyperlink" Target="http://www.cgbchina.com.cn/" TargetMode="External"/><Relationship Id="rId26" Type="http://schemas.openxmlformats.org/officeDocument/2006/relationships/hyperlink" Target="http://www.nbcb.cn/" TargetMode="External"/><Relationship Id="rId27" Type="http://schemas.openxmlformats.org/officeDocument/2006/relationships/hyperlink" Target="http://www.srcb.com/" TargetMode="External"/><Relationship Id="rId28" Type="http://schemas.openxmlformats.org/officeDocument/2006/relationships/hyperlink" Target="http://www.bjrcb.com/" TargetMode="External"/><Relationship Id="rId29" Type="http://schemas.openxmlformats.org/officeDocument/2006/relationships/hyperlink" Target="http://www.qdccb.com/" TargetMode="External"/><Relationship Id="rId30" Type="http://schemas.openxmlformats.org/officeDocument/2006/relationships/hyperlink" Target="http://www.hsbank.com.cn/" TargetMode="External"/><Relationship Id="rId31" Type="http://schemas.openxmlformats.org/officeDocument/2006/relationships/hyperlink" Target="http://www.czbank.com/" TargetMode="External"/><Relationship Id="rId32" Type="http://schemas.openxmlformats.org/officeDocument/2006/relationships/hyperlink" Target="http://www.dongguanbank.cn/" TargetMode="External"/><Relationship Id="rId33" Type="http://schemas.openxmlformats.org/officeDocument/2006/relationships/hyperlink" Target="http://www.hzbank.com.cn/" TargetMode="External"/><Relationship Id="rId34" Type="http://schemas.openxmlformats.org/officeDocument/2006/relationships/hyperlink" Target="http://www.njcb.com.cn/" TargetMode="External"/><Relationship Id="rId35" Type="http://schemas.openxmlformats.org/officeDocument/2006/relationships/hyperlink" Target="http://www.lsbchina.com/" TargetMode="External"/><Relationship Id="rId36" Type="http://schemas.openxmlformats.org/officeDocument/2006/relationships/hyperlink" Target="http://www.wzbank.cn/" TargetMode="External"/><Relationship Id="rId37" Type="http://schemas.openxmlformats.org/officeDocument/2006/relationships/hyperlink" Target="http://www.hkbchina.com/" TargetMode="External"/><Relationship Id="rId38" Type="http://schemas.openxmlformats.org/officeDocument/2006/relationships/hyperlink" Target="http://www.jsbchina.cn/" TargetMode="External"/><Relationship Id="rId39" Type="http://schemas.openxmlformats.org/officeDocument/2006/relationships/hyperlink" Target="http://www.cbhb.com.cn/" TargetMode="External"/><Relationship Id="rId40" Type="http://schemas.openxmlformats.org/officeDocument/2006/relationships/hyperlink" Target="http://www.bankofluoyang.com.cn/" TargetMode="External"/><Relationship Id="rId41" Type="http://schemas.openxmlformats.org/officeDocument/2006/relationships/hyperlink" Target="http://www.uccb.com.cn/" TargetMode="External"/><Relationship Id="rId42" Type="http://schemas.openxmlformats.org/officeDocument/2006/relationships/hyperlink" Target="http://www.yantaibank.net/" TargetMode="External"/><Relationship Id="rId43" Type="http://schemas.openxmlformats.org/officeDocument/2006/relationships/hyperlink" Target="http://www.bankofdl.com/" TargetMode="External"/><Relationship Id="rId44" Type="http://schemas.openxmlformats.org/officeDocument/2006/relationships/hyperlink" Target="http://www.hebbank.com/" TargetMode="External"/><Relationship Id="rId45" Type="http://schemas.openxmlformats.org/officeDocument/2006/relationships/hyperlink" Target="http://www.szrcb.com/" TargetMode="External"/><Relationship Id="rId46" Type="http://schemas.openxmlformats.org/officeDocument/2006/relationships/hyperlink" Target="http://www.xacbank.com/" TargetMode="External"/><Relationship Id="rId47" Type="http://schemas.openxmlformats.org/officeDocument/2006/relationships/hyperlink" Target="http://www.jnbank.com.cn/" TargetMode="External"/><Relationship Id="rId48" Type="http://schemas.openxmlformats.org/officeDocument/2006/relationships/hyperlink" Target="http://www.bsb.com.cn/" TargetMode="External"/><Relationship Id="rId49" Type="http://schemas.openxmlformats.org/officeDocument/2006/relationships/hyperlink" Target="http://www.xmccb.com/" TargetMode="External"/><Relationship Id="rId50" Type="http://schemas.openxmlformats.org/officeDocument/2006/relationships/hyperlink" Target="http://www.jlbank.com.cn/" TargetMode="External"/><Relationship Id="rId51" Type="http://schemas.openxmlformats.org/officeDocument/2006/relationships/hyperlink" Target="http://www.suzhoubank.com/" TargetMode="External"/><Relationship Id="rId52" Type="http://schemas.openxmlformats.org/officeDocument/2006/relationships/hyperlink" Target="http://www.sc.com/cn" TargetMode="External"/><Relationship Id="rId53" Type="http://schemas.openxmlformats.org/officeDocument/2006/relationships/hyperlink" Target="http://www.hangseng.com.cn/" TargetMode="External"/><Relationship Id="rId54" Type="http://schemas.openxmlformats.org/officeDocument/2006/relationships/hyperlink" Target="http://www/" TargetMode="External"/><Relationship Id="rId55" Type="http://schemas.openxmlformats.org/officeDocument/2006/relationships/hyperlink" Target="http://www.hrxjbank.com.cn/" TargetMode="External"/><Relationship Id="rId56" Type="http://schemas.openxmlformats.org/officeDocument/2006/relationships/hyperlink" Target="http://www.qrcb.com.cn/" TargetMode="External"/><Relationship Id="rId57" Type="http://schemas.openxmlformats.org/officeDocument/2006/relationships/hyperlink" Target="http://www.webank.com/" TargetMode="External"/><Relationship Id="rId58" Type="http://schemas.openxmlformats.org/officeDocument/2006/relationships/hyperlink" Target="http://www.zybank.com.cn/" TargetMode="External"/><Relationship Id="rId59" Type="http://schemas.openxmlformats.org/officeDocument/2006/relationships/hyperlink" Target="http://www.txsec.com/" TargetMode="External"/><Relationship Id="rId60" Type="http://schemas.openxmlformats.org/officeDocument/2006/relationships/hyperlink" Target="http://www.9ifund.com/" TargetMode="External"/><Relationship Id="rId61" Type="http://schemas.openxmlformats.org/officeDocument/2006/relationships/hyperlink" Target="http://8.jrj.com.cn/" TargetMode="External"/><Relationship Id="rId62" Type="http://schemas.openxmlformats.org/officeDocument/2006/relationships/hyperlink" Target="http://www.huilinbd.com/" TargetMode="External"/><Relationship Id="rId63" Type="http://schemas.openxmlformats.org/officeDocument/2006/relationships/hyperlink" Target="http://www.wacaijijin.com/" TargetMode="External"/><Relationship Id="rId64" Type="http://schemas.openxmlformats.org/officeDocument/2006/relationships/hyperlink" Target="http://www.xiquefund.com/" TargetMode="External"/><Relationship Id="rId65" Type="http://schemas.openxmlformats.org/officeDocument/2006/relationships/hyperlink" Target="http://www.tenganxinxi.com/" TargetMode="External"/><Relationship Id="rId66" Type="http://schemas.openxmlformats.org/officeDocument/2006/relationships/hyperlink" Target="http://www.baiyingfund.com/" TargetMode="External"/><Relationship Id="rId67" Type="http://schemas.openxmlformats.org/officeDocument/2006/relationships/hyperlink" Target="http://www.noah-fund.com/" TargetMode="External"/><Relationship Id="rId68" Type="http://schemas.openxmlformats.org/officeDocument/2006/relationships/hyperlink" Target="http://www.zlfund.cn/" TargetMode="External"/><Relationship Id="rId69" Type="http://schemas.openxmlformats.org/officeDocument/2006/relationships/hyperlink" Target="http://www.1234567.com.cn/" TargetMode="External"/><Relationship Id="rId70" Type="http://schemas.openxmlformats.org/officeDocument/2006/relationships/hyperlink" Target="http://www.ehowbuy.com/" TargetMode="External"/><Relationship Id="rId71" Type="http://schemas.openxmlformats.org/officeDocument/2006/relationships/hyperlink" Target="http://www.fund123.cn/" TargetMode="External"/><Relationship Id="rId72" Type="http://schemas.openxmlformats.org/officeDocument/2006/relationships/hyperlink" Target="http://www.erichfund.com/" TargetMode="External"/><Relationship Id="rId73" Type="http://schemas.openxmlformats.org/officeDocument/2006/relationships/hyperlink" Target="http://www.5ifund.com/" TargetMode="External"/><Relationship Id="rId74" Type="http://schemas.openxmlformats.org/officeDocument/2006/relationships/hyperlink" Target="http://www.myfund.com/" TargetMode="External"/><Relationship Id="rId75" Type="http://schemas.openxmlformats.org/officeDocument/2006/relationships/hyperlink" Target="http://www.leadfund.com.cn/" TargetMode="External"/><Relationship Id="rId76" Type="http://schemas.openxmlformats.org/officeDocument/2006/relationships/hyperlink" Target="http://www.jincheng-fund.com/" TargetMode="External"/><Relationship Id="rId77" Type="http://schemas.openxmlformats.org/officeDocument/2006/relationships/hyperlink" Target="http://www.harvestwm.cn/" TargetMode="External"/><Relationship Id="rId78" Type="http://schemas.openxmlformats.org/officeDocument/2006/relationships/hyperlink" Target="http://www.qiandaojr.com/" TargetMode="External"/><Relationship Id="rId79" Type="http://schemas.openxmlformats.org/officeDocument/2006/relationships/hyperlink" Target="http://www.5irich.com/" TargetMode="External"/><Relationship Id="rId80" Type="http://schemas.openxmlformats.org/officeDocument/2006/relationships/hyperlink" Target="http://www.puyifund.com/" TargetMode="External"/><Relationship Id="rId81" Type="http://schemas.openxmlformats.org/officeDocument/2006/relationships/hyperlink" Target="http://www.yixinfund.com/" TargetMode="External"/><Relationship Id="rId82" Type="http://schemas.openxmlformats.org/officeDocument/2006/relationships/hyperlink" Target="http://www.snjijin.com/" TargetMode="External"/><Relationship Id="rId83" Type="http://schemas.openxmlformats.org/officeDocument/2006/relationships/hyperlink" Target="http://www.zscffund.com/" TargetMode="External"/><Relationship Id="rId84" Type="http://schemas.openxmlformats.org/officeDocument/2006/relationships/hyperlink" Target="http://www.tenyuanfund.com/" TargetMode="External"/><Relationship Id="rId85" Type="http://schemas.openxmlformats.org/officeDocument/2006/relationships/hyperlink" Target="http://www.tonghuafund.com/" TargetMode="External"/><Relationship Id="rId86" Type="http://schemas.openxmlformats.org/officeDocument/2006/relationships/hyperlink" Target="http://www.chtwm.com/" TargetMode="External"/><Relationship Id="rId87" Type="http://schemas.openxmlformats.org/officeDocument/2006/relationships/hyperlink" Target="http://www.yitfund.com/" TargetMode="External"/><Relationship Id="rId88" Type="http://schemas.openxmlformats.org/officeDocument/2006/relationships/hyperlink" Target="http://www.hcjijin.com/" TargetMode="External"/><Relationship Id="rId89" Type="http://schemas.openxmlformats.org/officeDocument/2006/relationships/hyperlink" Target="http://www.shengshiview.com.cn/" TargetMode="External"/><Relationship Id="rId90" Type="http://schemas.openxmlformats.org/officeDocument/2006/relationships/hyperlink" Target="http://www.niuji.net/" TargetMode="External"/><Relationship Id="rId91" Type="http://schemas.openxmlformats.org/officeDocument/2006/relationships/hyperlink" Target="http://www.tdyhfund.com/" TargetMode="External"/><Relationship Id="rId92" Type="http://schemas.openxmlformats.org/officeDocument/2006/relationships/hyperlink" Target="http://www.zhixin-inv.com/" TargetMode="External"/><Relationship Id="rId93" Type="http://schemas.openxmlformats.org/officeDocument/2006/relationships/hyperlink" Target="http://www.fundhaiyin.com/" TargetMode="External"/><Relationship Id="rId94" Type="http://schemas.openxmlformats.org/officeDocument/2006/relationships/hyperlink" Target="http://www.jfcta.com/" TargetMode="External"/><Relationship Id="rId95" Type="http://schemas.openxmlformats.org/officeDocument/2006/relationships/hyperlink" Target="http://www.gomefund.com/" TargetMode="External"/><Relationship Id="rId96" Type="http://schemas.openxmlformats.org/officeDocument/2006/relationships/hyperlink" Target="http://www.wg.com.cn/" TargetMode="External"/><Relationship Id="rId97" Type="http://schemas.openxmlformats.org/officeDocument/2006/relationships/hyperlink" Target="http://www.xincai.com/" TargetMode="External"/><Relationship Id="rId98" Type="http://schemas.openxmlformats.org/officeDocument/2006/relationships/hyperlink" Target="http://www.htfund.com/" TargetMode="External"/><Relationship Id="rId99" Type="http://schemas.openxmlformats.org/officeDocument/2006/relationships/hyperlink" Target="http://www.jianfortune.com/" TargetMode="External"/><Relationship Id="rId100" Type="http://schemas.openxmlformats.org/officeDocument/2006/relationships/hyperlink" Target="http://www.520fund.com.cn/" TargetMode="External"/><Relationship Id="rId101" Type="http://schemas.openxmlformats.org/officeDocument/2006/relationships/hyperlink" Target="http://www.fengfd.com/" TargetMode="External"/><Relationship Id="rId102" Type="http://schemas.openxmlformats.org/officeDocument/2006/relationships/hyperlink" Target="http://www.66liantai.com/" TargetMode="External"/><Relationship Id="rId103" Type="http://schemas.openxmlformats.org/officeDocument/2006/relationships/hyperlink" Target="http://www.jhjzfund.com/" TargetMode="External"/><Relationship Id="rId104" Type="http://schemas.openxmlformats.org/officeDocument/2006/relationships/hyperlink" Target="http://www.haojiyoujijin.com/" TargetMode="External"/><Relationship Id="rId105" Type="http://schemas.openxmlformats.org/officeDocument/2006/relationships/hyperlink" Target="http://www.hotjijin.com/" TargetMode="External"/><Relationship Id="rId106" Type="http://schemas.openxmlformats.org/officeDocument/2006/relationships/hyperlink" Target="http://www.jiyufund.com.cn/" TargetMode="External"/><Relationship Id="rId107" Type="http://schemas.openxmlformats.org/officeDocument/2006/relationships/hyperlink" Target="http://www.zhongzhengfund.com/" TargetMode="External"/><Relationship Id="rId108" Type="http://schemas.openxmlformats.org/officeDocument/2006/relationships/hyperlink" Target="http://www.hongdianfund.com/" TargetMode="External"/><Relationship Id="rId109" Type="http://schemas.openxmlformats.org/officeDocument/2006/relationships/hyperlink" Target="http://www.fujifund.cn/" TargetMode="External"/><Relationship Id="rId110" Type="http://schemas.openxmlformats.org/officeDocument/2006/relationships/hyperlink" Target="http://www.pytz.cn/" TargetMode="External"/><Relationship Id="rId111" Type="http://schemas.openxmlformats.org/officeDocument/2006/relationships/hyperlink" Target="http://www.lufunds.com/" TargetMode="External"/><Relationship Id="rId112" Type="http://schemas.openxmlformats.org/officeDocument/2006/relationships/hyperlink" Target="http://www.dtfunds.com/" TargetMode="External"/><Relationship Id="rId113" Type="http://schemas.openxmlformats.org/officeDocument/2006/relationships/hyperlink" Target="http://www.yingmi.cn/" TargetMode="External"/><Relationship Id="rId114" Type="http://schemas.openxmlformats.org/officeDocument/2006/relationships/hyperlink" Target="http://www.hgccpb.com/" TargetMode="External"/><Relationship Id="rId115" Type="http://schemas.openxmlformats.org/officeDocument/2006/relationships/hyperlink" Target="http://www.ifastps.com.cn/" TargetMode="External"/><Relationship Id="rId116" Type="http://schemas.openxmlformats.org/officeDocument/2006/relationships/hyperlink" Target="http://www.jnlc.com/" TargetMode="External"/><Relationship Id="rId117" Type="http://schemas.openxmlformats.org/officeDocument/2006/relationships/hyperlink" Target="http://fund.jd.com/" TargetMode="External"/><Relationship Id="rId118" Type="http://schemas.openxmlformats.org/officeDocument/2006/relationships/hyperlink" Target="http://www.yibaijin.com/" TargetMode="External"/><Relationship Id="rId119" Type="http://schemas.openxmlformats.org/officeDocument/2006/relationships/hyperlink" Target="http://www.cmiwm.com/" TargetMode="External"/><Relationship Id="rId120" Type="http://schemas.openxmlformats.org/officeDocument/2006/relationships/hyperlink" Target="http://www.jfzinv.com/" TargetMode="External"/><Relationship Id="rId121" Type="http://schemas.openxmlformats.org/officeDocument/2006/relationships/hyperlink" Target="http://www.qiangungun.com/" TargetMode="External"/><Relationship Id="rId122" Type="http://schemas.openxmlformats.org/officeDocument/2006/relationships/hyperlink" Target="http://www.wanjiawealth.com/" TargetMode="External"/><Relationship Id="rId123" Type="http://schemas.openxmlformats.org/officeDocument/2006/relationships/hyperlink" Target="http://www.amcfortune.com/" TargetMode="External"/><Relationship Id="rId124" Type="http://schemas.openxmlformats.org/officeDocument/2006/relationships/hyperlink" Target="http://www.citicsf.com/" TargetMode="External"/><Relationship Id="rId125" Type="http://schemas.openxmlformats.org/officeDocument/2006/relationships/hyperlink" Target="http://www.ftol.com.cn/" TargetMode="External"/><Relationship Id="rId126" Type="http://schemas.openxmlformats.org/officeDocument/2006/relationships/hyperlink" Target="http://www.gtja.com/" TargetMode="External"/><Relationship Id="rId127" Type="http://schemas.openxmlformats.org/officeDocument/2006/relationships/hyperlink" Target="http://www.csc108.com/" TargetMode="External"/><Relationship Id="rId128" Type="http://schemas.openxmlformats.org/officeDocument/2006/relationships/hyperlink" Target="http://www.guosen.com.cn/" TargetMode="External"/><Relationship Id="rId129" Type="http://schemas.openxmlformats.org/officeDocument/2006/relationships/hyperlink" Target="http://www.newone.com.cn/" TargetMode="External"/><Relationship Id="rId130" Type="http://schemas.openxmlformats.org/officeDocument/2006/relationships/hyperlink" Target="http://www.gf.com.cn/" TargetMode="External"/><Relationship Id="rId131" Type="http://schemas.openxmlformats.org/officeDocument/2006/relationships/hyperlink" Target="http://www.cs.ecitic.com/" TargetMode="External"/><Relationship Id="rId132" Type="http://schemas.openxmlformats.org/officeDocument/2006/relationships/hyperlink" Target="http://www.chinastock.com.cn/" TargetMode="External"/><Relationship Id="rId133" Type="http://schemas.openxmlformats.org/officeDocument/2006/relationships/hyperlink" Target="http://www.htsec.com/" TargetMode="External"/><Relationship Id="rId134" Type="http://schemas.openxmlformats.org/officeDocument/2006/relationships/hyperlink" Target="http://www.swhysc.com/" TargetMode="External"/><Relationship Id="rId135" Type="http://schemas.openxmlformats.org/officeDocument/2006/relationships/hyperlink" Target="http://www.xyzq.com.cn/" TargetMode="External"/><Relationship Id="rId136" Type="http://schemas.openxmlformats.org/officeDocument/2006/relationships/hyperlink" Target="http://www.95579.com/" TargetMode="External"/><Relationship Id="rId137" Type="http://schemas.openxmlformats.org/officeDocument/2006/relationships/hyperlink" Target="http://www.essence.com.cn/" TargetMode="External"/><Relationship Id="rId138" Type="http://schemas.openxmlformats.org/officeDocument/2006/relationships/hyperlink" Target="http://www.swsc.com.cn/" TargetMode="External"/><Relationship Id="rId139" Type="http://schemas.openxmlformats.org/officeDocument/2006/relationships/hyperlink" Target="http://www.xcsc.com/" TargetMode="External"/><Relationship Id="rId140" Type="http://schemas.openxmlformats.org/officeDocument/2006/relationships/hyperlink" Target="http://www.wlzq.com.cn/" TargetMode="External"/><Relationship Id="rId141" Type="http://schemas.openxmlformats.org/officeDocument/2006/relationships/hyperlink" Target="http://www.mszq.com/" TargetMode="External"/><Relationship Id="rId142" Type="http://schemas.openxmlformats.org/officeDocument/2006/relationships/hyperlink" Target="http://www.gyzq.com.cn/" TargetMode="External"/><Relationship Id="rId143" Type="http://schemas.openxmlformats.org/officeDocument/2006/relationships/hyperlink" Target="http://www.ewww.com.cn/" TargetMode="External"/><Relationship Id="rId144" Type="http://schemas.openxmlformats.org/officeDocument/2006/relationships/hyperlink" Target="http://www.htsc.com.cn/" TargetMode="External"/><Relationship Id="rId145" Type="http://schemas.openxmlformats.org/officeDocument/2006/relationships/hyperlink" Target="http://www.i618.com.cn/" TargetMode="External"/><Relationship Id="rId146" Type="http://schemas.openxmlformats.org/officeDocument/2006/relationships/hyperlink" Target="http://sd.citics.com/" TargetMode="External"/><Relationship Id="rId147" Type="http://schemas.openxmlformats.org/officeDocument/2006/relationships/hyperlink" Target="http://www.dxzq.net.cn/" TargetMode="External"/><Relationship Id="rId148" Type="http://schemas.openxmlformats.org/officeDocument/2006/relationships/hyperlink" Target="http://www.dwzq.com.cn/" TargetMode="External"/><Relationship Id="rId149" Type="http://schemas.openxmlformats.org/officeDocument/2006/relationships/hyperlink" Target="http://www.cindasc.com/" TargetMode="External"/><Relationship Id="rId150" Type="http://schemas.openxmlformats.org/officeDocument/2006/relationships/hyperlink" Target="http://www.dfzq.com.cn/" TargetMode="External"/><Relationship Id="rId151" Type="http://schemas.openxmlformats.org/officeDocument/2006/relationships/hyperlink" Target="http://www.foundersc.com/" TargetMode="External"/><Relationship Id="rId152" Type="http://schemas.openxmlformats.org/officeDocument/2006/relationships/hyperlink" Target="http://www.cgws.com/" TargetMode="External"/><Relationship Id="rId153" Type="http://schemas.openxmlformats.org/officeDocument/2006/relationships/hyperlink" Target="http://www.ebscn.com/" TargetMode="External"/><Relationship Id="rId154" Type="http://schemas.openxmlformats.org/officeDocument/2006/relationships/hyperlink" Target="http://www.gzs.com.cn/" TargetMode="External"/><Relationship Id="rId155" Type="http://schemas.openxmlformats.org/officeDocument/2006/relationships/hyperlink" Target="http://www.nesc.cn/" TargetMode="External"/><Relationship Id="rId156" Type="http://schemas.openxmlformats.org/officeDocument/2006/relationships/hyperlink" Target="http://www.njzq.com.cn/" TargetMode="External"/><Relationship Id="rId157" Type="http://schemas.openxmlformats.org/officeDocument/2006/relationships/hyperlink" Target="http://www.962518.com/" TargetMode="External"/><Relationship Id="rId158" Type="http://schemas.openxmlformats.org/officeDocument/2006/relationships/hyperlink" Target="http://www.xsdzq.cn/" TargetMode="External"/><Relationship Id="rId159" Type="http://schemas.openxmlformats.org/officeDocument/2006/relationships/hyperlink" Target="http://www.dtsbc.com.cn/" TargetMode="External"/><Relationship Id="rId160" Type="http://schemas.openxmlformats.org/officeDocument/2006/relationships/hyperlink" Target="http://www.glsc.com.cn/" TargetMode="External"/><Relationship Id="rId161" Type="http://schemas.openxmlformats.org/officeDocument/2006/relationships/hyperlink" Target="http://www.stocke.com.cn/" TargetMode="External"/><Relationship Id="rId162" Type="http://schemas.openxmlformats.org/officeDocument/2006/relationships/hyperlink" Target="http://www.pingan.com/" TargetMode="External"/><Relationship Id="rId163" Type="http://schemas.openxmlformats.org/officeDocument/2006/relationships/hyperlink" Target="http://www.hazq.com/" TargetMode="External"/><Relationship Id="rId164" Type="http://schemas.openxmlformats.org/officeDocument/2006/relationships/hyperlink" Target="http://www.ghzq.com.cn/" TargetMode="External"/><Relationship Id="rId165" Type="http://schemas.openxmlformats.org/officeDocument/2006/relationships/hyperlink" Target="http://www.cfzq.com/" TargetMode="External"/><Relationship Id="rId166" Type="http://schemas.openxmlformats.org/officeDocument/2006/relationships/hyperlink" Target="http://www.dgzq.com.cn/" TargetMode="External"/><Relationship Id="rId167" Type="http://schemas.openxmlformats.org/officeDocument/2006/relationships/hyperlink" Target="http://www.ccnew.com/" TargetMode="External"/><Relationship Id="rId168" Type="http://schemas.openxmlformats.org/officeDocument/2006/relationships/hyperlink" Target="http://www.guodu.com/" TargetMode="External"/><Relationship Id="rId169" Type="http://schemas.openxmlformats.org/officeDocument/2006/relationships/hyperlink" Target="http://www.longone.com.cn/" TargetMode="External"/><Relationship Id="rId170" Type="http://schemas.openxmlformats.org/officeDocument/2006/relationships/hyperlink" Target="http://www.bocichina.com.cn/" TargetMode="External"/><Relationship Id="rId171" Type="http://schemas.openxmlformats.org/officeDocument/2006/relationships/hyperlink" Target="http://www.cnht.com.cn/" TargetMode="External"/><Relationship Id="rId172" Type="http://schemas.openxmlformats.org/officeDocument/2006/relationships/hyperlink" Target="http://www.gszq.com/" TargetMode="External"/><Relationship Id="rId173" Type="http://schemas.openxmlformats.org/officeDocument/2006/relationships/hyperlink" Target="http://www.hx168.com.cn/" TargetMode="External"/><Relationship Id="rId174" Type="http://schemas.openxmlformats.org/officeDocument/2006/relationships/hyperlink" Target="http://www.hysec.com/" TargetMode="External"/><Relationship Id="rId175" Type="http://schemas.openxmlformats.org/officeDocument/2006/relationships/hyperlink" Target="http://www.zts.com.cn/" TargetMode="External"/><Relationship Id="rId176" Type="http://schemas.openxmlformats.org/officeDocument/2006/relationships/hyperlink" Target="http://www.csco.com.cn/" TargetMode="External"/><Relationship Id="rId177" Type="http://schemas.openxmlformats.org/officeDocument/2006/relationships/hyperlink" Target="http://www.firstcapital.com.cn/" TargetMode="External"/><Relationship Id="rId178" Type="http://schemas.openxmlformats.org/officeDocument/2006/relationships/hyperlink" Target="http://www.jyzq.cn/" TargetMode="External"/><Relationship Id="rId179" Type="http://schemas.openxmlformats.org/officeDocument/2006/relationships/hyperlink" Target="http://www.avicsec.com/" TargetMode="External"/><Relationship Id="rId180" Type="http://schemas.openxmlformats.org/officeDocument/2006/relationships/hyperlink" Target="http://www.chinalin.com/" TargetMode="External"/><Relationship Id="rId181" Type="http://schemas.openxmlformats.org/officeDocument/2006/relationships/hyperlink" Target="http://www.tebon.com.cn/" TargetMode="External"/><Relationship Id="rId182" Type="http://schemas.openxmlformats.org/officeDocument/2006/relationships/hyperlink" Target="http://www.westsecu.com/" TargetMode="External"/><Relationship Id="rId183" Type="http://schemas.openxmlformats.org/officeDocument/2006/relationships/hyperlink" Target="http://www.hfzq.com.cn/" TargetMode="External"/><Relationship Id="rId184" Type="http://schemas.openxmlformats.org/officeDocument/2006/relationships/hyperlink" Target="http://www.hlzqgs.com/" TargetMode="External"/><Relationship Id="rId185" Type="http://schemas.openxmlformats.org/officeDocument/2006/relationships/hyperlink" Target="http://www.cicc.com.cn/" TargetMode="External"/><Relationship Id="rId186" Type="http://schemas.openxmlformats.org/officeDocument/2006/relationships/hyperlink" Target="http://www.ctsec.com/" TargetMode="External"/><Relationship Id="rId187" Type="http://schemas.openxmlformats.org/officeDocument/2006/relationships/hyperlink" Target="http://www.shhxzq.com/" TargetMode="External"/><Relationship Id="rId188" Type="http://schemas.openxmlformats.org/officeDocument/2006/relationships/hyperlink" Target="http://www.wkzq.com.cn/" TargetMode="External"/><Relationship Id="rId189" Type="http://schemas.openxmlformats.org/officeDocument/2006/relationships/hyperlink" Target="http://www.cfsc.com.cn/" TargetMode="External"/><Relationship Id="rId190" Type="http://schemas.openxmlformats.org/officeDocument/2006/relationships/hyperlink" Target="http://www.ubssecurities.com/" TargetMode="External"/><Relationship Id="rId191" Type="http://schemas.openxmlformats.org/officeDocument/2006/relationships/hyperlink" Target="http://www.china-invs.cn/" TargetMode="External"/><Relationship Id="rId192" Type="http://schemas.openxmlformats.org/officeDocument/2006/relationships/hyperlink" Target="http://www.zszq.com/" TargetMode="External"/><Relationship Id="rId193" Type="http://schemas.openxmlformats.org/officeDocument/2006/relationships/hyperlink" Target="http://www.18.cn/" TargetMode="External"/><Relationship Id="rId194" Type="http://schemas.openxmlformats.org/officeDocument/2006/relationships/hyperlink" Target="http://www.grzq.com/" TargetMode="External"/><Relationship Id="rId195" Type="http://schemas.openxmlformats.org/officeDocument/2006/relationships/hyperlink" Target="http://www.ykzq.com/" TargetMode="External"/><Relationship Id="rId196" Type="http://schemas.openxmlformats.org/officeDocument/2006/relationships/hyperlink" Target="http://www.jhzq.com.cn/" TargetMode="External"/><Relationship Id="rId197" Type="http://schemas.openxmlformats.org/officeDocument/2006/relationships/hyperlink" Target="http://www.gjzq.com.cn/" TargetMode="External"/><Relationship Id="rId198" Type="http://schemas.openxmlformats.org/officeDocument/2006/relationships/hyperlink" Target="http://www.cnhbstock.com/" TargetMode="External"/><Relationship Id="rId199" Type="http://schemas.openxmlformats.org/officeDocument/2006/relationships/hyperlink" Target="http://www.gwgsc.com/" TargetMode="External"/><Relationship Id="rId200" Type="http://schemas.openxmlformats.org/officeDocument/2006/relationships/hyperlink" Target="http://www.ajzq.com/" TargetMode="External"/><Relationship Id="rId201" Type="http://schemas.openxmlformats.org/officeDocument/2006/relationships/hyperlink" Target="http://www.hrsec.com.cn/" TargetMode="External"/><Relationship Id="rId202" Type="http://schemas.openxmlformats.org/officeDocument/2006/relationships/hyperlink" Target="http://www.tfzq.com/" TargetMode="External"/><Relationship Id="rId203" Type="http://schemas.openxmlformats.org/officeDocument/2006/relationships/hyperlink" Target="http://www.wanhesec.com.cn/" TargetMode="External"/><Relationship Id="rId204" Type="http://schemas.openxmlformats.org/officeDocument/2006/relationships/hyperlink" Target="http://www.hxzq.cn/" TargetMode="External"/><Relationship Id="rId205" Type="http://schemas.openxmlformats.org/officeDocument/2006/relationships/hyperlink" Target="http://www.tpyzq.com/" TargetMode="External"/><Relationship Id="rId206" Type="http://schemas.openxmlformats.org/officeDocument/2006/relationships/hyperlink" Target="http://www.kysec.cn/" TargetMode="External"/><Relationship Id="rId207" Type="http://schemas.openxmlformats.org/officeDocument/2006/relationships/hyperlink" Target="http://www.cczp.com/" TargetMode="External"/><Relationship Id="rId208" Type="http://schemas.openxmlformats.org/officeDocument/2006/relationships/hyperlink" Target="http://www.lczq.com/" TargetMode="External"/><Relationship Id="rId209" Type="http://schemas.openxmlformats.org/officeDocument/2006/relationships/hyperlink" Target="http://www.huaruisales.com/" TargetMode="External"/><Relationship Id="rId210" Type="http://schemas.openxmlformats.org/officeDocument/2006/relationships/hyperlink" Target="http://fund.sinosig.com/" TargetMode="External"/><Relationship Id="rId211" Type="http://schemas.openxmlformats.org/officeDocument/2006/relationships/hyperlink" Target="http://www.hx-sales.com/" TargetMode="External"/><Relationship Id="rId212" Type="http://schemas.openxmlformats.org/officeDocument/2006/relationships/hyperlink" Target="http://www.e-chinalife.com/" TargetMode="External"/><Relationship Id="rId213" Type="http://schemas.openxmlformats.org/officeDocument/2006/relationships/footer" Target="footer2.xml"/><Relationship Id="rId214" Type="http://schemas.openxmlformats.org/officeDocument/2006/relationships/footer" Target="footer3.xml"/><Relationship Id="rId215" Type="http://schemas.openxmlformats.org/officeDocument/2006/relationships/footer" Target="footer4.xml"/><Relationship Id="rId216" Type="http://schemas.openxmlformats.org/officeDocument/2006/relationships/footer" Target="footer5.xml"/><Relationship Id="rId217" Type="http://schemas.openxmlformats.org/officeDocument/2006/relationships/footer" Target="footer6.xml"/><Relationship Id="rId218" Type="http://schemas.openxmlformats.org/officeDocument/2006/relationships/footer" Target="footer7.xml"/><Relationship Id="rId219" Type="http://schemas.openxmlformats.org/officeDocument/2006/relationships/hyperlink" Target="http://www.chinaamc.com/" TargetMode="External"/><Relationship Id="rId220" Type="http://schemas.openxmlformats.org/officeDocument/2006/relationships/hyperlink" Target="mailto:service@ChinaAMC.com" TargetMode="External"/><Relationship Id="rId221" Type="http://schemas.openxmlformats.org/officeDocument/2006/relationships/footer" Target="footer8.xml"/><Relationship Id="rId2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cuiyw</dc:creator>
  <dc:title>华夏现金增利证券投资基金</dc:title>
  <dcterms:created xsi:type="dcterms:W3CDTF">2020-11-22T13:54:36Z</dcterms:created>
  <dcterms:modified xsi:type="dcterms:W3CDTF">2020-11-22T13:54:36Z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Office Word 2007</vt:lpwstr>
  </property>
  <property fmtid="{D5CDD505-2E9C-101B-9397-08002B2CF9AE}" pid="4" name="LastSaved">
    <vt:filetime>2020-11-22T00:00:00Z</vt:filetime>
  </property>
</Properties>
</file>